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D793C">
      <w:pPr>
        <w:pStyle w:val="42"/>
        <w:numPr>
          <w:ilvl w:val="0"/>
          <w:numId w:val="0"/>
        </w:numPr>
        <w:jc w:val="both"/>
        <w:outlineLvl w:val="9"/>
      </w:pPr>
    </w:p>
    <w:p w14:paraId="187586D1">
      <w:pPr>
        <w:pStyle w:val="39"/>
        <w:ind w:firstLine="480"/>
      </w:pPr>
    </w:p>
    <w:p w14:paraId="64FB0A40">
      <w:pPr>
        <w:pStyle w:val="39"/>
        <w:ind w:firstLine="480"/>
      </w:pPr>
    </w:p>
    <w:p w14:paraId="0E433522">
      <w:pPr>
        <w:pStyle w:val="39"/>
        <w:ind w:firstLine="0" w:firstLineChars="0"/>
      </w:pPr>
    </w:p>
    <w:p w14:paraId="5D02BDA4">
      <w:pPr>
        <w:pStyle w:val="39"/>
        <w:ind w:firstLine="0" w:firstLineChars="0"/>
        <w:jc w:val="center"/>
        <w:rPr>
          <w:color w:val="00B050"/>
          <w:sz w:val="52"/>
          <w:szCs w:val="52"/>
          <w:lang w:eastAsia="zh-CN"/>
        </w:rPr>
      </w:pPr>
      <w:r>
        <w:rPr>
          <w:rFonts w:hint="eastAsia"/>
          <w:color w:val="000000" w:themeColor="text1"/>
          <w:sz w:val="52"/>
          <w:szCs w:val="52"/>
          <w:lang w:eastAsia="zh-CN"/>
          <w14:textFill>
            <w14:solidFill>
              <w14:schemeClr w14:val="tx1"/>
            </w14:solidFill>
          </w14:textFill>
        </w:rPr>
        <w:t>浙江省应急管理厅</w:t>
      </w:r>
    </w:p>
    <w:p w14:paraId="548549FC">
      <w:pPr>
        <w:pStyle w:val="39"/>
        <w:ind w:firstLine="0" w:firstLineChars="0"/>
        <w:jc w:val="center"/>
        <w:rPr>
          <w:sz w:val="52"/>
          <w:szCs w:val="52"/>
          <w:lang w:eastAsia="zh-CN"/>
        </w:rPr>
      </w:pPr>
      <w:r>
        <w:rPr>
          <w:rFonts w:hint="eastAsia" w:cs="Arial"/>
          <w:color w:val="auto"/>
          <w:kern w:val="0"/>
          <w:sz w:val="52"/>
          <w:szCs w:val="52"/>
          <w:lang w:eastAsia="zh-CN"/>
        </w:rPr>
        <w:t>省级矿山智慧监管平台建设</w:t>
      </w:r>
      <w:r>
        <w:rPr>
          <w:rFonts w:hint="eastAsia" w:cs="Arial"/>
          <w:kern w:val="0"/>
          <w:sz w:val="52"/>
          <w:szCs w:val="52"/>
        </w:rPr>
        <w:t>项目</w:t>
      </w:r>
    </w:p>
    <w:p w14:paraId="094D83D3">
      <w:pPr>
        <w:pStyle w:val="39"/>
        <w:ind w:firstLine="0" w:firstLineChars="0"/>
        <w:jc w:val="center"/>
        <w:rPr>
          <w:rFonts w:hint="eastAsia"/>
          <w:sz w:val="84"/>
          <w:szCs w:val="84"/>
          <w:lang w:eastAsia="zh-CN"/>
        </w:rPr>
      </w:pPr>
    </w:p>
    <w:p w14:paraId="69D20543">
      <w:pPr>
        <w:pStyle w:val="39"/>
        <w:ind w:firstLine="0" w:firstLineChars="0"/>
        <w:jc w:val="center"/>
        <w:rPr>
          <w:sz w:val="84"/>
          <w:szCs w:val="84"/>
        </w:rPr>
      </w:pPr>
      <w:r>
        <w:rPr>
          <w:rFonts w:hint="eastAsia"/>
          <w:sz w:val="84"/>
          <w:szCs w:val="84"/>
          <w:lang w:eastAsia="zh-CN"/>
        </w:rPr>
        <w:t>公开招标采购文件</w:t>
      </w:r>
    </w:p>
    <w:p w14:paraId="5E8E4101">
      <w:pPr>
        <w:pStyle w:val="39"/>
        <w:ind w:firstLine="0" w:firstLineChars="0"/>
        <w:rPr>
          <w:lang w:eastAsia="zh-CN"/>
        </w:rPr>
      </w:pPr>
    </w:p>
    <w:p w14:paraId="7B6D5EC4">
      <w:pPr>
        <w:pStyle w:val="39"/>
        <w:ind w:firstLine="0" w:firstLineChars="0"/>
        <w:jc w:val="center"/>
        <w:rPr>
          <w:sz w:val="52"/>
          <w:szCs w:val="52"/>
          <w:lang w:eastAsia="zh-CN"/>
        </w:rPr>
      </w:pPr>
      <w:r>
        <w:rPr>
          <w:rFonts w:hint="eastAsia"/>
          <w:sz w:val="52"/>
          <w:szCs w:val="52"/>
          <w:lang w:eastAsia="zh-CN"/>
        </w:rPr>
        <w:t>【电子交易】</w:t>
      </w:r>
    </w:p>
    <w:p w14:paraId="6854FAA5">
      <w:pPr>
        <w:pStyle w:val="39"/>
        <w:ind w:firstLine="480"/>
      </w:pPr>
    </w:p>
    <w:p w14:paraId="4207AA4C">
      <w:pPr>
        <w:pStyle w:val="39"/>
        <w:ind w:firstLine="0" w:firstLineChars="0"/>
        <w:rPr>
          <w:lang w:eastAsia="zh-CN"/>
        </w:rPr>
      </w:pPr>
    </w:p>
    <w:p w14:paraId="4A86F879">
      <w:pPr>
        <w:pStyle w:val="39"/>
        <w:ind w:firstLine="0" w:firstLineChars="0"/>
        <w:rPr>
          <w:lang w:eastAsia="zh-CN"/>
        </w:rPr>
      </w:pPr>
    </w:p>
    <w:p w14:paraId="05EEDCC9">
      <w:pPr>
        <w:pStyle w:val="39"/>
        <w:ind w:firstLine="0" w:firstLineChars="0"/>
        <w:rPr>
          <w:lang w:eastAsia="zh-CN"/>
        </w:rPr>
      </w:pPr>
    </w:p>
    <w:p w14:paraId="03C237ED">
      <w:pPr>
        <w:pStyle w:val="39"/>
        <w:ind w:firstLine="0" w:firstLineChars="0"/>
        <w:rPr>
          <w:lang w:eastAsia="zh-CN"/>
        </w:rPr>
      </w:pPr>
    </w:p>
    <w:p w14:paraId="5DC02861">
      <w:pPr>
        <w:pStyle w:val="39"/>
        <w:ind w:firstLine="0" w:firstLineChars="0"/>
        <w:rPr>
          <w:lang w:eastAsia="zh-CN"/>
        </w:rPr>
      </w:pPr>
    </w:p>
    <w:tbl>
      <w:tblPr>
        <w:tblStyle w:val="28"/>
        <w:tblW w:w="5000" w:type="pct"/>
        <w:jc w:val="center"/>
        <w:tblLayout w:type="autofit"/>
        <w:tblCellMar>
          <w:top w:w="0" w:type="dxa"/>
          <w:left w:w="108" w:type="dxa"/>
          <w:bottom w:w="0" w:type="dxa"/>
          <w:right w:w="108" w:type="dxa"/>
        </w:tblCellMar>
      </w:tblPr>
      <w:tblGrid>
        <w:gridCol w:w="1952"/>
        <w:gridCol w:w="6570"/>
      </w:tblGrid>
      <w:tr w14:paraId="747B24DA">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09A236C2">
            <w:pPr>
              <w:pStyle w:val="39"/>
              <w:ind w:firstLine="0" w:firstLineChars="0"/>
              <w:rPr>
                <w:sz w:val="32"/>
                <w:szCs w:val="32"/>
              </w:rPr>
            </w:pPr>
            <w:r>
              <w:rPr>
                <w:rFonts w:hint="eastAsia"/>
                <w:sz w:val="32"/>
                <w:szCs w:val="32"/>
              </w:rPr>
              <w:t>项目编号：</w:t>
            </w:r>
          </w:p>
        </w:tc>
        <w:tc>
          <w:tcPr>
            <w:tcW w:w="3855" w:type="pct"/>
            <w:tcBorders>
              <w:top w:val="nil"/>
              <w:left w:val="nil"/>
              <w:bottom w:val="nil"/>
              <w:right w:val="nil"/>
            </w:tcBorders>
            <w:vAlign w:val="center"/>
          </w:tcPr>
          <w:p w14:paraId="2DC210C9">
            <w:pPr>
              <w:pStyle w:val="39"/>
              <w:ind w:firstLine="0" w:firstLineChars="0"/>
              <w:rPr>
                <w:rFonts w:cs="Arial"/>
                <w:kern w:val="0"/>
                <w:sz w:val="32"/>
                <w:szCs w:val="32"/>
              </w:rPr>
            </w:pPr>
            <w:r>
              <w:rPr>
                <w:rFonts w:hint="eastAsia" w:cs="Arial"/>
                <w:color w:val="auto"/>
                <w:kern w:val="0"/>
                <w:sz w:val="32"/>
                <w:szCs w:val="32"/>
                <w:lang w:eastAsia="zh-CN"/>
              </w:rPr>
              <w:t>ZQ250607ZG</w:t>
            </w:r>
          </w:p>
        </w:tc>
      </w:tr>
      <w:tr w14:paraId="7681CD4C">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7DB342CE">
            <w:pPr>
              <w:pStyle w:val="39"/>
              <w:ind w:firstLine="0" w:firstLineChars="0"/>
              <w:rPr>
                <w:sz w:val="32"/>
                <w:szCs w:val="32"/>
              </w:rPr>
            </w:pPr>
            <w:r>
              <w:rPr>
                <w:rFonts w:hint="eastAsia"/>
                <w:sz w:val="32"/>
                <w:szCs w:val="32"/>
              </w:rPr>
              <w:t>采 购 人：</w:t>
            </w:r>
          </w:p>
        </w:tc>
        <w:tc>
          <w:tcPr>
            <w:tcW w:w="3855" w:type="pct"/>
            <w:tcBorders>
              <w:top w:val="nil"/>
              <w:left w:val="nil"/>
              <w:bottom w:val="nil"/>
              <w:right w:val="nil"/>
            </w:tcBorders>
            <w:vAlign w:val="center"/>
          </w:tcPr>
          <w:p w14:paraId="63070374">
            <w:pPr>
              <w:pStyle w:val="39"/>
              <w:ind w:firstLine="0" w:firstLineChars="0"/>
              <w:rPr>
                <w:rFonts w:cs="Arial"/>
                <w:kern w:val="0"/>
                <w:sz w:val="32"/>
                <w:szCs w:val="32"/>
              </w:rPr>
            </w:pPr>
            <w:r>
              <w:rPr>
                <w:rFonts w:hint="eastAsia" w:cs="Arial"/>
                <w:color w:val="000000" w:themeColor="text1"/>
                <w:kern w:val="0"/>
                <w:sz w:val="32"/>
                <w:szCs w:val="32"/>
                <w:lang w:eastAsia="zh-CN"/>
                <w14:textFill>
                  <w14:solidFill>
                    <w14:schemeClr w14:val="tx1"/>
                  </w14:solidFill>
                </w14:textFill>
              </w:rPr>
              <w:t>浙江省应急管理厅</w:t>
            </w:r>
          </w:p>
        </w:tc>
      </w:tr>
      <w:tr w14:paraId="5BA9DA86">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35110A8F">
            <w:pPr>
              <w:pStyle w:val="39"/>
              <w:ind w:firstLine="0" w:firstLineChars="0"/>
              <w:rPr>
                <w:sz w:val="32"/>
                <w:szCs w:val="32"/>
              </w:rPr>
            </w:pPr>
            <w:r>
              <w:rPr>
                <w:rFonts w:hint="eastAsia"/>
                <w:sz w:val="32"/>
                <w:szCs w:val="32"/>
              </w:rPr>
              <w:t>代理机构：</w:t>
            </w:r>
          </w:p>
        </w:tc>
        <w:tc>
          <w:tcPr>
            <w:tcW w:w="3855" w:type="pct"/>
            <w:tcBorders>
              <w:top w:val="nil"/>
              <w:left w:val="nil"/>
              <w:bottom w:val="nil"/>
              <w:right w:val="nil"/>
            </w:tcBorders>
            <w:vAlign w:val="center"/>
          </w:tcPr>
          <w:p w14:paraId="27C5314C">
            <w:pPr>
              <w:pStyle w:val="39"/>
              <w:ind w:firstLine="0" w:firstLineChars="0"/>
              <w:rPr>
                <w:rFonts w:cs="Arial"/>
                <w:kern w:val="0"/>
                <w:sz w:val="32"/>
                <w:szCs w:val="32"/>
              </w:rPr>
            </w:pPr>
            <w:r>
              <w:rPr>
                <w:rFonts w:hint="eastAsia" w:cs="Arial"/>
                <w:kern w:val="0"/>
                <w:sz w:val="32"/>
                <w:szCs w:val="32"/>
              </w:rPr>
              <w:t>浙江</w:t>
            </w:r>
            <w:r>
              <w:rPr>
                <w:rFonts w:hint="eastAsia" w:cs="Arial"/>
                <w:kern w:val="0"/>
                <w:sz w:val="32"/>
                <w:szCs w:val="32"/>
                <w:lang w:eastAsia="zh-CN"/>
              </w:rPr>
              <w:t>中勤招标代理有限公司</w:t>
            </w:r>
          </w:p>
        </w:tc>
      </w:tr>
      <w:tr w14:paraId="194AD3FE">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16CFD7A9">
            <w:pPr>
              <w:pStyle w:val="39"/>
              <w:ind w:firstLine="0" w:firstLineChars="0"/>
              <w:rPr>
                <w:sz w:val="32"/>
                <w:szCs w:val="32"/>
              </w:rPr>
            </w:pPr>
            <w:r>
              <w:rPr>
                <w:rFonts w:hint="eastAsia"/>
                <w:sz w:val="32"/>
                <w:szCs w:val="32"/>
              </w:rPr>
              <w:t>日    期：</w:t>
            </w:r>
          </w:p>
        </w:tc>
        <w:tc>
          <w:tcPr>
            <w:tcW w:w="3855" w:type="pct"/>
            <w:tcBorders>
              <w:top w:val="nil"/>
              <w:left w:val="nil"/>
              <w:bottom w:val="nil"/>
              <w:right w:val="nil"/>
            </w:tcBorders>
            <w:vAlign w:val="center"/>
          </w:tcPr>
          <w:p w14:paraId="31D1CE27">
            <w:pPr>
              <w:pStyle w:val="39"/>
              <w:ind w:firstLine="0" w:firstLineChars="0"/>
              <w:rPr>
                <w:rFonts w:cs="Arial"/>
                <w:kern w:val="0"/>
                <w:sz w:val="32"/>
                <w:szCs w:val="32"/>
              </w:rPr>
            </w:pPr>
            <w:r>
              <w:rPr>
                <w:rFonts w:hint="eastAsia" w:cs="Arial"/>
                <w:kern w:val="0"/>
                <w:sz w:val="32"/>
                <w:szCs w:val="32"/>
              </w:rPr>
              <w:t>二○</w:t>
            </w:r>
            <w:r>
              <w:rPr>
                <w:rFonts w:hint="eastAsia" w:cs="Arial"/>
                <w:kern w:val="0"/>
                <w:sz w:val="32"/>
                <w:szCs w:val="32"/>
                <w:lang w:val="en-US" w:eastAsia="zh-CN"/>
              </w:rPr>
              <w:t>二五</w:t>
            </w:r>
            <w:r>
              <w:rPr>
                <w:rFonts w:hint="eastAsia" w:cs="Arial"/>
                <w:kern w:val="0"/>
                <w:sz w:val="32"/>
                <w:szCs w:val="32"/>
              </w:rPr>
              <w:t>年</w:t>
            </w:r>
            <w:r>
              <w:rPr>
                <w:rFonts w:hint="eastAsia" w:cs="Arial"/>
                <w:color w:val="auto"/>
                <w:kern w:val="0"/>
                <w:sz w:val="32"/>
                <w:szCs w:val="32"/>
                <w:lang w:val="en-US" w:eastAsia="zh-CN"/>
              </w:rPr>
              <w:t>六</w:t>
            </w:r>
            <w:r>
              <w:rPr>
                <w:rFonts w:hint="eastAsia" w:cs="Arial"/>
                <w:kern w:val="0"/>
                <w:sz w:val="32"/>
                <w:szCs w:val="32"/>
              </w:rPr>
              <w:t>月</w:t>
            </w:r>
          </w:p>
        </w:tc>
      </w:tr>
    </w:tbl>
    <w:p w14:paraId="61BB6122">
      <w:pPr>
        <w:pStyle w:val="39"/>
        <w:ind w:firstLine="0" w:firstLineChars="0"/>
      </w:pPr>
    </w:p>
    <w:p w14:paraId="53658287">
      <w:pPr>
        <w:pStyle w:val="39"/>
        <w:ind w:firstLine="480"/>
        <w:rPr>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0CE04AE8">
      <w:pPr>
        <w:pStyle w:val="39"/>
        <w:ind w:firstLine="0" w:firstLineChars="0"/>
        <w:jc w:val="center"/>
        <w:rPr>
          <w:rFonts w:ascii="黑体" w:hAnsi="黑体" w:eastAsia="黑体"/>
          <w:sz w:val="36"/>
          <w:szCs w:val="36"/>
        </w:rPr>
      </w:pPr>
      <w:r>
        <w:rPr>
          <w:rFonts w:hint="eastAsia" w:ascii="黑体" w:hAnsi="黑体" w:eastAsia="黑体"/>
          <w:sz w:val="36"/>
          <w:szCs w:val="36"/>
        </w:rPr>
        <w:t xml:space="preserve">目 </w:t>
      </w:r>
      <w:r>
        <w:rPr>
          <w:rFonts w:ascii="黑体" w:hAnsi="黑体" w:eastAsia="黑体"/>
          <w:sz w:val="36"/>
          <w:szCs w:val="36"/>
        </w:rPr>
        <w:t xml:space="preserve"> </w:t>
      </w:r>
      <w:r>
        <w:rPr>
          <w:rFonts w:hint="eastAsia" w:ascii="黑体" w:hAnsi="黑体" w:eastAsia="黑体"/>
          <w:sz w:val="36"/>
          <w:szCs w:val="36"/>
        </w:rPr>
        <w:t>录</w:t>
      </w:r>
    </w:p>
    <w:p w14:paraId="063B1E88">
      <w:pPr>
        <w:pStyle w:val="22"/>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TOC \o "1-5" \h \u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_Toc1259125111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第一章 </w:t>
      </w:r>
      <w:r>
        <w:rPr>
          <w:rFonts w:hint="eastAsia" w:ascii="宋体" w:hAnsi="宋体" w:eastAsia="宋体" w:cs="宋体"/>
          <w:sz w:val="24"/>
          <w:szCs w:val="24"/>
          <w:highlight w:val="none"/>
        </w:rPr>
        <w:t>招标公告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_Toc1259125111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63F8F154">
      <w:pPr>
        <w:pStyle w:val="22"/>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_Toc811883039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第二章 </w:t>
      </w:r>
      <w:r>
        <w:rPr>
          <w:rFonts w:hint="eastAsia" w:ascii="宋体" w:hAnsi="宋体" w:eastAsia="宋体" w:cs="宋体"/>
          <w:sz w:val="24"/>
          <w:szCs w:val="24"/>
          <w:highlight w:val="none"/>
          <w:lang w:eastAsia="zh-CN"/>
        </w:rPr>
        <w:t>投标人须知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_Toc811883039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53A35160">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_Toc207143435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前附表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_Toc207143435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27D90A4">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_Toc1696139369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lang w:eastAsia="zh-CN"/>
        </w:rPr>
        <w:t xml:space="preserve">一、 </w:t>
      </w:r>
      <w:r>
        <w:rPr>
          <w:rFonts w:hint="eastAsia" w:ascii="宋体" w:hAnsi="宋体" w:eastAsia="宋体" w:cs="宋体"/>
          <w:sz w:val="24"/>
          <w:szCs w:val="24"/>
          <w:highlight w:val="none"/>
        </w:rPr>
        <w:t>总 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_Toc1696139369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F689829">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_Toc1316444505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1. </w:t>
      </w:r>
      <w:r>
        <w:rPr>
          <w:rFonts w:hint="eastAsia" w:ascii="宋体" w:hAnsi="宋体" w:eastAsia="宋体" w:cs="宋体"/>
          <w:sz w:val="24"/>
          <w:szCs w:val="24"/>
          <w:highlight w:val="none"/>
        </w:rPr>
        <w:t>实施依据</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_Toc1316444505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45B7BAE">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_Toc2106264141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2. </w:t>
      </w:r>
      <w:r>
        <w:rPr>
          <w:rFonts w:hint="eastAsia" w:ascii="宋体" w:hAnsi="宋体" w:eastAsia="宋体" w:cs="宋体"/>
          <w:sz w:val="24"/>
          <w:szCs w:val="24"/>
          <w:highlight w:val="none"/>
        </w:rPr>
        <w:t>基本信息</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_Toc2106264141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030B7D7">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_Toc860980639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3. </w:t>
      </w:r>
      <w:r>
        <w:rPr>
          <w:rFonts w:hint="eastAsia" w:ascii="宋体" w:hAnsi="宋体" w:eastAsia="宋体" w:cs="宋体"/>
          <w:sz w:val="24"/>
          <w:szCs w:val="24"/>
          <w:highlight w:val="none"/>
          <w:lang w:eastAsia="zh-CN"/>
        </w:rPr>
        <w:t>词条</w:t>
      </w:r>
      <w:r>
        <w:rPr>
          <w:rFonts w:hint="eastAsia" w:ascii="宋体" w:hAnsi="宋体" w:eastAsia="宋体" w:cs="宋体"/>
          <w:sz w:val="24"/>
          <w:szCs w:val="24"/>
          <w:highlight w:val="none"/>
        </w:rPr>
        <w:t>定义</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_Toc860980639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18B0F214">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_Toc756786187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4. </w:t>
      </w:r>
      <w:r>
        <w:rPr>
          <w:rFonts w:hint="eastAsia" w:ascii="宋体" w:hAnsi="宋体" w:eastAsia="宋体" w:cs="宋体"/>
          <w:sz w:val="24"/>
          <w:szCs w:val="24"/>
          <w:highlight w:val="none"/>
          <w:lang w:eastAsia="zh-CN"/>
        </w:rPr>
        <w:t>符号</w:t>
      </w:r>
      <w:r>
        <w:rPr>
          <w:rFonts w:hint="eastAsia" w:ascii="宋体" w:hAnsi="宋体" w:eastAsia="宋体" w:cs="宋体"/>
          <w:sz w:val="24"/>
          <w:szCs w:val="24"/>
          <w:highlight w:val="none"/>
        </w:rPr>
        <w:t>定义</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_Toc756786187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792CCC3">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_Toc1907287375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5. </w:t>
      </w:r>
      <w:r>
        <w:rPr>
          <w:rFonts w:hint="eastAsia" w:ascii="宋体" w:hAnsi="宋体" w:eastAsia="宋体" w:cs="宋体"/>
          <w:sz w:val="24"/>
          <w:szCs w:val="24"/>
          <w:highlight w:val="none"/>
        </w:rPr>
        <w:t>投标费用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_Toc1907287375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15C2FA5">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_Toc290512856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6. </w:t>
      </w:r>
      <w:r>
        <w:rPr>
          <w:rFonts w:hint="eastAsia" w:ascii="宋体" w:hAnsi="宋体" w:eastAsia="宋体" w:cs="宋体"/>
          <w:sz w:val="24"/>
          <w:szCs w:val="24"/>
          <w:highlight w:val="none"/>
        </w:rPr>
        <w:t>语言文字</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_Toc290512856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7496ACE">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_Toc1419241161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7. </w:t>
      </w:r>
      <w:r>
        <w:rPr>
          <w:rFonts w:hint="eastAsia" w:ascii="宋体" w:hAnsi="宋体" w:eastAsia="宋体" w:cs="宋体"/>
          <w:sz w:val="24"/>
          <w:szCs w:val="24"/>
          <w:highlight w:val="none"/>
        </w:rPr>
        <w:t>计量单位</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_Toc1419241161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47966E3">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_Toc1085325698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8. </w:t>
      </w:r>
      <w:r>
        <w:rPr>
          <w:rFonts w:hint="eastAsia" w:ascii="宋体" w:hAnsi="宋体" w:eastAsia="宋体" w:cs="宋体"/>
          <w:sz w:val="24"/>
          <w:szCs w:val="24"/>
          <w:highlight w:val="none"/>
        </w:rPr>
        <w:t>转包与分包</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_Toc1085325698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51F0972">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_Toc342908668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8.1 </w:t>
      </w:r>
      <w:r>
        <w:rPr>
          <w:rFonts w:hint="eastAsia" w:ascii="宋体" w:hAnsi="宋体" w:eastAsia="宋体" w:cs="宋体"/>
          <w:sz w:val="24"/>
          <w:szCs w:val="24"/>
          <w:highlight w:val="none"/>
          <w:lang w:val="en-US" w:eastAsia="zh-CN"/>
        </w:rPr>
        <w:t>转包</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_Toc342908668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5610313">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_Toc1567358175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8.2 </w:t>
      </w:r>
      <w:r>
        <w:rPr>
          <w:rFonts w:hint="eastAsia" w:ascii="宋体" w:hAnsi="宋体" w:eastAsia="宋体" w:cs="宋体"/>
          <w:sz w:val="24"/>
          <w:szCs w:val="24"/>
          <w:highlight w:val="none"/>
          <w:lang w:val="en-US" w:eastAsia="zh-CN"/>
        </w:rPr>
        <w:t>分包</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_Toc1567358175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1B70B150">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_Toc1554433123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9. </w:t>
      </w:r>
      <w:r>
        <w:rPr>
          <w:rFonts w:hint="eastAsia" w:ascii="宋体" w:hAnsi="宋体" w:eastAsia="宋体" w:cs="宋体"/>
          <w:sz w:val="24"/>
          <w:szCs w:val="24"/>
          <w:highlight w:val="none"/>
        </w:rPr>
        <w:t>踏勘现场</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_Toc1554433123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55CA18D9">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_Toc1218932506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10. </w:t>
      </w:r>
      <w:r>
        <w:rPr>
          <w:rFonts w:hint="eastAsia" w:ascii="宋体" w:hAnsi="宋体" w:eastAsia="宋体" w:cs="宋体"/>
          <w:sz w:val="24"/>
          <w:szCs w:val="24"/>
          <w:highlight w:val="none"/>
        </w:rPr>
        <w:t>投标预备会/答疑会</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_Toc1218932506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10242D85">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_Toc1752119609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11. </w:t>
      </w:r>
      <w:r>
        <w:rPr>
          <w:rFonts w:hint="eastAsia" w:ascii="宋体" w:hAnsi="宋体" w:eastAsia="宋体" w:cs="宋体"/>
          <w:sz w:val="24"/>
          <w:szCs w:val="24"/>
          <w:highlight w:val="none"/>
        </w:rPr>
        <w:t>联合体</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_Toc1752119609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52DFC7F4">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_Toc1578500799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12. </w:t>
      </w:r>
      <w:r>
        <w:rPr>
          <w:rFonts w:hint="eastAsia" w:ascii="宋体" w:hAnsi="宋体" w:eastAsia="宋体" w:cs="宋体"/>
          <w:sz w:val="24"/>
          <w:szCs w:val="24"/>
          <w:highlight w:val="none"/>
        </w:rPr>
        <w:t>本项目需要落实的政府采购政策</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_Toc1578500799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61CAD27B">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_Toc1997437402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12.1 </w:t>
      </w:r>
      <w:r>
        <w:rPr>
          <w:rFonts w:hint="eastAsia" w:ascii="宋体" w:hAnsi="宋体" w:eastAsia="宋体" w:cs="宋体"/>
          <w:sz w:val="24"/>
          <w:szCs w:val="24"/>
          <w:highlight w:val="none"/>
        </w:rPr>
        <w:t>支持中小企业、残疾人福利性单位、监狱企业发展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_Toc1997437402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68563622">
      <w:pPr>
        <w:pStyle w:val="16"/>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_Toc1466045510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12.1.1 支持对象</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_Toc1466045510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1CC1C07F">
      <w:pPr>
        <w:pStyle w:val="16"/>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_Toc1747004539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12.1.2 支持条件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_Toc1747004539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CE0CDF6">
      <w:pPr>
        <w:pStyle w:val="16"/>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_Toc1508865189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12.1.3 支持方式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_Toc1508865189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F91BFE2">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_Toc2010327747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12.2 </w:t>
      </w:r>
      <w:r>
        <w:rPr>
          <w:rFonts w:hint="eastAsia" w:ascii="宋体" w:hAnsi="宋体" w:eastAsia="宋体" w:cs="宋体"/>
          <w:sz w:val="24"/>
          <w:szCs w:val="24"/>
          <w:highlight w:val="none"/>
        </w:rPr>
        <w:t>支持绿色发展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_Toc2010327747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FBE1064">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_Toc1218225578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12.3 </w:t>
      </w:r>
      <w:r>
        <w:rPr>
          <w:rFonts w:hint="eastAsia" w:ascii="宋体" w:hAnsi="宋体" w:eastAsia="宋体" w:cs="宋体"/>
          <w:sz w:val="24"/>
          <w:szCs w:val="24"/>
          <w:highlight w:val="none"/>
        </w:rPr>
        <w:t>支持创新发展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_Toc1218225578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16C4D9AF">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_Toc608198948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12.4 </w:t>
      </w:r>
      <w:r>
        <w:rPr>
          <w:rFonts w:hint="eastAsia" w:ascii="宋体" w:hAnsi="宋体" w:eastAsia="宋体" w:cs="宋体"/>
          <w:sz w:val="24"/>
          <w:szCs w:val="24"/>
          <w:highlight w:val="none"/>
        </w:rPr>
        <w:t>支持本国生产的货物</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_Toc608198948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61D300A">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_Toc2125042963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13. </w:t>
      </w:r>
      <w:r>
        <w:rPr>
          <w:rFonts w:hint="eastAsia" w:ascii="宋体" w:hAnsi="宋体" w:eastAsia="宋体" w:cs="宋体"/>
          <w:sz w:val="24"/>
          <w:szCs w:val="24"/>
          <w:highlight w:val="none"/>
        </w:rPr>
        <w:t>对供应商的限制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_Toc2125042963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1544068">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_Toc796545884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14. </w:t>
      </w:r>
      <w:r>
        <w:rPr>
          <w:rFonts w:hint="eastAsia" w:ascii="宋体" w:hAnsi="宋体" w:eastAsia="宋体" w:cs="宋体"/>
          <w:sz w:val="24"/>
          <w:szCs w:val="24"/>
          <w:highlight w:val="none"/>
        </w:rPr>
        <w:t>询问、质疑与投诉</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_Toc796545884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AC78C7D">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_Toc133616990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14.1 </w:t>
      </w:r>
      <w:r>
        <w:rPr>
          <w:rFonts w:hint="eastAsia" w:ascii="宋体" w:hAnsi="宋体" w:eastAsia="宋体" w:cs="宋体"/>
          <w:sz w:val="24"/>
          <w:szCs w:val="24"/>
          <w:highlight w:val="none"/>
        </w:rPr>
        <w:t>询问</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_Toc133616990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5B8C094">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_Toc1580339815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14.2 </w:t>
      </w:r>
      <w:r>
        <w:rPr>
          <w:rFonts w:hint="eastAsia" w:ascii="宋体" w:hAnsi="宋体" w:eastAsia="宋体" w:cs="宋体"/>
          <w:sz w:val="24"/>
          <w:szCs w:val="24"/>
          <w:highlight w:val="none"/>
        </w:rPr>
        <w:t>质疑</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_Toc1580339815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D0116E9">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_Toc693524609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14.3 </w:t>
      </w:r>
      <w:r>
        <w:rPr>
          <w:rFonts w:hint="eastAsia" w:ascii="宋体" w:hAnsi="宋体" w:eastAsia="宋体" w:cs="宋体"/>
          <w:sz w:val="24"/>
          <w:szCs w:val="24"/>
          <w:highlight w:val="none"/>
        </w:rPr>
        <w:t>投诉</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_Toc693524609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FC4DD6F">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_Toc1674351194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15. </w:t>
      </w:r>
      <w:r>
        <w:rPr>
          <w:rFonts w:hint="eastAsia" w:ascii="宋体" w:hAnsi="宋体" w:eastAsia="宋体" w:cs="宋体"/>
          <w:sz w:val="24"/>
          <w:szCs w:val="24"/>
          <w:highlight w:val="none"/>
        </w:rPr>
        <w:t>其他注意事项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_Toc1674351194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5888BB91">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_Toc194807270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16. </w:t>
      </w:r>
      <w:r>
        <w:rPr>
          <w:rFonts w:hint="eastAsia" w:ascii="宋体" w:hAnsi="宋体" w:eastAsia="宋体" w:cs="宋体"/>
          <w:sz w:val="24"/>
          <w:szCs w:val="24"/>
          <w:highlight w:val="none"/>
        </w:rPr>
        <w:t>保密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_Toc194807270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F85D2CE">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_Toc1360708862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二、 </w:t>
      </w:r>
      <w:r>
        <w:rPr>
          <w:rFonts w:hint="eastAsia" w:ascii="宋体" w:hAnsi="宋体" w:eastAsia="宋体" w:cs="宋体"/>
          <w:sz w:val="24"/>
          <w:szCs w:val="24"/>
          <w:highlight w:val="none"/>
        </w:rPr>
        <w:t>招标文件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_Toc1360708862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14EB9C9">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_Toc880486731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1. </w:t>
      </w:r>
      <w:r>
        <w:rPr>
          <w:rFonts w:hint="eastAsia" w:ascii="宋体" w:hAnsi="宋体" w:eastAsia="宋体" w:cs="宋体"/>
          <w:sz w:val="24"/>
          <w:szCs w:val="24"/>
          <w:highlight w:val="none"/>
        </w:rPr>
        <w:t>招标文件的组成</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_Toc880486731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D64FDEE">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_Toc30676440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2. </w:t>
      </w:r>
      <w:r>
        <w:rPr>
          <w:rFonts w:hint="eastAsia" w:ascii="宋体" w:hAnsi="宋体" w:eastAsia="宋体" w:cs="宋体"/>
          <w:sz w:val="24"/>
          <w:szCs w:val="24"/>
          <w:highlight w:val="none"/>
        </w:rPr>
        <w:t>招标文件的解释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_Toc30676440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23897BC">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_Toc182851800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3. </w:t>
      </w:r>
      <w:r>
        <w:rPr>
          <w:rFonts w:hint="eastAsia" w:ascii="宋体" w:hAnsi="宋体" w:eastAsia="宋体" w:cs="宋体"/>
          <w:sz w:val="24"/>
          <w:szCs w:val="24"/>
          <w:highlight w:val="none"/>
        </w:rPr>
        <w:t>招标文件的修改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_Toc182851800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1BD9D6D">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_Toc141103743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三、 </w:t>
      </w:r>
      <w:r>
        <w:rPr>
          <w:rFonts w:hint="eastAsia" w:ascii="宋体" w:hAnsi="宋体" w:eastAsia="宋体" w:cs="宋体"/>
          <w:sz w:val="24"/>
          <w:szCs w:val="24"/>
          <w:highlight w:val="none"/>
        </w:rPr>
        <w:t>投标文件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_Toc141103743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7BF2087">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_Toc708662313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1. </w:t>
      </w:r>
      <w:r>
        <w:rPr>
          <w:rFonts w:hint="eastAsia" w:ascii="宋体" w:hAnsi="宋体" w:eastAsia="宋体" w:cs="宋体"/>
          <w:sz w:val="24"/>
          <w:szCs w:val="24"/>
          <w:highlight w:val="none"/>
        </w:rPr>
        <w:t>投标文件的组成</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_Toc708662313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93F5686">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_Toc543188329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1.1 </w:t>
      </w:r>
      <w:r>
        <w:rPr>
          <w:rFonts w:hint="eastAsia" w:ascii="宋体" w:hAnsi="宋体" w:eastAsia="宋体" w:cs="宋体"/>
          <w:sz w:val="24"/>
          <w:szCs w:val="24"/>
          <w:highlight w:val="none"/>
        </w:rPr>
        <w:t>资格文件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_Toc543188329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D8A9E12">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_Toc413262106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1.2 </w:t>
      </w:r>
      <w:r>
        <w:rPr>
          <w:rFonts w:hint="eastAsia" w:ascii="宋体" w:hAnsi="宋体" w:eastAsia="宋体" w:cs="宋体"/>
          <w:sz w:val="24"/>
          <w:szCs w:val="24"/>
          <w:highlight w:val="none"/>
        </w:rPr>
        <w:t>商务技术文件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_Toc413262106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CFBF131">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_Toc734101144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1.3 </w:t>
      </w:r>
      <w:r>
        <w:rPr>
          <w:rFonts w:hint="eastAsia" w:ascii="宋体" w:hAnsi="宋体" w:eastAsia="宋体" w:cs="宋体"/>
          <w:sz w:val="24"/>
          <w:szCs w:val="24"/>
          <w:highlight w:val="none"/>
        </w:rPr>
        <w:t>报价文件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_Toc734101144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4642394">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_Toc744375193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2. </w:t>
      </w:r>
      <w:r>
        <w:rPr>
          <w:rFonts w:hint="eastAsia" w:ascii="宋体" w:hAnsi="宋体" w:eastAsia="宋体" w:cs="宋体"/>
          <w:sz w:val="24"/>
          <w:szCs w:val="24"/>
          <w:highlight w:val="none"/>
        </w:rPr>
        <w:t>投标文件的编制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_Toc744375193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544DE647">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_Toc1621624976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3. </w:t>
      </w:r>
      <w:r>
        <w:rPr>
          <w:rFonts w:hint="eastAsia" w:ascii="宋体" w:hAnsi="宋体" w:eastAsia="宋体" w:cs="宋体"/>
          <w:sz w:val="24"/>
          <w:szCs w:val="24"/>
          <w:highlight w:val="none"/>
        </w:rPr>
        <w:t>投标文件的签署</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_Toc1621624976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10FC9266">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_Toc936007555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4. </w:t>
      </w:r>
      <w:r>
        <w:rPr>
          <w:rFonts w:hint="eastAsia" w:ascii="宋体" w:hAnsi="宋体" w:eastAsia="宋体" w:cs="宋体"/>
          <w:sz w:val="24"/>
          <w:szCs w:val="24"/>
          <w:highlight w:val="none"/>
        </w:rPr>
        <w:t>投标报价</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_Toc936007555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F85E60A">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_Toc1161262610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4.1 </w:t>
      </w:r>
      <w:r>
        <w:rPr>
          <w:rFonts w:hint="eastAsia" w:ascii="宋体" w:hAnsi="宋体" w:eastAsia="宋体" w:cs="宋体"/>
          <w:sz w:val="24"/>
          <w:szCs w:val="24"/>
          <w:highlight w:val="none"/>
        </w:rPr>
        <w:t>报价组成</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_Toc1161262610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A023866">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_Toc1009302334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4.2 </w:t>
      </w:r>
      <w:r>
        <w:rPr>
          <w:rFonts w:hint="eastAsia" w:ascii="宋体" w:hAnsi="宋体" w:eastAsia="宋体" w:cs="宋体"/>
          <w:sz w:val="24"/>
          <w:szCs w:val="24"/>
          <w:highlight w:val="none"/>
        </w:rPr>
        <w:t>其它费用处理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_Toc1009302334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1A2E85D">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_Toc370999885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4.3 </w:t>
      </w:r>
      <w:r>
        <w:rPr>
          <w:rFonts w:hint="eastAsia" w:ascii="宋体" w:hAnsi="宋体" w:eastAsia="宋体" w:cs="宋体"/>
          <w:sz w:val="24"/>
          <w:szCs w:val="24"/>
          <w:highlight w:val="none"/>
        </w:rPr>
        <w:t>投标货币</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_Toc370999885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6DB2E266">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_Toc1250039954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4.4 </w:t>
      </w:r>
      <w:r>
        <w:rPr>
          <w:rFonts w:hint="eastAsia" w:ascii="宋体" w:hAnsi="宋体" w:eastAsia="宋体" w:cs="宋体"/>
          <w:sz w:val="24"/>
          <w:szCs w:val="24"/>
          <w:highlight w:val="none"/>
        </w:rPr>
        <w:t>特别说明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_Toc1250039954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197B97E5">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_Toc588988277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5. </w:t>
      </w:r>
      <w:r>
        <w:rPr>
          <w:rFonts w:hint="eastAsia" w:ascii="宋体" w:hAnsi="宋体" w:eastAsia="宋体" w:cs="宋体"/>
          <w:sz w:val="24"/>
          <w:szCs w:val="24"/>
          <w:highlight w:val="none"/>
        </w:rPr>
        <w:t>投标有效期</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_Toc588988277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A7D9F04">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_Toc1373842516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lang w:eastAsia="zh-CN"/>
        </w:rPr>
        <w:t xml:space="preserve">6. </w:t>
      </w:r>
      <w:r>
        <w:rPr>
          <w:rFonts w:hint="eastAsia" w:ascii="宋体" w:hAnsi="宋体" w:eastAsia="宋体" w:cs="宋体"/>
          <w:sz w:val="24"/>
          <w:szCs w:val="24"/>
          <w:highlight w:val="none"/>
        </w:rPr>
        <w:t>电子标书的</w:t>
      </w:r>
      <w:r>
        <w:rPr>
          <w:rFonts w:hint="eastAsia" w:ascii="宋体" w:hAnsi="宋体" w:eastAsia="宋体" w:cs="宋体"/>
          <w:sz w:val="24"/>
          <w:szCs w:val="24"/>
          <w:highlight w:val="none"/>
          <w:lang w:eastAsia="zh-CN"/>
        </w:rPr>
        <w:t>生成</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_Toc1373842516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6B30DE6">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_Toc426993868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6.1 </w:t>
      </w:r>
      <w:r>
        <w:rPr>
          <w:rFonts w:hint="eastAsia" w:ascii="宋体" w:hAnsi="宋体" w:eastAsia="宋体" w:cs="宋体"/>
          <w:sz w:val="24"/>
          <w:szCs w:val="24"/>
          <w:highlight w:val="none"/>
        </w:rPr>
        <w:t>登录客户端</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_Toc426993868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14818922">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_Toc1743074849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6.2 </w:t>
      </w:r>
      <w:r>
        <w:rPr>
          <w:rFonts w:hint="eastAsia" w:ascii="宋体" w:hAnsi="宋体" w:eastAsia="宋体" w:cs="宋体"/>
          <w:sz w:val="24"/>
          <w:szCs w:val="24"/>
          <w:highlight w:val="none"/>
        </w:rPr>
        <w:t>制作投标文件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_Toc1743074849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C743057">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_Toc2034558416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6.3 </w:t>
      </w:r>
      <w:r>
        <w:rPr>
          <w:rFonts w:hint="eastAsia" w:ascii="宋体" w:hAnsi="宋体" w:eastAsia="宋体" w:cs="宋体"/>
          <w:sz w:val="24"/>
          <w:szCs w:val="24"/>
          <w:highlight w:val="none"/>
        </w:rPr>
        <w:t>基本信息</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_Toc2034558416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B66B760">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_Toc441186531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6.4 </w:t>
      </w:r>
      <w:r>
        <w:rPr>
          <w:rFonts w:hint="eastAsia" w:ascii="宋体" w:hAnsi="宋体" w:eastAsia="宋体" w:cs="宋体"/>
          <w:sz w:val="24"/>
          <w:szCs w:val="24"/>
          <w:highlight w:val="none"/>
        </w:rPr>
        <w:t>导入投标（响应）文件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_Toc441186531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637A535A">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_Toc1908477073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6.5 </w:t>
      </w:r>
      <w:r>
        <w:rPr>
          <w:rFonts w:hint="eastAsia" w:ascii="宋体" w:hAnsi="宋体" w:eastAsia="宋体" w:cs="宋体"/>
          <w:sz w:val="24"/>
          <w:szCs w:val="24"/>
          <w:highlight w:val="none"/>
        </w:rPr>
        <w:t>标书关联</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_Toc1908477073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5D5C80A0">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_Toc958414319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6.6 </w:t>
      </w:r>
      <w:r>
        <w:rPr>
          <w:rFonts w:hint="eastAsia" w:ascii="宋体" w:hAnsi="宋体" w:eastAsia="宋体" w:cs="宋体"/>
          <w:sz w:val="24"/>
          <w:szCs w:val="24"/>
          <w:highlight w:val="none"/>
        </w:rPr>
        <w:t>标书检查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_Toc958414319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19A39CA3">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_Toc1942106933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6.7 </w:t>
      </w:r>
      <w:r>
        <w:rPr>
          <w:rFonts w:hint="eastAsia" w:ascii="宋体" w:hAnsi="宋体" w:eastAsia="宋体" w:cs="宋体"/>
          <w:sz w:val="24"/>
          <w:szCs w:val="24"/>
          <w:highlight w:val="none"/>
        </w:rPr>
        <w:t>电子签名</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_Toc1942106933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1016495">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_Toc1387272178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6.8 </w:t>
      </w:r>
      <w:r>
        <w:rPr>
          <w:rFonts w:hint="eastAsia" w:ascii="宋体" w:hAnsi="宋体" w:eastAsia="宋体" w:cs="宋体"/>
          <w:sz w:val="24"/>
          <w:szCs w:val="24"/>
          <w:highlight w:val="none"/>
        </w:rPr>
        <w:t>生成电子标书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_Toc1387272178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438C2D9">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_Toc653540167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四、 </w:t>
      </w:r>
      <w:r>
        <w:rPr>
          <w:rFonts w:hint="eastAsia" w:ascii="宋体" w:hAnsi="宋体" w:eastAsia="宋体" w:cs="宋体"/>
          <w:sz w:val="24"/>
          <w:szCs w:val="24"/>
          <w:highlight w:val="none"/>
        </w:rPr>
        <w:t>投 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_Toc653540167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4DCDFFC">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_Toc1818216011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1. </w:t>
      </w:r>
      <w:r>
        <w:rPr>
          <w:rFonts w:hint="eastAsia" w:ascii="宋体" w:hAnsi="宋体" w:eastAsia="宋体" w:cs="宋体"/>
          <w:sz w:val="24"/>
          <w:szCs w:val="24"/>
          <w:highlight w:val="none"/>
          <w:lang w:val="en-US" w:eastAsia="zh-Hans"/>
        </w:rPr>
        <w:t>投标范围</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_Toc1818216011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E84FB0E">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_Toc64200067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2. </w:t>
      </w:r>
      <w:r>
        <w:rPr>
          <w:rFonts w:hint="eastAsia" w:ascii="宋体" w:hAnsi="宋体" w:eastAsia="宋体" w:cs="宋体"/>
          <w:sz w:val="24"/>
          <w:szCs w:val="24"/>
          <w:highlight w:val="none"/>
        </w:rPr>
        <w:t>投标文件的上传（递交）</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_Toc64200067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532D5CBE">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_Toc973735275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3. </w:t>
      </w:r>
      <w:r>
        <w:rPr>
          <w:rFonts w:hint="eastAsia" w:ascii="宋体" w:hAnsi="宋体" w:eastAsia="宋体" w:cs="宋体"/>
          <w:sz w:val="24"/>
          <w:szCs w:val="24"/>
          <w:highlight w:val="none"/>
        </w:rPr>
        <w:t>投标文件的补充、修改、撤回</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_Toc973735275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D1DF5CB">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_Toc1743376785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4. </w:t>
      </w:r>
      <w:r>
        <w:rPr>
          <w:rFonts w:hint="eastAsia" w:ascii="宋体" w:hAnsi="宋体" w:eastAsia="宋体" w:cs="宋体"/>
          <w:sz w:val="24"/>
          <w:szCs w:val="24"/>
          <w:highlight w:val="none"/>
        </w:rPr>
        <w:t>投标文件的备份文件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_Toc1743376785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24D11F9">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_Toc666745827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4.1 </w:t>
      </w:r>
      <w:r>
        <w:rPr>
          <w:rFonts w:hint="eastAsia" w:ascii="宋体" w:hAnsi="宋体" w:eastAsia="宋体" w:cs="宋体"/>
          <w:sz w:val="24"/>
          <w:szCs w:val="24"/>
          <w:highlight w:val="none"/>
        </w:rPr>
        <w:t>备份文件的生成</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_Toc666745827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9B779ED">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_Toc427444343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4.2 </w:t>
      </w:r>
      <w:r>
        <w:rPr>
          <w:rFonts w:hint="eastAsia" w:ascii="宋体" w:hAnsi="宋体" w:eastAsia="宋体" w:cs="宋体"/>
          <w:sz w:val="24"/>
          <w:szCs w:val="24"/>
          <w:highlight w:val="none"/>
        </w:rPr>
        <w:t>备份投标文件的递交与接收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_Toc427444343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BEF7B53">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_Toc724273586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4.3 </w:t>
      </w:r>
      <w:r>
        <w:rPr>
          <w:rFonts w:hint="eastAsia" w:ascii="宋体" w:hAnsi="宋体" w:eastAsia="宋体" w:cs="宋体"/>
          <w:sz w:val="24"/>
          <w:szCs w:val="24"/>
          <w:highlight w:val="none"/>
        </w:rPr>
        <w:t>备份投标文件的存储、密封包装及标识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_Toc724273586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E9E3626">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_Toc928848706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4.4 </w:t>
      </w:r>
      <w:r>
        <w:rPr>
          <w:rFonts w:hint="eastAsia" w:ascii="宋体" w:hAnsi="宋体" w:eastAsia="宋体" w:cs="宋体"/>
          <w:sz w:val="24"/>
          <w:szCs w:val="24"/>
          <w:highlight w:val="none"/>
        </w:rPr>
        <w:t>备份投标文件的使用与失效</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_Toc928848706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D497AF3">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_Toc1101571699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5. </w:t>
      </w:r>
      <w:r>
        <w:rPr>
          <w:rFonts w:hint="eastAsia" w:ascii="宋体" w:hAnsi="宋体" w:eastAsia="宋体" w:cs="宋体"/>
          <w:sz w:val="24"/>
          <w:szCs w:val="24"/>
          <w:highlight w:val="none"/>
        </w:rPr>
        <w:t>投标样品的递交与退还</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_Toc1101571699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5D519707">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_Toc659024306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五、 </w:t>
      </w:r>
      <w:r>
        <w:rPr>
          <w:rFonts w:hint="eastAsia" w:ascii="宋体" w:hAnsi="宋体" w:eastAsia="宋体" w:cs="宋体"/>
          <w:sz w:val="24"/>
          <w:szCs w:val="24"/>
          <w:highlight w:val="none"/>
        </w:rPr>
        <w:t>开 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_Toc659024306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D061786">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_Toc1648343363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1. </w:t>
      </w:r>
      <w:r>
        <w:rPr>
          <w:rFonts w:hint="eastAsia" w:ascii="宋体" w:hAnsi="宋体" w:eastAsia="宋体" w:cs="宋体"/>
          <w:sz w:val="24"/>
          <w:szCs w:val="24"/>
          <w:highlight w:val="none"/>
        </w:rPr>
        <w:t>开标组织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_Toc1648343363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546125CE">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_Toc1167855641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2. </w:t>
      </w:r>
      <w:r>
        <w:rPr>
          <w:rFonts w:hint="eastAsia" w:ascii="宋体" w:hAnsi="宋体" w:eastAsia="宋体" w:cs="宋体"/>
          <w:sz w:val="24"/>
          <w:szCs w:val="24"/>
          <w:highlight w:val="none"/>
        </w:rPr>
        <w:t>开标流程</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_Toc1167855641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37ABA00">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_Toc149224707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3. </w:t>
      </w:r>
      <w:r>
        <w:rPr>
          <w:rFonts w:hint="eastAsia" w:ascii="宋体" w:hAnsi="宋体" w:eastAsia="宋体" w:cs="宋体"/>
          <w:sz w:val="24"/>
          <w:szCs w:val="24"/>
          <w:highlight w:val="none"/>
        </w:rPr>
        <w:t>开标过程特殊情况说明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_Toc149224707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0CF4BE9">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_Toc1906234500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六、 </w:t>
      </w:r>
      <w:r>
        <w:rPr>
          <w:rFonts w:hint="eastAsia" w:ascii="宋体" w:hAnsi="宋体" w:eastAsia="宋体" w:cs="宋体"/>
          <w:sz w:val="24"/>
          <w:szCs w:val="24"/>
          <w:highlight w:val="none"/>
        </w:rPr>
        <w:t>资格审查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_Toc1906234500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1EB2BC41">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_Toc1922195554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七、 </w:t>
      </w:r>
      <w:r>
        <w:rPr>
          <w:rFonts w:hint="eastAsia" w:ascii="宋体" w:hAnsi="宋体" w:eastAsia="宋体" w:cs="宋体"/>
          <w:sz w:val="24"/>
          <w:szCs w:val="24"/>
          <w:highlight w:val="none"/>
        </w:rPr>
        <w:t>评 审</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_Toc1922195554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FE5326D">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_Toc1744174257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1. </w:t>
      </w:r>
      <w:r>
        <w:rPr>
          <w:rFonts w:hint="eastAsia" w:ascii="宋体" w:hAnsi="宋体" w:eastAsia="宋体" w:cs="宋体"/>
          <w:sz w:val="24"/>
          <w:szCs w:val="24"/>
          <w:highlight w:val="none"/>
        </w:rPr>
        <w:t>评审组织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_Toc1744174257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7549955">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_Toc1184955849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2. </w:t>
      </w:r>
      <w:r>
        <w:rPr>
          <w:rFonts w:hint="eastAsia" w:ascii="宋体" w:hAnsi="宋体" w:eastAsia="宋体" w:cs="宋体"/>
          <w:sz w:val="24"/>
          <w:szCs w:val="24"/>
          <w:highlight w:val="none"/>
        </w:rPr>
        <w:t>评</w:t>
      </w:r>
      <w:r>
        <w:rPr>
          <w:rFonts w:hint="eastAsia" w:ascii="宋体" w:hAnsi="宋体" w:eastAsia="宋体" w:cs="宋体"/>
          <w:sz w:val="24"/>
          <w:szCs w:val="24"/>
          <w:highlight w:val="none"/>
          <w:lang w:eastAsia="zh-CN"/>
        </w:rPr>
        <w:t>审</w:t>
      </w:r>
      <w:r>
        <w:rPr>
          <w:rFonts w:hint="eastAsia" w:ascii="宋体" w:hAnsi="宋体" w:eastAsia="宋体" w:cs="宋体"/>
          <w:sz w:val="24"/>
          <w:szCs w:val="24"/>
          <w:highlight w:val="none"/>
        </w:rPr>
        <w:t>委员会的职责</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_Toc1184955849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58E82CA">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_Toc1937095512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3. </w:t>
      </w:r>
      <w:r>
        <w:rPr>
          <w:rFonts w:hint="eastAsia" w:ascii="宋体" w:hAnsi="宋体" w:eastAsia="宋体" w:cs="宋体"/>
          <w:sz w:val="24"/>
          <w:szCs w:val="24"/>
          <w:highlight w:val="none"/>
        </w:rPr>
        <w:t>评审原则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_Toc1937095512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C453D9C">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_Toc912181664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4. </w:t>
      </w:r>
      <w:r>
        <w:rPr>
          <w:rFonts w:hint="eastAsia" w:ascii="宋体" w:hAnsi="宋体" w:eastAsia="宋体" w:cs="宋体"/>
          <w:sz w:val="24"/>
          <w:szCs w:val="24"/>
          <w:highlight w:val="none"/>
        </w:rPr>
        <w:t>评</w:t>
      </w:r>
      <w:r>
        <w:rPr>
          <w:rFonts w:hint="eastAsia" w:ascii="宋体" w:hAnsi="宋体" w:eastAsia="宋体" w:cs="宋体"/>
          <w:sz w:val="24"/>
          <w:szCs w:val="24"/>
          <w:highlight w:val="none"/>
          <w:lang w:eastAsia="zh-CN"/>
        </w:rPr>
        <w:t>审</w:t>
      </w:r>
      <w:r>
        <w:rPr>
          <w:rFonts w:hint="eastAsia" w:ascii="宋体" w:hAnsi="宋体" w:eastAsia="宋体" w:cs="宋体"/>
          <w:sz w:val="24"/>
          <w:szCs w:val="24"/>
          <w:highlight w:val="none"/>
        </w:rPr>
        <w:t>意见的争议处理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_Toc912181664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D7B4E01">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_Toc151470915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5. </w:t>
      </w:r>
      <w:r>
        <w:rPr>
          <w:rFonts w:hint="eastAsia" w:ascii="宋体" w:hAnsi="宋体" w:eastAsia="宋体" w:cs="宋体"/>
          <w:sz w:val="24"/>
          <w:szCs w:val="24"/>
          <w:highlight w:val="none"/>
        </w:rPr>
        <w:t>评</w:t>
      </w:r>
      <w:r>
        <w:rPr>
          <w:rFonts w:hint="eastAsia" w:ascii="宋体" w:hAnsi="宋体" w:eastAsia="宋体" w:cs="宋体"/>
          <w:sz w:val="24"/>
          <w:szCs w:val="24"/>
          <w:highlight w:val="none"/>
          <w:lang w:eastAsia="zh-CN"/>
        </w:rPr>
        <w:t>审</w:t>
      </w:r>
      <w:r>
        <w:rPr>
          <w:rFonts w:hint="eastAsia" w:ascii="宋体" w:hAnsi="宋体" w:eastAsia="宋体" w:cs="宋体"/>
          <w:sz w:val="24"/>
          <w:szCs w:val="24"/>
          <w:highlight w:val="none"/>
        </w:rPr>
        <w:t>纪律</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_Toc151470915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10D40F6">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_Toc1003546710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6. </w:t>
      </w:r>
      <w:r>
        <w:rPr>
          <w:rFonts w:hint="eastAsia" w:ascii="宋体" w:hAnsi="宋体" w:eastAsia="宋体" w:cs="宋体"/>
          <w:sz w:val="24"/>
          <w:szCs w:val="24"/>
          <w:highlight w:val="none"/>
        </w:rPr>
        <w:t>评</w:t>
      </w:r>
      <w:r>
        <w:rPr>
          <w:rFonts w:hint="eastAsia" w:ascii="宋体" w:hAnsi="宋体" w:eastAsia="宋体" w:cs="宋体"/>
          <w:sz w:val="24"/>
          <w:szCs w:val="24"/>
          <w:highlight w:val="none"/>
          <w:lang w:eastAsia="zh-CN"/>
        </w:rPr>
        <w:t>审</w:t>
      </w:r>
      <w:r>
        <w:rPr>
          <w:rFonts w:hint="eastAsia" w:ascii="宋体" w:hAnsi="宋体" w:eastAsia="宋体" w:cs="宋体"/>
          <w:sz w:val="24"/>
          <w:szCs w:val="24"/>
          <w:highlight w:val="none"/>
        </w:rPr>
        <w:t>方法和标准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_Toc1003546710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1FDCD0B0">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_Toc272991432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7. </w:t>
      </w:r>
      <w:r>
        <w:rPr>
          <w:rFonts w:hint="eastAsia" w:ascii="宋体" w:hAnsi="宋体" w:eastAsia="宋体" w:cs="宋体"/>
          <w:sz w:val="24"/>
          <w:szCs w:val="24"/>
          <w:highlight w:val="none"/>
        </w:rPr>
        <w:t>评</w:t>
      </w:r>
      <w:r>
        <w:rPr>
          <w:rFonts w:hint="eastAsia" w:ascii="宋体" w:hAnsi="宋体" w:eastAsia="宋体" w:cs="宋体"/>
          <w:sz w:val="24"/>
          <w:szCs w:val="24"/>
          <w:highlight w:val="none"/>
          <w:lang w:eastAsia="zh-CN"/>
        </w:rPr>
        <w:t>审</w:t>
      </w:r>
      <w:r>
        <w:rPr>
          <w:rFonts w:hint="eastAsia" w:ascii="宋体" w:hAnsi="宋体" w:eastAsia="宋体" w:cs="宋体"/>
          <w:sz w:val="24"/>
          <w:szCs w:val="24"/>
          <w:highlight w:val="none"/>
        </w:rPr>
        <w:t>内容的保密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_Toc272991432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F5ADE6E">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_Toc1141927632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八、 </w:t>
      </w:r>
      <w:r>
        <w:rPr>
          <w:rFonts w:hint="eastAsia" w:ascii="宋体" w:hAnsi="宋体" w:eastAsia="宋体" w:cs="宋体"/>
          <w:sz w:val="24"/>
          <w:szCs w:val="24"/>
          <w:highlight w:val="none"/>
        </w:rPr>
        <w:t>定 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_Toc1141927632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1FF068B">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_Toc316357785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1. </w:t>
      </w:r>
      <w:r>
        <w:rPr>
          <w:rFonts w:hint="eastAsia" w:ascii="宋体" w:hAnsi="宋体" w:eastAsia="宋体" w:cs="宋体"/>
          <w:sz w:val="24"/>
          <w:szCs w:val="24"/>
          <w:highlight w:val="none"/>
        </w:rPr>
        <w:t>定标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_Toc316357785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6D195516">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_Toc2003266170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2. </w:t>
      </w:r>
      <w:r>
        <w:rPr>
          <w:rFonts w:hint="eastAsia" w:ascii="宋体" w:hAnsi="宋体" w:eastAsia="宋体" w:cs="宋体"/>
          <w:sz w:val="24"/>
          <w:szCs w:val="24"/>
          <w:highlight w:val="none"/>
        </w:rPr>
        <w:t>招标结果公告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_Toc2003266170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FDD9926">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_Toc645901524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3. </w:t>
      </w:r>
      <w:r>
        <w:rPr>
          <w:rFonts w:hint="eastAsia" w:ascii="宋体" w:hAnsi="宋体" w:eastAsia="宋体" w:cs="宋体"/>
          <w:sz w:val="24"/>
          <w:szCs w:val="24"/>
          <w:highlight w:val="none"/>
        </w:rPr>
        <w:t>中标通知书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_Toc645901524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05F8905">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_Toc137078283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九、 </w:t>
      </w:r>
      <w:r>
        <w:rPr>
          <w:rFonts w:hint="eastAsia" w:ascii="宋体" w:hAnsi="宋体" w:eastAsia="宋体" w:cs="宋体"/>
          <w:sz w:val="24"/>
          <w:szCs w:val="24"/>
          <w:highlight w:val="none"/>
        </w:rPr>
        <w:t>合同签订和履约担保</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_Toc137078283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6A3EC72E">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_Toc1772232797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1. </w:t>
      </w: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eastAsia="zh-CN"/>
        </w:rPr>
        <w:t>签订</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_Toc1772232797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8FB0007">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_Toc318435289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2. </w:t>
      </w:r>
      <w:r>
        <w:rPr>
          <w:rFonts w:hint="eastAsia" w:ascii="宋体" w:hAnsi="宋体" w:eastAsia="宋体" w:cs="宋体"/>
          <w:sz w:val="24"/>
          <w:szCs w:val="24"/>
          <w:highlight w:val="none"/>
        </w:rPr>
        <w:t>履约担保（履约保证金）</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_Toc318435289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4E2A060">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_Toc412653899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十、 </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代理服务费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_Toc412653899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45361F7">
      <w:pPr>
        <w:pStyle w:val="22"/>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_Toc1249384330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第三章 </w:t>
      </w:r>
      <w:r>
        <w:rPr>
          <w:rFonts w:hint="eastAsia" w:ascii="宋体" w:hAnsi="宋体" w:eastAsia="宋体" w:cs="宋体"/>
          <w:sz w:val="24"/>
          <w:szCs w:val="24"/>
          <w:highlight w:val="none"/>
          <w:lang w:eastAsia="zh-CN"/>
        </w:rPr>
        <w:t>项目技术及服务要求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_Toc1249384330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6E978F0D">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_Toc307333944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一、 </w:t>
      </w:r>
      <w:r>
        <w:rPr>
          <w:rFonts w:hint="eastAsia" w:ascii="宋体" w:hAnsi="宋体" w:eastAsia="宋体" w:cs="宋体"/>
          <w:sz w:val="24"/>
          <w:szCs w:val="24"/>
          <w:highlight w:val="none"/>
        </w:rPr>
        <w:t>概述</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_Toc307333944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34CF13A">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_Toc663425773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二、 </w:t>
      </w:r>
      <w:r>
        <w:rPr>
          <w:rFonts w:hint="eastAsia" w:ascii="宋体" w:hAnsi="宋体" w:eastAsia="宋体" w:cs="宋体"/>
          <w:sz w:val="24"/>
          <w:szCs w:val="24"/>
          <w:highlight w:val="none"/>
          <w:lang w:val="en-US" w:eastAsia="zh-CN"/>
        </w:rPr>
        <w:t>预算安排</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_Toc663425773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5C2B3DA4">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_Toc461871587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三、 </w:t>
      </w:r>
      <w:r>
        <w:rPr>
          <w:rFonts w:hint="eastAsia" w:ascii="宋体" w:hAnsi="宋体" w:eastAsia="宋体" w:cs="宋体"/>
          <w:sz w:val="24"/>
          <w:szCs w:val="24"/>
          <w:highlight w:val="none"/>
        </w:rPr>
        <w:t>建设目标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_Toc461871587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125F1FB6">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_Toc1669862451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四、 </w:t>
      </w:r>
      <w:r>
        <w:rPr>
          <w:rFonts w:hint="eastAsia" w:ascii="宋体" w:hAnsi="宋体" w:eastAsia="宋体" w:cs="宋体"/>
          <w:sz w:val="24"/>
          <w:szCs w:val="24"/>
          <w:highlight w:val="none"/>
        </w:rPr>
        <w:t>具体采购需求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_Toc1669862451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0862368">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_Toc2061914961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标项一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省级</w:t>
      </w:r>
      <w:r>
        <w:rPr>
          <w:rFonts w:hint="eastAsia" w:ascii="宋体" w:hAnsi="宋体" w:eastAsia="宋体" w:cs="宋体"/>
          <w:sz w:val="24"/>
          <w:szCs w:val="24"/>
          <w:highlight w:val="none"/>
        </w:rPr>
        <w:t>矿山智慧监管平台建设</w:t>
      </w:r>
      <w:r>
        <w:rPr>
          <w:rFonts w:hint="eastAsia" w:ascii="宋体" w:hAnsi="宋体" w:eastAsia="宋体" w:cs="宋体"/>
          <w:sz w:val="24"/>
          <w:szCs w:val="24"/>
          <w:highlight w:val="none"/>
          <w:lang w:val="en-US" w:eastAsia="zh-CN"/>
        </w:rPr>
        <w:t>项目采购需求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_Toc2061914961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5DCD901B">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_Toc661137888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1. </w:t>
      </w:r>
      <w:r>
        <w:rPr>
          <w:rFonts w:hint="eastAsia" w:ascii="宋体" w:hAnsi="宋体" w:eastAsia="宋体" w:cs="宋体"/>
          <w:sz w:val="24"/>
          <w:szCs w:val="24"/>
          <w:highlight w:val="none"/>
          <w:lang w:val="en-US" w:eastAsia="zh-CN"/>
        </w:rPr>
        <w:t>建设背景</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_Toc661137888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198C250">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_Toc664094038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2. </w:t>
      </w:r>
      <w:r>
        <w:rPr>
          <w:rFonts w:hint="eastAsia" w:ascii="宋体" w:hAnsi="宋体" w:eastAsia="宋体" w:cs="宋体"/>
          <w:sz w:val="24"/>
          <w:szCs w:val="24"/>
          <w:highlight w:val="none"/>
        </w:rPr>
        <w:t>建设内容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_Toc664094038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EB64D85">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_Toc955983207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lang w:val="en-US" w:eastAsia="zh-CN"/>
        </w:rPr>
        <w:t xml:space="preserve">2.1 </w:t>
      </w:r>
      <w:r>
        <w:rPr>
          <w:rFonts w:hint="eastAsia" w:ascii="宋体" w:hAnsi="宋体" w:eastAsia="宋体" w:cs="宋体"/>
          <w:sz w:val="24"/>
          <w:szCs w:val="24"/>
          <w:highlight w:val="none"/>
          <w:lang w:val="en-US" w:eastAsia="zh-CN"/>
        </w:rPr>
        <w:t>业务应用系统</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_Toc955983207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594D6D35">
      <w:pPr>
        <w:pStyle w:val="16"/>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_Toc1884596842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val="en-US" w:eastAsia="zh-CN"/>
        </w:rPr>
        <w:t>2.1.1 三大专题系统</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_Toc1884596842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D71BCCD">
      <w:pPr>
        <w:pStyle w:val="16"/>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_Toc1182813891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val="en-US" w:eastAsia="zh-CN"/>
        </w:rPr>
        <w:t>2.1.2 采掘施工专题子系统</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_Toc1182813891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481E631">
      <w:pPr>
        <w:pStyle w:val="16"/>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_Toc296945758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val="en-US" w:eastAsia="zh-CN"/>
        </w:rPr>
        <w:t>2.1.3 政企工作台</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_Toc296945758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0228733">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_Toc15359078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lang w:val="en-US" w:eastAsia="zh-CN"/>
        </w:rPr>
        <w:t xml:space="preserve">2.2 </w:t>
      </w:r>
      <w:r>
        <w:rPr>
          <w:rFonts w:hint="eastAsia" w:ascii="宋体" w:hAnsi="宋体" w:eastAsia="宋体" w:cs="宋体"/>
          <w:sz w:val="24"/>
          <w:szCs w:val="24"/>
          <w:highlight w:val="none"/>
          <w:lang w:val="en-US" w:eastAsia="zh-CN"/>
        </w:rPr>
        <w:t>应用支撑服务</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_Toc15359078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F9041F6">
      <w:pPr>
        <w:pStyle w:val="16"/>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_Toc441986306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val="en-US" w:eastAsia="zh-CN"/>
        </w:rPr>
        <w:t>2.2.1 AI+监测预警支撑</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_Toc441986306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BE2AA3B">
      <w:pPr>
        <w:pStyle w:val="16"/>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_Toc317909969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val="en-US" w:eastAsia="zh-CN"/>
        </w:rPr>
        <w:t>2.2.2 三维应用支撑服务</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_Toc317909969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5981361">
      <w:pPr>
        <w:pStyle w:val="16"/>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_Toc173535247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val="en-US" w:eastAsia="zh-CN"/>
        </w:rPr>
        <w:t>2.2.3 视频汇聚及算法平台支撑</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_Toc173535247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AE8F8C1">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_Toc324103703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lang w:val="en-US" w:eastAsia="zh-CN"/>
        </w:rPr>
        <w:t xml:space="preserve">2.3 </w:t>
      </w:r>
      <w:r>
        <w:rPr>
          <w:rFonts w:hint="eastAsia" w:ascii="宋体" w:hAnsi="宋体" w:eastAsia="宋体" w:cs="宋体"/>
          <w:sz w:val="24"/>
          <w:szCs w:val="24"/>
          <w:highlight w:val="none"/>
          <w:lang w:val="en-US" w:eastAsia="zh-CN"/>
        </w:rPr>
        <w:t>系统安全防护建设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_Toc324103703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33C1373">
      <w:pPr>
        <w:pStyle w:val="16"/>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_Toc1192407529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val="en-US" w:eastAsia="zh-CN"/>
        </w:rPr>
        <w:t>2.3.1 数据密文存储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_Toc1192407529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6256F995">
      <w:pPr>
        <w:pStyle w:val="16"/>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_Toc475946099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val="en-US" w:eastAsia="zh-CN"/>
        </w:rPr>
        <w:t>2.3.2 分级访问控制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_Toc475946099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271D1E2">
      <w:pPr>
        <w:pStyle w:val="16"/>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_Toc1996984465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val="en-US" w:eastAsia="zh-CN"/>
        </w:rPr>
        <w:t>2.3.3 数据审计监控</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_Toc1996984465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DC12175">
      <w:pPr>
        <w:pStyle w:val="16"/>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_Toc295984292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val="en-US" w:eastAsia="zh-CN"/>
        </w:rPr>
        <w:t>2.3.4 其他服务</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_Toc295984292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17C7C3D">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_Toc1035869192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3. </w:t>
      </w:r>
      <w:r>
        <w:rPr>
          <w:rFonts w:hint="eastAsia" w:ascii="宋体" w:hAnsi="宋体" w:eastAsia="宋体" w:cs="宋体"/>
          <w:sz w:val="24"/>
          <w:szCs w:val="24"/>
          <w:highlight w:val="none"/>
        </w:rPr>
        <w:t>建设其他要求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_Toc1035869192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69210A93">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_Toc203583715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lang w:val="en-US" w:eastAsia="zh-CN"/>
        </w:rPr>
        <w:t xml:space="preserve">3.1 </w:t>
      </w:r>
      <w:r>
        <w:rPr>
          <w:rFonts w:hint="eastAsia" w:ascii="宋体" w:hAnsi="宋体" w:eastAsia="宋体" w:cs="宋体"/>
          <w:sz w:val="24"/>
          <w:szCs w:val="24"/>
          <w:highlight w:val="none"/>
          <w:lang w:val="en-US" w:eastAsia="zh-CN"/>
        </w:rPr>
        <w:t>项目实施方式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_Toc203583715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6444555A">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_Toc690048334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lang w:val="en-US" w:eastAsia="zh-CN"/>
        </w:rPr>
        <w:t xml:space="preserve">3.2 </w:t>
      </w:r>
      <w:r>
        <w:rPr>
          <w:rFonts w:hint="eastAsia" w:ascii="宋体" w:hAnsi="宋体" w:eastAsia="宋体" w:cs="宋体"/>
          <w:sz w:val="24"/>
          <w:szCs w:val="24"/>
          <w:highlight w:val="none"/>
          <w:lang w:val="en-US" w:eastAsia="zh-CN"/>
        </w:rPr>
        <w:t>实施人员要求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_Toc690048334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6C1E048D">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_Toc1230655738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lang w:val="en-US" w:eastAsia="zh-CN"/>
        </w:rPr>
        <w:t xml:space="preserve">3.3 </w:t>
      </w:r>
      <w:r>
        <w:rPr>
          <w:rFonts w:hint="eastAsia" w:ascii="宋体" w:hAnsi="宋体" w:eastAsia="宋体" w:cs="宋体"/>
          <w:sz w:val="24"/>
          <w:szCs w:val="24"/>
          <w:highlight w:val="none"/>
          <w:lang w:val="en-US" w:eastAsia="zh-CN"/>
        </w:rPr>
        <w:t>项目数据传输专项保障</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_Toc1230655738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B2EB795">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_Toc1215984309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lang w:val="en-US" w:eastAsia="zh-CN"/>
        </w:rPr>
        <w:t xml:space="preserve">3.4 </w:t>
      </w:r>
      <w:r>
        <w:rPr>
          <w:rFonts w:hint="eastAsia" w:ascii="宋体" w:hAnsi="宋体" w:eastAsia="宋体" w:cs="宋体"/>
          <w:sz w:val="24"/>
          <w:szCs w:val="24"/>
          <w:highlight w:val="none"/>
          <w:lang w:val="en-US" w:eastAsia="zh-CN"/>
        </w:rPr>
        <w:t>数据安全责任</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_Toc1215984309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7962DFB">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_Toc1593896511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lang w:val="en-US" w:eastAsia="zh-CN"/>
        </w:rPr>
        <w:t xml:space="preserve">3.5 </w:t>
      </w:r>
      <w:r>
        <w:rPr>
          <w:rFonts w:hint="eastAsia" w:ascii="宋体" w:hAnsi="宋体" w:eastAsia="宋体" w:cs="宋体"/>
          <w:sz w:val="24"/>
          <w:szCs w:val="24"/>
          <w:highlight w:val="none"/>
          <w:lang w:val="en-US" w:eastAsia="zh-CN"/>
        </w:rPr>
        <w:t>培训要求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_Toc1593896511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B7C22A5">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_Toc907647699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lang w:val="en-US" w:eastAsia="zh-CN"/>
        </w:rPr>
        <w:t xml:space="preserve">3.6 </w:t>
      </w:r>
      <w:r>
        <w:rPr>
          <w:rFonts w:hint="eastAsia" w:ascii="宋体" w:hAnsi="宋体" w:eastAsia="宋体" w:cs="宋体"/>
          <w:sz w:val="24"/>
          <w:szCs w:val="24"/>
          <w:highlight w:val="none"/>
          <w:lang w:val="en-US" w:eastAsia="zh-CN"/>
        </w:rPr>
        <w:t>运维要求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_Toc907647699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B254EF6">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_Toc1258532452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lang w:val="en-US" w:eastAsia="zh-CN"/>
        </w:rPr>
        <w:t xml:space="preserve">3.7 </w:t>
      </w:r>
      <w:r>
        <w:rPr>
          <w:rFonts w:hint="eastAsia" w:ascii="宋体" w:hAnsi="宋体" w:eastAsia="宋体" w:cs="宋体"/>
          <w:sz w:val="24"/>
          <w:szCs w:val="24"/>
          <w:highlight w:val="none"/>
          <w:lang w:val="en-US" w:eastAsia="zh-CN"/>
        </w:rPr>
        <w:t>信创要求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_Toc1258532452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E69611C">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_Toc1588481461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lang w:val="en-US" w:eastAsia="zh-CN"/>
        </w:rPr>
        <w:t xml:space="preserve">3.8 </w:t>
      </w:r>
      <w:r>
        <w:rPr>
          <w:rFonts w:hint="eastAsia" w:ascii="宋体" w:hAnsi="宋体" w:eastAsia="宋体" w:cs="宋体"/>
          <w:sz w:val="24"/>
          <w:szCs w:val="24"/>
          <w:highlight w:val="none"/>
          <w:lang w:val="en-US" w:eastAsia="zh-CN"/>
        </w:rPr>
        <w:t>系统性能要求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_Toc1588481461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56C56D98">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_Toc91215523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lang w:val="en-US" w:eastAsia="zh-CN"/>
        </w:rPr>
        <w:t xml:space="preserve">3.9 </w:t>
      </w:r>
      <w:r>
        <w:rPr>
          <w:rFonts w:hint="eastAsia" w:ascii="宋体" w:hAnsi="宋体" w:eastAsia="宋体" w:cs="宋体"/>
          <w:sz w:val="24"/>
          <w:szCs w:val="24"/>
          <w:highlight w:val="none"/>
          <w:lang w:val="en-US" w:eastAsia="zh-CN"/>
        </w:rPr>
        <w:t>其它要求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_Toc91215523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621F7605">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_Toc1903454750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4. </w:t>
      </w:r>
      <w:r>
        <w:rPr>
          <w:rFonts w:hint="eastAsia" w:ascii="宋体" w:hAnsi="宋体" w:eastAsia="宋体" w:cs="宋体"/>
          <w:sz w:val="24"/>
          <w:szCs w:val="24"/>
          <w:highlight w:val="none"/>
        </w:rPr>
        <w:t>商务要求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_Toc1903454750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2087D59">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_Toc300093891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4.1 </w:t>
      </w:r>
      <w:r>
        <w:rPr>
          <w:rFonts w:hint="eastAsia" w:ascii="宋体" w:hAnsi="宋体" w:eastAsia="宋体" w:cs="宋体"/>
          <w:sz w:val="24"/>
          <w:szCs w:val="24"/>
          <w:highlight w:val="none"/>
        </w:rPr>
        <w:t>项目工期（交付期）及地点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_Toc300093891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6D0A8C29">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_Toc1386422881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4.2 </w:t>
      </w:r>
      <w:r>
        <w:rPr>
          <w:rFonts w:hint="eastAsia" w:ascii="宋体" w:hAnsi="宋体" w:eastAsia="宋体" w:cs="宋体"/>
          <w:sz w:val="24"/>
          <w:szCs w:val="24"/>
          <w:highlight w:val="none"/>
        </w:rPr>
        <w:t>付款条件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_Toc1386422881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6E60A25D">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_Toc1411791017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标项二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省级</w:t>
      </w:r>
      <w:r>
        <w:rPr>
          <w:rFonts w:hint="eastAsia" w:ascii="宋体" w:hAnsi="宋体" w:eastAsia="宋体" w:cs="宋体"/>
          <w:sz w:val="24"/>
          <w:szCs w:val="24"/>
          <w:highlight w:val="none"/>
        </w:rPr>
        <w:t>矿山智慧监管平台建设</w:t>
      </w:r>
      <w:r>
        <w:rPr>
          <w:rFonts w:hint="eastAsia" w:ascii="宋体" w:hAnsi="宋体" w:eastAsia="宋体" w:cs="宋体"/>
          <w:sz w:val="24"/>
          <w:szCs w:val="24"/>
          <w:highlight w:val="none"/>
          <w:lang w:val="en-US" w:eastAsia="zh-CN"/>
        </w:rPr>
        <w:t>项目”监理服务采购需求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_Toc1411791017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- 72 -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3741A49">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_Toc424807016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1. </w:t>
      </w:r>
      <w:r>
        <w:rPr>
          <w:rFonts w:hint="eastAsia" w:ascii="宋体" w:hAnsi="宋体" w:eastAsia="宋体" w:cs="宋体"/>
          <w:sz w:val="24"/>
          <w:szCs w:val="24"/>
          <w:highlight w:val="none"/>
          <w:lang w:val="en-US" w:eastAsia="zh-CN"/>
        </w:rPr>
        <w:t>建设背景</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_Toc424807016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- 72 -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7050AF6">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_Toc1495875284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2. </w:t>
      </w:r>
      <w:r>
        <w:rPr>
          <w:rFonts w:hint="eastAsia" w:ascii="宋体" w:hAnsi="宋体" w:eastAsia="宋体" w:cs="宋体"/>
          <w:sz w:val="24"/>
          <w:szCs w:val="24"/>
          <w:highlight w:val="none"/>
          <w:lang w:val="en-US" w:eastAsia="zh-CN"/>
        </w:rPr>
        <w:t>监理服务</w:t>
      </w:r>
      <w:r>
        <w:rPr>
          <w:rFonts w:hint="eastAsia" w:ascii="宋体" w:hAnsi="宋体" w:eastAsia="宋体" w:cs="宋体"/>
          <w:sz w:val="24"/>
          <w:szCs w:val="24"/>
          <w:highlight w:val="none"/>
        </w:rPr>
        <w:t>内容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_Toc1495875284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- 72 -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E8FB1C7">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_Toc584842759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2.1 </w:t>
      </w:r>
      <w:r>
        <w:rPr>
          <w:rFonts w:hint="eastAsia" w:ascii="宋体" w:hAnsi="宋体" w:eastAsia="宋体" w:cs="宋体"/>
          <w:sz w:val="24"/>
          <w:szCs w:val="24"/>
          <w:highlight w:val="none"/>
        </w:rPr>
        <w:t>协助建设单位完成合同条款的协助审核与修改工作</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_Toc584842759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- 72 -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9A36E0B">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_Toc419598194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2.2 </w:t>
      </w:r>
      <w:r>
        <w:rPr>
          <w:rFonts w:hint="eastAsia" w:ascii="宋体" w:hAnsi="宋体" w:eastAsia="宋体" w:cs="宋体"/>
          <w:sz w:val="24"/>
          <w:szCs w:val="24"/>
          <w:highlight w:val="none"/>
        </w:rPr>
        <w:t>全程参与项目日常监理工作</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_Toc419598194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- 72 -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44669E7">
      <w:pPr>
        <w:pStyle w:val="16"/>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_Toc1998033457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2.2.1 质量控制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_Toc1998033457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- 72 -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6003437F">
      <w:pPr>
        <w:pStyle w:val="16"/>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_Toc746523660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2.2.2 进度控制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_Toc746523660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- 73 -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1348D7D9">
      <w:pPr>
        <w:pStyle w:val="16"/>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_Toc1223687846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2.2.3 成本控制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_Toc1223687846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- 73 -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1EF85002">
      <w:pPr>
        <w:pStyle w:val="16"/>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_Toc70740403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2.2.4 文档管理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_Toc70740403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- 73 -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D9D6E0C">
      <w:pPr>
        <w:pStyle w:val="16"/>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_Toc1375496430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2.2.5 安全管理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_Toc1375496430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- 74 -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6E35F7FF">
      <w:pPr>
        <w:pStyle w:val="16"/>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_Toc307039055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2.2.6 组织协调</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_Toc307039055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- 74 -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67FC7001">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_Toc2193644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3. </w:t>
      </w:r>
      <w:r>
        <w:rPr>
          <w:rFonts w:hint="eastAsia" w:ascii="宋体" w:hAnsi="宋体" w:eastAsia="宋体" w:cs="宋体"/>
          <w:sz w:val="24"/>
          <w:szCs w:val="24"/>
          <w:highlight w:val="none"/>
        </w:rPr>
        <w:t>监理服务方式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_Toc2193644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- 74 -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B5707F6">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_Toc361352709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4. </w:t>
      </w:r>
      <w:r>
        <w:rPr>
          <w:rFonts w:hint="eastAsia" w:ascii="宋体" w:hAnsi="宋体" w:eastAsia="宋体" w:cs="宋体"/>
          <w:sz w:val="24"/>
          <w:szCs w:val="24"/>
          <w:highlight w:val="none"/>
          <w:lang w:val="en-US" w:eastAsia="zh-CN"/>
        </w:rPr>
        <w:t>监理服务标准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_Toc361352709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- 74 -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E893263">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_Toc171226447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lang w:eastAsia="zh-CN"/>
        </w:rPr>
        <w:t xml:space="preserve">5. </w:t>
      </w:r>
      <w:r>
        <w:rPr>
          <w:rFonts w:hint="eastAsia" w:ascii="宋体" w:hAnsi="宋体" w:eastAsia="宋体" w:cs="宋体"/>
          <w:sz w:val="24"/>
          <w:szCs w:val="24"/>
          <w:highlight w:val="none"/>
          <w:lang w:val="en-US" w:eastAsia="zh-CN"/>
        </w:rPr>
        <w:t>监理服务遵照的依据</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_Toc171226447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- 75 -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518C97C">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_Toc174807749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lang w:eastAsia="zh-CN"/>
        </w:rPr>
        <w:t xml:space="preserve">6. </w:t>
      </w:r>
      <w:r>
        <w:rPr>
          <w:rFonts w:hint="eastAsia" w:ascii="宋体" w:hAnsi="宋体" w:eastAsia="宋体" w:cs="宋体"/>
          <w:sz w:val="24"/>
          <w:szCs w:val="24"/>
          <w:highlight w:val="none"/>
          <w:lang w:val="en-US" w:eastAsia="zh-CN"/>
        </w:rPr>
        <w:t>监理服务期限及其他要求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_Toc174807749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- 75 -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42A2843">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_Toc236208347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lang w:val="en-US" w:eastAsia="zh-CN"/>
        </w:rPr>
        <w:t xml:space="preserve">7. </w:t>
      </w:r>
      <w:r>
        <w:rPr>
          <w:rFonts w:hint="eastAsia" w:ascii="宋体" w:hAnsi="宋体" w:eastAsia="宋体" w:cs="宋体"/>
          <w:sz w:val="24"/>
          <w:szCs w:val="24"/>
          <w:highlight w:val="none"/>
          <w:lang w:val="en-US" w:eastAsia="zh-CN"/>
        </w:rPr>
        <w:t>网络和数据安全要求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_Toc236208347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- 75 -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593EC041">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_Toc1403908373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lang w:val="en-US" w:eastAsia="zh-CN"/>
        </w:rPr>
        <w:t xml:space="preserve">8. </w:t>
      </w:r>
      <w:r>
        <w:rPr>
          <w:rFonts w:hint="eastAsia" w:ascii="宋体" w:hAnsi="宋体" w:eastAsia="宋体" w:cs="宋体"/>
          <w:sz w:val="24"/>
          <w:szCs w:val="24"/>
          <w:highlight w:val="none"/>
          <w:lang w:val="en-US" w:eastAsia="zh-CN"/>
        </w:rPr>
        <w:t>商务要求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_Toc1403908373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- 76 -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13B1F2D2">
      <w:pPr>
        <w:pStyle w:val="22"/>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_Toc1085195422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第四章 </w:t>
      </w:r>
      <w:r>
        <w:rPr>
          <w:rFonts w:hint="eastAsia" w:ascii="宋体" w:hAnsi="宋体" w:eastAsia="宋体" w:cs="宋体"/>
          <w:sz w:val="24"/>
          <w:szCs w:val="24"/>
          <w:highlight w:val="none"/>
          <w:lang w:eastAsia="zh-CN"/>
        </w:rPr>
        <w:t>合同文本</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_Toc1085195422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- 77 -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6EDB305">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_Toc300843583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lang w:val="en-US" w:eastAsia="zh-CN"/>
        </w:rPr>
        <w:t xml:space="preserve">一、 </w:t>
      </w:r>
      <w:r>
        <w:rPr>
          <w:rFonts w:hint="eastAsia" w:ascii="宋体" w:hAnsi="宋体" w:eastAsia="宋体" w:cs="宋体"/>
          <w:sz w:val="24"/>
          <w:szCs w:val="24"/>
          <w:highlight w:val="none"/>
          <w:lang w:val="en-US" w:eastAsia="zh-CN"/>
        </w:rPr>
        <w:t>标项一适用合同文本</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_Toc300843583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- 77 -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1E61723">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_Toc1101594443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二、 </w:t>
      </w:r>
      <w:r>
        <w:rPr>
          <w:rFonts w:hint="eastAsia" w:ascii="宋体" w:hAnsi="宋体" w:eastAsia="宋体" w:cs="宋体"/>
          <w:sz w:val="24"/>
          <w:szCs w:val="24"/>
          <w:highlight w:val="none"/>
          <w:lang w:val="en-US" w:eastAsia="zh-CN"/>
        </w:rPr>
        <w:t>标项二适用合同文本</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_Toc1101594443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- 96 -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D25F059">
      <w:pPr>
        <w:pStyle w:val="22"/>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_Toc1041282714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第五章 </w:t>
      </w:r>
      <w:r>
        <w:rPr>
          <w:rFonts w:hint="eastAsia" w:ascii="宋体" w:hAnsi="宋体" w:eastAsia="宋体" w:cs="宋体"/>
          <w:sz w:val="24"/>
          <w:szCs w:val="24"/>
          <w:highlight w:val="none"/>
        </w:rPr>
        <w:t>评审方法和标准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_Toc1041282714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- 107 -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576DC294">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_Toc994334795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一、 </w:t>
      </w:r>
      <w:r>
        <w:rPr>
          <w:rFonts w:hint="eastAsia" w:ascii="宋体" w:hAnsi="宋体" w:eastAsia="宋体" w:cs="宋体"/>
          <w:sz w:val="24"/>
          <w:szCs w:val="24"/>
          <w:highlight w:val="none"/>
        </w:rPr>
        <w:t>评审方法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_Toc994334795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- 107 -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3BD5343">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_Toc67158611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二、 </w:t>
      </w:r>
      <w:r>
        <w:rPr>
          <w:rFonts w:hint="eastAsia" w:ascii="宋体" w:hAnsi="宋体" w:eastAsia="宋体" w:cs="宋体"/>
          <w:sz w:val="24"/>
          <w:szCs w:val="24"/>
          <w:highlight w:val="none"/>
          <w:lang w:val="en-US" w:eastAsia="zh-CN"/>
        </w:rPr>
        <w:t>评分标准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_Toc67158611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- 107 -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A06FE68">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_Toc1305860402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lang w:val="en-US" w:eastAsia="zh-CN"/>
        </w:rPr>
        <w:t xml:space="preserve">1. </w:t>
      </w:r>
      <w:r>
        <w:rPr>
          <w:rFonts w:hint="eastAsia" w:ascii="宋体" w:hAnsi="宋体" w:eastAsia="宋体" w:cs="宋体"/>
          <w:sz w:val="24"/>
          <w:szCs w:val="24"/>
          <w:highlight w:val="none"/>
          <w:lang w:val="en-US" w:eastAsia="zh-CN"/>
        </w:rPr>
        <w:t>标项一适用评分标准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_Toc1305860402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- 107 -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2824B53">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_Toc312904074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val="0"/>
          <w:i w:val="0"/>
          <w:sz w:val="24"/>
          <w:szCs w:val="24"/>
          <w:highlight w:val="none"/>
          <w:lang w:val="en-US" w:eastAsia="zh-CN"/>
        </w:rPr>
        <w:t xml:space="preserve">2. </w:t>
      </w:r>
      <w:r>
        <w:rPr>
          <w:rFonts w:hint="eastAsia" w:ascii="宋体" w:hAnsi="宋体" w:eastAsia="宋体" w:cs="宋体"/>
          <w:sz w:val="24"/>
          <w:szCs w:val="24"/>
          <w:highlight w:val="none"/>
          <w:lang w:val="en-US" w:eastAsia="zh-CN"/>
        </w:rPr>
        <w:t>标项二适用评分标准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_Toc312904074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- 112 -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0452974">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_Toc1938803862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三、 </w:t>
      </w:r>
      <w:r>
        <w:rPr>
          <w:rFonts w:hint="eastAsia" w:ascii="宋体" w:hAnsi="宋体" w:eastAsia="宋体" w:cs="宋体"/>
          <w:sz w:val="24"/>
          <w:szCs w:val="24"/>
          <w:highlight w:val="none"/>
        </w:rPr>
        <w:t>评审流程及内容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_Toc1938803862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- 116 -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054571A">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_Toc1707132703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1. </w:t>
      </w:r>
      <w:r>
        <w:rPr>
          <w:rFonts w:hint="eastAsia" w:ascii="宋体" w:hAnsi="宋体" w:eastAsia="宋体" w:cs="宋体"/>
          <w:sz w:val="24"/>
          <w:szCs w:val="24"/>
          <w:highlight w:val="none"/>
        </w:rPr>
        <w:t>评审前准备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_Toc1707132703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- 116 -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63E86B5D">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_Toc1397815401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2. </w:t>
      </w:r>
      <w:r>
        <w:rPr>
          <w:rFonts w:hint="eastAsia" w:ascii="宋体" w:hAnsi="宋体" w:eastAsia="宋体" w:cs="宋体"/>
          <w:sz w:val="24"/>
          <w:szCs w:val="24"/>
          <w:highlight w:val="none"/>
        </w:rPr>
        <w:t>商务技术文件符合性审查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_Toc1397815401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- 116 -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5BAB7D4">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_Toc1759830074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3. </w:t>
      </w:r>
      <w:r>
        <w:rPr>
          <w:rFonts w:hint="eastAsia" w:ascii="宋体" w:hAnsi="宋体" w:eastAsia="宋体" w:cs="宋体"/>
          <w:sz w:val="24"/>
          <w:szCs w:val="24"/>
          <w:highlight w:val="none"/>
        </w:rPr>
        <w:t>商务技术文件评分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_Toc1759830074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- 117 -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660FFBA2">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_Toc171783587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kern w:val="0"/>
          <w:sz w:val="24"/>
          <w:szCs w:val="24"/>
          <w:highlight w:val="none"/>
        </w:rPr>
        <w:t xml:space="preserve">4. </w:t>
      </w:r>
      <w:r>
        <w:rPr>
          <w:rFonts w:hint="eastAsia" w:ascii="宋体" w:hAnsi="宋体" w:eastAsia="宋体" w:cs="宋体"/>
          <w:sz w:val="24"/>
          <w:szCs w:val="24"/>
          <w:highlight w:val="none"/>
          <w:lang w:eastAsia="zh-CN"/>
        </w:rPr>
        <w:t>报价文件</w:t>
      </w:r>
      <w:r>
        <w:rPr>
          <w:rFonts w:hint="eastAsia" w:ascii="宋体" w:hAnsi="宋体" w:eastAsia="宋体" w:cs="宋体"/>
          <w:sz w:val="24"/>
          <w:szCs w:val="24"/>
          <w:highlight w:val="none"/>
        </w:rPr>
        <w:t>符合性审查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_Toc171783587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- 117 -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5143661B">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_Toc948725141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5. </w:t>
      </w:r>
      <w:r>
        <w:rPr>
          <w:rFonts w:hint="eastAsia" w:ascii="宋体" w:hAnsi="宋体" w:eastAsia="宋体" w:cs="宋体"/>
          <w:sz w:val="24"/>
          <w:szCs w:val="24"/>
          <w:highlight w:val="none"/>
          <w:lang w:eastAsia="zh-CN"/>
        </w:rPr>
        <w:t>报价</w:t>
      </w:r>
      <w:r>
        <w:rPr>
          <w:rFonts w:hint="eastAsia" w:ascii="宋体" w:hAnsi="宋体" w:eastAsia="宋体" w:cs="宋体"/>
          <w:sz w:val="24"/>
          <w:szCs w:val="24"/>
          <w:highlight w:val="none"/>
        </w:rPr>
        <w:t>文件评分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_Toc948725141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- 118 -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5AC17557">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_Toc157365812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5.1 </w:t>
      </w:r>
      <w:r>
        <w:rPr>
          <w:rFonts w:hint="eastAsia" w:ascii="宋体" w:hAnsi="宋体" w:eastAsia="宋体" w:cs="宋体"/>
          <w:sz w:val="24"/>
          <w:szCs w:val="24"/>
          <w:highlight w:val="none"/>
        </w:rPr>
        <w:t>投标价格的合理性审查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_Toc157365812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- 118 -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8408B89">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_Toc1294832827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5.2 </w:t>
      </w:r>
      <w:r>
        <w:rPr>
          <w:rFonts w:hint="eastAsia" w:ascii="宋体" w:hAnsi="宋体" w:eastAsia="宋体" w:cs="宋体"/>
          <w:sz w:val="24"/>
          <w:szCs w:val="24"/>
          <w:highlight w:val="none"/>
        </w:rPr>
        <w:t>报价分计算方法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_Toc1294832827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- 119 -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514B3729">
      <w:pPr>
        <w:pStyle w:val="23"/>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_Toc1803528338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5.3 </w:t>
      </w:r>
      <w:r>
        <w:rPr>
          <w:rFonts w:hint="eastAsia" w:ascii="宋体" w:hAnsi="宋体" w:eastAsia="宋体" w:cs="宋体"/>
          <w:sz w:val="24"/>
          <w:szCs w:val="24"/>
          <w:highlight w:val="none"/>
        </w:rPr>
        <w:t>报价文件的错误修正</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_Toc1803528338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- 119 -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38D78D8">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_Toc169099361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6. </w:t>
      </w:r>
      <w:r>
        <w:rPr>
          <w:rFonts w:hint="eastAsia" w:ascii="宋体" w:hAnsi="宋体" w:eastAsia="宋体" w:cs="宋体"/>
          <w:sz w:val="24"/>
          <w:szCs w:val="24"/>
          <w:highlight w:val="none"/>
        </w:rPr>
        <w:t>推荐中标候选供应商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_Toc169099361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- 120 -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84B712B">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_Toc932095346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7. </w:t>
      </w:r>
      <w:r>
        <w:rPr>
          <w:rFonts w:hint="eastAsia" w:ascii="宋体" w:hAnsi="宋体" w:eastAsia="宋体" w:cs="宋体"/>
          <w:sz w:val="24"/>
          <w:szCs w:val="24"/>
          <w:highlight w:val="none"/>
        </w:rPr>
        <w:t>评标结果修改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_Toc932095346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- 120 -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56FE826E">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_Toc1980759004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8. </w:t>
      </w:r>
      <w:r>
        <w:rPr>
          <w:rFonts w:hint="eastAsia" w:ascii="宋体" w:hAnsi="宋体" w:eastAsia="宋体" w:cs="宋体"/>
          <w:sz w:val="24"/>
          <w:szCs w:val="24"/>
          <w:highlight w:val="none"/>
        </w:rPr>
        <w:t>起草、签署评标报告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_Toc1980759004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- 121 -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54FDB352">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_Toc325084434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kern w:val="0"/>
          <w:sz w:val="24"/>
          <w:szCs w:val="24"/>
          <w:highlight w:val="none"/>
        </w:rPr>
        <w:t xml:space="preserve">四、 </w:t>
      </w:r>
      <w:r>
        <w:rPr>
          <w:rFonts w:hint="eastAsia" w:ascii="宋体" w:hAnsi="宋体" w:eastAsia="宋体" w:cs="宋体"/>
          <w:sz w:val="24"/>
          <w:szCs w:val="24"/>
          <w:highlight w:val="none"/>
        </w:rPr>
        <w:t>投标文件的澄清、说明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_Toc325084434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- 121 -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6FDDB7EA">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_Toc495684270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五、 </w:t>
      </w:r>
      <w:r>
        <w:rPr>
          <w:rFonts w:hint="eastAsia" w:ascii="宋体" w:hAnsi="宋体" w:eastAsia="宋体" w:cs="宋体"/>
          <w:sz w:val="24"/>
          <w:szCs w:val="24"/>
          <w:highlight w:val="none"/>
        </w:rPr>
        <w:t>重新评审</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_Toc495684270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- 121 -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10A1663">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_Toc876459177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六、 </w:t>
      </w:r>
      <w:r>
        <w:rPr>
          <w:rFonts w:hint="eastAsia" w:ascii="宋体" w:hAnsi="宋体" w:eastAsia="宋体" w:cs="宋体"/>
          <w:sz w:val="24"/>
          <w:szCs w:val="24"/>
          <w:highlight w:val="none"/>
        </w:rPr>
        <w:t>评审</w:t>
      </w:r>
      <w:r>
        <w:rPr>
          <w:rFonts w:hint="eastAsia" w:ascii="宋体" w:hAnsi="宋体" w:eastAsia="宋体" w:cs="宋体"/>
          <w:sz w:val="24"/>
          <w:szCs w:val="24"/>
          <w:highlight w:val="none"/>
          <w:lang w:val="en-US" w:eastAsia="zh-Hans"/>
        </w:rPr>
        <w:t>过程中的特别</w:t>
      </w:r>
      <w:r>
        <w:rPr>
          <w:rFonts w:hint="eastAsia" w:ascii="宋体" w:hAnsi="宋体" w:eastAsia="宋体" w:cs="宋体"/>
          <w:sz w:val="24"/>
          <w:szCs w:val="24"/>
          <w:highlight w:val="none"/>
        </w:rPr>
        <w:t>规定</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_Toc876459177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- 122 -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65148652">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_Toc1059053066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1. </w:t>
      </w:r>
      <w:r>
        <w:rPr>
          <w:rFonts w:hint="eastAsia" w:ascii="宋体" w:hAnsi="宋体" w:eastAsia="宋体" w:cs="宋体"/>
          <w:sz w:val="24"/>
          <w:szCs w:val="24"/>
          <w:highlight w:val="none"/>
        </w:rPr>
        <w:t>串通投标的认定</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_Toc1059053066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- 122 -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B5445F3">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_Toc1160413926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2. </w:t>
      </w:r>
      <w:r>
        <w:rPr>
          <w:rFonts w:hint="eastAsia" w:ascii="宋体" w:hAnsi="宋体" w:eastAsia="宋体" w:cs="宋体"/>
          <w:sz w:val="24"/>
          <w:szCs w:val="24"/>
          <w:highlight w:val="none"/>
        </w:rPr>
        <w:t>投标人违法等重大事项的处理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_Toc1160413926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- 122 -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853E5D9">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_Toc1777855875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kern w:val="0"/>
          <w:sz w:val="24"/>
          <w:szCs w:val="24"/>
          <w:highlight w:val="none"/>
        </w:rPr>
        <w:t xml:space="preserve">3. </w:t>
      </w:r>
      <w:r>
        <w:rPr>
          <w:rFonts w:hint="eastAsia" w:ascii="宋体" w:hAnsi="宋体" w:eastAsia="宋体" w:cs="宋体"/>
          <w:sz w:val="24"/>
          <w:szCs w:val="24"/>
          <w:highlight w:val="none"/>
        </w:rPr>
        <w:t>评审中合格投标人不足法定数量的处理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_Toc1777855875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- 122 -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6AD0B11C">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_Toc336226767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4. </w:t>
      </w:r>
      <w:r>
        <w:rPr>
          <w:rFonts w:hint="eastAsia" w:ascii="宋体" w:hAnsi="宋体" w:eastAsia="宋体" w:cs="宋体"/>
          <w:sz w:val="24"/>
          <w:szCs w:val="24"/>
          <w:highlight w:val="none"/>
        </w:rPr>
        <w:t>废标适用情形</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_Toc336226767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- 123 -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7874A5F">
      <w:pPr>
        <w:pStyle w:val="17"/>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_Toc933797712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5. </w:t>
      </w:r>
      <w:r>
        <w:rPr>
          <w:rFonts w:hint="eastAsia" w:ascii="宋体" w:hAnsi="宋体" w:eastAsia="宋体" w:cs="宋体"/>
          <w:sz w:val="24"/>
          <w:szCs w:val="24"/>
          <w:highlight w:val="none"/>
        </w:rPr>
        <w:t>可中止电子交易活动的情形</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_Toc933797712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- 123 -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355ECD4">
      <w:pPr>
        <w:pStyle w:val="22"/>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_Toc527653308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第六章 </w:t>
      </w:r>
      <w:r>
        <w:rPr>
          <w:rFonts w:hint="eastAsia" w:ascii="宋体" w:hAnsi="宋体" w:eastAsia="宋体" w:cs="宋体"/>
          <w:sz w:val="24"/>
          <w:szCs w:val="24"/>
          <w:highlight w:val="none"/>
          <w:lang w:eastAsia="zh-CN"/>
        </w:rPr>
        <w:t>投标文件部分格式文本</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_Toc527653308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- 124 -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5704751F">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_Toc1309169093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一、 </w:t>
      </w:r>
      <w:r>
        <w:rPr>
          <w:rFonts w:hint="eastAsia" w:ascii="宋体" w:hAnsi="宋体" w:eastAsia="宋体" w:cs="宋体"/>
          <w:sz w:val="24"/>
          <w:szCs w:val="24"/>
          <w:highlight w:val="none"/>
        </w:rPr>
        <w:t>格式文本使用说明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_Toc1309169093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- 124 -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59C37571">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_Toc87498889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二、 </w:t>
      </w:r>
      <w:r>
        <w:rPr>
          <w:rFonts w:hint="eastAsia" w:ascii="宋体" w:hAnsi="宋体" w:eastAsia="宋体" w:cs="宋体"/>
          <w:sz w:val="24"/>
          <w:szCs w:val="24"/>
          <w:highlight w:val="none"/>
        </w:rPr>
        <w:t>符合参加政府采购活动应当具备的一般条件的承诺函</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_Toc87498889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- 125 -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18DDAE3A">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_Toc1715012875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三、 </w:t>
      </w:r>
      <w:r>
        <w:rPr>
          <w:rFonts w:hint="eastAsia" w:ascii="宋体" w:hAnsi="宋体" w:eastAsia="宋体" w:cs="宋体"/>
          <w:sz w:val="24"/>
          <w:szCs w:val="24"/>
          <w:highlight w:val="none"/>
        </w:rPr>
        <w:t>投标函</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_Toc1715012875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- 126 -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6AE3CE52">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_Toc695880091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四、 </w:t>
      </w:r>
      <w:r>
        <w:rPr>
          <w:rFonts w:hint="eastAsia" w:ascii="宋体" w:hAnsi="宋体" w:eastAsia="宋体" w:cs="宋体"/>
          <w:sz w:val="24"/>
          <w:szCs w:val="24"/>
          <w:highlight w:val="none"/>
        </w:rPr>
        <w:t>政府采购供应商廉洁自律承诺书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_Toc695880091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- 128 -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00FD11F">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_Toc460747875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五、 </w:t>
      </w:r>
      <w:r>
        <w:rPr>
          <w:rFonts w:hint="eastAsia" w:ascii="宋体" w:hAnsi="宋体" w:eastAsia="宋体" w:cs="宋体"/>
          <w:sz w:val="24"/>
          <w:szCs w:val="24"/>
          <w:highlight w:val="none"/>
        </w:rPr>
        <w:t>法定代表人身份证明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_Toc460747875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- 129 -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3F5CCA0">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_Toc2110987690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六、 </w:t>
      </w:r>
      <w:r>
        <w:rPr>
          <w:rFonts w:hint="eastAsia" w:ascii="宋体" w:hAnsi="宋体" w:eastAsia="宋体" w:cs="宋体"/>
          <w:sz w:val="24"/>
          <w:szCs w:val="24"/>
          <w:highlight w:val="none"/>
        </w:rPr>
        <w:t>授权委托书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_Toc2110987690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- 130 -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63F10C2B">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_Toc792773743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七、 </w:t>
      </w:r>
      <w:r>
        <w:rPr>
          <w:rFonts w:hint="eastAsia" w:ascii="宋体" w:hAnsi="宋体" w:eastAsia="宋体" w:cs="宋体"/>
          <w:sz w:val="24"/>
          <w:szCs w:val="24"/>
          <w:highlight w:val="none"/>
        </w:rPr>
        <w:t>联合协议</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_Toc792773743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- 131 -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CD12724">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_Toc1159752613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kern w:val="0"/>
          <w:sz w:val="24"/>
          <w:szCs w:val="24"/>
          <w:highlight w:val="none"/>
        </w:rPr>
        <w:t xml:space="preserve">八、 </w:t>
      </w:r>
      <w:r>
        <w:rPr>
          <w:rFonts w:hint="eastAsia" w:ascii="宋体" w:hAnsi="宋体" w:eastAsia="宋体" w:cs="宋体"/>
          <w:kern w:val="0"/>
          <w:sz w:val="24"/>
          <w:szCs w:val="24"/>
          <w:highlight w:val="none"/>
        </w:rPr>
        <w:t>分包意向协议</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_Toc1159752613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- 133 -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0162CDE">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_Toc1400586519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九、 </w:t>
      </w:r>
      <w:r>
        <w:rPr>
          <w:rFonts w:hint="eastAsia" w:ascii="宋体" w:hAnsi="宋体" w:eastAsia="宋体" w:cs="宋体"/>
          <w:sz w:val="24"/>
          <w:szCs w:val="24"/>
          <w:highlight w:val="none"/>
        </w:rPr>
        <w:t>开标一览表（报价表）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_Toc1400586519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- 135 -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37FBEA9">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_Toc1089370066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十、 </w:t>
      </w:r>
      <w:r>
        <w:rPr>
          <w:rFonts w:hint="eastAsia" w:ascii="宋体" w:hAnsi="宋体" w:eastAsia="宋体" w:cs="宋体"/>
          <w:sz w:val="24"/>
          <w:szCs w:val="24"/>
          <w:highlight w:val="none"/>
        </w:rPr>
        <w:t>投标报价明细表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_Toc1089370066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- 137 -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7901AB2">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_Toc1744608587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十一、 </w:t>
      </w:r>
      <w:r>
        <w:rPr>
          <w:rFonts w:hint="eastAsia" w:ascii="宋体" w:hAnsi="宋体" w:eastAsia="宋体" w:cs="宋体"/>
          <w:sz w:val="24"/>
          <w:szCs w:val="24"/>
          <w:highlight w:val="none"/>
        </w:rPr>
        <w:t>中小企业声明函（</w:t>
      </w:r>
      <w:r>
        <w:rPr>
          <w:rFonts w:hint="eastAsia" w:ascii="宋体" w:hAnsi="宋体" w:eastAsia="宋体" w:cs="宋体"/>
          <w:sz w:val="24"/>
          <w:szCs w:val="24"/>
          <w:highlight w:val="none"/>
          <w:lang w:val="en-US" w:eastAsia="zh-Hans"/>
        </w:rPr>
        <w:t>服务</w:t>
      </w:r>
      <w:r>
        <w:rPr>
          <w:rFonts w:hint="eastAsia" w:ascii="宋体" w:hAnsi="宋体" w:eastAsia="宋体" w:cs="宋体"/>
          <w:sz w:val="24"/>
          <w:szCs w:val="24"/>
          <w:highlight w:val="none"/>
        </w:rPr>
        <w:t>）</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_Toc1744608587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- 139 -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79235BC">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_Toc2042289218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十二、 </w:t>
      </w:r>
      <w:r>
        <w:rPr>
          <w:rFonts w:hint="eastAsia" w:ascii="宋体" w:hAnsi="宋体" w:eastAsia="宋体" w:cs="宋体"/>
          <w:sz w:val="24"/>
          <w:szCs w:val="24"/>
          <w:highlight w:val="none"/>
        </w:rPr>
        <w:t>残疾人福利性单位声明函</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_Toc2042289218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- 141 -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549F0C5">
      <w:pPr>
        <w:pStyle w:val="25"/>
        <w:keepNext w:val="0"/>
        <w:keepLines w:val="0"/>
        <w:pageBreakBefore w:val="0"/>
        <w:widowControl w:val="0"/>
        <w:shd w:val="clear"/>
        <w:tabs>
          <w:tab w:val="right" w:leader="dot" w:pos="8306"/>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_Toc1523756925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highlight w:val="none"/>
        </w:rPr>
        <w:t xml:space="preserve">十三、 </w:t>
      </w:r>
      <w:r>
        <w:rPr>
          <w:rFonts w:hint="eastAsia" w:ascii="宋体" w:hAnsi="宋体" w:eastAsia="宋体" w:cs="宋体"/>
          <w:sz w:val="24"/>
          <w:szCs w:val="24"/>
          <w:highlight w:val="none"/>
        </w:rPr>
        <w:t>商务及技术偏离表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_Toc1523756925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- 142 -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12C10211">
      <w:pPr>
        <w:pStyle w:val="39"/>
        <w:keepNext w:val="0"/>
        <w:keepLines w:val="0"/>
        <w:pageBreakBefore w:val="0"/>
        <w:widowControl w:val="0"/>
        <w:shd w:val="clear"/>
        <w:kinsoku/>
        <w:wordWrap/>
        <w:overflowPunct/>
        <w:topLinePunct w:val="0"/>
        <w:autoSpaceDE/>
        <w:autoSpaceDN/>
        <w:bidi w:val="0"/>
        <w:adjustRightInd w:val="0"/>
        <w:snapToGrid w:val="0"/>
        <w:spacing w:line="360" w:lineRule="auto"/>
        <w:ind w:firstLine="0" w:firstLineChars="0"/>
        <w:textAlignment w:val="auto"/>
        <w:rPr>
          <w:sz w:val="24"/>
          <w:szCs w:val="24"/>
          <w:lang w:eastAsia="zh-CN"/>
        </w:rPr>
      </w:pPr>
      <w:r>
        <w:rPr>
          <w:rFonts w:hint="eastAsia" w:ascii="宋体" w:hAnsi="宋体" w:eastAsia="宋体" w:cs="宋体"/>
          <w:sz w:val="24"/>
          <w:szCs w:val="24"/>
          <w:highlight w:val="none"/>
          <w:lang w:eastAsia="zh-CN"/>
        </w:rPr>
        <w:fldChar w:fldCharType="end"/>
      </w:r>
    </w:p>
    <w:p w14:paraId="17BFE2FB">
      <w:pPr>
        <w:pStyle w:val="39"/>
        <w:ind w:firstLine="199" w:firstLineChars="83"/>
        <w:rPr>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p>
    <w:p w14:paraId="06C68198">
      <w:pPr>
        <w:pStyle w:val="42"/>
      </w:pPr>
      <w:bookmarkStart w:id="0" w:name="_Toc1259125111"/>
      <w:bookmarkStart w:id="1" w:name="_Toc1867240695"/>
      <w:r>
        <w:rPr>
          <w:rFonts w:hint="eastAsia"/>
        </w:rPr>
        <w:t>招标公告</w:t>
      </w:r>
      <w:bookmarkEnd w:id="0"/>
      <w:bookmarkEnd w:id="1"/>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AA2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blHeader/>
          <w:jc w:val="center"/>
        </w:trPr>
        <w:tc>
          <w:tcPr>
            <w:tcW w:w="852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5AEA61BC">
            <w:pPr>
              <w:pStyle w:val="39"/>
              <w:ind w:firstLine="480"/>
              <w:rPr>
                <w:b w:val="0"/>
                <w:bCs/>
                <w:i w:val="0"/>
              </w:rPr>
            </w:pPr>
            <w:r>
              <w:rPr>
                <w:rFonts w:hint="eastAsia"/>
                <w:b w:val="0"/>
                <w:bCs/>
                <w:i w:val="0"/>
              </w:rPr>
              <w:t>项目概况</w:t>
            </w:r>
          </w:p>
          <w:p w14:paraId="74BCB971">
            <w:pPr>
              <w:pStyle w:val="39"/>
              <w:ind w:firstLine="480"/>
              <w:jc w:val="left"/>
              <w:rPr>
                <w:b/>
                <w:i w:val="0"/>
              </w:rPr>
            </w:pPr>
            <w:r>
              <w:rPr>
                <w:rFonts w:hint="eastAsia"/>
                <w:b w:val="0"/>
                <w:bCs/>
                <w:i w:val="0"/>
                <w:color w:val="000000" w:themeColor="text1"/>
                <w:u w:val="single"/>
                <w:lang w:val="en-US" w:eastAsia="zh-CN"/>
                <w14:textFill>
                  <w14:solidFill>
                    <w14:schemeClr w14:val="tx1"/>
                  </w14:solidFill>
                </w14:textFill>
              </w:rPr>
              <w:t>浙江省应急管理厅</w:t>
            </w:r>
            <w:r>
              <w:rPr>
                <w:rFonts w:hint="eastAsia"/>
                <w:b w:val="0"/>
                <w:bCs/>
                <w:i w:val="0"/>
                <w:color w:val="auto"/>
                <w:u w:val="single"/>
                <w:lang w:eastAsia="zh-CN"/>
              </w:rPr>
              <w:t>省级矿山智慧监管平台建设</w:t>
            </w:r>
            <w:r>
              <w:rPr>
                <w:rFonts w:hint="eastAsia"/>
                <w:b w:val="0"/>
                <w:bCs/>
                <w:i w:val="0"/>
              </w:rPr>
              <w:t>招标项目的潜在投标人应在http://zfcg.czt.zj.gov.cn获取（下载）招标文件，</w:t>
            </w:r>
            <w:r>
              <w:rPr>
                <w:rFonts w:hint="eastAsia"/>
                <w:b w:val="0"/>
                <w:bCs/>
                <w:i w:val="0"/>
                <w:color w:val="auto"/>
              </w:rPr>
              <w:t>并于</w:t>
            </w:r>
            <w:r>
              <w:rPr>
                <w:rFonts w:hint="eastAsia"/>
                <w:b w:val="0"/>
                <w:bCs/>
                <w:i w:val="0"/>
                <w:color w:val="auto"/>
                <w:u w:val="single"/>
                <w:lang w:eastAsia="zh-CN"/>
              </w:rPr>
              <w:t>2025年07月17日10时00分</w:t>
            </w:r>
            <w:r>
              <w:rPr>
                <w:rFonts w:hint="eastAsia"/>
                <w:b w:val="0"/>
                <w:bCs/>
                <w:i w:val="0"/>
                <w:color w:val="auto"/>
              </w:rPr>
              <w:t>（北京时间）前递交（上传）投标</w:t>
            </w:r>
            <w:r>
              <w:rPr>
                <w:b w:val="0"/>
                <w:bCs/>
                <w:i w:val="0"/>
                <w:color w:val="auto"/>
              </w:rPr>
              <w:t>文件</w:t>
            </w:r>
            <w:r>
              <w:rPr>
                <w:rFonts w:hint="eastAsia"/>
                <w:b w:val="0"/>
                <w:bCs/>
                <w:i w:val="0"/>
                <w:color w:val="auto"/>
              </w:rPr>
              <w:t>。</w:t>
            </w:r>
          </w:p>
        </w:tc>
      </w:tr>
    </w:tbl>
    <w:p w14:paraId="04A93F54">
      <w:pPr>
        <w:pStyle w:val="41"/>
        <w:numPr>
          <w:ilvl w:val="0"/>
          <w:numId w:val="0"/>
        </w:numPr>
        <w:jc w:val="both"/>
        <w:outlineLvl w:val="9"/>
        <w:rPr>
          <w:b/>
          <w:bCs w:val="0"/>
          <w:sz w:val="24"/>
          <w:szCs w:val="24"/>
        </w:rPr>
      </w:pPr>
      <w:r>
        <w:rPr>
          <w:rFonts w:hint="eastAsia"/>
          <w:b/>
          <w:bCs w:val="0"/>
          <w:sz w:val="24"/>
          <w:szCs w:val="24"/>
          <w:lang w:eastAsia="zh-CN"/>
        </w:rPr>
        <w:t>一、</w:t>
      </w:r>
      <w:r>
        <w:rPr>
          <w:rFonts w:hint="eastAsia"/>
          <w:b/>
          <w:bCs w:val="0"/>
          <w:sz w:val="24"/>
          <w:szCs w:val="24"/>
        </w:rPr>
        <w:t>项目基本情况</w:t>
      </w:r>
    </w:p>
    <w:p w14:paraId="1A0AD1EC">
      <w:pPr>
        <w:pStyle w:val="39"/>
        <w:ind w:firstLine="482"/>
      </w:pPr>
      <w:r>
        <w:rPr>
          <w:rFonts w:hint="eastAsia"/>
          <w:b/>
          <w:bCs/>
        </w:rPr>
        <w:t>项目编号：</w:t>
      </w:r>
      <w:r>
        <w:rPr>
          <w:rFonts w:hint="eastAsia"/>
          <w:color w:val="auto"/>
          <w:lang w:eastAsia="zh-CN"/>
        </w:rPr>
        <w:t>ZQ250607ZG</w:t>
      </w:r>
    </w:p>
    <w:p w14:paraId="2C0B4777">
      <w:pPr>
        <w:pStyle w:val="39"/>
        <w:ind w:firstLine="482"/>
      </w:pPr>
      <w:r>
        <w:rPr>
          <w:rFonts w:hint="eastAsia"/>
          <w:b/>
          <w:bCs/>
        </w:rPr>
        <w:t>项目名称：</w:t>
      </w:r>
      <w:r>
        <w:rPr>
          <w:rFonts w:hint="eastAsia"/>
          <w:b w:val="0"/>
          <w:bCs/>
          <w:i w:val="0"/>
          <w:color w:val="000000" w:themeColor="text1"/>
          <w:u w:val="none"/>
          <w:lang w:val="en-US" w:eastAsia="zh-CN"/>
          <w14:textFill>
            <w14:solidFill>
              <w14:schemeClr w14:val="tx1"/>
            </w14:solidFill>
          </w14:textFill>
        </w:rPr>
        <w:t>浙江省应急管理厅</w:t>
      </w:r>
      <w:r>
        <w:rPr>
          <w:rFonts w:hint="eastAsia"/>
          <w:b w:val="0"/>
          <w:bCs/>
          <w:i w:val="0"/>
          <w:color w:val="auto"/>
          <w:u w:val="none"/>
          <w:lang w:eastAsia="zh-CN"/>
        </w:rPr>
        <w:t>省级矿山智慧监管平台建设</w:t>
      </w:r>
      <w:r>
        <w:rPr>
          <w:rFonts w:hint="eastAsia"/>
          <w:lang w:eastAsia="zh-CN"/>
        </w:rPr>
        <w:t>项目</w:t>
      </w:r>
    </w:p>
    <w:p w14:paraId="2D57AFFC">
      <w:pPr>
        <w:pStyle w:val="39"/>
        <w:ind w:firstLine="482"/>
        <w:rPr>
          <w:rFonts w:hint="default"/>
          <w:color w:val="auto"/>
          <w:lang w:val="en-US"/>
        </w:rPr>
      </w:pPr>
      <w:r>
        <w:rPr>
          <w:rFonts w:hint="eastAsia"/>
          <w:b/>
          <w:bCs/>
        </w:rPr>
        <w:t>预算金额（元）：</w:t>
      </w:r>
      <w:r>
        <w:rPr>
          <w:rFonts w:hint="eastAsia"/>
          <w:color w:val="auto"/>
          <w:lang w:val="en-US" w:eastAsia="zh-CN"/>
        </w:rPr>
        <w:t>12000000.00</w:t>
      </w:r>
    </w:p>
    <w:p w14:paraId="39D12680">
      <w:pPr>
        <w:pStyle w:val="39"/>
        <w:ind w:firstLine="482"/>
        <w:rPr>
          <w:color w:val="auto"/>
        </w:rPr>
      </w:pPr>
      <w:r>
        <w:rPr>
          <w:rFonts w:hint="eastAsia"/>
          <w:b/>
          <w:bCs/>
          <w:color w:val="auto"/>
        </w:rPr>
        <w:t>最高限价（元）：</w:t>
      </w:r>
      <w:r>
        <w:rPr>
          <w:rFonts w:hint="eastAsia"/>
          <w:color w:val="auto"/>
          <w:lang w:val="en-US" w:eastAsia="zh-CN"/>
        </w:rPr>
        <w:t>12000000.00</w:t>
      </w:r>
    </w:p>
    <w:p w14:paraId="39F0DB1C">
      <w:pPr>
        <w:pStyle w:val="39"/>
        <w:ind w:firstLine="482"/>
        <w:rPr>
          <w:b/>
          <w:bCs/>
        </w:rPr>
      </w:pPr>
      <w:r>
        <w:rPr>
          <w:rFonts w:hint="eastAsia"/>
          <w:b/>
          <w:bCs/>
        </w:rPr>
        <w:t>采购需求：</w:t>
      </w:r>
    </w:p>
    <w:p w14:paraId="3A99F366">
      <w:pPr>
        <w:pStyle w:val="39"/>
        <w:ind w:firstLine="482"/>
        <w:rPr>
          <w:color w:val="auto"/>
          <w:lang w:eastAsia="zh-CN"/>
        </w:rPr>
      </w:pPr>
      <w:r>
        <w:rPr>
          <w:rFonts w:hint="eastAsia"/>
          <w:b/>
          <w:bCs/>
          <w:color w:val="auto"/>
        </w:rPr>
        <w:t>标项序号</w:t>
      </w:r>
      <w:r>
        <w:rPr>
          <w:rFonts w:hint="eastAsia"/>
          <w:b/>
          <w:bCs/>
          <w:color w:val="auto"/>
          <w:lang w:eastAsia="zh-CN"/>
        </w:rPr>
        <w:t>：</w:t>
      </w:r>
      <w:r>
        <w:rPr>
          <w:rFonts w:hint="eastAsia"/>
          <w:color w:val="auto"/>
          <w:lang w:eastAsia="zh-CN"/>
        </w:rPr>
        <w:t>一</w:t>
      </w:r>
    </w:p>
    <w:p w14:paraId="0E720FE2">
      <w:pPr>
        <w:pStyle w:val="39"/>
        <w:ind w:firstLine="480"/>
        <w:rPr>
          <w:color w:val="auto"/>
          <w:lang w:eastAsia="zh-CN"/>
        </w:rPr>
      </w:pPr>
      <w:r>
        <w:rPr>
          <w:rFonts w:hint="eastAsia"/>
          <w:color w:val="auto"/>
        </w:rPr>
        <w:t>标项名称</w:t>
      </w:r>
      <w:r>
        <w:rPr>
          <w:rFonts w:hint="eastAsia"/>
          <w:color w:val="auto"/>
          <w:lang w:eastAsia="zh-CN"/>
        </w:rPr>
        <w:t>：省级矿山智慧监管平台</w:t>
      </w:r>
      <w:r>
        <w:rPr>
          <w:rFonts w:hint="eastAsia"/>
          <w:color w:val="auto"/>
          <w:lang w:val="en-US" w:eastAsia="zh-CN"/>
        </w:rPr>
        <w:t>建设项目</w:t>
      </w:r>
    </w:p>
    <w:p w14:paraId="47535759">
      <w:pPr>
        <w:pStyle w:val="39"/>
        <w:ind w:firstLine="480"/>
        <w:rPr>
          <w:rFonts w:hint="eastAsia"/>
          <w:color w:val="auto"/>
          <w:lang w:eastAsia="zh-CN"/>
        </w:rPr>
      </w:pPr>
      <w:r>
        <w:rPr>
          <w:rFonts w:hint="eastAsia"/>
          <w:color w:val="auto"/>
        </w:rPr>
        <w:t>数量</w:t>
      </w:r>
      <w:r>
        <w:rPr>
          <w:rFonts w:hint="eastAsia"/>
          <w:color w:val="auto"/>
          <w:lang w:eastAsia="zh-CN"/>
        </w:rPr>
        <w:t>：1</w:t>
      </w:r>
    </w:p>
    <w:p w14:paraId="1E8F8084">
      <w:pPr>
        <w:pStyle w:val="39"/>
        <w:ind w:firstLine="480"/>
        <w:rPr>
          <w:rFonts w:hint="eastAsia"/>
          <w:color w:val="auto"/>
          <w:lang w:eastAsia="zh-CN"/>
        </w:rPr>
      </w:pPr>
      <w:r>
        <w:rPr>
          <w:rFonts w:hint="eastAsia"/>
          <w:color w:val="auto"/>
          <w:lang w:eastAsia="zh-CN"/>
        </w:rPr>
        <w:t>预算金额（元）：</w:t>
      </w:r>
      <w:r>
        <w:rPr>
          <w:rFonts w:hint="eastAsia"/>
          <w:color w:val="auto"/>
          <w:lang w:val="en-US" w:eastAsia="zh-CN"/>
        </w:rPr>
        <w:t>11750000</w:t>
      </w:r>
      <w:r>
        <w:rPr>
          <w:rFonts w:hint="eastAsia"/>
          <w:color w:val="auto"/>
          <w:lang w:eastAsia="zh-CN"/>
        </w:rPr>
        <w:t>.00</w:t>
      </w:r>
    </w:p>
    <w:p w14:paraId="2CC050A4">
      <w:pPr>
        <w:pStyle w:val="39"/>
        <w:ind w:firstLine="480"/>
        <w:rPr>
          <w:rFonts w:hint="eastAsia"/>
          <w:color w:val="auto"/>
          <w:lang w:eastAsia="zh-CN"/>
        </w:rPr>
      </w:pPr>
      <w:r>
        <w:rPr>
          <w:rFonts w:hint="eastAsia"/>
          <w:color w:val="auto"/>
          <w:lang w:eastAsia="zh-CN"/>
        </w:rPr>
        <w:t>最高限价（元）：</w:t>
      </w:r>
      <w:r>
        <w:rPr>
          <w:rFonts w:hint="eastAsia"/>
          <w:color w:val="auto"/>
          <w:lang w:val="en-US" w:eastAsia="zh-CN"/>
        </w:rPr>
        <w:t>11750000</w:t>
      </w:r>
      <w:r>
        <w:rPr>
          <w:rFonts w:hint="eastAsia"/>
          <w:color w:val="auto"/>
          <w:lang w:eastAsia="zh-CN"/>
        </w:rPr>
        <w:t>.00</w:t>
      </w:r>
    </w:p>
    <w:p w14:paraId="2B58CAE5">
      <w:pPr>
        <w:pStyle w:val="39"/>
        <w:ind w:firstLine="480"/>
        <w:rPr>
          <w:color w:val="auto"/>
          <w:lang w:eastAsia="zh-CN"/>
        </w:rPr>
      </w:pPr>
      <w:r>
        <w:rPr>
          <w:rFonts w:hint="eastAsia"/>
          <w:color w:val="auto"/>
        </w:rPr>
        <w:t>单位</w:t>
      </w:r>
      <w:r>
        <w:rPr>
          <w:rFonts w:hint="eastAsia"/>
          <w:color w:val="auto"/>
          <w:lang w:eastAsia="zh-CN"/>
        </w:rPr>
        <w:t>：项</w:t>
      </w:r>
    </w:p>
    <w:p w14:paraId="39938854">
      <w:pPr>
        <w:pStyle w:val="39"/>
        <w:ind w:firstLine="480"/>
        <w:rPr>
          <w:lang w:eastAsia="zh-CN"/>
        </w:rPr>
      </w:pPr>
      <w:r>
        <w:rPr>
          <w:rFonts w:hint="eastAsia"/>
        </w:rPr>
        <w:t>简要规格描述或项目基本概况介绍、用途</w:t>
      </w:r>
      <w:r>
        <w:rPr>
          <w:rFonts w:hint="eastAsia"/>
          <w:lang w:eastAsia="zh-CN"/>
        </w:rPr>
        <w:t>：</w:t>
      </w:r>
      <w:r>
        <w:rPr>
          <w:rFonts w:hint="default"/>
          <w:lang w:val="en-US" w:eastAsia="zh-CN"/>
        </w:rPr>
        <w:t>以“AI</w:t>
      </w:r>
      <w:r>
        <w:rPr>
          <w:rFonts w:hint="eastAsia"/>
          <w:lang w:val="en-US" w:eastAsia="zh-CN"/>
        </w:rPr>
        <w:t>+监测预警</w:t>
      </w:r>
      <w:r>
        <w:rPr>
          <w:rFonts w:hint="default"/>
          <w:lang w:val="en-US" w:eastAsia="zh-CN"/>
        </w:rPr>
        <w:t>”为</w:t>
      </w:r>
      <w:r>
        <w:rPr>
          <w:rFonts w:hint="eastAsia"/>
          <w:lang w:val="en-US" w:eastAsia="zh-CN"/>
        </w:rPr>
        <w:t>业务核心</w:t>
      </w:r>
      <w:r>
        <w:rPr>
          <w:rFonts w:hint="default"/>
          <w:lang w:val="en-US" w:eastAsia="zh-CN"/>
        </w:rPr>
        <w:t>，构建覆盖露天矿山、地下矿山、尾矿库及采掘施工企业</w:t>
      </w:r>
      <w:r>
        <w:rPr>
          <w:rFonts w:hint="eastAsia"/>
          <w:lang w:val="en-US" w:eastAsia="zh-CN"/>
        </w:rPr>
        <w:t>安全风险事前预警的</w:t>
      </w:r>
      <w:r>
        <w:rPr>
          <w:rFonts w:hint="default"/>
          <w:lang w:val="en-US" w:eastAsia="zh-CN"/>
        </w:rPr>
        <w:t>智能化监管体系</w:t>
      </w:r>
      <w:r>
        <w:rPr>
          <w:rFonts w:hint="eastAsia"/>
          <w:lang w:eastAsia="zh-CN"/>
        </w:rPr>
        <w:t>，通过“数据融合-智能研判-闭环处置”实现矿山安全精准管控，</w:t>
      </w:r>
      <w:r>
        <w:rPr>
          <w:rFonts w:hint="eastAsia"/>
          <w:lang w:val="en-US" w:eastAsia="zh-CN"/>
        </w:rPr>
        <w:t>主要建设内容为</w:t>
      </w:r>
      <w:r>
        <w:rPr>
          <w:rFonts w:hint="eastAsia"/>
        </w:rPr>
        <w:t>露天矿山、地下矿山、尾矿库及采掘施工</w:t>
      </w:r>
      <w:r>
        <w:rPr>
          <w:rFonts w:hint="eastAsia"/>
          <w:lang w:val="en-US" w:eastAsia="zh-CN"/>
        </w:rPr>
        <w:t>四大子系统、AI+监测预警支撑、三维应用支撑、视频智能分析设备和算法以及等保密评等其他服务</w:t>
      </w:r>
      <w:r>
        <w:rPr>
          <w:rFonts w:hint="eastAsia"/>
        </w:rPr>
        <w:t>。</w:t>
      </w:r>
      <w:bookmarkStart w:id="496" w:name="_GoBack"/>
      <w:bookmarkEnd w:id="496"/>
      <w:r>
        <w:rPr>
          <w:rFonts w:hint="eastAsia"/>
          <w:lang w:eastAsia="zh-CN"/>
        </w:rPr>
        <w:t>详见招标文件“</w:t>
      </w:r>
      <w:r>
        <w:rPr>
          <w:rFonts w:hint="eastAsia"/>
        </w:rPr>
        <w:t>第</w:t>
      </w:r>
      <w:r>
        <w:rPr>
          <w:rFonts w:hint="eastAsia"/>
          <w:lang w:eastAsia="zh-CN"/>
        </w:rPr>
        <w:t xml:space="preserve">三章 </w:t>
      </w:r>
      <w:r>
        <w:rPr>
          <w:rFonts w:hint="eastAsia"/>
        </w:rPr>
        <w:t>项目技术及服务要求</w:t>
      </w:r>
      <w:r>
        <w:rPr>
          <w:rFonts w:hint="eastAsia"/>
          <w:lang w:eastAsia="zh-CN"/>
        </w:rPr>
        <w:t>”</w:t>
      </w:r>
    </w:p>
    <w:p w14:paraId="54153046">
      <w:pPr>
        <w:pStyle w:val="39"/>
        <w:ind w:firstLine="480"/>
        <w:rPr>
          <w:rFonts w:hint="eastAsia" w:eastAsia="微软雅黑"/>
          <w:bCs/>
          <w:color w:val="auto"/>
          <w:lang w:eastAsia="zh-CN"/>
        </w:rPr>
      </w:pPr>
      <w:r>
        <w:rPr>
          <w:rFonts w:hint="eastAsia"/>
          <w:bCs/>
          <w:color w:val="auto"/>
        </w:rPr>
        <w:t>备注</w:t>
      </w:r>
      <w:r>
        <w:rPr>
          <w:rFonts w:hint="eastAsia"/>
          <w:bCs/>
          <w:color w:val="auto"/>
          <w:lang w:eastAsia="zh-CN"/>
        </w:rPr>
        <w:t>：</w:t>
      </w:r>
      <w:r>
        <w:rPr>
          <w:rFonts w:hint="eastAsia"/>
          <w:bCs/>
          <w:color w:val="auto"/>
        </w:rPr>
        <w:t>采购计划文号</w:t>
      </w:r>
      <w:r>
        <w:rPr>
          <w:rFonts w:hint="eastAsia" w:eastAsia="微软雅黑"/>
          <w:bCs/>
          <w:color w:val="auto"/>
        </w:rPr>
        <w:t xml:space="preserve"> 浙财采备[2025]39286号</w:t>
      </w:r>
    </w:p>
    <w:p w14:paraId="46683BFC">
      <w:pPr>
        <w:pStyle w:val="39"/>
        <w:ind w:firstLine="482"/>
        <w:rPr>
          <w:color w:val="auto"/>
          <w:lang w:eastAsia="zh-CN"/>
        </w:rPr>
      </w:pPr>
      <w:r>
        <w:rPr>
          <w:rFonts w:hint="eastAsia"/>
          <w:b/>
          <w:bCs/>
          <w:color w:val="auto"/>
        </w:rPr>
        <w:t>标项序号</w:t>
      </w:r>
      <w:r>
        <w:rPr>
          <w:rFonts w:hint="eastAsia"/>
          <w:b/>
          <w:bCs/>
          <w:color w:val="auto"/>
          <w:lang w:eastAsia="zh-CN"/>
        </w:rPr>
        <w:t>：</w:t>
      </w:r>
      <w:r>
        <w:rPr>
          <w:rFonts w:hint="eastAsia"/>
          <w:color w:val="auto"/>
          <w:lang w:val="en-US" w:eastAsia="zh-CN"/>
        </w:rPr>
        <w:t>二</w:t>
      </w:r>
    </w:p>
    <w:p w14:paraId="607AC2F8">
      <w:pPr>
        <w:pStyle w:val="39"/>
        <w:ind w:firstLine="480"/>
        <w:rPr>
          <w:rFonts w:hint="default"/>
          <w:color w:val="auto"/>
          <w:lang w:val="en-US" w:eastAsia="zh-CN"/>
        </w:rPr>
      </w:pPr>
      <w:r>
        <w:rPr>
          <w:rFonts w:hint="eastAsia"/>
          <w:color w:val="auto"/>
        </w:rPr>
        <w:t>标项名称</w:t>
      </w:r>
      <w:r>
        <w:rPr>
          <w:rFonts w:hint="eastAsia"/>
          <w:color w:val="auto"/>
          <w:lang w:eastAsia="zh-CN"/>
        </w:rPr>
        <w:t>：“省级矿山智慧监管平台建设</w:t>
      </w:r>
      <w:r>
        <w:rPr>
          <w:rFonts w:hint="eastAsia"/>
          <w:color w:val="auto"/>
          <w:lang w:val="en-US" w:eastAsia="zh-CN"/>
        </w:rPr>
        <w:t>项目”监理服务采购项目</w:t>
      </w:r>
    </w:p>
    <w:p w14:paraId="0D633286">
      <w:pPr>
        <w:pStyle w:val="39"/>
        <w:ind w:firstLine="480"/>
        <w:rPr>
          <w:rFonts w:hint="eastAsia"/>
          <w:color w:val="auto"/>
          <w:lang w:eastAsia="zh-CN"/>
        </w:rPr>
      </w:pPr>
      <w:r>
        <w:rPr>
          <w:rFonts w:hint="eastAsia"/>
          <w:color w:val="auto"/>
        </w:rPr>
        <w:t>数量</w:t>
      </w:r>
      <w:r>
        <w:rPr>
          <w:rFonts w:hint="eastAsia"/>
          <w:color w:val="auto"/>
          <w:lang w:eastAsia="zh-CN"/>
        </w:rPr>
        <w:t>：1</w:t>
      </w:r>
    </w:p>
    <w:p w14:paraId="5A3C73B3">
      <w:pPr>
        <w:pStyle w:val="39"/>
        <w:ind w:firstLine="480"/>
        <w:rPr>
          <w:rFonts w:hint="eastAsia"/>
          <w:color w:val="auto"/>
          <w:lang w:eastAsia="zh-CN"/>
        </w:rPr>
      </w:pPr>
      <w:r>
        <w:rPr>
          <w:rFonts w:hint="eastAsia"/>
          <w:color w:val="auto"/>
          <w:lang w:eastAsia="zh-CN"/>
        </w:rPr>
        <w:t>预算金额（元）：</w:t>
      </w:r>
      <w:r>
        <w:rPr>
          <w:rFonts w:hint="eastAsia"/>
          <w:color w:val="auto"/>
          <w:lang w:val="en-US" w:eastAsia="zh-CN"/>
        </w:rPr>
        <w:t>250000</w:t>
      </w:r>
      <w:r>
        <w:rPr>
          <w:rFonts w:hint="eastAsia"/>
          <w:color w:val="auto"/>
          <w:lang w:eastAsia="zh-CN"/>
        </w:rPr>
        <w:t>.00</w:t>
      </w:r>
    </w:p>
    <w:p w14:paraId="7957E925">
      <w:pPr>
        <w:pStyle w:val="39"/>
        <w:ind w:firstLine="480"/>
        <w:rPr>
          <w:rFonts w:hint="eastAsia"/>
          <w:color w:val="auto"/>
          <w:lang w:eastAsia="zh-CN"/>
        </w:rPr>
      </w:pPr>
      <w:r>
        <w:rPr>
          <w:rFonts w:hint="eastAsia"/>
          <w:color w:val="auto"/>
          <w:lang w:eastAsia="zh-CN"/>
        </w:rPr>
        <w:t>最高限价（元）：</w:t>
      </w:r>
      <w:r>
        <w:rPr>
          <w:rFonts w:hint="eastAsia"/>
          <w:color w:val="auto"/>
          <w:lang w:val="en-US" w:eastAsia="zh-CN"/>
        </w:rPr>
        <w:t>250000</w:t>
      </w:r>
      <w:r>
        <w:rPr>
          <w:rFonts w:hint="eastAsia"/>
          <w:color w:val="auto"/>
          <w:lang w:eastAsia="zh-CN"/>
        </w:rPr>
        <w:t>.00</w:t>
      </w:r>
    </w:p>
    <w:p w14:paraId="38FC1270">
      <w:pPr>
        <w:pStyle w:val="39"/>
        <w:ind w:firstLine="480"/>
        <w:rPr>
          <w:color w:val="auto"/>
          <w:lang w:eastAsia="zh-CN"/>
        </w:rPr>
      </w:pPr>
      <w:r>
        <w:rPr>
          <w:rFonts w:hint="eastAsia"/>
          <w:color w:val="auto"/>
        </w:rPr>
        <w:t>单位</w:t>
      </w:r>
      <w:r>
        <w:rPr>
          <w:rFonts w:hint="eastAsia"/>
          <w:color w:val="auto"/>
          <w:lang w:eastAsia="zh-CN"/>
        </w:rPr>
        <w:t>：项</w:t>
      </w:r>
    </w:p>
    <w:p w14:paraId="7A7A1047">
      <w:pPr>
        <w:pStyle w:val="39"/>
        <w:ind w:firstLine="480"/>
        <w:rPr>
          <w:lang w:eastAsia="zh-CN"/>
        </w:rPr>
      </w:pPr>
      <w:r>
        <w:rPr>
          <w:rFonts w:hint="eastAsia"/>
        </w:rPr>
        <w:t>简要规格描述或项目基本概况介绍、用途</w:t>
      </w:r>
      <w:r>
        <w:rPr>
          <w:rFonts w:hint="eastAsia"/>
          <w:lang w:eastAsia="zh-CN"/>
        </w:rPr>
        <w:t>：“</w:t>
      </w:r>
      <w:r>
        <w:rPr>
          <w:rFonts w:hint="eastAsia"/>
          <w:color w:val="auto"/>
          <w:lang w:eastAsia="zh-CN"/>
        </w:rPr>
        <w:t>省级矿山智慧监管平台</w:t>
      </w:r>
      <w:r>
        <w:rPr>
          <w:rFonts w:hint="eastAsia"/>
          <w:color w:val="auto"/>
          <w:lang w:val="en-US" w:eastAsia="zh-CN"/>
        </w:rPr>
        <w:t>建设项目”监理服务采购</w:t>
      </w:r>
      <w:r>
        <w:rPr>
          <w:rFonts w:hint="eastAsia"/>
          <w:color w:val="00B050"/>
          <w:lang w:eastAsia="zh-CN"/>
        </w:rPr>
        <w:t>。</w:t>
      </w:r>
      <w:r>
        <w:rPr>
          <w:rFonts w:hint="eastAsia"/>
          <w:lang w:eastAsia="zh-CN"/>
        </w:rPr>
        <w:t>详见招标文件“</w:t>
      </w:r>
      <w:r>
        <w:rPr>
          <w:rFonts w:hint="eastAsia"/>
        </w:rPr>
        <w:t>第</w:t>
      </w:r>
      <w:r>
        <w:rPr>
          <w:rFonts w:hint="eastAsia"/>
          <w:lang w:eastAsia="zh-CN"/>
        </w:rPr>
        <w:t xml:space="preserve">三章 </w:t>
      </w:r>
      <w:r>
        <w:rPr>
          <w:rFonts w:hint="eastAsia"/>
        </w:rPr>
        <w:t>项目技术及服务要求</w:t>
      </w:r>
      <w:r>
        <w:rPr>
          <w:rFonts w:hint="eastAsia"/>
          <w:lang w:eastAsia="zh-CN"/>
        </w:rPr>
        <w:t>”</w:t>
      </w:r>
    </w:p>
    <w:p w14:paraId="3D43B1FF">
      <w:pPr>
        <w:pStyle w:val="39"/>
        <w:ind w:firstLine="480"/>
        <w:rPr>
          <w:bCs/>
          <w:color w:val="auto"/>
        </w:rPr>
      </w:pPr>
      <w:r>
        <w:rPr>
          <w:rFonts w:hint="eastAsia"/>
          <w:bCs/>
          <w:color w:val="auto"/>
        </w:rPr>
        <w:t>备注</w:t>
      </w:r>
      <w:r>
        <w:rPr>
          <w:rFonts w:hint="eastAsia"/>
          <w:bCs/>
          <w:color w:val="auto"/>
          <w:lang w:eastAsia="zh-CN"/>
        </w:rPr>
        <w:t>：</w:t>
      </w:r>
      <w:r>
        <w:rPr>
          <w:rFonts w:hint="eastAsia"/>
          <w:bCs/>
          <w:color w:val="auto"/>
        </w:rPr>
        <w:t>采购计划文号</w:t>
      </w:r>
      <w:r>
        <w:rPr>
          <w:rFonts w:hint="eastAsia" w:eastAsia="微软雅黑"/>
          <w:bCs/>
          <w:color w:val="auto"/>
        </w:rPr>
        <w:t xml:space="preserve"> </w:t>
      </w:r>
      <w:r>
        <w:rPr>
          <w:rFonts w:hint="eastAsia" w:eastAsia="微软雅黑"/>
          <w:bCs/>
          <w:color w:val="auto"/>
          <w:lang w:eastAsia="zh-CN"/>
        </w:rPr>
        <w:t>浙财采备[2025]3928</w:t>
      </w:r>
      <w:r>
        <w:rPr>
          <w:rFonts w:hint="eastAsia" w:eastAsia="微软雅黑"/>
          <w:bCs/>
          <w:color w:val="auto"/>
          <w:lang w:val="en-US" w:eastAsia="zh-CN"/>
        </w:rPr>
        <w:t>7</w:t>
      </w:r>
      <w:r>
        <w:rPr>
          <w:rFonts w:hint="eastAsia" w:eastAsia="微软雅黑"/>
          <w:bCs/>
          <w:color w:val="auto"/>
          <w:lang w:eastAsia="zh-CN"/>
        </w:rPr>
        <w:t>号</w:t>
      </w:r>
    </w:p>
    <w:p w14:paraId="6B4A2643">
      <w:pPr>
        <w:pStyle w:val="39"/>
        <w:ind w:firstLine="482"/>
        <w:rPr>
          <w:rFonts w:hint="eastAsia"/>
          <w:color w:val="auto"/>
          <w:highlight w:val="none"/>
          <w:lang w:eastAsia="zh-CN"/>
        </w:rPr>
      </w:pPr>
      <w:r>
        <w:rPr>
          <w:rFonts w:hint="eastAsia"/>
          <w:b/>
          <w:bCs/>
          <w:color w:val="000000"/>
        </w:rPr>
        <w:t>合同履行期限：</w:t>
      </w:r>
      <w:r>
        <w:rPr>
          <w:rFonts w:hint="eastAsia"/>
          <w:color w:val="auto"/>
        </w:rPr>
        <w:t>自合同签订</w:t>
      </w:r>
      <w:r>
        <w:rPr>
          <w:rFonts w:hint="eastAsia"/>
          <w:color w:val="auto"/>
          <w:lang w:eastAsia="zh-CN"/>
        </w:rPr>
        <w:t>并生效</w:t>
      </w:r>
      <w:r>
        <w:rPr>
          <w:rFonts w:hint="eastAsia"/>
          <w:color w:val="auto"/>
        </w:rPr>
        <w:t>之日</w:t>
      </w:r>
      <w:r>
        <w:rPr>
          <w:rFonts w:hint="eastAsia"/>
          <w:color w:val="auto"/>
          <w:highlight w:val="none"/>
        </w:rPr>
        <w:t>起，直至</w:t>
      </w:r>
      <w:r>
        <w:rPr>
          <w:rFonts w:hint="eastAsia"/>
          <w:color w:val="auto"/>
          <w:highlight w:val="none"/>
          <w:lang w:eastAsia="zh-CN"/>
        </w:rPr>
        <w:t>本</w:t>
      </w:r>
      <w:r>
        <w:rPr>
          <w:rFonts w:hint="eastAsia"/>
          <w:color w:val="auto"/>
          <w:highlight w:val="none"/>
        </w:rPr>
        <w:t>项目通过验收</w:t>
      </w:r>
      <w:r>
        <w:rPr>
          <w:rFonts w:hint="eastAsia"/>
          <w:color w:val="auto"/>
          <w:highlight w:val="none"/>
          <w:lang w:eastAsia="zh-CN"/>
        </w:rPr>
        <w:t>。</w:t>
      </w:r>
    </w:p>
    <w:p w14:paraId="27F06D50">
      <w:pPr>
        <w:pStyle w:val="39"/>
        <w:ind w:firstLine="482"/>
        <w:rPr>
          <w:rFonts w:ascii="仿宋_GB2312" w:hAnsi="仿宋"/>
          <w:color w:val="auto"/>
          <w:kern w:val="28"/>
          <w:highlight w:val="none"/>
          <w:lang w:eastAsia="zh-CN"/>
        </w:rPr>
      </w:pPr>
      <w:r>
        <w:rPr>
          <w:rFonts w:ascii="仿宋_GB2312" w:hAnsi="仿宋_GB2312"/>
          <w:b/>
          <w:color w:val="auto"/>
          <w:highlight w:val="none"/>
        </w:rPr>
        <w:t>本项目</w:t>
      </w:r>
      <w:r>
        <w:rPr>
          <w:rFonts w:hint="eastAsia" w:ascii="仿宋_GB2312" w:hAnsi="仿宋_GB2312"/>
          <w:b/>
          <w:color w:val="auto"/>
          <w:highlight w:val="none"/>
          <w:lang w:eastAsia="zh-CN"/>
        </w:rPr>
        <w:t>（是）</w:t>
      </w:r>
      <w:r>
        <w:rPr>
          <w:rFonts w:ascii="仿宋_GB2312" w:hAnsi="仿宋_GB2312"/>
          <w:b/>
          <w:color w:val="auto"/>
          <w:highlight w:val="none"/>
        </w:rPr>
        <w:t>接受联合体投标</w:t>
      </w:r>
      <w:r>
        <w:rPr>
          <w:rFonts w:hint="eastAsia" w:ascii="仿宋_GB2312" w:hAnsi="仿宋_GB2312"/>
          <w:b/>
          <w:color w:val="auto"/>
          <w:highlight w:val="none"/>
          <w:lang w:eastAsia="zh-CN"/>
        </w:rPr>
        <w:t>。</w:t>
      </w:r>
    </w:p>
    <w:p w14:paraId="3A0ACAC7">
      <w:pPr>
        <w:pStyle w:val="41"/>
        <w:numPr>
          <w:ilvl w:val="0"/>
          <w:numId w:val="0"/>
        </w:numPr>
        <w:jc w:val="both"/>
        <w:outlineLvl w:val="9"/>
        <w:rPr>
          <w:b/>
          <w:bCs w:val="0"/>
          <w:sz w:val="24"/>
          <w:szCs w:val="24"/>
          <w:lang w:eastAsia="zh-CN"/>
        </w:rPr>
      </w:pPr>
      <w:r>
        <w:rPr>
          <w:rFonts w:hint="eastAsia"/>
          <w:b/>
          <w:bCs w:val="0"/>
          <w:sz w:val="24"/>
          <w:szCs w:val="24"/>
        </w:rPr>
        <w:t>二、申请人的资格要求</w:t>
      </w:r>
    </w:p>
    <w:p w14:paraId="38DFE737">
      <w:pPr>
        <w:pStyle w:val="39"/>
        <w:ind w:firstLine="482"/>
      </w:pPr>
      <w:r>
        <w:rPr>
          <w:rFonts w:hint="eastAsia"/>
          <w:b/>
          <w:bCs/>
        </w:rPr>
        <w:t>1</w:t>
      </w:r>
      <w:r>
        <w:rPr>
          <w:rFonts w:hint="eastAsia"/>
          <w:b/>
          <w:bCs/>
          <w:lang w:eastAsia="zh-CN"/>
        </w:rPr>
        <w:t>.本项目的基本资格要求：</w:t>
      </w:r>
      <w:r>
        <w:rPr>
          <w:rFonts w:hint="eastAsia"/>
        </w:rPr>
        <w:t>满足《中华人民共和国政府采购法》第二十二条的规定；未被“信用中国”（www.creditchina.gov.cn）、中国政府采购网（www.ccgp.gov.cn）列入失信被执行人名单、重大税收违法案件当事人名单、政府采购严重违法失信行为记录名单。</w:t>
      </w:r>
    </w:p>
    <w:p w14:paraId="7C5EECBC">
      <w:pPr>
        <w:pStyle w:val="39"/>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b/>
          <w:bCs/>
          <w:lang w:eastAsia="zh-CN"/>
        </w:rPr>
      </w:pPr>
      <w:r>
        <w:rPr>
          <w:b/>
          <w:bCs/>
        </w:rPr>
        <w:t>2</w:t>
      </w:r>
      <w:r>
        <w:rPr>
          <w:rFonts w:hint="eastAsia"/>
          <w:b/>
          <w:bCs/>
          <w:lang w:eastAsia="zh-CN"/>
        </w:rPr>
        <w:t>.</w:t>
      </w:r>
      <w:r>
        <w:rPr>
          <w:rFonts w:hint="eastAsia"/>
          <w:b/>
          <w:bCs/>
        </w:rPr>
        <w:t>落实政府采购政策需满足的资格要求</w:t>
      </w:r>
      <w:r>
        <w:rPr>
          <w:rFonts w:hint="eastAsia"/>
          <w:b/>
          <w:bCs/>
          <w:lang w:eastAsia="zh-CN"/>
        </w:rPr>
        <w:t>：</w:t>
      </w:r>
    </w:p>
    <w:p w14:paraId="7E50E567">
      <w:pPr>
        <w:pStyle w:val="39"/>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color w:val="auto"/>
          <w:lang w:eastAsia="zh-CN"/>
        </w:rPr>
      </w:pPr>
      <w:sdt>
        <w:sdtPr>
          <w:rPr>
            <w:color w:val="auto"/>
          </w:rPr>
          <w:id w:val="307024086"/>
          <w14:checkbox>
            <w14:checked w14:val="1"/>
            <w14:checkedState w14:val="00FE" w14:font="Wingdings"/>
            <w14:uncheckedState w14:val="2610" w14:font="MS Gothic"/>
          </w14:checkbox>
        </w:sdtPr>
        <w:sdtEndPr>
          <w:rPr>
            <w:color w:val="auto"/>
          </w:rPr>
        </w:sdtEndPr>
        <w:sdtContent>
          <w:r>
            <w:rPr>
              <w:rFonts w:hint="eastAsia" w:ascii="Wingdings" w:hAnsi="Wingdings" w:eastAsia="MS Gothic" w:cs="Times New Roman"/>
              <w:color w:val="auto"/>
              <w:kern w:val="2"/>
              <w:sz w:val="24"/>
              <w:szCs w:val="21"/>
              <w:lang w:val="en-US" w:eastAsia="zh-Hans" w:bidi="ar-SA"/>
            </w:rPr>
            <w:t>þ</w:t>
          </w:r>
        </w:sdtContent>
      </w:sdt>
      <w:r>
        <w:rPr>
          <w:rFonts w:hint="eastAsia"/>
          <w:color w:val="auto"/>
          <w:lang w:eastAsia="zh-CN"/>
        </w:rPr>
        <w:t>无；</w:t>
      </w:r>
    </w:p>
    <w:p w14:paraId="1102CEB0">
      <w:pPr>
        <w:pStyle w:val="39"/>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color w:val="auto"/>
          <w:lang w:eastAsia="zh-CN"/>
        </w:rPr>
      </w:pPr>
      <w:sdt>
        <w:sdtPr>
          <w:rPr>
            <w:color w:val="auto"/>
          </w:rPr>
          <w:id w:val="69209853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color w:val="auto"/>
        </w:rPr>
        <w:t>专门面向中小</w:t>
      </w:r>
      <w:r>
        <w:rPr>
          <w:rFonts w:hint="eastAsia"/>
          <w:color w:val="auto"/>
          <w:lang w:val="en-US" w:eastAsia="zh-CN"/>
        </w:rPr>
        <w:t>/小微</w:t>
      </w:r>
      <w:r>
        <w:rPr>
          <w:color w:val="auto"/>
        </w:rPr>
        <w:t>企业</w:t>
      </w:r>
      <w:r>
        <w:rPr>
          <w:rFonts w:hint="eastAsia"/>
          <w:color w:val="auto"/>
          <w:lang w:eastAsia="zh-CN"/>
        </w:rPr>
        <w:t>。</w:t>
      </w:r>
      <w:r>
        <w:rPr>
          <w:rFonts w:hint="eastAsia"/>
          <w:color w:val="auto"/>
          <w:lang w:val="en-US" w:eastAsia="zh-CN"/>
        </w:rPr>
        <w:t>要求采购标的全部由符合政策要求的</w:t>
      </w:r>
      <w:r>
        <w:rPr>
          <w:color w:val="auto"/>
        </w:rPr>
        <w:t>中小</w:t>
      </w:r>
      <w:r>
        <w:rPr>
          <w:rFonts w:hint="eastAsia"/>
          <w:color w:val="auto"/>
          <w:lang w:val="en-US" w:eastAsia="zh-CN"/>
        </w:rPr>
        <w:t>/小微企业</w:t>
      </w:r>
      <w:r>
        <w:rPr>
          <w:rFonts w:hint="eastAsia"/>
          <w:color w:val="auto"/>
        </w:rPr>
        <w:t>制造</w:t>
      </w:r>
      <w:r>
        <w:rPr>
          <w:rFonts w:hint="eastAsia"/>
          <w:color w:val="auto"/>
          <w:lang w:val="en-US" w:eastAsia="zh-CN"/>
        </w:rPr>
        <w:t>/</w:t>
      </w:r>
      <w:r>
        <w:rPr>
          <w:rFonts w:hint="eastAsia"/>
          <w:color w:val="auto"/>
        </w:rPr>
        <w:t>承建</w:t>
      </w:r>
      <w:r>
        <w:rPr>
          <w:rFonts w:hint="eastAsia"/>
          <w:color w:val="auto"/>
          <w:lang w:val="en-US" w:eastAsia="zh-CN"/>
        </w:rPr>
        <w:t>/</w:t>
      </w:r>
      <w:r>
        <w:rPr>
          <w:rFonts w:hint="eastAsia"/>
          <w:color w:val="auto"/>
        </w:rPr>
        <w:t>承接</w:t>
      </w:r>
      <w:r>
        <w:rPr>
          <w:rFonts w:hint="eastAsia"/>
          <w:color w:val="auto"/>
          <w:lang w:eastAsia="zh-CN"/>
        </w:rPr>
        <w:t>，提供中小企业声明函。</w:t>
      </w:r>
      <w:r>
        <w:rPr>
          <w:rFonts w:hint="eastAsia"/>
          <w:color w:val="auto"/>
          <w:lang w:val="en-US" w:eastAsia="zh-CN"/>
        </w:rPr>
        <w:t>如本项目接受供应商</w:t>
      </w:r>
      <w:r>
        <w:rPr>
          <w:rFonts w:hint="eastAsia"/>
          <w:color w:val="auto"/>
          <w:lang w:eastAsia="zh-CN"/>
        </w:rPr>
        <w:t>以联合体形式参加政府采购活动</w:t>
      </w:r>
      <w:r>
        <w:rPr>
          <w:rFonts w:hint="eastAsia"/>
          <w:color w:val="auto"/>
          <w:lang w:val="en-US" w:eastAsia="zh-CN"/>
        </w:rPr>
        <w:t>的</w:t>
      </w:r>
      <w:r>
        <w:rPr>
          <w:rFonts w:hint="eastAsia"/>
          <w:color w:val="auto"/>
          <w:lang w:eastAsia="zh-CN"/>
        </w:rPr>
        <w:t>，联合体各方均为中小企业的，联合体视同中小企业，其中，联合体各方均为小微企业的，联合体视同小微企业，组成联合体</w:t>
      </w:r>
      <w:r>
        <w:rPr>
          <w:rFonts w:hint="eastAsia"/>
          <w:color w:val="auto"/>
          <w:lang w:val="en-US" w:eastAsia="zh-CN"/>
        </w:rPr>
        <w:t>的</w:t>
      </w:r>
      <w:r>
        <w:rPr>
          <w:rFonts w:hint="eastAsia"/>
          <w:color w:val="auto"/>
          <w:lang w:eastAsia="zh-CN"/>
        </w:rPr>
        <w:t>中小企业与联合体内其他企业不得存在直接控股、管理关系；</w:t>
      </w:r>
    </w:p>
    <w:p w14:paraId="5431563F">
      <w:pPr>
        <w:pStyle w:val="39"/>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eastAsia="宋体"/>
          <w:color w:val="auto"/>
          <w:lang w:eastAsia="zh-CN"/>
        </w:rPr>
      </w:pPr>
      <w:sdt>
        <w:sdtPr>
          <w:rPr>
            <w:color w:val="auto"/>
          </w:rPr>
          <w:id w:val="1152004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color w:val="auto"/>
        </w:rPr>
        <w:t>要求以联合体形式参加</w:t>
      </w:r>
      <w:r>
        <w:rPr>
          <w:rFonts w:hint="eastAsia"/>
          <w:color w:val="auto"/>
          <w:lang w:eastAsia="zh-CN"/>
        </w:rPr>
        <w:t>。</w:t>
      </w:r>
      <w:r>
        <w:rPr>
          <w:color w:val="auto"/>
        </w:rPr>
        <w:t>提供联合协议和中小企业声明函，联合协议中中小企业合同金额应当达到  %，小微企业合同金额应当达到 %;</w:t>
      </w:r>
      <w:r>
        <w:rPr>
          <w:rFonts w:hint="eastAsia"/>
          <w:color w:val="auto"/>
        </w:rPr>
        <w:t>如果供应商本身提供所有标的均由中小企业制造、承建或承接，视同符合了资格条件，无需再与其他中小企业组成联合体参加政府采购活动，无需提供联合协议</w:t>
      </w:r>
      <w:r>
        <w:rPr>
          <w:rFonts w:hint="eastAsia"/>
          <w:color w:val="auto"/>
          <w:lang w:eastAsia="zh-CN"/>
        </w:rPr>
        <w:t>；组成联合体的中小企业与联合体内其他企业之间不得存在直接控股、管理关系；</w:t>
      </w:r>
    </w:p>
    <w:p w14:paraId="4022223C">
      <w:pPr>
        <w:pStyle w:val="39"/>
        <w:keepNext w:val="0"/>
        <w:keepLines w:val="0"/>
        <w:pageBreakBefore w:val="0"/>
        <w:widowControl w:val="0"/>
        <w:kinsoku/>
        <w:wordWrap/>
        <w:overflowPunct/>
        <w:topLinePunct w:val="0"/>
        <w:autoSpaceDE/>
        <w:autoSpaceDN/>
        <w:bidi w:val="0"/>
        <w:adjustRightInd w:val="0"/>
        <w:snapToGrid w:val="0"/>
        <w:ind w:firstLine="482"/>
        <w:textAlignment w:val="auto"/>
        <w:rPr>
          <w:color w:val="00B050"/>
          <w:lang w:eastAsia="zh-CN"/>
        </w:rPr>
      </w:pPr>
      <w:sdt>
        <w:sdtPr>
          <w:rPr>
            <w:color w:val="auto"/>
          </w:rPr>
          <w:id w:val="81985768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要求合同分包</w:t>
      </w:r>
      <w:r>
        <w:rPr>
          <w:rFonts w:hint="eastAsia"/>
          <w:color w:val="auto"/>
          <w:lang w:eastAsia="zh-CN"/>
        </w:rPr>
        <w:t>。</w:t>
      </w:r>
      <w:r>
        <w:rPr>
          <w:rFonts w:hint="eastAsia"/>
          <w:color w:val="auto"/>
        </w:rPr>
        <w:t>提供分包意向协议和中小企业声明函，分包意向协议中中小企业合同金额应当达到</w:t>
      </w:r>
      <w:r>
        <w:rPr>
          <w:color w:val="auto"/>
        </w:rPr>
        <w:t>达到  % ，小微企业合同金额应当达到 % ;</w:t>
      </w:r>
      <w:r>
        <w:rPr>
          <w:rFonts w:hint="eastAsia"/>
          <w:color w:val="auto"/>
        </w:rPr>
        <w:t>如果供应商本身提供所有标的均由中小企业制造、承建或承接，视同符合了资格条件，无需再向中小企业分包，无需提供分包意向协议</w:t>
      </w:r>
      <w:r>
        <w:rPr>
          <w:rFonts w:hint="eastAsia"/>
          <w:color w:val="auto"/>
          <w:lang w:eastAsia="zh-CN"/>
        </w:rPr>
        <w:t>；</w:t>
      </w:r>
      <w:r>
        <w:rPr>
          <w:rFonts w:hint="eastAsia"/>
          <w:color w:val="auto"/>
        </w:rPr>
        <w:t>组成联合体或者接受分包合同的中小企业与联合体内其他企业、分包企业之间不得存在直接控股、管理关系。</w:t>
      </w:r>
    </w:p>
    <w:p w14:paraId="762DEC0A">
      <w:pPr>
        <w:pStyle w:val="39"/>
        <w:keepNext w:val="0"/>
        <w:keepLines w:val="0"/>
        <w:pageBreakBefore w:val="0"/>
        <w:widowControl w:val="0"/>
        <w:kinsoku/>
        <w:wordWrap/>
        <w:overflowPunct/>
        <w:topLinePunct w:val="0"/>
        <w:autoSpaceDE/>
        <w:autoSpaceDN/>
        <w:bidi w:val="0"/>
        <w:adjustRightInd w:val="0"/>
        <w:snapToGrid w:val="0"/>
        <w:ind w:firstLine="482"/>
        <w:textAlignment w:val="auto"/>
        <w:rPr>
          <w:bCs/>
        </w:rPr>
      </w:pPr>
      <w:r>
        <w:rPr>
          <w:b/>
          <w:bCs/>
        </w:rPr>
        <w:t>3.</w:t>
      </w:r>
      <w:r>
        <w:rPr>
          <w:rFonts w:hint="eastAsia"/>
          <w:b/>
          <w:bCs/>
        </w:rPr>
        <w:t>本项目的特定资格要求：</w:t>
      </w:r>
      <w:r>
        <w:rPr>
          <w:rFonts w:hint="eastAsia"/>
          <w:color w:val="auto"/>
          <w:lang w:eastAsia="zh-CN"/>
        </w:rPr>
        <w:t>无</w:t>
      </w:r>
    </w:p>
    <w:p w14:paraId="793F5DB8">
      <w:pPr>
        <w:pStyle w:val="41"/>
        <w:numPr>
          <w:ilvl w:val="0"/>
          <w:numId w:val="0"/>
        </w:numPr>
        <w:jc w:val="both"/>
        <w:outlineLvl w:val="9"/>
        <w:rPr>
          <w:b/>
          <w:bCs w:val="0"/>
          <w:sz w:val="24"/>
          <w:szCs w:val="24"/>
        </w:rPr>
      </w:pPr>
      <w:r>
        <w:rPr>
          <w:rFonts w:hint="eastAsia"/>
          <w:b/>
          <w:bCs w:val="0"/>
          <w:sz w:val="24"/>
          <w:szCs w:val="24"/>
        </w:rPr>
        <w:t>三、获取招标文件</w:t>
      </w:r>
    </w:p>
    <w:p w14:paraId="330913D0">
      <w:pPr>
        <w:pStyle w:val="39"/>
        <w:ind w:firstLine="482"/>
        <w:rPr>
          <w:lang w:eastAsia="zh-CN"/>
        </w:rPr>
      </w:pPr>
      <w:r>
        <w:rPr>
          <w:rFonts w:hint="eastAsia"/>
          <w:b/>
          <w:bCs/>
          <w:lang w:eastAsia="zh-CN"/>
        </w:rPr>
        <w:t>获取</w:t>
      </w:r>
      <w:r>
        <w:rPr>
          <w:rFonts w:hint="eastAsia"/>
          <w:b/>
          <w:bCs/>
        </w:rPr>
        <w:t>时间：</w:t>
      </w:r>
      <w:r>
        <w:rPr>
          <w:rFonts w:hint="eastAsia"/>
          <w:lang w:eastAsia="zh-CN"/>
        </w:rPr>
        <w:t>自本公告发布起</w:t>
      </w:r>
      <w:r>
        <w:rPr>
          <w:rFonts w:hint="eastAsia"/>
        </w:rPr>
        <w:t>至</w:t>
      </w:r>
      <w:r>
        <w:rPr>
          <w:rFonts w:hint="eastAsia"/>
          <w:lang w:eastAsia="zh-CN"/>
        </w:rPr>
        <w:t>投标截止时间止。</w:t>
      </w:r>
    </w:p>
    <w:p w14:paraId="565E3F99">
      <w:pPr>
        <w:pStyle w:val="39"/>
        <w:ind w:firstLine="482"/>
      </w:pPr>
      <w:r>
        <w:rPr>
          <w:rFonts w:hint="eastAsia"/>
          <w:b/>
          <w:bCs/>
          <w:lang w:eastAsia="zh-CN"/>
        </w:rPr>
        <w:t>获取网址</w:t>
      </w:r>
      <w:r>
        <w:rPr>
          <w:rFonts w:hint="eastAsia"/>
          <w:b/>
          <w:bCs/>
        </w:rPr>
        <w:t>：</w:t>
      </w:r>
      <w:r>
        <w:rPr>
          <w:rFonts w:hint="eastAsia"/>
        </w:rPr>
        <w:t>浙江政府采购网（http://zfcg.czt.zj.gov.cn）</w:t>
      </w:r>
    </w:p>
    <w:p w14:paraId="644D9819">
      <w:pPr>
        <w:pStyle w:val="39"/>
        <w:ind w:firstLine="482"/>
      </w:pPr>
      <w:r>
        <w:rPr>
          <w:rFonts w:hint="eastAsia"/>
          <w:b/>
          <w:bCs/>
        </w:rPr>
        <w:t>获取方式：</w:t>
      </w:r>
      <w:r>
        <w:rPr>
          <w:rFonts w:hint="eastAsia"/>
        </w:rPr>
        <w:t>本项目不提供纸制版</w:t>
      </w:r>
      <w:r>
        <w:rPr>
          <w:rFonts w:hint="eastAsia"/>
          <w:lang w:eastAsia="zh-CN"/>
        </w:rPr>
        <w:t>招标</w:t>
      </w:r>
      <w:r>
        <w:rPr>
          <w:rFonts w:hint="eastAsia"/>
        </w:rPr>
        <w:t>文件，供应商</w:t>
      </w:r>
      <w:r>
        <w:rPr>
          <w:rFonts w:hint="eastAsia"/>
          <w:lang w:eastAsia="zh-CN"/>
        </w:rPr>
        <w:t>通过本公告下方“潜在供应商”链接或者</w:t>
      </w:r>
      <w:r>
        <w:rPr>
          <w:rFonts w:hint="eastAsia"/>
        </w:rPr>
        <w:t>登录政采云平台</w:t>
      </w:r>
      <w:r>
        <w:rPr>
          <w:rFonts w:hint="eastAsia"/>
          <w:lang w:eastAsia="zh-CN"/>
        </w:rPr>
        <w:t>（</w:t>
      </w:r>
      <w:r>
        <w:rPr>
          <w:rFonts w:hint="default"/>
          <w:lang w:val="en-US"/>
        </w:rPr>
        <w:t>https://middle.zcygov.cn/</w:t>
      </w:r>
      <w:r>
        <w:rPr>
          <w:rFonts w:hint="eastAsia"/>
          <w:lang w:eastAsia="zh-CN"/>
        </w:rPr>
        <w:t>）</w:t>
      </w:r>
      <w:r>
        <w:rPr>
          <w:rFonts w:hint="eastAsia"/>
        </w:rPr>
        <w:t>在线申请获取</w:t>
      </w:r>
      <w:r>
        <w:rPr>
          <w:rFonts w:hint="eastAsia"/>
          <w:lang w:eastAsia="zh-CN"/>
        </w:rPr>
        <w:t>招标</w:t>
      </w:r>
      <w:r>
        <w:rPr>
          <w:rFonts w:hint="eastAsia"/>
        </w:rPr>
        <w:t>文件（进入“项目采购”应用，在获取招标文件菜单中选择项目，申请获取招标文件）；</w:t>
      </w:r>
      <w:r>
        <w:rPr>
          <w:rFonts w:hint="eastAsia"/>
          <w:lang w:eastAsia="zh-CN"/>
        </w:rPr>
        <w:t>通过本公告下方</w:t>
      </w:r>
      <w:r>
        <w:rPr>
          <w:rFonts w:hint="eastAsia"/>
        </w:rPr>
        <w:t>“游客”链接或者通过其他途径获取的招标文件均视为未依法获取招标文件，将不得对招标文件提出质疑，其投标文件将被拒绝。</w:t>
      </w:r>
    </w:p>
    <w:p w14:paraId="5FDC7B9E">
      <w:pPr>
        <w:pStyle w:val="39"/>
        <w:ind w:firstLine="482"/>
      </w:pPr>
      <w:r>
        <w:rPr>
          <w:rFonts w:hint="eastAsia"/>
          <w:b/>
          <w:bCs/>
        </w:rPr>
        <w:t>售价（元）：</w:t>
      </w:r>
      <w:r>
        <w:rPr>
          <w:rFonts w:hint="eastAsia"/>
        </w:rPr>
        <w:t>0</w:t>
      </w:r>
    </w:p>
    <w:p w14:paraId="2673DD20">
      <w:pPr>
        <w:pStyle w:val="41"/>
        <w:numPr>
          <w:ilvl w:val="0"/>
          <w:numId w:val="0"/>
        </w:numPr>
        <w:jc w:val="both"/>
        <w:outlineLvl w:val="9"/>
        <w:rPr>
          <w:sz w:val="24"/>
          <w:szCs w:val="24"/>
        </w:rPr>
      </w:pPr>
      <w:r>
        <w:rPr>
          <w:rFonts w:hint="eastAsia"/>
          <w:sz w:val="24"/>
          <w:szCs w:val="24"/>
        </w:rPr>
        <w:t>四、提交投标文件截止时间、开标时间和地点</w:t>
      </w:r>
    </w:p>
    <w:p w14:paraId="179EA6CE">
      <w:pPr>
        <w:pStyle w:val="39"/>
        <w:ind w:firstLine="482"/>
        <w:rPr>
          <w:color w:val="auto"/>
        </w:rPr>
      </w:pPr>
      <w:r>
        <w:rPr>
          <w:rFonts w:hint="eastAsia"/>
          <w:b/>
          <w:bCs/>
        </w:rPr>
        <w:t>提交投标文件截止时间：</w:t>
      </w:r>
      <w:r>
        <w:rPr>
          <w:rFonts w:hint="eastAsia"/>
          <w:color w:val="auto"/>
          <w:lang w:eastAsia="zh-CN"/>
        </w:rPr>
        <w:t>2025年07月17日10时00分</w:t>
      </w:r>
      <w:r>
        <w:rPr>
          <w:rFonts w:hint="eastAsia"/>
          <w:color w:val="auto"/>
        </w:rPr>
        <w:t>（北京时间）</w:t>
      </w:r>
    </w:p>
    <w:p w14:paraId="283D8C69">
      <w:pPr>
        <w:pStyle w:val="39"/>
        <w:ind w:firstLine="482"/>
        <w:rPr>
          <w:color w:val="auto"/>
        </w:rPr>
      </w:pPr>
      <w:r>
        <w:rPr>
          <w:rFonts w:hint="eastAsia"/>
          <w:b/>
          <w:bCs/>
          <w:color w:val="auto"/>
        </w:rPr>
        <w:t>投标地点（网址）：</w:t>
      </w:r>
      <w:r>
        <w:rPr>
          <w:rFonts w:hint="eastAsia"/>
          <w:color w:val="auto"/>
        </w:rPr>
        <w:t>政府采购云平台（</w:t>
      </w:r>
      <w:r>
        <w:rPr>
          <w:rFonts w:hint="default"/>
          <w:color w:val="auto"/>
          <w:lang w:val="en-US"/>
        </w:rPr>
        <w:t>https://middle.zcygov.cn/</w:t>
      </w:r>
      <w:r>
        <w:rPr>
          <w:rFonts w:hint="eastAsia"/>
          <w:color w:val="auto"/>
        </w:rPr>
        <w:t>）</w:t>
      </w:r>
    </w:p>
    <w:p w14:paraId="4171DCBE">
      <w:pPr>
        <w:pStyle w:val="39"/>
        <w:ind w:firstLine="480"/>
        <w:rPr>
          <w:color w:val="auto"/>
        </w:rPr>
      </w:pPr>
      <w:r>
        <w:rPr>
          <w:rFonts w:hint="eastAsia"/>
          <w:b/>
          <w:bCs/>
          <w:color w:val="auto"/>
        </w:rPr>
        <w:t>开标时间：</w:t>
      </w:r>
      <w:r>
        <w:rPr>
          <w:rFonts w:hint="eastAsia"/>
          <w:color w:val="auto"/>
          <w:lang w:eastAsia="zh-CN"/>
        </w:rPr>
        <w:t>2025年07月17日10时00分</w:t>
      </w:r>
      <w:r>
        <w:rPr>
          <w:rFonts w:hint="eastAsia"/>
          <w:color w:val="auto"/>
        </w:rPr>
        <w:t>（北京时间）</w:t>
      </w:r>
    </w:p>
    <w:p w14:paraId="315DA4F5">
      <w:pPr>
        <w:pStyle w:val="39"/>
        <w:ind w:firstLine="482"/>
        <w:rPr>
          <w:color w:val="auto"/>
        </w:rPr>
      </w:pPr>
      <w:r>
        <w:rPr>
          <w:rFonts w:hint="eastAsia"/>
          <w:b/>
          <w:bCs/>
          <w:color w:val="auto"/>
        </w:rPr>
        <w:t>开标地点（网址）：</w:t>
      </w:r>
      <w:r>
        <w:rPr>
          <w:rFonts w:hint="eastAsia"/>
          <w:color w:val="auto"/>
        </w:rPr>
        <w:t>政府采购云平台（</w:t>
      </w:r>
      <w:r>
        <w:rPr>
          <w:color w:val="auto"/>
          <w:lang w:val="en-US"/>
        </w:rPr>
        <w:t>https://middle.zcygov.cn/</w:t>
      </w:r>
      <w:r>
        <w:rPr>
          <w:rFonts w:hint="eastAsia"/>
          <w:color w:val="auto"/>
        </w:rPr>
        <w:t>）</w:t>
      </w:r>
    </w:p>
    <w:p w14:paraId="7DF04C30">
      <w:pPr>
        <w:pStyle w:val="41"/>
        <w:numPr>
          <w:ilvl w:val="0"/>
          <w:numId w:val="0"/>
        </w:numPr>
        <w:jc w:val="both"/>
        <w:outlineLvl w:val="9"/>
        <w:rPr>
          <w:color w:val="auto"/>
          <w:sz w:val="24"/>
          <w:szCs w:val="24"/>
        </w:rPr>
      </w:pPr>
      <w:r>
        <w:rPr>
          <w:rFonts w:hint="eastAsia"/>
          <w:color w:val="auto"/>
          <w:sz w:val="24"/>
          <w:szCs w:val="24"/>
        </w:rPr>
        <w:t>五、公告期限</w:t>
      </w:r>
    </w:p>
    <w:p w14:paraId="6454400F">
      <w:pPr>
        <w:pStyle w:val="39"/>
        <w:ind w:firstLine="480"/>
      </w:pPr>
      <w:r>
        <w:rPr>
          <w:rFonts w:hint="eastAsia"/>
        </w:rPr>
        <w:t>自本公告发布之日起5个工作日。</w:t>
      </w:r>
    </w:p>
    <w:p w14:paraId="2E720481">
      <w:pPr>
        <w:pStyle w:val="41"/>
        <w:numPr>
          <w:ilvl w:val="0"/>
          <w:numId w:val="0"/>
        </w:numPr>
        <w:jc w:val="both"/>
        <w:outlineLvl w:val="9"/>
        <w:rPr>
          <w:sz w:val="24"/>
          <w:szCs w:val="24"/>
        </w:rPr>
      </w:pPr>
      <w:r>
        <w:rPr>
          <w:rFonts w:hint="eastAsia"/>
          <w:sz w:val="24"/>
          <w:szCs w:val="24"/>
        </w:rPr>
        <w:t>六、其他补充事宜</w:t>
      </w:r>
    </w:p>
    <w:p w14:paraId="011EEF3A">
      <w:pPr>
        <w:pStyle w:val="39"/>
        <w:ind w:firstLine="480"/>
        <w:jc w:val="left"/>
        <w:rPr>
          <w:rFonts w:hint="default"/>
          <w:color w:val="auto"/>
          <w:lang w:val="en-US" w:eastAsia="zh-CN"/>
        </w:rPr>
      </w:pPr>
      <w:r>
        <w:rPr>
          <w:rFonts w:hint="eastAsia"/>
          <w:color w:val="auto"/>
        </w:rPr>
        <w:t>1</w:t>
      </w:r>
      <w:r>
        <w:rPr>
          <w:rFonts w:hint="eastAsia"/>
          <w:color w:val="auto"/>
          <w:lang w:eastAsia="zh-CN"/>
        </w:rPr>
        <w:t>．</w:t>
      </w:r>
      <w:r>
        <w:rPr>
          <w:rFonts w:hint="eastAsia"/>
          <w:color w:val="auto"/>
          <w:lang w:val="en-US" w:eastAsia="zh-CN"/>
        </w:rPr>
        <w:t>本项目采购意向公开链接为：https://zfcg.czt.zj.gov.cn/site/detail?parentId=600007&amp;articleId=lMHvj%2BKd0eOAzxFO85gqDg%3D%3D</w:t>
      </w:r>
    </w:p>
    <w:p w14:paraId="709EA096">
      <w:pPr>
        <w:pStyle w:val="39"/>
        <w:ind w:firstLine="480"/>
      </w:pPr>
      <w:r>
        <w:rPr>
          <w:rFonts w:hint="eastAsia"/>
          <w:color w:val="auto"/>
          <w:lang w:val="en-US" w:eastAsia="zh-CN"/>
        </w:rPr>
        <w:t>2.</w:t>
      </w:r>
      <w:r>
        <w:rPr>
          <w:rFonts w:hint="eastAsia"/>
          <w:color w:val="auto"/>
        </w:rPr>
        <w:t>《浙江省财政厅关于进一步发挥政府采</w:t>
      </w:r>
      <w:r>
        <w:rPr>
          <w:rFonts w:hint="eastAsia"/>
        </w:rPr>
        <w:t>购政策功能全力推动经济稳进提质的通知》（浙财采监〔2022〕3号）、《浙江省财政厅关于进一步促进政府采购公平竞争打造最优营商环境的通知》（浙财采监〔202</w:t>
      </w:r>
      <w:r>
        <w:rPr>
          <w:rFonts w:hint="eastAsia"/>
          <w:lang w:val="en-US" w:eastAsia="zh-CN"/>
        </w:rPr>
        <w:t>1</w:t>
      </w:r>
      <w:r>
        <w:rPr>
          <w:rFonts w:hint="eastAsia"/>
        </w:rPr>
        <w:t>〕22号）</w:t>
      </w:r>
      <w:r>
        <w:rPr>
          <w:rFonts w:hint="eastAsia"/>
          <w:lang w:eastAsia="zh-CN"/>
        </w:rPr>
        <w:t>、《浙江省财政厅关于进一步加大政府采购支持中小企业力度助力扎实稳住经济的通知》（浙财采监〔2022〕8号）</w:t>
      </w:r>
      <w:r>
        <w:rPr>
          <w:rFonts w:hint="eastAsia"/>
        </w:rPr>
        <w:t>已分别于2022年1月29日</w:t>
      </w:r>
      <w:r>
        <w:rPr>
          <w:rFonts w:hint="eastAsia"/>
          <w:lang w:eastAsia="zh-CN"/>
        </w:rPr>
        <w:t>、</w:t>
      </w:r>
      <w:r>
        <w:rPr>
          <w:rFonts w:hint="eastAsia"/>
        </w:rPr>
        <w:t>2022年2月1日和2022年7月1日开始实施，此前有关规定与上述文件内容不一致的，按上述文件要求执行。</w:t>
      </w:r>
    </w:p>
    <w:p w14:paraId="12B4CBCB">
      <w:pPr>
        <w:pStyle w:val="39"/>
        <w:ind w:firstLine="480"/>
      </w:pPr>
      <w:r>
        <w:rPr>
          <w:rFonts w:hint="eastAsia"/>
          <w:lang w:val="en-US" w:eastAsia="zh-CN"/>
        </w:rPr>
        <w:t>3</w:t>
      </w:r>
      <w:r>
        <w:rPr>
          <w:rFonts w:hint="eastAsia"/>
          <w:lang w:eastAsia="zh-CN"/>
        </w:rPr>
        <w:t>.</w:t>
      </w:r>
      <w:r>
        <w:rPr>
          <w:rFonts w:hint="eastAsia"/>
        </w:rPr>
        <w:t>根据《浙江省财政厅关于进一步促进政府采购公平竞争打造最优营商环境的通知》（浙财采监〔2022〕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07C5CF">
      <w:pPr>
        <w:pStyle w:val="39"/>
        <w:ind w:firstLine="480"/>
      </w:pPr>
      <w:r>
        <w:rPr>
          <w:rFonts w:hint="eastAsia"/>
          <w:lang w:val="en-US" w:eastAsia="zh-CN"/>
        </w:rPr>
        <w:t>4</w:t>
      </w:r>
      <w:r>
        <w:rPr>
          <w:rFonts w:hint="eastAsia"/>
          <w:lang w:eastAsia="zh-CN"/>
        </w:rPr>
        <w:t>.</w:t>
      </w:r>
      <w:r>
        <w:rPr>
          <w:rFonts w:hint="eastAsia"/>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4D781255">
      <w:pPr>
        <w:pStyle w:val="39"/>
        <w:ind w:firstLine="480"/>
      </w:pPr>
      <w:r>
        <w:rPr>
          <w:rFonts w:hint="eastAsia"/>
          <w:lang w:val="en-US" w:eastAsia="zh-CN"/>
        </w:rPr>
        <w:t>5</w:t>
      </w:r>
      <w:r>
        <w:rPr>
          <w:rFonts w:hint="eastAsia"/>
          <w:lang w:eastAsia="zh-CN"/>
        </w:rPr>
        <w:t>.</w:t>
      </w:r>
      <w:r>
        <w:rPr>
          <w:rFonts w:hint="eastAsia"/>
        </w:rPr>
        <w:t>其他事项：</w:t>
      </w:r>
    </w:p>
    <w:p w14:paraId="23123156">
      <w:pPr>
        <w:pStyle w:val="39"/>
        <w:ind w:firstLine="480"/>
        <w:rPr>
          <w:lang w:eastAsia="zh-CN"/>
        </w:rPr>
      </w:pPr>
      <w:r>
        <w:rPr>
          <w:rFonts w:hint="eastAsia"/>
        </w:rPr>
        <w:t>（1）</w:t>
      </w:r>
      <w:r>
        <w:rPr>
          <w:rFonts w:hint="eastAsia"/>
          <w:lang w:eastAsia="zh-CN"/>
        </w:rPr>
        <w:t>本</w:t>
      </w:r>
      <w:r>
        <w:rPr>
          <w:rFonts w:hint="eastAsia"/>
        </w:rPr>
        <w:t>项目需要落实的政府采购政策：包括</w:t>
      </w:r>
      <w:r>
        <w:rPr>
          <w:rFonts w:hint="eastAsia"/>
          <w:lang w:eastAsia="zh-CN"/>
        </w:rPr>
        <w:t>支持绿色发展</w:t>
      </w:r>
      <w:r>
        <w:rPr>
          <w:rFonts w:hint="eastAsia"/>
        </w:rPr>
        <w:t>、支持创新、</w:t>
      </w:r>
      <w:r>
        <w:rPr>
          <w:rFonts w:hint="eastAsia"/>
          <w:lang w:eastAsia="zh-CN"/>
        </w:rPr>
        <w:t>支持</w:t>
      </w:r>
      <w:r>
        <w:rPr>
          <w:rFonts w:hint="eastAsia"/>
        </w:rPr>
        <w:t>中小企业发展</w:t>
      </w:r>
      <w:r>
        <w:rPr>
          <w:rFonts w:hint="eastAsia"/>
          <w:lang w:eastAsia="zh-CN"/>
        </w:rPr>
        <w:t>，支持国货</w:t>
      </w:r>
      <w:r>
        <w:rPr>
          <w:rFonts w:hint="eastAsia"/>
        </w:rPr>
        <w:t>等。具体详见招标文件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eastAsia"/>
        </w:rPr>
        <w:t>投标</w:t>
      </w:r>
      <w:r>
        <w:rPr>
          <w:rFonts w:hint="eastAsia"/>
          <w:lang w:eastAsia="zh-CN"/>
        </w:rPr>
        <w:t>人</w:t>
      </w:r>
      <w:r>
        <w:rPr>
          <w:rFonts w:hint="eastAsia"/>
        </w:rPr>
        <w:t>须知</w:t>
      </w:r>
      <w:r>
        <w:rPr>
          <w:rFonts w:hint="eastAsia"/>
          <w:lang w:eastAsia="zh-CN"/>
        </w:rPr>
        <w:t>”。</w:t>
      </w:r>
    </w:p>
    <w:p w14:paraId="37B97DD6">
      <w:pPr>
        <w:pStyle w:val="39"/>
        <w:ind w:firstLine="480"/>
      </w:pPr>
      <w:r>
        <w:rPr>
          <w:rFonts w:hint="eastAsia"/>
        </w:rPr>
        <w:t>（2）</w:t>
      </w:r>
      <w:r>
        <w:rPr>
          <w:rFonts w:hint="eastAsia"/>
          <w:lang w:eastAsia="zh-CN"/>
        </w:rPr>
        <w:t>依法限制参加本项目政府采购活动的供应商：单位负责人为同一人或者存在直接控股、管理关系的不同投标人</w:t>
      </w:r>
      <w:r>
        <w:rPr>
          <w:rFonts w:hint="eastAsia"/>
          <w:lang w:val="en-US" w:eastAsia="zh-CN"/>
        </w:rPr>
        <w:t>。</w:t>
      </w:r>
      <w:r>
        <w:rPr>
          <w:rFonts w:hint="eastAsia"/>
          <w:lang w:eastAsia="zh-CN"/>
        </w:rPr>
        <w:t>其他</w:t>
      </w:r>
      <w:r>
        <w:rPr>
          <w:rFonts w:hint="eastAsia"/>
          <w:lang w:val="en-US" w:eastAsia="zh-CN"/>
        </w:rPr>
        <w:t>限制参加的</w:t>
      </w:r>
      <w:r>
        <w:rPr>
          <w:rFonts w:hint="eastAsia"/>
          <w:lang w:eastAsia="zh-CN"/>
        </w:rPr>
        <w:t>情形</w:t>
      </w:r>
      <w:r>
        <w:rPr>
          <w:rFonts w:hint="eastAsia"/>
          <w:lang w:val="en-US" w:eastAsia="zh-CN"/>
        </w:rPr>
        <w:t>详</w:t>
      </w:r>
      <w:r>
        <w:rPr>
          <w:rFonts w:hint="eastAsia"/>
        </w:rPr>
        <w:t>见招标文件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eastAsia"/>
        </w:rPr>
        <w:t>投标</w:t>
      </w:r>
      <w:r>
        <w:rPr>
          <w:rFonts w:hint="eastAsia"/>
          <w:lang w:eastAsia="zh-CN"/>
        </w:rPr>
        <w:t>人</w:t>
      </w:r>
      <w:r>
        <w:rPr>
          <w:rFonts w:hint="eastAsia"/>
        </w:rPr>
        <w:t>须知</w:t>
      </w:r>
      <w:r>
        <w:rPr>
          <w:rFonts w:hint="eastAsia"/>
          <w:lang w:eastAsia="zh-CN"/>
        </w:rPr>
        <w:t>”。</w:t>
      </w:r>
    </w:p>
    <w:p w14:paraId="346CF3EC">
      <w:pPr>
        <w:pStyle w:val="39"/>
        <w:ind w:firstLine="480"/>
        <w:jc w:val="left"/>
        <w:rPr>
          <w:lang w:eastAsia="zh-CN"/>
        </w:rPr>
      </w:pPr>
      <w:r>
        <w:rPr>
          <w:rFonts w:hint="eastAsia"/>
          <w:lang w:eastAsia="zh-CN"/>
        </w:rPr>
        <w:t>（3）本项目采用政府采购电子化交易，投标人应在投标前完成供应商注册（详见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用户入驻与登录-用户注册-供应商登记”）并完成CA数字证书办理（详见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2823659F">
      <w:pPr>
        <w:pStyle w:val="39"/>
        <w:ind w:firstLine="480"/>
        <w:jc w:val="left"/>
        <w:rPr>
          <w:lang w:eastAsia="zh-CN"/>
        </w:rPr>
      </w:pPr>
      <w:r>
        <w:rPr>
          <w:rFonts w:hint="eastAsia"/>
          <w:lang w:eastAsia="zh-CN"/>
        </w:rPr>
        <w:t>（4）</w:t>
      </w:r>
      <w:r>
        <w:rPr>
          <w:rFonts w:hint="eastAsia"/>
          <w:lang w:val="en-US" w:eastAsia="zh-Hans"/>
        </w:rPr>
        <w:t>招标</w:t>
      </w:r>
      <w:r>
        <w:rPr>
          <w:rFonts w:hint="eastAsia"/>
          <w:lang w:eastAsia="zh-CN"/>
        </w:rPr>
        <w:t>文件公告期限同采购公告期限。</w:t>
      </w:r>
    </w:p>
    <w:p w14:paraId="5B1B49E8">
      <w:pPr>
        <w:pStyle w:val="41"/>
        <w:numPr>
          <w:ilvl w:val="0"/>
          <w:numId w:val="0"/>
        </w:numPr>
        <w:jc w:val="both"/>
        <w:outlineLvl w:val="9"/>
        <w:rPr>
          <w:sz w:val="24"/>
          <w:szCs w:val="24"/>
        </w:rPr>
      </w:pPr>
      <w:r>
        <w:rPr>
          <w:rFonts w:hint="eastAsia"/>
          <w:sz w:val="24"/>
          <w:szCs w:val="24"/>
        </w:rPr>
        <w:t>七、对本次采购提出询问、质疑、投诉，请按以下方式联系</w:t>
      </w:r>
    </w:p>
    <w:p w14:paraId="1D206C8D">
      <w:pPr>
        <w:pStyle w:val="39"/>
        <w:ind w:firstLine="480"/>
        <w:rPr>
          <w:color w:val="auto"/>
        </w:rPr>
      </w:pPr>
      <w:r>
        <w:rPr>
          <w:rFonts w:hint="eastAsia"/>
          <w:color w:val="auto"/>
        </w:rPr>
        <w:t>1</w:t>
      </w:r>
      <w:r>
        <w:rPr>
          <w:rFonts w:hint="eastAsia"/>
          <w:color w:val="auto"/>
          <w:lang w:eastAsia="zh-CN"/>
        </w:rPr>
        <w:t>.</w:t>
      </w:r>
      <w:r>
        <w:rPr>
          <w:rFonts w:hint="eastAsia"/>
          <w:color w:val="auto"/>
        </w:rPr>
        <w:t>采购人信息</w:t>
      </w:r>
    </w:p>
    <w:p w14:paraId="274440D1">
      <w:pPr>
        <w:pStyle w:val="39"/>
        <w:ind w:firstLine="480"/>
        <w:rPr>
          <w:rFonts w:hint="eastAsia"/>
          <w:color w:val="auto"/>
        </w:rPr>
      </w:pPr>
      <w:r>
        <w:rPr>
          <w:rFonts w:hint="eastAsia"/>
          <w:color w:val="auto"/>
        </w:rPr>
        <w:t>名称：浙江省应急管理厅</w:t>
      </w:r>
    </w:p>
    <w:p w14:paraId="6D75726D">
      <w:pPr>
        <w:pStyle w:val="39"/>
        <w:ind w:firstLine="480"/>
        <w:rPr>
          <w:rFonts w:hint="eastAsia"/>
          <w:color w:val="auto"/>
        </w:rPr>
      </w:pPr>
      <w:r>
        <w:rPr>
          <w:rFonts w:hint="eastAsia"/>
          <w:color w:val="auto"/>
        </w:rPr>
        <w:t>地址：杭州市体育场路479号</w:t>
      </w:r>
    </w:p>
    <w:p w14:paraId="0E2F64D4">
      <w:pPr>
        <w:pStyle w:val="39"/>
        <w:ind w:firstLine="480"/>
        <w:rPr>
          <w:rFonts w:hint="eastAsia"/>
          <w:color w:val="auto"/>
        </w:rPr>
      </w:pPr>
      <w:r>
        <w:rPr>
          <w:rFonts w:hint="eastAsia"/>
          <w:color w:val="auto"/>
        </w:rPr>
        <w:t>项目联系人（询问）：滕老师</w:t>
      </w:r>
    </w:p>
    <w:p w14:paraId="220BE490">
      <w:pPr>
        <w:pStyle w:val="39"/>
        <w:ind w:firstLine="480"/>
        <w:rPr>
          <w:rFonts w:hint="eastAsia"/>
          <w:color w:val="auto"/>
        </w:rPr>
      </w:pPr>
      <w:r>
        <w:rPr>
          <w:rFonts w:hint="eastAsia"/>
          <w:color w:val="auto"/>
        </w:rPr>
        <w:t>项目联系方式（询问）：0571-83700130</w:t>
      </w:r>
    </w:p>
    <w:p w14:paraId="000BF567">
      <w:pPr>
        <w:pStyle w:val="39"/>
        <w:ind w:firstLine="480"/>
        <w:rPr>
          <w:rFonts w:hint="eastAsia"/>
          <w:color w:val="auto"/>
        </w:rPr>
      </w:pPr>
      <w:r>
        <w:rPr>
          <w:rFonts w:hint="eastAsia"/>
          <w:color w:val="auto"/>
        </w:rPr>
        <w:t>质疑联系人：吴老师</w:t>
      </w:r>
    </w:p>
    <w:p w14:paraId="1511C30D">
      <w:pPr>
        <w:pStyle w:val="39"/>
        <w:ind w:firstLine="480"/>
        <w:rPr>
          <w:color w:val="auto"/>
        </w:rPr>
      </w:pPr>
      <w:r>
        <w:rPr>
          <w:rFonts w:hint="eastAsia"/>
          <w:color w:val="auto"/>
        </w:rPr>
        <w:t>质疑联系方式：0571-87053560</w:t>
      </w:r>
    </w:p>
    <w:p w14:paraId="0FF28CCE">
      <w:pPr>
        <w:pStyle w:val="39"/>
        <w:ind w:firstLine="480"/>
      </w:pPr>
      <w:r>
        <w:rPr>
          <w:rFonts w:hint="eastAsia"/>
        </w:rPr>
        <w:t>2</w:t>
      </w:r>
      <w:r>
        <w:rPr>
          <w:rFonts w:hint="eastAsia"/>
          <w:lang w:eastAsia="zh-CN"/>
        </w:rPr>
        <w:t>.</w:t>
      </w:r>
      <w:r>
        <w:rPr>
          <w:rFonts w:hint="eastAsia"/>
        </w:rPr>
        <w:t>采购代理机构信息</w:t>
      </w:r>
    </w:p>
    <w:p w14:paraId="4E56017E">
      <w:pPr>
        <w:pStyle w:val="39"/>
        <w:ind w:firstLine="480"/>
      </w:pPr>
      <w:r>
        <w:rPr>
          <w:rFonts w:hint="eastAsia"/>
        </w:rPr>
        <w:t>名称：</w:t>
      </w:r>
      <w:r>
        <w:rPr>
          <w:rFonts w:hint="eastAsia"/>
          <w:lang w:eastAsia="zh-CN"/>
        </w:rPr>
        <w:t>浙江中勤招标代理有限公司</w:t>
      </w:r>
    </w:p>
    <w:p w14:paraId="719B27C4">
      <w:pPr>
        <w:pStyle w:val="39"/>
        <w:ind w:firstLine="480"/>
      </w:pPr>
      <w:r>
        <w:rPr>
          <w:rFonts w:hint="eastAsia"/>
        </w:rPr>
        <w:t>地址：杭州市</w:t>
      </w:r>
      <w:r>
        <w:rPr>
          <w:rFonts w:hint="eastAsia"/>
          <w:lang w:eastAsia="zh-CN"/>
        </w:rPr>
        <w:t>东新路2</w:t>
      </w:r>
      <w:r>
        <w:rPr>
          <w:lang w:eastAsia="zh-CN"/>
        </w:rPr>
        <w:t>40</w:t>
      </w:r>
      <w:r>
        <w:rPr>
          <w:rFonts w:hint="eastAsia"/>
        </w:rPr>
        <w:t>号</w:t>
      </w:r>
      <w:r>
        <w:rPr>
          <w:rFonts w:hint="eastAsia"/>
          <w:lang w:eastAsia="zh-CN"/>
        </w:rPr>
        <w:t>兔狗创新</w:t>
      </w:r>
      <w:r>
        <w:rPr>
          <w:rFonts w:hint="eastAsia"/>
        </w:rPr>
        <w:t>大厦西楼</w:t>
      </w:r>
      <w:r>
        <w:t>1502</w:t>
      </w:r>
      <w:r>
        <w:rPr>
          <w:rFonts w:hint="eastAsia"/>
          <w:lang w:eastAsia="zh-CN"/>
        </w:rPr>
        <w:t>室</w:t>
      </w:r>
    </w:p>
    <w:p w14:paraId="19D49AEB">
      <w:pPr>
        <w:pStyle w:val="39"/>
        <w:ind w:firstLine="480"/>
        <w:rPr>
          <w:color w:val="auto"/>
        </w:rPr>
      </w:pPr>
      <w:r>
        <w:rPr>
          <w:rFonts w:hint="eastAsia"/>
        </w:rPr>
        <w:t>项目联系人（询问）</w:t>
      </w:r>
      <w:r>
        <w:rPr>
          <w:rFonts w:hint="eastAsia"/>
          <w:color w:val="auto"/>
        </w:rPr>
        <w:t>：</w:t>
      </w:r>
      <w:r>
        <w:rPr>
          <w:rFonts w:hint="eastAsia"/>
          <w:color w:val="auto"/>
          <w:lang w:val="en-US" w:eastAsia="zh-CN"/>
        </w:rPr>
        <w:t>张工</w:t>
      </w:r>
    </w:p>
    <w:p w14:paraId="1F8377A4">
      <w:pPr>
        <w:pStyle w:val="39"/>
        <w:ind w:firstLine="480"/>
        <w:rPr>
          <w:color w:val="auto"/>
        </w:rPr>
      </w:pPr>
      <w:r>
        <w:rPr>
          <w:rFonts w:hint="eastAsia"/>
          <w:color w:val="auto"/>
        </w:rPr>
        <w:t>项目联系方式（询问）：0571-</w:t>
      </w:r>
      <w:r>
        <w:rPr>
          <w:color w:val="auto"/>
        </w:rPr>
        <w:t>86808575</w:t>
      </w:r>
    </w:p>
    <w:p w14:paraId="7E911B0A">
      <w:pPr>
        <w:pStyle w:val="39"/>
        <w:ind w:firstLine="480"/>
        <w:rPr>
          <w:rFonts w:hint="default"/>
          <w:color w:val="auto"/>
          <w:lang w:val="en-US"/>
        </w:rPr>
      </w:pPr>
      <w:r>
        <w:rPr>
          <w:rFonts w:hint="eastAsia"/>
          <w:color w:val="auto"/>
        </w:rPr>
        <w:t>质疑联系人：</w:t>
      </w:r>
      <w:r>
        <w:rPr>
          <w:rFonts w:hint="eastAsia"/>
          <w:color w:val="auto"/>
          <w:lang w:val="en-US" w:eastAsia="zh-CN"/>
        </w:rPr>
        <w:t>李工</w:t>
      </w:r>
    </w:p>
    <w:p w14:paraId="334DFDB0">
      <w:pPr>
        <w:pStyle w:val="39"/>
        <w:ind w:firstLine="480"/>
        <w:rPr>
          <w:color w:val="auto"/>
        </w:rPr>
      </w:pPr>
      <w:r>
        <w:rPr>
          <w:rFonts w:hint="eastAsia"/>
          <w:color w:val="auto"/>
        </w:rPr>
        <w:t>质疑联系方式：0571-</w:t>
      </w:r>
      <w:r>
        <w:rPr>
          <w:color w:val="auto"/>
        </w:rPr>
        <w:t>86803309</w:t>
      </w:r>
    </w:p>
    <w:p w14:paraId="314CA535">
      <w:pPr>
        <w:pStyle w:val="39"/>
        <w:ind w:firstLine="480"/>
      </w:pPr>
      <w:r>
        <w:rPr>
          <w:rFonts w:hint="eastAsia"/>
        </w:rPr>
        <w:t>3</w:t>
      </w:r>
      <w:r>
        <w:rPr>
          <w:rFonts w:hint="eastAsia"/>
          <w:lang w:eastAsia="zh-CN"/>
        </w:rPr>
        <w:t>.</w:t>
      </w:r>
      <w:r>
        <w:rPr>
          <w:rFonts w:hint="eastAsia"/>
        </w:rPr>
        <w:t>同级政府采购监督管理部门</w:t>
      </w:r>
    </w:p>
    <w:p w14:paraId="683E944A">
      <w:pPr>
        <w:pStyle w:val="39"/>
        <w:ind w:firstLine="480"/>
      </w:pPr>
      <w:r>
        <w:rPr>
          <w:rFonts w:hint="eastAsia"/>
        </w:rPr>
        <w:t>名称：浙江省财政厅政府采购监管处、浙江省政府采购行政裁决服务中心（杭州）</w:t>
      </w:r>
    </w:p>
    <w:p w14:paraId="585216C4">
      <w:pPr>
        <w:pStyle w:val="39"/>
        <w:ind w:firstLine="480"/>
      </w:pPr>
      <w:r>
        <w:rPr>
          <w:rFonts w:hint="eastAsia"/>
        </w:rPr>
        <w:t xml:space="preserve">地址：杭州市上城区四季青街道新业路市民之家G03办公室   </w:t>
      </w:r>
    </w:p>
    <w:p w14:paraId="10AB6BC7">
      <w:pPr>
        <w:pStyle w:val="39"/>
        <w:ind w:firstLine="480"/>
      </w:pPr>
      <w:r>
        <w:rPr>
          <w:rFonts w:hint="eastAsia"/>
        </w:rPr>
        <w:t xml:space="preserve">联系人：朱女士、王女士   </w:t>
      </w:r>
    </w:p>
    <w:p w14:paraId="366FD304">
      <w:pPr>
        <w:pStyle w:val="39"/>
        <w:ind w:firstLine="480"/>
        <w:rPr>
          <w:rFonts w:hint="eastAsia"/>
        </w:rPr>
      </w:pPr>
      <w:r>
        <w:rPr>
          <w:rFonts w:hint="eastAsia"/>
        </w:rPr>
        <w:t xml:space="preserve">监督投诉电话：0571-85252453  </w:t>
      </w:r>
    </w:p>
    <w:p w14:paraId="1243C0E2">
      <w:pPr>
        <w:pStyle w:val="39"/>
        <w:ind w:firstLine="480"/>
        <w:rPr>
          <w:rFonts w:hint="eastAsia"/>
        </w:rPr>
      </w:pPr>
      <w:r>
        <w:rPr>
          <w:rFonts w:hint="eastAsia"/>
        </w:rPr>
        <w:t>政策咨询：何一平、冯华，0571-87058424、87055741</w:t>
      </w:r>
    </w:p>
    <w:p w14:paraId="1D99326B">
      <w:pPr>
        <w:pStyle w:val="39"/>
        <w:ind w:firstLine="480"/>
        <w:rPr>
          <w:rFonts w:hint="eastAsia"/>
        </w:rPr>
      </w:pPr>
      <w:r>
        <w:rPr>
          <w:rFonts w:hint="eastAsia"/>
        </w:rPr>
        <w:t>预算金额未达100万元的采购项目，由采购人处理采购争议。</w:t>
      </w:r>
    </w:p>
    <w:p w14:paraId="202B80D4">
      <w:pPr>
        <w:pStyle w:val="39"/>
        <w:bidi w:val="0"/>
        <w:rPr>
          <w:lang w:eastAsia="zh-Hans"/>
        </w:rPr>
      </w:pPr>
      <w:r>
        <w:br w:type="page"/>
      </w:r>
    </w:p>
    <w:p w14:paraId="30ABFDB5">
      <w:pPr>
        <w:pStyle w:val="42"/>
      </w:pPr>
      <w:bookmarkStart w:id="2" w:name="_Toc1535827254"/>
      <w:bookmarkStart w:id="3" w:name="_Toc811883039"/>
      <w:r>
        <w:rPr>
          <w:rFonts w:hint="eastAsia"/>
          <w:lang w:eastAsia="zh-CN"/>
        </w:rPr>
        <w:t>投标人须知</w:t>
      </w:r>
      <w:bookmarkEnd w:id="2"/>
      <w:bookmarkEnd w:id="3"/>
    </w:p>
    <w:p w14:paraId="03AB09B5">
      <w:pPr>
        <w:pStyle w:val="41"/>
        <w:numPr>
          <w:ilvl w:val="0"/>
          <w:numId w:val="0"/>
        </w:numPr>
        <w:rPr>
          <w:lang w:eastAsia="zh-CN"/>
        </w:rPr>
      </w:pPr>
      <w:bookmarkStart w:id="4" w:name="_Toc207143435"/>
      <w:bookmarkStart w:id="5" w:name="_Toc2042704685"/>
      <w:r>
        <w:rPr>
          <w:rFonts w:hint="eastAsia"/>
          <w:lang w:eastAsia="zh-CN"/>
        </w:rPr>
        <w:t>前附表</w:t>
      </w:r>
      <w:bookmarkEnd w:id="4"/>
      <w:bookmarkEnd w:id="5"/>
      <w:bookmarkStart w:id="6" w:name="_Toc233618971"/>
      <w:bookmarkEnd w:id="6"/>
    </w:p>
    <w:p w14:paraId="10DCC444">
      <w:pPr>
        <w:pStyle w:val="39"/>
        <w:ind w:firstLine="0" w:firstLineChars="0"/>
        <w:jc w:val="center"/>
        <w:rPr>
          <w:sz w:val="21"/>
          <w:lang w:eastAsia="zh-CN"/>
        </w:rPr>
      </w:pPr>
      <w:r>
        <w:rPr>
          <w:rFonts w:hint="eastAsia"/>
          <w:sz w:val="21"/>
        </w:rPr>
        <w:t>（本表是对本次采购活动有关内容的强调，如与</w:t>
      </w:r>
      <w:r>
        <w:rPr>
          <w:rFonts w:hint="eastAsia"/>
          <w:sz w:val="21"/>
          <w:lang w:eastAsia="zh-CN"/>
        </w:rPr>
        <w:t>招标公告有矛盾以招标公告为准，如与</w:t>
      </w:r>
      <w:r>
        <w:rPr>
          <w:rFonts w:hint="eastAsia"/>
          <w:sz w:val="21"/>
        </w:rPr>
        <w:t>采购文件其他条款有矛盾以本表为准）</w:t>
      </w:r>
    </w:p>
    <w:tbl>
      <w:tblPr>
        <w:tblStyle w:val="28"/>
        <w:tblW w:w="5000"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3"/>
        <w:gridCol w:w="1427"/>
        <w:gridCol w:w="6045"/>
      </w:tblGrid>
      <w:tr w14:paraId="0011FD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4" w:type="pct"/>
            <w:shd w:val="clear" w:color="auto" w:fill="D8D8D8" w:themeFill="background1" w:themeFillShade="D9"/>
            <w:vAlign w:val="center"/>
          </w:tcPr>
          <w:p w14:paraId="48ACDC54">
            <w:pPr>
              <w:pStyle w:val="39"/>
              <w:spacing w:line="240" w:lineRule="auto"/>
              <w:ind w:firstLine="0" w:firstLineChars="0"/>
              <w:jc w:val="center"/>
              <w:rPr>
                <w:rFonts w:ascii="黑体" w:hAnsi="黑体" w:eastAsia="黑体"/>
              </w:rPr>
            </w:pPr>
            <w:r>
              <w:rPr>
                <w:rFonts w:hint="eastAsia" w:ascii="黑体" w:hAnsi="黑体" w:eastAsia="黑体"/>
              </w:rPr>
              <w:t>对应</w:t>
            </w:r>
          </w:p>
          <w:p w14:paraId="70485A14">
            <w:pPr>
              <w:pStyle w:val="39"/>
              <w:spacing w:line="240" w:lineRule="auto"/>
              <w:ind w:firstLine="0" w:firstLineChars="0"/>
              <w:jc w:val="center"/>
              <w:rPr>
                <w:rFonts w:ascii="黑体" w:hAnsi="黑体" w:eastAsia="黑体"/>
              </w:rPr>
            </w:pPr>
            <w:r>
              <w:rPr>
                <w:rFonts w:hint="eastAsia" w:ascii="黑体" w:hAnsi="黑体" w:eastAsia="黑体"/>
              </w:rPr>
              <w:t>条款</w:t>
            </w:r>
          </w:p>
        </w:tc>
        <w:tc>
          <w:tcPr>
            <w:tcW w:w="838" w:type="pct"/>
            <w:gridSpan w:val="2"/>
            <w:shd w:val="clear" w:color="auto" w:fill="D8D8D8" w:themeFill="background1" w:themeFillShade="D9"/>
            <w:vAlign w:val="center"/>
          </w:tcPr>
          <w:p w14:paraId="7D4B5622">
            <w:pPr>
              <w:pStyle w:val="39"/>
              <w:spacing w:line="240" w:lineRule="auto"/>
              <w:ind w:firstLine="0" w:firstLineChars="0"/>
              <w:jc w:val="center"/>
              <w:rPr>
                <w:rFonts w:ascii="黑体" w:hAnsi="黑体" w:eastAsia="黑体"/>
              </w:rPr>
            </w:pPr>
            <w:r>
              <w:rPr>
                <w:rFonts w:hint="eastAsia" w:ascii="黑体" w:hAnsi="黑体" w:eastAsia="黑体"/>
              </w:rPr>
              <w:t>名称</w:t>
            </w:r>
          </w:p>
        </w:tc>
        <w:tc>
          <w:tcPr>
            <w:tcW w:w="3546" w:type="pct"/>
            <w:shd w:val="clear" w:color="auto" w:fill="D8D8D8" w:themeFill="background1" w:themeFillShade="D9"/>
            <w:vAlign w:val="center"/>
          </w:tcPr>
          <w:p w14:paraId="36E4F017">
            <w:pPr>
              <w:pStyle w:val="39"/>
              <w:spacing w:line="240" w:lineRule="auto"/>
              <w:ind w:firstLine="0" w:firstLineChars="0"/>
              <w:jc w:val="center"/>
              <w:rPr>
                <w:rFonts w:ascii="黑体" w:hAnsi="黑体" w:eastAsia="黑体"/>
              </w:rPr>
            </w:pPr>
            <w:r>
              <w:rPr>
                <w:rFonts w:hint="eastAsia" w:ascii="黑体" w:hAnsi="黑体" w:eastAsia="黑体"/>
              </w:rPr>
              <w:t>内容</w:t>
            </w:r>
          </w:p>
        </w:tc>
      </w:tr>
      <w:tr w14:paraId="741B740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264418B3">
            <w:pPr>
              <w:pStyle w:val="39"/>
              <w:ind w:firstLine="0" w:firstLineChars="0"/>
            </w:pPr>
            <w:r>
              <w:rPr>
                <w:rFonts w:hint="eastAsia"/>
              </w:rPr>
              <w:t>一、</w:t>
            </w:r>
            <w:r>
              <w:rPr>
                <w:rFonts w:hint="eastAsia"/>
                <w:lang w:val="en-US" w:eastAsia="zh-CN"/>
              </w:rPr>
              <w:t>8</w:t>
            </w:r>
            <w:r>
              <w:t>.</w:t>
            </w:r>
          </w:p>
        </w:tc>
        <w:tc>
          <w:tcPr>
            <w:tcW w:w="838" w:type="pct"/>
            <w:gridSpan w:val="2"/>
            <w:vAlign w:val="center"/>
          </w:tcPr>
          <w:p w14:paraId="7A5145F8">
            <w:pPr>
              <w:pStyle w:val="39"/>
              <w:ind w:firstLine="0" w:firstLineChars="0"/>
              <w:rPr>
                <w:rFonts w:cs="AdobeFangsongStd-Regular"/>
                <w:spacing w:val="-2"/>
                <w:kern w:val="0"/>
                <w:position w:val="-3"/>
              </w:rPr>
            </w:pPr>
            <w:r>
              <w:rPr>
                <w:rFonts w:hint="eastAsia"/>
              </w:rPr>
              <w:t>转包与分包</w:t>
            </w:r>
          </w:p>
        </w:tc>
        <w:tc>
          <w:tcPr>
            <w:tcW w:w="3546" w:type="pct"/>
            <w:vAlign w:val="center"/>
          </w:tcPr>
          <w:p w14:paraId="1BC981D8">
            <w:pPr>
              <w:pStyle w:val="3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b/>
                <w:bCs/>
                <w:lang w:val="en-US" w:eastAsia="zh-CN"/>
              </w:rPr>
            </w:pPr>
            <w:r>
              <w:rPr>
                <w:rFonts w:hint="eastAsia"/>
                <w:b/>
                <w:bCs/>
                <w:lang w:val="en-US" w:eastAsia="zh-CN"/>
              </w:rPr>
              <w:t>1.转包:</w:t>
            </w:r>
          </w:p>
          <w:p w14:paraId="08C8C0B7">
            <w:pPr>
              <w:pStyle w:val="39"/>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宋体"/>
                <w:lang w:val="en-US" w:eastAsia="zh-CN"/>
              </w:rPr>
            </w:pPr>
            <w:sdt>
              <w:sdtPr>
                <w:id w:val="599015012"/>
                <w14:checkbox>
                  <w14:checked w14:val="1"/>
                  <w14:checkedState w14:val="00FE" w14:font="Wingdings"/>
                  <w14:uncheckedState w14:val="2610" w14:font="MS Gothic"/>
                </w14:checkbox>
              </w:sdtPr>
              <w:sdtContent>
                <w:r>
                  <w:rPr>
                    <w:rFonts w:ascii="Wingdings" w:hAnsi="Wingdings" w:eastAsia="宋体" w:cs="Times New Roman"/>
                    <w:kern w:val="2"/>
                    <w:sz w:val="24"/>
                    <w:szCs w:val="21"/>
                    <w:lang w:val="en-US" w:eastAsia="zh-Hans" w:bidi="ar-SA"/>
                  </w:rPr>
                  <w:t>þ</w:t>
                </w:r>
              </w:sdtContent>
            </w:sdt>
            <w:r>
              <w:rPr>
                <w:rFonts w:hint="eastAsia" w:cs="AdobeFangsongStd-Regular"/>
                <w:spacing w:val="-2"/>
                <w:kern w:val="0"/>
                <w:position w:val="-3"/>
              </w:rPr>
              <w:t>不</w:t>
            </w:r>
            <w:r>
              <w:rPr>
                <w:rFonts w:hint="eastAsia" w:cs="AdobeFangsongStd-Regular"/>
                <w:spacing w:val="-2"/>
                <w:kern w:val="0"/>
                <w:position w:val="-3"/>
                <w:lang w:val="en-US" w:eastAsia="zh-CN"/>
              </w:rPr>
              <w:t>允许</w:t>
            </w:r>
          </w:p>
          <w:p w14:paraId="48F9E072">
            <w:pPr>
              <w:pStyle w:val="39"/>
              <w:ind w:firstLine="0" w:firstLineChars="0"/>
              <w:rPr>
                <w:rFonts w:hint="default"/>
                <w:b/>
                <w:bCs/>
                <w:lang w:val="en-US" w:eastAsia="zh-CN"/>
              </w:rPr>
            </w:pPr>
            <w:r>
              <w:rPr>
                <w:rFonts w:hint="eastAsia"/>
                <w:b/>
                <w:bCs/>
                <w:lang w:val="en-US" w:eastAsia="zh-CN"/>
              </w:rPr>
              <w:t>2.分包:</w:t>
            </w:r>
          </w:p>
          <w:p w14:paraId="754AA6D7">
            <w:pPr>
              <w:pStyle w:val="39"/>
              <w:ind w:firstLine="0" w:firstLineChars="0"/>
              <w:rPr>
                <w:rFonts w:hint="default"/>
                <w:lang w:val="en-US" w:eastAsia="zh-CN"/>
              </w:rPr>
            </w:pPr>
            <w:sdt>
              <w:sdtPr>
                <w:id w:val="630187934"/>
                <w14:checkbox>
                  <w14:checked w14:val="0"/>
                  <w14:checkedState w14:val="00FE" w14:font="Wingdings"/>
                  <w14:uncheckedState w14:val="2610" w14:font="MS Gothic"/>
                </w14:checkbox>
              </w:sdtPr>
              <w:sdtContent>
                <w:r>
                  <w:rPr>
                    <w:rFonts w:ascii="MS Gothic" w:hAnsi="MS Gothic" w:eastAsia="宋体" w:cs="Times New Roman"/>
                    <w:kern w:val="2"/>
                    <w:sz w:val="24"/>
                    <w:szCs w:val="21"/>
                    <w:lang w:val="en-US" w:eastAsia="zh-Hans" w:bidi="ar-SA"/>
                  </w:rPr>
                  <w:t>☐</w:t>
                </w:r>
              </w:sdtContent>
            </w:sdt>
            <w:r>
              <w:rPr>
                <w:rFonts w:hint="eastAsia" w:cs="AdobeFangsongStd-Regular"/>
                <w:spacing w:val="-2"/>
                <w:kern w:val="0"/>
                <w:position w:val="-3"/>
              </w:rPr>
              <w:t>不</w:t>
            </w:r>
            <w:r>
              <w:rPr>
                <w:rFonts w:hint="eastAsia" w:cs="AdobeFangsongStd-Regular"/>
                <w:spacing w:val="-2"/>
                <w:kern w:val="0"/>
                <w:position w:val="-3"/>
                <w:lang w:val="en-US" w:eastAsia="zh-CN"/>
              </w:rPr>
              <w:t>允许</w:t>
            </w:r>
            <w:r>
              <w:rPr>
                <w:rFonts w:hint="eastAsia" w:cs="AdobeFangsongStd-Regular"/>
                <w:spacing w:val="-2"/>
                <w:kern w:val="0"/>
                <w:position w:val="-3"/>
                <w:lang w:eastAsia="zh-CN"/>
              </w:rPr>
              <w:t>；</w:t>
            </w:r>
            <w:sdt>
              <w:sdtPr>
                <w:id w:val="972238312"/>
                <w14:checkbox>
                  <w14:checked w14:val="1"/>
                  <w14:checkedState w14:val="00FE" w14:font="Wingdings"/>
                  <w14:uncheckedState w14:val="2610" w14:font="MS Gothic"/>
                </w14:checkbox>
              </w:sdtPr>
              <w:sdtContent>
                <w:r>
                  <w:rPr>
                    <w:rFonts w:ascii="Wingdings" w:hAnsi="Wingdings" w:eastAsia="宋体" w:cs="Times New Roman"/>
                    <w:kern w:val="2"/>
                    <w:sz w:val="24"/>
                    <w:szCs w:val="21"/>
                    <w:lang w:val="en-US" w:eastAsia="zh-Hans" w:bidi="ar-SA"/>
                  </w:rPr>
                  <w:t>þ</w:t>
                </w:r>
              </w:sdtContent>
            </w:sdt>
            <w:r>
              <w:rPr>
                <w:rFonts w:hint="eastAsia"/>
                <w:lang w:val="en-US" w:eastAsia="zh-CN"/>
              </w:rPr>
              <w:t>允许分包</w:t>
            </w:r>
            <w:r>
              <w:rPr>
                <w:rFonts w:hint="eastAsia"/>
                <w:color w:val="auto"/>
                <w:highlight w:val="none"/>
                <w:lang w:val="en-US" w:eastAsia="zh-CN"/>
              </w:rPr>
              <w:t>，允许中标人在中标后将非主体、非关键性的工作分包。</w:t>
            </w:r>
          </w:p>
        </w:tc>
      </w:tr>
      <w:tr w14:paraId="7138734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shd w:val="clear" w:color="auto" w:fill="auto"/>
            <w:vAlign w:val="center"/>
          </w:tcPr>
          <w:p w14:paraId="3CE76F3F">
            <w:pPr>
              <w:pStyle w:val="39"/>
              <w:ind w:firstLine="0" w:firstLineChars="0"/>
              <w:rPr>
                <w:rFonts w:hint="eastAsia" w:ascii="宋体" w:hAnsi="宋体" w:eastAsia="宋体" w:cs="Times New Roman"/>
                <w:kern w:val="2"/>
                <w:sz w:val="24"/>
                <w:szCs w:val="21"/>
                <w:lang w:val="en-US" w:eastAsia="zh-Hans" w:bidi="ar-SA"/>
              </w:rPr>
            </w:pPr>
            <w:r>
              <w:rPr>
                <w:rFonts w:hint="eastAsia"/>
              </w:rPr>
              <w:t>一、</w:t>
            </w:r>
            <w:r>
              <w:t>9.</w:t>
            </w:r>
          </w:p>
        </w:tc>
        <w:tc>
          <w:tcPr>
            <w:tcW w:w="838" w:type="pct"/>
            <w:gridSpan w:val="2"/>
            <w:shd w:val="clear" w:color="auto" w:fill="auto"/>
            <w:vAlign w:val="center"/>
          </w:tcPr>
          <w:p w14:paraId="3C8B25B0">
            <w:pPr>
              <w:pStyle w:val="39"/>
              <w:ind w:firstLine="0" w:firstLineChars="0"/>
              <w:rPr>
                <w:rFonts w:hint="eastAsia" w:ascii="宋体" w:hAnsi="宋体" w:eastAsia="宋体" w:cs="AdobeFangsongStd-Regular"/>
                <w:spacing w:val="-2"/>
                <w:kern w:val="0"/>
                <w:position w:val="-3"/>
                <w:sz w:val="24"/>
                <w:szCs w:val="21"/>
                <w:lang w:val="en-US" w:eastAsia="zh-Hans" w:bidi="ar-SA"/>
              </w:rPr>
            </w:pPr>
            <w:r>
              <w:rPr>
                <w:rFonts w:hint="eastAsia" w:cs="AdobeFangsongStd-Regular"/>
                <w:spacing w:val="-2"/>
                <w:kern w:val="0"/>
                <w:position w:val="-3"/>
              </w:rPr>
              <w:t>踏勘现场</w:t>
            </w:r>
          </w:p>
        </w:tc>
        <w:tc>
          <w:tcPr>
            <w:tcW w:w="3546" w:type="pct"/>
            <w:shd w:val="clear" w:color="auto" w:fill="auto"/>
            <w:vAlign w:val="center"/>
          </w:tcPr>
          <w:p w14:paraId="7D793D83">
            <w:pPr>
              <w:pStyle w:val="39"/>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spacing w:val="-2"/>
                <w:kern w:val="0"/>
                <w:position w:val="-3"/>
              </w:rPr>
            </w:pPr>
            <w:sdt>
              <w:sdtPr>
                <w:id w:val="624569083"/>
                <w14:checkbox>
                  <w14:checked w14:val="1"/>
                  <w14:checkedState w14:val="00FE" w14:font="Wingdings"/>
                  <w14:uncheckedState w14:val="2610" w14:font="MS Gothic"/>
                </w14:checkbox>
              </w:sdtPr>
              <w:sdtContent>
                <w:r>
                  <w:rPr>
                    <w:rFonts w:ascii="Wingdings" w:hAnsi="Wingdings" w:eastAsia="宋体" w:cs="Times New Roman"/>
                    <w:kern w:val="2"/>
                    <w:sz w:val="24"/>
                    <w:szCs w:val="21"/>
                    <w:lang w:val="en-US" w:eastAsia="zh-Hans" w:bidi="ar-SA"/>
                  </w:rPr>
                  <w:t>þ</w:t>
                </w:r>
              </w:sdtContent>
            </w:sdt>
            <w:r>
              <w:rPr>
                <w:rFonts w:hint="eastAsia" w:cs="AdobeFangsongStd-Regular"/>
                <w:spacing w:val="-2"/>
                <w:kern w:val="0"/>
                <w:position w:val="-3"/>
              </w:rPr>
              <w:t>不组织</w:t>
            </w:r>
            <w:r>
              <w:rPr>
                <w:rFonts w:hint="eastAsia" w:cs="AdobeFangsongStd-Regular"/>
                <w:spacing w:val="-2"/>
                <w:kern w:val="0"/>
                <w:position w:val="-3"/>
                <w:lang w:eastAsia="zh-CN"/>
              </w:rPr>
              <w:t>；</w:t>
            </w:r>
            <w:sdt>
              <w:sdtPr>
                <w:id w:val="52063290"/>
                <w14:checkbox>
                  <w14:checked w14:val="0"/>
                  <w14:checkedState w14:val="00FE" w14:font="Wingdings"/>
                  <w14:uncheckedState w14:val="2610" w14:font="MS Gothic"/>
                </w14:checkbox>
              </w:sdtPr>
              <w:sdtContent>
                <w:r>
                  <w:rPr>
                    <w:rFonts w:ascii="MS Gothic" w:hAnsi="MS Gothic" w:eastAsia="宋体" w:cs="Times New Roman"/>
                    <w:kern w:val="2"/>
                    <w:sz w:val="24"/>
                    <w:szCs w:val="21"/>
                    <w:lang w:val="en-US" w:eastAsia="zh-Hans" w:bidi="ar-SA"/>
                  </w:rPr>
                  <w:t>☐</w:t>
                </w:r>
              </w:sdtContent>
            </w:sdt>
            <w:r>
              <w:rPr>
                <w:rFonts w:hint="eastAsia" w:cs="AdobeFangsongStd-Regular"/>
                <w:spacing w:val="-2"/>
                <w:kern w:val="0"/>
                <w:position w:val="-3"/>
              </w:rPr>
              <w:t xml:space="preserve">统一组织 </w:t>
            </w:r>
          </w:p>
          <w:p w14:paraId="44F802AB">
            <w:pPr>
              <w:pStyle w:val="39"/>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spacing w:val="-2"/>
                <w:kern w:val="0"/>
                <w:position w:val="-3"/>
              </w:rPr>
            </w:pPr>
            <w:r>
              <w:rPr>
                <w:rFonts w:hint="eastAsia" w:cs="AdobeFangsongStd-Regular"/>
                <w:spacing w:val="-2"/>
                <w:kern w:val="0"/>
                <w:position w:val="-3"/>
              </w:rPr>
              <w:t>踏勘时间</w:t>
            </w:r>
            <w:r>
              <w:rPr>
                <w:rFonts w:hint="eastAsia" w:cs="AdobeFangsongStd-Regular"/>
                <w:spacing w:val="-2"/>
                <w:kern w:val="0"/>
                <w:position w:val="-3"/>
                <w:lang w:eastAsia="zh-CN"/>
              </w:rPr>
              <w:t>：</w:t>
            </w:r>
            <w:r>
              <w:rPr>
                <w:rFonts w:hint="eastAsia" w:cs="AdobeFangsongStd-Regular"/>
                <w:spacing w:val="-2"/>
                <w:kern w:val="0"/>
                <w:position w:val="-3"/>
              </w:rPr>
              <w:t xml:space="preserve">     </w:t>
            </w:r>
            <w:r>
              <w:rPr>
                <w:rFonts w:cs="AdobeFangsongStd-Regular"/>
                <w:spacing w:val="-2"/>
                <w:kern w:val="0"/>
                <w:position w:val="-3"/>
              </w:rPr>
              <w:t xml:space="preserve"> </w:t>
            </w:r>
            <w:r>
              <w:rPr>
                <w:rFonts w:hint="eastAsia" w:cs="AdobeFangsongStd-Regular"/>
                <w:spacing w:val="-2"/>
                <w:kern w:val="0"/>
                <w:position w:val="-3"/>
              </w:rPr>
              <w:t xml:space="preserve">踏勘集中地点： </w:t>
            </w:r>
          </w:p>
          <w:p w14:paraId="7A48D775">
            <w:pPr>
              <w:pStyle w:val="39"/>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Times New Roman"/>
                <w:kern w:val="2"/>
                <w:sz w:val="24"/>
                <w:szCs w:val="21"/>
                <w:lang w:val="en-US" w:eastAsia="zh-Hans" w:bidi="ar-SA"/>
              </w:rPr>
            </w:pPr>
            <w:r>
              <w:rPr>
                <w:rFonts w:hint="eastAsia"/>
              </w:rPr>
              <w:t xml:space="preserve">联 系 人： </w:t>
            </w:r>
            <w:r>
              <w:t xml:space="preserve">     </w:t>
            </w:r>
            <w:r>
              <w:rPr>
                <w:rFonts w:hint="eastAsia"/>
              </w:rPr>
              <w:t>联系方式：</w:t>
            </w:r>
          </w:p>
        </w:tc>
      </w:tr>
      <w:tr w14:paraId="24F057E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7E540576">
            <w:pPr>
              <w:pStyle w:val="39"/>
              <w:ind w:firstLine="0" w:firstLineChars="0"/>
            </w:pPr>
            <w:r>
              <w:rPr>
                <w:rFonts w:hint="eastAsia"/>
              </w:rPr>
              <w:t>一、</w:t>
            </w:r>
            <w:r>
              <w:t>10.</w:t>
            </w:r>
          </w:p>
        </w:tc>
        <w:tc>
          <w:tcPr>
            <w:tcW w:w="838" w:type="pct"/>
            <w:gridSpan w:val="2"/>
            <w:vAlign w:val="center"/>
          </w:tcPr>
          <w:p w14:paraId="20504E57">
            <w:pPr>
              <w:pStyle w:val="39"/>
              <w:ind w:firstLine="0" w:firstLineChars="0"/>
              <w:rPr>
                <w:rFonts w:hint="eastAsia" w:cs="AdobeFangsongStd-Regular"/>
                <w:spacing w:val="-2"/>
                <w:kern w:val="0"/>
                <w:position w:val="-3"/>
              </w:rPr>
            </w:pPr>
            <w:r>
              <w:rPr>
                <w:rFonts w:hint="eastAsia" w:cs="AdobeFangsongStd-Regular"/>
                <w:spacing w:val="-2"/>
                <w:kern w:val="0"/>
                <w:position w:val="-3"/>
              </w:rPr>
              <w:t>预备会</w:t>
            </w:r>
          </w:p>
          <w:p w14:paraId="2F564E45">
            <w:pPr>
              <w:pStyle w:val="39"/>
              <w:ind w:firstLine="0" w:firstLineChars="0"/>
              <w:rPr>
                <w:rFonts w:cs="AdobeFangsongStd-Regular"/>
                <w:spacing w:val="-2"/>
                <w:kern w:val="0"/>
                <w:position w:val="-3"/>
              </w:rPr>
            </w:pPr>
            <w:r>
              <w:rPr>
                <w:rFonts w:hint="eastAsia" w:cs="AdobeFangsongStd-Regular"/>
                <w:spacing w:val="-2"/>
                <w:kern w:val="0"/>
                <w:position w:val="-3"/>
              </w:rPr>
              <w:t>/答疑会</w:t>
            </w:r>
          </w:p>
        </w:tc>
        <w:tc>
          <w:tcPr>
            <w:tcW w:w="3546" w:type="pct"/>
            <w:vAlign w:val="center"/>
          </w:tcPr>
          <w:p w14:paraId="18327661">
            <w:pPr>
              <w:pStyle w:val="39"/>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宋体" w:cs="AdobeFangsongStd-Regular"/>
                <w:spacing w:val="-2"/>
                <w:kern w:val="0"/>
                <w:position w:val="-3"/>
                <w:lang w:eastAsia="zh-CN"/>
              </w:rPr>
            </w:pPr>
            <w:sdt>
              <w:sdtPr>
                <w:id w:val="853448301"/>
                <w14:checkbox>
                  <w14:checked w14:val="1"/>
                  <w14:checkedState w14:val="00FE" w14:font="Wingdings"/>
                  <w14:uncheckedState w14:val="2610" w14:font="MS Gothic"/>
                </w14:checkbox>
              </w:sdtPr>
              <w:sdtContent>
                <w:r>
                  <w:rPr/>
                  <w:sym w:font="Wingdings" w:char="F0FE"/>
                </w:r>
              </w:sdtContent>
            </w:sdt>
            <w:r>
              <w:rPr>
                <w:rFonts w:hint="eastAsia" w:cs="AdobeFangsongStd-Regular"/>
                <w:spacing w:val="-2"/>
                <w:kern w:val="0"/>
                <w:position w:val="-3"/>
              </w:rPr>
              <w:t>不召开</w:t>
            </w:r>
            <w:r>
              <w:rPr>
                <w:rFonts w:hint="eastAsia" w:cs="AdobeFangsongStd-Regular"/>
                <w:spacing w:val="-2"/>
                <w:kern w:val="0"/>
                <w:position w:val="-3"/>
                <w:lang w:eastAsia="zh-CN"/>
              </w:rPr>
              <w:t>；</w:t>
            </w:r>
            <w:sdt>
              <w:sdtPr>
                <w:id w:val="244442054"/>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cs="AdobeFangsongStd-Regular"/>
                <w:spacing w:val="-2"/>
                <w:kern w:val="0"/>
                <w:position w:val="-3"/>
              </w:rPr>
              <w:t>召开</w:t>
            </w:r>
          </w:p>
          <w:p w14:paraId="366F6083">
            <w:pPr>
              <w:pStyle w:val="39"/>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spacing w:val="-2"/>
                <w:kern w:val="0"/>
                <w:position w:val="-3"/>
              </w:rPr>
            </w:pPr>
            <w:r>
              <w:rPr>
                <w:rFonts w:hint="eastAsia" w:cs="AdobeFangsongStd-Regular"/>
                <w:spacing w:val="-2"/>
                <w:kern w:val="0"/>
                <w:position w:val="-3"/>
              </w:rPr>
              <w:t xml:space="preserve">召开时间：    </w:t>
            </w:r>
            <w:r>
              <w:rPr>
                <w:rFonts w:cs="AdobeFangsongStd-Regular"/>
                <w:spacing w:val="-2"/>
                <w:kern w:val="0"/>
                <w:position w:val="-3"/>
              </w:rPr>
              <w:t xml:space="preserve">  </w:t>
            </w:r>
            <w:r>
              <w:rPr>
                <w:rFonts w:hint="eastAsia" w:cs="AdobeFangsongStd-Regular"/>
                <w:spacing w:val="-2"/>
                <w:kern w:val="0"/>
                <w:position w:val="-3"/>
              </w:rPr>
              <w:t>召开地点：</w:t>
            </w:r>
          </w:p>
          <w:p w14:paraId="587897F3">
            <w:pPr>
              <w:pStyle w:val="39"/>
              <w:keepNext w:val="0"/>
              <w:keepLines w:val="0"/>
              <w:pageBreakBefore w:val="0"/>
              <w:widowControl w:val="0"/>
              <w:kinsoku/>
              <w:wordWrap/>
              <w:overflowPunct/>
              <w:topLinePunct w:val="0"/>
              <w:autoSpaceDE/>
              <w:autoSpaceDN/>
              <w:bidi w:val="0"/>
              <w:adjustRightInd/>
              <w:snapToGrid/>
              <w:ind w:firstLine="0" w:firstLineChars="0"/>
              <w:textAlignment w:val="auto"/>
              <w:rPr>
                <w:lang w:eastAsia="zh-CN"/>
              </w:rPr>
            </w:pPr>
            <w:r>
              <w:rPr>
                <w:rFonts w:hint="eastAsia"/>
                <w:lang w:eastAsia="zh-CN"/>
              </w:rPr>
              <w:t>联</w:t>
            </w:r>
            <w:r>
              <w:rPr>
                <w:rFonts w:hint="eastAsia"/>
              </w:rPr>
              <w:t xml:space="preserve"> </w:t>
            </w:r>
            <w:r>
              <w:rPr>
                <w:rFonts w:hint="eastAsia"/>
                <w:lang w:eastAsia="zh-CN"/>
              </w:rPr>
              <w:t>系</w:t>
            </w:r>
            <w:r>
              <w:rPr>
                <w:rFonts w:hint="eastAsia"/>
              </w:rPr>
              <w:t xml:space="preserve"> </w:t>
            </w:r>
            <w:r>
              <w:rPr>
                <w:rFonts w:hint="eastAsia"/>
                <w:lang w:eastAsia="zh-CN"/>
              </w:rPr>
              <w:t>人</w:t>
            </w:r>
            <w:r>
              <w:rPr>
                <w:rFonts w:hint="eastAsia"/>
              </w:rPr>
              <w:t xml:space="preserve">： </w:t>
            </w:r>
            <w:r>
              <w:t xml:space="preserve">     </w:t>
            </w:r>
            <w:r>
              <w:rPr>
                <w:rFonts w:hint="eastAsia"/>
              </w:rPr>
              <w:t>联系方式：</w:t>
            </w:r>
          </w:p>
        </w:tc>
      </w:tr>
      <w:tr w14:paraId="31755D5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052E9F7C">
            <w:pPr>
              <w:pStyle w:val="39"/>
              <w:ind w:firstLine="0" w:firstLineChars="0"/>
            </w:pPr>
            <w:r>
              <w:rPr>
                <w:rFonts w:hint="eastAsia"/>
              </w:rPr>
              <w:t>一、</w:t>
            </w:r>
            <w:r>
              <w:rPr>
                <w:rFonts w:hint="eastAsia"/>
                <w:lang w:eastAsia="zh-CN"/>
              </w:rPr>
              <w:t>1</w:t>
            </w:r>
            <w:r>
              <w:rPr>
                <w:rFonts w:hint="eastAsia"/>
              </w:rPr>
              <w:t>2</w:t>
            </w:r>
            <w:r>
              <w:t>.</w:t>
            </w:r>
          </w:p>
        </w:tc>
        <w:tc>
          <w:tcPr>
            <w:tcW w:w="838" w:type="pct"/>
            <w:gridSpan w:val="2"/>
            <w:vAlign w:val="center"/>
          </w:tcPr>
          <w:p w14:paraId="14C508C0">
            <w:pPr>
              <w:pStyle w:val="39"/>
              <w:ind w:firstLine="0" w:firstLineChars="0"/>
            </w:pPr>
            <w:r>
              <w:rPr>
                <w:rFonts w:hint="eastAsia"/>
              </w:rPr>
              <w:t>本项目需要落实的政府采购政策</w:t>
            </w:r>
          </w:p>
        </w:tc>
        <w:tc>
          <w:tcPr>
            <w:tcW w:w="3546" w:type="pct"/>
            <w:vAlign w:val="center"/>
          </w:tcPr>
          <w:p w14:paraId="7F1B3122">
            <w:pPr>
              <w:pStyle w:val="39"/>
              <w:ind w:firstLine="0" w:firstLineChars="0"/>
              <w:rPr>
                <w:rFonts w:hint="eastAsia"/>
                <w:b/>
                <w:bCs/>
              </w:rPr>
            </w:pPr>
            <w:r>
              <w:rPr>
                <w:rFonts w:hint="eastAsia"/>
                <w:b/>
                <w:bCs/>
                <w:lang w:val="en-US" w:eastAsia="zh-CN"/>
              </w:rPr>
              <w:t>1.</w:t>
            </w:r>
            <w:r>
              <w:rPr>
                <w:rFonts w:hint="eastAsia"/>
                <w:b/>
                <w:bCs/>
              </w:rPr>
              <w:t>支持中小企业、残疾人福利性单位、监狱企业发展</w:t>
            </w:r>
          </w:p>
          <w:p w14:paraId="05E534B4">
            <w:pPr>
              <w:pStyle w:val="39"/>
              <w:ind w:firstLine="0" w:firstLineChars="0"/>
              <w:rPr>
                <w:rFonts w:hint="default"/>
                <w:lang w:val="en-US" w:eastAsia="zh-CN"/>
              </w:rPr>
            </w:pPr>
            <w:r>
              <w:rPr>
                <w:rFonts w:hint="eastAsia"/>
                <w:lang w:val="en-US" w:eastAsia="zh-CN"/>
              </w:rPr>
              <w:t>（1）支持方式：详见本项目采购公告。</w:t>
            </w:r>
          </w:p>
          <w:p w14:paraId="640089A5">
            <w:pPr>
              <w:pStyle w:val="39"/>
              <w:ind w:firstLine="0" w:firstLineChars="0"/>
              <w:rPr>
                <w:rFonts w:hint="default"/>
                <w:color w:val="auto"/>
                <w:lang w:val="en-US" w:eastAsia="zh-CN"/>
              </w:rPr>
            </w:pPr>
            <w:r>
              <w:rPr>
                <w:rFonts w:hint="eastAsia"/>
                <w:color w:val="auto"/>
                <w:lang w:val="en-US" w:eastAsia="zh-CN"/>
              </w:rPr>
              <w:t>（2）本项目采购标的：以本项目《中小企业申明函》（格式文本）列示的为准；</w:t>
            </w:r>
          </w:p>
          <w:p w14:paraId="4EF666B7">
            <w:pPr>
              <w:pStyle w:val="39"/>
              <w:ind w:firstLine="0" w:firstLineChars="0"/>
              <w:rPr>
                <w:rFonts w:hint="eastAsia"/>
                <w:color w:val="00B050"/>
                <w:u w:val="single"/>
                <w:lang w:eastAsia="zh-CN"/>
              </w:rPr>
            </w:pPr>
            <w:r>
              <w:rPr>
                <w:rFonts w:hint="eastAsia"/>
                <w:b w:val="0"/>
                <w:bCs w:val="0"/>
                <w:lang w:eastAsia="zh-CN"/>
              </w:rPr>
              <w:t>（</w:t>
            </w:r>
            <w:r>
              <w:rPr>
                <w:rFonts w:hint="eastAsia"/>
                <w:b w:val="0"/>
                <w:bCs w:val="0"/>
                <w:lang w:val="en-US" w:eastAsia="zh-CN"/>
              </w:rPr>
              <w:t>3）</w:t>
            </w:r>
            <w:r>
              <w:rPr>
                <w:rFonts w:hint="eastAsia"/>
                <w:b/>
                <w:bCs/>
                <w:lang w:eastAsia="zh-CN"/>
              </w:rPr>
              <w:t>采购标的</w:t>
            </w:r>
            <w:r>
              <w:rPr>
                <w:rFonts w:hint="eastAsia"/>
                <w:lang w:eastAsia="zh-CN"/>
              </w:rPr>
              <w:t>对应的中小企业划分标准所属行业为：</w:t>
            </w:r>
            <w:r>
              <w:rPr>
                <w:rFonts w:hint="eastAsia"/>
                <w:color w:val="auto"/>
                <w:u w:val="single"/>
                <w:lang w:eastAsia="zh-CN"/>
              </w:rPr>
              <w:t>软件和信息技术服务业</w:t>
            </w:r>
          </w:p>
          <w:p w14:paraId="3A498899">
            <w:pPr>
              <w:pStyle w:val="38"/>
              <w:keepNext w:val="0"/>
              <w:keepLines w:val="0"/>
              <w:pageBreakBefore w:val="0"/>
              <w:widowControl w:val="0"/>
              <w:numPr>
                <w:ilvl w:val="3"/>
                <w:numId w:val="0"/>
              </w:numPr>
              <w:kinsoku/>
              <w:wordWrap/>
              <w:overflowPunct/>
              <w:topLinePunct w:val="0"/>
              <w:autoSpaceDE/>
              <w:autoSpaceDN/>
              <w:bidi w:val="0"/>
              <w:adjustRightInd w:val="0"/>
              <w:snapToGrid/>
              <w:textAlignment w:val="auto"/>
              <w:rPr>
                <w:rFonts w:hint="eastAsia" w:eastAsia="宋体"/>
                <w:lang w:eastAsia="zh-CN"/>
              </w:rPr>
            </w:pPr>
            <w:bookmarkStart w:id="7" w:name="_Toc388720258"/>
            <w:r>
              <w:rPr>
                <w:rFonts w:hint="eastAsia"/>
                <w:lang w:val="en-US" w:eastAsia="zh-CN"/>
              </w:rPr>
              <w:t>2.</w:t>
            </w:r>
            <w:r>
              <w:t>支持绿色发展</w:t>
            </w:r>
            <w:bookmarkEnd w:id="7"/>
          </w:p>
          <w:p w14:paraId="62A5BD98">
            <w:pPr>
              <w:pStyle w:val="39"/>
              <w:ind w:firstLine="0" w:firstLineChars="0"/>
              <w:rPr>
                <w:rFonts w:hint="eastAsia"/>
                <w:lang w:val="en-US" w:eastAsia="zh-CN"/>
              </w:rPr>
            </w:pPr>
            <w:r>
              <w:rPr>
                <w:rFonts w:hint="eastAsia"/>
                <w:lang w:val="en-US" w:eastAsia="zh-CN"/>
              </w:rPr>
              <w:t>（1）</w:t>
            </w:r>
            <w:r>
              <w:t>属于</w:t>
            </w:r>
            <w:r>
              <w:rPr>
                <w:color w:val="auto"/>
              </w:rPr>
              <w:t>节能产品品目清单范围的</w:t>
            </w:r>
            <w:r>
              <w:rPr>
                <w:rFonts w:hint="eastAsia"/>
                <w:color w:val="auto"/>
                <w:lang w:val="en-US" w:eastAsia="zh-CN"/>
              </w:rPr>
              <w:t>产品：</w:t>
            </w:r>
          </w:p>
          <w:p w14:paraId="3844727C">
            <w:pPr>
              <w:pStyle w:val="39"/>
              <w:ind w:firstLine="0" w:firstLineChars="0"/>
              <w:rPr>
                <w:rFonts w:hint="eastAsia"/>
                <w:lang w:val="en-US" w:eastAsia="zh-CN"/>
              </w:rPr>
            </w:pPr>
            <w:sdt>
              <w:sdtPr>
                <w:id w:val="953830365"/>
                <w14:checkbox>
                  <w14:checked w14:val="1"/>
                  <w14:checkedState w14:val="00FE" w14:font="Wingdings"/>
                  <w14:uncheckedState w14:val="2610" w14:font="MS Gothic"/>
                </w14:checkbox>
              </w:sdtPr>
              <w:sdtContent>
                <w:r>
                  <w:rPr>
                    <w:rFonts w:hint="eastAsia" w:ascii="Wingdings" w:hAnsi="Wingdings" w:eastAsia="MS Gothic" w:cs="Times New Roman"/>
                    <w:kern w:val="2"/>
                    <w:sz w:val="24"/>
                    <w:szCs w:val="21"/>
                    <w:lang w:val="en-US" w:eastAsia="zh-Hans" w:bidi="ar-SA"/>
                  </w:rPr>
                  <w:t>þ</w:t>
                </w:r>
              </w:sdtContent>
            </w:sdt>
            <w:r>
              <w:rPr>
                <w:rFonts w:hint="eastAsia"/>
                <w:lang w:val="en-US" w:eastAsia="zh-CN"/>
              </w:rPr>
              <w:t>无；</w:t>
            </w:r>
            <w:sdt>
              <w:sdtPr>
                <w:id w:val="854498278"/>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val="en-US" w:eastAsia="zh-CN"/>
              </w:rPr>
              <w:t>有：</w:t>
            </w:r>
            <w:r>
              <w:rPr>
                <w:rFonts w:hint="eastAsia"/>
                <w:u w:val="single"/>
                <w:lang w:val="en-US" w:eastAsia="zh-CN"/>
              </w:rPr>
              <w:t xml:space="preserve">                                。</w:t>
            </w:r>
          </w:p>
          <w:p w14:paraId="48786CF1">
            <w:pPr>
              <w:pStyle w:val="39"/>
              <w:ind w:firstLine="0" w:firstLineChars="0"/>
              <w:rPr>
                <w:rFonts w:hint="eastAsia"/>
                <w:lang w:val="en-US" w:eastAsia="zh-CN"/>
              </w:rPr>
            </w:pPr>
            <w:r>
              <w:rPr>
                <w:rFonts w:hint="eastAsia"/>
                <w:lang w:val="en-US" w:eastAsia="zh-CN"/>
              </w:rPr>
              <w:t>（2）</w:t>
            </w:r>
            <w:r>
              <w:t>属于</w:t>
            </w:r>
            <w:r>
              <w:rPr>
                <w:rFonts w:hint="eastAsia"/>
                <w:color w:val="auto"/>
                <w:lang w:val="en-US" w:eastAsia="zh-CN"/>
              </w:rPr>
              <w:t>强制采购的</w:t>
            </w:r>
            <w:r>
              <w:rPr>
                <w:color w:val="auto"/>
              </w:rPr>
              <w:t>节能产品品目清单范围的</w:t>
            </w:r>
            <w:r>
              <w:rPr>
                <w:rFonts w:hint="eastAsia"/>
                <w:color w:val="auto"/>
                <w:lang w:val="en-US" w:eastAsia="zh-CN"/>
              </w:rPr>
              <w:t>产品：</w:t>
            </w:r>
          </w:p>
          <w:p w14:paraId="3FDE0676">
            <w:pPr>
              <w:pStyle w:val="39"/>
              <w:ind w:firstLine="0" w:firstLineChars="0"/>
              <w:rPr>
                <w:rFonts w:hint="eastAsia"/>
                <w:lang w:val="en-US" w:eastAsia="zh-CN"/>
              </w:rPr>
            </w:pPr>
            <w:sdt>
              <w:sdtPr>
                <w:id w:val="458679442"/>
                <w14:checkbox>
                  <w14:checked w14:val="1"/>
                  <w14:checkedState w14:val="00FE" w14:font="Wingdings"/>
                  <w14:uncheckedState w14:val="2610" w14:font="MS Gothic"/>
                </w14:checkbox>
              </w:sdtPr>
              <w:sdtContent>
                <w:r>
                  <w:rPr>
                    <w:rFonts w:hint="eastAsia" w:ascii="Wingdings" w:hAnsi="Wingdings" w:eastAsia="MS Gothic" w:cs="Times New Roman"/>
                    <w:kern w:val="2"/>
                    <w:sz w:val="24"/>
                    <w:szCs w:val="21"/>
                    <w:lang w:val="en-US" w:eastAsia="zh-Hans" w:bidi="ar-SA"/>
                  </w:rPr>
                  <w:t>þ</w:t>
                </w:r>
              </w:sdtContent>
            </w:sdt>
            <w:r>
              <w:rPr>
                <w:rFonts w:hint="eastAsia"/>
                <w:lang w:val="en-US" w:eastAsia="zh-CN"/>
              </w:rPr>
              <w:t>无；</w:t>
            </w:r>
            <w:sdt>
              <w:sdtPr>
                <w:id w:val="706572611"/>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val="en-US" w:eastAsia="zh-CN"/>
              </w:rPr>
              <w:t>有：</w:t>
            </w:r>
            <w:r>
              <w:rPr>
                <w:rFonts w:hint="eastAsia"/>
                <w:u w:val="single"/>
                <w:lang w:val="en-US" w:eastAsia="zh-CN"/>
              </w:rPr>
              <w:t xml:space="preserve">                                。</w:t>
            </w:r>
          </w:p>
          <w:p w14:paraId="5ABC0853">
            <w:pPr>
              <w:pStyle w:val="39"/>
              <w:ind w:firstLine="0" w:firstLineChars="0"/>
              <w:rPr>
                <w:rFonts w:hint="eastAsia"/>
                <w:lang w:val="en-US" w:eastAsia="zh-CN"/>
              </w:rPr>
            </w:pPr>
            <w:r>
              <w:rPr>
                <w:rFonts w:hint="eastAsia"/>
                <w:lang w:val="en-US" w:eastAsia="zh-CN"/>
              </w:rPr>
              <w:t>（3）</w:t>
            </w:r>
            <w:r>
              <w:t>属于</w:t>
            </w:r>
            <w:r>
              <w:rPr>
                <w:rFonts w:hint="eastAsia"/>
                <w:color w:val="auto"/>
                <w:lang w:val="en-US" w:eastAsia="zh-CN"/>
              </w:rPr>
              <w:t>环境标志产品</w:t>
            </w:r>
            <w:r>
              <w:rPr>
                <w:color w:val="auto"/>
              </w:rPr>
              <w:t>品目清单范围的</w:t>
            </w:r>
            <w:r>
              <w:rPr>
                <w:rFonts w:hint="eastAsia"/>
                <w:color w:val="auto"/>
                <w:lang w:val="en-US" w:eastAsia="zh-CN"/>
              </w:rPr>
              <w:t>产品：</w:t>
            </w:r>
          </w:p>
          <w:p w14:paraId="6AEBC056">
            <w:pPr>
              <w:pStyle w:val="39"/>
              <w:ind w:firstLine="0" w:firstLineChars="0"/>
            </w:pPr>
            <w:sdt>
              <w:sdtPr>
                <w:id w:val="42538655"/>
                <w14:checkbox>
                  <w14:checked w14:val="1"/>
                  <w14:checkedState w14:val="00FE" w14:font="Wingdings"/>
                  <w14:uncheckedState w14:val="2610" w14:font="MS Gothic"/>
                </w14:checkbox>
              </w:sdtPr>
              <w:sdtContent>
                <w:r>
                  <w:rPr>
                    <w:rFonts w:hint="eastAsia" w:ascii="Wingdings" w:hAnsi="Wingdings" w:eastAsia="MS Gothic" w:cs="Times New Roman"/>
                    <w:kern w:val="2"/>
                    <w:sz w:val="24"/>
                    <w:szCs w:val="21"/>
                    <w:lang w:val="en-US" w:eastAsia="zh-Hans" w:bidi="ar-SA"/>
                  </w:rPr>
                  <w:t>þ</w:t>
                </w:r>
              </w:sdtContent>
            </w:sdt>
            <w:r>
              <w:rPr>
                <w:rFonts w:hint="eastAsia"/>
                <w:lang w:val="en-US" w:eastAsia="zh-CN"/>
              </w:rPr>
              <w:t>无；</w:t>
            </w:r>
            <w:sdt>
              <w:sdtPr>
                <w:id w:val="628098712"/>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val="en-US" w:eastAsia="zh-CN"/>
              </w:rPr>
              <w:t>有：</w:t>
            </w:r>
            <w:r>
              <w:rPr>
                <w:rFonts w:hint="eastAsia"/>
                <w:u w:val="single"/>
                <w:lang w:val="en-US" w:eastAsia="zh-CN"/>
              </w:rPr>
              <w:t xml:space="preserve">                                。</w:t>
            </w:r>
          </w:p>
          <w:p w14:paraId="0A3E2586">
            <w:pPr>
              <w:pStyle w:val="38"/>
              <w:keepNext w:val="0"/>
              <w:keepLines w:val="0"/>
              <w:pageBreakBefore w:val="0"/>
              <w:widowControl w:val="0"/>
              <w:numPr>
                <w:ilvl w:val="3"/>
                <w:numId w:val="0"/>
              </w:numPr>
              <w:kinsoku/>
              <w:wordWrap/>
              <w:overflowPunct/>
              <w:topLinePunct w:val="0"/>
              <w:autoSpaceDE/>
              <w:autoSpaceDN/>
              <w:bidi w:val="0"/>
              <w:adjustRightInd w:val="0"/>
              <w:snapToGrid/>
              <w:textAlignment w:val="auto"/>
              <w:rPr>
                <w:rFonts w:hint="eastAsia" w:eastAsia="宋体"/>
                <w:lang w:eastAsia="zh-CN"/>
              </w:rPr>
            </w:pPr>
            <w:bookmarkStart w:id="8" w:name="_Toc576122032"/>
            <w:r>
              <w:rPr>
                <w:rFonts w:hint="eastAsia"/>
                <w:lang w:val="en-US" w:eastAsia="zh-CN"/>
              </w:rPr>
              <w:t>3.</w:t>
            </w:r>
            <w:r>
              <w:t>支持创新发展</w:t>
            </w:r>
            <w:bookmarkEnd w:id="8"/>
            <w:r>
              <w:rPr>
                <w:rFonts w:hint="eastAsia"/>
                <w:lang w:eastAsia="zh-CN"/>
              </w:rPr>
              <w:t>：</w:t>
            </w:r>
            <w:sdt>
              <w:sdtPr>
                <w:id w:val="36575558"/>
                <w14:checkbox>
                  <w14:checked w14:val="0"/>
                  <w14:checkedState w14:val="00FE" w14:font="Wingdings"/>
                  <w14:uncheckedState w14:val="2610" w14:font="MS Gothic"/>
                </w14:checkbox>
              </w:sdtPr>
              <w:sdtContent>
                <w:r>
                  <w:rPr>
                    <w:rFonts w:hint="eastAsia" w:ascii="MS Gothic" w:hAnsi="MS Gothic" w:eastAsia="MS Gothic" w:cs="Times New Roman"/>
                    <w:b/>
                    <w:bCs/>
                    <w:kern w:val="2"/>
                    <w:sz w:val="24"/>
                    <w:szCs w:val="21"/>
                    <w:lang w:val="en-US" w:eastAsia="zh-Hans" w:bidi="ar-SA"/>
                  </w:rPr>
                  <w:t>☐</w:t>
                </w:r>
              </w:sdtContent>
            </w:sdt>
            <w:r>
              <w:rPr>
                <w:rFonts w:hint="eastAsia"/>
                <w:color w:val="auto"/>
                <w:u w:val="none"/>
                <w:lang w:val="en-US" w:eastAsia="zh-CN"/>
              </w:rPr>
              <w:t>否；</w:t>
            </w:r>
            <w:sdt>
              <w:sdtPr>
                <w:id w:val="338058842"/>
                <w14:checkbox>
                  <w14:checked w14:val="1"/>
                  <w14:checkedState w14:val="00FE" w14:font="Wingdings"/>
                  <w14:uncheckedState w14:val="2610" w14:font="MS Gothic"/>
                </w14:checkbox>
              </w:sdtPr>
              <w:sdtContent>
                <w:r>
                  <w:rPr>
                    <w:rFonts w:hint="eastAsia" w:ascii="Wingdings" w:hAnsi="Wingdings" w:eastAsia="MS Gothic" w:cs="Times New Roman"/>
                    <w:b/>
                    <w:bCs/>
                    <w:kern w:val="2"/>
                    <w:sz w:val="24"/>
                    <w:szCs w:val="21"/>
                    <w:lang w:val="en-US" w:eastAsia="zh-Hans" w:bidi="ar-SA"/>
                  </w:rPr>
                  <w:t>þ</w:t>
                </w:r>
              </w:sdtContent>
            </w:sdt>
            <w:r>
              <w:rPr>
                <w:rFonts w:hint="eastAsia"/>
                <w:color w:val="auto"/>
                <w:u w:val="none"/>
                <w:lang w:val="en-US" w:eastAsia="zh-CN"/>
              </w:rPr>
              <w:t>是。</w:t>
            </w:r>
          </w:p>
          <w:p w14:paraId="39F21FAC">
            <w:pPr>
              <w:pStyle w:val="38"/>
              <w:keepNext w:val="0"/>
              <w:keepLines w:val="0"/>
              <w:pageBreakBefore w:val="0"/>
              <w:widowControl w:val="0"/>
              <w:numPr>
                <w:ilvl w:val="3"/>
                <w:numId w:val="0"/>
              </w:numPr>
              <w:kinsoku/>
              <w:wordWrap/>
              <w:overflowPunct/>
              <w:topLinePunct w:val="0"/>
              <w:autoSpaceDE/>
              <w:autoSpaceDN/>
              <w:bidi w:val="0"/>
              <w:adjustRightInd w:val="0"/>
              <w:snapToGrid/>
              <w:textAlignment w:val="auto"/>
            </w:pPr>
            <w:bookmarkStart w:id="9" w:name="_Toc2026711148"/>
            <w:r>
              <w:rPr>
                <w:rFonts w:hint="eastAsia"/>
                <w:lang w:val="en-US" w:eastAsia="zh-CN"/>
              </w:rPr>
              <w:t>4.</w:t>
            </w:r>
            <w:r>
              <w:rPr>
                <w:rFonts w:hint="eastAsia"/>
              </w:rPr>
              <w:t>支持本国生产的货物</w:t>
            </w:r>
            <w:bookmarkEnd w:id="9"/>
          </w:p>
          <w:p w14:paraId="59C09F9B">
            <w:pPr>
              <w:pStyle w:val="39"/>
              <w:ind w:firstLine="0" w:firstLineChars="0"/>
              <w:rPr>
                <w:rFonts w:hint="eastAsia"/>
                <w:color w:val="auto"/>
                <w:u w:val="none"/>
                <w:lang w:val="en-US" w:eastAsia="zh-CN"/>
              </w:rPr>
            </w:pPr>
            <w:r>
              <w:rPr>
                <w:rFonts w:hint="eastAsia"/>
                <w:color w:val="auto"/>
                <w:u w:val="none"/>
                <w:lang w:eastAsia="zh-CN"/>
              </w:rPr>
              <w:t>（</w:t>
            </w:r>
            <w:r>
              <w:rPr>
                <w:rFonts w:hint="eastAsia"/>
                <w:color w:val="auto"/>
                <w:u w:val="none"/>
                <w:lang w:val="en-US" w:eastAsia="zh-CN"/>
              </w:rPr>
              <w:t>1）是否允许采购进口产品：</w:t>
            </w:r>
            <w:sdt>
              <w:sdtPr>
                <w:id w:val="512100087"/>
                <w14:checkbox>
                  <w14:checked w14:val="1"/>
                  <w14:checkedState w14:val="00FE" w14:font="Wingdings"/>
                  <w14:uncheckedState w14:val="2610" w14:font="MS Gothic"/>
                </w14:checkbox>
              </w:sdtPr>
              <w:sdtContent>
                <w:r>
                  <w:rPr>
                    <w:rFonts w:hint="eastAsia" w:ascii="Wingdings" w:hAnsi="Wingdings" w:eastAsia="MS Gothic" w:cs="Times New Roman"/>
                    <w:kern w:val="2"/>
                    <w:sz w:val="24"/>
                    <w:szCs w:val="21"/>
                    <w:lang w:val="en-US" w:eastAsia="zh-Hans" w:bidi="ar-SA"/>
                  </w:rPr>
                  <w:t>þ</w:t>
                </w:r>
              </w:sdtContent>
            </w:sdt>
            <w:r>
              <w:rPr>
                <w:rFonts w:hint="eastAsia"/>
                <w:color w:val="auto"/>
                <w:u w:val="none"/>
                <w:lang w:val="en-US" w:eastAsia="zh-CN"/>
              </w:rPr>
              <w:t>否；</w:t>
            </w:r>
            <w:sdt>
              <w:sdtPr>
                <w:id w:val="922146563"/>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color w:val="auto"/>
                <w:u w:val="none"/>
                <w:lang w:val="en-US" w:eastAsia="zh-CN"/>
              </w:rPr>
              <w:t>是。</w:t>
            </w:r>
          </w:p>
          <w:p w14:paraId="49551CA7">
            <w:pPr>
              <w:pStyle w:val="39"/>
              <w:ind w:firstLine="0" w:firstLineChars="0"/>
              <w:rPr>
                <w:rFonts w:hint="eastAsia" w:eastAsia="宋体"/>
                <w:lang w:eastAsia="zh-CN"/>
              </w:rPr>
            </w:pPr>
            <w:r>
              <w:rPr>
                <w:rFonts w:hint="eastAsia"/>
                <w:lang w:eastAsia="zh-CN"/>
              </w:rPr>
              <w:t>（</w:t>
            </w:r>
            <w:r>
              <w:rPr>
                <w:rFonts w:hint="eastAsia"/>
                <w:lang w:val="en-US" w:eastAsia="zh-CN"/>
              </w:rPr>
              <w:t>2）</w:t>
            </w:r>
            <w:r>
              <w:rPr>
                <w:rFonts w:hint="eastAsia"/>
              </w:rPr>
              <w:t>报价及交货方式：</w:t>
            </w:r>
            <w:sdt>
              <w:sdtPr>
                <w:id w:val="679625574"/>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rPr>
              <w:t>CIP</w:t>
            </w:r>
            <w:r>
              <w:rPr>
                <w:rFonts w:hint="eastAsia"/>
                <w:lang w:eastAsia="zh-CN"/>
              </w:rPr>
              <w:t>；</w:t>
            </w:r>
            <w:sdt>
              <w:sdtPr>
                <w:id w:val="135573657"/>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rPr>
              <w:t>CIF</w:t>
            </w:r>
            <w:r>
              <w:rPr>
                <w:rFonts w:hint="eastAsia"/>
                <w:lang w:eastAsia="zh-CN"/>
              </w:rPr>
              <w:t>。</w:t>
            </w:r>
          </w:p>
          <w:p w14:paraId="0DD2520E">
            <w:pPr>
              <w:pStyle w:val="39"/>
              <w:ind w:firstLine="0" w:firstLineChars="0"/>
              <w:rPr>
                <w:rFonts w:hint="default"/>
                <w:color w:val="00B050"/>
                <w:u w:val="none"/>
                <w:lang w:val="en-US" w:eastAsia="zh-CN"/>
              </w:rPr>
            </w:pPr>
            <w:r>
              <w:rPr>
                <w:rFonts w:hint="eastAsia"/>
                <w:lang w:eastAsia="zh-CN"/>
              </w:rPr>
              <w:t>（</w:t>
            </w:r>
            <w:r>
              <w:rPr>
                <w:rFonts w:hint="eastAsia"/>
                <w:lang w:val="en-US" w:eastAsia="zh-CN"/>
              </w:rPr>
              <w:t>3）</w:t>
            </w:r>
            <w:r>
              <w:rPr>
                <w:rFonts w:hint="eastAsia"/>
              </w:rPr>
              <w:t>是否可免关税：</w:t>
            </w:r>
            <w:sdt>
              <w:sdtPr>
                <w:id w:val="87913067"/>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rPr>
              <w:t>否</w:t>
            </w:r>
            <w:r>
              <w:rPr>
                <w:rFonts w:hint="eastAsia"/>
                <w:lang w:eastAsia="zh-CN"/>
              </w:rPr>
              <w:t>；</w:t>
            </w:r>
            <w:sdt>
              <w:sdtPr>
                <w:id w:val="530617980"/>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CN"/>
              </w:rPr>
              <w:t>是</w:t>
            </w:r>
            <w:r>
              <w:rPr>
                <w:rFonts w:hint="eastAsia"/>
              </w:rPr>
              <w:t>。</w:t>
            </w:r>
          </w:p>
        </w:tc>
      </w:tr>
      <w:tr w14:paraId="3D2A66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4EE37EC4">
            <w:pPr>
              <w:pStyle w:val="39"/>
              <w:ind w:firstLine="0" w:firstLineChars="0"/>
              <w:rPr>
                <w:rFonts w:hint="eastAsia"/>
              </w:rPr>
            </w:pPr>
            <w:r>
              <w:rPr>
                <w:rFonts w:hint="eastAsia"/>
              </w:rPr>
              <w:t>一、</w:t>
            </w:r>
            <w:r>
              <w:rPr>
                <w:rFonts w:hint="eastAsia"/>
                <w:lang w:eastAsia="zh-CN"/>
              </w:rPr>
              <w:t>1</w:t>
            </w:r>
            <w:r>
              <w:rPr>
                <w:rFonts w:hint="eastAsia"/>
              </w:rPr>
              <w:t>2</w:t>
            </w:r>
            <w:r>
              <w:t>.</w:t>
            </w:r>
          </w:p>
        </w:tc>
        <w:tc>
          <w:tcPr>
            <w:tcW w:w="838" w:type="pct"/>
            <w:gridSpan w:val="2"/>
            <w:vAlign w:val="center"/>
          </w:tcPr>
          <w:p w14:paraId="4B96F1AA">
            <w:pPr>
              <w:pStyle w:val="39"/>
              <w:ind w:firstLine="0" w:firstLineChars="0"/>
              <w:rPr>
                <w:rFonts w:hint="eastAsia"/>
              </w:rPr>
            </w:pPr>
            <w:r>
              <w:rPr>
                <w:rFonts w:hint="eastAsia"/>
              </w:rPr>
              <w:t>对供应商的限制</w:t>
            </w:r>
          </w:p>
        </w:tc>
        <w:tc>
          <w:tcPr>
            <w:tcW w:w="3546" w:type="pct"/>
            <w:vAlign w:val="center"/>
          </w:tcPr>
          <w:p w14:paraId="443C1581">
            <w:pPr>
              <w:pStyle w:val="39"/>
              <w:ind w:firstLine="0" w:firstLineChars="0"/>
              <w:rPr>
                <w:rFonts w:hint="eastAsia"/>
                <w:lang w:val="en-US" w:eastAsia="zh-CN"/>
              </w:rPr>
            </w:pPr>
            <w:r>
              <w:rPr>
                <w:rFonts w:hint="eastAsia"/>
                <w:lang w:val="en-US" w:eastAsia="zh-CN"/>
              </w:rPr>
              <w:t>本项目是否为“政府购买服务”项目</w:t>
            </w:r>
          </w:p>
          <w:p w14:paraId="28E6F69E">
            <w:pPr>
              <w:pStyle w:val="39"/>
              <w:ind w:firstLine="0" w:firstLineChars="0"/>
              <w:rPr>
                <w:rFonts w:hint="default"/>
                <w:lang w:val="en-US" w:eastAsia="zh-CN"/>
              </w:rPr>
            </w:pPr>
            <w:sdt>
              <w:sdtPr>
                <w:id w:val="828268428"/>
                <w14:checkbox>
                  <w14:checked w14:val="1"/>
                  <w14:checkedState w14:val="00FE" w14:font="Wingdings"/>
                  <w14:uncheckedState w14:val="2610" w14:font="MS Gothic"/>
                </w14:checkbox>
              </w:sdtPr>
              <w:sdtContent>
                <w:r>
                  <w:rPr>
                    <w:rFonts w:hint="eastAsia" w:ascii="Wingdings" w:hAnsi="Wingdings" w:eastAsia="MS Gothic" w:cs="Times New Roman"/>
                    <w:kern w:val="2"/>
                    <w:sz w:val="24"/>
                    <w:szCs w:val="21"/>
                    <w:lang w:val="en-US" w:eastAsia="zh-Hans" w:bidi="ar-SA"/>
                  </w:rPr>
                  <w:t>þ</w:t>
                </w:r>
              </w:sdtContent>
            </w:sdt>
            <w:r>
              <w:rPr>
                <w:rFonts w:hint="eastAsia"/>
              </w:rPr>
              <w:t>否</w:t>
            </w:r>
            <w:r>
              <w:rPr>
                <w:rFonts w:hint="eastAsia"/>
                <w:lang w:eastAsia="zh-CN"/>
              </w:rPr>
              <w:t>；</w:t>
            </w:r>
            <w:sdt>
              <w:sdtPr>
                <w:id w:val="511448120"/>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CN"/>
              </w:rPr>
              <w:t>是，公益一类事业单位、使用事业编制且由财政拨款保障的群团组织不作为政府购买服务的承接主体‌。</w:t>
            </w:r>
          </w:p>
        </w:tc>
      </w:tr>
      <w:tr w14:paraId="1328513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51783C6E">
            <w:pPr>
              <w:pStyle w:val="39"/>
              <w:ind w:firstLine="0" w:firstLineChars="0"/>
            </w:pPr>
            <w:r>
              <w:rPr>
                <w:rFonts w:hint="eastAsia"/>
              </w:rPr>
              <w:t>三、5</w:t>
            </w:r>
            <w:r>
              <w:t>.</w:t>
            </w:r>
          </w:p>
        </w:tc>
        <w:tc>
          <w:tcPr>
            <w:tcW w:w="838" w:type="pct"/>
            <w:gridSpan w:val="2"/>
            <w:vAlign w:val="center"/>
          </w:tcPr>
          <w:p w14:paraId="4D26A9CC">
            <w:pPr>
              <w:pStyle w:val="39"/>
              <w:ind w:firstLine="0" w:firstLineChars="0"/>
              <w:rPr>
                <w:kern w:val="0"/>
              </w:rPr>
            </w:pPr>
            <w:r>
              <w:rPr>
                <w:rFonts w:hint="eastAsia" w:cs="AdobeFangsongStd-Regular"/>
                <w:kern w:val="0"/>
                <w:position w:val="-3"/>
              </w:rPr>
              <w:t>投标</w:t>
            </w:r>
            <w:r>
              <w:rPr>
                <w:rFonts w:hint="eastAsia" w:cs="AdobeFangsongStd-Regular"/>
                <w:spacing w:val="-2"/>
                <w:kern w:val="0"/>
                <w:position w:val="-3"/>
              </w:rPr>
              <w:t>文</w:t>
            </w:r>
            <w:r>
              <w:rPr>
                <w:rFonts w:hint="eastAsia" w:cs="AdobeFangsongStd-Regular"/>
                <w:kern w:val="0"/>
                <w:position w:val="-3"/>
              </w:rPr>
              <w:t>件</w:t>
            </w:r>
            <w:r>
              <w:rPr>
                <w:rFonts w:hint="eastAsia" w:cs="AdobeFangsongStd-Regular"/>
                <w:spacing w:val="-2"/>
                <w:kern w:val="0"/>
                <w:position w:val="-3"/>
              </w:rPr>
              <w:t>有</w:t>
            </w:r>
            <w:r>
              <w:rPr>
                <w:rFonts w:hint="eastAsia" w:cs="AdobeFangsongStd-Regular"/>
                <w:kern w:val="0"/>
                <w:position w:val="-3"/>
              </w:rPr>
              <w:t>效期</w:t>
            </w:r>
          </w:p>
        </w:tc>
        <w:tc>
          <w:tcPr>
            <w:tcW w:w="3546" w:type="pct"/>
            <w:vAlign w:val="center"/>
          </w:tcPr>
          <w:p w14:paraId="6911A436">
            <w:pPr>
              <w:pStyle w:val="39"/>
              <w:ind w:firstLine="0" w:firstLineChars="0"/>
              <w:rPr>
                <w:kern w:val="0"/>
              </w:rPr>
            </w:pPr>
            <w:r>
              <w:rPr>
                <w:rFonts w:hint="eastAsia" w:cs="AdobeFangsongStd-Regular"/>
                <w:kern w:val="0"/>
                <w:position w:val="-2"/>
              </w:rPr>
              <w:t>自投</w:t>
            </w:r>
            <w:r>
              <w:rPr>
                <w:rFonts w:hint="eastAsia" w:cs="AdobeFangsongStd-Regular"/>
                <w:spacing w:val="-2"/>
                <w:kern w:val="0"/>
                <w:position w:val="-2"/>
              </w:rPr>
              <w:t>标</w:t>
            </w:r>
            <w:r>
              <w:rPr>
                <w:rFonts w:hint="eastAsia" w:cs="AdobeFangsongStd-Regular"/>
                <w:kern w:val="0"/>
                <w:position w:val="-2"/>
              </w:rPr>
              <w:t>截</w:t>
            </w:r>
            <w:r>
              <w:rPr>
                <w:rFonts w:hint="eastAsia" w:cs="AdobeFangsongStd-Regular"/>
                <w:spacing w:val="-2"/>
                <w:kern w:val="0"/>
                <w:position w:val="-2"/>
              </w:rPr>
              <w:t>止</w:t>
            </w:r>
            <w:r>
              <w:rPr>
                <w:rFonts w:hint="eastAsia" w:cs="AdobeFangsongStd-Regular"/>
                <w:kern w:val="0"/>
                <w:position w:val="-2"/>
              </w:rPr>
              <w:t>时</w:t>
            </w:r>
            <w:r>
              <w:rPr>
                <w:rFonts w:hint="eastAsia" w:cs="AdobeFangsongStd-Regular"/>
                <w:spacing w:val="-2"/>
                <w:kern w:val="0"/>
                <w:position w:val="-2"/>
              </w:rPr>
              <w:t>间</w:t>
            </w:r>
            <w:r>
              <w:rPr>
                <w:rFonts w:hint="eastAsia" w:cs="AdobeFangsongStd-Regular"/>
                <w:kern w:val="0"/>
                <w:position w:val="-2"/>
              </w:rPr>
              <w:t>起不少于</w:t>
            </w:r>
            <w:r>
              <w:rPr>
                <w:rFonts w:hint="eastAsia" w:cs="Arial"/>
                <w:spacing w:val="-2"/>
                <w:kern w:val="0"/>
                <w:position w:val="-2"/>
              </w:rPr>
              <w:t>90</w:t>
            </w:r>
            <w:r>
              <w:rPr>
                <w:rFonts w:hint="eastAsia" w:cs="AdobeFangsongStd-Regular"/>
                <w:spacing w:val="-2"/>
                <w:kern w:val="0"/>
                <w:position w:val="-2"/>
              </w:rPr>
              <w:t>天。</w:t>
            </w:r>
          </w:p>
        </w:tc>
      </w:tr>
      <w:tr w14:paraId="3363793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gridSpan w:val="2"/>
            <w:vAlign w:val="center"/>
          </w:tcPr>
          <w:p w14:paraId="4ABBC2E2">
            <w:pPr>
              <w:pStyle w:val="39"/>
              <w:ind w:firstLine="0" w:firstLineChars="0"/>
              <w:rPr>
                <w:rFonts w:hint="default" w:eastAsia="宋体"/>
                <w:lang w:eastAsia="zh-Hans"/>
              </w:rPr>
            </w:pPr>
            <w:r>
              <w:rPr>
                <w:rFonts w:hint="eastAsia"/>
                <w:lang w:val="en-US" w:eastAsia="zh-Hans"/>
              </w:rPr>
              <w:t>四、</w:t>
            </w:r>
            <w:r>
              <w:rPr>
                <w:rFonts w:hint="default"/>
                <w:lang w:eastAsia="zh-Hans"/>
              </w:rPr>
              <w:t>1.</w:t>
            </w:r>
          </w:p>
        </w:tc>
        <w:tc>
          <w:tcPr>
            <w:tcW w:w="837" w:type="pct"/>
            <w:vAlign w:val="center"/>
          </w:tcPr>
          <w:p w14:paraId="466088F7">
            <w:pPr>
              <w:pStyle w:val="39"/>
              <w:ind w:firstLine="0" w:firstLineChars="0"/>
              <w:rPr>
                <w:rFonts w:hint="default" w:eastAsia="宋体" w:cs="AdobeFangsongStd-Regular"/>
                <w:kern w:val="0"/>
                <w:position w:val="-3"/>
                <w:lang w:val="en-US" w:eastAsia="zh-Hans"/>
              </w:rPr>
            </w:pPr>
            <w:r>
              <w:rPr>
                <w:rFonts w:hint="eastAsia" w:cs="AdobeFangsongStd-Regular"/>
                <w:kern w:val="0"/>
                <w:position w:val="-3"/>
                <w:lang w:val="en-US" w:eastAsia="zh-Hans"/>
              </w:rPr>
              <w:t>投标范围</w:t>
            </w:r>
          </w:p>
        </w:tc>
        <w:tc>
          <w:tcPr>
            <w:tcW w:w="3546" w:type="pct"/>
            <w:vAlign w:val="center"/>
          </w:tcPr>
          <w:p w14:paraId="7229A01B">
            <w:pPr>
              <w:pStyle w:val="39"/>
              <w:ind w:firstLine="0" w:firstLineChars="0"/>
              <w:rPr>
                <w:rFonts w:hint="eastAsia" w:cs="AdobeFangsongStd-Regular"/>
                <w:color w:val="auto"/>
                <w:kern w:val="0"/>
                <w:position w:val="-2"/>
                <w:lang w:val="en-US" w:eastAsia="zh-Hans"/>
              </w:rPr>
            </w:pPr>
            <w:sdt>
              <w:sdtPr>
                <w:rPr>
                  <w:color w:val="auto"/>
                </w:rPr>
                <w:id w:val="1389695766"/>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s="AdobeFangsongStd-Regular"/>
                <w:color w:val="auto"/>
                <w:kern w:val="0"/>
                <w:position w:val="-2"/>
                <w:lang w:val="en-US" w:eastAsia="zh-Hans"/>
              </w:rPr>
              <w:t>本项目</w:t>
            </w:r>
            <w:r>
              <w:rPr>
                <w:rFonts w:hint="eastAsia" w:cs="AdobeFangsongStd-Regular"/>
                <w:color w:val="auto"/>
                <w:kern w:val="0"/>
                <w:position w:val="-2"/>
                <w:lang w:val="en-US" w:eastAsia="zh-CN"/>
              </w:rPr>
              <w:t>不</w:t>
            </w:r>
            <w:r>
              <w:rPr>
                <w:rFonts w:hint="eastAsia" w:cs="AdobeFangsongStd-Regular"/>
                <w:color w:val="auto"/>
                <w:kern w:val="0"/>
                <w:position w:val="-2"/>
                <w:lang w:val="en-US" w:eastAsia="zh-Hans"/>
              </w:rPr>
              <w:t>存在多个标项</w:t>
            </w:r>
          </w:p>
          <w:p w14:paraId="20A11382">
            <w:pPr>
              <w:pStyle w:val="39"/>
              <w:ind w:firstLine="0" w:firstLineChars="0"/>
              <w:rPr>
                <w:rFonts w:hint="eastAsia" w:eastAsia="宋体" w:cs="AdobeFangsongStd-Regular"/>
                <w:color w:val="auto"/>
                <w:kern w:val="0"/>
                <w:position w:val="-2"/>
                <w:highlight w:val="none"/>
                <w:lang w:val="en-US" w:eastAsia="zh-CN"/>
              </w:rPr>
            </w:pPr>
            <w:sdt>
              <w:sdtPr>
                <w:rPr>
                  <w:color w:val="auto"/>
                  <w:highlight w:val="none"/>
                </w:rPr>
                <w:id w:val="393592173"/>
                <w14:checkbox>
                  <w14:checked w14:val="1"/>
                  <w14:checkedState w14:val="00FE" w14:font="Wingdings"/>
                  <w14:uncheckedState w14:val="2610" w14:font="MS Gothic"/>
                </w14:checkbox>
              </w:sdtPr>
              <w:sdtEndPr>
                <w:rPr>
                  <w:color w:val="auto"/>
                  <w:highlight w:val="none"/>
                </w:rPr>
              </w:sdtEndPr>
              <w:sdtContent>
                <w:r>
                  <w:rPr>
                    <w:rFonts w:hint="eastAsia" w:ascii="Wingdings" w:hAnsi="Wingdings" w:eastAsia="MS Gothic" w:cs="Times New Roman"/>
                    <w:color w:val="auto"/>
                    <w:kern w:val="2"/>
                    <w:sz w:val="24"/>
                    <w:szCs w:val="21"/>
                    <w:highlight w:val="none"/>
                    <w:lang w:val="en-US" w:eastAsia="zh-Hans" w:bidi="ar-SA"/>
                  </w:rPr>
                  <w:t>þ</w:t>
                </w:r>
              </w:sdtContent>
            </w:sdt>
            <w:r>
              <w:rPr>
                <w:rFonts w:hint="eastAsia" w:cs="AdobeFangsongStd-Regular"/>
                <w:color w:val="auto"/>
                <w:kern w:val="0"/>
                <w:position w:val="-2"/>
                <w:highlight w:val="none"/>
                <w:lang w:val="en-US" w:eastAsia="zh-Hans"/>
              </w:rPr>
              <w:t>本项目存在多个标项，投标人可</w:t>
            </w:r>
            <w:r>
              <w:rPr>
                <w:rFonts w:hint="eastAsia" w:cs="AdobeFangsongStd-Regular"/>
                <w:color w:val="auto"/>
                <w:kern w:val="0"/>
                <w:position w:val="-2"/>
                <w:highlight w:val="none"/>
                <w:lang w:val="en-US" w:eastAsia="zh-CN"/>
              </w:rPr>
              <w:t>：</w:t>
            </w:r>
          </w:p>
          <w:p w14:paraId="6CFF87E1">
            <w:pPr>
              <w:pStyle w:val="39"/>
              <w:ind w:firstLine="0" w:firstLineChars="0"/>
              <w:rPr>
                <w:rFonts w:hint="default" w:eastAsia="宋体"/>
                <w:color w:val="auto"/>
                <w:highlight w:val="none"/>
                <w:lang w:val="en-US" w:eastAsia="zh-Hans"/>
              </w:rPr>
            </w:pPr>
            <w:sdt>
              <w:sdtPr>
                <w:rPr>
                  <w:color w:val="auto"/>
                  <w:highlight w:val="none"/>
                </w:rPr>
                <w:id w:val="646997429"/>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s="Times New Roman"/>
                    <w:color w:val="auto"/>
                    <w:kern w:val="2"/>
                    <w:sz w:val="24"/>
                    <w:szCs w:val="21"/>
                    <w:highlight w:val="none"/>
                    <w:lang w:val="en-US" w:eastAsia="zh-Hans" w:bidi="ar-SA"/>
                  </w:rPr>
                  <w:t>☐</w:t>
                </w:r>
              </w:sdtContent>
            </w:sdt>
            <w:r>
              <w:rPr>
                <w:rFonts w:hint="eastAsia"/>
                <w:color w:val="auto"/>
                <w:highlight w:val="none"/>
                <w:lang w:val="en-US" w:eastAsia="zh-Hans"/>
              </w:rPr>
              <w:t>兼投可兼中，即投标人可以选择一个或多个标项投报，并获得对应投报标项的中标机会。</w:t>
            </w:r>
          </w:p>
          <w:p w14:paraId="7E3EAB66">
            <w:pPr>
              <w:pStyle w:val="39"/>
              <w:ind w:firstLine="0" w:firstLineChars="0"/>
              <w:rPr>
                <w:rFonts w:hint="default"/>
                <w:lang w:val="en-US" w:eastAsia="zh-Hans"/>
              </w:rPr>
            </w:pPr>
            <w:sdt>
              <w:sdtPr>
                <w:rPr>
                  <w:color w:val="auto"/>
                  <w:highlight w:val="none"/>
                </w:rPr>
                <w:id w:val="21579373"/>
                <w14:checkbox>
                  <w14:checked w14:val="1"/>
                  <w14:checkedState w14:val="00FE" w14:font="Wingdings"/>
                  <w14:uncheckedState w14:val="2610" w14:font="MS Gothic"/>
                </w14:checkbox>
              </w:sdtPr>
              <w:sdtEndPr>
                <w:rPr>
                  <w:color w:val="auto"/>
                  <w:highlight w:val="none"/>
                </w:rPr>
              </w:sdtEndPr>
              <w:sdtContent>
                <w:r>
                  <w:rPr>
                    <w:rFonts w:hint="eastAsia" w:ascii="Wingdings" w:hAnsi="Wingdings" w:eastAsia="MS Gothic" w:cs="Times New Roman"/>
                    <w:color w:val="auto"/>
                    <w:kern w:val="2"/>
                    <w:sz w:val="24"/>
                    <w:szCs w:val="21"/>
                    <w:highlight w:val="none"/>
                    <w:lang w:val="en-US" w:eastAsia="zh-Hans" w:bidi="ar-SA"/>
                  </w:rPr>
                  <w:t>þ</w:t>
                </w:r>
              </w:sdtContent>
            </w:sdt>
            <w:r>
              <w:rPr>
                <w:rFonts w:hint="eastAsia"/>
                <w:color w:val="auto"/>
                <w:highlight w:val="none"/>
                <w:lang w:val="en-US" w:eastAsia="zh-Hans"/>
              </w:rPr>
              <w:t>兼投不兼中，即投标人可以选择一个或多个标项投报，但只能获得一个投报标项的中标资格。</w:t>
            </w:r>
          </w:p>
        </w:tc>
      </w:tr>
      <w:tr w14:paraId="3603F13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gridSpan w:val="2"/>
            <w:shd w:val="clear" w:color="auto" w:fill="auto"/>
            <w:vAlign w:val="center"/>
          </w:tcPr>
          <w:p w14:paraId="62463D39">
            <w:pPr>
              <w:pStyle w:val="39"/>
              <w:ind w:firstLine="0" w:firstLineChars="0"/>
              <w:rPr>
                <w:rFonts w:hint="eastAsia" w:ascii="宋体" w:hAnsi="宋体" w:eastAsia="宋体" w:cs="Times New Roman"/>
                <w:kern w:val="2"/>
                <w:sz w:val="24"/>
                <w:szCs w:val="21"/>
                <w:lang w:val="en-US" w:eastAsia="zh-Hans" w:bidi="ar-SA"/>
              </w:rPr>
            </w:pPr>
            <w:r>
              <w:rPr>
                <w:rFonts w:hint="eastAsia"/>
              </w:rPr>
              <w:t>四、</w:t>
            </w:r>
            <w:r>
              <w:rPr>
                <w:rFonts w:hint="eastAsia"/>
                <w:lang w:val="en-US" w:eastAsia="zh-CN"/>
              </w:rPr>
              <w:t>5</w:t>
            </w:r>
            <w:r>
              <w:rPr>
                <w:rFonts w:hint="eastAsia"/>
              </w:rPr>
              <w:t>.</w:t>
            </w:r>
          </w:p>
        </w:tc>
        <w:tc>
          <w:tcPr>
            <w:tcW w:w="837" w:type="pct"/>
            <w:shd w:val="clear" w:color="auto" w:fill="auto"/>
            <w:vAlign w:val="center"/>
          </w:tcPr>
          <w:p w14:paraId="512A9BCD">
            <w:pPr>
              <w:pStyle w:val="39"/>
              <w:ind w:firstLine="0" w:firstLineChars="0"/>
              <w:rPr>
                <w:rFonts w:hint="eastAsia" w:ascii="宋体" w:hAnsi="宋体" w:eastAsia="宋体" w:cs="AdobeFangsongStd-Regular"/>
                <w:kern w:val="0"/>
                <w:position w:val="-3"/>
                <w:sz w:val="24"/>
                <w:szCs w:val="21"/>
                <w:lang w:val="en-US" w:eastAsia="zh-Hans" w:bidi="ar-SA"/>
              </w:rPr>
            </w:pPr>
            <w:r>
              <w:rPr>
                <w:rFonts w:hint="eastAsia" w:cs="AdobeFangsongStd-Regular"/>
                <w:kern w:val="0"/>
                <w:position w:val="-3"/>
              </w:rPr>
              <w:t>投标样品</w:t>
            </w:r>
          </w:p>
        </w:tc>
        <w:tc>
          <w:tcPr>
            <w:tcW w:w="3546" w:type="pct"/>
            <w:shd w:val="clear" w:color="auto" w:fill="auto"/>
            <w:vAlign w:val="center"/>
          </w:tcPr>
          <w:p w14:paraId="42D985D4">
            <w:pPr>
              <w:pStyle w:val="39"/>
              <w:ind w:firstLine="0" w:firstLineChars="0"/>
            </w:pPr>
            <w:r>
              <w:rPr>
                <w:rFonts w:hint="eastAsia"/>
                <w:kern w:val="10"/>
              </w:rPr>
              <w:t>本项目是否需要样品：</w:t>
            </w:r>
            <w:sdt>
              <w:sdtPr>
                <w:id w:val="605111514"/>
                <w14:checkbox>
                  <w14:checked w14:val="1"/>
                  <w14:checkedState w14:val="00FE" w14:font="Wingdings"/>
                  <w14:uncheckedState w14:val="2610" w14:font="MS Gothic"/>
                </w14:checkbox>
              </w:sdtPr>
              <w:sdtContent>
                <w:r>
                  <w:rPr/>
                  <w:sym w:font="Wingdings" w:char="F0FE"/>
                </w:r>
              </w:sdtContent>
            </w:sdt>
            <w:r>
              <w:rPr>
                <w:rFonts w:hint="eastAsia"/>
              </w:rPr>
              <w:t>否；</w:t>
            </w:r>
            <w:sdt>
              <w:sdtPr>
                <w:id w:val="419642184"/>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是，详见第</w:t>
            </w:r>
            <w:r>
              <w:rPr>
                <w:rFonts w:hint="eastAsia"/>
                <w:lang w:val="en-US" w:eastAsia="zh-Hans"/>
              </w:rPr>
              <w:t>三章项目技术及服务</w:t>
            </w:r>
            <w:r>
              <w:rPr>
                <w:rFonts w:hint="eastAsia"/>
              </w:rPr>
              <w:t>要求。</w:t>
            </w:r>
          </w:p>
          <w:p w14:paraId="7405C588">
            <w:pPr>
              <w:pStyle w:val="39"/>
              <w:ind w:firstLine="0" w:firstLineChars="0"/>
              <w:rPr>
                <w:kern w:val="10"/>
              </w:rPr>
            </w:pPr>
            <w:r>
              <w:rPr>
                <w:rFonts w:hint="eastAsia"/>
                <w:kern w:val="10"/>
              </w:rPr>
              <w:t>样品标识：</w:t>
            </w:r>
            <w:sdt>
              <w:sdtPr>
                <w:id w:val="589889740"/>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明标；</w:t>
            </w:r>
            <w:sdt>
              <w:sdtPr>
                <w:id w:val="492345628"/>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暗标。</w:t>
            </w:r>
          </w:p>
          <w:p w14:paraId="62D2B9D2">
            <w:pPr>
              <w:pStyle w:val="39"/>
              <w:ind w:firstLine="0" w:firstLineChars="0"/>
              <w:rPr>
                <w:rFonts w:hint="default"/>
                <w:kern w:val="10"/>
              </w:rPr>
            </w:pPr>
            <w:r>
              <w:rPr>
                <w:rFonts w:hint="eastAsia"/>
                <w:kern w:val="10"/>
              </w:rPr>
              <w:t>样品送至地点：</w:t>
            </w:r>
            <w:r>
              <w:rPr>
                <w:rFonts w:hint="default"/>
                <w:kern w:val="10"/>
                <w:u w:val="single"/>
              </w:rPr>
              <w:t xml:space="preserve">                                </w:t>
            </w:r>
          </w:p>
          <w:p w14:paraId="2205D1C5">
            <w:pPr>
              <w:pStyle w:val="39"/>
              <w:ind w:firstLine="0" w:firstLineChars="0"/>
              <w:rPr>
                <w:kern w:val="10"/>
              </w:rPr>
            </w:pPr>
            <w:r>
              <w:rPr>
                <w:rFonts w:hint="eastAsia"/>
                <w:kern w:val="10"/>
              </w:rPr>
              <w:t>中标人样品处理：</w:t>
            </w:r>
            <w:sdt>
              <w:sdtPr>
                <w:id w:val="391456483"/>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退还；</w:t>
            </w:r>
            <w:sdt>
              <w:sdtPr>
                <w:id w:val="112193951"/>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封存至验收；</w:t>
            </w:r>
            <w:sdt>
              <w:sdtPr>
                <w:id w:val="153092391"/>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抵扣</w:t>
            </w:r>
            <w:r>
              <w:rPr>
                <w:rFonts w:hint="eastAsia"/>
                <w:lang w:val="en-US" w:eastAsia="zh-Hans"/>
              </w:rPr>
              <w:t>合同</w:t>
            </w:r>
            <w:r>
              <w:rPr>
                <w:rFonts w:hint="eastAsia"/>
              </w:rPr>
              <w:t>数。</w:t>
            </w:r>
          </w:p>
          <w:p w14:paraId="53AC5373">
            <w:pPr>
              <w:pStyle w:val="39"/>
              <w:ind w:firstLine="0" w:firstLineChars="0"/>
              <w:rPr>
                <w:rFonts w:ascii="宋体" w:hAnsi="宋体" w:eastAsia="宋体" w:cs="Times New Roman"/>
                <w:kern w:val="10"/>
                <w:sz w:val="24"/>
                <w:szCs w:val="21"/>
                <w:lang w:val="en-US" w:eastAsia="zh-Hans" w:bidi="ar-SA"/>
              </w:rPr>
            </w:pPr>
            <w:r>
              <w:rPr>
                <w:rFonts w:hint="eastAsia"/>
                <w:kern w:val="10"/>
              </w:rPr>
              <w:t>样品退还时间：</w:t>
            </w:r>
            <w:r>
              <w:rPr>
                <w:rFonts w:hint="eastAsia"/>
                <w:kern w:val="10"/>
                <w:u w:val="single"/>
                <w:lang w:eastAsia="zh-Hans"/>
              </w:rPr>
              <w:t>（</w:t>
            </w:r>
            <w:r>
              <w:rPr>
                <w:rFonts w:hint="eastAsia"/>
                <w:kern w:val="10"/>
                <w:u w:val="single"/>
              </w:rPr>
              <w:t>另行通知</w:t>
            </w:r>
            <w:r>
              <w:rPr>
                <w:rFonts w:hint="eastAsia"/>
                <w:kern w:val="10"/>
                <w:u w:val="single"/>
                <w:lang w:eastAsia="zh-Hans"/>
              </w:rPr>
              <w:t>）</w:t>
            </w:r>
            <w:r>
              <w:rPr>
                <w:rFonts w:hint="default"/>
                <w:kern w:val="10"/>
                <w:u w:val="single"/>
                <w:lang w:eastAsia="zh-Hans"/>
              </w:rPr>
              <w:t xml:space="preserve">                    </w:t>
            </w:r>
          </w:p>
        </w:tc>
      </w:tr>
      <w:tr w14:paraId="6308CE7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4258C686">
            <w:pPr>
              <w:pStyle w:val="39"/>
              <w:ind w:firstLine="0" w:firstLineChars="0"/>
              <w:rPr>
                <w:rFonts w:hint="default" w:eastAsia="宋体"/>
                <w:lang w:eastAsia="zh-Hans"/>
              </w:rPr>
            </w:pPr>
            <w:r>
              <w:rPr>
                <w:rFonts w:hint="eastAsia"/>
                <w:lang w:val="en-US" w:eastAsia="zh-Hans"/>
              </w:rPr>
              <w:t>七、</w:t>
            </w:r>
            <w:r>
              <w:rPr>
                <w:rFonts w:hint="default"/>
                <w:lang w:eastAsia="zh-Hans"/>
              </w:rPr>
              <w:t>6</w:t>
            </w:r>
          </w:p>
        </w:tc>
        <w:tc>
          <w:tcPr>
            <w:tcW w:w="838" w:type="pct"/>
            <w:gridSpan w:val="2"/>
            <w:vAlign w:val="center"/>
          </w:tcPr>
          <w:p w14:paraId="4E1B3D17">
            <w:pPr>
              <w:pStyle w:val="39"/>
              <w:ind w:firstLine="0" w:firstLineChars="0"/>
              <w:rPr>
                <w:rFonts w:hint="default" w:eastAsia="宋体" w:cs="AdobeFangsongStd-Regular"/>
                <w:kern w:val="0"/>
                <w:position w:val="-3"/>
                <w:lang w:val="en-US" w:eastAsia="zh-Hans"/>
              </w:rPr>
            </w:pPr>
            <w:r>
              <w:rPr>
                <w:rFonts w:hint="eastAsia" w:cs="AdobeFangsongStd-Regular"/>
                <w:kern w:val="0"/>
                <w:position w:val="-3"/>
                <w:lang w:val="en-US" w:eastAsia="zh-Hans"/>
              </w:rPr>
              <w:t>讲解演示</w:t>
            </w:r>
          </w:p>
        </w:tc>
        <w:tc>
          <w:tcPr>
            <w:tcW w:w="3546" w:type="pct"/>
            <w:vAlign w:val="center"/>
          </w:tcPr>
          <w:p w14:paraId="3163F7DB">
            <w:pPr>
              <w:pStyle w:val="39"/>
              <w:ind w:firstLine="0" w:firstLineChars="0"/>
              <w:rPr>
                <w:rFonts w:hint="eastAsia" w:eastAsia="宋体"/>
                <w:b/>
                <w:bCs/>
                <w:kern w:val="10"/>
                <w:lang w:val="en-US" w:eastAsia="zh-CN"/>
              </w:rPr>
            </w:pPr>
            <w:r>
              <w:rPr>
                <w:rFonts w:hint="eastAsia"/>
                <w:b/>
                <w:bCs/>
                <w:kern w:val="10"/>
                <w:lang w:val="en-US" w:eastAsia="zh-CN"/>
              </w:rPr>
              <w:t>1.</w:t>
            </w:r>
            <w:r>
              <w:rPr>
                <w:rFonts w:hint="eastAsia"/>
                <w:b/>
                <w:bCs/>
                <w:kern w:val="10"/>
              </w:rPr>
              <w:t>是否需要</w:t>
            </w:r>
            <w:r>
              <w:rPr>
                <w:rFonts w:hint="eastAsia"/>
                <w:b/>
                <w:bCs/>
                <w:kern w:val="10"/>
                <w:lang w:val="en-US" w:eastAsia="zh-Hans"/>
              </w:rPr>
              <w:t>讲解演示</w:t>
            </w:r>
            <w:r>
              <w:rPr>
                <w:rFonts w:hint="eastAsia"/>
                <w:b/>
                <w:bCs/>
                <w:kern w:val="10"/>
                <w:lang w:val="en-US" w:eastAsia="zh-CN"/>
              </w:rPr>
              <w:t>：</w:t>
            </w:r>
          </w:p>
          <w:p w14:paraId="13C22F51">
            <w:pPr>
              <w:pStyle w:val="39"/>
              <w:ind w:firstLine="0" w:firstLineChars="0"/>
              <w:rPr>
                <w:rFonts w:hint="eastAsia"/>
              </w:rPr>
            </w:pPr>
            <w:sdt>
              <w:sdtPr>
                <w:id w:val="907269315"/>
                <w14:checkbox>
                  <w14:checked w14:val="0"/>
                  <w14:checkedState w14:val="00FE" w14:font="Wingdings"/>
                  <w14:uncheckedState w14:val="2610" w14:font="MS Gothic"/>
                </w14:checkbox>
              </w:sdtPr>
              <w:sdtContent>
                <w:r>
                  <w:rPr>
                    <w:rFonts w:ascii="MS Gothic" w:hAnsi="MS Gothic" w:eastAsia="宋体" w:cs="Times New Roman"/>
                    <w:kern w:val="2"/>
                    <w:sz w:val="24"/>
                    <w:szCs w:val="21"/>
                    <w:lang w:val="en-US" w:eastAsia="zh-Hans" w:bidi="ar-SA"/>
                  </w:rPr>
                  <w:t>☐</w:t>
                </w:r>
              </w:sdtContent>
            </w:sdt>
            <w:r>
              <w:rPr>
                <w:rFonts w:hint="eastAsia"/>
              </w:rPr>
              <w:t>否；</w:t>
            </w:r>
            <w:sdt>
              <w:sdtPr>
                <w:id w:val="134462083"/>
                <w14:checkbox>
                  <w14:checked w14:val="1"/>
                  <w14:checkedState w14:val="00FE" w14:font="Wingdings"/>
                  <w14:uncheckedState w14:val="2610" w14:font="MS Gothic"/>
                </w14:checkbox>
              </w:sdtPr>
              <w:sdtContent>
                <w:r>
                  <w:rPr>
                    <w:rFonts w:hint="eastAsia" w:ascii="Wingdings" w:hAnsi="Wingdings" w:eastAsia="MS Gothic" w:cs="Times New Roman"/>
                    <w:kern w:val="2"/>
                    <w:sz w:val="24"/>
                    <w:szCs w:val="21"/>
                    <w:lang w:val="en-US" w:eastAsia="zh-Hans" w:bidi="ar-SA"/>
                  </w:rPr>
                  <w:t>þ</w:t>
                </w:r>
              </w:sdtContent>
            </w:sdt>
            <w:r>
              <w:rPr>
                <w:rFonts w:hint="eastAsia"/>
              </w:rPr>
              <w:t>是，详见第</w:t>
            </w:r>
            <w:r>
              <w:rPr>
                <w:rFonts w:hint="eastAsia"/>
                <w:lang w:val="en-US" w:eastAsia="zh-Hans"/>
              </w:rPr>
              <w:t>五章评审方案和标准</w:t>
            </w:r>
            <w:r>
              <w:rPr>
                <w:rFonts w:hint="eastAsia"/>
              </w:rPr>
              <w:t>。</w:t>
            </w:r>
          </w:p>
          <w:p w14:paraId="15E2410F">
            <w:pPr>
              <w:pStyle w:val="39"/>
              <w:ind w:firstLine="0" w:firstLineChars="0"/>
              <w:rPr>
                <w:rFonts w:hint="default" w:eastAsia="宋体"/>
                <w:b/>
                <w:bCs/>
                <w:lang w:val="en-US" w:eastAsia="zh-CN"/>
              </w:rPr>
            </w:pPr>
            <w:r>
              <w:rPr>
                <w:rFonts w:hint="eastAsia"/>
                <w:b/>
                <w:bCs/>
                <w:lang w:val="en-US" w:eastAsia="zh-CN"/>
              </w:rPr>
              <w:t>2.演示方式：</w:t>
            </w:r>
          </w:p>
          <w:p w14:paraId="103622C7">
            <w:pPr>
              <w:pStyle w:val="39"/>
              <w:ind w:firstLine="0" w:firstLineChars="0"/>
              <w:rPr>
                <w:rFonts w:hint="eastAsia"/>
                <w:color w:val="auto"/>
                <w:lang w:val="en-US" w:eastAsia="zh-Hans"/>
              </w:rPr>
            </w:pPr>
            <w:sdt>
              <w:sdtPr>
                <w:rPr>
                  <w:color w:val="0000FF"/>
                </w:rPr>
                <w:id w:val="189905846"/>
                <w14:checkbox>
                  <w14:checked w14:val="1"/>
                  <w14:checkedState w14:val="00FE" w14:font="Wingdings"/>
                  <w14:uncheckedState w14:val="2610" w14:font="MS Gothic"/>
                </w14:checkbox>
              </w:sdtPr>
              <w:sdtEndPr>
                <w:rPr>
                  <w:color w:val="auto"/>
                </w:rPr>
              </w:sdtEndPr>
              <w:sdtContent>
                <w:r>
                  <w:rPr>
                    <w:rFonts w:hint="eastAsia" w:ascii="Wingdings" w:hAnsi="Wingdings" w:eastAsia="MS Gothic" w:cs="Times New Roman"/>
                    <w:color w:val="auto"/>
                    <w:kern w:val="2"/>
                    <w:sz w:val="24"/>
                    <w:szCs w:val="21"/>
                    <w:lang w:val="en-US" w:eastAsia="zh-Hans" w:bidi="ar-SA"/>
                  </w:rPr>
                  <w:t>þ</w:t>
                </w:r>
              </w:sdtContent>
            </w:sdt>
            <w:r>
              <w:rPr>
                <w:rFonts w:hint="eastAsia"/>
                <w:color w:val="auto"/>
                <w:lang w:val="en-US" w:eastAsia="zh-CN"/>
              </w:rPr>
              <w:t>视频文件</w:t>
            </w:r>
            <w:r>
              <w:rPr>
                <w:rFonts w:hint="eastAsia"/>
                <w:color w:val="auto"/>
                <w:lang w:val="en-US" w:eastAsia="zh-Hans"/>
              </w:rPr>
              <w:t>演示</w:t>
            </w:r>
          </w:p>
          <w:p w14:paraId="2AF4FD46">
            <w:pPr>
              <w:pStyle w:val="39"/>
              <w:ind w:firstLine="0" w:firstLineChars="0"/>
              <w:rPr>
                <w:rFonts w:hint="eastAsia"/>
                <w:color w:val="auto"/>
              </w:rPr>
            </w:pPr>
            <w:r>
              <w:rPr>
                <w:rFonts w:hint="eastAsia"/>
                <w:color w:val="auto"/>
                <w:lang w:val="en-US" w:eastAsia="zh-Hans"/>
              </w:rPr>
              <w:t>投标人</w:t>
            </w:r>
            <w:r>
              <w:rPr>
                <w:rFonts w:hint="eastAsia"/>
                <w:color w:val="auto"/>
                <w:lang w:val="en-US" w:eastAsia="zh-CN"/>
              </w:rPr>
              <w:t>应根据“评分办法”的要求录制演示视频，并将视频文件存储在U盘中，于投标截止时间前将演示视频文件密封送达（或快递）至采购组织机构（联系方式见招标公告），采购组织机构将于评审现场开启。</w:t>
            </w:r>
          </w:p>
          <w:p w14:paraId="31225F55">
            <w:pPr>
              <w:pStyle w:val="39"/>
              <w:ind w:firstLine="0" w:firstLineChars="0"/>
              <w:rPr>
                <w:rFonts w:hint="eastAsia"/>
                <w:lang w:val="en-US" w:eastAsia="zh-Hans"/>
              </w:rPr>
            </w:pPr>
            <w:sdt>
              <w:sdtPr>
                <w:id w:val="586854280"/>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Hans"/>
              </w:rPr>
              <w:t>在线讲解演示</w:t>
            </w:r>
          </w:p>
          <w:p w14:paraId="36A15BF3">
            <w:pPr>
              <w:pStyle w:val="39"/>
              <w:ind w:firstLine="0" w:firstLineChars="0"/>
              <w:rPr>
                <w:rFonts w:hint="default"/>
                <w:lang w:val="en-US" w:eastAsia="zh-Hans"/>
              </w:rPr>
            </w:pPr>
            <w:r>
              <w:rPr>
                <w:rFonts w:hint="eastAsia"/>
                <w:lang w:val="en-US" w:eastAsia="zh-Hans"/>
              </w:rPr>
              <w:t>演示条件见“政采云平台”要求</w:t>
            </w:r>
          </w:p>
          <w:p w14:paraId="1E300247">
            <w:pPr>
              <w:pStyle w:val="39"/>
              <w:ind w:firstLine="0" w:firstLineChars="0"/>
              <w:rPr>
                <w:rFonts w:hint="eastAsia"/>
                <w:lang w:val="en-US" w:eastAsia="zh-Hans"/>
              </w:rPr>
            </w:pPr>
            <w:sdt>
              <w:sdtPr>
                <w:id w:val="14976936"/>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val="en-US" w:eastAsia="zh-Hans"/>
              </w:rPr>
              <w:t>现场讲解演示</w:t>
            </w:r>
          </w:p>
          <w:p w14:paraId="50C533CE">
            <w:pPr>
              <w:pStyle w:val="39"/>
              <w:ind w:firstLine="0" w:firstLineChars="0"/>
              <w:rPr>
                <w:rFonts w:hint="default"/>
                <w:lang w:eastAsia="zh-Hans"/>
              </w:rPr>
            </w:pPr>
            <w:r>
              <w:rPr>
                <w:rFonts w:hint="eastAsia"/>
                <w:lang w:val="en-US" w:eastAsia="zh-Hans"/>
              </w:rPr>
              <w:t>演示条件：投标人自行准备讲解演示设备，现场设备支持HDMI、Miracast、AirPlay方式投屏，屏幕比例支持</w:t>
            </w:r>
            <w:r>
              <w:rPr>
                <w:rFonts w:hint="default"/>
                <w:lang w:eastAsia="zh-Hans"/>
              </w:rPr>
              <w:t>16</w:t>
            </w:r>
            <w:r>
              <w:rPr>
                <w:rFonts w:hint="eastAsia"/>
                <w:lang w:eastAsia="zh-Hans"/>
              </w:rPr>
              <w:t>：</w:t>
            </w:r>
            <w:r>
              <w:rPr>
                <w:rFonts w:hint="default"/>
                <w:lang w:eastAsia="zh-Hans"/>
              </w:rPr>
              <w:t>9</w:t>
            </w:r>
            <w:r>
              <w:rPr>
                <w:rFonts w:hint="eastAsia"/>
                <w:lang w:eastAsia="zh-Hans"/>
              </w:rPr>
              <w:t>。</w:t>
            </w:r>
          </w:p>
          <w:p w14:paraId="6C1A6F3E">
            <w:pPr>
              <w:pStyle w:val="39"/>
              <w:ind w:firstLine="0" w:firstLineChars="0"/>
              <w:rPr>
                <w:rFonts w:hint="default"/>
                <w:lang w:val="en-US" w:eastAsia="zh-Hans"/>
              </w:rPr>
            </w:pPr>
            <w:r>
              <w:rPr>
                <w:rFonts w:hint="eastAsia"/>
                <w:b/>
                <w:bCs/>
                <w:lang w:val="en-US" w:eastAsia="zh-CN"/>
              </w:rPr>
              <w:t>3.</w:t>
            </w:r>
            <w:r>
              <w:rPr>
                <w:rFonts w:hint="eastAsia"/>
                <w:b/>
                <w:bCs/>
                <w:lang w:val="en-US" w:eastAsia="zh-Hans"/>
              </w:rPr>
              <w:t>讲解演示时间：</w:t>
            </w:r>
            <w:r>
              <w:rPr>
                <w:rFonts w:hint="eastAsia"/>
              </w:rPr>
              <w:t>详见第</w:t>
            </w:r>
            <w:r>
              <w:rPr>
                <w:rFonts w:hint="eastAsia"/>
                <w:lang w:val="en-US" w:eastAsia="zh-Hans"/>
              </w:rPr>
              <w:t>五章评审方案和标准</w:t>
            </w:r>
            <w:r>
              <w:rPr>
                <w:rFonts w:hint="eastAsia"/>
              </w:rPr>
              <w:t>。</w:t>
            </w:r>
          </w:p>
        </w:tc>
      </w:tr>
      <w:tr w14:paraId="36951DB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39BD57DB">
            <w:pPr>
              <w:pStyle w:val="39"/>
              <w:ind w:firstLine="0" w:firstLineChars="0"/>
            </w:pPr>
            <w:r>
              <w:rPr>
                <w:rFonts w:hint="eastAsia"/>
              </w:rPr>
              <w:t>九、2</w:t>
            </w:r>
          </w:p>
        </w:tc>
        <w:tc>
          <w:tcPr>
            <w:tcW w:w="838" w:type="pct"/>
            <w:gridSpan w:val="2"/>
            <w:vAlign w:val="center"/>
          </w:tcPr>
          <w:p w14:paraId="25AFD84F">
            <w:pPr>
              <w:pStyle w:val="39"/>
              <w:ind w:firstLine="0" w:firstLineChars="0"/>
              <w:rPr>
                <w:rFonts w:cs="AdobeFangsongStd-Regular"/>
                <w:kern w:val="0"/>
                <w:position w:val="-3"/>
              </w:rPr>
            </w:pPr>
            <w:r>
              <w:rPr>
                <w:rFonts w:hint="eastAsia" w:cs="AdobeFangsongStd-Regular"/>
                <w:kern w:val="0"/>
                <w:position w:val="-3"/>
              </w:rPr>
              <w:t>履约</w:t>
            </w:r>
          </w:p>
          <w:p w14:paraId="175B177B">
            <w:pPr>
              <w:pStyle w:val="39"/>
              <w:ind w:firstLine="0" w:firstLineChars="0"/>
              <w:rPr>
                <w:rFonts w:cs="AdobeFangsongStd-Regular"/>
                <w:kern w:val="0"/>
                <w:position w:val="-3"/>
              </w:rPr>
            </w:pPr>
            <w:r>
              <w:rPr>
                <w:rFonts w:hint="eastAsia" w:cs="AdobeFangsongStd-Regular"/>
                <w:kern w:val="0"/>
                <w:position w:val="-3"/>
              </w:rPr>
              <w:t>保证金</w:t>
            </w:r>
          </w:p>
        </w:tc>
        <w:tc>
          <w:tcPr>
            <w:tcW w:w="3546" w:type="pct"/>
            <w:vAlign w:val="center"/>
          </w:tcPr>
          <w:p w14:paraId="0DB1BE91">
            <w:pPr>
              <w:pStyle w:val="39"/>
              <w:ind w:firstLine="0" w:firstLineChars="0"/>
              <w:rPr>
                <w:color w:val="auto"/>
                <w:kern w:val="10"/>
                <w:highlight w:val="none"/>
              </w:rPr>
            </w:pPr>
            <w:r>
              <w:rPr>
                <w:color w:val="auto"/>
                <w:kern w:val="10"/>
                <w:highlight w:val="none"/>
              </w:rPr>
              <w:t>履约保证金金额：无</w:t>
            </w:r>
          </w:p>
          <w:p w14:paraId="346B049E">
            <w:pPr>
              <w:pStyle w:val="39"/>
              <w:ind w:firstLine="0" w:firstLineChars="0"/>
              <w:rPr>
                <w:kern w:val="10"/>
              </w:rPr>
            </w:pPr>
            <w:r>
              <w:rPr>
                <w:kern w:val="10"/>
              </w:rPr>
              <w:t>履约保证金缴纳形式：支票/汇票/电汇/保函等非现金形式</w:t>
            </w:r>
          </w:p>
          <w:p w14:paraId="2F0521C0">
            <w:pPr>
              <w:pStyle w:val="39"/>
              <w:ind w:firstLine="0" w:firstLineChars="0"/>
              <w:rPr>
                <w:kern w:val="10"/>
              </w:rPr>
            </w:pPr>
            <w:r>
              <w:rPr>
                <w:kern w:val="10"/>
              </w:rPr>
              <w:t>履约保证金接收人：</w:t>
            </w:r>
            <w:r>
              <w:rPr>
                <w:rFonts w:hint="eastAsia"/>
                <w:kern w:val="10"/>
              </w:rPr>
              <w:t>招标</w:t>
            </w:r>
            <w:r>
              <w:rPr>
                <w:kern w:val="10"/>
              </w:rPr>
              <w:t>人</w:t>
            </w:r>
          </w:p>
          <w:p w14:paraId="2D177D9D">
            <w:pPr>
              <w:pStyle w:val="39"/>
              <w:ind w:firstLine="0" w:firstLineChars="0"/>
              <w:rPr>
                <w:kern w:val="10"/>
              </w:rPr>
            </w:pPr>
            <w:r>
              <w:rPr>
                <w:kern w:val="10"/>
              </w:rPr>
              <w:t>履约保证金有效期限：合同</w:t>
            </w:r>
            <w:r>
              <w:rPr>
                <w:rFonts w:hint="eastAsia"/>
                <w:kern w:val="10"/>
              </w:rPr>
              <w:t>主要业务</w:t>
            </w:r>
            <w:r>
              <w:rPr>
                <w:kern w:val="10"/>
              </w:rPr>
              <w:t>履行完毕前有效</w:t>
            </w:r>
          </w:p>
        </w:tc>
      </w:tr>
      <w:tr w14:paraId="42486F5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333A2AD7">
            <w:pPr>
              <w:pStyle w:val="39"/>
              <w:ind w:firstLine="0" w:firstLineChars="0"/>
            </w:pPr>
            <w:r>
              <w:rPr>
                <w:rFonts w:hint="eastAsia"/>
              </w:rPr>
              <w:t>十、</w:t>
            </w:r>
          </w:p>
        </w:tc>
        <w:tc>
          <w:tcPr>
            <w:tcW w:w="838" w:type="pct"/>
            <w:gridSpan w:val="2"/>
            <w:vAlign w:val="center"/>
          </w:tcPr>
          <w:p w14:paraId="62C202E8">
            <w:pPr>
              <w:pStyle w:val="39"/>
              <w:ind w:firstLine="0" w:firstLineChars="0"/>
            </w:pPr>
            <w:r>
              <w:rPr>
                <w:rFonts w:hint="eastAsia"/>
              </w:rPr>
              <w:t>招标代理服务费</w:t>
            </w:r>
          </w:p>
        </w:tc>
        <w:tc>
          <w:tcPr>
            <w:tcW w:w="3546" w:type="pct"/>
            <w:vAlign w:val="center"/>
          </w:tcPr>
          <w:p w14:paraId="03631695">
            <w:pPr>
              <w:pStyle w:val="39"/>
              <w:ind w:firstLine="0" w:firstLineChars="0"/>
              <w:rPr>
                <w:lang w:eastAsia="zh-CN"/>
              </w:rPr>
            </w:pPr>
            <w:r>
              <w:rPr>
                <w:rFonts w:hint="eastAsia"/>
              </w:rPr>
              <w:t>本项目招标代理服务费以原国家计委《招标代理服务收费管理暂行办法》（计价格[2002]1980号）以及原《国家发展改革委关于降低部分建设项目收费标准规范收费行为等有关问题的通知》（发改价格[2011]534号）文件中的收费标准</w:t>
            </w:r>
            <w:r>
              <w:rPr>
                <w:rFonts w:hint="eastAsia"/>
                <w:color w:val="auto"/>
                <w:lang w:eastAsia="zh-CN"/>
              </w:rPr>
              <w:t>，</w:t>
            </w:r>
            <w:r>
              <w:rPr>
                <w:rFonts w:hint="eastAsia"/>
                <w:color w:val="auto"/>
                <w:lang w:val="en-US" w:eastAsia="zh-CN"/>
              </w:rPr>
              <w:t>以中标金额</w:t>
            </w:r>
            <w:r>
              <w:rPr>
                <w:rFonts w:hint="eastAsia"/>
                <w:color w:val="auto"/>
              </w:rPr>
              <w:t>为</w:t>
            </w:r>
            <w:r>
              <w:rPr>
                <w:rFonts w:hint="eastAsia"/>
              </w:rPr>
              <w:t>基准</w:t>
            </w:r>
            <w:r>
              <w:rPr>
                <w:rFonts w:hint="eastAsia"/>
                <w:u w:val="none"/>
                <w:lang w:val="en-US" w:eastAsia="zh-Hans"/>
              </w:rPr>
              <w:t>向中标人收取</w:t>
            </w:r>
            <w:r>
              <w:rPr>
                <w:rFonts w:hint="eastAsia"/>
              </w:rPr>
              <w:t>。中标人应于</w:t>
            </w:r>
            <w:r>
              <w:rPr>
                <w:rFonts w:hint="eastAsia"/>
                <w:lang w:val="en-US" w:eastAsia="zh-Hans"/>
              </w:rPr>
              <w:t>领取中标通知书</w:t>
            </w:r>
            <w:r>
              <w:rPr>
                <w:rFonts w:hint="eastAsia"/>
              </w:rPr>
              <w:t>后5个工作日内，向浙江中勤招标代理有限公司办理招标代理服务费结算手续。</w:t>
            </w:r>
            <w:r>
              <w:rPr>
                <w:rFonts w:hint="eastAsia"/>
                <w:lang w:eastAsia="zh-CN"/>
              </w:rPr>
              <w:t>账户信息：</w:t>
            </w:r>
          </w:p>
          <w:p w14:paraId="58A015F8">
            <w:pPr>
              <w:pStyle w:val="39"/>
              <w:ind w:firstLine="0" w:firstLineChars="0"/>
            </w:pPr>
            <w:r>
              <w:t>账户名称</w:t>
            </w:r>
            <w:r>
              <w:rPr>
                <w:rFonts w:hint="eastAsia"/>
                <w:lang w:eastAsia="zh-CN"/>
              </w:rPr>
              <w:t>：</w:t>
            </w:r>
            <w:r>
              <w:t>浙江中勤招标代理有限公司</w:t>
            </w:r>
          </w:p>
          <w:p w14:paraId="496D7E73">
            <w:pPr>
              <w:pStyle w:val="39"/>
              <w:ind w:firstLine="0" w:firstLineChars="0"/>
            </w:pPr>
            <w:r>
              <w:t>开</w:t>
            </w:r>
            <w:r>
              <w:rPr>
                <w:rFonts w:hint="eastAsia"/>
                <w:lang w:eastAsia="zh-CN"/>
              </w:rPr>
              <w:t xml:space="preserve"> </w:t>
            </w:r>
            <w:r>
              <w:t>户</w:t>
            </w:r>
            <w:r>
              <w:rPr>
                <w:rFonts w:hint="eastAsia"/>
                <w:lang w:eastAsia="zh-CN"/>
              </w:rPr>
              <w:t xml:space="preserve"> </w:t>
            </w:r>
            <w:r>
              <w:t>行：</w:t>
            </w:r>
            <w:r>
              <w:rPr>
                <w:rFonts w:hint="eastAsia"/>
              </w:rPr>
              <w:t>中国工商银行股份有限公司杭州东新支行</w:t>
            </w:r>
            <w:r>
              <w:rPr>
                <w:rFonts w:hint="eastAsia"/>
                <w:lang w:eastAsia="zh-Hans"/>
              </w:rPr>
              <w:t>（</w:t>
            </w:r>
            <w:r>
              <w:rPr>
                <w:rFonts w:hint="eastAsia"/>
              </w:rPr>
              <w:t>行号102331002181</w:t>
            </w:r>
            <w:r>
              <w:rPr>
                <w:rFonts w:hint="eastAsia"/>
                <w:lang w:eastAsia="zh-Hans"/>
              </w:rPr>
              <w:t>）</w:t>
            </w:r>
          </w:p>
          <w:p w14:paraId="049BB580">
            <w:pPr>
              <w:pStyle w:val="39"/>
              <w:ind w:firstLine="0" w:firstLineChars="0"/>
            </w:pPr>
            <w:r>
              <w:t>银行账号：1202021809800125070</w:t>
            </w:r>
          </w:p>
        </w:tc>
      </w:tr>
      <w:tr w14:paraId="48D407F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53" w:type="pct"/>
            <w:gridSpan w:val="3"/>
            <w:vMerge w:val="restart"/>
            <w:vAlign w:val="center"/>
          </w:tcPr>
          <w:p w14:paraId="33F6E8BA">
            <w:pPr>
              <w:pStyle w:val="39"/>
              <w:ind w:firstLine="0" w:firstLineChars="0"/>
            </w:pPr>
            <w:r>
              <w:rPr>
                <w:rFonts w:hint="eastAsia"/>
              </w:rPr>
              <w:t>其他注意事项</w:t>
            </w:r>
          </w:p>
        </w:tc>
        <w:tc>
          <w:tcPr>
            <w:tcW w:w="3546" w:type="pct"/>
            <w:vAlign w:val="center"/>
          </w:tcPr>
          <w:p w14:paraId="7AC81A07">
            <w:pPr>
              <w:pStyle w:val="39"/>
              <w:ind w:firstLine="0" w:firstLineChars="0"/>
            </w:pPr>
            <w:r>
              <w:rPr>
                <w:rFonts w:hint="eastAsia"/>
              </w:rPr>
              <w:t>招标文件中部分加“</w:t>
            </w:r>
            <w:r>
              <w:rPr>
                <w:rFonts w:hint="eastAsia"/>
                <w:kern w:val="10"/>
              </w:rPr>
              <w:t>▲</w:t>
            </w:r>
            <w:r>
              <w:rPr>
                <w:rFonts w:hint="eastAsia"/>
              </w:rPr>
              <w:t>”的条款，属于招标文件的实质性要求和条件，着重提醒各投标人注意，并认真查看招标文件中的每一个条款及要求，因误读招标文件而造成的后果，招标人概不负责。</w:t>
            </w:r>
          </w:p>
        </w:tc>
      </w:tr>
      <w:tr w14:paraId="4714353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53" w:type="pct"/>
            <w:gridSpan w:val="3"/>
            <w:vMerge w:val="continue"/>
            <w:vAlign w:val="center"/>
          </w:tcPr>
          <w:p w14:paraId="35286076">
            <w:pPr>
              <w:pStyle w:val="39"/>
              <w:ind w:firstLine="0" w:firstLineChars="0"/>
            </w:pPr>
          </w:p>
        </w:tc>
        <w:tc>
          <w:tcPr>
            <w:tcW w:w="3546" w:type="pct"/>
            <w:vAlign w:val="center"/>
          </w:tcPr>
          <w:p w14:paraId="01CF9B2E">
            <w:pPr>
              <w:pStyle w:val="39"/>
              <w:ind w:firstLine="0" w:firstLineChars="0"/>
            </w:pPr>
            <w:r>
              <w:rPr>
                <w:rFonts w:hint="eastAsia"/>
              </w:rPr>
              <w:t>以上内容如有变化将另行通知，如通知其中某一项内容发生变化，其余未提及的内容将不作变动。</w:t>
            </w:r>
          </w:p>
        </w:tc>
      </w:tr>
      <w:tr w14:paraId="58F961A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44" w:hRule="atLeast"/>
          <w:jc w:val="center"/>
        </w:trPr>
        <w:tc>
          <w:tcPr>
            <w:tcW w:w="1453" w:type="pct"/>
            <w:gridSpan w:val="3"/>
            <w:vMerge w:val="continue"/>
            <w:vAlign w:val="center"/>
          </w:tcPr>
          <w:p w14:paraId="47379CB2">
            <w:pPr>
              <w:pStyle w:val="39"/>
              <w:ind w:firstLine="0" w:firstLineChars="0"/>
            </w:pPr>
          </w:p>
        </w:tc>
        <w:tc>
          <w:tcPr>
            <w:tcW w:w="3546" w:type="pct"/>
            <w:vAlign w:val="center"/>
          </w:tcPr>
          <w:p w14:paraId="6E0FE153">
            <w:pPr>
              <w:pStyle w:val="39"/>
              <w:ind w:firstLine="0" w:firstLineChars="0"/>
            </w:pPr>
            <w:r>
              <w:rPr>
                <w:rFonts w:hint="eastAsia"/>
                <w:lang w:eastAsia="zh-CN"/>
              </w:rPr>
              <w:t>本项目采用政府采购电子化交易，投标人应在投标前完成供应商注册（详见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w:t>
            </w:r>
            <w:r>
              <w:rPr>
                <w:lang w:eastAsia="zh-CN"/>
              </w:rPr>
              <w:t>-</w:t>
            </w:r>
            <w:r>
              <w:rPr>
                <w:rFonts w:hint="eastAsia"/>
                <w:lang w:eastAsia="zh-CN"/>
              </w:rPr>
              <w:t>用户注册</w:t>
            </w:r>
            <w:r>
              <w:rPr>
                <w:lang w:eastAsia="zh-CN"/>
              </w:rPr>
              <w:t>-</w:t>
            </w:r>
            <w:r>
              <w:rPr>
                <w:rFonts w:hint="eastAsia"/>
                <w:lang w:eastAsia="zh-CN"/>
              </w:rPr>
              <w:t>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2099F803">
            <w:pPr>
              <w:pStyle w:val="39"/>
              <w:ind w:firstLine="0" w:firstLineChars="0"/>
              <w:rPr>
                <w:lang w:eastAsia="zh-CN"/>
              </w:rPr>
            </w:pPr>
            <w:r>
              <w:rPr>
                <w:rFonts w:hint="eastAsia"/>
                <w:lang w:eastAsia="zh-CN"/>
              </w:rPr>
              <w:t>电子标书生成可登录“政府采购云平台”，点击“前台大厅-服务中心（右上角）-帮助文档-项目采购（文档目录）”，查看相关编制帮助。</w:t>
            </w:r>
          </w:p>
        </w:tc>
      </w:tr>
    </w:tbl>
    <w:p w14:paraId="535AF0B3">
      <w:pPr>
        <w:pStyle w:val="41"/>
        <w:rPr>
          <w:rFonts w:cs="Times New Roman"/>
          <w:lang w:eastAsia="zh-CN"/>
        </w:rPr>
      </w:pPr>
      <w:r>
        <w:rPr>
          <w:rFonts w:hint="eastAsia"/>
          <w:sz w:val="24"/>
          <w:szCs w:val="24"/>
        </w:rPr>
        <w:br w:type="page"/>
      </w:r>
      <w:bookmarkStart w:id="10" w:name="_Toc233618972"/>
      <w:bookmarkEnd w:id="10"/>
      <w:bookmarkStart w:id="11" w:name="_Toc2064059853"/>
      <w:bookmarkStart w:id="12" w:name="_Toc464483845"/>
      <w:bookmarkStart w:id="13" w:name="_Toc1696139369"/>
      <w:r>
        <w:rPr>
          <w:rFonts w:hint="eastAsia"/>
        </w:rPr>
        <w:t>总 则</w:t>
      </w:r>
      <w:bookmarkEnd w:id="11"/>
      <w:bookmarkEnd w:id="12"/>
      <w:bookmarkEnd w:id="13"/>
    </w:p>
    <w:p w14:paraId="6DA17F94">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rPr>
          <w:rFonts w:ascii="宋体"/>
        </w:rPr>
      </w:pPr>
      <w:bookmarkStart w:id="14" w:name="_Hlt74714665"/>
      <w:bookmarkEnd w:id="14"/>
      <w:bookmarkStart w:id="15" w:name="_Hlt74730112"/>
      <w:bookmarkEnd w:id="15"/>
      <w:bookmarkStart w:id="16" w:name="_Hlt74730295"/>
      <w:bookmarkEnd w:id="16"/>
      <w:bookmarkStart w:id="17" w:name="_Hlt74730208"/>
      <w:bookmarkStart w:id="18" w:name="_Toc1316444505"/>
      <w:bookmarkStart w:id="19" w:name="_Toc203115733"/>
      <w:r>
        <w:rPr>
          <w:rFonts w:hint="eastAsia"/>
        </w:rPr>
        <w:t>实施依据</w:t>
      </w:r>
      <w:bookmarkEnd w:id="17"/>
      <w:bookmarkEnd w:id="18"/>
      <w:bookmarkEnd w:id="19"/>
    </w:p>
    <w:p w14:paraId="2A9DFD9F">
      <w:pPr>
        <w:pStyle w:val="39"/>
        <w:ind w:firstLine="480"/>
      </w:pPr>
      <w:r>
        <w:rPr>
          <w:rFonts w:hint="eastAsia"/>
        </w:rPr>
        <w:t>本次招标工作按照《中华人民共和国政府采购法》等政府采购有关法律、法规、规章、文件的规定组织和实施。</w:t>
      </w:r>
    </w:p>
    <w:p w14:paraId="049959F1">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rPr>
          <w:rFonts w:ascii="宋体"/>
        </w:rPr>
      </w:pPr>
      <w:bookmarkStart w:id="20" w:name="_Toc91899873"/>
      <w:bookmarkEnd w:id="20"/>
      <w:bookmarkStart w:id="21" w:name="_Toc1414609448"/>
      <w:bookmarkStart w:id="22" w:name="_Toc2106264141"/>
      <w:r>
        <w:rPr>
          <w:rFonts w:hint="eastAsia"/>
        </w:rPr>
        <w:t>基本信息</w:t>
      </w:r>
      <w:bookmarkEnd w:id="21"/>
      <w:bookmarkEnd w:id="22"/>
    </w:p>
    <w:p w14:paraId="61E1B01D">
      <w:pPr>
        <w:pStyle w:val="39"/>
        <w:ind w:firstLine="480"/>
      </w:pPr>
      <w:r>
        <w:rPr>
          <w:rFonts w:hint="eastAsia"/>
          <w:lang w:eastAsia="zh-CN"/>
        </w:rPr>
        <w:t>有关本项目的基本信息</w:t>
      </w:r>
      <w:r>
        <w:rPr>
          <w:rFonts w:hint="eastAsia"/>
        </w:rPr>
        <w:t>见本项目“招标公告”。</w:t>
      </w:r>
      <w:bookmarkStart w:id="23" w:name="_Hlt74388212"/>
      <w:bookmarkEnd w:id="23"/>
      <w:bookmarkStart w:id="24" w:name="_Hlt68516771"/>
      <w:bookmarkEnd w:id="24"/>
    </w:p>
    <w:p w14:paraId="6591EC64">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25" w:name="_Hlt74730303"/>
      <w:bookmarkEnd w:id="25"/>
      <w:bookmarkStart w:id="26" w:name="_Toc549536599"/>
      <w:bookmarkStart w:id="27" w:name="_Toc860980639"/>
      <w:r>
        <w:rPr>
          <w:rFonts w:hint="eastAsia"/>
          <w:lang w:eastAsia="zh-CN"/>
        </w:rPr>
        <w:t>词条</w:t>
      </w:r>
      <w:r>
        <w:rPr>
          <w:rFonts w:hint="eastAsia"/>
        </w:rPr>
        <w:t>定义</w:t>
      </w:r>
      <w:bookmarkEnd w:id="26"/>
      <w:bookmarkEnd w:id="27"/>
    </w:p>
    <w:p w14:paraId="65031A18">
      <w:pPr>
        <w:pStyle w:val="39"/>
        <w:ind w:firstLine="482"/>
      </w:pPr>
      <w:r>
        <w:rPr>
          <w:rFonts w:hint="eastAsia"/>
          <w:b/>
          <w:bCs/>
          <w:lang w:eastAsia="zh-CN"/>
        </w:rPr>
        <w:t>“</w:t>
      </w:r>
      <w:r>
        <w:rPr>
          <w:rFonts w:hint="eastAsia"/>
          <w:b/>
          <w:bCs/>
        </w:rPr>
        <w:t>招标</w:t>
      </w:r>
      <w:r>
        <w:rPr>
          <w:rFonts w:hint="eastAsia"/>
          <w:b/>
          <w:bCs/>
          <w:lang w:eastAsia="zh-CN"/>
        </w:rPr>
        <w:t>人/</w:t>
      </w:r>
      <w:r>
        <w:rPr>
          <w:rFonts w:hint="eastAsia"/>
          <w:b/>
          <w:bCs/>
        </w:rPr>
        <w:t>采购人</w:t>
      </w:r>
      <w:r>
        <w:rPr>
          <w:rFonts w:hint="eastAsia"/>
          <w:b/>
          <w:bCs/>
          <w:lang w:eastAsia="zh-CN"/>
        </w:rPr>
        <w:t>/招标单位/</w:t>
      </w:r>
      <w:r>
        <w:rPr>
          <w:rFonts w:hint="eastAsia"/>
          <w:b/>
          <w:bCs/>
          <w:lang w:val="en-US" w:eastAsia="zh-Hans"/>
        </w:rPr>
        <w:t>采购</w:t>
      </w:r>
      <w:r>
        <w:rPr>
          <w:rFonts w:hint="eastAsia"/>
          <w:b/>
          <w:bCs/>
          <w:lang w:eastAsia="zh-CN"/>
        </w:rPr>
        <w:t>单位”</w:t>
      </w:r>
      <w:r>
        <w:rPr>
          <w:rFonts w:hint="eastAsia"/>
          <w:b/>
          <w:bCs/>
        </w:rPr>
        <w:t>：</w:t>
      </w:r>
      <w:r>
        <w:rPr>
          <w:rFonts w:hint="eastAsia"/>
          <w:lang w:eastAsia="zh-CN"/>
        </w:rPr>
        <w:t>系</w:t>
      </w:r>
      <w:r>
        <w:rPr>
          <w:rFonts w:hint="eastAsia"/>
        </w:rPr>
        <w:t>指依法进行政府采购的国家机关、事业单位、团体组织，见本项目“招标公告”；</w:t>
      </w:r>
    </w:p>
    <w:p w14:paraId="11716FEA">
      <w:pPr>
        <w:pStyle w:val="39"/>
        <w:ind w:firstLine="482"/>
      </w:pPr>
      <w:r>
        <w:rPr>
          <w:rFonts w:hint="eastAsia"/>
          <w:b/>
          <w:bCs/>
          <w:lang w:eastAsia="zh-CN"/>
        </w:rPr>
        <w:t>“</w:t>
      </w:r>
      <w:r>
        <w:rPr>
          <w:rFonts w:hint="eastAsia"/>
          <w:b/>
          <w:bCs/>
        </w:rPr>
        <w:t>招标</w:t>
      </w:r>
      <w:r>
        <w:rPr>
          <w:rFonts w:hint="eastAsia"/>
          <w:b/>
          <w:bCs/>
          <w:lang w:eastAsia="zh-CN"/>
        </w:rPr>
        <w:t>代理机构/</w:t>
      </w:r>
      <w:r>
        <w:rPr>
          <w:rFonts w:hint="eastAsia"/>
          <w:b/>
          <w:bCs/>
        </w:rPr>
        <w:t>采购代理机构</w:t>
      </w:r>
      <w:r>
        <w:rPr>
          <w:rFonts w:hint="eastAsia"/>
          <w:b/>
          <w:bCs/>
          <w:lang w:eastAsia="zh-CN"/>
        </w:rPr>
        <w:t>/</w:t>
      </w:r>
      <w:r>
        <w:rPr>
          <w:rFonts w:hint="eastAsia"/>
          <w:b/>
          <w:bCs/>
          <w:lang w:val="en-US" w:eastAsia="zh-Hans"/>
        </w:rPr>
        <w:t>招标</w:t>
      </w:r>
      <w:r>
        <w:rPr>
          <w:rFonts w:hint="eastAsia"/>
          <w:b/>
          <w:bCs/>
          <w:lang w:eastAsia="zh-CN"/>
        </w:rPr>
        <w:t>组织机构/采购组织机构”</w:t>
      </w:r>
      <w:r>
        <w:rPr>
          <w:rFonts w:hint="eastAsia"/>
          <w:b/>
          <w:bCs/>
        </w:rPr>
        <w:t>：</w:t>
      </w:r>
      <w:r>
        <w:rPr>
          <w:rFonts w:hint="eastAsia"/>
          <w:lang w:eastAsia="zh-CN"/>
        </w:rPr>
        <w:t>系指</w:t>
      </w:r>
      <w:r>
        <w:rPr>
          <w:rFonts w:hint="eastAsia"/>
        </w:rPr>
        <w:t>受招标人委托，在委托的范围内办理政府采购事宜并组织招标活动的机构，见本项目“招标公告”；</w:t>
      </w:r>
    </w:p>
    <w:p w14:paraId="0FBCCD21">
      <w:pPr>
        <w:pStyle w:val="39"/>
        <w:ind w:firstLine="482"/>
        <w:rPr>
          <w:lang w:eastAsia="zh-CN"/>
        </w:rPr>
      </w:pPr>
      <w:r>
        <w:rPr>
          <w:rFonts w:hint="eastAsia"/>
          <w:b/>
          <w:bCs/>
        </w:rPr>
        <w:t>“招标文件</w:t>
      </w:r>
      <w:r>
        <w:rPr>
          <w:rFonts w:hint="eastAsia"/>
          <w:b/>
          <w:bCs/>
          <w:lang w:eastAsia="zh-CN"/>
        </w:rPr>
        <w:t>/</w:t>
      </w:r>
      <w:r>
        <w:rPr>
          <w:rFonts w:hint="eastAsia"/>
          <w:b/>
          <w:bCs/>
        </w:rPr>
        <w:t>采购文件/公开招标采购文件”：</w:t>
      </w:r>
      <w:r>
        <w:rPr>
          <w:rFonts w:hint="eastAsia"/>
        </w:rPr>
        <w:t>均指本文件</w:t>
      </w:r>
      <w:r>
        <w:rPr>
          <w:rFonts w:hint="eastAsia"/>
          <w:lang w:eastAsia="zh-CN"/>
        </w:rPr>
        <w:t>；</w:t>
      </w:r>
    </w:p>
    <w:p w14:paraId="6824284A">
      <w:pPr>
        <w:pStyle w:val="39"/>
        <w:ind w:firstLine="482"/>
      </w:pPr>
      <w:r>
        <w:rPr>
          <w:rFonts w:hint="eastAsia"/>
          <w:b/>
          <w:bCs/>
          <w:lang w:eastAsia="zh-CN"/>
        </w:rPr>
        <w:t>“</w:t>
      </w:r>
      <w:r>
        <w:rPr>
          <w:rFonts w:hint="eastAsia"/>
          <w:b/>
          <w:bCs/>
        </w:rPr>
        <w:t>投标人</w:t>
      </w:r>
      <w:r>
        <w:rPr>
          <w:rFonts w:hint="eastAsia"/>
          <w:b/>
          <w:bCs/>
          <w:lang w:eastAsia="zh-CN"/>
        </w:rPr>
        <w:t>/投标单位/投标供应商”</w:t>
      </w:r>
      <w:r>
        <w:rPr>
          <w:rFonts w:hint="eastAsia"/>
          <w:b/>
          <w:bCs/>
        </w:rPr>
        <w:t>：</w:t>
      </w:r>
      <w:r>
        <w:rPr>
          <w:rFonts w:hint="eastAsia"/>
          <w:lang w:eastAsia="zh-CN"/>
        </w:rPr>
        <w:t xml:space="preserve"> 系指</w:t>
      </w:r>
      <w:r>
        <w:rPr>
          <w:rFonts w:hint="eastAsia"/>
        </w:rPr>
        <w:t>参加本政府采购项目投标的供应商；</w:t>
      </w:r>
    </w:p>
    <w:p w14:paraId="3374E61F">
      <w:pPr>
        <w:pStyle w:val="39"/>
        <w:ind w:firstLine="482"/>
        <w:rPr>
          <w:lang w:eastAsia="zh-CN"/>
        </w:rPr>
      </w:pPr>
      <w:r>
        <w:rPr>
          <w:rFonts w:hint="eastAsia"/>
          <w:b/>
          <w:bCs/>
          <w:lang w:eastAsia="zh-CN"/>
        </w:rPr>
        <w:t>“</w:t>
      </w:r>
      <w:r>
        <w:rPr>
          <w:rFonts w:hint="eastAsia"/>
          <w:b/>
          <w:bCs/>
        </w:rPr>
        <w:t>中标人</w:t>
      </w:r>
      <w:r>
        <w:rPr>
          <w:rFonts w:hint="eastAsia"/>
          <w:b/>
          <w:bCs/>
          <w:lang w:eastAsia="zh-CN"/>
        </w:rPr>
        <w:t>/中标单位/中标供应商”</w:t>
      </w:r>
      <w:r>
        <w:rPr>
          <w:rFonts w:hint="eastAsia"/>
          <w:b/>
          <w:bCs/>
        </w:rPr>
        <w:t>：</w:t>
      </w:r>
      <w:r>
        <w:rPr>
          <w:rFonts w:hint="eastAsia"/>
          <w:lang w:eastAsia="zh-CN"/>
        </w:rPr>
        <w:t xml:space="preserve"> 系指</w:t>
      </w:r>
      <w:r>
        <w:rPr>
          <w:rFonts w:hint="eastAsia"/>
        </w:rPr>
        <w:t>经评审获得本项目最终合同签订资格的投标人</w:t>
      </w:r>
      <w:r>
        <w:rPr>
          <w:rFonts w:hint="eastAsia"/>
          <w:lang w:eastAsia="zh-CN"/>
        </w:rPr>
        <w:t>；</w:t>
      </w:r>
    </w:p>
    <w:p w14:paraId="19552B0F">
      <w:pPr>
        <w:pStyle w:val="39"/>
        <w:ind w:firstLine="482"/>
      </w:pPr>
      <w:r>
        <w:rPr>
          <w:rFonts w:hint="eastAsia"/>
          <w:b/>
          <w:bCs/>
          <w:lang w:eastAsia="zh-CN"/>
        </w:rPr>
        <w:t>“</w:t>
      </w:r>
      <w:r>
        <w:rPr>
          <w:rFonts w:hint="eastAsia"/>
          <w:b/>
          <w:bCs/>
        </w:rPr>
        <w:t>买方</w:t>
      </w:r>
      <w:r>
        <w:rPr>
          <w:rFonts w:hint="eastAsia"/>
          <w:b/>
          <w:bCs/>
          <w:lang w:eastAsia="zh-CN"/>
        </w:rPr>
        <w:t>/</w:t>
      </w:r>
      <w:r>
        <w:rPr>
          <w:rFonts w:hint="eastAsia"/>
          <w:b/>
          <w:bCs/>
        </w:rPr>
        <w:t>甲方</w:t>
      </w:r>
      <w:r>
        <w:rPr>
          <w:rFonts w:hint="eastAsia"/>
          <w:b/>
          <w:bCs/>
          <w:lang w:eastAsia="zh-CN"/>
        </w:rPr>
        <w:t>”</w:t>
      </w:r>
      <w:r>
        <w:rPr>
          <w:rFonts w:hint="eastAsia"/>
          <w:b/>
          <w:bCs/>
        </w:rPr>
        <w:t>：</w:t>
      </w:r>
      <w:r>
        <w:rPr>
          <w:rFonts w:hint="eastAsia"/>
          <w:lang w:eastAsia="zh-CN"/>
        </w:rPr>
        <w:t>系</w:t>
      </w:r>
      <w:r>
        <w:rPr>
          <w:rFonts w:hint="eastAsia"/>
        </w:rPr>
        <w:t>指合同签订的一方，一般与招标人、用户相同；</w:t>
      </w:r>
    </w:p>
    <w:p w14:paraId="5F39D2C4">
      <w:pPr>
        <w:pStyle w:val="39"/>
        <w:ind w:firstLine="482"/>
      </w:pPr>
      <w:r>
        <w:rPr>
          <w:rFonts w:hint="eastAsia"/>
          <w:b/>
          <w:bCs/>
          <w:lang w:eastAsia="zh-CN"/>
        </w:rPr>
        <w:t>“</w:t>
      </w:r>
      <w:r>
        <w:rPr>
          <w:rFonts w:hint="eastAsia"/>
          <w:b/>
          <w:bCs/>
        </w:rPr>
        <w:t>卖方</w:t>
      </w:r>
      <w:r>
        <w:rPr>
          <w:rFonts w:hint="eastAsia"/>
          <w:b/>
          <w:bCs/>
          <w:lang w:eastAsia="zh-CN"/>
        </w:rPr>
        <w:t>/</w:t>
      </w:r>
      <w:r>
        <w:rPr>
          <w:rFonts w:hint="eastAsia"/>
          <w:b/>
          <w:bCs/>
        </w:rPr>
        <w:t>乙方</w:t>
      </w:r>
      <w:r>
        <w:rPr>
          <w:rFonts w:hint="eastAsia"/>
          <w:b/>
          <w:bCs/>
          <w:lang w:eastAsia="zh-CN"/>
        </w:rPr>
        <w:t>”</w:t>
      </w:r>
      <w:r>
        <w:rPr>
          <w:rFonts w:hint="eastAsia"/>
          <w:b/>
          <w:bCs/>
        </w:rPr>
        <w:t>：</w:t>
      </w:r>
      <w:r>
        <w:rPr>
          <w:rFonts w:hint="eastAsia"/>
          <w:lang w:eastAsia="zh-CN"/>
        </w:rPr>
        <w:t>系</w:t>
      </w:r>
      <w:r>
        <w:rPr>
          <w:rFonts w:hint="eastAsia"/>
        </w:rPr>
        <w:t>指合同签订的另一方，一般与中标人相同；</w:t>
      </w:r>
    </w:p>
    <w:p w14:paraId="394506BD">
      <w:pPr>
        <w:pStyle w:val="39"/>
        <w:ind w:firstLine="482"/>
        <w:rPr>
          <w:lang w:eastAsia="zh-CN"/>
        </w:rPr>
      </w:pPr>
      <w:r>
        <w:rPr>
          <w:rFonts w:hint="eastAsia"/>
          <w:b/>
          <w:bCs/>
          <w:lang w:eastAsia="zh-CN"/>
        </w:rPr>
        <w:t xml:space="preserve"> “</w:t>
      </w:r>
      <w:r>
        <w:rPr>
          <w:rFonts w:hint="eastAsia"/>
          <w:b/>
          <w:bCs/>
        </w:rPr>
        <w:t>书面形式</w:t>
      </w:r>
      <w:r>
        <w:rPr>
          <w:rFonts w:hint="eastAsia"/>
          <w:b/>
          <w:bCs/>
          <w:lang w:eastAsia="zh-CN"/>
        </w:rPr>
        <w:t>”</w:t>
      </w:r>
      <w:r>
        <w:rPr>
          <w:rFonts w:hint="eastAsia"/>
          <w:b/>
          <w:bCs/>
        </w:rPr>
        <w:t>：</w:t>
      </w:r>
      <w:r>
        <w:rPr>
          <w:rFonts w:hint="eastAsia"/>
          <w:lang w:eastAsia="zh-CN"/>
        </w:rPr>
        <w:t>系指用文字来进行意思表示，包括各类纸质文件以及数据电文（包括电报、电传、传真、电子数据交换和电子邮件）；</w:t>
      </w:r>
    </w:p>
    <w:p w14:paraId="16383517">
      <w:pPr>
        <w:pStyle w:val="39"/>
        <w:ind w:firstLine="482"/>
      </w:pPr>
      <w:r>
        <w:rPr>
          <w:rFonts w:hint="eastAsia"/>
          <w:b/>
          <w:bCs/>
          <w:lang w:eastAsia="zh-CN"/>
        </w:rPr>
        <w:t>“</w:t>
      </w:r>
      <w:r>
        <w:rPr>
          <w:rFonts w:hint="eastAsia"/>
          <w:b/>
          <w:bCs/>
        </w:rPr>
        <w:t>实质性</w:t>
      </w:r>
      <w:r>
        <w:rPr>
          <w:rFonts w:hint="eastAsia"/>
          <w:b/>
          <w:bCs/>
          <w:lang w:eastAsia="zh-CN"/>
        </w:rPr>
        <w:t>条款/实质性要求”</w:t>
      </w:r>
      <w:r>
        <w:rPr>
          <w:rFonts w:hint="eastAsia"/>
          <w:b/>
          <w:bCs/>
        </w:rPr>
        <w:t>:</w:t>
      </w:r>
      <w:r>
        <w:rPr>
          <w:rFonts w:hint="eastAsia"/>
        </w:rPr>
        <w:t>系是指招标文件的效力性强制性规定</w:t>
      </w:r>
      <w:r>
        <w:rPr>
          <w:rFonts w:hint="eastAsia"/>
          <w:lang w:eastAsia="zh-CN"/>
        </w:rPr>
        <w:t>，包括：“技术要求”中的</w:t>
      </w:r>
      <w:r>
        <w:rPr>
          <w:rFonts w:hint="eastAsia"/>
          <w:lang w:val="en-US" w:eastAsia="zh-CN"/>
        </w:rPr>
        <w:t>采购内容（范围）、</w:t>
      </w:r>
      <w:r>
        <w:rPr>
          <w:rFonts w:hint="eastAsia"/>
          <w:lang w:eastAsia="zh-CN"/>
        </w:rPr>
        <w:t>重要技术参数以及一般性技术参数不允许偏离的范围和幅度等；“商务要求/合同条件”中的合同标的、数量、质量、价款及价款支付方式和条件、履行期限、履行地点及方式、违约责任和解决争议方式等；“招标投标规则”中投标有效期、投标保证金、投标报价、投标文件密封、投标文件签署与盖章等</w:t>
      </w:r>
      <w:r>
        <w:rPr>
          <w:rFonts w:hint="eastAsia"/>
        </w:rPr>
        <w:t>。</w:t>
      </w:r>
      <w:r>
        <w:rPr>
          <w:rFonts w:hint="eastAsia"/>
          <w:lang w:eastAsia="zh-CN"/>
        </w:rPr>
        <w:t>包括但不限于标记“▲”条款；</w:t>
      </w:r>
    </w:p>
    <w:p w14:paraId="6E19B1E4">
      <w:pPr>
        <w:pStyle w:val="39"/>
        <w:ind w:firstLine="482"/>
      </w:pPr>
      <w:r>
        <w:rPr>
          <w:rFonts w:hint="eastAsia"/>
          <w:b/>
          <w:bCs/>
          <w:lang w:eastAsia="zh-CN"/>
        </w:rPr>
        <w:t>“</w:t>
      </w:r>
      <w:r>
        <w:rPr>
          <w:rFonts w:hint="eastAsia"/>
          <w:b/>
          <w:bCs/>
        </w:rPr>
        <w:t>重大偏离</w:t>
      </w:r>
      <w:r>
        <w:rPr>
          <w:rFonts w:hint="eastAsia"/>
          <w:b/>
          <w:bCs/>
          <w:lang w:eastAsia="zh-CN"/>
        </w:rPr>
        <w:t>（保留）”</w:t>
      </w:r>
      <w:r>
        <w:rPr>
          <w:rFonts w:hint="eastAsia"/>
          <w:b/>
          <w:bCs/>
        </w:rPr>
        <w:t>：</w:t>
      </w:r>
      <w:r>
        <w:rPr>
          <w:rFonts w:hint="eastAsia"/>
        </w:rPr>
        <w:t>系指将会影响到招标文件规定的服务范围、质量标准，或会给合同中规定的招标人的权利和投标人的责任造成实质性限制，而纠正这些偏离或保留将对其他提交了实质性响应的投标文件的投标人产生不公平影响的</w:t>
      </w:r>
      <w:r>
        <w:rPr>
          <w:rFonts w:hint="eastAsia"/>
          <w:lang w:eastAsia="zh-CN"/>
        </w:rPr>
        <w:t>偏离或保留</w:t>
      </w:r>
      <w:r>
        <w:rPr>
          <w:rFonts w:hint="eastAsia"/>
        </w:rPr>
        <w:t>。</w:t>
      </w:r>
    </w:p>
    <w:p w14:paraId="17D200B9">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28" w:name="_Toc756786187"/>
      <w:bookmarkStart w:id="29" w:name="_Toc1881937293"/>
      <w:r>
        <w:rPr>
          <w:rFonts w:hint="eastAsia"/>
          <w:lang w:eastAsia="zh-CN"/>
        </w:rPr>
        <w:t>符号</w:t>
      </w:r>
      <w:r>
        <w:rPr>
          <w:rFonts w:hint="eastAsia"/>
        </w:rPr>
        <w:t>定义</w:t>
      </w:r>
      <w:bookmarkEnd w:id="28"/>
      <w:bookmarkEnd w:id="29"/>
    </w:p>
    <w:p w14:paraId="3EA06EB0">
      <w:pPr>
        <w:pStyle w:val="39"/>
        <w:ind w:firstLine="480"/>
        <w:rPr>
          <w:lang w:eastAsia="zh-CN"/>
        </w:rPr>
      </w:pPr>
      <w:r>
        <w:rPr>
          <w:rFonts w:hint="eastAsia"/>
          <w:lang w:eastAsia="zh-CN"/>
        </w:rPr>
        <w:t>“▲”：系指实质性要求条款；</w:t>
      </w:r>
    </w:p>
    <w:p w14:paraId="6BDC4367">
      <w:pPr>
        <w:pStyle w:val="39"/>
        <w:ind w:firstLine="480"/>
        <w:rPr>
          <w:lang w:eastAsia="zh-CN"/>
        </w:rPr>
      </w:pPr>
      <w:r>
        <w:rPr>
          <w:lang w:eastAsia="zh-CN"/>
        </w:rPr>
        <w:t>“</w:t>
      </w:r>
      <w:sdt>
        <w:sdtPr>
          <w:id w:val="47733809"/>
          <w14:checkbox>
            <w14:checked w14:val="1"/>
            <w14:checkedState w14:val="00FE" w14:font="Wingdings"/>
            <w14:uncheckedState w14:val="2610" w14:font="MS Gothic"/>
          </w14:checkbox>
        </w:sdtPr>
        <w:sdtContent>
          <w:r>
            <w:rPr/>
            <w:sym w:font="Wingdings" w:char="F0FE"/>
          </w:r>
        </w:sdtContent>
      </w:sdt>
      <w:r>
        <w:rPr>
          <w:lang w:eastAsia="zh-CN"/>
        </w:rPr>
        <w:t>”</w:t>
      </w:r>
      <w:r>
        <w:rPr>
          <w:rFonts w:hint="eastAsia"/>
          <w:lang w:eastAsia="zh-CN"/>
        </w:rPr>
        <w:t>：系指适用本项目的要求；</w:t>
      </w:r>
    </w:p>
    <w:p w14:paraId="5BA53A74">
      <w:pPr>
        <w:pStyle w:val="39"/>
        <w:ind w:firstLine="480"/>
        <w:rPr>
          <w:lang w:eastAsia="zh-CN"/>
        </w:rPr>
      </w:pPr>
      <w:r>
        <w:rPr>
          <w:rFonts w:hint="eastAsia"/>
          <w:lang w:eastAsia="zh-CN"/>
        </w:rPr>
        <w:t>“</w:t>
      </w:r>
      <w:sdt>
        <w:sdtPr>
          <w:id w:val="1539159011"/>
          <w14:checkbox>
            <w14:checked w14:val="0"/>
            <w14:checkedState w14:val="00FE" w14:font="Wingdings"/>
            <w14:uncheckedState w14:val="2610" w14:font="MS Gothic"/>
          </w14:checkbox>
        </w:sdtPr>
        <w:sdtContent>
          <w:r>
            <w:rPr>
              <w:rFonts w:hint="eastAsia" w:ascii="MS Gothic" w:hAnsi="MS Gothic" w:eastAsia="MS Gothic"/>
            </w:rPr>
            <w:t>☐</w:t>
          </w:r>
        </w:sdtContent>
      </w:sdt>
      <w:r>
        <w:rPr>
          <w:lang w:eastAsia="zh-CN"/>
        </w:rPr>
        <w:t>”</w:t>
      </w:r>
      <w:r>
        <w:rPr>
          <w:rFonts w:hint="eastAsia"/>
          <w:lang w:eastAsia="zh-CN"/>
        </w:rPr>
        <w:t>：系指不适用本项目的要求；</w:t>
      </w:r>
    </w:p>
    <w:p w14:paraId="221A6462">
      <w:pPr>
        <w:pStyle w:val="39"/>
        <w:ind w:firstLine="480"/>
        <w:rPr>
          <w:lang w:eastAsia="zh-CN"/>
        </w:rPr>
      </w:pPr>
      <w:r>
        <w:rPr>
          <w:rFonts w:hint="eastAsia"/>
          <w:lang w:eastAsia="zh-CN"/>
        </w:rPr>
        <w:t>其他符号除非有明确说明，否则均仅作强调。</w:t>
      </w:r>
    </w:p>
    <w:p w14:paraId="19D5349C">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30" w:name="_Toc1907287375"/>
      <w:bookmarkStart w:id="31" w:name="_Toc1580930435"/>
      <w:r>
        <w:rPr>
          <w:rFonts w:hint="eastAsia"/>
        </w:rPr>
        <w:t>投标费用</w:t>
      </w:r>
      <w:bookmarkEnd w:id="30"/>
      <w:bookmarkEnd w:id="31"/>
    </w:p>
    <w:p w14:paraId="7A5779B6">
      <w:pPr>
        <w:pStyle w:val="39"/>
        <w:ind w:firstLine="480"/>
      </w:pPr>
      <w:r>
        <w:rPr>
          <w:rFonts w:hint="eastAsia"/>
        </w:rPr>
        <w:t>无论招投标过程中的做法和结果如何，投标人自行承担招投标活动中所发生的全部费用。</w:t>
      </w:r>
    </w:p>
    <w:p w14:paraId="7006AD15">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32" w:name="_Toc2030140361"/>
      <w:bookmarkStart w:id="33" w:name="_Toc290512856"/>
      <w:r>
        <w:rPr>
          <w:rFonts w:hint="eastAsia"/>
        </w:rPr>
        <w:t>语言文字</w:t>
      </w:r>
      <w:bookmarkEnd w:id="32"/>
      <w:bookmarkEnd w:id="33"/>
    </w:p>
    <w:p w14:paraId="3D902A82">
      <w:pPr>
        <w:pStyle w:val="47"/>
        <w:bidi w:val="0"/>
      </w:pPr>
      <w:bookmarkStart w:id="34" w:name="_Hlt68057669"/>
      <w:bookmarkEnd w:id="34"/>
      <w:bookmarkStart w:id="35" w:name="_Hlt74707468"/>
      <w:bookmarkEnd w:id="35"/>
      <w:bookmarkStart w:id="36" w:name="_Toc91899879"/>
      <w:bookmarkEnd w:id="36"/>
      <w:bookmarkStart w:id="37" w:name="_Hlt75236290"/>
      <w:bookmarkEnd w:id="37"/>
      <w:bookmarkStart w:id="38" w:name="_Hlt68072990"/>
      <w:bookmarkEnd w:id="38"/>
      <w:bookmarkStart w:id="39" w:name="_Hlt74729768"/>
      <w:bookmarkEnd w:id="39"/>
      <w:r>
        <w:t>除专用术语外，投标文件以及投标人与招标人就有关投标的往来函电均应使用中文，否则视同未实质性响应招标文件要求。</w:t>
      </w:r>
    </w:p>
    <w:p w14:paraId="2124B80B">
      <w:pPr>
        <w:pStyle w:val="47"/>
        <w:bidi w:val="0"/>
      </w:pPr>
      <w:r>
        <w:t>投标人提交的支持性文件和印制的文件可以用另一种语言，但相应内容应翻译成中文，对不同文字文本投标文件的解释发生异议的，以中文文本为准。仅以中文以外的文字表述的材料视同未提供。</w:t>
      </w:r>
    </w:p>
    <w:p w14:paraId="3F6DBCD9">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40" w:name="_Toc1348863791"/>
      <w:bookmarkStart w:id="41" w:name="_Toc1419241161"/>
      <w:r>
        <w:rPr>
          <w:rFonts w:hint="eastAsia"/>
        </w:rPr>
        <w:t>计量单位</w:t>
      </w:r>
      <w:bookmarkEnd w:id="40"/>
      <w:bookmarkEnd w:id="41"/>
    </w:p>
    <w:p w14:paraId="5C990E88">
      <w:pPr>
        <w:pStyle w:val="39"/>
        <w:ind w:firstLine="480"/>
      </w:pPr>
      <w:r>
        <w:rPr>
          <w:rFonts w:hint="eastAsia"/>
        </w:rPr>
        <w:t>招标文件有明确规定的，适用招标文件规定的计量单位；招标文件没有规定的，应采用中华人民共和国法定计量单位，否则视同未</w:t>
      </w:r>
      <w:r>
        <w:rPr>
          <w:rFonts w:hint="eastAsia"/>
          <w:lang w:eastAsia="zh-CN"/>
        </w:rPr>
        <w:t>实质性</w:t>
      </w:r>
      <w:r>
        <w:rPr>
          <w:rFonts w:hint="eastAsia"/>
        </w:rPr>
        <w:t>响应</w:t>
      </w:r>
      <w:r>
        <w:rPr>
          <w:rFonts w:hint="eastAsia"/>
          <w:lang w:eastAsia="zh-CN"/>
        </w:rPr>
        <w:t>招标文件要求</w:t>
      </w:r>
      <w:r>
        <w:rPr>
          <w:rFonts w:hint="eastAsia"/>
        </w:rPr>
        <w:t>。</w:t>
      </w:r>
    </w:p>
    <w:p w14:paraId="0EA7C47C">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42" w:name="_Toc1085325698"/>
      <w:bookmarkStart w:id="43" w:name="_Toc1516357605"/>
      <w:r>
        <w:rPr>
          <w:rFonts w:hint="eastAsia"/>
        </w:rPr>
        <w:t>转包与分包</w:t>
      </w:r>
      <w:bookmarkEnd w:id="42"/>
      <w:bookmarkEnd w:id="43"/>
    </w:p>
    <w:p w14:paraId="48C9A075">
      <w:pPr>
        <w:pStyle w:val="38"/>
        <w:keepNext w:val="0"/>
        <w:keepLines w:val="0"/>
        <w:pageBreakBefore w:val="0"/>
        <w:widowControl w:val="0"/>
        <w:kinsoku/>
        <w:wordWrap/>
        <w:overflowPunct/>
        <w:topLinePunct w:val="0"/>
        <w:autoSpaceDE/>
        <w:autoSpaceDN/>
        <w:bidi w:val="0"/>
        <w:adjustRightInd w:val="0"/>
        <w:snapToGrid/>
        <w:ind w:left="0" w:firstLine="482" w:firstLineChars="200"/>
        <w:textAlignment w:val="auto"/>
      </w:pPr>
      <w:bookmarkStart w:id="44" w:name="_Toc342908668"/>
      <w:r>
        <w:rPr>
          <w:rFonts w:hint="eastAsia"/>
          <w:lang w:val="en-US" w:eastAsia="zh-CN"/>
        </w:rPr>
        <w:t>转包</w:t>
      </w:r>
      <w:bookmarkEnd w:id="44"/>
    </w:p>
    <w:p w14:paraId="454AA6FB">
      <w:pPr>
        <w:pStyle w:val="39"/>
        <w:bidi w:val="0"/>
      </w:pPr>
      <w:r>
        <w:t>本项目不允许转包。</w:t>
      </w:r>
    </w:p>
    <w:p w14:paraId="25947481">
      <w:pPr>
        <w:pStyle w:val="38"/>
        <w:keepNext w:val="0"/>
        <w:keepLines w:val="0"/>
        <w:pageBreakBefore w:val="0"/>
        <w:widowControl w:val="0"/>
        <w:kinsoku/>
        <w:wordWrap/>
        <w:overflowPunct/>
        <w:topLinePunct w:val="0"/>
        <w:autoSpaceDE/>
        <w:autoSpaceDN/>
        <w:bidi w:val="0"/>
        <w:adjustRightInd w:val="0"/>
        <w:snapToGrid/>
        <w:ind w:left="0" w:firstLine="482" w:firstLineChars="200"/>
        <w:textAlignment w:val="auto"/>
      </w:pPr>
      <w:bookmarkStart w:id="45" w:name="_Toc1567358175"/>
      <w:r>
        <w:rPr>
          <w:rFonts w:hint="eastAsia"/>
          <w:lang w:val="en-US" w:eastAsia="zh-CN"/>
        </w:rPr>
        <w:t>分包</w:t>
      </w:r>
      <w:bookmarkEnd w:id="45"/>
    </w:p>
    <w:p w14:paraId="1D439C2A">
      <w:pPr>
        <w:pStyle w:val="47"/>
        <w:numPr>
          <w:ilvl w:val="0"/>
          <w:numId w:val="7"/>
        </w:numPr>
        <w:bidi w:val="0"/>
      </w:pPr>
      <w:r>
        <w:rPr>
          <w:rFonts w:hint="eastAsia"/>
          <w:lang w:val="en-US" w:eastAsia="zh-CN"/>
        </w:rPr>
        <w:t>本项目是否允许分包详见</w:t>
      </w:r>
      <w:r>
        <w:t>本章“前附表”规定</w:t>
      </w:r>
      <w:r>
        <w:rPr>
          <w:rFonts w:hint="eastAsia"/>
          <w:lang w:eastAsia="zh-CN"/>
        </w:rPr>
        <w:t>；</w:t>
      </w:r>
    </w:p>
    <w:p w14:paraId="2581F80B">
      <w:pPr>
        <w:pStyle w:val="47"/>
        <w:numPr>
          <w:ilvl w:val="0"/>
          <w:numId w:val="7"/>
        </w:numPr>
        <w:bidi w:val="0"/>
      </w:pPr>
      <w:r>
        <w:t>如本章“前附表”规定“</w:t>
      </w:r>
      <w:r>
        <w:rPr>
          <w:rFonts w:hint="eastAsia"/>
          <w:lang w:val="en-US" w:eastAsia="zh-CN"/>
        </w:rPr>
        <w:t>允许分包</w:t>
      </w:r>
      <w:r>
        <w:t>”的</w:t>
      </w:r>
      <w:r>
        <w:rPr>
          <w:rFonts w:hint="eastAsia"/>
          <w:lang w:eastAsia="zh-CN"/>
        </w:rPr>
        <w:t>，</w:t>
      </w:r>
      <w:r>
        <w:rPr>
          <w:rFonts w:hint="eastAsia"/>
        </w:rPr>
        <w:t>投标人根据采购项目的实际情况，拟在中标后将中标项目的非主体、非关键性工作分包的，应当在投标文件中载明分包承担主体，分包承担主体应当具备相应资质条件且不得再次分包</w:t>
      </w:r>
      <w:r>
        <w:rPr>
          <w:rFonts w:hint="eastAsia"/>
          <w:lang w:eastAsia="zh-CN"/>
        </w:rPr>
        <w:t>，</w:t>
      </w:r>
      <w:r>
        <w:rPr>
          <w:rFonts w:hint="eastAsia"/>
        </w:rPr>
        <w:t>中标供应商就采购项目和分包项目向采购人负责，分包供应商就分包项目承担责任</w:t>
      </w:r>
      <w:r>
        <w:t>。</w:t>
      </w:r>
    </w:p>
    <w:p w14:paraId="03293093">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46" w:name="_Toc1554433123"/>
      <w:bookmarkStart w:id="47" w:name="_Toc1233828286"/>
      <w:r>
        <w:rPr>
          <w:rFonts w:hint="eastAsia"/>
        </w:rPr>
        <w:t>踏勘现场</w:t>
      </w:r>
      <w:bookmarkEnd w:id="46"/>
      <w:bookmarkEnd w:id="47"/>
    </w:p>
    <w:p w14:paraId="1964DB7B">
      <w:pPr>
        <w:pStyle w:val="47"/>
        <w:numPr>
          <w:ilvl w:val="0"/>
          <w:numId w:val="8"/>
        </w:numPr>
        <w:bidi w:val="0"/>
      </w:pPr>
      <w:r>
        <w:rPr>
          <w:rFonts w:hint="eastAsia"/>
          <w:lang w:val="en-US" w:eastAsia="zh-CN"/>
        </w:rPr>
        <w:t>本项目是否组织</w:t>
      </w:r>
      <w:r>
        <w:rPr>
          <w:rFonts w:hint="eastAsia"/>
        </w:rPr>
        <w:t>踏勘现场</w:t>
      </w:r>
      <w:r>
        <w:rPr>
          <w:rFonts w:hint="eastAsia"/>
          <w:lang w:val="en-US" w:eastAsia="zh-CN"/>
        </w:rPr>
        <w:t>详见</w:t>
      </w:r>
      <w:r>
        <w:t>本章“前附表”规定</w:t>
      </w:r>
      <w:r>
        <w:rPr>
          <w:rFonts w:hint="eastAsia"/>
          <w:lang w:eastAsia="zh-CN"/>
        </w:rPr>
        <w:t>；</w:t>
      </w:r>
    </w:p>
    <w:p w14:paraId="78E4AAD3">
      <w:pPr>
        <w:pStyle w:val="47"/>
        <w:numPr>
          <w:ilvl w:val="0"/>
          <w:numId w:val="8"/>
        </w:numPr>
        <w:bidi w:val="0"/>
      </w:pPr>
      <w:r>
        <w:t>如本章“前附表”规定“不组织”的，供应商如觉得有必要，可自行前往踏勘现场。</w:t>
      </w:r>
    </w:p>
    <w:p w14:paraId="37DDF6E1">
      <w:pPr>
        <w:pStyle w:val="47"/>
        <w:numPr>
          <w:ilvl w:val="0"/>
          <w:numId w:val="8"/>
        </w:numPr>
        <w:bidi w:val="0"/>
      </w:pPr>
      <w:r>
        <w:rPr>
          <w:rFonts w:hint="eastAsia"/>
          <w:lang w:val="en-US" w:eastAsia="zh-Hans"/>
        </w:rPr>
        <w:t>如</w:t>
      </w:r>
      <w:r>
        <w:t>本章“前附表”规定“统一组织”的，供应商应按规定的时间、地点准时出席，否则将不予单独安排。</w:t>
      </w:r>
    </w:p>
    <w:p w14:paraId="26C9CDF9">
      <w:pPr>
        <w:pStyle w:val="47"/>
        <w:numPr>
          <w:ilvl w:val="0"/>
          <w:numId w:val="8"/>
        </w:numPr>
        <w:bidi w:val="0"/>
      </w:pPr>
      <w:r>
        <w:t>供应商踏勘现场发生的费用自理。</w:t>
      </w:r>
    </w:p>
    <w:p w14:paraId="340FEE98">
      <w:pPr>
        <w:pStyle w:val="47"/>
        <w:numPr>
          <w:ilvl w:val="0"/>
          <w:numId w:val="8"/>
        </w:numPr>
        <w:bidi w:val="0"/>
      </w:pPr>
      <w:r>
        <w:t>除招标人的原因外，供应商自行负责在踏勘现场中可能发生的人员伤亡和财产损失。</w:t>
      </w:r>
    </w:p>
    <w:p w14:paraId="6A420BC3">
      <w:pPr>
        <w:pStyle w:val="47"/>
        <w:numPr>
          <w:ilvl w:val="0"/>
          <w:numId w:val="8"/>
        </w:numPr>
        <w:bidi w:val="0"/>
      </w:pPr>
      <w:r>
        <w:t>招标人在踏勘现场中介绍的场地和相关的周边环境情况，供应商在编制投标文件时参考，招标人不对供应商据此作出的判断和决策负责。</w:t>
      </w:r>
    </w:p>
    <w:p w14:paraId="7FF0F65B">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48" w:name="_Toc849907370"/>
      <w:bookmarkStart w:id="49" w:name="_Toc1218932506"/>
      <w:r>
        <w:rPr>
          <w:rFonts w:hint="eastAsia"/>
        </w:rPr>
        <w:t>投标预备会/答疑会</w:t>
      </w:r>
      <w:bookmarkEnd w:id="48"/>
      <w:bookmarkEnd w:id="49"/>
    </w:p>
    <w:p w14:paraId="410DB353">
      <w:pPr>
        <w:pStyle w:val="47"/>
        <w:numPr>
          <w:ilvl w:val="0"/>
          <w:numId w:val="9"/>
        </w:numPr>
        <w:bidi w:val="0"/>
      </w:pPr>
      <w:r>
        <w:rPr>
          <w:rFonts w:hint="eastAsia"/>
          <w:lang w:val="en-US" w:eastAsia="zh-CN"/>
        </w:rPr>
        <w:t>本项目是否召开</w:t>
      </w:r>
      <w:r>
        <w:rPr>
          <w:rFonts w:hint="eastAsia"/>
        </w:rPr>
        <w:t>投标预备会/答疑会</w:t>
      </w:r>
      <w:r>
        <w:rPr>
          <w:rFonts w:hint="eastAsia"/>
          <w:lang w:val="en-US" w:eastAsia="zh-CN"/>
        </w:rPr>
        <w:t>详见</w:t>
      </w:r>
      <w:r>
        <w:t>本章“前附表”规定</w:t>
      </w:r>
      <w:r>
        <w:rPr>
          <w:rFonts w:hint="eastAsia"/>
          <w:lang w:eastAsia="zh-CN"/>
        </w:rPr>
        <w:t>；</w:t>
      </w:r>
    </w:p>
    <w:p w14:paraId="2FFF6208">
      <w:pPr>
        <w:pStyle w:val="47"/>
        <w:numPr>
          <w:ilvl w:val="0"/>
          <w:numId w:val="4"/>
        </w:numPr>
        <w:bidi w:val="0"/>
      </w:pPr>
      <w:r>
        <w:t>如本章“前附表”规定</w:t>
      </w:r>
      <w:r>
        <w:rPr>
          <w:rFonts w:hint="eastAsia"/>
          <w:lang w:eastAsia="zh-CN"/>
        </w:rPr>
        <w:t>“</w:t>
      </w:r>
      <w:r>
        <w:t>召开</w:t>
      </w:r>
      <w:r>
        <w:rPr>
          <w:rFonts w:hint="eastAsia"/>
          <w:lang w:eastAsia="zh-CN"/>
        </w:rPr>
        <w:t>”</w:t>
      </w:r>
      <w:r>
        <w:t>答疑会的，招标人将按规定的时间、地点准时召开答疑会，澄清供应商提出的问题，供应商应按规定准时出席，否则将不予单独安排答疑。</w:t>
      </w:r>
    </w:p>
    <w:p w14:paraId="77F6F54B">
      <w:pPr>
        <w:pStyle w:val="47"/>
        <w:numPr>
          <w:ilvl w:val="0"/>
          <w:numId w:val="4"/>
        </w:numPr>
        <w:bidi w:val="0"/>
      </w:pPr>
      <w:r>
        <w:t>供应商应在答疑会时间的前一天，以书面形式将提出的问题送达招标人，以便招标人在会议期间澄清。</w:t>
      </w:r>
    </w:p>
    <w:p w14:paraId="6BE0EDA2">
      <w:pPr>
        <w:pStyle w:val="47"/>
        <w:numPr>
          <w:ilvl w:val="0"/>
          <w:numId w:val="4"/>
        </w:numPr>
        <w:bidi w:val="0"/>
      </w:pPr>
      <w:r>
        <w:t>答疑会后，招标人将按规定对供应商所提问题进行书面澄清答复。</w:t>
      </w:r>
    </w:p>
    <w:p w14:paraId="663E16A2">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50" w:name="_Toc1752119609"/>
      <w:bookmarkStart w:id="51" w:name="_Toc1479431393"/>
      <w:r>
        <w:rPr>
          <w:rFonts w:hint="eastAsia"/>
        </w:rPr>
        <w:t>联合体</w:t>
      </w:r>
      <w:r>
        <w:rPr>
          <w:rFonts w:hint="eastAsia"/>
          <w:lang w:eastAsia="zh-CN"/>
        </w:rPr>
        <w:t>投标</w:t>
      </w:r>
      <w:bookmarkEnd w:id="50"/>
      <w:bookmarkEnd w:id="51"/>
    </w:p>
    <w:p w14:paraId="3B72E0A5">
      <w:pPr>
        <w:pStyle w:val="39"/>
        <w:ind w:firstLine="480"/>
        <w:rPr>
          <w:rFonts w:hint="default"/>
          <w:lang w:val="en-US" w:eastAsia="zh-CN"/>
        </w:rPr>
      </w:pPr>
      <w:r>
        <w:rPr>
          <w:rFonts w:hint="eastAsia"/>
          <w:lang w:val="en-US" w:eastAsia="zh-CN"/>
        </w:rPr>
        <w:t>本项目是否接受联合体投标详见本项目招标公告。</w:t>
      </w:r>
    </w:p>
    <w:p w14:paraId="1C1648C1">
      <w:pPr>
        <w:pStyle w:val="39"/>
        <w:ind w:firstLine="480"/>
      </w:pPr>
      <w:r>
        <w:rPr>
          <w:rFonts w:hint="eastAsia"/>
          <w:lang w:eastAsia="zh-CN"/>
        </w:rPr>
        <w:t>如</w:t>
      </w:r>
      <w:r>
        <w:rPr>
          <w:rFonts w:hint="eastAsia"/>
        </w:rPr>
        <w:t>“招标公告”规定</w:t>
      </w:r>
      <w:r>
        <w:rPr>
          <w:rFonts w:hint="eastAsia"/>
          <w:lang w:eastAsia="zh-CN"/>
        </w:rPr>
        <w:t>本项目接受</w:t>
      </w:r>
      <w:r>
        <w:rPr>
          <w:rFonts w:hint="eastAsia"/>
        </w:rPr>
        <w:t>联合体投标的，</w:t>
      </w:r>
      <w:r>
        <w:rPr>
          <w:rFonts w:hint="eastAsia"/>
          <w:lang w:eastAsia="zh-CN"/>
        </w:rPr>
        <w:t>则</w:t>
      </w:r>
      <w:r>
        <w:rPr>
          <w:rFonts w:hint="eastAsia"/>
        </w:rPr>
        <w:t>应遵守以下规定：</w:t>
      </w:r>
    </w:p>
    <w:p w14:paraId="5ED4C69C">
      <w:pPr>
        <w:pStyle w:val="47"/>
        <w:numPr>
          <w:ilvl w:val="0"/>
          <w:numId w:val="10"/>
        </w:numPr>
        <w:bidi w:val="0"/>
        <w:rPr>
          <w:rFonts w:hint="default"/>
        </w:rPr>
      </w:pPr>
      <w:r>
        <w:t>两个以上供应商可以组成一个联合体，以一个供应商的身份共同参加投标。以联合体形式参加本项目投标的，联合体的各成员均应当具备“招标公告”中“申请人的资格要求”规定的“基本资格”且联合体各方中至少应当有一方符合招标人规定的“特定资格”，如由同一专业的供应商组成联合体的，评审时以资质最低的一方为评审依据；</w:t>
      </w:r>
    </w:p>
    <w:p w14:paraId="1B3F5070">
      <w:pPr>
        <w:pStyle w:val="47"/>
        <w:numPr>
          <w:ilvl w:val="0"/>
          <w:numId w:val="10"/>
        </w:numPr>
        <w:bidi w:val="0"/>
        <w:rPr>
          <w:rFonts w:hint="default"/>
        </w:rPr>
      </w:pPr>
      <w:r>
        <w:t>联合体各方之间须签订联合投标协议，明确约定联合体各方承担的工作和相应的责任以及各方的协议合同金额比例，在投标联合协议中指定本项目主办人，并将联合投标协议作为投标文件组成的一部分。本项目的主体、关键性工作须由主办人完成，并在投标联合协议中进行说明；</w:t>
      </w:r>
    </w:p>
    <w:p w14:paraId="6A07D479">
      <w:pPr>
        <w:pStyle w:val="47"/>
        <w:numPr>
          <w:ilvl w:val="0"/>
          <w:numId w:val="10"/>
        </w:numPr>
        <w:bidi w:val="0"/>
        <w:rPr>
          <w:rFonts w:hint="default"/>
        </w:rPr>
      </w:pPr>
      <w:r>
        <w:t>联合体各方签订投标联合协议后，不得再以自己名义单独在本项目中参加投标，也不得组成新的联合体参加本项目投标；</w:t>
      </w:r>
    </w:p>
    <w:p w14:paraId="1DD42B64">
      <w:pPr>
        <w:pStyle w:val="47"/>
        <w:numPr>
          <w:ilvl w:val="0"/>
          <w:numId w:val="10"/>
        </w:numPr>
        <w:bidi w:val="0"/>
        <w:rPr>
          <w:rFonts w:hint="default"/>
        </w:rPr>
      </w:pPr>
      <w:r>
        <w:t>由联合投标协议书中载明的主办人按规定进行签、章以及采购合同签订，对联合体各成员方同样具有约束力；</w:t>
      </w:r>
    </w:p>
    <w:p w14:paraId="401A4DC4">
      <w:pPr>
        <w:pStyle w:val="47"/>
        <w:numPr>
          <w:ilvl w:val="0"/>
          <w:numId w:val="10"/>
        </w:numPr>
        <w:bidi w:val="0"/>
        <w:rPr>
          <w:rFonts w:hint="default"/>
        </w:rPr>
      </w:pPr>
      <w:r>
        <w:t>联合体形式参加政府采购的，履约保证金、采购代理服务费可由主办人一方缴纳，也可以由联合体各方按联合投标协议书约定共同缴纳。</w:t>
      </w:r>
    </w:p>
    <w:p w14:paraId="18280F31">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52" w:name="_Toc1578500799"/>
      <w:bookmarkStart w:id="53" w:name="_Toc1237757185"/>
      <w:r>
        <w:rPr>
          <w:rFonts w:hint="eastAsia"/>
        </w:rPr>
        <w:t>本项目需要落实的政府采购政策</w:t>
      </w:r>
      <w:bookmarkEnd w:id="52"/>
      <w:bookmarkEnd w:id="53"/>
    </w:p>
    <w:p w14:paraId="6D10F8AD">
      <w:pPr>
        <w:pStyle w:val="38"/>
        <w:keepNext w:val="0"/>
        <w:keepLines w:val="0"/>
        <w:pageBreakBefore w:val="0"/>
        <w:widowControl w:val="0"/>
        <w:kinsoku/>
        <w:wordWrap/>
        <w:overflowPunct/>
        <w:topLinePunct w:val="0"/>
        <w:autoSpaceDE/>
        <w:autoSpaceDN/>
        <w:bidi w:val="0"/>
        <w:adjustRightInd w:val="0"/>
        <w:snapToGrid/>
        <w:ind w:left="0" w:firstLine="482" w:firstLineChars="200"/>
        <w:textAlignment w:val="auto"/>
      </w:pPr>
      <w:bookmarkStart w:id="54" w:name="_Toc1997437402"/>
      <w:r>
        <w:rPr>
          <w:rFonts w:hint="eastAsia"/>
        </w:rPr>
        <w:t>支持中小企业、残疾人福利性单位、监狱企业发展</w:t>
      </w:r>
      <w:bookmarkEnd w:id="54"/>
    </w:p>
    <w:p w14:paraId="39DAA7AE">
      <w:pPr>
        <w:pStyle w:val="37"/>
        <w:keepNext w:val="0"/>
        <w:keepLines w:val="0"/>
        <w:pageBreakBefore w:val="0"/>
        <w:widowControl w:val="0"/>
        <w:kinsoku/>
        <w:wordWrap/>
        <w:overflowPunct/>
        <w:topLinePunct w:val="0"/>
        <w:autoSpaceDE/>
        <w:autoSpaceDN/>
        <w:bidi w:val="0"/>
        <w:adjustRightInd w:val="0"/>
        <w:snapToGrid/>
        <w:ind w:left="0" w:firstLine="482" w:firstLineChars="200"/>
        <w:textAlignment w:val="auto"/>
      </w:pPr>
      <w:bookmarkStart w:id="55" w:name="_Toc1466045510"/>
      <w:r>
        <w:rPr>
          <w:rFonts w:hint="eastAsia"/>
        </w:rPr>
        <w:t>支持对象</w:t>
      </w:r>
      <w:bookmarkEnd w:id="55"/>
    </w:p>
    <w:p w14:paraId="05D9F91A">
      <w:pPr>
        <w:pStyle w:val="39"/>
        <w:ind w:firstLine="480"/>
      </w:pPr>
      <w:r>
        <w:rPr>
          <w:rFonts w:hint="eastAsia"/>
        </w:rPr>
        <w:t>中小企业</w:t>
      </w:r>
      <w:r>
        <w:rPr>
          <w:rFonts w:hint="eastAsia"/>
          <w:lang w:eastAsia="zh-CN"/>
        </w:rPr>
        <w:t>，</w:t>
      </w:r>
      <w:r>
        <w:rPr>
          <w:rFonts w:hint="eastAsia"/>
        </w:rPr>
        <w:t>系指在中华人民共和国境内依法设立，依据国务院批准的中小企业划分标准确定的中型企业、小型企业和微型企业，但与大企业的负责人为同一人，或者与大企业存在直接控股、管理关系的除外。</w:t>
      </w:r>
    </w:p>
    <w:p w14:paraId="33C7F2BE">
      <w:pPr>
        <w:pStyle w:val="39"/>
        <w:ind w:firstLine="482"/>
        <w:rPr>
          <w:b/>
          <w:bCs/>
          <w:lang w:eastAsia="zh-CN"/>
        </w:rPr>
      </w:pPr>
      <w:r>
        <w:rPr>
          <w:rFonts w:hint="eastAsia"/>
          <w:b/>
          <w:bCs/>
          <w:lang w:eastAsia="zh-CN"/>
        </w:rPr>
        <w:t>本项目采购标的对应的中小企业划分标准所属行业见本章“前附表”。</w:t>
      </w:r>
    </w:p>
    <w:p w14:paraId="0341F1BB">
      <w:pPr>
        <w:pStyle w:val="49"/>
        <w:ind w:firstLine="480"/>
      </w:pPr>
      <w:r>
        <w:rPr>
          <w:rFonts w:hint="eastAsia"/>
        </w:rPr>
        <w:t>符合中小企业划分标准的个体工商户以及专业合作社、家庭农场等新型农业经营主体，在政府采购活动中视同中小企业；</w:t>
      </w:r>
    </w:p>
    <w:p w14:paraId="1F3B07A5">
      <w:pPr>
        <w:pStyle w:val="49"/>
        <w:ind w:firstLine="480"/>
      </w:pPr>
      <w:r>
        <w:rPr>
          <w:rFonts w:hint="eastAsia"/>
        </w:rPr>
        <w:t>符合《关于促进残疾人就业政府采购政策的通知》（财库〔2017〕141号）规定的条件并提供《残疾人福利性单位声明函》的残疾人福利性单位视同小型、微型企业；</w:t>
      </w:r>
    </w:p>
    <w:p w14:paraId="373B1470">
      <w:pPr>
        <w:pStyle w:val="49"/>
        <w:ind w:firstLine="480"/>
      </w:pPr>
      <w:r>
        <w:rPr>
          <w:rFonts w:hint="eastAsia"/>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B5A1469">
      <w:pPr>
        <w:pStyle w:val="49"/>
        <w:ind w:firstLine="480"/>
      </w:pPr>
      <w:r>
        <w:rPr>
          <w:rFonts w:hint="eastAsia"/>
        </w:rPr>
        <w:t>以联合体形式参加政府采购活动，联合体各方均为中小企业的，联合体视同中小企业。其中，联合体各方均为小微企业的，联合体视同小微企业。</w:t>
      </w:r>
    </w:p>
    <w:p w14:paraId="06F27E0D">
      <w:pPr>
        <w:pStyle w:val="39"/>
        <w:ind w:firstLine="480"/>
        <w:rPr>
          <w:u w:val="single"/>
          <w:lang w:eastAsia="zh-CN"/>
        </w:rPr>
      </w:pPr>
      <w:r>
        <w:rPr>
          <w:rFonts w:hint="eastAsia"/>
          <w:u w:val="single"/>
          <w:lang w:eastAsia="zh-CN"/>
        </w:rPr>
        <w:t>除上述情形以及其他法律法规和国家有关政策明确规定外，其他事业单位、社会组织等</w:t>
      </w:r>
      <w:r>
        <w:rPr>
          <w:rFonts w:hint="eastAsia"/>
          <w:b/>
          <w:bCs/>
          <w:u w:val="single"/>
          <w:lang w:eastAsia="zh-CN"/>
        </w:rPr>
        <w:t>非企业主体</w:t>
      </w:r>
      <w:r>
        <w:rPr>
          <w:rFonts w:hint="eastAsia"/>
          <w:u w:val="single"/>
          <w:lang w:eastAsia="zh-CN"/>
        </w:rPr>
        <w:t>不享受中小企业有关优惠政策。</w:t>
      </w:r>
    </w:p>
    <w:p w14:paraId="6EC478E2">
      <w:pPr>
        <w:pStyle w:val="37"/>
        <w:keepNext w:val="0"/>
        <w:keepLines w:val="0"/>
        <w:pageBreakBefore w:val="0"/>
        <w:widowControl w:val="0"/>
        <w:kinsoku/>
        <w:wordWrap/>
        <w:overflowPunct/>
        <w:topLinePunct w:val="0"/>
        <w:autoSpaceDE/>
        <w:autoSpaceDN/>
        <w:bidi w:val="0"/>
        <w:adjustRightInd w:val="0"/>
        <w:snapToGrid/>
        <w:ind w:firstLine="482" w:firstLineChars="200"/>
        <w:textAlignment w:val="auto"/>
      </w:pPr>
      <w:bookmarkStart w:id="56" w:name="_Toc1747004539"/>
      <w:r>
        <w:rPr>
          <w:rFonts w:hint="eastAsia"/>
        </w:rPr>
        <w:t>支持条件</w:t>
      </w:r>
      <w:bookmarkEnd w:id="56"/>
    </w:p>
    <w:p w14:paraId="2F9D7098">
      <w:pPr>
        <w:pStyle w:val="47"/>
        <w:numPr>
          <w:ilvl w:val="0"/>
          <w:numId w:val="11"/>
        </w:numPr>
        <w:bidi w:val="0"/>
        <w:rPr>
          <w:u w:val="single"/>
        </w:rPr>
      </w:pPr>
      <w:r>
        <w:rPr>
          <w:rFonts w:hint="eastAsia"/>
          <w:u w:val="single"/>
        </w:rPr>
        <w:t>在政府采购活动中，投标人提供的货物、工程或者服务符合下列情形的，享受中小企业扶持政策：</w:t>
      </w:r>
    </w:p>
    <w:p w14:paraId="7FC34247">
      <w:pPr>
        <w:pStyle w:val="48"/>
        <w:bidi w:val="0"/>
      </w:pPr>
      <w:r>
        <w:rPr>
          <w:rFonts w:hint="eastAsia"/>
        </w:rPr>
        <w:t>在货物采购项目中，货物全部由中小企业制造，即货物全部由中小企业生产且使用该中小企业商号或者注册商标；</w:t>
      </w:r>
    </w:p>
    <w:p w14:paraId="4B48D378">
      <w:pPr>
        <w:pStyle w:val="48"/>
        <w:bidi w:val="0"/>
      </w:pPr>
      <w:r>
        <w:rPr>
          <w:rFonts w:hint="eastAsia"/>
        </w:rPr>
        <w:t>在工程采购项目中，工程全部由中小企业承建，即工程施工单位为全部中小企业；</w:t>
      </w:r>
    </w:p>
    <w:p w14:paraId="4A7AE831">
      <w:pPr>
        <w:pStyle w:val="48"/>
        <w:bidi w:val="0"/>
      </w:pPr>
      <w:r>
        <w:rPr>
          <w:rFonts w:hint="eastAsia"/>
        </w:rPr>
        <w:t>在服务采购项目中，服务全部由中小企业承接，即提供服务的人员全部为中小企业依照《中华人民共和国劳动合同法》订立劳动合同的从业人员。</w:t>
      </w:r>
    </w:p>
    <w:p w14:paraId="4BD70D11">
      <w:pPr>
        <w:pStyle w:val="47"/>
        <w:bidi w:val="0"/>
        <w:rPr>
          <w:u w:val="single"/>
        </w:rPr>
      </w:pPr>
      <w:r>
        <w:rPr>
          <w:rFonts w:hint="eastAsia"/>
          <w:u w:val="single"/>
        </w:rPr>
        <w:t>以下情形不享受中小企业扶持政策，即在未</w:t>
      </w:r>
      <w:r>
        <w:rPr>
          <w:u w:val="single"/>
        </w:rPr>
        <w:t>专门面向中小企业预留采购份额</w:t>
      </w:r>
      <w:r>
        <w:rPr>
          <w:rFonts w:hint="eastAsia"/>
          <w:u w:val="single"/>
        </w:rPr>
        <w:t>得项目中不享受价格扣除优惠政策，在</w:t>
      </w:r>
      <w:r>
        <w:rPr>
          <w:u w:val="single"/>
        </w:rPr>
        <w:t>专门面向中小企业预留采购份额</w:t>
      </w:r>
      <w:r>
        <w:rPr>
          <w:rFonts w:hint="eastAsia"/>
          <w:u w:val="single"/>
        </w:rPr>
        <w:t>的项目中视为资格审查不通过：</w:t>
      </w:r>
    </w:p>
    <w:p w14:paraId="603F1F36">
      <w:pPr>
        <w:pStyle w:val="48"/>
        <w:numPr>
          <w:ilvl w:val="0"/>
          <w:numId w:val="12"/>
        </w:numPr>
        <w:bidi w:val="0"/>
      </w:pPr>
      <w:r>
        <w:rPr>
          <w:rFonts w:hint="eastAsia"/>
        </w:rPr>
        <w:t>在货物采购项目中，投标人提供的货物既有中小企业制造货物，也有大型企业制造货物的；</w:t>
      </w:r>
    </w:p>
    <w:p w14:paraId="5A17A986">
      <w:pPr>
        <w:pStyle w:val="48"/>
        <w:numPr>
          <w:ilvl w:val="0"/>
          <w:numId w:val="12"/>
        </w:numPr>
        <w:bidi w:val="0"/>
      </w:pPr>
      <w:r>
        <w:rPr>
          <w:rFonts w:hint="eastAsia"/>
        </w:rPr>
        <w:t>组成联合体或者接受分包的小微企业与联合体内其他企业、分包企业之间存在直接控股、管理关系的；</w:t>
      </w:r>
    </w:p>
    <w:p w14:paraId="0E8E0B7C">
      <w:pPr>
        <w:pStyle w:val="48"/>
        <w:numPr>
          <w:ilvl w:val="0"/>
          <w:numId w:val="12"/>
        </w:numPr>
        <w:bidi w:val="0"/>
      </w:pPr>
      <w:r>
        <w:rPr>
          <w:rFonts w:hint="eastAsia"/>
        </w:rPr>
        <w:t>中小微企业未提供《中小企业声明函》、残疾人福利性单位未提供《残疾人福利性单位声明函》、监狱企业未提供省级以上监狱管理局、戒毒管理局（含新疆生产建设兵团）出具的属于监狱企业证明文件的。</w:t>
      </w:r>
    </w:p>
    <w:p w14:paraId="0816783B">
      <w:pPr>
        <w:pStyle w:val="37"/>
        <w:keepNext w:val="0"/>
        <w:keepLines w:val="0"/>
        <w:pageBreakBefore w:val="0"/>
        <w:widowControl w:val="0"/>
        <w:kinsoku/>
        <w:wordWrap/>
        <w:overflowPunct/>
        <w:topLinePunct w:val="0"/>
        <w:autoSpaceDE/>
        <w:autoSpaceDN/>
        <w:bidi w:val="0"/>
        <w:adjustRightInd w:val="0"/>
        <w:snapToGrid/>
        <w:ind w:firstLine="482" w:firstLineChars="200"/>
        <w:textAlignment w:val="auto"/>
      </w:pPr>
      <w:bookmarkStart w:id="57" w:name="_Toc1508865189"/>
      <w:r>
        <w:rPr>
          <w:rFonts w:hint="eastAsia"/>
        </w:rPr>
        <w:t>支持方式</w:t>
      </w:r>
      <w:bookmarkEnd w:id="57"/>
    </w:p>
    <w:p w14:paraId="7AC876C0">
      <w:pPr>
        <w:pStyle w:val="47"/>
        <w:numPr>
          <w:ilvl w:val="0"/>
          <w:numId w:val="13"/>
        </w:numPr>
        <w:bidi w:val="0"/>
        <w:rPr>
          <w:u w:val="single"/>
        </w:rPr>
      </w:pPr>
      <w:r>
        <w:rPr>
          <w:rFonts w:hint="eastAsia"/>
          <w:u w:val="single"/>
        </w:rPr>
        <w:t>对于预留份额专门面向中小企业的政府采购项目通过下列措施之一进行：</w:t>
      </w:r>
    </w:p>
    <w:p w14:paraId="42F57A86">
      <w:pPr>
        <w:pStyle w:val="48"/>
        <w:numPr>
          <w:ilvl w:val="0"/>
          <w:numId w:val="14"/>
        </w:numPr>
        <w:bidi w:val="0"/>
      </w:pPr>
      <w:r>
        <w:t>将采购项目整体或者设置采购包专门面向中小企 业采购；</w:t>
      </w:r>
    </w:p>
    <w:p w14:paraId="379B216C">
      <w:pPr>
        <w:pStyle w:val="48"/>
        <w:numPr>
          <w:ilvl w:val="0"/>
          <w:numId w:val="14"/>
        </w:numPr>
        <w:bidi w:val="0"/>
      </w:pPr>
      <w:r>
        <w:t>要求供应商以联合体形式参加采购活动，且联合体中中小企业承担的部分达到一定比例；</w:t>
      </w:r>
    </w:p>
    <w:p w14:paraId="095FBF3D">
      <w:pPr>
        <w:pStyle w:val="48"/>
        <w:numPr>
          <w:ilvl w:val="0"/>
          <w:numId w:val="14"/>
        </w:numPr>
        <w:bidi w:val="0"/>
      </w:pPr>
      <w:r>
        <w:t>要求获得采购合同的供应商将采购项目中的一定比例分包给一家或者多家中小企业。</w:t>
      </w:r>
    </w:p>
    <w:p w14:paraId="394D80EE">
      <w:pPr>
        <w:pStyle w:val="47"/>
        <w:bidi w:val="0"/>
        <w:rPr>
          <w:u w:val="single"/>
        </w:rPr>
      </w:pPr>
      <w:r>
        <w:rPr>
          <w:rFonts w:hint="eastAsia"/>
          <w:u w:val="single"/>
        </w:rPr>
        <w:t>对于未预留份额专门面向中小企业的政府采购项目，以及预留份额政府采购项目中的非预留部分标项：</w:t>
      </w:r>
    </w:p>
    <w:p w14:paraId="779C39F1">
      <w:pPr>
        <w:pStyle w:val="48"/>
        <w:numPr>
          <w:ilvl w:val="0"/>
          <w:numId w:val="15"/>
        </w:numPr>
        <w:bidi w:val="0"/>
      </w:pPr>
      <w:r>
        <w:rPr>
          <w:rFonts w:hint="eastAsia"/>
        </w:rPr>
        <w:t>对小型和微型企业的投标报价给予一定比例的扣除，用扣除后的价格参与评审；</w:t>
      </w:r>
    </w:p>
    <w:p w14:paraId="38A28634">
      <w:pPr>
        <w:pStyle w:val="48"/>
        <w:numPr>
          <w:ilvl w:val="0"/>
          <w:numId w:val="15"/>
        </w:numPr>
        <w:bidi w:val="0"/>
      </w:pPr>
      <w:r>
        <w:rPr>
          <w:rFonts w:hint="eastAsia"/>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评审。</w:t>
      </w:r>
    </w:p>
    <w:p w14:paraId="3C680EE5">
      <w:pPr>
        <w:pStyle w:val="39"/>
        <w:ind w:firstLine="480"/>
        <w:rPr>
          <w:u w:val="single"/>
        </w:rPr>
      </w:pPr>
      <w:r>
        <w:rPr>
          <w:rFonts w:hint="eastAsia"/>
          <w:u w:val="single"/>
        </w:rPr>
        <w:t>本项目具体支持方式见“招标公告”及“第五章 评审办法和标准”。</w:t>
      </w:r>
    </w:p>
    <w:p w14:paraId="5E74E332">
      <w:pPr>
        <w:pStyle w:val="47"/>
        <w:bidi w:val="0"/>
        <w:rPr>
          <w:rFonts w:hint="default"/>
          <w:u w:val="single"/>
        </w:rPr>
      </w:pPr>
      <w:r>
        <w:rPr>
          <w:u w:val="single"/>
        </w:rPr>
        <w:t>投标人提供的声明或证明材料与实际情况不符的，属于提供虚假材料谋取中标、成交的行为，不享受中小企业扶持政策且将依法承担法律责任。</w:t>
      </w:r>
    </w:p>
    <w:p w14:paraId="1F8F8343">
      <w:pPr>
        <w:pStyle w:val="38"/>
        <w:keepNext w:val="0"/>
        <w:keepLines w:val="0"/>
        <w:pageBreakBefore w:val="0"/>
        <w:widowControl w:val="0"/>
        <w:kinsoku/>
        <w:wordWrap/>
        <w:overflowPunct/>
        <w:topLinePunct w:val="0"/>
        <w:autoSpaceDE/>
        <w:autoSpaceDN/>
        <w:bidi w:val="0"/>
        <w:adjustRightInd w:val="0"/>
        <w:snapToGrid/>
        <w:ind w:left="0" w:firstLine="482" w:firstLineChars="200"/>
        <w:textAlignment w:val="auto"/>
      </w:pPr>
      <w:bookmarkStart w:id="58" w:name="_Toc2010327747"/>
      <w:bookmarkStart w:id="59" w:name="_Toc661102123"/>
      <w:r>
        <w:t>支持绿色发展</w:t>
      </w:r>
      <w:bookmarkEnd w:id="58"/>
      <w:bookmarkEnd w:id="59"/>
    </w:p>
    <w:p w14:paraId="7991F9E1">
      <w:pPr>
        <w:pStyle w:val="39"/>
        <w:ind w:firstLine="480"/>
      </w:pPr>
      <w:r>
        <w:rPr>
          <w:rFonts w:hint="eastAsia"/>
          <w:lang w:eastAsia="zh-CN"/>
        </w:rPr>
        <w:t>招标</w:t>
      </w:r>
      <w:r>
        <w:t>人拟采购的产品属于节能产品、环境标志产品实施品目清单范围的，将依据国家确定的认证机构出具的、处于有效期之内的节能产品、环境标志产品认证证书，对获得证书的产品实施政府优先采购或强制采购。供应商须按采购文件要求提供相关产品认证证书。</w:t>
      </w:r>
    </w:p>
    <w:p w14:paraId="03E8EFC5">
      <w:pPr>
        <w:pStyle w:val="39"/>
        <w:ind w:firstLine="480"/>
      </w:pPr>
      <w:r>
        <w:rPr>
          <w:rFonts w:hint="eastAsia"/>
          <w:lang w:eastAsia="zh-CN"/>
        </w:rPr>
        <w:t>招标</w:t>
      </w:r>
      <w:r>
        <w:t>人拟采购的产品属于政府强制采购的节能产品品目清单范围的，供应商未按采购文件要求提供国家确定的认证机构出具的、处于有效期之内的节能产品认证证书的，响应文件无效。</w:t>
      </w:r>
    </w:p>
    <w:p w14:paraId="69F3802D">
      <w:pPr>
        <w:pStyle w:val="38"/>
        <w:keepNext w:val="0"/>
        <w:keepLines w:val="0"/>
        <w:pageBreakBefore w:val="0"/>
        <w:widowControl w:val="0"/>
        <w:kinsoku/>
        <w:wordWrap/>
        <w:overflowPunct/>
        <w:topLinePunct w:val="0"/>
        <w:autoSpaceDE/>
        <w:autoSpaceDN/>
        <w:bidi w:val="0"/>
        <w:adjustRightInd w:val="0"/>
        <w:snapToGrid/>
        <w:ind w:left="0" w:firstLine="482" w:firstLineChars="200"/>
        <w:textAlignment w:val="auto"/>
      </w:pPr>
      <w:bookmarkStart w:id="60" w:name="_Toc1218225578"/>
      <w:bookmarkStart w:id="61" w:name="_Toc62991683"/>
      <w:r>
        <w:t>支持创新发展</w:t>
      </w:r>
      <w:bookmarkEnd w:id="60"/>
      <w:bookmarkEnd w:id="61"/>
    </w:p>
    <w:p w14:paraId="0782A45F">
      <w:pPr>
        <w:pStyle w:val="39"/>
        <w:ind w:firstLine="480"/>
      </w:pPr>
      <w:r>
        <w:rPr>
          <w:rFonts w:hint="eastAsia"/>
          <w:lang w:eastAsia="zh-CN"/>
        </w:rPr>
        <w:t>招标</w:t>
      </w:r>
      <w:r>
        <w:t>人优先采购被认定为</w:t>
      </w:r>
      <w:r>
        <w:rPr>
          <w:rFonts w:hint="eastAsia"/>
          <w:lang w:eastAsia="zh-CN"/>
        </w:rPr>
        <w:t>“</w:t>
      </w:r>
      <w:r>
        <w:t>首台套产品</w:t>
      </w:r>
      <w:r>
        <w:rPr>
          <w:rFonts w:hint="eastAsia"/>
          <w:lang w:eastAsia="zh-CN"/>
        </w:rPr>
        <w:t>”</w:t>
      </w:r>
      <w:r>
        <w:t>和“制造精品”的自主创新产品。</w:t>
      </w:r>
    </w:p>
    <w:p w14:paraId="11CAA3B0">
      <w:pPr>
        <w:pStyle w:val="39"/>
        <w:ind w:firstLine="480"/>
      </w:pPr>
      <w:r>
        <w:t>“首台套产品</w:t>
      </w:r>
      <w:r>
        <w:rPr>
          <w:rFonts w:hint="eastAsia"/>
          <w:lang w:eastAsia="zh-CN"/>
        </w:rPr>
        <w:t>”</w:t>
      </w:r>
      <w:r>
        <w:t>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2213376">
      <w:pPr>
        <w:pStyle w:val="38"/>
        <w:keepNext w:val="0"/>
        <w:keepLines w:val="0"/>
        <w:pageBreakBefore w:val="0"/>
        <w:widowControl w:val="0"/>
        <w:kinsoku/>
        <w:wordWrap/>
        <w:overflowPunct/>
        <w:topLinePunct w:val="0"/>
        <w:autoSpaceDE/>
        <w:autoSpaceDN/>
        <w:bidi w:val="0"/>
        <w:adjustRightInd w:val="0"/>
        <w:snapToGrid/>
        <w:ind w:left="0" w:firstLine="482" w:firstLineChars="200"/>
        <w:textAlignment w:val="auto"/>
      </w:pPr>
      <w:bookmarkStart w:id="62" w:name="_Toc608198948"/>
      <w:bookmarkStart w:id="63" w:name="_Toc2139261857"/>
      <w:r>
        <w:rPr>
          <w:rFonts w:hint="eastAsia"/>
        </w:rPr>
        <w:t>支持本国生产的货物</w:t>
      </w:r>
      <w:bookmarkEnd w:id="62"/>
      <w:bookmarkEnd w:id="63"/>
    </w:p>
    <w:p w14:paraId="5C9ABECC">
      <w:pPr>
        <w:pStyle w:val="39"/>
        <w:bidi w:val="0"/>
        <w:rPr>
          <w:rFonts w:hint="eastAsia" w:eastAsia="宋体"/>
          <w:lang w:eastAsia="zh-CN"/>
        </w:rPr>
      </w:pPr>
      <w:r>
        <w:rPr>
          <w:rFonts w:hint="eastAsia"/>
        </w:rPr>
        <w:t>本项目原则上采购本国生产的货物</w:t>
      </w:r>
      <w:r>
        <w:rPr>
          <w:rFonts w:hint="eastAsia"/>
          <w:lang w:eastAsia="zh-CN"/>
        </w:rPr>
        <w:t>，</w:t>
      </w:r>
      <w:r>
        <w:rPr>
          <w:rFonts w:hint="eastAsia"/>
          <w:lang w:val="en-US" w:eastAsia="zh-CN"/>
        </w:rPr>
        <w:t>是否“允许采购进口产品”详见</w:t>
      </w:r>
      <w:r>
        <w:t>本章“前附表”规定</w:t>
      </w:r>
      <w:r>
        <w:rPr>
          <w:rFonts w:hint="eastAsia"/>
          <w:lang w:eastAsia="zh-CN"/>
        </w:rPr>
        <w:t>。</w:t>
      </w:r>
    </w:p>
    <w:p w14:paraId="183A61BE">
      <w:pPr>
        <w:pStyle w:val="39"/>
        <w:ind w:firstLine="480"/>
        <w:rPr>
          <w:lang w:eastAsia="zh-CN"/>
        </w:rPr>
      </w:pPr>
      <w:r>
        <w:rPr>
          <w:rFonts w:hint="eastAsia"/>
          <w:highlight w:val="none"/>
          <w:lang w:eastAsia="zh-CN"/>
        </w:rPr>
        <w:t>如本章“前附表”规定“允许</w:t>
      </w:r>
      <w:r>
        <w:rPr>
          <w:rFonts w:hint="eastAsia"/>
          <w:highlight w:val="none"/>
          <w:lang w:val="en-US" w:eastAsia="zh-CN"/>
        </w:rPr>
        <w:t>采购进口产品</w:t>
      </w:r>
      <w:r>
        <w:rPr>
          <w:rFonts w:hint="eastAsia"/>
          <w:highlight w:val="none"/>
          <w:lang w:eastAsia="zh-CN"/>
        </w:rPr>
        <w:t>”的，</w:t>
      </w:r>
      <w:r>
        <w:rPr>
          <w:rFonts w:hint="eastAsia"/>
        </w:rPr>
        <w:t>表明招标人已经在采购活动开始前向财政部门提出申请并获得财政部门审核同意允许采购进口产品</w:t>
      </w:r>
      <w:r>
        <w:rPr>
          <w:rFonts w:hint="eastAsia"/>
          <w:lang w:eastAsia="zh-CN"/>
        </w:rPr>
        <w:t>。</w:t>
      </w:r>
    </w:p>
    <w:p w14:paraId="755A69EB">
      <w:pPr>
        <w:pStyle w:val="39"/>
        <w:ind w:firstLine="480"/>
      </w:pPr>
      <w:r>
        <w:rPr>
          <w:rFonts w:hint="eastAsia"/>
        </w:rPr>
        <w:t>即使允许采购进口产品但不排斥满足需求的国内产品参与采购公平竞争。</w:t>
      </w:r>
    </w:p>
    <w:p w14:paraId="37CF0E91">
      <w:pPr>
        <w:pStyle w:val="39"/>
        <w:ind w:firstLine="480"/>
      </w:pPr>
      <w:r>
        <w:rPr>
          <w:rFonts w:hint="eastAsia"/>
        </w:rPr>
        <w:t>优先采购向我国企业转让技术、与我国企业签订消化吸收再创新方案的供应商的进口产品；</w:t>
      </w:r>
    </w:p>
    <w:p w14:paraId="6B5BAE7B">
      <w:pPr>
        <w:pStyle w:val="39"/>
        <w:rPr>
          <w:rFonts w:hint="default"/>
        </w:rPr>
      </w:pPr>
      <w:r>
        <w:rPr>
          <w:rFonts w:hint="eastAsia"/>
        </w:rPr>
        <w:t>若进口产品需从中华人民共和国境外提供的，货物的最终用户须为招标人，投标人应委托招标人指定机构或者经招标人同意后自行委托具有进出口代理权的机构办理相关进口事宜，并承担因此产生的所有费用。</w:t>
      </w:r>
    </w:p>
    <w:p w14:paraId="0D3128AE">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64" w:name="_Toc310919806"/>
      <w:bookmarkStart w:id="65" w:name="_Toc2125042963"/>
      <w:r>
        <w:rPr>
          <w:rFonts w:hint="eastAsia"/>
        </w:rPr>
        <w:t>对供应商的限制</w:t>
      </w:r>
      <w:bookmarkEnd w:id="64"/>
      <w:bookmarkEnd w:id="65"/>
    </w:p>
    <w:p w14:paraId="6E180D89">
      <w:pPr>
        <w:pStyle w:val="39"/>
        <w:ind w:firstLine="480"/>
      </w:pPr>
      <w:r>
        <w:rPr>
          <w:rFonts w:hint="eastAsia"/>
        </w:rPr>
        <w:t>违反以下规定</w:t>
      </w:r>
      <w:r>
        <w:rPr>
          <w:rFonts w:hint="eastAsia"/>
          <w:lang w:eastAsia="zh-CN"/>
        </w:rPr>
        <w:t>之一</w:t>
      </w:r>
      <w:r>
        <w:rPr>
          <w:rFonts w:hint="eastAsia"/>
        </w:rPr>
        <w:t>的，相关</w:t>
      </w:r>
      <w:r>
        <w:rPr>
          <w:rFonts w:hint="eastAsia"/>
          <w:lang w:eastAsia="zh-CN"/>
        </w:rPr>
        <w:t>当事人</w:t>
      </w:r>
      <w:r>
        <w:rPr>
          <w:rFonts w:hint="eastAsia"/>
        </w:rPr>
        <w:t>的投标均无效：</w:t>
      </w:r>
    </w:p>
    <w:p w14:paraId="56BC7154">
      <w:pPr>
        <w:pStyle w:val="47"/>
        <w:numPr>
          <w:ilvl w:val="0"/>
          <w:numId w:val="16"/>
        </w:numPr>
        <w:bidi w:val="0"/>
      </w:pPr>
      <w:r>
        <w:rPr>
          <w:rFonts w:hint="eastAsia"/>
        </w:rPr>
        <w:t>单位负责人（指法定代表人或者法律、行政法规规定代表单位行使职权的主要负责人）为同一人或者存在直接控股、管理关系的不同投标人不得分别参加同一合同项下的采购活动。</w:t>
      </w:r>
    </w:p>
    <w:p w14:paraId="539E05CD">
      <w:pPr>
        <w:pStyle w:val="47"/>
        <w:numPr>
          <w:ilvl w:val="0"/>
          <w:numId w:val="16"/>
        </w:numPr>
        <w:bidi w:val="0"/>
      </w:pPr>
      <w:r>
        <w:rPr>
          <w:rFonts w:hint="eastAsia"/>
        </w:rPr>
        <w:t>为本项目提供过整体设计、规范编制或者项目管理、监理、检测等服务的供应商，不得再参加该采购项目的其他采购活动（不包括为该项目提供整体设计、规范编制或者项目管理、监理、检测等服务）；</w:t>
      </w:r>
    </w:p>
    <w:p w14:paraId="287086F7">
      <w:pPr>
        <w:pStyle w:val="47"/>
        <w:numPr>
          <w:ilvl w:val="0"/>
          <w:numId w:val="16"/>
        </w:numPr>
        <w:bidi w:val="0"/>
      </w:pPr>
      <w:r>
        <w:rPr>
          <w:rFonts w:hint="eastAsia"/>
        </w:rPr>
        <w:t>以联合体形式参加政府采购活动的，联合体各方不得再单独参加或者与其他供应商另外组成联合体参加同一合同项下的政府采购活动；</w:t>
      </w:r>
    </w:p>
    <w:p w14:paraId="1D2B97FA">
      <w:pPr>
        <w:pStyle w:val="47"/>
        <w:numPr>
          <w:ilvl w:val="0"/>
          <w:numId w:val="16"/>
        </w:numPr>
        <w:bidi w:val="0"/>
      </w:pPr>
      <w:r>
        <w:rPr>
          <w:rFonts w:hint="eastAsia"/>
        </w:rPr>
        <w:t>公益一类事业单位、使用事业编制且由财政拨款保障的群团组织不作为政府购买服务</w:t>
      </w:r>
      <w:r>
        <w:rPr>
          <w:rFonts w:hint="eastAsia"/>
          <w:lang w:val="en-US" w:eastAsia="zh-CN"/>
        </w:rPr>
        <w:t>的</w:t>
      </w:r>
      <w:r>
        <w:rPr>
          <w:rFonts w:hint="eastAsia"/>
        </w:rPr>
        <w:t>承接主体‌。</w:t>
      </w:r>
    </w:p>
    <w:p w14:paraId="10E172BF">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66" w:name="_Toc801466291"/>
      <w:bookmarkStart w:id="67" w:name="_Toc796545884"/>
      <w:r>
        <w:rPr>
          <w:rFonts w:hint="eastAsia"/>
        </w:rPr>
        <w:t>询问、质疑与投诉</w:t>
      </w:r>
      <w:bookmarkEnd w:id="66"/>
      <w:bookmarkEnd w:id="67"/>
    </w:p>
    <w:p w14:paraId="480D433D">
      <w:pPr>
        <w:pStyle w:val="39"/>
        <w:ind w:firstLine="480"/>
        <w:rPr>
          <w:lang w:eastAsia="zh-CN"/>
        </w:rPr>
      </w:pPr>
      <w:r>
        <w:rPr>
          <w:rFonts w:hint="eastAsia"/>
          <w:lang w:eastAsia="zh-CN"/>
        </w:rPr>
        <w:t>询问、</w:t>
      </w:r>
      <w:r>
        <w:t>质疑</w:t>
      </w:r>
      <w:r>
        <w:rPr>
          <w:rFonts w:hint="eastAsia"/>
          <w:lang w:eastAsia="zh-CN"/>
        </w:rPr>
        <w:t>与</w:t>
      </w:r>
      <w:r>
        <w:t>投诉应当采用书面形式</w:t>
      </w:r>
      <w:r>
        <w:rPr>
          <w:rFonts w:hint="eastAsia"/>
          <w:lang w:eastAsia="zh-CN"/>
        </w:rPr>
        <w:t>。</w:t>
      </w:r>
      <w:r>
        <w:t>供应商为自然人的，应当由本人签字并附上身份证明；供应商为法人或者其他组织的，应当由法定代表人或者其授权代表签字或者盖章，并加盖公章。以联合体形式参加政府采购活动的，其</w:t>
      </w:r>
      <w:r>
        <w:rPr>
          <w:rFonts w:hint="eastAsia"/>
          <w:lang w:eastAsia="zh-CN"/>
        </w:rPr>
        <w:t>质疑、</w:t>
      </w:r>
      <w:r>
        <w:t>投诉应当由组成联合体的所有供应商共同提出</w:t>
      </w:r>
      <w:r>
        <w:rPr>
          <w:rFonts w:hint="eastAsia"/>
          <w:lang w:eastAsia="zh-CN"/>
        </w:rPr>
        <w:t>。</w:t>
      </w:r>
    </w:p>
    <w:p w14:paraId="2493FC21">
      <w:pPr>
        <w:pStyle w:val="38"/>
        <w:keepNext w:val="0"/>
        <w:keepLines w:val="0"/>
        <w:pageBreakBefore w:val="0"/>
        <w:widowControl w:val="0"/>
        <w:kinsoku/>
        <w:wordWrap/>
        <w:overflowPunct/>
        <w:topLinePunct w:val="0"/>
        <w:autoSpaceDE/>
        <w:autoSpaceDN/>
        <w:bidi w:val="0"/>
        <w:adjustRightInd w:val="0"/>
        <w:snapToGrid/>
        <w:ind w:left="0" w:firstLine="482" w:firstLineChars="200"/>
        <w:textAlignment w:val="auto"/>
      </w:pPr>
      <w:bookmarkStart w:id="68" w:name="_Toc133616990"/>
      <w:r>
        <w:rPr>
          <w:rFonts w:hint="eastAsia"/>
        </w:rPr>
        <w:t>询问</w:t>
      </w:r>
      <w:bookmarkEnd w:id="68"/>
    </w:p>
    <w:p w14:paraId="6BA4802E">
      <w:pPr>
        <w:pStyle w:val="47"/>
        <w:numPr>
          <w:ilvl w:val="0"/>
          <w:numId w:val="17"/>
        </w:numPr>
        <w:bidi w:val="0"/>
      </w:pPr>
      <w:r>
        <w:t>在采购活动中供应商可以就某一事项向采购组织机构发出“询问”，采购组织机构将在收到供应商“询问”后三个工作日内予以答复，但规定不予答复的内容除外。</w:t>
      </w:r>
    </w:p>
    <w:p w14:paraId="46D683EA">
      <w:pPr>
        <w:pStyle w:val="47"/>
        <w:numPr>
          <w:ilvl w:val="0"/>
          <w:numId w:val="17"/>
        </w:numPr>
        <w:bidi w:val="0"/>
      </w:pPr>
      <w:r>
        <w:t>供应商提出的询问超出招标人对采购代理机构委托授权范围的，采购代理机构应当告知供应商向招标人提出。</w:t>
      </w:r>
    </w:p>
    <w:p w14:paraId="1F5B4CC0">
      <w:pPr>
        <w:pStyle w:val="47"/>
        <w:numPr>
          <w:ilvl w:val="0"/>
          <w:numId w:val="17"/>
        </w:numPr>
        <w:bidi w:val="0"/>
      </w:pPr>
      <w:r>
        <w:t>在线询问路径为：政采云平台-项目采购-询问质疑投诉-询问列表。</w:t>
      </w:r>
    </w:p>
    <w:p w14:paraId="6B2E1D3E">
      <w:pPr>
        <w:pStyle w:val="38"/>
        <w:keepNext w:val="0"/>
        <w:keepLines w:val="0"/>
        <w:pageBreakBefore w:val="0"/>
        <w:widowControl w:val="0"/>
        <w:kinsoku/>
        <w:wordWrap/>
        <w:overflowPunct/>
        <w:topLinePunct w:val="0"/>
        <w:autoSpaceDE/>
        <w:autoSpaceDN/>
        <w:bidi w:val="0"/>
        <w:adjustRightInd w:val="0"/>
        <w:snapToGrid/>
        <w:ind w:left="0" w:firstLine="482" w:firstLineChars="200"/>
        <w:textAlignment w:val="auto"/>
      </w:pPr>
      <w:bookmarkStart w:id="69" w:name="_Toc1580339815"/>
      <w:r>
        <w:rPr>
          <w:rFonts w:hint="eastAsia"/>
        </w:rPr>
        <w:t>质疑</w:t>
      </w:r>
      <w:bookmarkEnd w:id="69"/>
    </w:p>
    <w:p w14:paraId="4AF2E9D5">
      <w:pPr>
        <w:pStyle w:val="47"/>
        <w:numPr>
          <w:ilvl w:val="0"/>
          <w:numId w:val="18"/>
        </w:numPr>
        <w:bidi w:val="0"/>
      </w:pPr>
      <w:r>
        <w:t>提出质疑的供应商应当是参与所质疑项目采购活动的供应商，即已</w:t>
      </w:r>
      <w:r>
        <w:rPr>
          <w:rFonts w:hint="eastAsia"/>
          <w:lang w:val="en-US" w:eastAsia="zh-Hans"/>
        </w:rPr>
        <w:t>按</w:t>
      </w:r>
      <w:r>
        <w:t>“招标公告”要求依法获取其可质疑的招标文件的供应商。</w:t>
      </w:r>
    </w:p>
    <w:p w14:paraId="6BF448D2">
      <w:pPr>
        <w:pStyle w:val="47"/>
        <w:numPr>
          <w:ilvl w:val="0"/>
          <w:numId w:val="18"/>
        </w:numPr>
        <w:bidi w:val="0"/>
      </w:pPr>
      <w:r>
        <w:t>供应商认为招标文件、招标过程和招标结果使自己的合法权益受到损害的，应当在知道或者应知其权益受到损害之日起七个工作日内，以书面形式一次性向招标人、招标组织机构提出质疑，否则招标人、招标组织组织机构可不予受理。</w:t>
      </w:r>
    </w:p>
    <w:p w14:paraId="3ECA4241">
      <w:pPr>
        <w:pStyle w:val="39"/>
        <w:ind w:firstLine="480"/>
        <w:rPr>
          <w:u w:val="single"/>
          <w:lang w:eastAsia="zh-CN"/>
        </w:rPr>
      </w:pPr>
      <w:r>
        <w:rPr>
          <w:rFonts w:hint="eastAsia"/>
          <w:u w:val="single"/>
          <w:lang w:eastAsia="zh-CN"/>
        </w:rPr>
        <w:t>上述“</w:t>
      </w:r>
      <w:r>
        <w:rPr>
          <w:rFonts w:hint="eastAsia"/>
          <w:u w:val="single"/>
        </w:rPr>
        <w:t>应当在知道或者应知其权益受到损害之日</w:t>
      </w:r>
      <w:r>
        <w:rPr>
          <w:rFonts w:hint="eastAsia"/>
          <w:u w:val="single"/>
          <w:lang w:eastAsia="zh-CN"/>
        </w:rPr>
        <w:t>”是指：</w:t>
      </w:r>
    </w:p>
    <w:p w14:paraId="34E7A5B1">
      <w:pPr>
        <w:pStyle w:val="49"/>
        <w:ind w:firstLine="480"/>
      </w:pPr>
      <w:r>
        <w:t>对</w:t>
      </w:r>
      <w:r>
        <w:rPr>
          <w:rFonts w:hint="eastAsia"/>
        </w:rPr>
        <w:t>招标</w:t>
      </w:r>
      <w:r>
        <w:t>文件提出质疑的，为获取</w:t>
      </w:r>
      <w:r>
        <w:rPr>
          <w:rFonts w:hint="eastAsia"/>
        </w:rPr>
        <w:t>招标</w:t>
      </w:r>
      <w:r>
        <w:t>文件之日或者</w:t>
      </w:r>
      <w:r>
        <w:rPr>
          <w:rFonts w:hint="eastAsia"/>
        </w:rPr>
        <w:t>招标</w:t>
      </w:r>
      <w:r>
        <w:t>文件公告期限届满之日（</w:t>
      </w:r>
      <w:r>
        <w:rPr>
          <w:rFonts w:hint="eastAsia"/>
        </w:rPr>
        <w:t>招标</w:t>
      </w:r>
      <w:r>
        <w:t>文件公告期限届满后获取</w:t>
      </w:r>
      <w:r>
        <w:rPr>
          <w:rFonts w:hint="eastAsia"/>
        </w:rPr>
        <w:t>招标</w:t>
      </w:r>
      <w:r>
        <w:t>文件的，以</w:t>
      </w:r>
      <w:r>
        <w:rPr>
          <w:rFonts w:hint="eastAsia"/>
        </w:rPr>
        <w:t>招标</w:t>
      </w:r>
      <w:r>
        <w:t>文件公告期限届满之日为准）；</w:t>
      </w:r>
    </w:p>
    <w:p w14:paraId="3E439026">
      <w:pPr>
        <w:pStyle w:val="49"/>
        <w:ind w:firstLine="480"/>
      </w:pPr>
      <w:r>
        <w:t>对</w:t>
      </w:r>
      <w:r>
        <w:rPr>
          <w:rFonts w:hint="eastAsia"/>
        </w:rPr>
        <w:t>招标</w:t>
      </w:r>
      <w:r>
        <w:t>过程提出质疑的，为各</w:t>
      </w:r>
      <w:r>
        <w:rPr>
          <w:rFonts w:hint="eastAsia"/>
        </w:rPr>
        <w:t>招标</w:t>
      </w:r>
      <w:r>
        <w:t>程序环节结束之日；</w:t>
      </w:r>
    </w:p>
    <w:p w14:paraId="7531C2CE">
      <w:pPr>
        <w:pStyle w:val="49"/>
        <w:ind w:firstLine="480"/>
      </w:pPr>
      <w:r>
        <w:t>对中标或者成交结果提出质疑的，为中标或者成交结果公告期限届满之日。</w:t>
      </w:r>
    </w:p>
    <w:p w14:paraId="144FBC12">
      <w:pPr>
        <w:pStyle w:val="47"/>
        <w:bidi w:val="0"/>
      </w:pPr>
      <w:r>
        <w:t>供应商提出质疑应当提交质疑函和必要的证明材料。质疑函应当包括下列内容：</w:t>
      </w:r>
    </w:p>
    <w:p w14:paraId="5207DD88">
      <w:pPr>
        <w:pStyle w:val="48"/>
        <w:numPr>
          <w:ilvl w:val="0"/>
          <w:numId w:val="19"/>
        </w:numPr>
        <w:bidi w:val="0"/>
      </w:pPr>
      <w:r>
        <w:t>供应商的姓名或者名称、地址、邮编、联系人及联系电话；</w:t>
      </w:r>
    </w:p>
    <w:p w14:paraId="3ED8B022">
      <w:pPr>
        <w:pStyle w:val="48"/>
        <w:numPr>
          <w:ilvl w:val="0"/>
          <w:numId w:val="19"/>
        </w:numPr>
        <w:bidi w:val="0"/>
      </w:pPr>
      <w:r>
        <w:t>质疑项目的名称、编号；</w:t>
      </w:r>
    </w:p>
    <w:p w14:paraId="70C8DCAD">
      <w:pPr>
        <w:pStyle w:val="48"/>
        <w:numPr>
          <w:ilvl w:val="0"/>
          <w:numId w:val="19"/>
        </w:numPr>
        <w:bidi w:val="0"/>
      </w:pPr>
      <w:r>
        <w:t>具体、明确的质疑事项和与质疑事项相关的请求；</w:t>
      </w:r>
    </w:p>
    <w:p w14:paraId="1548B6CF">
      <w:pPr>
        <w:pStyle w:val="48"/>
        <w:numPr>
          <w:ilvl w:val="0"/>
          <w:numId w:val="19"/>
        </w:numPr>
        <w:bidi w:val="0"/>
      </w:pPr>
      <w:r>
        <w:t>事实依据；</w:t>
      </w:r>
    </w:p>
    <w:p w14:paraId="6F675D94">
      <w:pPr>
        <w:pStyle w:val="48"/>
        <w:numPr>
          <w:ilvl w:val="0"/>
          <w:numId w:val="19"/>
        </w:numPr>
        <w:bidi w:val="0"/>
      </w:pPr>
      <w:r>
        <w:t>必要的法律依据；</w:t>
      </w:r>
    </w:p>
    <w:p w14:paraId="6C37D373">
      <w:pPr>
        <w:pStyle w:val="48"/>
        <w:numPr>
          <w:ilvl w:val="0"/>
          <w:numId w:val="19"/>
        </w:numPr>
        <w:bidi w:val="0"/>
      </w:pPr>
      <w:r>
        <w:t>提出质疑的日期。</w:t>
      </w:r>
    </w:p>
    <w:p w14:paraId="4B4F3605">
      <w:pPr>
        <w:pStyle w:val="47"/>
        <w:bidi w:val="0"/>
      </w:pPr>
      <w:r>
        <w:t>对同一招标程序环节的质疑，供应商须在法定质疑期内一次性提出。</w:t>
      </w:r>
    </w:p>
    <w:p w14:paraId="7B91F5C5">
      <w:pPr>
        <w:pStyle w:val="47"/>
        <w:bidi w:val="0"/>
      </w:pPr>
      <w:r>
        <w:t>招标或者招标组织机构将在收到供应商的书面质疑后七个工作日内作出答复，并以书面形式通知质疑供应商和其他与质疑处理结果有利害关系的政府采购当事人，但答复的内容涉及商业秘密的除外。</w:t>
      </w:r>
    </w:p>
    <w:p w14:paraId="7964F9E7">
      <w:pPr>
        <w:pStyle w:val="47"/>
        <w:bidi w:val="0"/>
      </w:pPr>
      <w:r>
        <w:t>在线质疑路径为：政采云品台-项目采购-询问质疑投诉-质疑列表。</w:t>
      </w:r>
    </w:p>
    <w:p w14:paraId="37563C10">
      <w:pPr>
        <w:pStyle w:val="38"/>
        <w:keepNext w:val="0"/>
        <w:keepLines w:val="0"/>
        <w:pageBreakBefore w:val="0"/>
        <w:widowControl w:val="0"/>
        <w:kinsoku/>
        <w:wordWrap/>
        <w:overflowPunct/>
        <w:topLinePunct w:val="0"/>
        <w:autoSpaceDE/>
        <w:autoSpaceDN/>
        <w:bidi w:val="0"/>
        <w:adjustRightInd w:val="0"/>
        <w:snapToGrid/>
        <w:ind w:left="0" w:firstLine="482" w:firstLineChars="200"/>
        <w:textAlignment w:val="auto"/>
      </w:pPr>
      <w:bookmarkStart w:id="70" w:name="_Toc693524609"/>
      <w:r>
        <w:t>投诉</w:t>
      </w:r>
      <w:bookmarkEnd w:id="70"/>
    </w:p>
    <w:p w14:paraId="00CF6EF1">
      <w:pPr>
        <w:pStyle w:val="47"/>
        <w:numPr>
          <w:ilvl w:val="0"/>
          <w:numId w:val="20"/>
        </w:numPr>
        <w:bidi w:val="0"/>
      </w:pPr>
      <w:r>
        <w:t>供应商对招标人、招标组织机构的质疑答复不满意或者招标人、招标组织组织机构未在规定时间内作出答复的，可以在答复期满后十五个工作日内向同级采购监管部门投诉。</w:t>
      </w:r>
    </w:p>
    <w:p w14:paraId="746D104A">
      <w:pPr>
        <w:pStyle w:val="47"/>
        <w:numPr>
          <w:ilvl w:val="0"/>
          <w:numId w:val="20"/>
        </w:numPr>
        <w:bidi w:val="0"/>
      </w:pPr>
      <w:r>
        <w:t>供应商投诉的事项不得超出已质疑事项的范围，基于质疑答复内容提出的投诉事项除外。</w:t>
      </w:r>
    </w:p>
    <w:p w14:paraId="58EDA792">
      <w:pPr>
        <w:pStyle w:val="47"/>
        <w:numPr>
          <w:ilvl w:val="0"/>
          <w:numId w:val="20"/>
        </w:numPr>
        <w:bidi w:val="0"/>
      </w:pPr>
      <w:r>
        <w:t>供应商投诉应当有明确的请求和必要的证明材料。</w:t>
      </w:r>
    </w:p>
    <w:p w14:paraId="6EE0B125">
      <w:pPr>
        <w:pStyle w:val="47"/>
        <w:numPr>
          <w:ilvl w:val="0"/>
          <w:numId w:val="20"/>
        </w:numPr>
        <w:bidi w:val="0"/>
      </w:pPr>
      <w:r>
        <w:t>在线投诉路径为：浙江政府服务网-</w:t>
      </w:r>
      <w:r>
        <w:rPr>
          <w:rFonts w:hint="eastAsia"/>
          <w:lang w:val="en-US" w:eastAsia="zh-Hans"/>
        </w:rPr>
        <w:t>咨询建言举报</w:t>
      </w:r>
      <w:r>
        <w:rPr>
          <w:rFonts w:hint="default"/>
          <w:lang w:eastAsia="zh-Hans"/>
        </w:rPr>
        <w:t>/</w:t>
      </w:r>
      <w:r>
        <w:rPr>
          <w:rFonts w:hint="eastAsia"/>
          <w:lang w:val="en-US" w:eastAsia="zh-Hans"/>
        </w:rPr>
        <w:t>投诉</w:t>
      </w:r>
      <w:r>
        <w:rPr>
          <w:rFonts w:hint="default"/>
          <w:lang w:eastAsia="zh-Hans"/>
        </w:rPr>
        <w:t>-</w:t>
      </w:r>
      <w:r>
        <w:t>政府采购投诉-在线办理。</w:t>
      </w:r>
    </w:p>
    <w:p w14:paraId="5BA69112">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71" w:name="_Toc1674351194"/>
      <w:bookmarkStart w:id="72" w:name="_Toc1226518853"/>
      <w:r>
        <w:rPr>
          <w:rFonts w:hint="eastAsia"/>
        </w:rPr>
        <w:t>其他注意事项</w:t>
      </w:r>
      <w:bookmarkEnd w:id="71"/>
      <w:bookmarkEnd w:id="72"/>
    </w:p>
    <w:p w14:paraId="2A890FB5">
      <w:pPr>
        <w:pStyle w:val="47"/>
        <w:numPr>
          <w:ilvl w:val="0"/>
          <w:numId w:val="21"/>
        </w:numPr>
        <w:bidi w:val="0"/>
      </w:pPr>
      <w: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6C557818">
      <w:pPr>
        <w:pStyle w:val="47"/>
        <w:numPr>
          <w:ilvl w:val="0"/>
          <w:numId w:val="21"/>
        </w:numPr>
        <w:bidi w:val="0"/>
      </w:pPr>
      <w:r>
        <w:t>不论招标人、招标代理机构向供应商发送的资料文件，还是供应商提出的问题，均以书面形式为准。</w:t>
      </w:r>
    </w:p>
    <w:p w14:paraId="3C25C505">
      <w:pPr>
        <w:pStyle w:val="47"/>
        <w:numPr>
          <w:ilvl w:val="0"/>
          <w:numId w:val="21"/>
        </w:numPr>
        <w:bidi w:val="0"/>
      </w:pPr>
      <w:r>
        <w:t>投标人应保证</w:t>
      </w:r>
      <w:r>
        <w:rPr>
          <w:rFonts w:hint="eastAsia"/>
          <w:lang w:val="en-US" w:eastAsia="zh-Hans"/>
        </w:rPr>
        <w:t>服务过程中</w:t>
      </w:r>
      <w:r>
        <w:t>免受第三方提出的侵犯其专利权、商标权、著作权或其他知识产权的起诉。投标人应承担由此可能产生的一切法律责任和费用。</w:t>
      </w:r>
    </w:p>
    <w:p w14:paraId="2CBA2671">
      <w:pPr>
        <w:pStyle w:val="47"/>
        <w:numPr>
          <w:ilvl w:val="0"/>
          <w:numId w:val="21"/>
        </w:numPr>
        <w:bidi w:val="0"/>
      </w:pPr>
      <w:r>
        <w:t>为证明投标人拥有的业绩、荣誉、知识产权、项目案例等而在投标文件中提供的证明材料必须为投标人自身所有。不同法人、其他组织的资料与投标人无关。</w:t>
      </w:r>
    </w:p>
    <w:p w14:paraId="10F99CED">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73" w:name="_Toc194807270"/>
      <w:bookmarkStart w:id="74" w:name="_Toc406834818"/>
      <w:r>
        <w:rPr>
          <w:rFonts w:hint="eastAsia"/>
        </w:rPr>
        <w:t>保密</w:t>
      </w:r>
      <w:bookmarkEnd w:id="73"/>
      <w:bookmarkEnd w:id="74"/>
    </w:p>
    <w:p w14:paraId="2C568FE5">
      <w:pPr>
        <w:pStyle w:val="39"/>
        <w:ind w:firstLine="480"/>
      </w:pPr>
      <w:r>
        <w:rPr>
          <w:rFonts w:hint="eastAsia"/>
        </w:rPr>
        <w:t>参与招标投标活动的各方应对招标文件和投标文件中的商业和技术等秘密保密，违者应对此造成的后果承担法律责任。</w:t>
      </w:r>
    </w:p>
    <w:p w14:paraId="1787F28E">
      <w:pPr>
        <w:pStyle w:val="39"/>
        <w:ind w:firstLine="480"/>
      </w:pPr>
      <w:r>
        <w:rPr>
          <w:rFonts w:hint="eastAsia"/>
        </w:rPr>
        <w:t>在</w:t>
      </w:r>
      <w:r>
        <w:rPr>
          <w:rFonts w:hint="eastAsia"/>
          <w:lang w:eastAsia="zh-CN"/>
        </w:rPr>
        <w:t>招标</w:t>
      </w:r>
      <w:r>
        <w:rPr>
          <w:rFonts w:hint="eastAsia"/>
        </w:rPr>
        <w:t>人或</w:t>
      </w:r>
      <w:r>
        <w:rPr>
          <w:rFonts w:hint="eastAsia"/>
          <w:lang w:eastAsia="zh-CN"/>
        </w:rPr>
        <w:t>招标</w:t>
      </w:r>
      <w:r>
        <w:rPr>
          <w:rFonts w:hint="eastAsia"/>
        </w:rPr>
        <w:t>代理机构认为适当时</w:t>
      </w:r>
      <w:r>
        <w:rPr>
          <w:rFonts w:hint="eastAsia"/>
          <w:lang w:eastAsia="zh-CN"/>
        </w:rPr>
        <w:t>或</w:t>
      </w:r>
      <w:r>
        <w:rPr>
          <w:rFonts w:hint="eastAsia"/>
        </w:rPr>
        <w:t>国家机关调查、审查、审计时以及其他符合法律规定的情形下，</w:t>
      </w:r>
      <w:r>
        <w:rPr>
          <w:rFonts w:hint="eastAsia"/>
          <w:lang w:eastAsia="zh-CN"/>
        </w:rPr>
        <w:t>招标</w:t>
      </w:r>
      <w:r>
        <w:rPr>
          <w:rFonts w:hint="eastAsia"/>
        </w:rPr>
        <w:t>人或</w:t>
      </w:r>
      <w:r>
        <w:rPr>
          <w:rFonts w:hint="eastAsia"/>
          <w:lang w:eastAsia="zh-CN"/>
        </w:rPr>
        <w:t>招标</w:t>
      </w:r>
      <w:r>
        <w:rPr>
          <w:rFonts w:hint="eastAsia"/>
        </w:rPr>
        <w:t>代理机构无须事先征求</w:t>
      </w:r>
      <w:r>
        <w:rPr>
          <w:rFonts w:hint="eastAsia"/>
          <w:lang w:eastAsia="zh-CN"/>
        </w:rPr>
        <w:t>投标人</w:t>
      </w:r>
      <w:r>
        <w:rPr>
          <w:rFonts w:hint="eastAsia"/>
        </w:rPr>
        <w:t>同意而可以在合理的必要范围内披露关于采购过程、合同文本、签署情况的资料、供应商的名称及地址、响应文件的有关信息以及补充条款等。对任何已经公布过的内容或与之内容相同的资料，以及</w:t>
      </w:r>
      <w:r>
        <w:rPr>
          <w:rFonts w:hint="eastAsia"/>
          <w:lang w:eastAsia="zh-CN"/>
        </w:rPr>
        <w:t>投标人</w:t>
      </w:r>
      <w:r>
        <w:rPr>
          <w:rFonts w:hint="eastAsia"/>
        </w:rPr>
        <w:t>已经泄露或公开的，无须再承担保密责任。</w:t>
      </w:r>
    </w:p>
    <w:p w14:paraId="64DEB94B">
      <w:pPr>
        <w:pStyle w:val="39"/>
        <w:ind w:firstLine="480"/>
      </w:pPr>
      <w:r>
        <w:rPr>
          <w:rFonts w:hint="eastAsia"/>
        </w:rPr>
        <w:t xml:space="preserve"> </w:t>
      </w:r>
    </w:p>
    <w:p w14:paraId="168D9D65">
      <w:pPr>
        <w:pStyle w:val="41"/>
      </w:pPr>
      <w:bookmarkStart w:id="75" w:name="_Toc233618973"/>
      <w:bookmarkEnd w:id="75"/>
      <w:bookmarkStart w:id="76" w:name="_Toc1360708862"/>
      <w:bookmarkStart w:id="77" w:name="_Toc84854078"/>
      <w:bookmarkStart w:id="78" w:name="_Toc464483846"/>
      <w:r>
        <w:rPr>
          <w:rFonts w:hint="eastAsia"/>
        </w:rPr>
        <w:t>招标文件</w:t>
      </w:r>
      <w:bookmarkEnd w:id="76"/>
      <w:bookmarkEnd w:id="77"/>
      <w:bookmarkEnd w:id="78"/>
    </w:p>
    <w:p w14:paraId="71B98B89">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79" w:name="_Toc91899880"/>
      <w:bookmarkEnd w:id="79"/>
      <w:bookmarkStart w:id="80" w:name="_Hlt74730307"/>
      <w:bookmarkStart w:id="81" w:name="_Toc880486731"/>
      <w:bookmarkStart w:id="82" w:name="_Toc213347338"/>
      <w:r>
        <w:rPr>
          <w:rFonts w:hint="eastAsia"/>
        </w:rPr>
        <w:t>招标文件的</w:t>
      </w:r>
      <w:bookmarkEnd w:id="80"/>
      <w:r>
        <w:rPr>
          <w:rFonts w:hint="eastAsia"/>
        </w:rPr>
        <w:t>组成</w:t>
      </w:r>
      <w:bookmarkEnd w:id="81"/>
      <w:bookmarkEnd w:id="82"/>
    </w:p>
    <w:p w14:paraId="01EAB752">
      <w:pPr>
        <w:pStyle w:val="39"/>
        <w:ind w:firstLine="480"/>
        <w:rPr>
          <w:lang w:eastAsia="zh-CN"/>
        </w:rPr>
      </w:pPr>
      <w:r>
        <w:rPr>
          <w:rFonts w:hint="eastAsia"/>
        </w:rPr>
        <w:t>招标文件包括</w:t>
      </w:r>
      <w:r>
        <w:rPr>
          <w:rFonts w:hint="eastAsia"/>
          <w:lang w:eastAsia="zh-CN"/>
        </w:rPr>
        <w:t>指本文件、补充文件（</w:t>
      </w:r>
      <w:r>
        <w:rPr>
          <w:rFonts w:hint="eastAsia"/>
        </w:rPr>
        <w:t>如果有，包括相关的补充、更正、澄清公告和文件</w:t>
      </w:r>
      <w:r>
        <w:rPr>
          <w:rFonts w:hint="eastAsia"/>
          <w:lang w:eastAsia="zh-CN"/>
        </w:rPr>
        <w:t>）以及其他附件</w:t>
      </w:r>
      <w:r>
        <w:rPr>
          <w:rFonts w:hint="eastAsia"/>
        </w:rPr>
        <w:t>（如果有，如图纸等）</w:t>
      </w:r>
      <w:r>
        <w:rPr>
          <w:rFonts w:hint="eastAsia"/>
          <w:lang w:eastAsia="zh-CN"/>
        </w:rPr>
        <w:t>。</w:t>
      </w:r>
    </w:p>
    <w:p w14:paraId="1704B662">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83" w:name="_Toc30676440"/>
      <w:bookmarkStart w:id="84" w:name="_Toc1578502923"/>
      <w:r>
        <w:rPr>
          <w:rFonts w:hint="eastAsia"/>
        </w:rPr>
        <w:t>招标文件的解释</w:t>
      </w:r>
      <w:bookmarkEnd w:id="83"/>
      <w:bookmarkEnd w:id="84"/>
    </w:p>
    <w:p w14:paraId="4759238A">
      <w:pPr>
        <w:pStyle w:val="47"/>
        <w:numPr>
          <w:ilvl w:val="0"/>
          <w:numId w:val="22"/>
        </w:numPr>
        <w:bidi w:val="0"/>
        <w:rPr>
          <w:color w:val="auto"/>
        </w:rPr>
      </w:pPr>
      <w:r>
        <w:rPr>
          <w:rFonts w:hint="eastAsia"/>
          <w:color w:val="auto"/>
        </w:rPr>
        <w:t>构成本招标文件的各个组成文件应互为解释，互为说明；如有不明确或不一致，除招标文件中另有特别规定外，仅适用于招标投标阶段的规定，按招标公告（投标邀请）、投标人须知前附表、投标人须知、货物技术规格参数与要求、评标办法、合同条款、投标文件格式的先后顺序解释；同一组成文件中就同一事项规定或约定不一致的，以编排顺序在后者为准；同一组成文件不同版本之间有不一致的，以形成时间后者为准。</w:t>
      </w:r>
    </w:p>
    <w:p w14:paraId="666BD72C">
      <w:pPr>
        <w:pStyle w:val="47"/>
        <w:numPr>
          <w:ilvl w:val="0"/>
          <w:numId w:val="22"/>
        </w:numPr>
        <w:bidi w:val="0"/>
      </w:pPr>
      <w:r>
        <w:t>供应商一旦参与本次招标活动，即被视为接受了本招标文件的所有内容，如有任何异议，均应在答疑截止时间前提出。</w:t>
      </w:r>
    </w:p>
    <w:p w14:paraId="493D3E15">
      <w:pPr>
        <w:pStyle w:val="47"/>
        <w:numPr>
          <w:ilvl w:val="0"/>
          <w:numId w:val="22"/>
        </w:numPr>
        <w:bidi w:val="0"/>
      </w:pPr>
      <w:r>
        <w:t>招标文件澄清、答复、修改、补充等书面内容均作为招标文件的补充文件，是招标文件的组成部分，将以传真、网上公告、电子邮件等形式书面告知所有购买招标文件的供应商，并对所有投标人均有约束力。当招标文件与补充文件就同一内容的表述不一致时，以最后发出的书面文件为准。</w:t>
      </w:r>
    </w:p>
    <w:p w14:paraId="22FC90C8">
      <w:pPr>
        <w:pStyle w:val="47"/>
        <w:numPr>
          <w:ilvl w:val="0"/>
          <w:numId w:val="22"/>
        </w:numPr>
        <w:bidi w:val="0"/>
      </w:pPr>
      <w:r>
        <w:t>招标文件的解释权归招标人、招标代理机构所有。</w:t>
      </w:r>
    </w:p>
    <w:p w14:paraId="7141647C">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85" w:name="_Toc2033135470"/>
      <w:bookmarkStart w:id="86" w:name="_Toc182851800"/>
      <w:r>
        <w:rPr>
          <w:rFonts w:hint="eastAsia"/>
        </w:rPr>
        <w:t>招标文件的修改</w:t>
      </w:r>
      <w:bookmarkEnd w:id="85"/>
      <w:bookmarkEnd w:id="86"/>
    </w:p>
    <w:p w14:paraId="0462CD7B">
      <w:pPr>
        <w:pStyle w:val="47"/>
        <w:numPr>
          <w:ilvl w:val="0"/>
          <w:numId w:val="23"/>
        </w:numPr>
        <w:bidi w:val="0"/>
      </w:pPr>
      <w:r>
        <w:t>由于各种原因招标人可能在投标截止时间前以澄清、答复、修改、补充文件的形式修改完善招标文件。</w:t>
      </w:r>
    </w:p>
    <w:p w14:paraId="449F6C2E">
      <w:pPr>
        <w:pStyle w:val="47"/>
        <w:numPr>
          <w:ilvl w:val="0"/>
          <w:numId w:val="23"/>
        </w:numPr>
        <w:bidi w:val="0"/>
      </w:pPr>
      <w:r>
        <w:t>澄清、答复、修改、补充文件发出后，除法律法规规定的情形外原则上不改变招标文件规定的投标截止时间及开标时间。供应商如认为澄清、答复、修改、补充文件内容影响投标文件编制，需延长投标截止时间的，必须在收到澄清、答复、修改、补充文件后 24 小时内将意见和理由以书面形式向招标代理机构提出，否则，招标代理机构视供应商完全接受并有足够的时间编制投标文件且按规定时间进行投标。</w:t>
      </w:r>
    </w:p>
    <w:p w14:paraId="543B141C">
      <w:pPr>
        <w:pStyle w:val="47"/>
        <w:numPr>
          <w:ilvl w:val="0"/>
          <w:numId w:val="23"/>
        </w:numPr>
        <w:bidi w:val="0"/>
      </w:pPr>
      <w:r>
        <w:t>供应商在收到澄清、答复、修改、补充文件后，应在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14:paraId="12065347">
      <w:pPr>
        <w:pStyle w:val="39"/>
        <w:ind w:firstLine="480"/>
      </w:pPr>
    </w:p>
    <w:p w14:paraId="6B5F7D30">
      <w:pPr>
        <w:pStyle w:val="41"/>
      </w:pPr>
      <w:bookmarkStart w:id="87" w:name="_Toc464483847"/>
      <w:bookmarkEnd w:id="87"/>
      <w:bookmarkStart w:id="88" w:name="_Toc91899884"/>
      <w:bookmarkEnd w:id="88"/>
      <w:bookmarkStart w:id="89" w:name="_Toc233618974"/>
      <w:bookmarkStart w:id="90" w:name="_Toc148053226"/>
      <w:bookmarkStart w:id="91" w:name="_Toc141103743"/>
      <w:r>
        <w:rPr>
          <w:rFonts w:hint="eastAsia"/>
        </w:rPr>
        <w:t>投标文件</w:t>
      </w:r>
      <w:bookmarkEnd w:id="89"/>
      <w:bookmarkEnd w:id="90"/>
      <w:bookmarkEnd w:id="91"/>
    </w:p>
    <w:p w14:paraId="64686B9E">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92" w:name="_Toc708662313"/>
      <w:bookmarkStart w:id="93" w:name="_Toc1544506156"/>
      <w:r>
        <w:rPr>
          <w:rFonts w:hint="eastAsia"/>
        </w:rPr>
        <w:t>投标文件的组成</w:t>
      </w:r>
      <w:bookmarkEnd w:id="92"/>
      <w:bookmarkEnd w:id="93"/>
    </w:p>
    <w:p w14:paraId="1B9B9BF8">
      <w:pPr>
        <w:pStyle w:val="39"/>
        <w:ind w:firstLine="480"/>
      </w:pPr>
      <w:r>
        <w:rPr>
          <w:rFonts w:hint="eastAsia"/>
          <w:lang w:eastAsia="zh-CN"/>
        </w:rPr>
        <w:t>投标文件包括资格文件、商务技术文件和报价文件，包含但不限于以下内容：</w:t>
      </w:r>
    </w:p>
    <w:p w14:paraId="626AF7CE">
      <w:pPr>
        <w:pStyle w:val="38"/>
        <w:keepNext w:val="0"/>
        <w:keepLines w:val="0"/>
        <w:pageBreakBefore w:val="0"/>
        <w:widowControl w:val="0"/>
        <w:kinsoku/>
        <w:wordWrap/>
        <w:overflowPunct/>
        <w:topLinePunct w:val="0"/>
        <w:autoSpaceDE/>
        <w:autoSpaceDN/>
        <w:bidi w:val="0"/>
        <w:adjustRightInd w:val="0"/>
        <w:snapToGrid/>
        <w:ind w:left="0" w:firstLine="482" w:firstLineChars="200"/>
        <w:textAlignment w:val="auto"/>
        <w:rPr>
          <w:highlight w:val="none"/>
        </w:rPr>
      </w:pPr>
      <w:bookmarkStart w:id="94" w:name="_Toc543188329"/>
      <w:r>
        <w:rPr>
          <w:rFonts w:hint="eastAsia"/>
          <w:highlight w:val="none"/>
        </w:rPr>
        <w:t>资格文件</w:t>
      </w:r>
      <w:bookmarkEnd w:id="94"/>
    </w:p>
    <w:p w14:paraId="7991330B">
      <w:pPr>
        <w:pStyle w:val="47"/>
        <w:numPr>
          <w:ilvl w:val="0"/>
          <w:numId w:val="24"/>
        </w:numPr>
        <w:bidi w:val="0"/>
        <w:rPr>
          <w:highlight w:val="none"/>
        </w:rPr>
      </w:pPr>
      <w:r>
        <w:rPr>
          <w:rFonts w:hint="eastAsia"/>
          <w:highlight w:val="none"/>
        </w:rPr>
        <w:t xml:space="preserve">符合参加政府采购活动应当具备的一般条件的承诺函（见“第六章 投标文件部分格式文本 </w:t>
      </w:r>
      <w:r>
        <w:rPr>
          <w:rFonts w:hint="eastAsia"/>
          <w:highlight w:val="none"/>
          <w:lang w:val="en-US" w:eastAsia="zh-Hans"/>
        </w:rPr>
        <w:t>二</w:t>
      </w:r>
      <w:r>
        <w:rPr>
          <w:rFonts w:hint="eastAsia"/>
          <w:highlight w:val="none"/>
        </w:rPr>
        <w:t>、”）；</w:t>
      </w:r>
    </w:p>
    <w:p w14:paraId="481C9BC9">
      <w:pPr>
        <w:pStyle w:val="47"/>
        <w:numPr>
          <w:ilvl w:val="0"/>
          <w:numId w:val="24"/>
        </w:numPr>
        <w:bidi w:val="0"/>
        <w:rPr>
          <w:highlight w:val="none"/>
        </w:rPr>
      </w:pPr>
      <w:r>
        <w:rPr>
          <w:rFonts w:hint="eastAsia"/>
          <w:highlight w:val="none"/>
        </w:rPr>
        <w:t>营业执照</w:t>
      </w:r>
      <w:r>
        <w:rPr>
          <w:highlight w:val="none"/>
        </w:rPr>
        <w:t>（或事业单位法人证书或执业许可证或自然人有效身份证明）</w:t>
      </w:r>
      <w:r>
        <w:rPr>
          <w:rFonts w:hint="eastAsia"/>
          <w:highlight w:val="none"/>
          <w:lang w:val="en-US" w:eastAsia="zh-Hans"/>
        </w:rPr>
        <w:t>复制件</w:t>
      </w:r>
      <w:r>
        <w:rPr>
          <w:rFonts w:hint="eastAsia"/>
          <w:highlight w:val="none"/>
        </w:rPr>
        <w:t>；</w:t>
      </w:r>
    </w:p>
    <w:p w14:paraId="3AAD35E5">
      <w:pPr>
        <w:pStyle w:val="47"/>
        <w:numPr>
          <w:ilvl w:val="0"/>
          <w:numId w:val="24"/>
        </w:numPr>
        <w:bidi w:val="0"/>
        <w:rPr>
          <w:highlight w:val="none"/>
        </w:rPr>
      </w:pPr>
      <w:r>
        <w:rPr>
          <w:rFonts w:hint="eastAsia"/>
          <w:highlight w:val="none"/>
        </w:rPr>
        <w:t xml:space="preserve">联合协议（见“第六章 投标文件部分格式文本 </w:t>
      </w:r>
      <w:r>
        <w:rPr>
          <w:rFonts w:hint="eastAsia"/>
          <w:highlight w:val="none"/>
          <w:lang w:val="en-US" w:eastAsia="zh-Hans"/>
        </w:rPr>
        <w:t>七</w:t>
      </w:r>
      <w:r>
        <w:rPr>
          <w:rFonts w:hint="eastAsia"/>
          <w:highlight w:val="none"/>
        </w:rPr>
        <w:t>、”，</w:t>
      </w:r>
      <w:r>
        <w:rPr>
          <w:highlight w:val="none"/>
        </w:rPr>
        <w:t>本项目不接受联合体投标或者投标人不以联合体形式投标的，则</w:t>
      </w:r>
      <w:r>
        <w:rPr>
          <w:rFonts w:hint="eastAsia"/>
          <w:highlight w:val="none"/>
        </w:rPr>
        <w:t>本项内容无需</w:t>
      </w:r>
      <w:r>
        <w:rPr>
          <w:highlight w:val="none"/>
        </w:rPr>
        <w:t>提供</w:t>
      </w:r>
      <w:r>
        <w:rPr>
          <w:rFonts w:hint="eastAsia"/>
          <w:highlight w:val="none"/>
        </w:rPr>
        <w:t>）；</w:t>
      </w:r>
    </w:p>
    <w:p w14:paraId="71608309">
      <w:pPr>
        <w:pStyle w:val="47"/>
        <w:numPr>
          <w:ilvl w:val="0"/>
          <w:numId w:val="24"/>
        </w:numPr>
        <w:bidi w:val="0"/>
        <w:rPr>
          <w:highlight w:val="none"/>
        </w:rPr>
      </w:pPr>
      <w:r>
        <w:rPr>
          <w:rFonts w:hint="eastAsia"/>
          <w:highlight w:val="none"/>
        </w:rPr>
        <w:t xml:space="preserve">根据招标公告落实政府采购政策需满足的资格要求选择提供相应的材料（见“第六章 投标文件部分格式文本 </w:t>
      </w:r>
      <w:r>
        <w:rPr>
          <w:rFonts w:hint="eastAsia"/>
          <w:highlight w:val="none"/>
          <w:lang w:val="en-US" w:eastAsia="zh-Hans"/>
        </w:rPr>
        <w:t>七</w:t>
      </w:r>
      <w:r>
        <w:rPr>
          <w:rFonts w:hint="eastAsia"/>
          <w:highlight w:val="none"/>
        </w:rPr>
        <w:t>、</w:t>
      </w:r>
      <w:r>
        <w:rPr>
          <w:rFonts w:hint="eastAsia"/>
          <w:highlight w:val="none"/>
          <w:lang w:val="en-US" w:eastAsia="zh-Hans"/>
        </w:rPr>
        <w:t>八</w:t>
      </w:r>
      <w:r>
        <w:rPr>
          <w:rFonts w:hint="eastAsia"/>
          <w:highlight w:val="none"/>
        </w:rPr>
        <w:t>、十</w:t>
      </w:r>
      <w:r>
        <w:rPr>
          <w:rFonts w:hint="eastAsia"/>
          <w:highlight w:val="none"/>
          <w:lang w:val="en-US" w:eastAsia="zh-Hans"/>
        </w:rPr>
        <w:t>一</w:t>
      </w:r>
      <w:r>
        <w:rPr>
          <w:rFonts w:hint="eastAsia"/>
          <w:highlight w:val="none"/>
        </w:rPr>
        <w:t>、十</w:t>
      </w:r>
      <w:r>
        <w:rPr>
          <w:rFonts w:hint="eastAsia"/>
          <w:highlight w:val="none"/>
          <w:lang w:val="en-US" w:eastAsia="zh-Hans"/>
        </w:rPr>
        <w:t>二</w:t>
      </w:r>
      <w:r>
        <w:rPr>
          <w:rFonts w:hint="eastAsia"/>
          <w:highlight w:val="none"/>
        </w:rPr>
        <w:t>”），其中</w:t>
      </w:r>
    </w:p>
    <w:p w14:paraId="6C071EDF">
      <w:pPr>
        <w:pStyle w:val="49"/>
        <w:ind w:firstLine="480"/>
        <w:rPr>
          <w:highlight w:val="none"/>
        </w:rPr>
      </w:pPr>
      <w:r>
        <w:rPr>
          <w:rFonts w:hint="eastAsia"/>
          <w:highlight w:val="none"/>
        </w:rPr>
        <w:t>项目专门面向中小企业的，</w:t>
      </w:r>
      <w:r>
        <w:rPr>
          <w:rFonts w:hint="eastAsia"/>
          <w:highlight w:val="none"/>
          <w:lang w:val="en-US" w:eastAsia="zh-CN"/>
        </w:rPr>
        <w:t>服务</w:t>
      </w:r>
      <w:r>
        <w:rPr>
          <w:rFonts w:hint="eastAsia"/>
          <w:highlight w:val="none"/>
        </w:rPr>
        <w:t>全部由符合政策要求的中小企业（或小微企业）</w:t>
      </w:r>
      <w:r>
        <w:rPr>
          <w:rFonts w:hint="eastAsia"/>
          <w:highlight w:val="none"/>
          <w:lang w:val="en-US" w:eastAsia="zh-CN"/>
        </w:rPr>
        <w:t>承接</w:t>
      </w:r>
      <w:r>
        <w:rPr>
          <w:rFonts w:hint="eastAsia"/>
          <w:highlight w:val="none"/>
        </w:rPr>
        <w:t xml:space="preserve">的，提供相应的中小企业声明函（或残疾人福利性企业声明函或监狱企业证明文件）； </w:t>
      </w:r>
    </w:p>
    <w:p w14:paraId="535A9D8E">
      <w:pPr>
        <w:pStyle w:val="49"/>
        <w:ind w:firstLine="480"/>
        <w:rPr>
          <w:highlight w:val="none"/>
        </w:rPr>
      </w:pPr>
      <w:r>
        <w:rPr>
          <w:rFonts w:hint="eastAsia"/>
          <w:highlight w:val="none"/>
        </w:rPr>
        <w:t>项目要求以联合体形式参加的，提供联合协议和中小企业声明函（或残疾人福利性企业声明函或监狱企业证明文件），联合协议中中小企业合同金额应当达到招标公告载明的比例；如果供应商本身提供所有标的均由中小企业制造的，视同符合了资格条件，无需再与其他中小企业组成联合体参加政府采购活动，无需提供联合协议；</w:t>
      </w:r>
    </w:p>
    <w:p w14:paraId="7BE4B271">
      <w:pPr>
        <w:pStyle w:val="49"/>
        <w:ind w:firstLine="480"/>
        <w:rPr>
          <w:highlight w:val="none"/>
        </w:rPr>
      </w:pPr>
      <w:r>
        <w:rPr>
          <w:rFonts w:hint="eastAsia"/>
          <w:highlight w:val="none"/>
        </w:rPr>
        <w:t>项目要求合同分包的，提供分包意向协议和中小企业声明函（或残疾人福利性企业声明函或监狱企业证明文件），分包意向协议中中小企业合同金额应当达到招标公告载明的比例；如果供应商本身提供所有标的均由中小企业制造的，视同符合了资格条件，无需再向中小企业分包，无需提供分包意向协议；</w:t>
      </w:r>
    </w:p>
    <w:p w14:paraId="5742F9C8">
      <w:pPr>
        <w:pStyle w:val="49"/>
        <w:ind w:firstLine="480"/>
        <w:rPr>
          <w:rFonts w:ascii="Times New Roman" w:hAnsi="Times New Roman"/>
          <w:sz w:val="21"/>
          <w:highlight w:val="none"/>
        </w:rPr>
      </w:pPr>
      <w:r>
        <w:rPr>
          <w:rFonts w:hint="eastAsia"/>
          <w:highlight w:val="none"/>
        </w:rPr>
        <w:t>项目无落实政府采购政策需满足的资格要求的，则本项内容无需提供。</w:t>
      </w:r>
    </w:p>
    <w:p w14:paraId="09A39F77">
      <w:pPr>
        <w:pStyle w:val="47"/>
        <w:bidi w:val="0"/>
        <w:rPr>
          <w:highlight w:val="none"/>
        </w:rPr>
      </w:pPr>
      <w:r>
        <w:rPr>
          <w:rFonts w:hint="eastAsia"/>
          <w:highlight w:val="none"/>
        </w:rPr>
        <w:t>本项目的特定资格要求</w:t>
      </w:r>
      <w:r>
        <w:rPr>
          <w:rFonts w:hint="eastAsia"/>
          <w:highlight w:val="none"/>
          <w:lang w:eastAsia="zh-Hans"/>
        </w:rPr>
        <w:t>（</w:t>
      </w:r>
      <w:r>
        <w:rPr>
          <w:rFonts w:hint="eastAsia"/>
          <w:highlight w:val="none"/>
        </w:rPr>
        <w:t>根据招标公告本项目的特定资格要求提供相应的证明材料；项目无特定资格要求的，则本项内容无需提供</w:t>
      </w:r>
      <w:r>
        <w:rPr>
          <w:rFonts w:hint="eastAsia"/>
          <w:highlight w:val="none"/>
          <w:lang w:eastAsia="zh-Hans"/>
        </w:rPr>
        <w:t>）</w:t>
      </w:r>
      <w:r>
        <w:rPr>
          <w:rFonts w:hint="eastAsia"/>
          <w:highlight w:val="none"/>
        </w:rPr>
        <w:t>。</w:t>
      </w:r>
    </w:p>
    <w:p w14:paraId="7002FCCE">
      <w:pPr>
        <w:pStyle w:val="38"/>
        <w:keepNext w:val="0"/>
        <w:keepLines w:val="0"/>
        <w:pageBreakBefore w:val="0"/>
        <w:widowControl w:val="0"/>
        <w:kinsoku/>
        <w:wordWrap/>
        <w:overflowPunct/>
        <w:topLinePunct w:val="0"/>
        <w:autoSpaceDE/>
        <w:autoSpaceDN/>
        <w:bidi w:val="0"/>
        <w:adjustRightInd w:val="0"/>
        <w:snapToGrid/>
        <w:ind w:left="0" w:firstLine="482" w:firstLineChars="200"/>
        <w:textAlignment w:val="auto"/>
        <w:rPr>
          <w:highlight w:val="none"/>
        </w:rPr>
      </w:pPr>
      <w:bookmarkStart w:id="95" w:name="_Toc413262106"/>
      <w:r>
        <w:rPr>
          <w:highlight w:val="none"/>
        </w:rPr>
        <w:t>商务技术文件</w:t>
      </w:r>
      <w:bookmarkEnd w:id="95"/>
    </w:p>
    <w:p w14:paraId="1D9AFC0B">
      <w:pPr>
        <w:pStyle w:val="47"/>
        <w:numPr>
          <w:ilvl w:val="0"/>
          <w:numId w:val="25"/>
        </w:numPr>
        <w:ind w:firstLine="480"/>
        <w:rPr>
          <w:highlight w:val="none"/>
        </w:rPr>
      </w:pPr>
      <w:r>
        <w:rPr>
          <w:highlight w:val="none"/>
        </w:rPr>
        <w:t>投标函</w:t>
      </w:r>
      <w:r>
        <w:rPr>
          <w:rFonts w:hint="eastAsia"/>
          <w:highlight w:val="none"/>
        </w:rPr>
        <w:t>（见“第六章 投标文件部分格式文本 三、”）</w:t>
      </w:r>
      <w:r>
        <w:rPr>
          <w:highlight w:val="none"/>
        </w:rPr>
        <w:t xml:space="preserve">； </w:t>
      </w:r>
    </w:p>
    <w:p w14:paraId="589D8331">
      <w:pPr>
        <w:pStyle w:val="47"/>
        <w:numPr>
          <w:ilvl w:val="0"/>
          <w:numId w:val="25"/>
        </w:numPr>
        <w:ind w:firstLine="480"/>
        <w:rPr>
          <w:highlight w:val="none"/>
        </w:rPr>
      </w:pPr>
      <w:r>
        <w:rPr>
          <w:highlight w:val="none"/>
        </w:rPr>
        <w:t>政府采购供应商廉洁自律承诺书</w:t>
      </w:r>
      <w:r>
        <w:rPr>
          <w:rFonts w:hint="eastAsia"/>
          <w:highlight w:val="none"/>
        </w:rPr>
        <w:t xml:space="preserve">（见“第六章 投标文件部分格式文本 </w:t>
      </w:r>
      <w:r>
        <w:rPr>
          <w:rFonts w:hint="eastAsia"/>
          <w:highlight w:val="none"/>
          <w:lang w:val="en-US" w:eastAsia="zh-Hans"/>
        </w:rPr>
        <w:t>四</w:t>
      </w:r>
      <w:r>
        <w:rPr>
          <w:rFonts w:hint="eastAsia"/>
          <w:highlight w:val="none"/>
        </w:rPr>
        <w:t>、”）</w:t>
      </w:r>
      <w:r>
        <w:rPr>
          <w:highlight w:val="none"/>
        </w:rPr>
        <w:t>；</w:t>
      </w:r>
    </w:p>
    <w:p w14:paraId="02293E75">
      <w:pPr>
        <w:pStyle w:val="47"/>
        <w:numPr>
          <w:ilvl w:val="0"/>
          <w:numId w:val="25"/>
        </w:numPr>
        <w:ind w:firstLine="480"/>
        <w:rPr>
          <w:highlight w:val="none"/>
        </w:rPr>
      </w:pPr>
      <w:r>
        <w:rPr>
          <w:highlight w:val="none"/>
        </w:rPr>
        <w:t>法定代表人（单位负责人、自然人本人）身份证明</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Hans"/>
        </w:rPr>
        <w:t>五</w:t>
      </w:r>
      <w:r>
        <w:rPr>
          <w:rFonts w:hint="eastAsia"/>
          <w:highlight w:val="none"/>
        </w:rPr>
        <w:t>、”）或包含法定代表人、授权代表人身份证明的</w:t>
      </w:r>
      <w:r>
        <w:rPr>
          <w:highlight w:val="none"/>
        </w:rPr>
        <w:t>授权委托书</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Hans"/>
        </w:rPr>
        <w:t>六</w:t>
      </w:r>
      <w:r>
        <w:rPr>
          <w:rFonts w:hint="eastAsia"/>
          <w:highlight w:val="none"/>
        </w:rPr>
        <w:t>、”）</w:t>
      </w:r>
      <w:r>
        <w:rPr>
          <w:highlight w:val="none"/>
        </w:rPr>
        <w:t>；</w:t>
      </w:r>
    </w:p>
    <w:p w14:paraId="6C5CE030">
      <w:pPr>
        <w:pStyle w:val="47"/>
        <w:numPr>
          <w:ilvl w:val="0"/>
          <w:numId w:val="25"/>
        </w:numPr>
        <w:ind w:firstLine="480"/>
        <w:rPr>
          <w:highlight w:val="none"/>
        </w:rPr>
      </w:pPr>
      <w:r>
        <w:rPr>
          <w:highlight w:val="none"/>
        </w:rPr>
        <w:t>商务</w:t>
      </w:r>
      <w:r>
        <w:rPr>
          <w:rFonts w:hint="eastAsia"/>
          <w:highlight w:val="none"/>
        </w:rPr>
        <w:t>及</w:t>
      </w:r>
      <w:r>
        <w:rPr>
          <w:highlight w:val="none"/>
        </w:rPr>
        <w:t>技术偏离表</w:t>
      </w:r>
      <w:r>
        <w:rPr>
          <w:rFonts w:hint="eastAsia"/>
          <w:highlight w:val="none"/>
        </w:rPr>
        <w:t>（见“第六章 投标文件部分格式文本 十</w:t>
      </w:r>
      <w:r>
        <w:rPr>
          <w:rFonts w:hint="eastAsia"/>
          <w:highlight w:val="none"/>
          <w:lang w:val="en-US" w:eastAsia="zh-Hans"/>
        </w:rPr>
        <w:t>三</w:t>
      </w:r>
      <w:r>
        <w:rPr>
          <w:rFonts w:hint="eastAsia"/>
          <w:highlight w:val="none"/>
        </w:rPr>
        <w:t>、”如有偏离均应编制偏离表，如不填写，招标人有权视作投标文件完全响应招标文件要求）</w:t>
      </w:r>
      <w:r>
        <w:rPr>
          <w:highlight w:val="none"/>
        </w:rPr>
        <w:t>；</w:t>
      </w:r>
    </w:p>
    <w:p w14:paraId="2C105BEF">
      <w:pPr>
        <w:pStyle w:val="47"/>
        <w:numPr>
          <w:ilvl w:val="0"/>
          <w:numId w:val="25"/>
        </w:numPr>
        <w:ind w:firstLine="480"/>
        <w:rPr>
          <w:highlight w:val="none"/>
        </w:rPr>
      </w:pPr>
      <w:r>
        <w:rPr>
          <w:rFonts w:hint="eastAsia"/>
          <w:highlight w:val="none"/>
          <w:lang w:eastAsia="zh-CN"/>
        </w:rPr>
        <w:t>评分标准</w:t>
      </w:r>
      <w:r>
        <w:rPr>
          <w:highlight w:val="none"/>
        </w:rPr>
        <w:t>相应的商务技术资料</w:t>
      </w:r>
      <w:r>
        <w:rPr>
          <w:rFonts w:hint="eastAsia"/>
          <w:highlight w:val="none"/>
        </w:rPr>
        <w:t>，其中：</w:t>
      </w:r>
    </w:p>
    <w:p w14:paraId="17CD22E4">
      <w:pPr>
        <w:pStyle w:val="49"/>
        <w:ind w:firstLine="480"/>
        <w:rPr>
          <w:highlight w:val="none"/>
        </w:rPr>
      </w:pPr>
      <w:r>
        <w:rPr>
          <w:rFonts w:hint="eastAsia"/>
          <w:highlight w:val="none"/>
        </w:rPr>
        <w:t>涉及以往业绩证明的应当在业绩证明材料前附</w:t>
      </w:r>
      <w:r>
        <w:rPr>
          <w:rFonts w:hint="eastAsia"/>
          <w:highlight w:val="none"/>
          <w:lang w:eastAsia="zh-Hans"/>
        </w:rPr>
        <w:t>《……</w:t>
      </w:r>
      <w:r>
        <w:rPr>
          <w:rFonts w:hint="eastAsia"/>
          <w:highlight w:val="none"/>
        </w:rPr>
        <w:t>业绩汇总表</w:t>
      </w:r>
      <w:r>
        <w:rPr>
          <w:rFonts w:hint="eastAsia"/>
          <w:highlight w:val="none"/>
          <w:lang w:eastAsia="zh-Hans"/>
        </w:rPr>
        <w:t>》</w:t>
      </w:r>
      <w:r>
        <w:rPr>
          <w:rFonts w:hint="eastAsia"/>
          <w:highlight w:val="none"/>
        </w:rPr>
        <w:t>（</w:t>
      </w:r>
      <w:r>
        <w:rPr>
          <w:rFonts w:hint="eastAsia"/>
          <w:highlight w:val="none"/>
          <w:lang w:val="en-US" w:eastAsia="zh-Hans"/>
        </w:rPr>
        <w:t>格式自拟</w:t>
      </w:r>
      <w:r>
        <w:rPr>
          <w:rFonts w:hint="eastAsia"/>
          <w:highlight w:val="none"/>
        </w:rPr>
        <w:t>），</w:t>
      </w:r>
      <w:r>
        <w:rPr>
          <w:rFonts w:hint="eastAsia"/>
          <w:highlight w:val="none"/>
          <w:lang w:val="en-US" w:eastAsia="zh-Hans"/>
        </w:rPr>
        <w:t>内容</w:t>
      </w:r>
      <w:r>
        <w:rPr>
          <w:rFonts w:hint="eastAsia"/>
          <w:highlight w:val="none"/>
        </w:rPr>
        <w:t>至少包括</w:t>
      </w:r>
      <w:r>
        <w:rPr>
          <w:rFonts w:hint="eastAsia"/>
          <w:highlight w:val="none"/>
          <w:lang w:val="en-US" w:eastAsia="zh-Hans"/>
        </w:rPr>
        <w:t>项目名称、合同签订时间、合同金额、合同甲方联系方式等对应评审所需信息；</w:t>
      </w:r>
    </w:p>
    <w:p w14:paraId="3B168844">
      <w:pPr>
        <w:pStyle w:val="49"/>
        <w:ind w:firstLine="480"/>
        <w:rPr>
          <w:highlight w:val="none"/>
        </w:rPr>
      </w:pPr>
      <w:r>
        <w:rPr>
          <w:rFonts w:hint="eastAsia"/>
          <w:highlight w:val="none"/>
        </w:rPr>
        <w:t>涉及服务团队人员证明</w:t>
      </w:r>
      <w:r>
        <w:rPr>
          <w:rFonts w:hint="eastAsia"/>
          <w:highlight w:val="none"/>
          <w:lang w:val="en-US" w:eastAsia="zh-Hans"/>
        </w:rPr>
        <w:t>的</w:t>
      </w:r>
      <w:r>
        <w:rPr>
          <w:rFonts w:hint="eastAsia"/>
          <w:highlight w:val="none"/>
        </w:rPr>
        <w:t>应当在人员证明材料前附</w:t>
      </w:r>
      <w:r>
        <w:rPr>
          <w:rFonts w:hint="eastAsia"/>
          <w:highlight w:val="none"/>
          <w:lang w:eastAsia="zh-Hans"/>
        </w:rPr>
        <w:t>《</w:t>
      </w:r>
      <w:r>
        <w:rPr>
          <w:rFonts w:hint="eastAsia"/>
          <w:highlight w:val="none"/>
          <w:lang w:val="en-US" w:eastAsia="zh-Hans"/>
        </w:rPr>
        <w:t>服务团队人员汇总表》格式自拟</w:t>
      </w:r>
      <w:r>
        <w:rPr>
          <w:rFonts w:hint="eastAsia"/>
          <w:highlight w:val="none"/>
        </w:rPr>
        <w:t>）</w:t>
      </w:r>
      <w:r>
        <w:rPr>
          <w:rFonts w:hint="eastAsia"/>
          <w:highlight w:val="none"/>
          <w:lang w:eastAsia="zh-Hans"/>
        </w:rPr>
        <w:t>，</w:t>
      </w:r>
      <w:r>
        <w:rPr>
          <w:rFonts w:hint="eastAsia"/>
          <w:highlight w:val="none"/>
          <w:lang w:val="en-US" w:eastAsia="zh-Hans"/>
        </w:rPr>
        <w:t>内容至少包括姓名、年龄、职称</w:t>
      </w:r>
      <w:r>
        <w:rPr>
          <w:rFonts w:hint="default"/>
          <w:highlight w:val="none"/>
          <w:lang w:eastAsia="zh-Hans"/>
        </w:rPr>
        <w:t>/</w:t>
      </w:r>
      <w:r>
        <w:rPr>
          <w:rFonts w:hint="eastAsia"/>
          <w:highlight w:val="none"/>
          <w:lang w:val="en-US" w:eastAsia="zh-Hans"/>
        </w:rPr>
        <w:t>职务、学历</w:t>
      </w:r>
      <w:r>
        <w:rPr>
          <w:rFonts w:hint="default"/>
          <w:highlight w:val="none"/>
          <w:lang w:eastAsia="zh-Hans"/>
        </w:rPr>
        <w:t>/</w:t>
      </w:r>
      <w:r>
        <w:rPr>
          <w:rFonts w:hint="eastAsia"/>
          <w:highlight w:val="none"/>
          <w:lang w:val="en-US" w:eastAsia="zh-Hans"/>
        </w:rPr>
        <w:t>资格、本项目中拟担任职务等对应评审所需信息。</w:t>
      </w:r>
    </w:p>
    <w:p w14:paraId="02297591">
      <w:pPr>
        <w:pStyle w:val="47"/>
        <w:numPr>
          <w:ilvl w:val="0"/>
          <w:numId w:val="25"/>
        </w:numPr>
        <w:ind w:firstLine="480"/>
        <w:rPr>
          <w:highlight w:val="none"/>
        </w:rPr>
      </w:pPr>
      <w:r>
        <w:rPr>
          <w:rFonts w:hint="eastAsia"/>
          <w:highlight w:val="none"/>
        </w:rPr>
        <w:t>其他商务技术文件或说明（如拟分包情况等其他投标人认为有必要需要说明的商务技术文件。如无，则本项内容无需提供）。</w:t>
      </w:r>
    </w:p>
    <w:p w14:paraId="626DFCCD">
      <w:pPr>
        <w:pStyle w:val="38"/>
        <w:keepNext w:val="0"/>
        <w:keepLines w:val="0"/>
        <w:pageBreakBefore w:val="0"/>
        <w:widowControl w:val="0"/>
        <w:kinsoku/>
        <w:wordWrap/>
        <w:overflowPunct/>
        <w:topLinePunct w:val="0"/>
        <w:autoSpaceDE/>
        <w:autoSpaceDN/>
        <w:bidi w:val="0"/>
        <w:adjustRightInd w:val="0"/>
        <w:snapToGrid/>
        <w:ind w:left="0" w:firstLine="482" w:firstLineChars="200"/>
        <w:textAlignment w:val="auto"/>
        <w:rPr>
          <w:highlight w:val="none"/>
        </w:rPr>
      </w:pPr>
      <w:bookmarkStart w:id="96" w:name="_Toc734101144"/>
      <w:r>
        <w:rPr>
          <w:highlight w:val="none"/>
        </w:rPr>
        <w:t>报价文件</w:t>
      </w:r>
      <w:bookmarkEnd w:id="96"/>
      <w:r>
        <w:rPr>
          <w:highlight w:val="none"/>
        </w:rPr>
        <w:t xml:space="preserve"> </w:t>
      </w:r>
    </w:p>
    <w:p w14:paraId="66013623">
      <w:pPr>
        <w:pStyle w:val="47"/>
        <w:numPr>
          <w:ilvl w:val="0"/>
          <w:numId w:val="26"/>
        </w:numPr>
        <w:ind w:firstLine="480"/>
        <w:rPr>
          <w:highlight w:val="none"/>
        </w:rPr>
      </w:pPr>
      <w:r>
        <w:rPr>
          <w:highlight w:val="none"/>
        </w:rPr>
        <w:t>开标一览表（报价表）</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CN"/>
        </w:rPr>
        <w:t>九</w:t>
      </w:r>
      <w:r>
        <w:rPr>
          <w:rFonts w:hint="eastAsia"/>
          <w:highlight w:val="none"/>
        </w:rPr>
        <w:t>、”）</w:t>
      </w:r>
      <w:r>
        <w:rPr>
          <w:highlight w:val="none"/>
        </w:rPr>
        <w:t>；</w:t>
      </w:r>
    </w:p>
    <w:p w14:paraId="7283266B">
      <w:pPr>
        <w:pStyle w:val="47"/>
        <w:numPr>
          <w:ilvl w:val="0"/>
          <w:numId w:val="26"/>
        </w:numPr>
        <w:ind w:firstLine="480"/>
        <w:rPr>
          <w:highlight w:val="none"/>
        </w:rPr>
      </w:pPr>
      <w:r>
        <w:rPr>
          <w:rFonts w:hint="eastAsia"/>
          <w:highlight w:val="none"/>
        </w:rPr>
        <w:t>报价明细表</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CN"/>
        </w:rPr>
        <w:t>十</w:t>
      </w:r>
      <w:r>
        <w:rPr>
          <w:rFonts w:hint="eastAsia"/>
          <w:highlight w:val="none"/>
        </w:rPr>
        <w:t>、”）</w:t>
      </w:r>
    </w:p>
    <w:p w14:paraId="66E40E20">
      <w:pPr>
        <w:pStyle w:val="47"/>
        <w:numPr>
          <w:ilvl w:val="0"/>
          <w:numId w:val="26"/>
        </w:numPr>
        <w:ind w:firstLine="480"/>
        <w:rPr>
          <w:highlight w:val="none"/>
        </w:rPr>
      </w:pPr>
      <w:r>
        <w:rPr>
          <w:rFonts w:hint="eastAsia"/>
          <w:highlight w:val="none"/>
        </w:rPr>
        <w:t>如招标公告中无落实政府采购政策需满足的资格要求的，提供</w:t>
      </w:r>
      <w:r>
        <w:rPr>
          <w:highlight w:val="none"/>
        </w:rPr>
        <w:t>中小企业声明函</w:t>
      </w:r>
      <w:r>
        <w:rPr>
          <w:rFonts w:hint="eastAsia"/>
          <w:highlight w:val="none"/>
        </w:rPr>
        <w:t>或残疾人福利性企业声明函或监狱企业证明文件，（见“第六章 投标文件部分格式文本 十</w:t>
      </w:r>
      <w:r>
        <w:rPr>
          <w:rFonts w:hint="eastAsia"/>
          <w:highlight w:val="none"/>
          <w:lang w:val="en-US" w:eastAsia="zh-Hans"/>
        </w:rPr>
        <w:t>一</w:t>
      </w:r>
      <w:r>
        <w:rPr>
          <w:rFonts w:hint="eastAsia"/>
          <w:highlight w:val="none"/>
        </w:rPr>
        <w:t>、十</w:t>
      </w:r>
      <w:r>
        <w:rPr>
          <w:rFonts w:hint="eastAsia"/>
          <w:highlight w:val="none"/>
          <w:lang w:val="en-US" w:eastAsia="zh-Hans"/>
        </w:rPr>
        <w:t>二</w:t>
      </w:r>
      <w:r>
        <w:rPr>
          <w:rFonts w:hint="eastAsia"/>
          <w:highlight w:val="none"/>
        </w:rPr>
        <w:t>”，如不是上述企业本项内容无需提供）。</w:t>
      </w:r>
    </w:p>
    <w:p w14:paraId="3ED7CEE3">
      <w:pPr>
        <w:pStyle w:val="39"/>
        <w:ind w:firstLine="482"/>
        <w:rPr>
          <w:b/>
          <w:bCs/>
          <w:highlight w:val="none"/>
          <w:u w:val="single"/>
          <w:lang w:eastAsia="zh-CN"/>
        </w:rPr>
      </w:pPr>
      <w:r>
        <w:rPr>
          <w:rFonts w:hint="eastAsia"/>
          <w:b/>
          <w:bCs/>
          <w:highlight w:val="none"/>
          <w:u w:val="single"/>
          <w:lang w:eastAsia="zh-CN"/>
        </w:rPr>
        <w:t>除有说明</w:t>
      </w:r>
      <w:r>
        <w:rPr>
          <w:rFonts w:hint="eastAsia"/>
          <w:b/>
          <w:bCs/>
          <w:highlight w:val="none"/>
          <w:u w:val="single"/>
          <w:lang w:val="en-US" w:eastAsia="zh-Hans"/>
        </w:rPr>
        <w:t>或明示</w:t>
      </w:r>
      <w:r>
        <w:rPr>
          <w:rFonts w:hint="eastAsia"/>
          <w:b/>
          <w:bCs/>
          <w:highlight w:val="none"/>
          <w:u w:val="single"/>
          <w:lang w:eastAsia="zh-CN"/>
        </w:rPr>
        <w:t>可不提供的情形外，未完整提供上述内容的投标文件将被视为无效投标文件。</w:t>
      </w:r>
    </w:p>
    <w:p w14:paraId="273DFB3A">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rPr>
          <w:highlight w:val="none"/>
        </w:rPr>
      </w:pPr>
      <w:bookmarkStart w:id="97" w:name="_Toc1880122603"/>
      <w:bookmarkStart w:id="98" w:name="_Toc744375193"/>
      <w:r>
        <w:rPr>
          <w:rFonts w:hint="eastAsia"/>
          <w:highlight w:val="none"/>
        </w:rPr>
        <w:t>投标文件的编制</w:t>
      </w:r>
      <w:bookmarkEnd w:id="97"/>
      <w:bookmarkEnd w:id="98"/>
    </w:p>
    <w:p w14:paraId="57DC0FD7">
      <w:pPr>
        <w:pStyle w:val="47"/>
        <w:numPr>
          <w:ilvl w:val="0"/>
          <w:numId w:val="27"/>
        </w:numPr>
        <w:bidi w:val="0"/>
        <w:rPr>
          <w:highlight w:val="none"/>
        </w:rPr>
      </w:pPr>
      <w:r>
        <w:rPr>
          <w:highlight w:val="none"/>
        </w:rPr>
        <w:t>供应商应仔细阅读招标文件规定的所有内容，以保证能全面准确理解招标文件，并按照招标文件要求，详细编制投标文件，投标文件内容必须针对本次招标要求进行响应。</w:t>
      </w:r>
    </w:p>
    <w:p w14:paraId="7F9A3D7D">
      <w:pPr>
        <w:pStyle w:val="47"/>
        <w:numPr>
          <w:ilvl w:val="0"/>
          <w:numId w:val="27"/>
        </w:numPr>
        <w:bidi w:val="0"/>
        <w:rPr>
          <w:highlight w:val="none"/>
        </w:rPr>
      </w:pPr>
      <w:r>
        <w:rPr>
          <w:highlight w:val="none"/>
        </w:rPr>
        <w:t>投标人必须按招标文件的要求提供相关资料，并对招标文件中提出的所有内容要求给予实质性响应，须保证投标文件的准确、真实、有效。投标文件响应内容对招标文件要求如有偏离均应填写偏离表，如不填写，招标人有权视作投标文件完全响应招标文件要求。</w:t>
      </w:r>
    </w:p>
    <w:p w14:paraId="2B1BF65A">
      <w:pPr>
        <w:pStyle w:val="47"/>
        <w:numPr>
          <w:ilvl w:val="0"/>
          <w:numId w:val="27"/>
        </w:numPr>
        <w:bidi w:val="0"/>
      </w:pPr>
      <w:r>
        <w:rPr>
          <w:highlight w:val="none"/>
        </w:rPr>
        <w:t>投标文件应按照本节“1.投标文件的组成”及“政采云投标客户端”</w:t>
      </w:r>
      <w:r>
        <w:t>中的要求和顺序进行编写。招标文件有提供格式文本的，应按照格式文本进行编制（格式中要求提供相关证明材料的还需后附相关证明材料），并按格式文本要求在指定位置根据要求进行签章，否则视为未提供；招标文件未提供格式的，供应商可自行拟定格式。</w:t>
      </w:r>
    </w:p>
    <w:p w14:paraId="706BD7A7">
      <w:pPr>
        <w:pStyle w:val="47"/>
        <w:numPr>
          <w:ilvl w:val="0"/>
          <w:numId w:val="27"/>
        </w:numPr>
        <w:bidi w:val="0"/>
      </w:pPr>
      <w:r>
        <w:t>投标文件内容不完整、编排混乱或表达不清导致投标文件被误读、漏读或者查找不到相关内容的，是投标人的责任。</w:t>
      </w:r>
    </w:p>
    <w:p w14:paraId="05FB8627">
      <w:pPr>
        <w:pStyle w:val="47"/>
        <w:numPr>
          <w:ilvl w:val="0"/>
          <w:numId w:val="27"/>
        </w:numPr>
        <w:bidi w:val="0"/>
      </w:pPr>
      <w:r>
        <w:t>投标人没有按照招标文件要求提供全部资料，或者没有仔细阅读招标文件，或者没有对招标文件在各方面的要求作出实质性响应是投标人的风险，由此造成的一切后果由投标人自行承担。</w:t>
      </w:r>
    </w:p>
    <w:p w14:paraId="46C38E2F">
      <w:pPr>
        <w:pStyle w:val="47"/>
        <w:numPr>
          <w:ilvl w:val="0"/>
          <w:numId w:val="27"/>
        </w:numPr>
        <w:bidi w:val="0"/>
      </w:pPr>
      <w:r>
        <w:t>投标人不得递交任何的投标备选（替代）方案，否则作无效标处理。</w:t>
      </w:r>
    </w:p>
    <w:p w14:paraId="38DB58D6">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99" w:name="_Toc1621624976"/>
      <w:bookmarkStart w:id="100" w:name="_Toc1146206663"/>
      <w:r>
        <w:rPr>
          <w:rFonts w:hint="eastAsia"/>
        </w:rPr>
        <w:t>投标文件的签署</w:t>
      </w:r>
      <w:bookmarkEnd w:id="99"/>
      <w:bookmarkEnd w:id="100"/>
    </w:p>
    <w:p w14:paraId="1AEEC418">
      <w:pPr>
        <w:pStyle w:val="47"/>
        <w:numPr>
          <w:ilvl w:val="0"/>
          <w:numId w:val="28"/>
        </w:numPr>
        <w:bidi w:val="0"/>
      </w:pPr>
      <w:r>
        <w:t>招标文件中提供了投标文件格式文本的必须按照格式本文的要求签字或盖章。授权代表签字的，投标文件应附法定代表人签署的授权委托书。应签章而未签章的材料视为未提供。</w:t>
      </w:r>
    </w:p>
    <w:p w14:paraId="3FA25389">
      <w:pPr>
        <w:pStyle w:val="47"/>
        <w:numPr>
          <w:ilvl w:val="0"/>
          <w:numId w:val="28"/>
        </w:numPr>
        <w:bidi w:val="0"/>
      </w:pPr>
      <w:r>
        <w:t>所有</w:t>
      </w:r>
      <w:r>
        <w:rPr>
          <w:rFonts w:hint="eastAsia"/>
          <w:lang w:val="en-US" w:eastAsia="zh-Hans"/>
        </w:rPr>
        <w:t>扫描件、</w:t>
      </w:r>
      <w:r>
        <w:t>复印件（如各类资格资质证书、业绩材料、许可材料、荣誉证书、产品注册登记材料、产品检测材料、验收材料等）均须加盖投标人</w:t>
      </w:r>
      <w:r>
        <w:rPr>
          <w:rFonts w:hint="eastAsia"/>
          <w:lang w:val="en-US" w:eastAsia="zh-Hans"/>
        </w:rPr>
        <w:t>电子签章或</w:t>
      </w:r>
      <w:r>
        <w:t>公章。评审委员会可视情况要求投标人提供原件，如投标人不能在规定时间内提供原件核实，其投标文件中提供的</w:t>
      </w:r>
      <w:r>
        <w:rPr>
          <w:rFonts w:hint="eastAsia"/>
          <w:lang w:val="en-US" w:eastAsia="zh-CN"/>
        </w:rPr>
        <w:t>复制件</w:t>
      </w:r>
      <w:r>
        <w:t>视为未提供。</w:t>
      </w:r>
    </w:p>
    <w:p w14:paraId="5D3E8D89">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101" w:name="_Toc936007555"/>
      <w:bookmarkStart w:id="102" w:name="_Toc1367071451"/>
      <w:r>
        <w:rPr>
          <w:rFonts w:hint="eastAsia"/>
        </w:rPr>
        <w:t>投标报价</w:t>
      </w:r>
      <w:bookmarkEnd w:id="101"/>
      <w:bookmarkEnd w:id="102"/>
    </w:p>
    <w:p w14:paraId="31077529">
      <w:pPr>
        <w:pStyle w:val="38"/>
        <w:keepNext w:val="0"/>
        <w:keepLines w:val="0"/>
        <w:pageBreakBefore w:val="0"/>
        <w:widowControl w:val="0"/>
        <w:kinsoku/>
        <w:wordWrap/>
        <w:overflowPunct/>
        <w:topLinePunct w:val="0"/>
        <w:autoSpaceDE/>
        <w:autoSpaceDN/>
        <w:bidi w:val="0"/>
        <w:adjustRightInd w:val="0"/>
        <w:snapToGrid/>
        <w:ind w:left="0" w:firstLine="482" w:firstLineChars="200"/>
        <w:textAlignment w:val="auto"/>
      </w:pPr>
      <w:bookmarkStart w:id="103" w:name="_Toc1161262610"/>
      <w:r>
        <w:rPr>
          <w:rFonts w:hint="eastAsia"/>
        </w:rPr>
        <w:t>报价组成</w:t>
      </w:r>
      <w:bookmarkEnd w:id="103"/>
    </w:p>
    <w:p w14:paraId="274A94F1">
      <w:pPr>
        <w:pStyle w:val="39"/>
        <w:ind w:firstLine="480"/>
        <w:rPr>
          <w:rFonts w:hint="eastAsia"/>
        </w:rPr>
      </w:pPr>
      <w:r>
        <w:rPr>
          <w:rFonts w:hint="eastAsia"/>
        </w:rPr>
        <w:t>投标报价是履行合同的最终价格，包括完成本项目</w:t>
      </w:r>
      <w:r>
        <w:rPr>
          <w:rFonts w:hint="eastAsia"/>
          <w:lang w:val="en-US" w:eastAsia="zh-CN"/>
        </w:rPr>
        <w:t>合同履行并且</w:t>
      </w:r>
      <w:r>
        <w:rPr>
          <w:rFonts w:hint="eastAsia"/>
        </w:rPr>
        <w:t>产品</w:t>
      </w:r>
      <w:r>
        <w:rPr>
          <w:rFonts w:hint="eastAsia"/>
          <w:lang w:val="en-US" w:eastAsia="zh-CN"/>
        </w:rPr>
        <w:t>及</w:t>
      </w:r>
      <w:r>
        <w:rPr>
          <w:rFonts w:hint="eastAsia"/>
        </w:rPr>
        <w:t>服务须达到招标文件规定的质量标准</w:t>
      </w:r>
      <w:r>
        <w:rPr>
          <w:rFonts w:hint="eastAsia"/>
          <w:lang w:eastAsia="zh-CN"/>
        </w:rPr>
        <w:t>、</w:t>
      </w:r>
      <w:r>
        <w:rPr>
          <w:rFonts w:hint="eastAsia"/>
        </w:rPr>
        <w:t>使用要求所需的全部费用</w:t>
      </w:r>
      <w:r>
        <w:rPr>
          <w:rFonts w:hint="eastAsia"/>
          <w:lang w:val="en-US" w:eastAsia="zh-CN"/>
        </w:rPr>
        <w:t>以及</w:t>
      </w:r>
      <w:r>
        <w:rPr>
          <w:rFonts w:hint="default"/>
        </w:rPr>
        <w:t>采购文件</w:t>
      </w:r>
      <w:r>
        <w:rPr>
          <w:rFonts w:hint="eastAsia"/>
        </w:rPr>
        <w:t>及合同明示或者暗示的所有责任、义务和风险。</w:t>
      </w:r>
    </w:p>
    <w:p w14:paraId="4069072A">
      <w:pPr>
        <w:pStyle w:val="39"/>
        <w:ind w:firstLine="480"/>
        <w:rPr>
          <w:u w:val="single"/>
        </w:rPr>
      </w:pPr>
      <w:r>
        <w:rPr>
          <w:rFonts w:hint="eastAsia"/>
          <w:u w:val="single"/>
          <w:lang w:val="en-US" w:eastAsia="zh-CN"/>
        </w:rPr>
        <w:t>如</w:t>
      </w:r>
      <w:r>
        <w:rPr>
          <w:rFonts w:hint="eastAsia"/>
          <w:u w:val="single"/>
        </w:rPr>
        <w:t>本章“前附表”规定</w:t>
      </w:r>
      <w:r>
        <w:rPr>
          <w:rFonts w:hint="eastAsia"/>
          <w:u w:val="single"/>
          <w:lang w:eastAsia="zh-CN"/>
        </w:rPr>
        <w:t>“</w:t>
      </w:r>
      <w:r>
        <w:rPr>
          <w:rFonts w:hint="eastAsia"/>
          <w:u w:val="single"/>
        </w:rPr>
        <w:t>允许</w:t>
      </w:r>
      <w:r>
        <w:rPr>
          <w:rFonts w:hint="eastAsia"/>
          <w:u w:val="single"/>
          <w:lang w:val="en-US" w:eastAsia="zh-CN"/>
        </w:rPr>
        <w:t>采购</w:t>
      </w:r>
      <w:r>
        <w:rPr>
          <w:rFonts w:hint="eastAsia"/>
          <w:u w:val="single"/>
        </w:rPr>
        <w:t>进口产品</w:t>
      </w:r>
      <w:r>
        <w:rPr>
          <w:rFonts w:hint="eastAsia"/>
          <w:u w:val="single"/>
          <w:lang w:eastAsia="zh-CN"/>
        </w:rPr>
        <w:t>”</w:t>
      </w:r>
      <w:r>
        <w:rPr>
          <w:rFonts w:hint="eastAsia"/>
          <w:u w:val="single"/>
        </w:rPr>
        <w:t>的，投标报价还应包括：</w:t>
      </w:r>
    </w:p>
    <w:p w14:paraId="2115772D">
      <w:pPr>
        <w:pStyle w:val="47"/>
        <w:numPr>
          <w:ilvl w:val="0"/>
          <w:numId w:val="29"/>
        </w:numPr>
        <w:ind w:firstLine="480"/>
      </w:pPr>
      <w:r>
        <w:rPr>
          <w:rFonts w:hint="eastAsia"/>
        </w:rPr>
        <w:t>投标截止时间前已经进口的货物：货物在从关境外进口时已交纳或应交纳的全部关税、增值税和其它税；</w:t>
      </w:r>
    </w:p>
    <w:p w14:paraId="161E6D57">
      <w:pPr>
        <w:pStyle w:val="47"/>
        <w:numPr>
          <w:ilvl w:val="0"/>
          <w:numId w:val="29"/>
        </w:numPr>
        <w:ind w:firstLine="480"/>
      </w:pPr>
      <w:r>
        <w:rPr>
          <w:rFonts w:hint="eastAsia"/>
        </w:rPr>
        <w:t>需从中华人民共和国境外提供的货物：货物在从关境外进口时已交纳或应交纳的全部关税、增值税和其它税（本章“前附表”规定可办理免税的除外）以及委托具有进出口代理权的机构办理进口事宜所需的所有费用。</w:t>
      </w:r>
    </w:p>
    <w:p w14:paraId="0B537381">
      <w:pPr>
        <w:pStyle w:val="47"/>
        <w:numPr>
          <w:ilvl w:val="0"/>
          <w:numId w:val="29"/>
        </w:numPr>
        <w:ind w:firstLine="480"/>
      </w:pPr>
      <w:r>
        <w:rPr>
          <w:rFonts w:hint="eastAsia"/>
        </w:rPr>
        <w:t>本章“前附表”即使明确可免关税，如因国家（海关）政策等原因导致无法免关税的，关税由招标人承担；如因供应商原因导致无法办理的，合同价不予调整，关税由中标人承担，报价范围按前款（1）条执行。</w:t>
      </w:r>
    </w:p>
    <w:p w14:paraId="4581531F">
      <w:pPr>
        <w:pStyle w:val="38"/>
        <w:keepNext w:val="0"/>
        <w:keepLines w:val="0"/>
        <w:pageBreakBefore w:val="0"/>
        <w:widowControl w:val="0"/>
        <w:kinsoku/>
        <w:wordWrap/>
        <w:overflowPunct/>
        <w:topLinePunct w:val="0"/>
        <w:autoSpaceDE/>
        <w:autoSpaceDN/>
        <w:bidi w:val="0"/>
        <w:adjustRightInd w:val="0"/>
        <w:snapToGrid/>
        <w:ind w:left="0" w:firstLine="482" w:firstLineChars="200"/>
        <w:textAlignment w:val="auto"/>
      </w:pPr>
      <w:bookmarkStart w:id="104" w:name="_Toc1009302334"/>
      <w:r>
        <w:rPr>
          <w:rFonts w:hint="eastAsia"/>
        </w:rPr>
        <w:t>其它费用处理</w:t>
      </w:r>
      <w:bookmarkEnd w:id="104"/>
    </w:p>
    <w:p w14:paraId="79B0D981">
      <w:pPr>
        <w:pStyle w:val="39"/>
        <w:ind w:firstLine="480"/>
        <w:rPr>
          <w:rFonts w:hint="eastAsia"/>
        </w:rPr>
      </w:pPr>
      <w:r>
        <w:rPr>
          <w:rFonts w:hint="eastAsia"/>
        </w:rPr>
        <w:t>招标文件未列明，而投标人认为必需的费用也需列入报价。投标人在投标报价中应充分考虑所有可能发生的费用，否则招标人将视投标总价中已包括所有费用。</w:t>
      </w:r>
    </w:p>
    <w:p w14:paraId="269BA8AF">
      <w:pPr>
        <w:pStyle w:val="39"/>
        <w:ind w:firstLine="480"/>
      </w:pPr>
      <w:r>
        <w:rPr>
          <w:rFonts w:hint="eastAsia" w:ascii="宋体" w:hAnsi="宋体"/>
          <w:spacing w:val="-4"/>
          <w:sz w:val="24"/>
          <w:szCs w:val="22"/>
        </w:rPr>
        <w:t>参与本项目竞争需要的工作成本、成交后</w:t>
      </w:r>
      <w:r>
        <w:rPr>
          <w:rFonts w:hint="eastAsia" w:ascii="宋体" w:hAnsi="宋体"/>
          <w:sz w:val="24"/>
        </w:rPr>
        <w:t>向采购代理机构支付的代理服务费、合同履行过程中项目需求变动引起工作量的缩减等涉及的费用不需要单列报价子项，但均应由供应商考虑并包含在企业运营成本或报价因素中。</w:t>
      </w:r>
    </w:p>
    <w:p w14:paraId="3FECD08D">
      <w:pPr>
        <w:pStyle w:val="38"/>
        <w:keepNext w:val="0"/>
        <w:keepLines w:val="0"/>
        <w:pageBreakBefore w:val="0"/>
        <w:widowControl w:val="0"/>
        <w:kinsoku/>
        <w:wordWrap/>
        <w:overflowPunct/>
        <w:topLinePunct w:val="0"/>
        <w:autoSpaceDE/>
        <w:autoSpaceDN/>
        <w:bidi w:val="0"/>
        <w:adjustRightInd w:val="0"/>
        <w:snapToGrid/>
        <w:ind w:left="0" w:firstLine="482" w:firstLineChars="200"/>
        <w:textAlignment w:val="auto"/>
      </w:pPr>
      <w:bookmarkStart w:id="105" w:name="_Toc370999885"/>
      <w:r>
        <w:rPr>
          <w:rFonts w:hint="eastAsia"/>
        </w:rPr>
        <w:t>投标货币</w:t>
      </w:r>
      <w:bookmarkEnd w:id="105"/>
    </w:p>
    <w:p w14:paraId="52049430">
      <w:pPr>
        <w:pStyle w:val="39"/>
        <w:ind w:firstLine="480"/>
      </w:pPr>
      <w:r>
        <w:rPr>
          <w:rFonts w:hint="eastAsia"/>
        </w:rPr>
        <w:t>投标文件中价格全部采用人民币报价。</w:t>
      </w:r>
    </w:p>
    <w:p w14:paraId="435F4C51">
      <w:pPr>
        <w:pStyle w:val="39"/>
        <w:ind w:firstLine="480"/>
      </w:pPr>
      <w:r>
        <w:rPr>
          <w:rFonts w:hint="eastAsia"/>
        </w:rPr>
        <w:t>报价应是唯一的，不接受有选择的报价。</w:t>
      </w:r>
    </w:p>
    <w:p w14:paraId="3B368563">
      <w:pPr>
        <w:pStyle w:val="38"/>
        <w:keepNext w:val="0"/>
        <w:keepLines w:val="0"/>
        <w:pageBreakBefore w:val="0"/>
        <w:widowControl w:val="0"/>
        <w:kinsoku/>
        <w:wordWrap/>
        <w:overflowPunct/>
        <w:topLinePunct w:val="0"/>
        <w:autoSpaceDE/>
        <w:autoSpaceDN/>
        <w:bidi w:val="0"/>
        <w:adjustRightInd w:val="0"/>
        <w:snapToGrid/>
        <w:ind w:left="0" w:firstLine="482" w:firstLineChars="200"/>
        <w:textAlignment w:val="auto"/>
      </w:pPr>
      <w:bookmarkStart w:id="106" w:name="_Toc1250039954"/>
      <w:r>
        <w:rPr>
          <w:rFonts w:hint="eastAsia"/>
        </w:rPr>
        <w:t>特别说明</w:t>
      </w:r>
      <w:bookmarkEnd w:id="106"/>
    </w:p>
    <w:p w14:paraId="194D2529">
      <w:pPr>
        <w:pStyle w:val="49"/>
        <w:ind w:firstLine="480"/>
      </w:pPr>
      <w:r>
        <w:rPr>
          <w:rFonts w:hint="eastAsia"/>
        </w:rPr>
        <w:t>投标人对在合同执行中，除上述费用及招标文件规定的由中标人负责的工作范围以外需要招标人协调或提供便利的工作应当在投标文件中说明。</w:t>
      </w:r>
      <w:bookmarkStart w:id="107" w:name="_Hlt75236011"/>
      <w:bookmarkEnd w:id="107"/>
    </w:p>
    <w:p w14:paraId="02C96969">
      <w:pPr>
        <w:pStyle w:val="49"/>
        <w:ind w:firstLine="480"/>
        <w:rPr>
          <w:b/>
        </w:rPr>
      </w:pPr>
      <w:r>
        <w:rPr>
          <w:rFonts w:hint="eastAsia"/>
          <w:u w:val="single"/>
        </w:rPr>
        <w:t>报价是中标的一个重要因素，但最低报价不是中标的唯一依据。</w:t>
      </w:r>
    </w:p>
    <w:p w14:paraId="481AFBDE">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108" w:name="_Toc91899887"/>
      <w:bookmarkEnd w:id="108"/>
      <w:bookmarkStart w:id="109" w:name="_Toc588988277"/>
      <w:bookmarkStart w:id="110" w:name="_Toc442337704"/>
      <w:r>
        <w:rPr>
          <w:rFonts w:hint="eastAsia"/>
        </w:rPr>
        <w:t>投标有效期</w:t>
      </w:r>
      <w:bookmarkEnd w:id="109"/>
      <w:bookmarkEnd w:id="110"/>
    </w:p>
    <w:p w14:paraId="752C5721">
      <w:pPr>
        <w:pStyle w:val="47"/>
        <w:numPr>
          <w:ilvl w:val="0"/>
          <w:numId w:val="30"/>
        </w:numPr>
        <w:bidi w:val="0"/>
      </w:pPr>
      <w:r>
        <w:t>投标文件合格投递后，自投标截止日期起，至前附表规定的日期内有效。合同签订后，投标文件作为合同附件，投标文件有效期延长至与合同有效期相同。</w:t>
      </w:r>
    </w:p>
    <w:p w14:paraId="4B6AEAC9">
      <w:pPr>
        <w:pStyle w:val="47"/>
        <w:numPr>
          <w:ilvl w:val="0"/>
          <w:numId w:val="30"/>
        </w:numPr>
        <w:bidi w:val="0"/>
      </w:pPr>
      <w:r>
        <w:t>招标人如因故推迟投标截止时间，将以书面形式通知所有投标人。在这种情况下，招标人与投标人以前在投标截止期方面的全部权利、责任和义务，将适用于延长至新的投标截止期。</w:t>
      </w:r>
    </w:p>
    <w:p w14:paraId="7F9423F9">
      <w:pPr>
        <w:pStyle w:val="47"/>
        <w:numPr>
          <w:ilvl w:val="0"/>
          <w:numId w:val="30"/>
        </w:numPr>
        <w:bidi w:val="0"/>
      </w:pPr>
      <w:r>
        <w:t>投标人可拒绝接受延期要求，拒绝延期要求视同未实质性响应招标文件要求。同意延长有效期的投标人不能修改投标文件。</w:t>
      </w:r>
    </w:p>
    <w:p w14:paraId="410664C6">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rPr>
          <w:lang w:eastAsia="zh-CN"/>
        </w:rPr>
      </w:pPr>
      <w:bookmarkStart w:id="111" w:name="_Toc1373842516"/>
      <w:bookmarkStart w:id="112" w:name="_Toc1928888861"/>
      <w:r>
        <w:rPr>
          <w:rFonts w:hint="eastAsia"/>
        </w:rPr>
        <w:t>电子标书的</w:t>
      </w:r>
      <w:r>
        <w:rPr>
          <w:rFonts w:hint="eastAsia"/>
          <w:lang w:eastAsia="zh-CN"/>
        </w:rPr>
        <w:t>生成</w:t>
      </w:r>
      <w:bookmarkEnd w:id="111"/>
      <w:bookmarkEnd w:id="112"/>
    </w:p>
    <w:p w14:paraId="47FF7042">
      <w:pPr>
        <w:pStyle w:val="38"/>
        <w:keepNext w:val="0"/>
        <w:keepLines w:val="0"/>
        <w:pageBreakBefore w:val="0"/>
        <w:widowControl w:val="0"/>
        <w:kinsoku/>
        <w:wordWrap/>
        <w:overflowPunct/>
        <w:topLinePunct w:val="0"/>
        <w:autoSpaceDE/>
        <w:autoSpaceDN/>
        <w:bidi w:val="0"/>
        <w:adjustRightInd w:val="0"/>
        <w:snapToGrid/>
        <w:ind w:left="0" w:firstLine="482" w:firstLineChars="200"/>
        <w:textAlignment w:val="auto"/>
      </w:pPr>
      <w:bookmarkStart w:id="113" w:name="_Toc426993868"/>
      <w:r>
        <w:rPr>
          <w:rFonts w:hint="eastAsia"/>
        </w:rPr>
        <w:t>登录客户端</w:t>
      </w:r>
      <w:bookmarkEnd w:id="113"/>
    </w:p>
    <w:p w14:paraId="3EF3FAA2">
      <w:pPr>
        <w:pStyle w:val="39"/>
        <w:ind w:firstLine="480"/>
      </w:pPr>
      <w:r>
        <w:rPr>
          <w:rFonts w:hint="eastAsia"/>
          <w:lang w:eastAsia="zh-CN"/>
        </w:rPr>
        <w:t>电子标书的生成须在“</w:t>
      </w:r>
      <w:r>
        <w:t>政采云投标客户端</w:t>
      </w:r>
      <w:r>
        <w:rPr>
          <w:rFonts w:hint="eastAsia"/>
          <w:lang w:eastAsia="zh-CN"/>
        </w:rPr>
        <w:t>”（非政采云平台网页）中进行，投标人生成电子标书须具备以下前置条件：</w:t>
      </w:r>
    </w:p>
    <w:p w14:paraId="121DCDF7">
      <w:pPr>
        <w:pStyle w:val="47"/>
        <w:numPr>
          <w:ilvl w:val="0"/>
          <w:numId w:val="31"/>
        </w:numPr>
        <w:ind w:firstLine="480"/>
      </w:pPr>
      <w:r>
        <w:t>已在</w:t>
      </w:r>
      <w:r>
        <w:rPr>
          <w:rFonts w:hint="eastAsia"/>
        </w:rPr>
        <w:t>浙江省</w:t>
      </w:r>
      <w:r>
        <w:t>政府采购网下载并安装</w:t>
      </w:r>
      <w:r>
        <w:rPr>
          <w:rFonts w:hint="eastAsia"/>
        </w:rPr>
        <w:t>“</w:t>
      </w:r>
      <w:r>
        <w:t>政采云投标客户端</w:t>
      </w:r>
      <w:r>
        <w:rPr>
          <w:rFonts w:hint="eastAsia"/>
        </w:rPr>
        <w:t>”；</w:t>
      </w:r>
    </w:p>
    <w:p w14:paraId="57900B1D">
      <w:pPr>
        <w:pStyle w:val="47"/>
        <w:numPr>
          <w:ilvl w:val="0"/>
          <w:numId w:val="31"/>
        </w:numPr>
        <w:ind w:firstLine="480"/>
      </w:pPr>
      <w:r>
        <w:t>已完成CA申领，并在政采云平台与账号绑定</w:t>
      </w:r>
      <w:r>
        <w:rPr>
          <w:rFonts w:hint="eastAsia"/>
        </w:rPr>
        <w:t>；</w:t>
      </w:r>
    </w:p>
    <w:p w14:paraId="4789889E">
      <w:pPr>
        <w:pStyle w:val="47"/>
        <w:numPr>
          <w:ilvl w:val="0"/>
          <w:numId w:val="31"/>
        </w:numPr>
        <w:ind w:firstLine="480"/>
      </w:pPr>
      <w:r>
        <w:t>已下载并安装CA驱动。</w:t>
      </w:r>
    </w:p>
    <w:p w14:paraId="5EA792C8">
      <w:pPr>
        <w:pStyle w:val="39"/>
        <w:ind w:firstLine="480"/>
        <w:rPr>
          <w:u w:val="single"/>
          <w:lang w:eastAsia="zh-CN"/>
        </w:rPr>
      </w:pPr>
      <w:r>
        <w:rPr>
          <w:rFonts w:hint="eastAsia"/>
          <w:u w:val="single"/>
          <w:lang w:val="en-US" w:eastAsia="zh-Hans"/>
        </w:rPr>
        <w:t>建议</w:t>
      </w:r>
      <w:r>
        <w:rPr>
          <w:rFonts w:hint="eastAsia"/>
          <w:u w:val="single"/>
          <w:lang w:eastAsia="zh-CN"/>
        </w:rPr>
        <w:t>使用实体CA锁而非移动数字CA登录投标客户端。</w:t>
      </w:r>
    </w:p>
    <w:p w14:paraId="7F845D09">
      <w:pPr>
        <w:pStyle w:val="38"/>
        <w:keepNext w:val="0"/>
        <w:keepLines w:val="0"/>
        <w:pageBreakBefore w:val="0"/>
        <w:widowControl w:val="0"/>
        <w:kinsoku/>
        <w:wordWrap/>
        <w:overflowPunct/>
        <w:topLinePunct w:val="0"/>
        <w:autoSpaceDE/>
        <w:autoSpaceDN/>
        <w:bidi w:val="0"/>
        <w:adjustRightInd w:val="0"/>
        <w:snapToGrid/>
        <w:ind w:left="0" w:firstLine="482" w:firstLineChars="200"/>
        <w:textAlignment w:val="auto"/>
      </w:pPr>
      <w:bookmarkStart w:id="114" w:name="_Toc1743074849"/>
      <w:r>
        <w:rPr>
          <w:rFonts w:hint="eastAsia"/>
        </w:rPr>
        <w:t>制作投标文件</w:t>
      </w:r>
      <w:bookmarkEnd w:id="114"/>
    </w:p>
    <w:p w14:paraId="0CC5B718">
      <w:pPr>
        <w:pStyle w:val="39"/>
        <w:ind w:firstLine="480"/>
        <w:rPr>
          <w:u w:val="single"/>
        </w:rPr>
      </w:pPr>
      <w:r>
        <w:rPr>
          <w:rFonts w:hint="eastAsia"/>
          <w:u w:val="single"/>
        </w:rPr>
        <w:t>菜单路径：政采云投标客户端</w:t>
      </w:r>
      <w:r>
        <w:rPr>
          <w:u w:val="single"/>
        </w:rPr>
        <w:t>-</w:t>
      </w:r>
      <w:r>
        <w:rPr>
          <w:rFonts w:hint="eastAsia"/>
          <w:u w:val="single"/>
        </w:rPr>
        <w:t>投标响应文件编制</w:t>
      </w:r>
    </w:p>
    <w:p w14:paraId="5E4B1E89">
      <w:pPr>
        <w:pStyle w:val="39"/>
        <w:ind w:firstLine="480"/>
        <w:rPr>
          <w:lang w:eastAsia="zh-CN"/>
        </w:rPr>
      </w:pPr>
      <w:r>
        <w:rPr>
          <w:rFonts w:hint="eastAsia"/>
          <w:lang w:eastAsia="zh-CN"/>
        </w:rPr>
        <w:t>投标人需</w:t>
      </w:r>
      <w:r>
        <w:rPr>
          <w:lang w:eastAsia="zh-CN"/>
        </w:rPr>
        <w:t>在“已报名项目”标签页</w:t>
      </w:r>
      <w:r>
        <w:rPr>
          <w:rFonts w:hint="eastAsia"/>
          <w:lang w:eastAsia="zh-CN"/>
        </w:rPr>
        <w:t>中</w:t>
      </w:r>
      <w:r>
        <w:rPr>
          <w:lang w:eastAsia="zh-CN"/>
        </w:rPr>
        <w:t>选择</w:t>
      </w:r>
      <w:r>
        <w:rPr>
          <w:rFonts w:hint="eastAsia"/>
          <w:lang w:eastAsia="zh-CN"/>
        </w:rPr>
        <w:t>对应</w:t>
      </w:r>
      <w:r>
        <w:rPr>
          <w:lang w:eastAsia="zh-CN"/>
        </w:rPr>
        <w:t>项目，</w:t>
      </w:r>
      <w:r>
        <w:rPr>
          <w:rFonts w:hint="eastAsia"/>
          <w:lang w:eastAsia="zh-CN"/>
        </w:rPr>
        <w:t>并在“标项”弹窗中选择对应标项开始制作</w:t>
      </w:r>
      <w:r>
        <w:rPr>
          <w:lang w:eastAsia="zh-CN"/>
        </w:rPr>
        <w:t>。</w:t>
      </w:r>
    </w:p>
    <w:p w14:paraId="7C89F88A">
      <w:pPr>
        <w:pStyle w:val="38"/>
        <w:keepNext w:val="0"/>
        <w:keepLines w:val="0"/>
        <w:pageBreakBefore w:val="0"/>
        <w:widowControl w:val="0"/>
        <w:kinsoku/>
        <w:wordWrap/>
        <w:overflowPunct/>
        <w:topLinePunct w:val="0"/>
        <w:autoSpaceDE/>
        <w:autoSpaceDN/>
        <w:bidi w:val="0"/>
        <w:adjustRightInd w:val="0"/>
        <w:snapToGrid/>
        <w:ind w:left="0" w:firstLine="482" w:firstLineChars="200"/>
        <w:textAlignment w:val="auto"/>
      </w:pPr>
      <w:bookmarkStart w:id="115" w:name="_Toc2034558416"/>
      <w:r>
        <w:rPr>
          <w:rFonts w:hint="eastAsia"/>
        </w:rPr>
        <w:t>基本信息</w:t>
      </w:r>
      <w:bookmarkEnd w:id="115"/>
    </w:p>
    <w:p w14:paraId="62585C7E">
      <w:pPr>
        <w:pStyle w:val="39"/>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基本信息</w:t>
      </w:r>
    </w:p>
    <w:p w14:paraId="0496F50A">
      <w:pPr>
        <w:pStyle w:val="39"/>
        <w:ind w:firstLine="480"/>
      </w:pPr>
      <w:r>
        <w:rPr>
          <w:rFonts w:hint="eastAsia"/>
          <w:lang w:eastAsia="zh-CN"/>
        </w:rPr>
        <w:t>如本项目</w:t>
      </w:r>
      <w:r>
        <w:rPr>
          <w:rFonts w:hint="eastAsia"/>
        </w:rPr>
        <w:t>“招标公告”规定接受联合体投标的</w:t>
      </w:r>
      <w:r>
        <w:t>，</w:t>
      </w:r>
      <w:r>
        <w:rPr>
          <w:rFonts w:hint="eastAsia"/>
          <w:lang w:eastAsia="zh-CN"/>
        </w:rPr>
        <w:t>且投标人</w:t>
      </w:r>
      <w:r>
        <w:t>需要以联合体身份投标</w:t>
      </w:r>
      <w:r>
        <w:rPr>
          <w:rFonts w:hint="eastAsia"/>
          <w:lang w:eastAsia="zh-CN"/>
        </w:rPr>
        <w:t>的，投标人需在本环节开启“联合体投标”按钮，并录入联合体成员信息。</w:t>
      </w:r>
    </w:p>
    <w:p w14:paraId="793EC217">
      <w:pPr>
        <w:pStyle w:val="38"/>
        <w:keepNext w:val="0"/>
        <w:keepLines w:val="0"/>
        <w:pageBreakBefore w:val="0"/>
        <w:widowControl w:val="0"/>
        <w:kinsoku/>
        <w:wordWrap/>
        <w:overflowPunct/>
        <w:topLinePunct w:val="0"/>
        <w:autoSpaceDE/>
        <w:autoSpaceDN/>
        <w:bidi w:val="0"/>
        <w:adjustRightInd w:val="0"/>
        <w:snapToGrid/>
        <w:ind w:left="0" w:firstLine="482" w:firstLineChars="200"/>
        <w:textAlignment w:val="auto"/>
      </w:pPr>
      <w:bookmarkStart w:id="116" w:name="_Toc441186531"/>
      <w:r>
        <w:rPr>
          <w:rFonts w:hint="eastAsia"/>
        </w:rPr>
        <w:t>导入投标（响应）文件</w:t>
      </w:r>
      <w:bookmarkEnd w:id="116"/>
    </w:p>
    <w:p w14:paraId="2014865B">
      <w:pPr>
        <w:pStyle w:val="39"/>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制作和导入投标（响应）文件</w:t>
      </w:r>
    </w:p>
    <w:p w14:paraId="33F33C28">
      <w:pPr>
        <w:pStyle w:val="39"/>
        <w:ind w:firstLine="480"/>
        <w:rPr>
          <w:lang w:eastAsia="zh-CN"/>
        </w:rPr>
      </w:pPr>
      <w:r>
        <w:rPr>
          <w:rFonts w:hint="eastAsia"/>
          <w:lang w:eastAsia="zh-CN"/>
        </w:rPr>
        <w:t>投标人需在本环节导入事先制作好的资格文件、商务技术文件及报价文件的PDF版本。其中资格文件可以引用资质库中的资质，也可以直接上传本地文件。</w:t>
      </w:r>
    </w:p>
    <w:p w14:paraId="0D6C489C">
      <w:pPr>
        <w:pStyle w:val="39"/>
        <w:ind w:firstLine="480"/>
        <w:rPr>
          <w:lang w:eastAsia="zh-CN"/>
        </w:rPr>
      </w:pPr>
      <w:r>
        <w:rPr>
          <w:rFonts w:hint="eastAsia"/>
          <w:lang w:eastAsia="zh-CN"/>
        </w:rPr>
        <w:t>建议对应客户端中显示的各资格项分页上传资格文件各部分内容。</w:t>
      </w:r>
    </w:p>
    <w:p w14:paraId="518E22DC">
      <w:pPr>
        <w:pStyle w:val="39"/>
        <w:ind w:firstLine="480"/>
        <w:rPr>
          <w:lang w:eastAsia="zh-CN"/>
        </w:rPr>
      </w:pPr>
      <w:r>
        <w:rPr>
          <w:rFonts w:hint="eastAsia"/>
          <w:lang w:eastAsia="zh-CN"/>
        </w:rPr>
        <w:t>在生成电子标书前如需修改投标文件，可在任何阶段返回本环节重新导入文件并重新开始后续步骤。</w:t>
      </w:r>
    </w:p>
    <w:p w14:paraId="5C03D6C9">
      <w:pPr>
        <w:pStyle w:val="38"/>
        <w:keepNext w:val="0"/>
        <w:keepLines w:val="0"/>
        <w:pageBreakBefore w:val="0"/>
        <w:widowControl w:val="0"/>
        <w:kinsoku/>
        <w:wordWrap/>
        <w:overflowPunct/>
        <w:topLinePunct w:val="0"/>
        <w:autoSpaceDE/>
        <w:autoSpaceDN/>
        <w:bidi w:val="0"/>
        <w:adjustRightInd w:val="0"/>
        <w:snapToGrid/>
        <w:ind w:left="0" w:firstLine="482" w:firstLineChars="200"/>
        <w:textAlignment w:val="auto"/>
      </w:pPr>
      <w:bookmarkStart w:id="117" w:name="_Toc1908477073"/>
      <w:r>
        <w:rPr>
          <w:rFonts w:hint="eastAsia"/>
        </w:rPr>
        <w:t>标书关联</w:t>
      </w:r>
      <w:bookmarkEnd w:id="117"/>
    </w:p>
    <w:p w14:paraId="1C8CFA35">
      <w:pPr>
        <w:pStyle w:val="39"/>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标书关联</w:t>
      </w:r>
    </w:p>
    <w:p w14:paraId="63E6221D">
      <w:pPr>
        <w:pStyle w:val="39"/>
        <w:ind w:firstLine="480"/>
        <w:rPr>
          <w:lang w:eastAsia="zh-CN"/>
        </w:rPr>
      </w:pPr>
      <w:r>
        <w:rPr>
          <w:rFonts w:hint="eastAsia"/>
          <w:lang w:eastAsia="zh-CN"/>
        </w:rPr>
        <w:t>投标人需在本环节</w:t>
      </w:r>
      <w:r>
        <w:rPr>
          <w:lang w:eastAsia="zh-CN"/>
        </w:rPr>
        <w:t>填写</w:t>
      </w:r>
      <w:r>
        <w:rPr>
          <w:rFonts w:hint="eastAsia"/>
          <w:lang w:eastAsia="zh-CN"/>
        </w:rPr>
        <w:t>“</w:t>
      </w:r>
      <w:r>
        <w:rPr>
          <w:lang w:eastAsia="zh-CN"/>
        </w:rPr>
        <w:t>开标一览表</w:t>
      </w:r>
      <w:r>
        <w:rPr>
          <w:rFonts w:hint="eastAsia"/>
          <w:lang w:eastAsia="zh-CN"/>
        </w:rPr>
        <w:t>”</w:t>
      </w:r>
      <w:r>
        <w:rPr>
          <w:lang w:eastAsia="zh-CN"/>
        </w:rPr>
        <w:t>，并将各响应项关联至</w:t>
      </w:r>
      <w:r>
        <w:rPr>
          <w:rFonts w:hint="eastAsia"/>
          <w:lang w:eastAsia="zh-CN"/>
        </w:rPr>
        <w:t>投标文件</w:t>
      </w:r>
      <w:r>
        <w:rPr>
          <w:lang w:eastAsia="zh-CN"/>
        </w:rPr>
        <w:t>对应页码，方便专家评审。</w:t>
      </w:r>
    </w:p>
    <w:p w14:paraId="21B5AF27">
      <w:pPr>
        <w:pStyle w:val="39"/>
        <w:ind w:firstLine="480"/>
        <w:rPr>
          <w:lang w:eastAsia="zh-CN"/>
        </w:rPr>
      </w:pPr>
      <w:r>
        <w:rPr>
          <w:rFonts w:hint="eastAsia"/>
          <w:lang w:eastAsia="zh-CN"/>
        </w:rPr>
        <w:t>此处“开标一览表”的信息录入须与报价文件中的《开标一览表》内容一致。</w:t>
      </w:r>
    </w:p>
    <w:p w14:paraId="1BAF35A7">
      <w:pPr>
        <w:pStyle w:val="39"/>
        <w:ind w:firstLine="480"/>
        <w:rPr>
          <w:lang w:eastAsia="zh-CN"/>
        </w:rPr>
      </w:pPr>
      <w:r>
        <w:rPr>
          <w:rFonts w:hint="eastAsia"/>
          <w:lang w:eastAsia="zh-CN"/>
        </w:rPr>
        <w:t>除符合性要求的关联可指向文件封面外，其他响应项均应正确“关联定位”投标文件对应位置；无响应内容的，投标人可选择“放弃关联”。</w:t>
      </w:r>
    </w:p>
    <w:p w14:paraId="05391AF2">
      <w:pPr>
        <w:pStyle w:val="39"/>
        <w:ind w:firstLine="480"/>
        <w:rPr>
          <w:lang w:eastAsia="zh-CN"/>
        </w:rPr>
      </w:pPr>
      <w:r>
        <w:rPr>
          <w:rFonts w:hint="eastAsia"/>
          <w:lang w:eastAsia="zh-CN"/>
        </w:rPr>
        <w:t>因投标人未正确关联</w:t>
      </w:r>
      <w:r>
        <w:rPr>
          <w:lang w:eastAsia="zh-CN"/>
        </w:rPr>
        <w:t>导致</w:t>
      </w:r>
      <w:r>
        <w:rPr>
          <w:rFonts w:hint="eastAsia"/>
          <w:lang w:eastAsia="zh-CN"/>
        </w:rPr>
        <w:t>投标文件</w:t>
      </w:r>
      <w:r>
        <w:rPr>
          <w:lang w:eastAsia="zh-CN"/>
        </w:rPr>
        <w:t>被误读、漏读或者查找不到相关内容的，是投标</w:t>
      </w:r>
      <w:r>
        <w:rPr>
          <w:rFonts w:hint="eastAsia"/>
          <w:lang w:eastAsia="zh-CN"/>
        </w:rPr>
        <w:t>人</w:t>
      </w:r>
      <w:r>
        <w:rPr>
          <w:lang w:eastAsia="zh-CN"/>
        </w:rPr>
        <w:t>的责任。</w:t>
      </w:r>
    </w:p>
    <w:p w14:paraId="5747FC7D">
      <w:pPr>
        <w:pStyle w:val="38"/>
        <w:keepNext w:val="0"/>
        <w:keepLines w:val="0"/>
        <w:pageBreakBefore w:val="0"/>
        <w:widowControl w:val="0"/>
        <w:kinsoku/>
        <w:wordWrap/>
        <w:overflowPunct/>
        <w:topLinePunct w:val="0"/>
        <w:autoSpaceDE/>
        <w:autoSpaceDN/>
        <w:bidi w:val="0"/>
        <w:adjustRightInd w:val="0"/>
        <w:snapToGrid/>
        <w:ind w:left="0" w:firstLine="482" w:firstLineChars="200"/>
        <w:textAlignment w:val="auto"/>
      </w:pPr>
      <w:bookmarkStart w:id="118" w:name="_Toc958414319"/>
      <w:r>
        <w:rPr>
          <w:rFonts w:hint="eastAsia"/>
        </w:rPr>
        <w:t>标书检查</w:t>
      </w:r>
      <w:bookmarkEnd w:id="118"/>
    </w:p>
    <w:p w14:paraId="0CABFE15">
      <w:pPr>
        <w:pStyle w:val="39"/>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标书检查</w:t>
      </w:r>
    </w:p>
    <w:p w14:paraId="4A64C730">
      <w:pPr>
        <w:pStyle w:val="39"/>
        <w:ind w:firstLine="480"/>
        <w:rPr>
          <w:lang w:eastAsia="zh-CN"/>
        </w:rPr>
      </w:pPr>
      <w:r>
        <w:rPr>
          <w:rFonts w:hint="eastAsia"/>
          <w:lang w:eastAsia="zh-CN"/>
        </w:rPr>
        <w:t>点击“检查”按钮后</w:t>
      </w:r>
      <w:r>
        <w:rPr>
          <w:lang w:eastAsia="zh-CN"/>
        </w:rPr>
        <w:t>系统自动检查标书情况，如</w:t>
      </w:r>
      <w:r>
        <w:rPr>
          <w:rFonts w:hint="eastAsia"/>
          <w:lang w:eastAsia="zh-CN"/>
        </w:rPr>
        <w:t>出现异常请及时</w:t>
      </w:r>
      <w:r>
        <w:rPr>
          <w:lang w:eastAsia="zh-CN"/>
        </w:rPr>
        <w:t>根据问题进行修改，完成后点击“检查</w:t>
      </w:r>
      <w:r>
        <w:rPr>
          <w:rFonts w:hint="eastAsia"/>
          <w:lang w:eastAsia="zh-CN"/>
        </w:rPr>
        <w:t>”</w:t>
      </w:r>
      <w:r>
        <w:rPr>
          <w:lang w:eastAsia="zh-CN"/>
        </w:rPr>
        <w:t>。</w:t>
      </w:r>
    </w:p>
    <w:p w14:paraId="795B3EAD">
      <w:pPr>
        <w:pStyle w:val="39"/>
        <w:ind w:firstLine="480"/>
        <w:rPr>
          <w:lang w:eastAsia="zh-CN"/>
        </w:rPr>
      </w:pPr>
      <w:r>
        <w:rPr>
          <w:lang w:eastAsia="zh-CN"/>
        </w:rPr>
        <w:t>标书检查完成</w:t>
      </w:r>
      <w:r>
        <w:rPr>
          <w:rFonts w:hint="eastAsia"/>
          <w:lang w:eastAsia="zh-CN"/>
        </w:rPr>
        <w:t>后</w:t>
      </w:r>
      <w:r>
        <w:rPr>
          <w:lang w:eastAsia="zh-CN"/>
        </w:rPr>
        <w:t>已关联内容会被锁定。如需更改，点击“恢复编辑</w:t>
      </w:r>
      <w:r>
        <w:rPr>
          <w:rFonts w:hint="eastAsia"/>
          <w:lang w:eastAsia="zh-CN"/>
        </w:rPr>
        <w:t>”</w:t>
      </w:r>
      <w:r>
        <w:rPr>
          <w:lang w:eastAsia="zh-CN"/>
        </w:rPr>
        <w:t>可重新操作。</w:t>
      </w:r>
    </w:p>
    <w:p w14:paraId="5856615D">
      <w:pPr>
        <w:pStyle w:val="38"/>
        <w:keepNext w:val="0"/>
        <w:keepLines w:val="0"/>
        <w:pageBreakBefore w:val="0"/>
        <w:widowControl w:val="0"/>
        <w:kinsoku/>
        <w:wordWrap/>
        <w:overflowPunct/>
        <w:topLinePunct w:val="0"/>
        <w:autoSpaceDE/>
        <w:autoSpaceDN/>
        <w:bidi w:val="0"/>
        <w:adjustRightInd w:val="0"/>
        <w:snapToGrid/>
        <w:ind w:left="0" w:firstLine="482" w:firstLineChars="200"/>
        <w:textAlignment w:val="auto"/>
      </w:pPr>
      <w:bookmarkStart w:id="119" w:name="_Toc1942106933"/>
      <w:r>
        <w:rPr>
          <w:rFonts w:hint="eastAsia"/>
        </w:rPr>
        <w:t>电子签名</w:t>
      </w:r>
      <w:bookmarkEnd w:id="119"/>
    </w:p>
    <w:p w14:paraId="6BD33D11">
      <w:pPr>
        <w:pStyle w:val="39"/>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电子签名</w:t>
      </w:r>
    </w:p>
    <w:p w14:paraId="48EFA5F5">
      <w:pPr>
        <w:pStyle w:val="39"/>
        <w:ind w:firstLine="480"/>
        <w:rPr>
          <w:lang w:eastAsia="zh-CN"/>
        </w:rPr>
      </w:pPr>
      <w:r>
        <w:rPr>
          <w:rFonts w:hint="eastAsia"/>
          <w:lang w:eastAsia="zh-CN"/>
        </w:rPr>
        <w:t>投标人须在本环节</w:t>
      </w:r>
      <w:r>
        <w:rPr>
          <w:lang w:eastAsia="zh-CN"/>
        </w:rPr>
        <w:t>点击</w:t>
      </w:r>
      <w:r>
        <w:rPr>
          <w:rFonts w:hint="eastAsia"/>
          <w:lang w:eastAsia="zh-CN"/>
        </w:rPr>
        <w:t>需要签章的页面，并选择“</w:t>
      </w:r>
      <w:r>
        <w:rPr>
          <w:lang w:eastAsia="zh-CN"/>
        </w:rPr>
        <w:t>单页签/多页签/骑缝章</w:t>
      </w:r>
      <w:r>
        <w:rPr>
          <w:rFonts w:hint="eastAsia"/>
          <w:lang w:eastAsia="zh-CN"/>
        </w:rPr>
        <w:t>”，可在调整印章大小后拖至盖章处，完成电子签章</w:t>
      </w:r>
      <w:r>
        <w:rPr>
          <w:lang w:eastAsia="zh-CN"/>
        </w:rPr>
        <w:t>。</w:t>
      </w:r>
    </w:p>
    <w:p w14:paraId="59067BAD">
      <w:pPr>
        <w:pStyle w:val="39"/>
        <w:ind w:firstLine="480"/>
        <w:rPr>
          <w:lang w:eastAsia="zh-CN"/>
        </w:rPr>
      </w:pPr>
      <w:r>
        <w:rPr>
          <w:lang w:eastAsia="zh-CN"/>
        </w:rPr>
        <w:t>招标文件对投标文件签署、盖章的要求适用于电子签名</w:t>
      </w:r>
      <w:r>
        <w:rPr>
          <w:rFonts w:hint="eastAsia"/>
          <w:lang w:eastAsia="zh-CN"/>
        </w:rPr>
        <w:t>。</w:t>
      </w:r>
    </w:p>
    <w:p w14:paraId="294BF22A">
      <w:pPr>
        <w:pStyle w:val="39"/>
        <w:ind w:firstLine="480"/>
        <w:rPr>
          <w:lang w:eastAsia="zh-CN"/>
        </w:rPr>
      </w:pPr>
      <w:r>
        <w:rPr>
          <w:rFonts w:hint="eastAsia"/>
          <w:lang w:eastAsia="zh-CN"/>
        </w:rPr>
        <w:t>CA中无除公章外其他（如法定代表人章等）电子签章的可事先在PDF中扫描制作再导入、关联、签章（电子公章）。</w:t>
      </w:r>
      <w:r>
        <w:rPr>
          <w:lang w:eastAsia="zh-CN"/>
        </w:rPr>
        <w:t>为确保网上操作合法、有效和安全，投标人应当在投标截止时间前完成在“政府采购云平台”的身份认证，确保在电子投标过程中能够对相关数据电文进行加密和使用电子签名。</w:t>
      </w:r>
    </w:p>
    <w:p w14:paraId="18259A05">
      <w:pPr>
        <w:pStyle w:val="38"/>
        <w:keepNext w:val="0"/>
        <w:keepLines w:val="0"/>
        <w:pageBreakBefore w:val="0"/>
        <w:widowControl w:val="0"/>
        <w:kinsoku/>
        <w:wordWrap/>
        <w:overflowPunct/>
        <w:topLinePunct w:val="0"/>
        <w:autoSpaceDE/>
        <w:autoSpaceDN/>
        <w:bidi w:val="0"/>
        <w:adjustRightInd w:val="0"/>
        <w:snapToGrid/>
        <w:ind w:left="0" w:firstLine="482" w:firstLineChars="200"/>
        <w:textAlignment w:val="auto"/>
      </w:pPr>
      <w:bookmarkStart w:id="120" w:name="_Toc1387272178"/>
      <w:r>
        <w:rPr>
          <w:rFonts w:hint="eastAsia"/>
        </w:rPr>
        <w:t>生成电子标书</w:t>
      </w:r>
      <w:bookmarkEnd w:id="120"/>
    </w:p>
    <w:p w14:paraId="7CD7DA80">
      <w:pPr>
        <w:pStyle w:val="39"/>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生成电子标书</w:t>
      </w:r>
    </w:p>
    <w:p w14:paraId="62697956">
      <w:pPr>
        <w:pStyle w:val="39"/>
        <w:ind w:firstLine="480"/>
        <w:rPr>
          <w:lang w:eastAsia="zh-CN"/>
        </w:rPr>
      </w:pPr>
      <w:r>
        <w:rPr>
          <w:rFonts w:hint="eastAsia"/>
          <w:lang w:eastAsia="zh-CN"/>
        </w:rPr>
        <w:t>点击“生成电子标书”并选择保存位置，系统将</w:t>
      </w:r>
      <w:r>
        <w:rPr>
          <w:lang w:eastAsia="zh-CN"/>
        </w:rPr>
        <w:t>生成两份电子标书，一份</w:t>
      </w:r>
      <w:r>
        <w:rPr>
          <w:rFonts w:hint="eastAsia"/>
          <w:lang w:eastAsia="zh-CN"/>
        </w:rPr>
        <w:t>文件格式为“.</w:t>
      </w:r>
      <w:r>
        <w:rPr>
          <w:lang w:eastAsia="zh-CN"/>
        </w:rPr>
        <w:t>jmbs”</w:t>
      </w:r>
      <w:r>
        <w:rPr>
          <w:rFonts w:hint="eastAsia"/>
          <w:lang w:eastAsia="zh-CN"/>
        </w:rPr>
        <w:t>的</w:t>
      </w:r>
      <w:r>
        <w:rPr>
          <w:lang w:eastAsia="zh-CN"/>
        </w:rPr>
        <w:t>加密标书，一份</w:t>
      </w:r>
      <w:r>
        <w:rPr>
          <w:rFonts w:hint="eastAsia"/>
          <w:lang w:eastAsia="zh-CN"/>
        </w:rPr>
        <w:t>文件格式为“.</w:t>
      </w:r>
      <w:r>
        <w:rPr>
          <w:lang w:eastAsia="zh-CN"/>
        </w:rPr>
        <w:t>bfbs”</w:t>
      </w:r>
      <w:r>
        <w:rPr>
          <w:rFonts w:hint="eastAsia"/>
          <w:lang w:eastAsia="zh-CN"/>
        </w:rPr>
        <w:t>的</w:t>
      </w:r>
      <w:r>
        <w:rPr>
          <w:lang w:eastAsia="zh-CN"/>
        </w:rPr>
        <w:t>备份标书</w:t>
      </w:r>
      <w:r>
        <w:rPr>
          <w:rFonts w:hint="eastAsia"/>
          <w:lang w:eastAsia="zh-CN"/>
        </w:rPr>
        <w:t>。</w:t>
      </w:r>
    </w:p>
    <w:p w14:paraId="2469780E">
      <w:pPr>
        <w:pStyle w:val="39"/>
        <w:ind w:firstLine="480"/>
        <w:rPr>
          <w:u w:val="single"/>
        </w:rPr>
      </w:pPr>
      <w:r>
        <w:rPr>
          <w:rFonts w:hint="eastAsia"/>
          <w:u w:val="single"/>
        </w:rPr>
        <w:t>投标人</w:t>
      </w:r>
      <w:r>
        <w:rPr>
          <w:rFonts w:hint="eastAsia"/>
          <w:u w:val="single"/>
          <w:lang w:eastAsia="zh-CN"/>
        </w:rPr>
        <w:t>可</w:t>
      </w:r>
      <w:r>
        <w:rPr>
          <w:rFonts w:hint="eastAsia"/>
          <w:u w:val="single"/>
        </w:rPr>
        <w:t>登录“政府采购云平台”</w:t>
      </w:r>
      <w:r>
        <w:rPr>
          <w:rFonts w:hint="eastAsia"/>
          <w:u w:val="single"/>
          <w:lang w:eastAsia="zh-CN"/>
        </w:rPr>
        <w:t>（网页）</w:t>
      </w:r>
      <w:r>
        <w:rPr>
          <w:rFonts w:hint="eastAsia"/>
          <w:u w:val="single"/>
        </w:rPr>
        <w:t>，点击“前台大厅</w:t>
      </w:r>
      <w:r>
        <w:rPr>
          <w:u w:val="single"/>
        </w:rPr>
        <w:t>-</w:t>
      </w:r>
      <w:r>
        <w:rPr>
          <w:rFonts w:hint="eastAsia"/>
          <w:u w:val="single"/>
        </w:rPr>
        <w:t>服务中心（右上角）</w:t>
      </w:r>
      <w:r>
        <w:rPr>
          <w:u w:val="single"/>
        </w:rPr>
        <w:t>-</w:t>
      </w:r>
      <w:r>
        <w:rPr>
          <w:rFonts w:hint="eastAsia"/>
          <w:u w:val="single"/>
        </w:rPr>
        <w:t>帮助文档</w:t>
      </w:r>
      <w:r>
        <w:rPr>
          <w:u w:val="single"/>
        </w:rPr>
        <w:t>-</w:t>
      </w:r>
      <w:r>
        <w:rPr>
          <w:rFonts w:hint="eastAsia"/>
          <w:u w:val="single"/>
        </w:rPr>
        <w:t>项目采购（文档目录）”，查看</w:t>
      </w:r>
      <w:r>
        <w:rPr>
          <w:rFonts w:hint="eastAsia"/>
          <w:u w:val="single"/>
          <w:lang w:eastAsia="zh-CN"/>
        </w:rPr>
        <w:t>具体的</w:t>
      </w:r>
      <w:r>
        <w:rPr>
          <w:rFonts w:hint="eastAsia"/>
          <w:u w:val="single"/>
        </w:rPr>
        <w:t>电子标书的生成帮助。</w:t>
      </w:r>
    </w:p>
    <w:p w14:paraId="5A7474F3">
      <w:pPr>
        <w:pStyle w:val="39"/>
        <w:ind w:firstLine="480"/>
        <w:rPr>
          <w:u w:val="single"/>
        </w:rPr>
      </w:pPr>
      <w:r>
        <w:rPr>
          <w:rFonts w:hint="eastAsia"/>
          <w:u w:val="single"/>
        </w:rPr>
        <w:t>如有疑问，可致电政府采购云平台技术支持热线咨询，联系方式：400-881-7190；CA问题联系电话（人工）：汇信CA 400-888-4636；天谷CA 400-087-8198。</w:t>
      </w:r>
    </w:p>
    <w:p w14:paraId="7AB7F760">
      <w:pPr>
        <w:pStyle w:val="39"/>
        <w:ind w:firstLine="480"/>
        <w:rPr>
          <w:u w:val="single"/>
        </w:rPr>
      </w:pPr>
    </w:p>
    <w:p w14:paraId="063EDA1A">
      <w:pPr>
        <w:pStyle w:val="41"/>
      </w:pPr>
      <w:bookmarkStart w:id="121" w:name="_Toc464483848"/>
      <w:bookmarkEnd w:id="121"/>
      <w:bookmarkStart w:id="122" w:name="_Toc421951715"/>
      <w:bookmarkStart w:id="123" w:name="_Toc653540167"/>
      <w:r>
        <w:rPr>
          <w:rFonts w:hint="eastAsia"/>
        </w:rPr>
        <w:t>投 标</w:t>
      </w:r>
      <w:bookmarkEnd w:id="122"/>
      <w:bookmarkEnd w:id="123"/>
    </w:p>
    <w:p w14:paraId="3CC967E4">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124" w:name="_Toc751471611"/>
      <w:bookmarkStart w:id="125" w:name="_Toc1818216011"/>
      <w:r>
        <w:rPr>
          <w:rFonts w:hint="eastAsia"/>
          <w:lang w:val="en-US" w:eastAsia="zh-Hans"/>
        </w:rPr>
        <w:t>投标范围</w:t>
      </w:r>
      <w:bookmarkEnd w:id="124"/>
      <w:bookmarkEnd w:id="125"/>
    </w:p>
    <w:p w14:paraId="3837B1E6">
      <w:pPr>
        <w:pStyle w:val="39"/>
        <w:bidi w:val="0"/>
        <w:rPr>
          <w:rFonts w:hint="default"/>
          <w:lang w:val="en-US" w:eastAsia="zh-Hans"/>
        </w:rPr>
      </w:pPr>
      <w:r>
        <w:rPr>
          <w:rFonts w:hint="eastAsia"/>
          <w:lang w:val="en-US" w:eastAsia="zh-Hans"/>
        </w:rPr>
        <w:t>本项目如存在多个标项的，投标人可选择一个或多个标项进行投报，中标规则见“前附表”。</w:t>
      </w:r>
    </w:p>
    <w:p w14:paraId="23621132">
      <w:pPr>
        <w:pStyle w:val="47"/>
        <w:numPr>
          <w:ilvl w:val="0"/>
          <w:numId w:val="0"/>
        </w:numPr>
        <w:bidi w:val="0"/>
        <w:ind w:leftChars="200"/>
      </w:pPr>
      <w:r>
        <w:t>投标人对所投标项内的采购内容必须全部进行投标。</w:t>
      </w:r>
    </w:p>
    <w:p w14:paraId="4845B6B3">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126" w:name="_Toc64200067"/>
      <w:bookmarkStart w:id="127" w:name="_Toc632038070"/>
      <w:r>
        <w:rPr>
          <w:rFonts w:hint="eastAsia"/>
        </w:rPr>
        <w:t>投标文件的上传（递交）</w:t>
      </w:r>
      <w:bookmarkEnd w:id="126"/>
      <w:bookmarkEnd w:id="127"/>
    </w:p>
    <w:p w14:paraId="2738AC60">
      <w:pPr>
        <w:pStyle w:val="39"/>
        <w:ind w:firstLine="480"/>
        <w:rPr>
          <w:lang w:eastAsia="zh-CN"/>
        </w:rPr>
      </w:pPr>
      <w:r>
        <w:rPr>
          <w:rFonts w:hint="eastAsia"/>
          <w:lang w:eastAsia="zh-CN"/>
        </w:rPr>
        <w:t>投标人</w:t>
      </w:r>
      <w:r>
        <w:rPr>
          <w:rFonts w:hint="eastAsia"/>
        </w:rPr>
        <w:t>生成加密标书后，需在投标截止时间前将加密的投标文件上传至</w:t>
      </w:r>
      <w:r>
        <w:t>“政府采购云平台”（网页）</w:t>
      </w:r>
      <w:r>
        <w:rPr>
          <w:rFonts w:hint="eastAsia"/>
          <w:lang w:eastAsia="zh-CN"/>
        </w:rPr>
        <w:t>。</w:t>
      </w:r>
    </w:p>
    <w:p w14:paraId="23ABBC06">
      <w:pPr>
        <w:pStyle w:val="39"/>
        <w:ind w:firstLine="480"/>
        <w:rPr>
          <w:u w:val="single"/>
        </w:rPr>
      </w:pPr>
      <w:r>
        <w:rPr>
          <w:u w:val="single"/>
        </w:rPr>
        <w:t>菜单路径：我的工作台-项目采购-投标文件上传</w:t>
      </w:r>
    </w:p>
    <w:p w14:paraId="4CE6698F">
      <w:pPr>
        <w:pStyle w:val="39"/>
        <w:ind w:firstLine="480"/>
        <w:rPr>
          <w:lang w:eastAsia="zh-CN"/>
        </w:rPr>
      </w:pPr>
      <w:r>
        <w:rPr>
          <w:rFonts w:hint="eastAsia"/>
          <w:lang w:eastAsia="zh-CN"/>
        </w:rPr>
        <w:t>在“进行中”的项目中选择本项目“上传”文件格式为“.</w:t>
      </w:r>
      <w:r>
        <w:rPr>
          <w:lang w:eastAsia="zh-CN"/>
        </w:rPr>
        <w:t>jmbs”</w:t>
      </w:r>
      <w:r>
        <w:rPr>
          <w:rFonts w:hint="eastAsia"/>
          <w:lang w:eastAsia="zh-CN"/>
        </w:rPr>
        <w:t>的电子加密标书，并如实填写联系信息</w:t>
      </w:r>
      <w:r>
        <w:rPr>
          <w:rFonts w:hint="eastAsia"/>
          <w:u w:val="single"/>
          <w:lang w:eastAsia="zh-CN"/>
        </w:rPr>
        <w:t>（该联系信息用于接收开评标期间的有关信息，务必真实并确保联系畅通。）</w:t>
      </w:r>
    </w:p>
    <w:p w14:paraId="2B880E75">
      <w:pPr>
        <w:pStyle w:val="39"/>
        <w:ind w:firstLine="480"/>
        <w:rPr>
          <w:u w:val="single"/>
        </w:rPr>
      </w:pPr>
      <w:r>
        <w:rPr>
          <w:u w:val="single"/>
        </w:rPr>
        <w:t>投标截止时间后传输递交的投标文件，“政府采购云平台”将予以拒收。</w:t>
      </w:r>
    </w:p>
    <w:p w14:paraId="72B07A65">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128" w:name="_Toc1209724428"/>
      <w:bookmarkStart w:id="129" w:name="_Toc973735275"/>
      <w:r>
        <w:rPr>
          <w:rFonts w:hint="eastAsia"/>
        </w:rPr>
        <w:t>投标文件的补充、修改、撤回</w:t>
      </w:r>
      <w:bookmarkEnd w:id="128"/>
      <w:bookmarkEnd w:id="129"/>
    </w:p>
    <w:p w14:paraId="7144F978">
      <w:pPr>
        <w:pStyle w:val="39"/>
        <w:ind w:firstLine="480"/>
        <w:rPr>
          <w:lang w:eastAsia="zh-CN"/>
        </w:rPr>
      </w:pPr>
      <w:r>
        <w:t>在投标截止时间前，</w:t>
      </w:r>
      <w:r>
        <w:rPr>
          <w:rFonts w:hint="eastAsia"/>
          <w:lang w:eastAsia="zh-CN"/>
        </w:rPr>
        <w:t>投标人</w:t>
      </w:r>
      <w:r>
        <w:t>可</w:t>
      </w:r>
      <w:r>
        <w:rPr>
          <w:rFonts w:hint="eastAsia"/>
          <w:lang w:eastAsia="zh-CN"/>
        </w:rPr>
        <w:t>在</w:t>
      </w:r>
      <w:r>
        <w:t>“政府采购云平台”（网页）</w:t>
      </w:r>
      <w:r>
        <w:rPr>
          <w:rFonts w:hint="eastAsia"/>
          <w:lang w:eastAsia="zh-CN"/>
        </w:rPr>
        <w:t>中“</w:t>
      </w:r>
      <w:r>
        <w:t>我的工作台-项目采购-投标文件上传</w:t>
      </w:r>
      <w:r>
        <w:rPr>
          <w:rFonts w:hint="eastAsia"/>
          <w:lang w:eastAsia="zh-CN"/>
        </w:rPr>
        <w:t>”页面</w:t>
      </w:r>
      <w:r>
        <w:t>撤回</w:t>
      </w:r>
      <w:r>
        <w:rPr>
          <w:rFonts w:hint="eastAsia"/>
          <w:lang w:eastAsia="zh-CN"/>
        </w:rPr>
        <w:t>本项目</w:t>
      </w:r>
      <w:r>
        <w:t>投标文件，</w:t>
      </w:r>
      <w:r>
        <w:rPr>
          <w:rFonts w:hint="eastAsia"/>
          <w:lang w:eastAsia="zh-CN"/>
        </w:rPr>
        <w:t>也可在撤回后在“</w:t>
      </w:r>
      <w:r>
        <w:t>政采云投标客户端</w:t>
      </w:r>
      <w:r>
        <w:rPr>
          <w:rFonts w:hint="eastAsia"/>
          <w:lang w:eastAsia="zh-CN"/>
        </w:rPr>
        <w:t>”中补充、修改并重新生成电子加密标书重新上传。</w:t>
      </w:r>
      <w:r>
        <w:rPr>
          <w:lang w:eastAsia="zh-CN"/>
        </w:rPr>
        <w:t>投标截止时间前未重新完成</w:t>
      </w:r>
      <w:r>
        <w:rPr>
          <w:rFonts w:hint="eastAsia"/>
          <w:lang w:eastAsia="zh-CN"/>
        </w:rPr>
        <w:t>上传</w:t>
      </w:r>
      <w:r>
        <w:rPr>
          <w:lang w:eastAsia="zh-CN"/>
        </w:rPr>
        <w:t>的，视为撤回投标文件。</w:t>
      </w:r>
    </w:p>
    <w:p w14:paraId="485AC798">
      <w:pPr>
        <w:pStyle w:val="39"/>
        <w:ind w:firstLine="480"/>
      </w:pPr>
      <w:r>
        <w:rPr>
          <w:rFonts w:hint="eastAsia"/>
          <w:lang w:eastAsia="zh-CN"/>
        </w:rPr>
        <w:t>在投标截止时间后，投标人</w:t>
      </w:r>
      <w:r>
        <w:rPr>
          <w:lang w:eastAsia="zh-CN"/>
        </w:rPr>
        <w:t>不得对投标文件进行补充、修改或撤回。</w:t>
      </w:r>
    </w:p>
    <w:p w14:paraId="4CCCF2EA">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130" w:name="_Toc1610775247"/>
      <w:bookmarkStart w:id="131" w:name="_Toc1743376785"/>
      <w:r>
        <w:rPr>
          <w:rFonts w:hint="eastAsia"/>
        </w:rPr>
        <w:t>投标文件的备份文件</w:t>
      </w:r>
      <w:bookmarkEnd w:id="130"/>
      <w:bookmarkEnd w:id="131"/>
    </w:p>
    <w:p w14:paraId="0B9025FE">
      <w:pPr>
        <w:pStyle w:val="38"/>
        <w:keepNext w:val="0"/>
        <w:keepLines w:val="0"/>
        <w:pageBreakBefore w:val="0"/>
        <w:widowControl w:val="0"/>
        <w:kinsoku/>
        <w:wordWrap/>
        <w:overflowPunct/>
        <w:topLinePunct w:val="0"/>
        <w:autoSpaceDE/>
        <w:autoSpaceDN/>
        <w:bidi w:val="0"/>
        <w:adjustRightInd w:val="0"/>
        <w:snapToGrid/>
        <w:ind w:left="0" w:firstLine="482" w:firstLineChars="200"/>
        <w:textAlignment w:val="auto"/>
      </w:pPr>
      <w:bookmarkStart w:id="132" w:name="_Toc666745827"/>
      <w:r>
        <w:rPr>
          <w:rFonts w:hint="eastAsia"/>
        </w:rPr>
        <w:t>备份文件的生成</w:t>
      </w:r>
      <w:bookmarkEnd w:id="132"/>
    </w:p>
    <w:p w14:paraId="2A94D951">
      <w:pPr>
        <w:pStyle w:val="39"/>
        <w:ind w:firstLine="480"/>
      </w:pPr>
      <w:r>
        <w:rPr>
          <w:rFonts w:hint="eastAsia"/>
          <w:lang w:eastAsia="zh-CN"/>
        </w:rPr>
        <w:t>投标人递</w:t>
      </w:r>
      <w:r>
        <w:t>交的备份投标文件应当是通过“政采云电子交易客户端”完成投标文件编制后，与电子加密“投标文件”同时生成的数据电文形式的未加密的备份投标文件，文件格式</w:t>
      </w:r>
      <w:r>
        <w:rPr>
          <w:rFonts w:hint="eastAsia"/>
          <w:lang w:eastAsia="zh-CN"/>
        </w:rPr>
        <w:t>为</w:t>
      </w:r>
      <w:r>
        <w:t>“.bfbs”。</w:t>
      </w:r>
    </w:p>
    <w:p w14:paraId="6161D93D">
      <w:pPr>
        <w:pStyle w:val="39"/>
        <w:ind w:firstLine="480"/>
      </w:pPr>
      <w:r>
        <w:t>以其他方式编制的“备份投标文件”视为无效“备份投标文件”。</w:t>
      </w:r>
    </w:p>
    <w:p w14:paraId="444C47A2">
      <w:pPr>
        <w:pStyle w:val="38"/>
        <w:keepNext w:val="0"/>
        <w:keepLines w:val="0"/>
        <w:pageBreakBefore w:val="0"/>
        <w:widowControl w:val="0"/>
        <w:kinsoku/>
        <w:wordWrap/>
        <w:overflowPunct/>
        <w:topLinePunct w:val="0"/>
        <w:autoSpaceDE/>
        <w:autoSpaceDN/>
        <w:bidi w:val="0"/>
        <w:adjustRightInd w:val="0"/>
        <w:snapToGrid/>
        <w:ind w:left="0" w:firstLine="482" w:firstLineChars="200"/>
        <w:textAlignment w:val="auto"/>
      </w:pPr>
      <w:bookmarkStart w:id="133" w:name="_Toc427444343"/>
      <w:r>
        <w:t>备份投标文件的递交与接收</w:t>
      </w:r>
      <w:bookmarkEnd w:id="133"/>
    </w:p>
    <w:p w14:paraId="0A4751EE">
      <w:pPr>
        <w:pStyle w:val="39"/>
        <w:ind w:firstLine="480"/>
      </w:pPr>
      <w:r>
        <w:rPr>
          <w:rFonts w:hint="eastAsia"/>
          <w:lang w:eastAsia="zh-CN"/>
        </w:rPr>
        <w:t>投标人可以在</w:t>
      </w:r>
      <w:r>
        <w:t>投标截止时间前以邮寄等方式</w:t>
      </w:r>
      <w:r>
        <w:rPr>
          <w:rFonts w:hint="eastAsia"/>
          <w:lang w:eastAsia="zh-CN"/>
        </w:rPr>
        <w:t>将密封包装的</w:t>
      </w:r>
      <w:r>
        <w:t>备份投标文件</w:t>
      </w:r>
      <w:r>
        <w:rPr>
          <w:rFonts w:hint="eastAsia"/>
          <w:lang w:eastAsia="zh-CN"/>
        </w:rPr>
        <w:t>送至招标</w:t>
      </w:r>
      <w:r>
        <w:t>代理机构（</w:t>
      </w:r>
      <w:r>
        <w:rPr>
          <w:rFonts w:hint="eastAsia"/>
          <w:lang w:eastAsia="zh-CN"/>
        </w:rPr>
        <w:t>联系方式见招标公告</w:t>
      </w:r>
      <w:r>
        <w:t>），送达时间以</w:t>
      </w:r>
      <w:r>
        <w:rPr>
          <w:rFonts w:hint="eastAsia"/>
          <w:lang w:eastAsia="zh-CN"/>
        </w:rPr>
        <w:t>招标</w:t>
      </w:r>
      <w:r>
        <w:t>代理机构工作人员实际签收时间为准</w:t>
      </w:r>
      <w:r>
        <w:rPr>
          <w:rFonts w:hint="eastAsia"/>
          <w:lang w:eastAsia="zh-CN"/>
        </w:rPr>
        <w:t>。</w:t>
      </w:r>
      <w:r>
        <w:t>“备份投标文件”逾期送达的视为未递交。</w:t>
      </w:r>
    </w:p>
    <w:p w14:paraId="4D4B806A">
      <w:pPr>
        <w:pStyle w:val="39"/>
        <w:ind w:firstLine="480"/>
        <w:rPr>
          <w:u w:val="single"/>
        </w:rPr>
      </w:pPr>
      <w:r>
        <w:rPr>
          <w:u w:val="single"/>
        </w:rPr>
        <w:t>“备份投标文件”由</w:t>
      </w:r>
      <w:r>
        <w:rPr>
          <w:rFonts w:hint="eastAsia"/>
          <w:u w:val="single"/>
          <w:lang w:eastAsia="zh-CN"/>
        </w:rPr>
        <w:t>投标人</w:t>
      </w:r>
      <w:r>
        <w:rPr>
          <w:u w:val="single"/>
        </w:rPr>
        <w:t>自愿提交，不作强制性要求，但供应商仅递交了“备份投标文件”的，投标无效。</w:t>
      </w:r>
    </w:p>
    <w:p w14:paraId="4AED32BF">
      <w:pPr>
        <w:pStyle w:val="38"/>
        <w:keepNext w:val="0"/>
        <w:keepLines w:val="0"/>
        <w:pageBreakBefore w:val="0"/>
        <w:widowControl w:val="0"/>
        <w:kinsoku/>
        <w:wordWrap/>
        <w:overflowPunct/>
        <w:topLinePunct w:val="0"/>
        <w:autoSpaceDE/>
        <w:autoSpaceDN/>
        <w:bidi w:val="0"/>
        <w:adjustRightInd w:val="0"/>
        <w:snapToGrid/>
        <w:ind w:left="0" w:firstLine="482" w:firstLineChars="200"/>
        <w:textAlignment w:val="auto"/>
      </w:pPr>
      <w:bookmarkStart w:id="134" w:name="_Toc724273586"/>
      <w:r>
        <w:t>备份投标文件的</w:t>
      </w:r>
      <w:r>
        <w:rPr>
          <w:rFonts w:hint="eastAsia"/>
        </w:rPr>
        <w:t>存储、</w:t>
      </w:r>
      <w:r>
        <w:t>密封包装</w:t>
      </w:r>
      <w:r>
        <w:rPr>
          <w:rFonts w:hint="eastAsia"/>
        </w:rPr>
        <w:t>及</w:t>
      </w:r>
      <w:r>
        <w:t>标识</w:t>
      </w:r>
      <w:bookmarkEnd w:id="134"/>
    </w:p>
    <w:p w14:paraId="04A9991B">
      <w:pPr>
        <w:pStyle w:val="39"/>
        <w:ind w:firstLine="480"/>
      </w:pPr>
      <w:r>
        <w:t>备份投标文件应当密封包装并在外包装上标注投标项目名称、投标单位名称并加盖公章。“备份投标文件”没有密封包装或标识或盖章的视为未递交。</w:t>
      </w:r>
    </w:p>
    <w:p w14:paraId="0558DD68">
      <w:pPr>
        <w:pStyle w:val="38"/>
        <w:keepNext w:val="0"/>
        <w:keepLines w:val="0"/>
        <w:pageBreakBefore w:val="0"/>
        <w:widowControl w:val="0"/>
        <w:kinsoku/>
        <w:wordWrap/>
        <w:overflowPunct/>
        <w:topLinePunct w:val="0"/>
        <w:autoSpaceDE/>
        <w:autoSpaceDN/>
        <w:bidi w:val="0"/>
        <w:adjustRightInd w:val="0"/>
        <w:snapToGrid/>
        <w:ind w:left="0" w:firstLine="482" w:firstLineChars="200"/>
        <w:textAlignment w:val="auto"/>
      </w:pPr>
      <w:bookmarkStart w:id="135" w:name="_Toc928848706"/>
      <w:r>
        <w:rPr>
          <w:rFonts w:hint="eastAsia"/>
        </w:rPr>
        <w:t>备份投标文件的使用与失效</w:t>
      </w:r>
      <w:bookmarkEnd w:id="135"/>
    </w:p>
    <w:p w14:paraId="661F2423">
      <w:pPr>
        <w:pStyle w:val="39"/>
        <w:ind w:firstLine="480"/>
      </w:pPr>
      <w:r>
        <w:rPr>
          <w:rFonts w:hint="eastAsia"/>
        </w:rPr>
        <w:t>合格的备份投标文件在电子加密“投标文件”解密异常时拆封、使用，电子加密“投标文件”正常解密的备份投标文件自动失效，不再拆封、使用。</w:t>
      </w:r>
    </w:p>
    <w:p w14:paraId="617BA297">
      <w:pPr>
        <w:pStyle w:val="39"/>
        <w:ind w:firstLine="480"/>
        <w:rPr>
          <w:rFonts w:hint="eastAsia"/>
        </w:rPr>
      </w:pPr>
      <w:r>
        <w:rPr>
          <w:rFonts w:hint="eastAsia"/>
        </w:rPr>
        <w:t>“备份投标文件”与电子加密的“投标文件”同时生成，不属于投标备选（替代）方案。</w:t>
      </w:r>
    </w:p>
    <w:p w14:paraId="74C1BA4D">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136" w:name="_Toc1120722247"/>
      <w:bookmarkStart w:id="137" w:name="_Toc2026166791"/>
      <w:bookmarkStart w:id="138" w:name="_Toc1101571699"/>
      <w:r>
        <w:rPr>
          <w:rFonts w:hint="eastAsia"/>
        </w:rPr>
        <w:t>投标样品的递交与退还</w:t>
      </w:r>
      <w:bookmarkEnd w:id="136"/>
      <w:bookmarkEnd w:id="137"/>
      <w:bookmarkEnd w:id="138"/>
    </w:p>
    <w:p w14:paraId="2B102D7B">
      <w:pPr>
        <w:pStyle w:val="47"/>
        <w:numPr>
          <w:ilvl w:val="0"/>
          <w:numId w:val="32"/>
        </w:numPr>
        <w:bidi w:val="0"/>
      </w:pPr>
      <w:r>
        <w:t>投标人应按本章“前附表”及“第三章 项目技术及服务要求”的要求提供样品。</w:t>
      </w:r>
    </w:p>
    <w:p w14:paraId="1BB05C7B">
      <w:pPr>
        <w:pStyle w:val="47"/>
        <w:numPr>
          <w:ilvl w:val="0"/>
          <w:numId w:val="32"/>
        </w:numPr>
        <w:bidi w:val="0"/>
      </w:pPr>
      <w:r>
        <w:t>样品为投标文件的补充，仅作辅助评标用，但其应能真实反应投标货物的参数性能指标，所提供样品与投标文件不符以投标文件为准。</w:t>
      </w:r>
    </w:p>
    <w:p w14:paraId="2B3217CE">
      <w:pPr>
        <w:pStyle w:val="47"/>
        <w:numPr>
          <w:ilvl w:val="0"/>
          <w:numId w:val="32"/>
        </w:numPr>
        <w:bidi w:val="0"/>
      </w:pPr>
      <w:r>
        <w:t>本章“前附表”规定样品标识为“明标”的，投标人须在样品本体明显位置标注“项目（标项）；投标人全称；样品总件数-第几件”（例：A项目，标项B，XX公司 16-1）。</w:t>
      </w:r>
    </w:p>
    <w:p w14:paraId="337C87C7">
      <w:pPr>
        <w:pStyle w:val="47"/>
        <w:numPr>
          <w:ilvl w:val="0"/>
          <w:numId w:val="32"/>
        </w:numPr>
        <w:bidi w:val="0"/>
      </w:pPr>
      <w:r>
        <w:t>本章“前附表”规定样品标识为“暗标”的，投标人样品任何地方均不得出现投标人信息，否则视同未提交样品。</w:t>
      </w:r>
    </w:p>
    <w:p w14:paraId="18163467">
      <w:pPr>
        <w:pStyle w:val="47"/>
        <w:numPr>
          <w:ilvl w:val="0"/>
          <w:numId w:val="32"/>
        </w:numPr>
        <w:bidi w:val="0"/>
      </w:pPr>
      <w:r>
        <w:t>投标人样品应于投标截止时间前到达本章“前附表”规定的地点，否则视为未提交样品。</w:t>
      </w:r>
    </w:p>
    <w:p w14:paraId="1AE635B9">
      <w:pPr>
        <w:pStyle w:val="47"/>
        <w:numPr>
          <w:ilvl w:val="0"/>
          <w:numId w:val="32"/>
        </w:numPr>
        <w:bidi w:val="0"/>
      </w:pPr>
      <w:r>
        <w:t>投标人样品应于本章“前附表”规定的时间起5个工作日取回。</w:t>
      </w:r>
    </w:p>
    <w:p w14:paraId="7CC5AFCC">
      <w:pPr>
        <w:pStyle w:val="47"/>
        <w:numPr>
          <w:ilvl w:val="0"/>
          <w:numId w:val="32"/>
        </w:numPr>
        <w:bidi w:val="0"/>
      </w:pPr>
      <w:r>
        <w:t>本章“前附表”规定中标样品“封存至验收”或“抵扣采购数量”的，中标人应将样品运送至招标人指定地点，期间应保证到达目的地的样品与评标样品完全一致。</w:t>
      </w:r>
    </w:p>
    <w:p w14:paraId="41F5B62B">
      <w:pPr>
        <w:pStyle w:val="47"/>
        <w:numPr>
          <w:ilvl w:val="0"/>
          <w:numId w:val="32"/>
        </w:numPr>
        <w:bidi w:val="0"/>
      </w:pPr>
      <w:r>
        <w:t>样品制作、安装、运输、拆除等递交、退还样品所需要费用由投标人自行承担。</w:t>
      </w:r>
    </w:p>
    <w:p w14:paraId="32F6783F">
      <w:pPr>
        <w:pStyle w:val="39"/>
        <w:ind w:firstLine="480"/>
        <w:rPr>
          <w:rFonts w:hint="eastAsia"/>
        </w:rPr>
      </w:pPr>
      <w:r>
        <w:t>样品的包装应方便样品运输、保存并二次包装，否则投标人取回样品时需自行携带包装。</w:t>
      </w:r>
    </w:p>
    <w:p w14:paraId="7711647D">
      <w:pPr>
        <w:pStyle w:val="41"/>
      </w:pPr>
      <w:bookmarkStart w:id="139" w:name="_Toc91899897"/>
      <w:bookmarkEnd w:id="139"/>
      <w:bookmarkStart w:id="140" w:name="_Toc464483849"/>
      <w:bookmarkEnd w:id="140"/>
      <w:bookmarkStart w:id="141" w:name="_Toc399737492"/>
      <w:bookmarkStart w:id="142" w:name="_Toc659024306"/>
      <w:r>
        <w:rPr>
          <w:rFonts w:hint="eastAsia"/>
        </w:rPr>
        <w:t>开 标</w:t>
      </w:r>
      <w:bookmarkEnd w:id="141"/>
      <w:bookmarkEnd w:id="142"/>
    </w:p>
    <w:p w14:paraId="4BFB3F0C">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143" w:name="_Toc1648343363"/>
      <w:bookmarkStart w:id="144" w:name="_Toc1059180228"/>
      <w:r>
        <w:t>开标组织</w:t>
      </w:r>
      <w:bookmarkEnd w:id="143"/>
      <w:bookmarkEnd w:id="144"/>
    </w:p>
    <w:p w14:paraId="50A6B04F">
      <w:pPr>
        <w:pStyle w:val="39"/>
        <w:ind w:firstLine="480"/>
      </w:pPr>
      <w:r>
        <w:t>本项目开标现场活动由</w:t>
      </w:r>
      <w:r>
        <w:rPr>
          <w:rFonts w:hint="eastAsia"/>
          <w:lang w:eastAsia="zh-CN"/>
        </w:rPr>
        <w:t>招标</w:t>
      </w:r>
      <w:r>
        <w:t>代理机构组织实施，准备工作由</w:t>
      </w:r>
      <w:r>
        <w:rPr>
          <w:rFonts w:hint="eastAsia"/>
          <w:lang w:eastAsia="zh-CN"/>
        </w:rPr>
        <w:t>招标</w:t>
      </w:r>
      <w:r>
        <w:t>代理机构负责落实，开标过程由</w:t>
      </w:r>
      <w:r>
        <w:rPr>
          <w:rFonts w:hint="eastAsia"/>
          <w:lang w:eastAsia="zh-CN"/>
        </w:rPr>
        <w:t>招标</w:t>
      </w:r>
      <w:r>
        <w:t>代理机构负责记录，开标现场由</w:t>
      </w:r>
      <w:r>
        <w:rPr>
          <w:rFonts w:hint="eastAsia"/>
          <w:lang w:eastAsia="zh-CN"/>
        </w:rPr>
        <w:t>招标</w:t>
      </w:r>
      <w:r>
        <w:t>代理机构人员主持。</w:t>
      </w:r>
    </w:p>
    <w:p w14:paraId="5FF8A6A5">
      <w:pPr>
        <w:pStyle w:val="39"/>
        <w:ind w:firstLine="480"/>
      </w:pPr>
      <w:r>
        <w:t>本项目采用电子交易，</w:t>
      </w:r>
      <w:r>
        <w:rPr>
          <w:rFonts w:hint="eastAsia"/>
          <w:lang w:eastAsia="zh-CN"/>
        </w:rPr>
        <w:t>招标</w:t>
      </w:r>
      <w:r>
        <w:t>代理机构将按照</w:t>
      </w:r>
      <w:r>
        <w:rPr>
          <w:rFonts w:hint="eastAsia"/>
          <w:lang w:eastAsia="zh-CN"/>
        </w:rPr>
        <w:t>招标</w:t>
      </w:r>
      <w:r>
        <w:t>文件规定的开标时间在“政府采购云平台”组织开标、开启投标文件，所有</w:t>
      </w:r>
      <w:r>
        <w:rPr>
          <w:rFonts w:hint="eastAsia"/>
          <w:lang w:eastAsia="zh-CN"/>
        </w:rPr>
        <w:t>投标人</w:t>
      </w:r>
      <w:r>
        <w:t>均应当准时在线参加。</w:t>
      </w:r>
    </w:p>
    <w:p w14:paraId="1036E214">
      <w:pPr>
        <w:pStyle w:val="39"/>
        <w:ind w:firstLine="480"/>
      </w:pPr>
      <w:r>
        <w:rPr>
          <w:rFonts w:hint="eastAsia"/>
          <w:lang w:eastAsia="zh-CN"/>
        </w:rPr>
        <w:t>投标人</w:t>
      </w:r>
      <w:r>
        <w:t>对开标过程和开标记录有疑义，以及认为</w:t>
      </w:r>
      <w:r>
        <w:rPr>
          <w:rFonts w:hint="eastAsia"/>
          <w:lang w:eastAsia="zh-CN"/>
        </w:rPr>
        <w:t>招标</w:t>
      </w:r>
      <w:r>
        <w:t>人、</w:t>
      </w:r>
      <w:r>
        <w:rPr>
          <w:rFonts w:hint="eastAsia"/>
          <w:lang w:eastAsia="zh-CN"/>
        </w:rPr>
        <w:t>招标</w:t>
      </w:r>
      <w:r>
        <w:t>代理机构相关工作人员有需要回避的情形的，应当场提出询问或回避申请。</w:t>
      </w:r>
      <w:r>
        <w:rPr>
          <w:rFonts w:hint="eastAsia"/>
          <w:lang w:eastAsia="zh-CN"/>
        </w:rPr>
        <w:t>投标人</w:t>
      </w:r>
      <w:r>
        <w:t>未参加开标的视同认可开标结果。</w:t>
      </w:r>
    </w:p>
    <w:p w14:paraId="566F7C6E">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145" w:name="_Toc1167855641"/>
      <w:bookmarkStart w:id="146" w:name="_Toc1150142013"/>
      <w:r>
        <w:t>开标流程</w:t>
      </w:r>
      <w:bookmarkEnd w:id="145"/>
      <w:bookmarkEnd w:id="146"/>
    </w:p>
    <w:p w14:paraId="7BB3F8BF">
      <w:pPr>
        <w:pStyle w:val="39"/>
        <w:ind w:firstLine="480"/>
      </w:pPr>
      <w:r>
        <w:t>本项目由采购代理机构通过“政府采购云平台”按以下流程顺序组织实施开标：</w:t>
      </w:r>
    </w:p>
    <w:p w14:paraId="4866AD4B">
      <w:pPr>
        <w:pStyle w:val="47"/>
        <w:numPr>
          <w:ilvl w:val="0"/>
          <w:numId w:val="33"/>
        </w:numPr>
        <w:bidi w:val="0"/>
      </w:pPr>
      <w:r>
        <w:t>投标截止时间后，招标代理机构将在“政府采购云平台”发出投标文件【开始解密】通知，投标人应当登录“政府采购云平台”并在规定的“在线解密时间期限（30分钟）”内自行完成投标文件的解密。</w:t>
      </w:r>
    </w:p>
    <w:p w14:paraId="363CEB8E">
      <w:pPr>
        <w:pStyle w:val="39"/>
        <w:ind w:firstLine="480"/>
        <w:rPr>
          <w:u w:val="single"/>
        </w:rPr>
      </w:pPr>
      <w:r>
        <w:rPr>
          <w:u w:val="single"/>
          <w:lang w:eastAsia="zh-CN"/>
        </w:rPr>
        <w:t>解密标书时使用的CA锁必须与制作投标文件时使用的为同一把</w:t>
      </w:r>
      <w:r>
        <w:rPr>
          <w:rFonts w:hint="eastAsia"/>
          <w:u w:val="single"/>
          <w:lang w:eastAsia="zh-CN"/>
        </w:rPr>
        <w:t>。</w:t>
      </w:r>
    </w:p>
    <w:p w14:paraId="061879F7">
      <w:pPr>
        <w:pStyle w:val="39"/>
        <w:ind w:firstLine="480"/>
      </w:pPr>
      <w:r>
        <w:rPr>
          <w:rFonts w:hint="eastAsia"/>
          <w:lang w:eastAsia="zh-CN"/>
        </w:rPr>
        <w:t>如遇投标人上传</w:t>
      </w:r>
      <w:r>
        <w:t>至“政府采购云平台”的电子加密“投标文件”无法按时解密时，按以下规定处理：</w:t>
      </w:r>
    </w:p>
    <w:p w14:paraId="3C1A4330">
      <w:pPr>
        <w:pStyle w:val="48"/>
        <w:numPr>
          <w:ilvl w:val="0"/>
          <w:numId w:val="34"/>
        </w:numPr>
        <w:bidi w:val="0"/>
      </w:pPr>
      <w:r>
        <w:t>已按规定递交了合格的备份投标文件的，</w:t>
      </w:r>
      <w:r>
        <w:rPr>
          <w:rFonts w:hint="eastAsia"/>
        </w:rPr>
        <w:t>招标</w:t>
      </w:r>
      <w:r>
        <w:t>代理机构将拆封</w:t>
      </w:r>
      <w:r>
        <w:rPr>
          <w:rFonts w:hint="eastAsia"/>
        </w:rPr>
        <w:t>投标人</w:t>
      </w:r>
      <w:r>
        <w:t>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14:paraId="2D330CD4">
      <w:pPr>
        <w:pStyle w:val="48"/>
        <w:numPr>
          <w:ilvl w:val="0"/>
          <w:numId w:val="34"/>
        </w:numPr>
        <w:bidi w:val="0"/>
      </w:pPr>
      <w:r>
        <w:t>未按规定递交合格的备份投标文件的或递交的备份投标文件无法成功上传的，视为投标文件撤回。</w:t>
      </w:r>
    </w:p>
    <w:p w14:paraId="05F3057F">
      <w:pPr>
        <w:pStyle w:val="48"/>
        <w:numPr>
          <w:ilvl w:val="0"/>
          <w:numId w:val="34"/>
        </w:numPr>
        <w:bidi w:val="0"/>
      </w:pPr>
      <w:r>
        <w:t>备份投标文件上传成功后视为投标文件解密成功，供应商可以继续进入后续评审。</w:t>
      </w:r>
    </w:p>
    <w:p w14:paraId="2C05BEB0">
      <w:pPr>
        <w:pStyle w:val="47"/>
        <w:bidi w:val="0"/>
      </w:pPr>
      <w:r>
        <w:t>公布投标文件解密情况（包括成功解密投标文件的供应商名单等信息）；</w:t>
      </w:r>
    </w:p>
    <w:p w14:paraId="112CBA32">
      <w:pPr>
        <w:pStyle w:val="47"/>
        <w:bidi w:val="0"/>
      </w:pPr>
      <w:r>
        <w:t>开启所有已成功解密投标文件的投标人的资格文件，进行资格审查（包括信用信息查询）。资格审查结束后，公布投标人资格审查结果，告知不合格名称及理由；</w:t>
      </w:r>
    </w:p>
    <w:p w14:paraId="2D823161">
      <w:pPr>
        <w:pStyle w:val="47"/>
        <w:bidi w:val="0"/>
      </w:pPr>
      <w:r>
        <w:t>开启所有资格审查合格的投标人的商务技术文件，进入符合性审查和商务技术部分评审；</w:t>
      </w:r>
    </w:p>
    <w:p w14:paraId="3FCB5149">
      <w:pPr>
        <w:pStyle w:val="47"/>
        <w:bidi w:val="0"/>
      </w:pPr>
      <w:r>
        <w:t>符合性审查和商务技术评审结束后，公布经评审的无效标供应商名称及理由；公布经评审的有效供应商名单，同时公布其商务技术得分情况；</w:t>
      </w:r>
    </w:p>
    <w:p w14:paraId="0CA19B57">
      <w:pPr>
        <w:pStyle w:val="47"/>
        <w:bidi w:val="0"/>
      </w:pPr>
      <w:r>
        <w:t>开启有效投标人的报价文件，公布开标一览表有关内容，制作开标记录表，并在线发起“报价确认”，投标人代表及相关人员应及时进行报价确认，供应商不予确认的应说明理由，否则视为无异议；</w:t>
      </w:r>
    </w:p>
    <w:p w14:paraId="4770FCEE">
      <w:pPr>
        <w:pStyle w:val="47"/>
        <w:bidi w:val="0"/>
      </w:pPr>
      <w:r>
        <w:t>进入</w:t>
      </w:r>
      <w:r>
        <w:rPr>
          <w:rFonts w:hint="eastAsia"/>
          <w:lang w:val="en-US" w:eastAsia="zh-Hans"/>
        </w:rPr>
        <w:t>报价文件</w:t>
      </w:r>
      <w:r>
        <w:t>符合性审查和</w:t>
      </w:r>
      <w:r>
        <w:rPr>
          <w:rFonts w:hint="eastAsia"/>
          <w:lang w:val="en-US" w:eastAsia="zh-Hans"/>
        </w:rPr>
        <w:t>报价</w:t>
      </w:r>
      <w:r>
        <w:t>部分评审</w:t>
      </w:r>
      <w:r>
        <w:rPr>
          <w:rFonts w:hint="eastAsia"/>
          <w:lang w:eastAsia="zh-Hans"/>
        </w:rPr>
        <w:t>；</w:t>
      </w:r>
    </w:p>
    <w:p w14:paraId="11C90ABA">
      <w:pPr>
        <w:pStyle w:val="47"/>
        <w:bidi w:val="0"/>
      </w:pPr>
      <w:r>
        <w:t>公布报价文件无效供应商名称及理由，公布有效投标人的报价得分；</w:t>
      </w:r>
    </w:p>
    <w:p w14:paraId="328600A7">
      <w:pPr>
        <w:pStyle w:val="47"/>
        <w:bidi w:val="0"/>
      </w:pPr>
      <w:r>
        <w:t>公布评审结果、中标候选供应商名单及采购人最终确定中标或成交供应商名单的时间和公告方式等。</w:t>
      </w:r>
    </w:p>
    <w:p w14:paraId="3C5248A3">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147" w:name="_Toc149224707"/>
      <w:bookmarkStart w:id="148" w:name="_Toc936505844"/>
      <w:r>
        <w:t>开标过程特殊情况说明</w:t>
      </w:r>
      <w:bookmarkEnd w:id="147"/>
      <w:bookmarkEnd w:id="148"/>
    </w:p>
    <w:p w14:paraId="4F3F8D54">
      <w:pPr>
        <w:pStyle w:val="47"/>
        <w:numPr>
          <w:ilvl w:val="0"/>
          <w:numId w:val="35"/>
        </w:numPr>
        <w:bidi w:val="0"/>
      </w:pPr>
      <w:r>
        <w:t>如遇“政府采购云平台”电子化开标或评审程序调整的，按调整后程序执行，不再另行通知。</w:t>
      </w:r>
    </w:p>
    <w:p w14:paraId="1D86BB3A">
      <w:pPr>
        <w:pStyle w:val="47"/>
        <w:numPr>
          <w:ilvl w:val="0"/>
          <w:numId w:val="35"/>
        </w:numPr>
        <w:bidi w:val="0"/>
      </w:pPr>
      <w:r>
        <w:t>开标过程中需要相关当事人进行签字或盖章确认的材料将通过“政府采购云平台”进行，若因“政府采购云平台”技术问题无法进行签字或盖章确认的，招标代理机构将通过邮件等形式组织确认。</w:t>
      </w:r>
    </w:p>
    <w:p w14:paraId="41377BAA">
      <w:pPr>
        <w:pStyle w:val="39"/>
        <w:ind w:firstLine="480"/>
      </w:pPr>
      <w:bookmarkStart w:id="149" w:name="_Toc464483850"/>
      <w:bookmarkEnd w:id="149"/>
    </w:p>
    <w:p w14:paraId="7BE3C7A7">
      <w:pPr>
        <w:pStyle w:val="41"/>
      </w:pPr>
      <w:bookmarkStart w:id="150" w:name="_Toc946071245"/>
      <w:bookmarkStart w:id="151" w:name="_Toc1906234500"/>
      <w:r>
        <w:t>资格审查</w:t>
      </w:r>
      <w:bookmarkEnd w:id="150"/>
      <w:bookmarkEnd w:id="151"/>
    </w:p>
    <w:p w14:paraId="51497279">
      <w:pPr>
        <w:pStyle w:val="47"/>
        <w:numPr>
          <w:ilvl w:val="0"/>
          <w:numId w:val="36"/>
        </w:numPr>
        <w:bidi w:val="0"/>
      </w:pPr>
      <w:r>
        <w:t>开标后，</w:t>
      </w:r>
      <w:r>
        <w:rPr>
          <w:rFonts w:hint="eastAsia"/>
          <w:lang w:eastAsia="zh-CN"/>
        </w:rPr>
        <w:t>招标人</w:t>
      </w:r>
      <w:r>
        <w:t>或</w:t>
      </w:r>
      <w:r>
        <w:rPr>
          <w:rFonts w:hint="eastAsia"/>
          <w:lang w:eastAsia="zh-CN"/>
        </w:rPr>
        <w:t>招标</w:t>
      </w:r>
      <w:r>
        <w:t>代理机构首先依法对投标</w:t>
      </w:r>
      <w:r>
        <w:rPr>
          <w:rFonts w:hint="eastAsia"/>
          <w:lang w:eastAsia="zh-CN"/>
        </w:rPr>
        <w:t>人</w:t>
      </w:r>
      <w:r>
        <w:t>的资格文件进行审查，审查各投标人的资格符合情况。</w:t>
      </w:r>
      <w:r>
        <w:rPr>
          <w:rFonts w:hint="eastAsia"/>
          <w:lang w:eastAsia="zh-CN"/>
        </w:rPr>
        <w:t>招标人</w:t>
      </w:r>
      <w:r>
        <w:t>或</w:t>
      </w:r>
      <w:r>
        <w:rPr>
          <w:rFonts w:hint="eastAsia"/>
          <w:lang w:eastAsia="zh-CN"/>
        </w:rPr>
        <w:t>招标</w:t>
      </w:r>
      <w:r>
        <w:t>代理机构仅对投标</w:t>
      </w:r>
      <w:r>
        <w:rPr>
          <w:rFonts w:hint="eastAsia"/>
          <w:lang w:eastAsia="zh-CN"/>
        </w:rPr>
        <w:t>人</w:t>
      </w:r>
      <w:r>
        <w:t>所提交的资格证明材料内容负审核的责任，不对资格证明材料的真实性负责。如发现投标</w:t>
      </w:r>
      <w:r>
        <w:rPr>
          <w:rFonts w:hint="eastAsia"/>
          <w:lang w:eastAsia="zh-CN"/>
        </w:rPr>
        <w:t>人</w:t>
      </w:r>
      <w:r>
        <w:t>所提交的资格证明材料存在弄虚作假或其他与事实不符的情形，</w:t>
      </w:r>
      <w:r>
        <w:rPr>
          <w:rFonts w:hint="eastAsia"/>
          <w:lang w:eastAsia="zh-CN"/>
        </w:rPr>
        <w:t>招标</w:t>
      </w:r>
      <w:r>
        <w:t>人可依法取消其中标资格并追究投标人的法律责任。</w:t>
      </w:r>
    </w:p>
    <w:p w14:paraId="7FD8868A">
      <w:pPr>
        <w:pStyle w:val="47"/>
        <w:numPr>
          <w:ilvl w:val="0"/>
          <w:numId w:val="36"/>
        </w:numPr>
        <w:bidi w:val="0"/>
      </w:pPr>
      <w:r>
        <w:t>投标</w:t>
      </w:r>
      <w:r>
        <w:rPr>
          <w:rFonts w:hint="eastAsia"/>
          <w:lang w:eastAsia="zh-CN"/>
        </w:rPr>
        <w:t>人</w:t>
      </w:r>
      <w:r>
        <w:t>提交的资格文件内的资格证明材料无法证明其符合</w:t>
      </w:r>
      <w:r>
        <w:rPr>
          <w:rFonts w:hint="eastAsia"/>
          <w:lang w:eastAsia="zh-CN"/>
        </w:rPr>
        <w:t>招标</w:t>
      </w:r>
      <w:r>
        <w:t>文件规定的“投标人资格要求（申请人的资格要求）”的，</w:t>
      </w:r>
      <w:r>
        <w:rPr>
          <w:rFonts w:hint="eastAsia"/>
          <w:lang w:eastAsia="zh-CN"/>
        </w:rPr>
        <w:t>招标人</w:t>
      </w:r>
      <w:r>
        <w:t>或</w:t>
      </w:r>
      <w:r>
        <w:rPr>
          <w:rFonts w:hint="eastAsia"/>
          <w:lang w:eastAsia="zh-CN"/>
        </w:rPr>
        <w:t>招标</w:t>
      </w:r>
      <w:r>
        <w:t>代理机构将对其作“资格审查不合格”处理，并不再将其商务技术文件、报价文件提交评审委员会进行后续评审。</w:t>
      </w:r>
    </w:p>
    <w:p w14:paraId="685ED9FF">
      <w:pPr>
        <w:pStyle w:val="47"/>
        <w:numPr>
          <w:ilvl w:val="0"/>
          <w:numId w:val="36"/>
        </w:numPr>
        <w:bidi w:val="0"/>
      </w:pPr>
      <w:r>
        <w:rPr>
          <w:rFonts w:hint="eastAsia"/>
          <w:lang w:eastAsia="zh-CN"/>
        </w:rPr>
        <w:t>投标人</w:t>
      </w:r>
      <w:r>
        <w:t>信用记录查询与使用</w:t>
      </w:r>
    </w:p>
    <w:p w14:paraId="3855916D">
      <w:pPr>
        <w:pStyle w:val="39"/>
        <w:ind w:firstLine="480"/>
      </w:pPr>
      <w:r>
        <w:t>根据《财政部关于在政府采购活动中查询及使用信用记录的通知》（财库〔2016〕125号）相关规定，</w:t>
      </w:r>
      <w:r>
        <w:rPr>
          <w:rFonts w:hint="eastAsia"/>
          <w:lang w:eastAsia="zh-CN"/>
        </w:rPr>
        <w:t>招标</w:t>
      </w:r>
      <w:r>
        <w:t>组织机构将统一通过“信用中国”网站（www.creditchina.gov.cn）、中国政府采购网（www.ccgp.gov.cn）等渠道查询供应商信用记录，对</w:t>
      </w:r>
      <w:r>
        <w:rPr>
          <w:rFonts w:hint="eastAsia"/>
          <w:lang w:eastAsia="zh-CN"/>
        </w:rPr>
        <w:t>投标人</w:t>
      </w:r>
      <w: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2B5824C5">
      <w:pPr>
        <w:pStyle w:val="39"/>
        <w:ind w:firstLine="480"/>
      </w:pPr>
      <w:r>
        <w:t>查询工作在资格审查时由</w:t>
      </w:r>
      <w:r>
        <w:rPr>
          <w:rFonts w:hint="eastAsia"/>
          <w:lang w:eastAsia="zh-CN"/>
        </w:rPr>
        <w:t>招标</w:t>
      </w:r>
      <w:r>
        <w:t>组织机构统一进行，查询结果打印后留存备案。</w:t>
      </w:r>
    </w:p>
    <w:p w14:paraId="5AB9D78F">
      <w:pPr>
        <w:pStyle w:val="39"/>
        <w:ind w:firstLine="480"/>
      </w:pPr>
      <w:r>
        <w:t>以联合体形式参加采购活动的，</w:t>
      </w:r>
      <w:r>
        <w:rPr>
          <w:rFonts w:hint="eastAsia"/>
          <w:lang w:val="en-US" w:eastAsia="zh-Hans"/>
        </w:rPr>
        <w:t>将</w:t>
      </w:r>
      <w:r>
        <w:t>对所有联合体成员进行信用记录查询，联合体成员存在不良信用记录的，视同联合体存在不良信用记录。</w:t>
      </w:r>
    </w:p>
    <w:p w14:paraId="52E9CDC4">
      <w:pPr>
        <w:pStyle w:val="47"/>
        <w:bidi w:val="0"/>
      </w:pPr>
      <w:r>
        <w:t>资格审查合格的投标人不足三家的，项目不再进行评审。除采购任务取消情形外，采购人可选择以下方式之一处理：</w:t>
      </w:r>
    </w:p>
    <w:p w14:paraId="5812B522">
      <w:pPr>
        <w:pStyle w:val="48"/>
        <w:numPr>
          <w:ilvl w:val="0"/>
          <w:numId w:val="37"/>
        </w:numPr>
        <w:bidi w:val="0"/>
      </w:pPr>
      <w:r>
        <w:t>将本标项作废标处理，重新组织采购；</w:t>
      </w:r>
    </w:p>
    <w:p w14:paraId="4DF3CA02">
      <w:pPr>
        <w:pStyle w:val="48"/>
        <w:numPr>
          <w:ilvl w:val="0"/>
          <w:numId w:val="37"/>
        </w:numPr>
        <w:bidi w:val="0"/>
      </w:pPr>
      <w:r>
        <w:t>按同级政府采购监督管理部门审批意见采用其他采购方式组织采购。</w:t>
      </w:r>
    </w:p>
    <w:p w14:paraId="71715737">
      <w:pPr>
        <w:pStyle w:val="39"/>
        <w:ind w:firstLine="480"/>
      </w:pPr>
    </w:p>
    <w:p w14:paraId="477349AB">
      <w:pPr>
        <w:pStyle w:val="41"/>
      </w:pPr>
      <w:bookmarkStart w:id="152" w:name="_Toc650492327"/>
      <w:bookmarkStart w:id="153" w:name="_Toc1922195554"/>
      <w:r>
        <w:rPr>
          <w:rFonts w:hint="eastAsia"/>
        </w:rPr>
        <w:t>评 审</w:t>
      </w:r>
      <w:bookmarkEnd w:id="152"/>
      <w:bookmarkEnd w:id="153"/>
    </w:p>
    <w:p w14:paraId="27C855C7">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154" w:name="_Toc91899903"/>
      <w:bookmarkEnd w:id="154"/>
      <w:bookmarkStart w:id="155" w:name="_Toc2132776659"/>
      <w:bookmarkStart w:id="156" w:name="_Toc1744174257"/>
      <w:r>
        <w:t>评审组织</w:t>
      </w:r>
      <w:bookmarkEnd w:id="155"/>
      <w:bookmarkEnd w:id="156"/>
    </w:p>
    <w:p w14:paraId="3BE6BDF0">
      <w:pPr>
        <w:pStyle w:val="47"/>
        <w:numPr>
          <w:ilvl w:val="0"/>
          <w:numId w:val="38"/>
        </w:numPr>
        <w:bidi w:val="0"/>
      </w:pPr>
      <w:r>
        <w:t>招标人或招标代理机构负责组织本项目的评审工作，并依法履行职责。</w:t>
      </w:r>
    </w:p>
    <w:p w14:paraId="419775B4">
      <w:pPr>
        <w:pStyle w:val="47"/>
        <w:numPr>
          <w:ilvl w:val="0"/>
          <w:numId w:val="38"/>
        </w:numPr>
        <w:bidi w:val="0"/>
      </w:pPr>
      <w:r>
        <w:t>评审委员会由招标人或招标代理机构依法组建，成员由招标人代表和评审专家组成，成员人数为五人或以上单数，其中评审专家不少于成员总数的三分之二。</w:t>
      </w:r>
    </w:p>
    <w:p w14:paraId="5AB8EFE0">
      <w:pPr>
        <w:pStyle w:val="47"/>
        <w:numPr>
          <w:ilvl w:val="0"/>
          <w:numId w:val="38"/>
        </w:numPr>
        <w:bidi w:val="0"/>
      </w:pPr>
      <w:r>
        <w:t>评审专家从省级或以上财政部门设立的政府采购评审专家库中通过随机方式抽取产生。评审委员会成员名单在采购结果公告前保密。</w:t>
      </w:r>
    </w:p>
    <w:p w14:paraId="4548F8A7">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157" w:name="_Toc1927755736"/>
      <w:bookmarkStart w:id="158" w:name="_Toc1184955849"/>
      <w:r>
        <w:t>评</w:t>
      </w:r>
      <w:r>
        <w:rPr>
          <w:rFonts w:hint="eastAsia"/>
          <w:lang w:eastAsia="zh-CN"/>
        </w:rPr>
        <w:t>审</w:t>
      </w:r>
      <w:r>
        <w:t>委员会的职责</w:t>
      </w:r>
      <w:bookmarkEnd w:id="157"/>
      <w:bookmarkEnd w:id="158"/>
    </w:p>
    <w:p w14:paraId="3AF4945C">
      <w:pPr>
        <w:pStyle w:val="39"/>
        <w:ind w:firstLine="480"/>
      </w:pPr>
      <w:r>
        <w:t>评</w:t>
      </w:r>
      <w:r>
        <w:rPr>
          <w:rFonts w:hint="eastAsia"/>
          <w:lang w:eastAsia="zh-CN"/>
        </w:rPr>
        <w:t>审</w:t>
      </w:r>
      <w:r>
        <w:t>委员会负责具体评审事务，并独立履行下列职责：</w:t>
      </w:r>
    </w:p>
    <w:p w14:paraId="629C0EA1">
      <w:pPr>
        <w:pStyle w:val="47"/>
        <w:numPr>
          <w:ilvl w:val="0"/>
          <w:numId w:val="39"/>
        </w:numPr>
        <w:ind w:firstLine="480"/>
      </w:pPr>
      <w:r>
        <w:t>审查、评价投标文件是否符合采购文件的商务、技术等实质性要求；</w:t>
      </w:r>
    </w:p>
    <w:p w14:paraId="5F514E78">
      <w:pPr>
        <w:pStyle w:val="47"/>
        <w:numPr>
          <w:ilvl w:val="0"/>
          <w:numId w:val="39"/>
        </w:numPr>
        <w:ind w:firstLine="480"/>
      </w:pPr>
      <w:r>
        <w:t>要求投标</w:t>
      </w:r>
      <w:r>
        <w:rPr>
          <w:rFonts w:hint="eastAsia"/>
        </w:rPr>
        <w:t>人</w:t>
      </w:r>
      <w:r>
        <w:t>对投标文件有关事项作出澄清或者说明；</w:t>
      </w:r>
    </w:p>
    <w:p w14:paraId="12895AAC">
      <w:pPr>
        <w:pStyle w:val="47"/>
        <w:numPr>
          <w:ilvl w:val="0"/>
          <w:numId w:val="39"/>
        </w:numPr>
        <w:ind w:firstLine="480"/>
      </w:pPr>
      <w:r>
        <w:t>对投标文件进行</w:t>
      </w:r>
      <w:r>
        <w:rPr>
          <w:rFonts w:hint="eastAsia"/>
        </w:rPr>
        <w:t>详细</w:t>
      </w:r>
      <w:r>
        <w:t>评价；</w:t>
      </w:r>
    </w:p>
    <w:p w14:paraId="1EE4C2FA">
      <w:pPr>
        <w:pStyle w:val="47"/>
        <w:numPr>
          <w:ilvl w:val="0"/>
          <w:numId w:val="39"/>
        </w:numPr>
        <w:ind w:firstLine="480"/>
      </w:pPr>
      <w:r>
        <w:t>确定中标候选供应商名单</w:t>
      </w:r>
      <w:r>
        <w:rPr>
          <w:rFonts w:hint="eastAsia"/>
        </w:rPr>
        <w:t>或</w:t>
      </w:r>
      <w:r>
        <w:t>根据</w:t>
      </w:r>
      <w:r>
        <w:rPr>
          <w:rFonts w:hint="eastAsia"/>
        </w:rPr>
        <w:t>招标</w:t>
      </w:r>
      <w:r>
        <w:t>人委托直接确定中标供应商；</w:t>
      </w:r>
    </w:p>
    <w:p w14:paraId="729E5DB5">
      <w:pPr>
        <w:pStyle w:val="47"/>
        <w:numPr>
          <w:ilvl w:val="0"/>
          <w:numId w:val="39"/>
        </w:numPr>
        <w:ind w:firstLine="480"/>
      </w:pPr>
      <w:r>
        <w:t>向</w:t>
      </w:r>
      <w:r>
        <w:rPr>
          <w:rFonts w:hint="eastAsia"/>
        </w:rPr>
        <w:t>招标人、招标</w:t>
      </w:r>
      <w:r>
        <w:t>代理机构或者有关部门报告评审中发现的违法行为。</w:t>
      </w:r>
    </w:p>
    <w:p w14:paraId="56105FF6">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159" w:name="_Toc1937095512"/>
      <w:bookmarkStart w:id="160" w:name="_Toc704872663"/>
      <w:r>
        <w:t>评审原则</w:t>
      </w:r>
      <w:bookmarkEnd w:id="159"/>
      <w:bookmarkEnd w:id="160"/>
    </w:p>
    <w:p w14:paraId="0CAFB9E7">
      <w:pPr>
        <w:pStyle w:val="47"/>
        <w:numPr>
          <w:ilvl w:val="0"/>
          <w:numId w:val="40"/>
        </w:numPr>
        <w:bidi w:val="0"/>
      </w:pPr>
      <w:r>
        <w:t>评审原则：评审委员会按照客观、公正、审慎、择优的原则，根据采购文件规定的评审程序、评审方法和评审标准进行独立评审。</w:t>
      </w:r>
    </w:p>
    <w:p w14:paraId="0B09E6C2">
      <w:pPr>
        <w:pStyle w:val="47"/>
        <w:numPr>
          <w:ilvl w:val="0"/>
          <w:numId w:val="40"/>
        </w:numPr>
        <w:bidi w:val="0"/>
      </w:pPr>
      <w:r>
        <w:t>评审工作将依据招标文件、投标文件及采购文件中事先已列明的内容进行（如方案讲解、演示、样品等）。</w:t>
      </w:r>
    </w:p>
    <w:p w14:paraId="43034B59">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161" w:name="_Toc912181664"/>
      <w:bookmarkStart w:id="162" w:name="_Toc1275050189"/>
      <w:r>
        <w:t>评</w:t>
      </w:r>
      <w:r>
        <w:rPr>
          <w:rFonts w:hint="eastAsia"/>
          <w:lang w:eastAsia="zh-CN"/>
        </w:rPr>
        <w:t>审</w:t>
      </w:r>
      <w:r>
        <w:t>意见的争议处理</w:t>
      </w:r>
      <w:bookmarkEnd w:id="161"/>
      <w:bookmarkEnd w:id="162"/>
    </w:p>
    <w:p w14:paraId="428D272C">
      <w:pPr>
        <w:pStyle w:val="39"/>
        <w:ind w:firstLine="480"/>
        <w:rPr>
          <w:lang w:eastAsia="zh-CN"/>
        </w:rPr>
      </w:pPr>
      <w:r>
        <w:t>评</w:t>
      </w:r>
      <w:r>
        <w:rPr>
          <w:rFonts w:hint="eastAsia"/>
        </w:rPr>
        <w:t>审</w:t>
      </w:r>
      <w:r>
        <w:t>委员会成员对需要共同认定的事项存在争议的，按照少数服从多数的原则作出结论。持不同意见的评</w:t>
      </w:r>
      <w:r>
        <w:rPr>
          <w:rFonts w:hint="eastAsia"/>
        </w:rPr>
        <w:t>审</w:t>
      </w:r>
      <w:r>
        <w:t>委员会成员应当在评</w:t>
      </w:r>
      <w:r>
        <w:rPr>
          <w:rFonts w:hint="eastAsia"/>
        </w:rPr>
        <w:t>审</w:t>
      </w:r>
      <w:r>
        <w:t>报告上签署不同意见及理由，否则视为同意评</w:t>
      </w:r>
      <w:r>
        <w:rPr>
          <w:rFonts w:hint="eastAsia"/>
        </w:rPr>
        <w:t>审</w:t>
      </w:r>
      <w:r>
        <w:t>报告</w:t>
      </w:r>
      <w:r>
        <w:rPr>
          <w:rFonts w:hint="eastAsia"/>
        </w:rPr>
        <w:t>。</w:t>
      </w:r>
    </w:p>
    <w:p w14:paraId="2217DA76">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163" w:name="_Toc151470915"/>
      <w:bookmarkStart w:id="164" w:name="_Toc29213110"/>
      <w:r>
        <w:t>评</w:t>
      </w:r>
      <w:r>
        <w:rPr>
          <w:rFonts w:hint="eastAsia"/>
          <w:lang w:eastAsia="zh-CN"/>
        </w:rPr>
        <w:t>审</w:t>
      </w:r>
      <w:r>
        <w:t>纪律</w:t>
      </w:r>
      <w:bookmarkEnd w:id="163"/>
      <w:bookmarkEnd w:id="164"/>
    </w:p>
    <w:p w14:paraId="0324A3AD">
      <w:pPr>
        <w:pStyle w:val="39"/>
        <w:ind w:firstLine="480"/>
      </w:pPr>
      <w:r>
        <w:rPr>
          <w:rFonts w:hint="eastAsia"/>
        </w:rPr>
        <w:t>评审委员会成员要严格遵守评标纪律、保密、回避等相关规定，依法独立履行评标职责，客观、公正、审慎参与评标工作：</w:t>
      </w:r>
    </w:p>
    <w:p w14:paraId="6B074138">
      <w:pPr>
        <w:pStyle w:val="47"/>
        <w:numPr>
          <w:ilvl w:val="0"/>
          <w:numId w:val="41"/>
        </w:numPr>
        <w:ind w:firstLine="480"/>
      </w:pPr>
      <w:r>
        <w:rPr>
          <w:rFonts w:hint="eastAsia"/>
        </w:rPr>
        <w:t>严格遵守评标时间，因突发情况确实不能按时参加评标的，应事先告知招标组织机构；</w:t>
      </w:r>
    </w:p>
    <w:p w14:paraId="4A78A6D8">
      <w:pPr>
        <w:pStyle w:val="47"/>
        <w:numPr>
          <w:ilvl w:val="0"/>
          <w:numId w:val="41"/>
        </w:numPr>
        <w:ind w:firstLine="480"/>
      </w:pPr>
      <w:r>
        <w:rPr>
          <w:rFonts w:hint="eastAsia"/>
        </w:rPr>
        <w:t>服从招标组织机构的现场管理，主动出示身份证明，进入评标区域后应主动寄存移动通讯工具，按要求佩戴工作牌；</w:t>
      </w:r>
    </w:p>
    <w:p w14:paraId="27F58867">
      <w:pPr>
        <w:pStyle w:val="47"/>
        <w:numPr>
          <w:ilvl w:val="0"/>
          <w:numId w:val="41"/>
        </w:numPr>
        <w:ind w:firstLine="480"/>
      </w:pPr>
      <w:r>
        <w:rPr>
          <w:rFonts w:hint="eastAsia"/>
        </w:rPr>
        <w:t>与投标人或评审委员会其他成员存在利害关系的，要主动回避，自觉签订《政府采购评审人员廉洁自律承诺书》；</w:t>
      </w:r>
    </w:p>
    <w:p w14:paraId="7EDB63D8">
      <w:pPr>
        <w:pStyle w:val="47"/>
        <w:numPr>
          <w:ilvl w:val="0"/>
          <w:numId w:val="41"/>
        </w:numPr>
        <w:ind w:firstLine="480"/>
      </w:pPr>
      <w:r>
        <w:rPr>
          <w:rFonts w:hint="eastAsia"/>
        </w:rPr>
        <w:t>保持评标现场安静，不在评标现场随意走动，因发生不可预见情况确需与外界联系或暂时离开评标现场的，应向现场监督员说明情况，征得同意后在监控区域内进行相关活动，并应接受相关工作人员的监督；</w:t>
      </w:r>
    </w:p>
    <w:p w14:paraId="6FCFA08E">
      <w:pPr>
        <w:pStyle w:val="47"/>
        <w:numPr>
          <w:ilvl w:val="0"/>
          <w:numId w:val="41"/>
        </w:numPr>
        <w:ind w:firstLine="480"/>
      </w:pPr>
      <w:r>
        <w:rPr>
          <w:rFonts w:hint="eastAsia"/>
        </w:rPr>
        <w:t>自觉遵守职业道德，尊重招标人代表和投标人代表，配合招标组织机构回答投标人代表提出的有关异议；</w:t>
      </w:r>
    </w:p>
    <w:p w14:paraId="7B274D1E">
      <w:pPr>
        <w:pStyle w:val="47"/>
        <w:numPr>
          <w:ilvl w:val="0"/>
          <w:numId w:val="41"/>
        </w:numPr>
        <w:ind w:firstLine="480"/>
      </w:pPr>
      <w:r>
        <w:rPr>
          <w:rFonts w:hint="eastAsia"/>
        </w:rPr>
        <w:t>不得将评标过程、结果和投标人的商业秘密透露给任何单位和个人。未公告评标结果前不准泄露评标结果，不准将评标资料带出会场；</w:t>
      </w:r>
    </w:p>
    <w:p w14:paraId="162E1676">
      <w:pPr>
        <w:pStyle w:val="47"/>
        <w:numPr>
          <w:ilvl w:val="0"/>
          <w:numId w:val="41"/>
        </w:numPr>
        <w:ind w:firstLine="480"/>
      </w:pPr>
      <w:r>
        <w:rPr>
          <w:rFonts w:hint="eastAsia"/>
        </w:rPr>
        <w:t>评标过程中，涉及到相关法律法规不清楚之处的，由招标人监管部门或请示权威部门作出法定解释，涉及到招标文件的由编制招标文件的机构和部门负责解释。</w:t>
      </w:r>
    </w:p>
    <w:p w14:paraId="6B312EE5">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165" w:name="_Toc1358468254"/>
      <w:bookmarkStart w:id="166" w:name="_Toc1003546710"/>
      <w:r>
        <w:t>评</w:t>
      </w:r>
      <w:r>
        <w:rPr>
          <w:rFonts w:hint="eastAsia"/>
          <w:lang w:eastAsia="zh-CN"/>
        </w:rPr>
        <w:t>审</w:t>
      </w:r>
      <w:r>
        <w:t>方法和标准</w:t>
      </w:r>
      <w:bookmarkEnd w:id="165"/>
      <w:bookmarkEnd w:id="166"/>
    </w:p>
    <w:p w14:paraId="510CA694">
      <w:pPr>
        <w:pStyle w:val="39"/>
        <w:bidi w:val="0"/>
      </w:pPr>
      <w:r>
        <w:t>评审委员会将按照采购文件中规定的评审方法和标准，对符合性审查合格的投标文件进行商务和技术评估，综合评价。详细评审方法和标准见本招标文件“第五章 评审方法和标准”。</w:t>
      </w:r>
    </w:p>
    <w:p w14:paraId="4E2CAC3F">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167" w:name="_Toc272991432"/>
      <w:bookmarkStart w:id="168" w:name="_Toc1877293721"/>
      <w:r>
        <w:rPr>
          <w:rFonts w:hint="eastAsia"/>
        </w:rPr>
        <w:t>评</w:t>
      </w:r>
      <w:r>
        <w:rPr>
          <w:rFonts w:hint="eastAsia"/>
          <w:lang w:eastAsia="zh-CN"/>
        </w:rPr>
        <w:t>审</w:t>
      </w:r>
      <w:r>
        <w:rPr>
          <w:rFonts w:hint="eastAsia"/>
        </w:rPr>
        <w:t>内容的保密</w:t>
      </w:r>
      <w:bookmarkEnd w:id="167"/>
      <w:bookmarkEnd w:id="168"/>
    </w:p>
    <w:p w14:paraId="4F2855C1">
      <w:pPr>
        <w:pStyle w:val="47"/>
        <w:numPr>
          <w:ilvl w:val="0"/>
          <w:numId w:val="42"/>
        </w:numPr>
        <w:bidi w:val="0"/>
      </w:pPr>
      <w:r>
        <w:t>公开开标后，直到公告中标单位止，凡属于审查、澄清、评价和比较投标的所有资料，都不向投标人或与评标无关的其他人泄露。</w:t>
      </w:r>
    </w:p>
    <w:p w14:paraId="0E1671BE">
      <w:pPr>
        <w:pStyle w:val="47"/>
        <w:numPr>
          <w:ilvl w:val="0"/>
          <w:numId w:val="42"/>
        </w:numPr>
        <w:bidi w:val="0"/>
      </w:pPr>
      <w:r>
        <w:t>在投标文件的审查、澄清、评价和比较以及确定中标人过程中，投标人对招标人、招标代理机构和评审委员会施加影响的任何行为，都将导致取消资格。</w:t>
      </w:r>
    </w:p>
    <w:p w14:paraId="56E0A4F7">
      <w:pPr>
        <w:pStyle w:val="39"/>
        <w:ind w:firstLine="480"/>
      </w:pPr>
    </w:p>
    <w:p w14:paraId="0CBD5C57">
      <w:pPr>
        <w:pStyle w:val="41"/>
      </w:pPr>
      <w:bookmarkStart w:id="169" w:name="_Toc1141927632"/>
      <w:bookmarkStart w:id="170" w:name="_Toc845827123"/>
      <w:r>
        <w:rPr>
          <w:rFonts w:hint="eastAsia"/>
        </w:rPr>
        <w:t>定 标</w:t>
      </w:r>
      <w:bookmarkEnd w:id="169"/>
      <w:bookmarkEnd w:id="170"/>
    </w:p>
    <w:p w14:paraId="4EAF3BA2">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171" w:name="_Toc1622196768"/>
      <w:bookmarkStart w:id="172" w:name="_Toc316357785"/>
      <w:r>
        <w:rPr>
          <w:rFonts w:hint="eastAsia"/>
        </w:rPr>
        <w:t>定标</w:t>
      </w:r>
      <w:bookmarkEnd w:id="171"/>
      <w:bookmarkEnd w:id="172"/>
      <w:r>
        <w:rPr>
          <w:rFonts w:hint="eastAsia"/>
        </w:rPr>
        <w:tab/>
      </w:r>
    </w:p>
    <w:p w14:paraId="03411D34">
      <w:pPr>
        <w:pStyle w:val="39"/>
        <w:ind w:firstLine="480"/>
      </w:pPr>
      <w:r>
        <w:rPr>
          <w:rFonts w:hint="eastAsia"/>
        </w:rPr>
        <w:t>评审委员会将根据招标文件和有关规定，履行评标工作职责，以评标办法为标准，推荐中标候选人的先后顺序，并按顺序提出授标建议。招标人按政府采购法有关规定最终确定招标结果。</w:t>
      </w:r>
    </w:p>
    <w:p w14:paraId="3EC4EF69">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173" w:name="_Toc1956181111"/>
      <w:bookmarkStart w:id="174" w:name="_Toc2003266170"/>
      <w:r>
        <w:rPr>
          <w:rFonts w:hint="eastAsia"/>
        </w:rPr>
        <w:t>招标结果公告</w:t>
      </w:r>
      <w:bookmarkEnd w:id="173"/>
      <w:bookmarkEnd w:id="174"/>
      <w:r>
        <w:rPr>
          <w:rFonts w:hint="eastAsia"/>
        </w:rPr>
        <w:tab/>
      </w:r>
    </w:p>
    <w:p w14:paraId="2B4C55FF">
      <w:pPr>
        <w:pStyle w:val="39"/>
        <w:ind w:firstLine="480"/>
      </w:pPr>
      <w:r>
        <w:rPr>
          <w:rFonts w:hint="eastAsia"/>
        </w:rPr>
        <w:t>在招标人确认招标结果后招标代理机构按相关政府采购规定将招标结果发布在原招标公告发布媒体。</w:t>
      </w:r>
    </w:p>
    <w:p w14:paraId="3A4ED337">
      <w:pPr>
        <w:pStyle w:val="39"/>
        <w:ind w:firstLine="480"/>
      </w:pPr>
      <w:r>
        <w:rPr>
          <w:rFonts w:hint="eastAsia"/>
        </w:rPr>
        <w:t>结果公告内容包括</w:t>
      </w:r>
      <w:r>
        <w:rPr>
          <w:rFonts w:hint="eastAsia"/>
          <w:lang w:eastAsia="zh-CN"/>
        </w:rPr>
        <w:t>招标</w:t>
      </w:r>
      <w:r>
        <w:rPr>
          <w:rFonts w:hint="eastAsia"/>
        </w:rPr>
        <w:t>人</w:t>
      </w:r>
      <w:r>
        <w:rPr>
          <w:rFonts w:hint="eastAsia"/>
          <w:lang w:eastAsia="zh-CN"/>
        </w:rPr>
        <w:t>、招标代理</w:t>
      </w:r>
      <w:r>
        <w:rPr>
          <w:rFonts w:hint="eastAsia"/>
        </w:rPr>
        <w:t>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w:t>
      </w:r>
      <w:r>
        <w:rPr>
          <w:rFonts w:hint="eastAsia"/>
          <w:lang w:eastAsia="zh-CN"/>
        </w:rPr>
        <w:t>情况</w:t>
      </w:r>
      <w:r>
        <w:rPr>
          <w:rFonts w:hint="eastAsia"/>
        </w:rPr>
        <w:t>。</w:t>
      </w:r>
    </w:p>
    <w:p w14:paraId="03F57626">
      <w:pPr>
        <w:pStyle w:val="39"/>
        <w:ind w:firstLine="480"/>
      </w:pPr>
      <w:r>
        <w:rPr>
          <w:rFonts w:hint="eastAsia"/>
        </w:rPr>
        <w:t>公告有效期为1个工作日。</w:t>
      </w:r>
    </w:p>
    <w:p w14:paraId="2E79148A">
      <w:pPr>
        <w:pStyle w:val="39"/>
        <w:ind w:firstLine="480"/>
      </w:pPr>
      <w:r>
        <w:rPr>
          <w:rFonts w:hint="eastAsia"/>
        </w:rPr>
        <w:t>招标人、招标代理机构及评审委员会对未中标的投标人不作落标原因解释。</w:t>
      </w:r>
    </w:p>
    <w:p w14:paraId="17648807">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175" w:name="_Hlt75236103"/>
      <w:bookmarkEnd w:id="175"/>
      <w:bookmarkStart w:id="176" w:name="_Toc86216995"/>
      <w:bookmarkEnd w:id="176"/>
      <w:bookmarkStart w:id="177" w:name="_Toc645901524"/>
      <w:bookmarkStart w:id="178" w:name="_Toc91899910"/>
      <w:bookmarkStart w:id="179" w:name="_Toc1708780654"/>
      <w:r>
        <w:rPr>
          <w:rFonts w:hint="eastAsia"/>
        </w:rPr>
        <w:t>中标通知书</w:t>
      </w:r>
      <w:bookmarkEnd w:id="177"/>
      <w:bookmarkEnd w:id="178"/>
      <w:bookmarkEnd w:id="179"/>
      <w:r>
        <w:rPr>
          <w:rFonts w:hint="eastAsia"/>
        </w:rPr>
        <w:tab/>
      </w:r>
    </w:p>
    <w:p w14:paraId="17EA7837">
      <w:pPr>
        <w:pStyle w:val="39"/>
        <w:ind w:firstLine="480"/>
      </w:pPr>
      <w:r>
        <w:rPr>
          <w:rFonts w:hint="eastAsia"/>
        </w:rPr>
        <w:t>招标代理机构将以书面形式向中标人发出《中标通知书》。</w:t>
      </w:r>
    </w:p>
    <w:p w14:paraId="6F123777">
      <w:pPr>
        <w:pStyle w:val="39"/>
        <w:ind w:firstLine="480"/>
      </w:pPr>
    </w:p>
    <w:p w14:paraId="1CF25EC7">
      <w:pPr>
        <w:pStyle w:val="41"/>
      </w:pPr>
      <w:bookmarkStart w:id="180" w:name="_Toc137078283"/>
      <w:bookmarkStart w:id="181" w:name="_Toc1177640447"/>
      <w:r>
        <w:t>合同签订和履约担保</w:t>
      </w:r>
      <w:bookmarkEnd w:id="180"/>
      <w:bookmarkEnd w:id="181"/>
    </w:p>
    <w:p w14:paraId="2B94B516">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182" w:name="_Toc1393701977"/>
      <w:bookmarkStart w:id="183" w:name="_Toc1772232797"/>
      <w:r>
        <w:t>合同</w:t>
      </w:r>
      <w:r>
        <w:rPr>
          <w:rFonts w:hint="eastAsia"/>
          <w:lang w:eastAsia="zh-CN"/>
        </w:rPr>
        <w:t>签订</w:t>
      </w:r>
      <w:bookmarkEnd w:id="182"/>
      <w:bookmarkEnd w:id="183"/>
    </w:p>
    <w:p w14:paraId="4D821171">
      <w:pPr>
        <w:pStyle w:val="47"/>
        <w:numPr>
          <w:ilvl w:val="0"/>
          <w:numId w:val="43"/>
        </w:numPr>
        <w:bidi w:val="0"/>
      </w:pPr>
      <w:r>
        <w:t>中标人应在《中标通知书》发出后30天内的时间内，通过“政府采购云平台”或线下与招标人签订政府采购合同。所签订的合同不得对招标文件确定的事项和中标供应商投标文件作实质性修改。招标代理机构将根据招标人的委托，对合同内容进行审查，如发现与招标结果和投标承诺内容不一致的，将予以纠正。</w:t>
      </w:r>
    </w:p>
    <w:p w14:paraId="58A8053A">
      <w:pPr>
        <w:pStyle w:val="47"/>
        <w:numPr>
          <w:ilvl w:val="0"/>
          <w:numId w:val="43"/>
        </w:numPr>
        <w:bidi w:val="0"/>
      </w:pPr>
      <w:r>
        <w:t>招标文件及补充文件、中标人的投标文件及投标修改文件、评标过程中有关澄清文件和中标通知书均作为合同附件。</w:t>
      </w:r>
    </w:p>
    <w:p w14:paraId="1AC630C0">
      <w:pPr>
        <w:pStyle w:val="47"/>
        <w:numPr>
          <w:ilvl w:val="0"/>
          <w:numId w:val="43"/>
        </w:numPr>
        <w:bidi w:val="0"/>
      </w:pPr>
      <w:r>
        <w:t>中标人拒绝与招标人签订合同的，须按项目预算金额的5%进行赔偿（赔偿金额不足叁万的按叁万计），赔偿用于支付采购代理服务费、专家评审费、其他采购组织费用以及因中标人拒绝签订合同给招标人、招标代理机构造成的其他损失，同时招标组织机构将视情对其失信行为上报至同级政府采购监督管理部门对其依法处理。</w:t>
      </w:r>
    </w:p>
    <w:p w14:paraId="4B6DEE90">
      <w:pPr>
        <w:pStyle w:val="47"/>
        <w:numPr>
          <w:ilvl w:val="0"/>
          <w:numId w:val="43"/>
        </w:numPr>
        <w:bidi w:val="0"/>
      </w:pPr>
      <w:r>
        <w:t>中标人拒绝与招标人签订合同的，招标人可以按照评审报告推荐的中标或者成交候选人名单排序，确定下一候选人为中标供应商，也可以重新开展政府采购活动。</w:t>
      </w:r>
    </w:p>
    <w:p w14:paraId="58EF22F9">
      <w:pPr>
        <w:pStyle w:val="47"/>
        <w:numPr>
          <w:ilvl w:val="0"/>
          <w:numId w:val="43"/>
        </w:numPr>
        <w:bidi w:val="0"/>
      </w:pPr>
      <w:r>
        <w:t>如中标人为联合体的，由联合体成员各方法定代表人或其授权代表与招标人代表签订合同。</w:t>
      </w:r>
    </w:p>
    <w:p w14:paraId="0A19EA4F">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184" w:name="_Toc318435289"/>
      <w:bookmarkStart w:id="185" w:name="_Toc1344989610"/>
      <w:r>
        <w:t>履约担保（履约保证金）</w:t>
      </w:r>
      <w:bookmarkEnd w:id="184"/>
      <w:bookmarkEnd w:id="185"/>
    </w:p>
    <w:p w14:paraId="3EBCC246">
      <w:pPr>
        <w:pStyle w:val="47"/>
        <w:numPr>
          <w:ilvl w:val="0"/>
          <w:numId w:val="44"/>
        </w:numPr>
        <w:bidi w:val="0"/>
      </w:pPr>
      <w:r>
        <w:t>履约担保提交要求：见本章“前附表”，中标人应提交而未提交履约担保的，合同款不予支付、合同验收不予通过。</w:t>
      </w:r>
    </w:p>
    <w:p w14:paraId="5AF53637">
      <w:pPr>
        <w:pStyle w:val="47"/>
        <w:numPr>
          <w:ilvl w:val="0"/>
          <w:numId w:val="44"/>
        </w:numPr>
        <w:bidi w:val="0"/>
      </w:pPr>
      <w:r>
        <w:t>采购合同签订后，中标人不按合同约定履约的，招标人可以解除采购合同，并对中标人已缴纳的履约保证金作“不予退还”处理；此外，中标人还须按以下约定向招标人支付违约金、承担违约责任：</w:t>
      </w:r>
    </w:p>
    <w:p w14:paraId="2ABB927A">
      <w:pPr>
        <w:pStyle w:val="48"/>
        <w:numPr>
          <w:ilvl w:val="0"/>
          <w:numId w:val="45"/>
        </w:numPr>
        <w:bidi w:val="0"/>
      </w:pPr>
      <w:r>
        <w:rPr>
          <w:rFonts w:hint="eastAsia"/>
        </w:rPr>
        <w:t>招标</w:t>
      </w:r>
      <w:r>
        <w:t>人已向中标</w:t>
      </w:r>
      <w:r>
        <w:rPr>
          <w:rFonts w:hint="eastAsia"/>
        </w:rPr>
        <w:t>人</w:t>
      </w:r>
      <w:r>
        <w:t>支付了合同款的，中标</w:t>
      </w:r>
      <w:r>
        <w:rPr>
          <w:rFonts w:hint="eastAsia"/>
        </w:rPr>
        <w:t>人</w:t>
      </w:r>
      <w:r>
        <w:t>须一次性退还</w:t>
      </w:r>
      <w:r>
        <w:rPr>
          <w:rFonts w:hint="eastAsia"/>
        </w:rPr>
        <w:t>招标人</w:t>
      </w:r>
      <w:r>
        <w:t>已支付的合同款，并向</w:t>
      </w:r>
      <w:r>
        <w:rPr>
          <w:rFonts w:hint="eastAsia"/>
        </w:rPr>
        <w:t>招标人</w:t>
      </w:r>
      <w:r>
        <w:t>支付等额的违约金；</w:t>
      </w:r>
    </w:p>
    <w:p w14:paraId="0DD80B43">
      <w:pPr>
        <w:pStyle w:val="48"/>
        <w:numPr>
          <w:ilvl w:val="0"/>
          <w:numId w:val="45"/>
        </w:numPr>
        <w:bidi w:val="0"/>
      </w:pPr>
      <w:r>
        <w:rPr>
          <w:rFonts w:hint="eastAsia"/>
        </w:rPr>
        <w:t>招标人</w:t>
      </w:r>
      <w:r>
        <w:t>还未向中标</w:t>
      </w:r>
      <w:r>
        <w:rPr>
          <w:rFonts w:hint="eastAsia"/>
        </w:rPr>
        <w:t>人</w:t>
      </w:r>
      <w:r>
        <w:t>支付合同款的，</w:t>
      </w:r>
      <w:r>
        <w:rPr>
          <w:rFonts w:hint="eastAsia"/>
        </w:rPr>
        <w:t>中标人</w:t>
      </w:r>
      <w:r>
        <w:t>须一次性向</w:t>
      </w:r>
      <w:r>
        <w:rPr>
          <w:rFonts w:hint="eastAsia"/>
        </w:rPr>
        <w:t>招标人</w:t>
      </w:r>
      <w:r>
        <w:t>支付合同总额30%的违约金。</w:t>
      </w:r>
    </w:p>
    <w:p w14:paraId="6665A134">
      <w:pPr>
        <w:pStyle w:val="47"/>
        <w:bidi w:val="0"/>
      </w:pPr>
      <w:r>
        <w:t>中标人的违约金用于弥补招标人、招标代理机构的损失，以及支付采购代理服务费、专家评审费等采购组织费用。</w:t>
      </w:r>
    </w:p>
    <w:p w14:paraId="5A9C2206">
      <w:pPr>
        <w:pStyle w:val="47"/>
        <w:bidi w:val="0"/>
      </w:pPr>
      <w:r>
        <w:t>履约保证金在中标人按约定履约完毕后退还（具体退还方式以合同签订时约定为准）。</w:t>
      </w:r>
    </w:p>
    <w:p w14:paraId="53CA1737">
      <w:pPr>
        <w:pStyle w:val="47"/>
        <w:bidi w:val="0"/>
      </w:pPr>
      <w:r>
        <w:t>中标人不按合同履约的，招标人将对其行为上报至同级政府采购监督管理部门对其依法处理。</w:t>
      </w:r>
    </w:p>
    <w:p w14:paraId="0967B8C0">
      <w:pPr>
        <w:pStyle w:val="39"/>
        <w:bidi w:val="0"/>
      </w:pPr>
      <w:bookmarkStart w:id="186" w:name="_Toc464483851"/>
      <w:bookmarkEnd w:id="186"/>
    </w:p>
    <w:p w14:paraId="649518E0">
      <w:pPr>
        <w:pStyle w:val="41"/>
      </w:pPr>
      <w:bookmarkStart w:id="187" w:name="_Toc464483852"/>
      <w:bookmarkEnd w:id="187"/>
      <w:bookmarkStart w:id="188" w:name="_Toc412653899"/>
      <w:bookmarkStart w:id="189" w:name="_Toc827506948"/>
      <w:r>
        <w:rPr>
          <w:rFonts w:hint="eastAsia"/>
          <w:lang w:eastAsia="zh-CN"/>
        </w:rPr>
        <w:t>招标</w:t>
      </w:r>
      <w:r>
        <w:t>代理服务费</w:t>
      </w:r>
      <w:bookmarkEnd w:id="188"/>
      <w:bookmarkEnd w:id="189"/>
    </w:p>
    <w:p w14:paraId="7EACF2B1">
      <w:pPr>
        <w:pStyle w:val="47"/>
        <w:numPr>
          <w:ilvl w:val="0"/>
          <w:numId w:val="46"/>
        </w:numPr>
        <w:bidi w:val="0"/>
      </w:pPr>
      <w:r>
        <w:rPr>
          <w:rFonts w:hint="eastAsia"/>
          <w:lang w:eastAsia="zh-CN"/>
        </w:rPr>
        <w:t>招标</w:t>
      </w:r>
      <w:r>
        <w:t>代理服务费的支付方：见</w:t>
      </w:r>
      <w:r>
        <w:rPr>
          <w:rFonts w:hint="eastAsia"/>
          <w:lang w:eastAsia="zh-CN"/>
        </w:rPr>
        <w:t>本章“</w:t>
      </w:r>
      <w:r>
        <w:t>前附表</w:t>
      </w:r>
      <w:r>
        <w:rPr>
          <w:rFonts w:hint="eastAsia"/>
          <w:lang w:eastAsia="zh-CN"/>
        </w:rPr>
        <w:t>”</w:t>
      </w:r>
    </w:p>
    <w:p w14:paraId="6CB0C259">
      <w:pPr>
        <w:pStyle w:val="47"/>
        <w:numPr>
          <w:ilvl w:val="0"/>
          <w:numId w:val="46"/>
        </w:numPr>
        <w:bidi w:val="0"/>
      </w:pPr>
      <w:r>
        <w:t>收取标准或金额：见</w:t>
      </w:r>
      <w:r>
        <w:rPr>
          <w:rFonts w:hint="eastAsia"/>
          <w:lang w:eastAsia="zh-CN"/>
        </w:rPr>
        <w:t>本章“</w:t>
      </w:r>
      <w:r>
        <w:t>前附表</w:t>
      </w:r>
      <w:r>
        <w:rPr>
          <w:rFonts w:hint="eastAsia"/>
          <w:lang w:eastAsia="zh-CN"/>
        </w:rPr>
        <w:t>”</w:t>
      </w:r>
      <w:r>
        <w:t>。</w:t>
      </w:r>
    </w:p>
    <w:p w14:paraId="71B739DA">
      <w:pPr>
        <w:pStyle w:val="47"/>
        <w:numPr>
          <w:ilvl w:val="0"/>
          <w:numId w:val="46"/>
        </w:numPr>
        <w:bidi w:val="0"/>
      </w:pPr>
      <w:r>
        <w:t>缴纳时间：见</w:t>
      </w:r>
      <w:r>
        <w:rPr>
          <w:rFonts w:hint="eastAsia"/>
          <w:lang w:eastAsia="zh-CN"/>
        </w:rPr>
        <w:t>本章“</w:t>
      </w:r>
      <w:r>
        <w:t>前附表</w:t>
      </w:r>
      <w:r>
        <w:rPr>
          <w:rFonts w:hint="eastAsia"/>
          <w:lang w:eastAsia="zh-CN"/>
        </w:rPr>
        <w:t>”</w:t>
      </w:r>
      <w:r>
        <w:t>。</w:t>
      </w:r>
    </w:p>
    <w:p w14:paraId="22C7FB24">
      <w:pPr>
        <w:pStyle w:val="47"/>
        <w:numPr>
          <w:ilvl w:val="0"/>
          <w:numId w:val="46"/>
        </w:numPr>
        <w:bidi w:val="0"/>
      </w:pPr>
      <w:r>
        <w:t>缴纳形式：电汇、转账、支票、汇票</w:t>
      </w:r>
    </w:p>
    <w:p w14:paraId="484F8CE7">
      <w:pPr>
        <w:pStyle w:val="47"/>
        <w:numPr>
          <w:ilvl w:val="0"/>
          <w:numId w:val="46"/>
        </w:numPr>
        <w:bidi w:val="0"/>
      </w:pPr>
      <w:r>
        <w:rPr>
          <w:rFonts w:hint="eastAsia"/>
        </w:rPr>
        <w:t>招标</w:t>
      </w:r>
      <w:r>
        <w:t>代理服务费缴纳凭证将作为</w:t>
      </w:r>
      <w:r>
        <w:rPr>
          <w:rFonts w:hint="eastAsia"/>
        </w:rPr>
        <w:t>招标</w:t>
      </w:r>
      <w:r>
        <w:t>人合同付款和验收的前提条件，中标</w:t>
      </w:r>
      <w:r>
        <w:rPr>
          <w:rFonts w:hint="eastAsia"/>
        </w:rPr>
        <w:t>人</w:t>
      </w:r>
      <w:r>
        <w:t>未按上述规定和投标承诺缴纳</w:t>
      </w:r>
      <w:r>
        <w:rPr>
          <w:rFonts w:hint="eastAsia"/>
        </w:rPr>
        <w:t>招标</w:t>
      </w:r>
      <w:r>
        <w:t>代理服务费的，合同款不予支付、合同验收不予通过</w:t>
      </w:r>
      <w:r>
        <w:rPr>
          <w:rFonts w:hint="eastAsia"/>
        </w:rPr>
        <w:t>。</w:t>
      </w:r>
    </w:p>
    <w:p w14:paraId="58527E9C">
      <w:pPr>
        <w:pStyle w:val="47"/>
        <w:bidi w:val="0"/>
      </w:pPr>
      <w:r>
        <w:t>中标</w:t>
      </w:r>
      <w:r>
        <w:rPr>
          <w:rFonts w:hint="eastAsia"/>
          <w:lang w:eastAsia="zh-CN"/>
        </w:rPr>
        <w:t>人</w:t>
      </w:r>
      <w:r>
        <w:t>确定后，中标</w:t>
      </w:r>
      <w:r>
        <w:rPr>
          <w:rFonts w:hint="eastAsia"/>
          <w:lang w:eastAsia="zh-CN"/>
        </w:rPr>
        <w:t>人</w:t>
      </w:r>
      <w:r>
        <w:t>拒绝签订合同的，或因自身原因被取消中标资格或放弃中标的，已收取的</w:t>
      </w:r>
      <w:r>
        <w:rPr>
          <w:rFonts w:hint="eastAsia"/>
          <w:lang w:eastAsia="zh-CN"/>
        </w:rPr>
        <w:t>招标</w:t>
      </w:r>
      <w:r>
        <w:t>代理服务费不予退还，未支付的采购代理服务费从中标</w:t>
      </w:r>
      <w:r>
        <w:rPr>
          <w:rFonts w:hint="eastAsia"/>
          <w:lang w:eastAsia="zh-CN"/>
        </w:rPr>
        <w:t>人</w:t>
      </w:r>
      <w:r>
        <w:t>的赔偿款中扣缴。</w:t>
      </w:r>
    </w:p>
    <w:p w14:paraId="150C264D">
      <w:pPr>
        <w:pStyle w:val="39"/>
        <w:ind w:firstLine="0" w:firstLineChars="0"/>
      </w:pPr>
    </w:p>
    <w:p w14:paraId="2C093A9C">
      <w:pPr>
        <w:pStyle w:val="39"/>
        <w:ind w:firstLine="480"/>
      </w:pPr>
    </w:p>
    <w:p w14:paraId="5E34ABA7">
      <w:pPr>
        <w:pStyle w:val="39"/>
        <w:bidi w:val="0"/>
        <w:rPr>
          <w:lang w:eastAsia="zh-Hans"/>
        </w:rPr>
      </w:pPr>
      <w:r>
        <w:br w:type="page"/>
      </w:r>
    </w:p>
    <w:p w14:paraId="4482AEA4">
      <w:pPr>
        <w:pStyle w:val="42"/>
      </w:pPr>
      <w:bookmarkStart w:id="190" w:name="_Toc1249384330"/>
      <w:bookmarkStart w:id="191" w:name="_Toc805177064"/>
      <w:r>
        <w:rPr>
          <w:rFonts w:hint="eastAsia"/>
          <w:lang w:eastAsia="zh-CN"/>
        </w:rPr>
        <w:t>项目技术及服务要求</w:t>
      </w:r>
      <w:bookmarkEnd w:id="190"/>
      <w:bookmarkEnd w:id="191"/>
    </w:p>
    <w:p w14:paraId="5D368AD2">
      <w:pPr>
        <w:pStyle w:val="41"/>
        <w:pageBreakBefore w:val="0"/>
        <w:numPr>
          <w:ilvl w:val="1"/>
          <w:numId w:val="47"/>
        </w:numPr>
        <w:kinsoku/>
        <w:wordWrap/>
        <w:overflowPunct/>
        <w:topLinePunct w:val="0"/>
        <w:autoSpaceDE/>
        <w:autoSpaceDN/>
        <w:bidi w:val="0"/>
        <w:adjustRightInd w:val="0"/>
        <w:snapToGrid w:val="0"/>
        <w:spacing w:line="360" w:lineRule="auto"/>
        <w:ind w:left="0"/>
        <w:textAlignment w:val="auto"/>
      </w:pPr>
      <w:bookmarkStart w:id="192" w:name="_Toc18301"/>
      <w:bookmarkStart w:id="193" w:name="_Toc12305"/>
      <w:bookmarkStart w:id="194" w:name="_Toc180439136"/>
      <w:bookmarkStart w:id="195" w:name="_Toc29410"/>
      <w:bookmarkStart w:id="196" w:name="_Toc26832"/>
      <w:bookmarkStart w:id="197" w:name="_Toc32320"/>
      <w:bookmarkStart w:id="198" w:name="_Toc1316454901"/>
      <w:bookmarkStart w:id="199" w:name="_Toc307333944"/>
      <w:r>
        <w:rPr>
          <w:rFonts w:hint="eastAsia"/>
        </w:rPr>
        <w:t>概述</w:t>
      </w:r>
      <w:bookmarkEnd w:id="192"/>
      <w:bookmarkEnd w:id="193"/>
      <w:bookmarkEnd w:id="194"/>
      <w:bookmarkEnd w:id="195"/>
      <w:bookmarkEnd w:id="196"/>
      <w:bookmarkEnd w:id="197"/>
      <w:bookmarkEnd w:id="198"/>
      <w:bookmarkEnd w:id="199"/>
    </w:p>
    <w:p w14:paraId="0B0F0C8C">
      <w:pPr>
        <w:pStyle w:val="39"/>
        <w:pageBreakBefore w:val="0"/>
        <w:kinsoku/>
        <w:wordWrap/>
        <w:overflowPunct/>
        <w:topLinePunct w:val="0"/>
        <w:autoSpaceDE/>
        <w:autoSpaceDN/>
        <w:bidi w:val="0"/>
        <w:adjustRightInd w:val="0"/>
        <w:snapToGrid w:val="0"/>
        <w:spacing w:line="360" w:lineRule="auto"/>
        <w:ind w:left="0"/>
        <w:textAlignment w:val="auto"/>
        <w:rPr>
          <w:rFonts w:hint="eastAsia"/>
        </w:rPr>
      </w:pPr>
      <w:r>
        <w:rPr>
          <w:rFonts w:hint="eastAsia"/>
          <w:lang w:val="en-US" w:eastAsia="zh-CN"/>
        </w:rPr>
        <w:t>浙江省应急管理厅</w:t>
      </w:r>
      <w:r>
        <w:rPr>
          <w:rFonts w:hint="default"/>
          <w:lang w:val="en-US" w:eastAsia="zh-CN"/>
        </w:rPr>
        <w:t>省级智慧矿山监管平台以“AI</w:t>
      </w:r>
      <w:r>
        <w:rPr>
          <w:rFonts w:hint="eastAsia"/>
          <w:lang w:val="en-US" w:eastAsia="zh-CN"/>
        </w:rPr>
        <w:t>+监测预警</w:t>
      </w:r>
      <w:r>
        <w:rPr>
          <w:rFonts w:hint="default"/>
          <w:lang w:val="en-US" w:eastAsia="zh-CN"/>
        </w:rPr>
        <w:t>”为</w:t>
      </w:r>
      <w:r>
        <w:rPr>
          <w:rFonts w:hint="eastAsia"/>
          <w:lang w:val="en-US" w:eastAsia="zh-CN"/>
        </w:rPr>
        <w:t>业务核心</w:t>
      </w:r>
      <w:r>
        <w:rPr>
          <w:rFonts w:hint="default"/>
          <w:lang w:val="en-US" w:eastAsia="zh-CN"/>
        </w:rPr>
        <w:t>，构建覆盖露天矿山、地下矿山、尾矿库及采掘施工企业</w:t>
      </w:r>
      <w:r>
        <w:rPr>
          <w:rFonts w:hint="eastAsia"/>
          <w:lang w:val="en-US" w:eastAsia="zh-CN"/>
        </w:rPr>
        <w:t>安全风险事前预警的</w:t>
      </w:r>
      <w:r>
        <w:rPr>
          <w:rFonts w:hint="default"/>
          <w:lang w:val="en-US" w:eastAsia="zh-CN"/>
        </w:rPr>
        <w:t>智能化监管体系</w:t>
      </w:r>
      <w:r>
        <w:rPr>
          <w:rFonts w:hint="eastAsia"/>
          <w:lang w:eastAsia="zh-CN"/>
        </w:rPr>
        <w:t>，通过“数据融合-智能研判-闭环处置”实现矿山安全精准管控，</w:t>
      </w:r>
      <w:r>
        <w:rPr>
          <w:rFonts w:hint="eastAsia"/>
          <w:lang w:val="en-US" w:eastAsia="zh-CN"/>
        </w:rPr>
        <w:t>主要建设内容为</w:t>
      </w:r>
      <w:r>
        <w:rPr>
          <w:rFonts w:hint="eastAsia"/>
        </w:rPr>
        <w:t>露天矿山、地下矿山、尾矿库及采掘施工</w:t>
      </w:r>
      <w:r>
        <w:rPr>
          <w:rFonts w:hint="eastAsia"/>
          <w:lang w:val="en-US" w:eastAsia="zh-CN"/>
        </w:rPr>
        <w:t>四大子系统、AI+监测预警支撑、三维应用支撑、视频智能分析设备和算法以及等保密评等其他服务</w:t>
      </w:r>
      <w:r>
        <w:rPr>
          <w:rFonts w:hint="eastAsia"/>
        </w:rPr>
        <w:t>。</w:t>
      </w:r>
    </w:p>
    <w:p w14:paraId="4846C42A">
      <w:pPr>
        <w:pStyle w:val="41"/>
        <w:bidi w:val="0"/>
      </w:pPr>
      <w:bookmarkStart w:id="200" w:name="_Toc13043"/>
      <w:bookmarkStart w:id="201" w:name="_Toc13926"/>
      <w:bookmarkStart w:id="202" w:name="_Toc663425773"/>
      <w:bookmarkStart w:id="203" w:name="_Toc133506066"/>
      <w:bookmarkStart w:id="204" w:name="_Toc17301"/>
      <w:bookmarkStart w:id="205" w:name="_Toc19174"/>
      <w:bookmarkStart w:id="206" w:name="_Toc17734"/>
      <w:bookmarkStart w:id="207" w:name="_Toc25981"/>
      <w:bookmarkStart w:id="208" w:name="_Toc180439137"/>
      <w:bookmarkStart w:id="209" w:name="_Toc21535"/>
      <w:r>
        <w:rPr>
          <w:rFonts w:hint="eastAsia"/>
          <w:lang w:val="en-US" w:eastAsia="zh-CN"/>
        </w:rPr>
        <w:t>预算</w:t>
      </w:r>
      <w:bookmarkEnd w:id="200"/>
      <w:bookmarkEnd w:id="201"/>
      <w:r>
        <w:rPr>
          <w:rFonts w:hint="eastAsia"/>
          <w:lang w:val="en-US" w:eastAsia="zh-CN"/>
        </w:rPr>
        <w:t>安排</w:t>
      </w:r>
      <w:bookmarkEnd w:id="202"/>
      <w:bookmarkEnd w:id="203"/>
    </w:p>
    <w:p w14:paraId="3AEDC805">
      <w:pPr>
        <w:pStyle w:val="39"/>
        <w:rPr>
          <w:rFonts w:hint="default"/>
          <w:lang w:val="en-US"/>
        </w:rPr>
      </w:pPr>
      <w:r>
        <w:rPr>
          <w:rFonts w:hint="eastAsia"/>
          <w:b/>
          <w:bCs/>
          <w:u w:val="single"/>
          <w:lang w:val="en-US" w:eastAsia="zh-CN"/>
        </w:rPr>
        <w:t>本项目采购内容各分项预算安排如下（分项报价超过分项预算安排的视为无效投标文件</w:t>
      </w:r>
      <w:r>
        <w:rPr>
          <w:rFonts w:hint="eastAsia"/>
          <w:lang w:val="en-US" w:eastAsia="zh-CN"/>
        </w:rPr>
        <w:t>）：</w:t>
      </w:r>
    </w:p>
    <w:tbl>
      <w:tblPr>
        <w:tblStyle w:val="29"/>
        <w:tblpPr w:leftFromText="180" w:rightFromText="180" w:vertAnchor="text" w:horzAnchor="page" w:tblpXSpec="center" w:tblpY="234"/>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2360"/>
        <w:gridCol w:w="2815"/>
        <w:gridCol w:w="1458"/>
        <w:gridCol w:w="1217"/>
      </w:tblGrid>
      <w:tr w14:paraId="7C86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blHeader/>
          <w:jc w:val="center"/>
        </w:trPr>
        <w:tc>
          <w:tcPr>
            <w:tcW w:w="393" w:type="pct"/>
            <w:shd w:val="clear" w:color="auto" w:fill="D7D7D7" w:themeFill="background1" w:themeFillShade="D8"/>
            <w:noWrap w:val="0"/>
            <w:vAlign w:val="center"/>
          </w:tcPr>
          <w:p w14:paraId="64C86A6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3037" w:type="pct"/>
            <w:gridSpan w:val="2"/>
            <w:shd w:val="clear" w:color="auto" w:fill="D7D7D7" w:themeFill="background1" w:themeFillShade="D8"/>
            <w:noWrap w:val="0"/>
            <w:vAlign w:val="center"/>
          </w:tcPr>
          <w:p w14:paraId="02434B7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内容</w:t>
            </w:r>
          </w:p>
        </w:tc>
        <w:tc>
          <w:tcPr>
            <w:tcW w:w="856" w:type="pct"/>
            <w:shd w:val="clear" w:color="auto" w:fill="D7D7D7" w:themeFill="background1" w:themeFillShade="D8"/>
            <w:noWrap w:val="0"/>
            <w:vAlign w:val="center"/>
          </w:tcPr>
          <w:p w14:paraId="7912021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类别</w:t>
            </w:r>
          </w:p>
        </w:tc>
        <w:tc>
          <w:tcPr>
            <w:tcW w:w="713" w:type="pct"/>
            <w:shd w:val="clear" w:color="auto" w:fill="D7D7D7" w:themeFill="background1" w:themeFillShade="D8"/>
            <w:noWrap w:val="0"/>
            <w:vAlign w:val="center"/>
          </w:tcPr>
          <w:p w14:paraId="7FB6720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预算安排</w:t>
            </w:r>
          </w:p>
          <w:p w14:paraId="49E0966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（万元）</w:t>
            </w:r>
          </w:p>
        </w:tc>
      </w:tr>
      <w:tr w14:paraId="31CE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000" w:type="pct"/>
            <w:gridSpan w:val="5"/>
            <w:noWrap w:val="0"/>
            <w:vAlign w:val="center"/>
          </w:tcPr>
          <w:p w14:paraId="2087243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标段一：省级矿山智慧监管平台建设项目</w:t>
            </w:r>
          </w:p>
        </w:tc>
      </w:tr>
      <w:tr w14:paraId="0C257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93" w:type="pct"/>
            <w:shd w:val="clear" w:color="auto" w:fill="auto"/>
            <w:noWrap w:val="0"/>
            <w:vAlign w:val="center"/>
          </w:tcPr>
          <w:p w14:paraId="1F4705DD">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3037" w:type="pct"/>
            <w:gridSpan w:val="2"/>
            <w:shd w:val="clear" w:color="auto" w:fill="auto"/>
            <w:noWrap w:val="0"/>
            <w:vAlign w:val="center"/>
          </w:tcPr>
          <w:p w14:paraId="5174236F">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三大专题子系统（露天矿山、地下矿山、尾矿库）</w:t>
            </w:r>
          </w:p>
        </w:tc>
        <w:tc>
          <w:tcPr>
            <w:tcW w:w="856" w:type="pct"/>
            <w:vMerge w:val="restart"/>
            <w:shd w:val="clear" w:color="auto" w:fill="auto"/>
            <w:noWrap w:val="0"/>
            <w:vAlign w:val="center"/>
          </w:tcPr>
          <w:p w14:paraId="000BF0CE">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应用场景</w:t>
            </w:r>
          </w:p>
        </w:tc>
        <w:tc>
          <w:tcPr>
            <w:tcW w:w="713" w:type="pct"/>
            <w:shd w:val="clear" w:color="auto" w:fill="auto"/>
            <w:noWrap w:val="0"/>
            <w:vAlign w:val="center"/>
          </w:tcPr>
          <w:p w14:paraId="08D8D946">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right"/>
              <w:textAlignment w:val="center"/>
              <w:rPr>
                <w:rFonts w:hint="eastAsia" w:ascii="宋体" w:hAnsi="宋体" w:eastAsia="宋体" w:cs="宋体"/>
                <w:b w:val="0"/>
                <w:bCs w:val="0"/>
                <w:i w:val="0"/>
                <w:iCs w:val="0"/>
                <w:kern w:val="2"/>
                <w:sz w:val="24"/>
                <w:szCs w:val="24"/>
                <w:u w:val="none"/>
                <w:lang w:val="en-US" w:eastAsia="zh-CN" w:bidi="ar"/>
              </w:rPr>
            </w:pPr>
            <w:r>
              <w:rPr>
                <w:rFonts w:hint="eastAsia" w:ascii="宋体" w:hAnsi="宋体" w:eastAsia="宋体" w:cs="宋体"/>
                <w:b w:val="0"/>
                <w:bCs w:val="0"/>
                <w:sz w:val="24"/>
                <w:szCs w:val="24"/>
                <w:vertAlign w:val="baseline"/>
                <w:lang w:val="en-US" w:eastAsia="zh-CN"/>
              </w:rPr>
              <w:t>205.00</w:t>
            </w:r>
          </w:p>
        </w:tc>
      </w:tr>
      <w:tr w14:paraId="5F5C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93" w:type="pct"/>
            <w:shd w:val="clear" w:color="auto" w:fill="auto"/>
            <w:noWrap w:val="0"/>
            <w:vAlign w:val="center"/>
          </w:tcPr>
          <w:p w14:paraId="5ECDE508">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w:t>
            </w:r>
          </w:p>
        </w:tc>
        <w:tc>
          <w:tcPr>
            <w:tcW w:w="3037" w:type="pct"/>
            <w:gridSpan w:val="2"/>
            <w:shd w:val="clear" w:color="auto" w:fill="auto"/>
            <w:noWrap w:val="0"/>
            <w:vAlign w:val="center"/>
          </w:tcPr>
          <w:p w14:paraId="0A57327B">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eastAsia="zh-CN" w:bidi="ar"/>
              </w:rPr>
              <w:t>采掘施工专题子系统</w:t>
            </w:r>
          </w:p>
        </w:tc>
        <w:tc>
          <w:tcPr>
            <w:tcW w:w="856" w:type="pct"/>
            <w:vMerge w:val="continue"/>
            <w:shd w:val="clear" w:color="auto" w:fill="auto"/>
            <w:noWrap w:val="0"/>
            <w:vAlign w:val="center"/>
          </w:tcPr>
          <w:p w14:paraId="46CF98C2">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13" w:type="pct"/>
            <w:shd w:val="clear" w:color="auto" w:fill="auto"/>
            <w:noWrap w:val="0"/>
            <w:vAlign w:val="center"/>
          </w:tcPr>
          <w:p w14:paraId="710DC740">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right"/>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60.00</w:t>
            </w:r>
          </w:p>
        </w:tc>
      </w:tr>
      <w:tr w14:paraId="5DB6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93" w:type="pct"/>
            <w:shd w:val="clear" w:color="auto" w:fill="auto"/>
            <w:noWrap w:val="0"/>
            <w:vAlign w:val="center"/>
          </w:tcPr>
          <w:p w14:paraId="33DDFC3F">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w:t>
            </w:r>
          </w:p>
        </w:tc>
        <w:tc>
          <w:tcPr>
            <w:tcW w:w="3037" w:type="pct"/>
            <w:gridSpan w:val="2"/>
            <w:shd w:val="clear" w:color="auto" w:fill="auto"/>
            <w:noWrap w:val="0"/>
            <w:vAlign w:val="center"/>
          </w:tcPr>
          <w:p w14:paraId="4BB79233">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政企工作台</w:t>
            </w:r>
          </w:p>
        </w:tc>
        <w:tc>
          <w:tcPr>
            <w:tcW w:w="856" w:type="pct"/>
            <w:vMerge w:val="continue"/>
            <w:shd w:val="clear" w:color="auto" w:fill="auto"/>
            <w:noWrap w:val="0"/>
            <w:vAlign w:val="center"/>
          </w:tcPr>
          <w:p w14:paraId="0093D471">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13" w:type="pct"/>
            <w:shd w:val="clear" w:color="auto" w:fill="auto"/>
            <w:noWrap w:val="0"/>
            <w:vAlign w:val="center"/>
          </w:tcPr>
          <w:p w14:paraId="3D67ABC1">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right"/>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i w:val="0"/>
                <w:iCs w:val="0"/>
                <w:kern w:val="2"/>
                <w:sz w:val="24"/>
                <w:szCs w:val="24"/>
                <w:u w:val="none"/>
                <w:lang w:val="en-US" w:eastAsia="zh-CN" w:bidi="ar"/>
              </w:rPr>
              <w:t>180</w:t>
            </w:r>
            <w:r>
              <w:rPr>
                <w:rFonts w:hint="eastAsia" w:ascii="宋体" w:hAnsi="宋体" w:eastAsia="宋体" w:cs="宋体"/>
                <w:b w:val="0"/>
                <w:bCs w:val="0"/>
                <w:sz w:val="24"/>
                <w:szCs w:val="24"/>
                <w:vertAlign w:val="baseline"/>
                <w:lang w:val="en-US" w:eastAsia="zh-CN"/>
              </w:rPr>
              <w:t>.00</w:t>
            </w:r>
          </w:p>
        </w:tc>
      </w:tr>
      <w:tr w14:paraId="4FA2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93" w:type="pct"/>
            <w:noWrap w:val="0"/>
            <w:vAlign w:val="center"/>
          </w:tcPr>
          <w:p w14:paraId="3FBAC64C">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w:t>
            </w:r>
          </w:p>
        </w:tc>
        <w:tc>
          <w:tcPr>
            <w:tcW w:w="3037" w:type="pct"/>
            <w:gridSpan w:val="2"/>
            <w:shd w:val="clear" w:color="auto" w:fill="auto"/>
            <w:noWrap w:val="0"/>
            <w:vAlign w:val="center"/>
          </w:tcPr>
          <w:p w14:paraId="1F22FD7F">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AI+监测预警支撑（包含监测预警智能体及大模型通用能力建设）</w:t>
            </w:r>
          </w:p>
        </w:tc>
        <w:tc>
          <w:tcPr>
            <w:tcW w:w="856" w:type="pct"/>
            <w:vMerge w:val="restart"/>
            <w:shd w:val="clear" w:color="auto" w:fill="auto"/>
            <w:noWrap w:val="0"/>
            <w:vAlign w:val="center"/>
          </w:tcPr>
          <w:p w14:paraId="58EB6633">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支撑平台</w:t>
            </w:r>
          </w:p>
        </w:tc>
        <w:tc>
          <w:tcPr>
            <w:tcW w:w="713" w:type="pct"/>
            <w:shd w:val="clear" w:color="auto" w:fill="auto"/>
            <w:noWrap w:val="0"/>
            <w:vAlign w:val="center"/>
          </w:tcPr>
          <w:p w14:paraId="5F5C445E">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right"/>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i w:val="0"/>
                <w:iCs w:val="0"/>
                <w:kern w:val="2"/>
                <w:sz w:val="24"/>
                <w:szCs w:val="24"/>
                <w:u w:val="none"/>
                <w:lang w:val="en-US" w:eastAsia="zh-CN" w:bidi="ar"/>
              </w:rPr>
              <w:t>100</w:t>
            </w:r>
            <w:r>
              <w:rPr>
                <w:rFonts w:hint="eastAsia" w:ascii="宋体" w:hAnsi="宋体" w:eastAsia="宋体" w:cs="宋体"/>
                <w:b w:val="0"/>
                <w:bCs w:val="0"/>
                <w:sz w:val="24"/>
                <w:szCs w:val="24"/>
                <w:vertAlign w:val="baseline"/>
                <w:lang w:val="en-US" w:eastAsia="zh-CN"/>
              </w:rPr>
              <w:t>.00</w:t>
            </w:r>
          </w:p>
        </w:tc>
      </w:tr>
      <w:tr w14:paraId="23FB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93" w:type="pct"/>
            <w:noWrap w:val="0"/>
            <w:vAlign w:val="center"/>
          </w:tcPr>
          <w:p w14:paraId="239BBB64">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w:t>
            </w:r>
          </w:p>
        </w:tc>
        <w:tc>
          <w:tcPr>
            <w:tcW w:w="3037" w:type="pct"/>
            <w:gridSpan w:val="2"/>
            <w:shd w:val="clear" w:color="auto" w:fill="auto"/>
            <w:noWrap w:val="0"/>
            <w:vAlign w:val="center"/>
          </w:tcPr>
          <w:p w14:paraId="21F41E41">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三维应用支撑</w:t>
            </w:r>
          </w:p>
        </w:tc>
        <w:tc>
          <w:tcPr>
            <w:tcW w:w="856" w:type="pct"/>
            <w:vMerge w:val="continue"/>
            <w:shd w:val="clear" w:color="auto" w:fill="auto"/>
            <w:noWrap w:val="0"/>
            <w:vAlign w:val="center"/>
          </w:tcPr>
          <w:p w14:paraId="320FE915">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iCs w:val="0"/>
                <w:color w:val="000000"/>
                <w:sz w:val="24"/>
                <w:szCs w:val="24"/>
                <w:u w:val="none"/>
                <w:lang w:val="en-US" w:eastAsia="zh-CN"/>
              </w:rPr>
            </w:pPr>
          </w:p>
        </w:tc>
        <w:tc>
          <w:tcPr>
            <w:tcW w:w="713" w:type="pct"/>
            <w:shd w:val="clear" w:color="auto" w:fill="auto"/>
            <w:noWrap w:val="0"/>
            <w:vAlign w:val="center"/>
          </w:tcPr>
          <w:p w14:paraId="2A2B5455">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right"/>
              <w:textAlignment w:val="center"/>
              <w:rPr>
                <w:rFonts w:hint="eastAsia" w:ascii="宋体" w:hAnsi="宋体" w:eastAsia="宋体" w:cs="宋体"/>
                <w:b w:val="0"/>
                <w:bCs w:val="0"/>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140</w:t>
            </w:r>
            <w:r>
              <w:rPr>
                <w:rFonts w:hint="eastAsia" w:ascii="宋体" w:hAnsi="宋体" w:eastAsia="宋体" w:cs="宋体"/>
                <w:b w:val="0"/>
                <w:bCs w:val="0"/>
                <w:sz w:val="24"/>
                <w:szCs w:val="24"/>
                <w:vertAlign w:val="baseline"/>
                <w:lang w:val="en-US" w:eastAsia="zh-CN"/>
              </w:rPr>
              <w:t>.00</w:t>
            </w:r>
          </w:p>
        </w:tc>
      </w:tr>
      <w:tr w14:paraId="523B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93" w:type="pct"/>
            <w:noWrap w:val="0"/>
            <w:vAlign w:val="center"/>
          </w:tcPr>
          <w:p w14:paraId="3A05B6A7">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u w:val="none"/>
                <w:lang w:eastAsia="zh-CN" w:bidi="ar"/>
              </w:rPr>
            </w:pPr>
            <w:r>
              <w:rPr>
                <w:rFonts w:hint="eastAsia" w:ascii="宋体" w:hAnsi="宋体" w:eastAsia="宋体" w:cs="宋体"/>
                <w:b w:val="0"/>
                <w:bCs w:val="0"/>
                <w:i w:val="0"/>
                <w:iCs w:val="0"/>
                <w:color w:val="auto"/>
                <w:kern w:val="0"/>
                <w:sz w:val="24"/>
                <w:szCs w:val="24"/>
                <w:u w:val="none"/>
                <w:lang w:val="en-US" w:eastAsia="zh-CN" w:bidi="ar"/>
              </w:rPr>
              <w:t>6</w:t>
            </w:r>
          </w:p>
        </w:tc>
        <w:tc>
          <w:tcPr>
            <w:tcW w:w="1385" w:type="pct"/>
            <w:vMerge w:val="restart"/>
            <w:noWrap w:val="0"/>
            <w:vAlign w:val="center"/>
          </w:tcPr>
          <w:p w14:paraId="4A30C396">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视频汇聚及算法平台支撑</w:t>
            </w:r>
          </w:p>
        </w:tc>
        <w:tc>
          <w:tcPr>
            <w:tcW w:w="1652" w:type="pct"/>
            <w:noWrap w:val="0"/>
            <w:vAlign w:val="center"/>
          </w:tcPr>
          <w:p w14:paraId="18CE78CC">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both"/>
              <w:textAlignment w:val="center"/>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u w:val="none"/>
                <w:lang w:val="en-US" w:eastAsia="zh-CN" w:bidi="ar"/>
              </w:rPr>
              <w:t>智能分析设备（硬件）</w:t>
            </w:r>
          </w:p>
        </w:tc>
        <w:tc>
          <w:tcPr>
            <w:tcW w:w="856" w:type="pct"/>
            <w:vMerge w:val="continue"/>
            <w:noWrap w:val="0"/>
            <w:vAlign w:val="center"/>
          </w:tcPr>
          <w:p w14:paraId="09E451C3">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13" w:type="pct"/>
            <w:noWrap w:val="0"/>
            <w:vAlign w:val="center"/>
          </w:tcPr>
          <w:p w14:paraId="2056C775">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right"/>
              <w:textAlignment w:val="center"/>
              <w:rPr>
                <w:rFonts w:hint="eastAsia" w:ascii="宋体" w:hAnsi="宋体" w:eastAsia="宋体" w:cs="宋体"/>
                <w:b w:val="0"/>
                <w:bCs w:val="0"/>
                <w:i w:val="0"/>
                <w:iCs w:val="0"/>
                <w:kern w:val="2"/>
                <w:sz w:val="24"/>
                <w:szCs w:val="24"/>
                <w:u w:val="none"/>
                <w:lang w:eastAsia="zh-CN" w:bidi="ar"/>
              </w:rPr>
            </w:pPr>
            <w:r>
              <w:rPr>
                <w:rFonts w:hint="eastAsia" w:ascii="宋体" w:hAnsi="宋体" w:eastAsia="宋体" w:cs="宋体"/>
                <w:i w:val="0"/>
                <w:iCs w:val="0"/>
                <w:kern w:val="2"/>
                <w:sz w:val="24"/>
                <w:szCs w:val="24"/>
                <w:u w:val="none"/>
                <w:lang w:val="en-US" w:eastAsia="zh-CN" w:bidi="ar"/>
              </w:rPr>
              <w:t>280</w:t>
            </w:r>
            <w:r>
              <w:rPr>
                <w:rFonts w:hint="eastAsia" w:ascii="宋体" w:hAnsi="宋体" w:eastAsia="宋体" w:cs="宋体"/>
                <w:b w:val="0"/>
                <w:bCs w:val="0"/>
                <w:sz w:val="24"/>
                <w:szCs w:val="24"/>
                <w:vertAlign w:val="baseline"/>
                <w:lang w:val="en-US" w:eastAsia="zh-CN"/>
              </w:rPr>
              <w:t>.00</w:t>
            </w:r>
          </w:p>
        </w:tc>
      </w:tr>
      <w:tr w14:paraId="05B8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93" w:type="pct"/>
            <w:noWrap w:val="0"/>
            <w:vAlign w:val="center"/>
          </w:tcPr>
          <w:p w14:paraId="27E2F04D">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w:t>
            </w:r>
          </w:p>
        </w:tc>
        <w:tc>
          <w:tcPr>
            <w:tcW w:w="1385" w:type="pct"/>
            <w:vMerge w:val="continue"/>
            <w:noWrap w:val="0"/>
            <w:vAlign w:val="center"/>
          </w:tcPr>
          <w:p w14:paraId="4767A301">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left"/>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1652" w:type="pct"/>
            <w:noWrap w:val="0"/>
            <w:vAlign w:val="center"/>
          </w:tcPr>
          <w:p w14:paraId="33666EB0">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b w:val="0"/>
                <w:bCs w:val="0"/>
                <w:i w:val="0"/>
                <w:iCs w:val="0"/>
                <w:color w:val="auto"/>
                <w:kern w:val="0"/>
                <w:sz w:val="24"/>
                <w:szCs w:val="24"/>
                <w:u w:val="none"/>
                <w:lang w:val="en-US" w:eastAsia="zh-CN" w:bidi="ar"/>
              </w:rPr>
              <w:t>视频算法模型</w:t>
            </w:r>
          </w:p>
        </w:tc>
        <w:tc>
          <w:tcPr>
            <w:tcW w:w="856" w:type="pct"/>
            <w:vMerge w:val="continue"/>
            <w:noWrap w:val="0"/>
            <w:vAlign w:val="center"/>
          </w:tcPr>
          <w:p w14:paraId="5841D425">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13" w:type="pct"/>
            <w:noWrap w:val="0"/>
            <w:vAlign w:val="center"/>
          </w:tcPr>
          <w:p w14:paraId="2C8515D0">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right"/>
              <w:textAlignment w:val="center"/>
              <w:rPr>
                <w:rFonts w:hint="eastAsia" w:ascii="宋体" w:hAnsi="宋体" w:eastAsia="宋体" w:cs="宋体"/>
                <w:b w:val="0"/>
                <w:bCs w:val="0"/>
                <w:i w:val="0"/>
                <w:iCs w:val="0"/>
                <w:kern w:val="2"/>
                <w:sz w:val="24"/>
                <w:szCs w:val="24"/>
                <w:u w:val="none"/>
                <w:lang w:eastAsia="zh-CN" w:bidi="ar"/>
              </w:rPr>
            </w:pPr>
            <w:r>
              <w:rPr>
                <w:rFonts w:hint="eastAsia" w:ascii="宋体" w:hAnsi="宋体" w:eastAsia="宋体" w:cs="宋体"/>
                <w:i w:val="0"/>
                <w:iCs w:val="0"/>
                <w:kern w:val="2"/>
                <w:sz w:val="24"/>
                <w:szCs w:val="24"/>
                <w:u w:val="none"/>
                <w:lang w:val="en-US" w:eastAsia="zh-CN" w:bidi="ar"/>
              </w:rPr>
              <w:t>140</w:t>
            </w:r>
            <w:r>
              <w:rPr>
                <w:rFonts w:hint="eastAsia" w:ascii="宋体" w:hAnsi="宋体" w:eastAsia="宋体" w:cs="宋体"/>
                <w:b w:val="0"/>
                <w:bCs w:val="0"/>
                <w:sz w:val="24"/>
                <w:szCs w:val="24"/>
                <w:vertAlign w:val="baseline"/>
                <w:lang w:val="en-US" w:eastAsia="zh-CN"/>
              </w:rPr>
              <w:t>.00</w:t>
            </w:r>
          </w:p>
        </w:tc>
      </w:tr>
      <w:tr w14:paraId="17C8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93" w:type="pct"/>
            <w:noWrap w:val="0"/>
            <w:vAlign w:val="center"/>
          </w:tcPr>
          <w:p w14:paraId="7E1E4C90">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w:t>
            </w:r>
          </w:p>
        </w:tc>
        <w:tc>
          <w:tcPr>
            <w:tcW w:w="3037" w:type="pct"/>
            <w:gridSpan w:val="2"/>
            <w:shd w:val="clear" w:color="auto" w:fill="auto"/>
            <w:noWrap w:val="0"/>
            <w:vAlign w:val="center"/>
          </w:tcPr>
          <w:p w14:paraId="7DA24C28">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系统安全防护建设</w:t>
            </w:r>
          </w:p>
        </w:tc>
        <w:tc>
          <w:tcPr>
            <w:tcW w:w="856" w:type="pct"/>
            <w:vMerge w:val="restart"/>
            <w:shd w:val="clear" w:color="auto" w:fill="auto"/>
            <w:noWrap w:val="0"/>
            <w:vAlign w:val="center"/>
          </w:tcPr>
          <w:p w14:paraId="4C2BA1AF">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安全防护</w:t>
            </w:r>
          </w:p>
        </w:tc>
        <w:tc>
          <w:tcPr>
            <w:tcW w:w="713" w:type="pct"/>
            <w:shd w:val="clear" w:color="auto" w:fill="auto"/>
            <w:noWrap w:val="0"/>
            <w:vAlign w:val="center"/>
          </w:tcPr>
          <w:p w14:paraId="4E11DF6D">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right"/>
              <w:textAlignment w:val="center"/>
              <w:rPr>
                <w:rFonts w:hint="eastAsia" w:ascii="宋体" w:hAnsi="宋体" w:eastAsia="宋体" w:cs="宋体"/>
                <w:b w:val="0"/>
                <w:bCs w:val="0"/>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50</w:t>
            </w:r>
            <w:r>
              <w:rPr>
                <w:rFonts w:hint="eastAsia" w:ascii="宋体" w:hAnsi="宋体" w:eastAsia="宋体" w:cs="宋体"/>
                <w:b w:val="0"/>
                <w:bCs w:val="0"/>
                <w:sz w:val="24"/>
                <w:szCs w:val="24"/>
                <w:vertAlign w:val="baseline"/>
                <w:lang w:val="en-US" w:eastAsia="zh-CN"/>
              </w:rPr>
              <w:t>.00</w:t>
            </w:r>
          </w:p>
        </w:tc>
      </w:tr>
      <w:tr w14:paraId="7536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93" w:type="pct"/>
            <w:noWrap w:val="0"/>
            <w:vAlign w:val="center"/>
          </w:tcPr>
          <w:p w14:paraId="634C8D84">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w:t>
            </w:r>
          </w:p>
        </w:tc>
        <w:tc>
          <w:tcPr>
            <w:tcW w:w="3037" w:type="pct"/>
            <w:gridSpan w:val="2"/>
            <w:shd w:val="clear" w:color="auto" w:fill="auto"/>
            <w:noWrap w:val="0"/>
            <w:vAlign w:val="center"/>
          </w:tcPr>
          <w:p w14:paraId="496814DD">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等保、密评、第三方软件测评、代码审计、信创符合性报告</w:t>
            </w:r>
          </w:p>
        </w:tc>
        <w:tc>
          <w:tcPr>
            <w:tcW w:w="856" w:type="pct"/>
            <w:vMerge w:val="continue"/>
            <w:shd w:val="clear" w:color="auto" w:fill="auto"/>
            <w:noWrap w:val="0"/>
            <w:vAlign w:val="center"/>
          </w:tcPr>
          <w:p w14:paraId="7AE049F5">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13" w:type="pct"/>
            <w:shd w:val="clear" w:color="auto" w:fill="auto"/>
            <w:noWrap w:val="0"/>
            <w:vAlign w:val="center"/>
          </w:tcPr>
          <w:p w14:paraId="546F2F80">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right"/>
              <w:textAlignment w:val="center"/>
              <w:rPr>
                <w:rFonts w:hint="eastAsia" w:ascii="宋体" w:hAnsi="宋体" w:eastAsia="宋体" w:cs="宋体"/>
                <w:b w:val="0"/>
                <w:bCs w:val="0"/>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20</w:t>
            </w:r>
            <w:r>
              <w:rPr>
                <w:rFonts w:hint="eastAsia" w:ascii="宋体" w:hAnsi="宋体" w:eastAsia="宋体" w:cs="宋体"/>
                <w:b w:val="0"/>
                <w:bCs w:val="0"/>
                <w:sz w:val="24"/>
                <w:szCs w:val="24"/>
                <w:vertAlign w:val="baseline"/>
                <w:lang w:val="en-US" w:eastAsia="zh-CN"/>
              </w:rPr>
              <w:t>.00</w:t>
            </w:r>
          </w:p>
        </w:tc>
      </w:tr>
      <w:tr w14:paraId="455B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000" w:type="pct"/>
            <w:gridSpan w:val="5"/>
            <w:noWrap w:val="0"/>
            <w:vAlign w:val="center"/>
          </w:tcPr>
          <w:p w14:paraId="66EA7AE6">
            <w:pPr>
              <w:keepNext w:val="0"/>
              <w:keepLines w:val="0"/>
              <w:pageBreakBefore w:val="0"/>
              <w:widowControl/>
              <w:suppressLineNumbers w:val="0"/>
              <w:kinsoku/>
              <w:wordWrap/>
              <w:overflowPunct/>
              <w:topLinePunct w:val="0"/>
              <w:autoSpaceDE/>
              <w:autoSpaceDN/>
              <w:bidi w:val="0"/>
              <w:adjustRightInd/>
              <w:spacing w:line="360" w:lineRule="auto"/>
              <w:jc w:val="righ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小计：1175.00</w:t>
            </w:r>
          </w:p>
        </w:tc>
      </w:tr>
      <w:tr w14:paraId="06B5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000" w:type="pct"/>
            <w:gridSpan w:val="5"/>
            <w:noWrap w:val="0"/>
            <w:vAlign w:val="center"/>
          </w:tcPr>
          <w:p w14:paraId="2ACC6727">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标段二：“省级矿山智慧监管平台建设项目”监理服务项目</w:t>
            </w:r>
          </w:p>
        </w:tc>
      </w:tr>
      <w:tr w14:paraId="0113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93" w:type="pct"/>
            <w:noWrap w:val="0"/>
            <w:vAlign w:val="center"/>
          </w:tcPr>
          <w:p w14:paraId="35DE7501">
            <w:pPr>
              <w:keepNext w:val="0"/>
              <w:keepLines w:val="0"/>
              <w:pageBreakBefore w:val="0"/>
              <w:widowControl/>
              <w:suppressLineNumbers w:val="0"/>
              <w:kinsoku/>
              <w:wordWrap/>
              <w:overflowPunct/>
              <w:topLinePunct w:val="0"/>
              <w:autoSpaceDE/>
              <w:autoSpaceDN/>
              <w:bidi w:val="0"/>
              <w:adjustRightInd/>
              <w:spacing w:line="360" w:lineRule="auto"/>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3037" w:type="pct"/>
            <w:gridSpan w:val="2"/>
            <w:noWrap w:val="0"/>
            <w:vAlign w:val="center"/>
          </w:tcPr>
          <w:p w14:paraId="10CEAB22">
            <w:pPr>
              <w:keepNext w:val="0"/>
              <w:keepLines w:val="0"/>
              <w:pageBreakBefore w:val="0"/>
              <w:widowControl/>
              <w:suppressLineNumbers w:val="0"/>
              <w:kinsoku/>
              <w:wordWrap/>
              <w:overflowPunct/>
              <w:topLinePunct w:val="0"/>
              <w:autoSpaceDE/>
              <w:autoSpaceDN/>
              <w:bidi w:val="0"/>
              <w:adjustRightInd/>
              <w:spacing w:line="360" w:lineRule="auto"/>
              <w:ind w:left="0" w:leftChars="0" w:firstLine="0" w:firstLineChars="0"/>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监理服务</w:t>
            </w:r>
          </w:p>
        </w:tc>
        <w:tc>
          <w:tcPr>
            <w:tcW w:w="856" w:type="pct"/>
            <w:noWrap w:val="0"/>
            <w:vAlign w:val="center"/>
          </w:tcPr>
          <w:p w14:paraId="7569550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713" w:type="pct"/>
            <w:noWrap w:val="0"/>
            <w:vAlign w:val="center"/>
          </w:tcPr>
          <w:p w14:paraId="4406D5E3">
            <w:pPr>
              <w:keepNext w:val="0"/>
              <w:keepLines w:val="0"/>
              <w:pageBreakBefore w:val="0"/>
              <w:widowControl/>
              <w:suppressLineNumbers w:val="0"/>
              <w:kinsoku/>
              <w:wordWrap/>
              <w:overflowPunct/>
              <w:topLinePunct w:val="0"/>
              <w:autoSpaceDE/>
              <w:autoSpaceDN/>
              <w:bidi w:val="0"/>
              <w:adjustRightInd/>
              <w:spacing w:line="360" w:lineRule="auto"/>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25.00</w:t>
            </w:r>
          </w:p>
        </w:tc>
      </w:tr>
      <w:tr w14:paraId="77AC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000" w:type="pct"/>
            <w:gridSpan w:val="5"/>
            <w:noWrap w:val="0"/>
            <w:vAlign w:val="center"/>
          </w:tcPr>
          <w:p w14:paraId="7ADC1A39">
            <w:pPr>
              <w:keepNext w:val="0"/>
              <w:keepLines w:val="0"/>
              <w:pageBreakBefore w:val="0"/>
              <w:widowControl/>
              <w:suppressLineNumbers w:val="0"/>
              <w:kinsoku/>
              <w:wordWrap/>
              <w:overflowPunct/>
              <w:topLinePunct w:val="0"/>
              <w:autoSpaceDE/>
              <w:autoSpaceDN/>
              <w:bidi w:val="0"/>
              <w:adjustRightInd/>
              <w:spacing w:line="360" w:lineRule="auto"/>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小计：25.00</w:t>
            </w:r>
          </w:p>
        </w:tc>
      </w:tr>
      <w:tr w14:paraId="2E65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000" w:type="pct"/>
            <w:gridSpan w:val="5"/>
            <w:noWrap w:val="0"/>
            <w:vAlign w:val="center"/>
          </w:tcPr>
          <w:p w14:paraId="13999DC6">
            <w:pPr>
              <w:keepNext w:val="0"/>
              <w:keepLines w:val="0"/>
              <w:pageBreakBefore w:val="0"/>
              <w:widowControl/>
              <w:suppressLineNumbers w:val="0"/>
              <w:kinsoku/>
              <w:wordWrap/>
              <w:overflowPunct/>
              <w:topLinePunct w:val="0"/>
              <w:autoSpaceDE/>
              <w:autoSpaceDN/>
              <w:bidi w:val="0"/>
              <w:adjustRightInd/>
              <w:spacing w:line="360" w:lineRule="auto"/>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合计：1200.00</w:t>
            </w:r>
          </w:p>
        </w:tc>
      </w:tr>
    </w:tbl>
    <w:p w14:paraId="39A48FCE">
      <w:pPr>
        <w:pStyle w:val="41"/>
        <w:pageBreakBefore w:val="0"/>
        <w:numPr>
          <w:ilvl w:val="1"/>
          <w:numId w:val="0"/>
        </w:numPr>
        <w:kinsoku/>
        <w:wordWrap/>
        <w:overflowPunct/>
        <w:topLinePunct w:val="0"/>
        <w:autoSpaceDE/>
        <w:autoSpaceDN/>
        <w:bidi w:val="0"/>
        <w:adjustRightInd w:val="0"/>
        <w:snapToGrid w:val="0"/>
        <w:spacing w:line="360" w:lineRule="auto"/>
        <w:ind w:leftChars="0"/>
        <w:jc w:val="both"/>
        <w:textAlignment w:val="auto"/>
        <w:outlineLvl w:val="9"/>
      </w:pPr>
    </w:p>
    <w:p w14:paraId="369FE1F6">
      <w:pPr>
        <w:pStyle w:val="41"/>
        <w:pageBreakBefore w:val="0"/>
        <w:numPr>
          <w:ilvl w:val="1"/>
          <w:numId w:val="47"/>
        </w:numPr>
        <w:kinsoku/>
        <w:wordWrap/>
        <w:overflowPunct/>
        <w:topLinePunct w:val="0"/>
        <w:autoSpaceDE/>
        <w:autoSpaceDN/>
        <w:bidi w:val="0"/>
        <w:adjustRightInd w:val="0"/>
        <w:snapToGrid w:val="0"/>
        <w:spacing w:line="360" w:lineRule="auto"/>
        <w:ind w:left="0"/>
        <w:textAlignment w:val="auto"/>
      </w:pPr>
      <w:bookmarkStart w:id="210" w:name="_Toc461871587"/>
      <w:bookmarkStart w:id="211" w:name="_Toc1863523794"/>
      <w:r>
        <w:rPr>
          <w:rFonts w:hint="eastAsia"/>
        </w:rPr>
        <w:t>建设目标</w:t>
      </w:r>
      <w:bookmarkEnd w:id="204"/>
      <w:bookmarkEnd w:id="205"/>
      <w:bookmarkEnd w:id="206"/>
      <w:bookmarkEnd w:id="207"/>
      <w:bookmarkEnd w:id="208"/>
      <w:bookmarkEnd w:id="209"/>
      <w:bookmarkEnd w:id="210"/>
      <w:bookmarkEnd w:id="211"/>
    </w:p>
    <w:p w14:paraId="3D3452D7">
      <w:pPr>
        <w:pStyle w:val="39"/>
        <w:pageBreakBefore w:val="0"/>
        <w:kinsoku/>
        <w:wordWrap/>
        <w:overflowPunct/>
        <w:topLinePunct w:val="0"/>
        <w:autoSpaceDE/>
        <w:autoSpaceDN/>
        <w:bidi w:val="0"/>
        <w:adjustRightInd w:val="0"/>
        <w:snapToGrid w:val="0"/>
        <w:spacing w:line="360" w:lineRule="auto"/>
        <w:ind w:left="0"/>
        <w:textAlignment w:val="auto"/>
        <w:rPr>
          <w:rFonts w:hint="eastAsia"/>
        </w:rPr>
      </w:pPr>
      <w:r>
        <w:rPr>
          <w:rFonts w:hint="eastAsia"/>
        </w:rPr>
        <w:t>按照“大平台、大数据、大系统”一张蓝图绘到底的信息化建设思路，加快建设步伐，深化系统应用。汇聚自然资源</w:t>
      </w:r>
      <w:r>
        <w:rPr>
          <w:rFonts w:hint="eastAsia"/>
          <w:lang w:eastAsia="zh-CN"/>
        </w:rPr>
        <w:t>、</w:t>
      </w:r>
      <w:r>
        <w:rPr>
          <w:rFonts w:hint="eastAsia"/>
          <w:lang w:val="en-US" w:eastAsia="zh-CN"/>
        </w:rPr>
        <w:t>气象</w:t>
      </w:r>
      <w:r>
        <w:rPr>
          <w:rFonts w:hint="eastAsia"/>
        </w:rPr>
        <w:t>等部门的矿山安全有关数据，数据资源更加丰富。实现矿山安全监管与风险监测预警业务深度融合，各类业务在线协同办理、集成应用。人工智能、矿山行业大模型等新技术在防范化解矿山重大安全风险、打击非法违法行为上得到有效应用，全面建成矿山安全监管信息化“一平台”。</w:t>
      </w:r>
    </w:p>
    <w:p w14:paraId="295493FA">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本项目建设过程中需主要克服的重点难点问题是：解决矿山（尾矿库）相关视频和监测设备在线率低、AI风险监测技术应用不足等问题。</w:t>
      </w:r>
    </w:p>
    <w:p w14:paraId="5E43DFB7">
      <w:pPr>
        <w:pStyle w:val="39"/>
        <w:pageBreakBefore w:val="0"/>
        <w:kinsoku/>
        <w:wordWrap/>
        <w:overflowPunct/>
        <w:topLinePunct w:val="0"/>
        <w:autoSpaceDE/>
        <w:autoSpaceDN/>
        <w:bidi w:val="0"/>
        <w:adjustRightInd w:val="0"/>
        <w:snapToGrid w:val="0"/>
        <w:spacing w:line="360" w:lineRule="auto"/>
        <w:ind w:left="0"/>
        <w:textAlignment w:val="auto"/>
        <w:rPr>
          <w:rFonts w:hint="eastAsia"/>
        </w:rPr>
      </w:pPr>
      <w:r>
        <w:rPr>
          <w:rFonts w:hint="eastAsia"/>
        </w:rPr>
        <w:t>项目完成后，将初步建成“全域覆盖、功能齐全、安全可靠、深度应用”的省级矿山智慧监管平台。</w:t>
      </w:r>
    </w:p>
    <w:p w14:paraId="4CA70EA3">
      <w:pPr>
        <w:pStyle w:val="39"/>
        <w:pageBreakBefore w:val="0"/>
        <w:kinsoku/>
        <w:wordWrap/>
        <w:overflowPunct/>
        <w:topLinePunct w:val="0"/>
        <w:autoSpaceDE/>
        <w:autoSpaceDN/>
        <w:bidi w:val="0"/>
        <w:adjustRightInd w:val="0"/>
        <w:snapToGrid w:val="0"/>
        <w:spacing w:line="360" w:lineRule="auto"/>
        <w:ind w:left="0"/>
        <w:textAlignment w:val="auto"/>
        <w:rPr>
          <w:rFonts w:hint="eastAsia"/>
        </w:rPr>
      </w:pPr>
      <w:r>
        <w:rPr>
          <w:rFonts w:hint="eastAsia"/>
        </w:rPr>
        <w:t>1.实现一屏监控展示。平台通过在线监测、视频监控等手段，实现对全省矿山的全域覆盖实时监控，可以实时掌握矿山开采</w:t>
      </w:r>
      <w:r>
        <w:rPr>
          <w:rFonts w:hint="eastAsia"/>
          <w:lang w:val="en-US" w:eastAsia="zh-CN"/>
        </w:rPr>
        <w:t>相关</w:t>
      </w:r>
      <w:r>
        <w:rPr>
          <w:rFonts w:hint="eastAsia"/>
        </w:rPr>
        <w:t>环节主要安全生产情况；通过综合研判分析，展示全省露天矿山、地下矿山、尾矿库以及采掘施工企业安全生产状况及变化趋势。</w:t>
      </w:r>
    </w:p>
    <w:p w14:paraId="4BA16F0E">
      <w:pPr>
        <w:pStyle w:val="39"/>
        <w:pageBreakBefore w:val="0"/>
        <w:kinsoku/>
        <w:wordWrap/>
        <w:overflowPunct/>
        <w:topLinePunct w:val="0"/>
        <w:autoSpaceDE/>
        <w:autoSpaceDN/>
        <w:bidi w:val="0"/>
        <w:adjustRightInd w:val="0"/>
        <w:snapToGrid w:val="0"/>
        <w:spacing w:line="360" w:lineRule="auto"/>
        <w:ind w:left="0"/>
        <w:textAlignment w:val="auto"/>
        <w:rPr>
          <w:rFonts w:hint="eastAsia"/>
        </w:rPr>
      </w:pPr>
      <w:r>
        <w:rPr>
          <w:rFonts w:hint="eastAsia"/>
        </w:rPr>
        <w:t>2.实现动态智能监管。平台集成矿山开采</w:t>
      </w:r>
      <w:r>
        <w:rPr>
          <w:rFonts w:hint="eastAsia"/>
          <w:lang w:val="en-US" w:eastAsia="zh-CN"/>
        </w:rPr>
        <w:t>相关</w:t>
      </w:r>
      <w:r>
        <w:rPr>
          <w:rFonts w:hint="eastAsia"/>
        </w:rPr>
        <w:t>环节的数据，精准呈现矿山风险状况，智能实施分级分类。平台具备风险预警功能，通过视频监控及AI分析技术，平台能够实现对重点矿区智能监控，识别出生产人员存在的不安全行为，并及时发出相应的干预指令信息。对一些重大异常情况，及时向企业和相关部门发送警示信息，推动问题迅速处理。</w:t>
      </w:r>
    </w:p>
    <w:p w14:paraId="789AFA0E">
      <w:pPr>
        <w:pStyle w:val="39"/>
        <w:pageBreakBefore w:val="0"/>
        <w:kinsoku/>
        <w:wordWrap/>
        <w:overflowPunct/>
        <w:topLinePunct w:val="0"/>
        <w:autoSpaceDE/>
        <w:autoSpaceDN/>
        <w:bidi w:val="0"/>
        <w:adjustRightInd w:val="0"/>
        <w:snapToGrid w:val="0"/>
        <w:spacing w:line="360" w:lineRule="auto"/>
        <w:ind w:left="0"/>
        <w:textAlignment w:val="auto"/>
        <w:rPr>
          <w:rFonts w:hint="eastAsia"/>
        </w:rPr>
      </w:pPr>
      <w:r>
        <w:rPr>
          <w:rFonts w:hint="eastAsia"/>
        </w:rPr>
        <w:t>3.提升安全监管成效。监管部门通过平台实现对矿山安全生产状况的实时监管，可减少实地检查频次，提升安全监管效率。平台通过向企业发送警示信息、工作提醒等，帮助企业合规经营、避免各类风险。企业通过平台实时了解自身的安全生产状况，可及时发现问题并采取措施，提升事故防控能力。</w:t>
      </w:r>
    </w:p>
    <w:p w14:paraId="6A17ABEE">
      <w:pPr>
        <w:pStyle w:val="39"/>
        <w:pageBreakBefore w:val="0"/>
        <w:kinsoku/>
        <w:wordWrap/>
        <w:overflowPunct/>
        <w:topLinePunct w:val="0"/>
        <w:autoSpaceDE/>
        <w:autoSpaceDN/>
        <w:bidi w:val="0"/>
        <w:adjustRightInd w:val="0"/>
        <w:snapToGrid w:val="0"/>
        <w:spacing w:line="360" w:lineRule="auto"/>
        <w:ind w:left="0"/>
        <w:textAlignment w:val="auto"/>
        <w:rPr>
          <w:rFonts w:hint="eastAsia"/>
        </w:rPr>
      </w:pPr>
      <w:r>
        <w:rPr>
          <w:rFonts w:hint="eastAsia"/>
        </w:rPr>
        <w:t>4.推动转型形成示范。平台的建设，有效推动矿山企业加强数字化监测和应用，实现矿山的数字化转型，全面提升数字化、智能化管理水平。“采掘施工子系统”具备省外推广的能力，将促成省矿山智慧监管平台建设成果形成示范效应，为全国其他地区作示范借鉴。</w:t>
      </w:r>
    </w:p>
    <w:p w14:paraId="42ACF6B1">
      <w:pPr>
        <w:pStyle w:val="41"/>
        <w:pageBreakBefore w:val="0"/>
        <w:numPr>
          <w:ilvl w:val="1"/>
          <w:numId w:val="47"/>
        </w:numPr>
        <w:kinsoku/>
        <w:wordWrap/>
        <w:overflowPunct/>
        <w:topLinePunct w:val="0"/>
        <w:autoSpaceDE/>
        <w:autoSpaceDN/>
        <w:bidi w:val="0"/>
        <w:adjustRightInd w:val="0"/>
        <w:snapToGrid w:val="0"/>
        <w:spacing w:line="360" w:lineRule="auto"/>
        <w:ind w:left="0"/>
        <w:textAlignment w:val="auto"/>
      </w:pPr>
      <w:bookmarkStart w:id="212" w:name="_Toc17496"/>
      <w:bookmarkStart w:id="213" w:name="_Toc32465"/>
      <w:bookmarkStart w:id="214" w:name="_Toc23969"/>
      <w:bookmarkStart w:id="215" w:name="_Toc11081"/>
      <w:bookmarkStart w:id="216" w:name="_Toc1342897910"/>
      <w:bookmarkStart w:id="217" w:name="_Toc1669862451"/>
      <w:bookmarkStart w:id="218" w:name="_Toc5586"/>
      <w:bookmarkStart w:id="219" w:name="_Toc180439141"/>
      <w:r>
        <w:rPr>
          <w:rFonts w:hint="eastAsia"/>
        </w:rPr>
        <w:t>具体采购需求</w:t>
      </w:r>
      <w:bookmarkEnd w:id="212"/>
      <w:bookmarkEnd w:id="213"/>
      <w:bookmarkEnd w:id="214"/>
      <w:bookmarkEnd w:id="215"/>
      <w:bookmarkEnd w:id="216"/>
      <w:bookmarkEnd w:id="217"/>
      <w:bookmarkEnd w:id="218"/>
      <w:bookmarkEnd w:id="219"/>
    </w:p>
    <w:p w14:paraId="51CA659B">
      <w:pPr>
        <w:pStyle w:val="41"/>
        <w:pageBreakBefore w:val="0"/>
        <w:numPr>
          <w:ilvl w:val="1"/>
          <w:numId w:val="0"/>
        </w:numPr>
        <w:kinsoku/>
        <w:wordWrap/>
        <w:overflowPunct/>
        <w:topLinePunct w:val="0"/>
        <w:autoSpaceDE/>
        <w:autoSpaceDN/>
        <w:bidi w:val="0"/>
        <w:adjustRightInd w:val="0"/>
        <w:snapToGrid w:val="0"/>
        <w:spacing w:line="360" w:lineRule="auto"/>
        <w:ind w:left="0"/>
        <w:jc w:val="both"/>
        <w:textAlignment w:val="auto"/>
        <w:rPr>
          <w:rFonts w:hint="default"/>
          <w:sz w:val="28"/>
          <w:szCs w:val="28"/>
          <w:lang w:val="en-US"/>
        </w:rPr>
      </w:pPr>
      <w:bookmarkStart w:id="220" w:name="_Toc180439142"/>
      <w:bookmarkStart w:id="221" w:name="_Toc22421"/>
      <w:bookmarkStart w:id="222" w:name="_Toc3619"/>
      <w:bookmarkStart w:id="223" w:name="_Toc20620"/>
      <w:bookmarkStart w:id="224" w:name="_Toc29775"/>
      <w:bookmarkStart w:id="225" w:name="_Toc26136"/>
      <w:bookmarkStart w:id="226" w:name="_Toc32043400"/>
      <w:bookmarkStart w:id="227" w:name="_Toc2061914961"/>
      <w:r>
        <w:rPr>
          <w:rFonts w:hint="eastAsia"/>
          <w:sz w:val="28"/>
          <w:szCs w:val="28"/>
        </w:rPr>
        <w:t>标项一</w:t>
      </w:r>
      <w:r>
        <w:rPr>
          <w:rFonts w:hint="eastAsia"/>
          <w:sz w:val="28"/>
          <w:szCs w:val="28"/>
          <w:lang w:eastAsia="zh-CN"/>
        </w:rPr>
        <w:t>：</w:t>
      </w:r>
      <w:r>
        <w:rPr>
          <w:rFonts w:hint="eastAsia"/>
          <w:sz w:val="28"/>
          <w:szCs w:val="28"/>
          <w:lang w:val="en-US" w:eastAsia="zh-CN"/>
        </w:rPr>
        <w:t>省级</w:t>
      </w:r>
      <w:r>
        <w:rPr>
          <w:rFonts w:hint="eastAsia"/>
          <w:sz w:val="28"/>
          <w:szCs w:val="28"/>
        </w:rPr>
        <w:t>矿山智慧监管平台建设</w:t>
      </w:r>
      <w:r>
        <w:rPr>
          <w:rFonts w:hint="eastAsia"/>
          <w:sz w:val="28"/>
          <w:szCs w:val="28"/>
          <w:lang w:val="en-US" w:eastAsia="zh-CN"/>
        </w:rPr>
        <w:t>项目</w:t>
      </w:r>
      <w:bookmarkEnd w:id="220"/>
      <w:bookmarkEnd w:id="221"/>
      <w:bookmarkEnd w:id="222"/>
      <w:bookmarkEnd w:id="223"/>
      <w:bookmarkEnd w:id="224"/>
      <w:bookmarkEnd w:id="225"/>
      <w:r>
        <w:rPr>
          <w:rFonts w:hint="eastAsia"/>
          <w:sz w:val="28"/>
          <w:szCs w:val="28"/>
          <w:lang w:val="en-US" w:eastAsia="zh-CN"/>
        </w:rPr>
        <w:t>采购需求</w:t>
      </w:r>
      <w:bookmarkEnd w:id="226"/>
      <w:bookmarkEnd w:id="227"/>
    </w:p>
    <w:p w14:paraId="665AEA38">
      <w:pPr>
        <w:pStyle w:val="43"/>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rPr>
      </w:pPr>
      <w:bookmarkStart w:id="228" w:name="_Toc29859"/>
      <w:bookmarkStart w:id="229" w:name="_Toc661137888"/>
      <w:bookmarkStart w:id="230" w:name="_Toc1682512050"/>
      <w:bookmarkStart w:id="231" w:name="_Toc31318"/>
      <w:bookmarkStart w:id="232" w:name="_Toc27236"/>
      <w:bookmarkStart w:id="233" w:name="_Toc28673"/>
      <w:bookmarkStart w:id="234" w:name="_Toc30689"/>
      <w:bookmarkStart w:id="235" w:name="_Toc180439143"/>
      <w:r>
        <w:rPr>
          <w:rFonts w:hint="eastAsia"/>
          <w:lang w:val="en-US" w:eastAsia="zh-CN"/>
        </w:rPr>
        <w:t>建设背景</w:t>
      </w:r>
      <w:bookmarkEnd w:id="228"/>
      <w:bookmarkEnd w:id="229"/>
      <w:bookmarkEnd w:id="230"/>
      <w:bookmarkEnd w:id="231"/>
      <w:bookmarkEnd w:id="232"/>
    </w:p>
    <w:p w14:paraId="348B6257">
      <w:pPr>
        <w:pStyle w:val="39"/>
        <w:pageBreakBefore w:val="0"/>
        <w:kinsoku/>
        <w:wordWrap/>
        <w:overflowPunct/>
        <w:topLinePunct w:val="0"/>
        <w:autoSpaceDE/>
        <w:autoSpaceDN/>
        <w:bidi w:val="0"/>
        <w:adjustRightInd w:val="0"/>
        <w:snapToGrid w:val="0"/>
        <w:spacing w:line="360" w:lineRule="auto"/>
        <w:ind w:left="0"/>
        <w:textAlignment w:val="auto"/>
        <w:rPr>
          <w:rFonts w:hint="eastAsia"/>
        </w:rPr>
      </w:pPr>
      <w:r>
        <w:rPr>
          <w:rFonts w:hint="eastAsia"/>
          <w:lang w:val="en-US" w:eastAsia="zh-CN"/>
        </w:rPr>
        <w:t>根据国务院安委会《全国安全生产专项整治三年行动计划》《国家矿山安全监察局综合司关于加快推进非煤矿山安全风险监测预警系统建设及联网工作的通知》（矿安综〔2024〕9号）等部署要求，结合当前和今后全省非煤矿山安全生产和监管需要，加快推动非煤矿山企业安全监测监控系统建设及数据联网，建设“全域覆盖、功能齐全、应平结合、安全可靠、深度应用”的省级矿山智慧监管平台，实现对非煤矿山重点区域、关键环节的风险感知、识别监测、精准研判和有效处置，提升非煤矿山安全监管工作的远程化、信息化和智能化水平，推进非煤矿山安全治理模式向事前预防转型。</w:t>
      </w:r>
    </w:p>
    <w:p w14:paraId="7C8C14B0">
      <w:pPr>
        <w:pStyle w:val="43"/>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rPr>
      </w:pPr>
      <w:bookmarkStart w:id="236" w:name="_Toc11723"/>
      <w:bookmarkStart w:id="237" w:name="_Toc2062844301"/>
      <w:bookmarkStart w:id="238" w:name="_Toc21385"/>
      <w:bookmarkStart w:id="239" w:name="_Toc20084"/>
      <w:bookmarkStart w:id="240" w:name="_Toc664094038"/>
      <w:r>
        <w:rPr>
          <w:rFonts w:hint="eastAsia"/>
        </w:rPr>
        <w:t>建设内容</w:t>
      </w:r>
      <w:bookmarkEnd w:id="233"/>
      <w:bookmarkEnd w:id="234"/>
      <w:bookmarkEnd w:id="235"/>
      <w:bookmarkEnd w:id="236"/>
      <w:bookmarkEnd w:id="237"/>
      <w:bookmarkEnd w:id="238"/>
      <w:bookmarkEnd w:id="239"/>
      <w:bookmarkEnd w:id="240"/>
    </w:p>
    <w:p w14:paraId="7F3D02FB">
      <w:pPr>
        <w:pStyle w:val="38"/>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lang w:val="en-US" w:eastAsia="zh-CN"/>
        </w:rPr>
      </w:pPr>
      <w:bookmarkStart w:id="241" w:name="_Toc2657"/>
      <w:bookmarkStart w:id="242" w:name="_Toc955983207"/>
      <w:bookmarkStart w:id="243" w:name="_Toc42956578"/>
      <w:bookmarkStart w:id="244" w:name="_Toc42729446"/>
      <w:bookmarkStart w:id="245" w:name="_Toc42784129"/>
      <w:bookmarkStart w:id="246" w:name="_Toc42686313"/>
      <w:bookmarkStart w:id="247" w:name="_Toc42812288"/>
      <w:bookmarkStart w:id="248" w:name="_Toc43305949"/>
      <w:bookmarkStart w:id="249" w:name="_Toc42728718"/>
      <w:r>
        <w:rPr>
          <w:rFonts w:hint="eastAsia"/>
          <w:lang w:val="en-US" w:eastAsia="zh-CN"/>
        </w:rPr>
        <w:t>业务应用系统</w:t>
      </w:r>
      <w:bookmarkEnd w:id="241"/>
      <w:bookmarkEnd w:id="242"/>
    </w:p>
    <w:p w14:paraId="04D685F6">
      <w:pPr>
        <w:pStyle w:val="37"/>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lang w:val="en-US" w:eastAsia="zh-CN"/>
        </w:rPr>
      </w:pPr>
      <w:bookmarkStart w:id="250" w:name="_Toc1884596842"/>
      <w:r>
        <w:rPr>
          <w:rFonts w:hint="eastAsia"/>
          <w:lang w:val="en-US" w:eastAsia="zh-CN"/>
        </w:rPr>
        <w:t>三大专题系统</w:t>
      </w:r>
      <w:bookmarkEnd w:id="250"/>
    </w:p>
    <w:p w14:paraId="4C7E2DBA">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露天矿、地下矿和尾矿库专题应用，主要建设以下内容：</w:t>
      </w:r>
    </w:p>
    <w:p w14:paraId="0C328723">
      <w:pPr>
        <w:pStyle w:val="36"/>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5"/>
        <w:rPr>
          <w:rFonts w:hint="eastAsia"/>
          <w:b/>
          <w:bCs w:val="0"/>
          <w:lang w:val="en-US" w:eastAsia="zh-CN"/>
        </w:rPr>
      </w:pPr>
      <w:r>
        <w:rPr>
          <w:rFonts w:hint="eastAsia"/>
          <w:b/>
          <w:bCs w:val="0"/>
          <w:lang w:val="en-US" w:eastAsia="zh-CN"/>
        </w:rPr>
        <w:t>监测一张图</w:t>
      </w:r>
    </w:p>
    <w:p w14:paraId="2D9897EE">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基于AI技术构建全省矿山智能监管中枢，针对矿山等高危场所风险监测“碎片化、主观化”问题，根据视频、人员定位、位移传感等多维感知终端，全方位融合监测预警、事故分析、隐患排查等数据。通过“一屏总览+智能分析”模式，实现矿山安全态势的实时感知。AI技术与可视化大屏的结合，实时监测、一屏展示辖区矿山的总览信息，如一矿一档、矿山三维模型、传感设备接入数、视频监控接入数、报警数量、报警处置情况，并分类展示全省各地区矿山数量分布、各类型矿山数量分布、各区域矿山接入情况、各区域矿山在线情况等。</w:t>
      </w:r>
    </w:p>
    <w:p w14:paraId="417236D3">
      <w:pPr>
        <w:pStyle w:val="47"/>
        <w:pageBreakBefore w:val="0"/>
        <w:numPr>
          <w:ilvl w:val="0"/>
          <w:numId w:val="48"/>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露天矿山专题</w:t>
      </w:r>
    </w:p>
    <w:p w14:paraId="3B946B5E">
      <w:pPr>
        <w:pStyle w:val="10"/>
        <w:keepNext/>
        <w:keepLines/>
        <w:pageBreakBefore w:val="0"/>
        <w:widowControl w:val="0"/>
        <w:numPr>
          <w:ilvl w:val="0"/>
          <w:numId w:val="49"/>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露天矿山监测一张图</w:t>
      </w:r>
    </w:p>
    <w:p w14:paraId="372235C8">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一屏展示露天矿矿山总览信息，结合地理信息展示全省矿山企业、边坡位移、降雨量、作业人员和设备、视频监控、报警数量、报警处置情况，展示各地区、各类型矿山数量分布及在线情况等。同理，可以点击地图进行省/市/区县/企业可以层层下钻，点击矿山企业切换成该矿山三维模型展现实时视频监控、位移监测、人员设备定位信息等。</w:t>
      </w:r>
    </w:p>
    <w:p w14:paraId="7BDB9635">
      <w:pPr>
        <w:pStyle w:val="10"/>
        <w:keepNext/>
        <w:keepLines/>
        <w:pageBreakBefore w:val="0"/>
        <w:widowControl w:val="0"/>
        <w:numPr>
          <w:ilvl w:val="0"/>
          <w:numId w:val="49"/>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露天矿山一矿一档</w:t>
      </w:r>
    </w:p>
    <w:p w14:paraId="69C79E55">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所属企业概况：工商营业执照中信用代码、有效期、法人、地理位置、上级公司情况等基本情况；</w:t>
      </w:r>
    </w:p>
    <w:p w14:paraId="05E0D2F0">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矿山概况：矿山地理位置、主要矿种、采矿许可证、安全生产许可证（建设矿可不填）、爆破作业许可证、主要人员信息（主要负责人、四类工程技术人员、专职安管员、特种作业人员）、运行状态（生产、建设（填写采掘施工企业、上传三同时）、停工）、是否自行生产（否，填写采掘施工企业、爆破作业）、停工矿山（停工期间企业联系方式、停工起止时间、是否正常排水、停工原因）、开采方式、开拓方式、采矿方法、矿山现有储量、设计生产能力（万吨/年）、矿山规模（大、中、小型）、地质概况（工程地质、水文地质、环境地质）、矿山周边环境、主要危险有害因素、矿山主要设备、设计开采高度、设计最终边坡高度、现状最终边坡高度、安全标准化等级、双重预防机制、固有风险等级（A\B\C\D，按国家1号文件评定）、风险等级（红橙黄蓝）、监管类别（一、二、三、四级）以及隐蔽致灾因素普查报告、安全评价报告、安全设施设计、检验检测报告、动态矿山图纸（采场边坡工程平面及剖面图、总平面布置图）、安全管理制度（安全生产责任制）、安全操作规程、月度重大隐患排查报告、露天矿山边坡安全风险管控（边坡稳定性专业分析评估、评估完成时间、评估报告、边坡最高安全监测等级、边坡位移监测）、月度全员考核、工伤保险及安责险、应急预案（备案、演练）等资料。</w:t>
      </w:r>
    </w:p>
    <w:p w14:paraId="2E94B50C">
      <w:pPr>
        <w:pStyle w:val="10"/>
        <w:keepNext/>
        <w:keepLines/>
        <w:pageBreakBefore w:val="0"/>
        <w:widowControl w:val="0"/>
        <w:numPr>
          <w:ilvl w:val="0"/>
          <w:numId w:val="49"/>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bookmarkStart w:id="251" w:name="OLE_LINK94"/>
      <w:bookmarkStart w:id="252" w:name="OLE_LINK95"/>
      <w:r>
        <w:rPr>
          <w:rFonts w:hint="eastAsia" w:ascii="宋体" w:hAnsi="宋体" w:eastAsia="宋体" w:cs="宋体"/>
          <w:b w:val="0"/>
          <w:bCs/>
          <w:sz w:val="24"/>
          <w:szCs w:val="24"/>
          <w:lang w:val="en-US" w:eastAsia="zh-CN"/>
        </w:rPr>
        <w:t>露天矿山管理因素动态监管</w:t>
      </w:r>
    </w:p>
    <w:p w14:paraId="6E62F40A">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针对露天矿山</w:t>
      </w:r>
      <w:r>
        <w:rPr>
          <w:rFonts w:hint="eastAsia"/>
          <w:lang w:val="en-US" w:eastAsia="zh-CN"/>
        </w:rPr>
        <w:t>一矿一档的</w:t>
      </w:r>
      <w:r>
        <w:rPr>
          <w:rFonts w:hint="default"/>
          <w:lang w:val="en-US" w:eastAsia="zh-CN"/>
        </w:rPr>
        <w:t>矿企基础信息、安全生产台账等信息进行</w:t>
      </w:r>
      <w:r>
        <w:rPr>
          <w:rFonts w:hint="eastAsia"/>
          <w:lang w:val="en-US" w:eastAsia="zh-CN"/>
        </w:rPr>
        <w:t>动态监测</w:t>
      </w:r>
      <w:r>
        <w:rPr>
          <w:rFonts w:hint="default"/>
          <w:lang w:val="en-US" w:eastAsia="zh-CN"/>
        </w:rPr>
        <w:t>，发现企业安全生产隐患</w:t>
      </w:r>
      <w:r>
        <w:rPr>
          <w:rFonts w:hint="eastAsia"/>
          <w:lang w:val="en-US" w:eastAsia="zh-CN"/>
        </w:rPr>
        <w:t>或违规</w:t>
      </w:r>
      <w:r>
        <w:rPr>
          <w:rFonts w:hint="default"/>
          <w:lang w:val="en-US" w:eastAsia="zh-CN"/>
        </w:rPr>
        <w:t>信息，如证书过期、设施设备未及时巡检、图纸缺失</w:t>
      </w:r>
      <w:r>
        <w:rPr>
          <w:rFonts w:hint="eastAsia"/>
          <w:lang w:val="en-US" w:eastAsia="zh-CN"/>
        </w:rPr>
        <w:t>、人</w:t>
      </w:r>
      <w:r>
        <w:rPr>
          <w:rFonts w:hint="default"/>
          <w:lang w:val="en-US" w:eastAsia="zh-CN"/>
        </w:rPr>
        <w:t>员证书、许可证到期和人员配备</w:t>
      </w:r>
      <w:r>
        <w:rPr>
          <w:rFonts w:hint="eastAsia"/>
          <w:lang w:val="en-US" w:eastAsia="zh-CN"/>
        </w:rPr>
        <w:t>不齐全</w:t>
      </w:r>
      <w:r>
        <w:rPr>
          <w:rFonts w:hint="default"/>
          <w:lang w:val="en-US" w:eastAsia="zh-CN"/>
        </w:rPr>
        <w:t>、</w:t>
      </w:r>
      <w:r>
        <w:rPr>
          <w:rFonts w:hint="eastAsia"/>
          <w:lang w:val="en-US" w:eastAsia="zh-CN"/>
        </w:rPr>
        <w:t>重要岗位人员</w:t>
      </w:r>
      <w:r>
        <w:rPr>
          <w:rFonts w:hint="default"/>
          <w:lang w:val="en-US" w:eastAsia="zh-CN"/>
        </w:rPr>
        <w:t>兼职</w:t>
      </w:r>
      <w:r>
        <w:rPr>
          <w:rFonts w:hint="eastAsia"/>
          <w:lang w:val="en-US" w:eastAsia="zh-CN"/>
        </w:rPr>
        <w:t>等。</w:t>
      </w:r>
    </w:p>
    <w:p w14:paraId="43BB1131">
      <w:pPr>
        <w:pStyle w:val="39"/>
        <w:pageBreakBefore w:val="0"/>
        <w:kinsoku/>
        <w:wordWrap/>
        <w:overflowPunct/>
        <w:topLinePunct w:val="0"/>
        <w:autoSpaceDE/>
        <w:autoSpaceDN/>
        <w:bidi w:val="0"/>
        <w:adjustRightInd w:val="0"/>
        <w:snapToGrid w:val="0"/>
        <w:spacing w:line="360" w:lineRule="auto"/>
        <w:ind w:left="0"/>
        <w:textAlignment w:val="auto"/>
      </w:pPr>
      <w:r>
        <w:rPr>
          <w:rFonts w:hint="eastAsia"/>
          <w:lang w:val="en-US" w:eastAsia="zh-CN"/>
        </w:rPr>
        <w:t>管理因素包含以下内容：是否按要求上传图纸（采场边坡工程平面及剖面图、总平面布置图每季度至少更新一次，其他图纸每年至少更新一次）、近一个月是否上传月度重大隐患排查报告、近一个月是否上传月度全员考核、近一个月是否上传露天矿山边坡安全风险研判材料、近半年是否上传应急演练材料、近三年是否上传隐蔽致灾因素普查报告、近三年是否上传安全评价报告、（安管人员、特种作业人员、主要负责人）人员证书到期过期监测、（安全生产许可证、采矿许可证、爆破作业许可证、安全标准化证书）证书到期过期监测、人员【工程技术人员（采矿、地质、测量、机电、注册安全工程师）、专职安全员（不少于2人）】配备是否齐全、重要人员（工程技术人员、特种作业人员、安管人员）兼职情况监测。</w:t>
      </w:r>
    </w:p>
    <w:bookmarkEnd w:id="251"/>
    <w:bookmarkEnd w:id="252"/>
    <w:p w14:paraId="071549D4">
      <w:pPr>
        <w:pStyle w:val="10"/>
        <w:keepNext/>
        <w:keepLines/>
        <w:pageBreakBefore w:val="0"/>
        <w:widowControl w:val="0"/>
        <w:numPr>
          <w:ilvl w:val="0"/>
          <w:numId w:val="49"/>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露天矿山视频监控在线监测</w:t>
      </w:r>
    </w:p>
    <w:p w14:paraId="43783C3A">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接入露天矿山</w:t>
      </w:r>
      <w:r>
        <w:rPr>
          <w:rFonts w:hint="default"/>
          <w:lang w:val="en-US" w:eastAsia="zh-CN"/>
        </w:rPr>
        <w:t>各关键区域摄像头</w:t>
      </w:r>
      <w:r>
        <w:rPr>
          <w:rFonts w:hint="eastAsia"/>
          <w:lang w:val="en-US" w:eastAsia="zh-CN"/>
        </w:rPr>
        <w:t>数据，并标注安装位置相关信息，可以通过地图钻取或者直接搜索矿山企业后展示的监控列表实时调阅矿山现场情况和监测设备在线等情况。</w:t>
      </w:r>
    </w:p>
    <w:p w14:paraId="43E0AF64">
      <w:pPr>
        <w:pStyle w:val="39"/>
        <w:pageBreakBefore w:val="0"/>
        <w:kinsoku/>
        <w:wordWrap/>
        <w:overflowPunct/>
        <w:topLinePunct w:val="0"/>
        <w:autoSpaceDE/>
        <w:autoSpaceDN/>
        <w:bidi w:val="0"/>
        <w:adjustRightInd w:val="0"/>
        <w:snapToGrid w:val="0"/>
        <w:spacing w:line="360" w:lineRule="auto"/>
        <w:ind w:left="0"/>
        <w:textAlignment w:val="auto"/>
        <w:rPr>
          <w:rFonts w:hint="eastAsia"/>
        </w:rPr>
      </w:pPr>
      <w:r>
        <w:rPr>
          <w:rFonts w:hint="eastAsia"/>
          <w:lang w:val="en-US" w:eastAsia="zh-CN"/>
        </w:rPr>
        <w:t>露天矿山视频重要点位：视频监控系统矿区道路出入口、矿山采场、矿山运输道路、一破卸矿口、一破“笼口”、排土场、矿山企业安全生产值班室、油库（油罐）、设备维修场所。</w:t>
      </w:r>
    </w:p>
    <w:p w14:paraId="66792155">
      <w:pPr>
        <w:pStyle w:val="48"/>
        <w:pageBreakBefore w:val="0"/>
        <w:numPr>
          <w:ilvl w:val="0"/>
          <w:numId w:val="50"/>
        </w:numPr>
        <w:kinsoku/>
        <w:wordWrap/>
        <w:overflowPunct/>
        <w:topLinePunct w:val="0"/>
        <w:autoSpaceDE/>
        <w:autoSpaceDN/>
        <w:bidi w:val="0"/>
        <w:adjustRightInd w:val="0"/>
        <w:snapToGrid w:val="0"/>
        <w:spacing w:line="360" w:lineRule="auto"/>
        <w:ind w:left="0"/>
        <w:textAlignment w:val="auto"/>
        <w:outlineLvl w:val="8"/>
        <w:rPr>
          <w:rFonts w:hint="eastAsia"/>
          <w:lang w:val="en-US" w:eastAsia="zh-CN"/>
        </w:rPr>
      </w:pPr>
      <w:r>
        <w:rPr>
          <w:rFonts w:hint="eastAsia"/>
          <w:lang w:val="en-US" w:eastAsia="zh-CN"/>
        </w:rPr>
        <w:t>露天矿山违规生产智能监测</w:t>
      </w:r>
    </w:p>
    <w:p w14:paraId="4F0DE8A1">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bookmarkStart w:id="253" w:name="OLE_LINK42"/>
      <w:r>
        <w:rPr>
          <w:rFonts w:hint="default"/>
          <w:lang w:val="en-US" w:eastAsia="zh-CN"/>
        </w:rPr>
        <w:t>通过视频智能分析设备识别出现作业设备的数据，联动矿山一矿一档数据</w:t>
      </w:r>
      <w:r>
        <w:rPr>
          <w:rFonts w:hint="eastAsia"/>
          <w:lang w:val="en-US" w:eastAsia="zh-CN"/>
        </w:rPr>
        <w:t>中</w:t>
      </w:r>
      <w:r>
        <w:rPr>
          <w:rFonts w:hint="default"/>
          <w:lang w:val="en-US" w:eastAsia="zh-CN"/>
        </w:rPr>
        <w:t>矿企</w:t>
      </w:r>
      <w:r>
        <w:rPr>
          <w:rFonts w:hint="eastAsia"/>
          <w:lang w:val="en-US" w:eastAsia="zh-CN"/>
        </w:rPr>
        <w:t>的</w:t>
      </w:r>
      <w:r>
        <w:rPr>
          <w:rFonts w:hint="default"/>
          <w:lang w:val="en-US" w:eastAsia="zh-CN"/>
        </w:rPr>
        <w:t>停工状态</w:t>
      </w:r>
      <w:r>
        <w:rPr>
          <w:rFonts w:hint="eastAsia"/>
          <w:lang w:val="en-US" w:eastAsia="zh-CN"/>
        </w:rPr>
        <w:t>信息</w:t>
      </w:r>
      <w:r>
        <w:rPr>
          <w:rFonts w:hint="default"/>
          <w:lang w:val="en-US" w:eastAsia="zh-CN"/>
        </w:rPr>
        <w:t>，智能判断存在违规生产的可能性，系统自动预警。</w:t>
      </w:r>
    </w:p>
    <w:p w14:paraId="670B6146">
      <w:pPr>
        <w:pStyle w:val="39"/>
        <w:pageBreakBefore w:val="0"/>
        <w:kinsoku/>
        <w:wordWrap/>
        <w:overflowPunct/>
        <w:topLinePunct w:val="0"/>
        <w:autoSpaceDE/>
        <w:autoSpaceDN/>
        <w:bidi w:val="0"/>
        <w:adjustRightInd w:val="0"/>
        <w:snapToGrid w:val="0"/>
        <w:spacing w:line="360" w:lineRule="auto"/>
        <w:ind w:left="0"/>
        <w:textAlignment w:val="auto"/>
      </w:pPr>
      <w:r>
        <w:rPr>
          <w:rFonts w:hint="eastAsia"/>
          <w:lang w:val="en-US" w:eastAsia="zh-CN"/>
        </w:rPr>
        <w:t>可以按照全省、地市、区县、企业维度统计，搜索查询查看违规生产的预警信息。</w:t>
      </w:r>
    </w:p>
    <w:bookmarkEnd w:id="253"/>
    <w:p w14:paraId="64BB6F5C">
      <w:pPr>
        <w:pStyle w:val="48"/>
        <w:pageBreakBefore w:val="0"/>
        <w:numPr>
          <w:ilvl w:val="0"/>
          <w:numId w:val="50"/>
        </w:numPr>
        <w:kinsoku/>
        <w:wordWrap/>
        <w:overflowPunct/>
        <w:topLinePunct w:val="0"/>
        <w:autoSpaceDE/>
        <w:autoSpaceDN/>
        <w:bidi w:val="0"/>
        <w:adjustRightInd w:val="0"/>
        <w:snapToGrid w:val="0"/>
        <w:spacing w:line="360" w:lineRule="auto"/>
        <w:ind w:left="0"/>
        <w:textAlignment w:val="auto"/>
        <w:outlineLvl w:val="8"/>
        <w:rPr>
          <w:rFonts w:hint="eastAsia"/>
          <w:lang w:val="en-US" w:eastAsia="zh-CN"/>
        </w:rPr>
      </w:pPr>
      <w:r>
        <w:rPr>
          <w:rFonts w:hint="eastAsia"/>
          <w:lang w:val="en-US" w:eastAsia="zh-CN"/>
        </w:rPr>
        <w:t>露天矿山安全生产值班室智能监测</w:t>
      </w:r>
    </w:p>
    <w:p w14:paraId="47399EC9">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bookmarkStart w:id="254" w:name="OLE_LINK25"/>
      <w:r>
        <w:rPr>
          <w:rFonts w:hint="default"/>
          <w:lang w:val="en-US" w:eastAsia="zh-CN"/>
        </w:rPr>
        <w:t>通过视频智能分析设备识别</w:t>
      </w:r>
      <w:bookmarkEnd w:id="254"/>
      <w:r>
        <w:rPr>
          <w:rFonts w:hint="default"/>
          <w:lang w:val="en-US" w:eastAsia="zh-CN"/>
        </w:rPr>
        <w:t>安全生产值班室人员睡岗、离岗、抽烟等违规情况，一旦发现系统自动预警。</w:t>
      </w:r>
    </w:p>
    <w:p w14:paraId="550BDD9D">
      <w:pPr>
        <w:pStyle w:val="39"/>
        <w:pageBreakBefore w:val="0"/>
        <w:kinsoku/>
        <w:wordWrap/>
        <w:overflowPunct/>
        <w:topLinePunct w:val="0"/>
        <w:autoSpaceDE/>
        <w:autoSpaceDN/>
        <w:bidi w:val="0"/>
        <w:adjustRightInd w:val="0"/>
        <w:snapToGrid w:val="0"/>
        <w:spacing w:line="360" w:lineRule="auto"/>
        <w:ind w:left="0"/>
        <w:textAlignment w:val="auto"/>
      </w:pPr>
      <w:r>
        <w:rPr>
          <w:rFonts w:hint="eastAsia"/>
          <w:lang w:val="en-US" w:eastAsia="zh-CN"/>
        </w:rPr>
        <w:t>可以按照全省、地市、区县、企业维度统计，搜索查询查看违规生产的预警信息。</w:t>
      </w:r>
    </w:p>
    <w:p w14:paraId="1D8FAE9F">
      <w:pPr>
        <w:pStyle w:val="48"/>
        <w:pageBreakBefore w:val="0"/>
        <w:numPr>
          <w:ilvl w:val="0"/>
          <w:numId w:val="50"/>
        </w:numPr>
        <w:kinsoku/>
        <w:wordWrap/>
        <w:overflowPunct/>
        <w:topLinePunct w:val="0"/>
        <w:autoSpaceDE/>
        <w:autoSpaceDN/>
        <w:bidi w:val="0"/>
        <w:adjustRightInd w:val="0"/>
        <w:snapToGrid w:val="0"/>
        <w:spacing w:line="360" w:lineRule="auto"/>
        <w:ind w:left="0"/>
        <w:textAlignment w:val="auto"/>
        <w:outlineLvl w:val="8"/>
        <w:rPr>
          <w:rFonts w:hint="eastAsia"/>
          <w:lang w:val="en-US" w:eastAsia="zh-CN"/>
        </w:rPr>
      </w:pPr>
      <w:r>
        <w:rPr>
          <w:rFonts w:hint="eastAsia"/>
          <w:lang w:val="en-US" w:eastAsia="zh-CN"/>
        </w:rPr>
        <w:t>露天矿</w:t>
      </w:r>
      <w:bookmarkStart w:id="255" w:name="OLE_LINK28"/>
      <w:r>
        <w:rPr>
          <w:rFonts w:hint="eastAsia"/>
          <w:lang w:val="en-US" w:eastAsia="zh-CN"/>
        </w:rPr>
        <w:t>山油库（油罐）</w:t>
      </w:r>
      <w:bookmarkEnd w:id="255"/>
      <w:r>
        <w:rPr>
          <w:rFonts w:hint="eastAsia"/>
          <w:lang w:val="en-US" w:eastAsia="zh-CN"/>
        </w:rPr>
        <w:t>火情智能监测</w:t>
      </w:r>
    </w:p>
    <w:p w14:paraId="7B459A08">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default"/>
          <w:lang w:val="en-US" w:eastAsia="zh-CN"/>
        </w:rPr>
        <w:t>通过视频智能分析设备识别</w:t>
      </w:r>
      <w:r>
        <w:rPr>
          <w:rFonts w:hint="eastAsia"/>
          <w:lang w:val="en-US" w:eastAsia="zh-CN"/>
        </w:rPr>
        <w:t>油库（油罐）的</w:t>
      </w:r>
      <w:r>
        <w:rPr>
          <w:rFonts w:hint="default"/>
          <w:lang w:val="en-US" w:eastAsia="zh-CN"/>
        </w:rPr>
        <w:t>火点监测（包括人员抽烟、动火作业），一旦发现有火点，智能联动后台企业动火作业信息，如无动火作业申请信息系统自动预警。</w:t>
      </w:r>
    </w:p>
    <w:p w14:paraId="44B9454C">
      <w:pPr>
        <w:pStyle w:val="39"/>
        <w:pageBreakBefore w:val="0"/>
        <w:kinsoku/>
        <w:wordWrap/>
        <w:overflowPunct/>
        <w:topLinePunct w:val="0"/>
        <w:autoSpaceDE/>
        <w:autoSpaceDN/>
        <w:bidi w:val="0"/>
        <w:adjustRightInd w:val="0"/>
        <w:snapToGrid w:val="0"/>
        <w:spacing w:line="360" w:lineRule="auto"/>
        <w:ind w:left="0"/>
        <w:textAlignment w:val="auto"/>
      </w:pPr>
      <w:r>
        <w:rPr>
          <w:rFonts w:hint="eastAsia"/>
          <w:lang w:val="en-US" w:eastAsia="zh-CN"/>
        </w:rPr>
        <w:t>可以按照全省、地市、区县、企业维度统计，搜索查询查看违规生产的预警信息。</w:t>
      </w:r>
    </w:p>
    <w:p w14:paraId="13446724">
      <w:pPr>
        <w:pStyle w:val="48"/>
        <w:pageBreakBefore w:val="0"/>
        <w:numPr>
          <w:ilvl w:val="0"/>
          <w:numId w:val="50"/>
        </w:numPr>
        <w:kinsoku/>
        <w:wordWrap/>
        <w:overflowPunct/>
        <w:topLinePunct w:val="0"/>
        <w:autoSpaceDE/>
        <w:autoSpaceDN/>
        <w:bidi w:val="0"/>
        <w:adjustRightInd w:val="0"/>
        <w:snapToGrid w:val="0"/>
        <w:spacing w:line="360" w:lineRule="auto"/>
        <w:ind w:left="0"/>
        <w:textAlignment w:val="auto"/>
        <w:outlineLvl w:val="8"/>
        <w:rPr>
          <w:rFonts w:hint="eastAsia"/>
          <w:lang w:val="en-US" w:eastAsia="zh-CN"/>
        </w:rPr>
      </w:pPr>
      <w:r>
        <w:rPr>
          <w:rFonts w:hint="eastAsia"/>
          <w:lang w:val="en-US" w:eastAsia="zh-CN"/>
        </w:rPr>
        <w:t>露天矿山人员异常行为智能监测</w:t>
      </w:r>
    </w:p>
    <w:p w14:paraId="492A51DA">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bookmarkStart w:id="256" w:name="OLE_LINK64"/>
      <w:r>
        <w:rPr>
          <w:rFonts w:hint="default"/>
          <w:lang w:val="en-US" w:eastAsia="zh-CN"/>
        </w:rPr>
        <w:t>通过视频智能分析设备识别人员倒地、人员聚集、未带安全</w:t>
      </w:r>
      <w:r>
        <w:rPr>
          <w:rFonts w:hint="eastAsia"/>
          <w:lang w:val="en-US" w:eastAsia="zh-CN"/>
        </w:rPr>
        <w:t>帽等违规行为</w:t>
      </w:r>
      <w:r>
        <w:rPr>
          <w:rFonts w:hint="default"/>
          <w:lang w:val="en-US" w:eastAsia="zh-CN"/>
        </w:rPr>
        <w:t>，一旦发现</w:t>
      </w:r>
      <w:r>
        <w:rPr>
          <w:rFonts w:hint="eastAsia"/>
          <w:lang w:val="en-US" w:eastAsia="zh-CN"/>
        </w:rPr>
        <w:t>异常</w:t>
      </w:r>
      <w:r>
        <w:rPr>
          <w:rFonts w:hint="default"/>
          <w:lang w:val="en-US" w:eastAsia="zh-CN"/>
        </w:rPr>
        <w:t>，系统自动预警。</w:t>
      </w:r>
    </w:p>
    <w:p w14:paraId="0252AFA8">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可以按照全省、地市、区县、企业维度统计，搜索查询查看违规生产的预警信息。</w:t>
      </w:r>
    </w:p>
    <w:bookmarkEnd w:id="256"/>
    <w:p w14:paraId="2A9912FD">
      <w:pPr>
        <w:pStyle w:val="10"/>
        <w:keepNext/>
        <w:keepLines/>
        <w:pageBreakBefore w:val="0"/>
        <w:widowControl w:val="0"/>
        <w:numPr>
          <w:ilvl w:val="0"/>
          <w:numId w:val="49"/>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露天矿山边坡位移在线监测</w:t>
      </w:r>
    </w:p>
    <w:p w14:paraId="2C261992">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bookmarkStart w:id="257" w:name="OLE_LINK74"/>
      <w:r>
        <w:rPr>
          <w:rFonts w:hint="eastAsia"/>
          <w:lang w:val="en-US" w:eastAsia="zh-CN"/>
        </w:rPr>
        <w:t>接入露天</w:t>
      </w:r>
      <w:r>
        <w:rPr>
          <w:rFonts w:hint="default"/>
          <w:lang w:val="en-US" w:eastAsia="zh-CN"/>
        </w:rPr>
        <w:t>矿区边坡位移</w:t>
      </w:r>
      <w:r>
        <w:rPr>
          <w:rFonts w:hint="eastAsia"/>
          <w:lang w:val="en-US" w:eastAsia="zh-CN"/>
        </w:rPr>
        <w:t>监测传感器</w:t>
      </w:r>
      <w:bookmarkStart w:id="258" w:name="OLE_LINK87"/>
      <w:bookmarkStart w:id="259" w:name="OLE_LINK86"/>
      <w:r>
        <w:rPr>
          <w:rFonts w:hint="default"/>
          <w:lang w:val="en-US" w:eastAsia="zh-CN"/>
        </w:rPr>
        <w:t>，实时获取运行状态数据，</w:t>
      </w:r>
      <w:r>
        <w:rPr>
          <w:rFonts w:hint="eastAsia"/>
          <w:lang w:val="en-US" w:eastAsia="zh-CN"/>
        </w:rPr>
        <w:t>并监测设备在线情况</w:t>
      </w:r>
      <w:bookmarkEnd w:id="258"/>
      <w:bookmarkEnd w:id="259"/>
      <w:r>
        <w:rPr>
          <w:rFonts w:hint="eastAsia"/>
          <w:lang w:val="en-US" w:eastAsia="zh-CN"/>
        </w:rPr>
        <w:t>，分为表面位移（一、二级）、内部位移（一级）、爆破振动监测。</w:t>
      </w:r>
    </w:p>
    <w:p w14:paraId="68F9710B">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bookmarkStart w:id="260" w:name="OLE_LINK84"/>
      <w:r>
        <w:rPr>
          <w:rFonts w:hint="eastAsia"/>
          <w:lang w:val="en-US" w:eastAsia="zh-CN"/>
        </w:rPr>
        <w:t>可以按照全省、地市、区县和矿山企业各层级展示接入传感器数量、在线设备数量、在线率、离线率。</w:t>
      </w:r>
    </w:p>
    <w:p w14:paraId="1A792E7F">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可以查看某矿山具体边坡位移实时数据和历史数据，按照表格、趋势图的方式展示，图上也可以展示一级二级的预警信息。</w:t>
      </w:r>
      <w:bookmarkEnd w:id="257"/>
    </w:p>
    <w:bookmarkEnd w:id="260"/>
    <w:p w14:paraId="38D811DE">
      <w:pPr>
        <w:pStyle w:val="10"/>
        <w:keepNext/>
        <w:keepLines/>
        <w:pageBreakBefore w:val="0"/>
        <w:widowControl w:val="0"/>
        <w:numPr>
          <w:ilvl w:val="0"/>
          <w:numId w:val="49"/>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露天矿区作业人员和设备定位在线监测</w:t>
      </w:r>
    </w:p>
    <w:p w14:paraId="7E05B787">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接入露天</w:t>
      </w:r>
      <w:r>
        <w:rPr>
          <w:rFonts w:hint="default"/>
          <w:lang w:val="en-US" w:eastAsia="zh-CN"/>
        </w:rPr>
        <w:t>矿区人员定位卡和安装在作业设备（例如挖掘机、内部运输车辆）上的定位设备数据，实时获取运行状态数据</w:t>
      </w:r>
      <w:r>
        <w:rPr>
          <w:rFonts w:hint="eastAsia"/>
          <w:lang w:val="en-US" w:eastAsia="zh-CN"/>
        </w:rPr>
        <w:t>。</w:t>
      </w:r>
    </w:p>
    <w:p w14:paraId="3D9E39B5">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可以按照全省、地市、区县和矿山企业各层级展示在线作业人员和设备数量、矿山开工数量。</w:t>
      </w:r>
    </w:p>
    <w:p w14:paraId="6E14EC90">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可以查看某矿山具体人员和设备在地理信息和三维模型上的实时分布情况，也可以分时段查询某人、某设备的最终位置和历史轨迹，按照人物模拟走动的方式在地理信息和三维模型上展示。</w:t>
      </w:r>
    </w:p>
    <w:p w14:paraId="64632100">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同时，也可以结合矿山作业要求，</w:t>
      </w:r>
      <w:r>
        <w:rPr>
          <w:rFonts w:hint="default"/>
          <w:lang w:val="en-US" w:eastAsia="zh-CN"/>
        </w:rPr>
        <w:t>智能联动相邻作业间距过近的情况自动发出报警信息。</w:t>
      </w:r>
    </w:p>
    <w:p w14:paraId="5B944218">
      <w:pPr>
        <w:pStyle w:val="10"/>
        <w:keepNext/>
        <w:keepLines/>
        <w:pageBreakBefore w:val="0"/>
        <w:widowControl w:val="0"/>
        <w:numPr>
          <w:ilvl w:val="0"/>
          <w:numId w:val="49"/>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rPr>
      </w:pPr>
      <w:r>
        <w:rPr>
          <w:rFonts w:hint="eastAsia" w:ascii="宋体" w:hAnsi="宋体" w:eastAsia="宋体" w:cs="宋体"/>
          <w:b w:val="0"/>
          <w:bCs/>
          <w:sz w:val="24"/>
          <w:szCs w:val="24"/>
        </w:rPr>
        <w:t>露天矿</w:t>
      </w:r>
      <w:r>
        <w:rPr>
          <w:rFonts w:hint="eastAsia" w:ascii="宋体" w:hAnsi="宋体" w:eastAsia="宋体" w:cs="宋体"/>
          <w:b w:val="0"/>
          <w:bCs/>
          <w:sz w:val="24"/>
          <w:szCs w:val="24"/>
          <w:lang w:val="en-US" w:eastAsia="zh-CN"/>
        </w:rPr>
        <w:t>山</w:t>
      </w:r>
      <w:r>
        <w:rPr>
          <w:rFonts w:hint="eastAsia" w:ascii="宋体" w:hAnsi="宋体" w:eastAsia="宋体" w:cs="宋体"/>
          <w:b w:val="0"/>
          <w:bCs/>
          <w:sz w:val="24"/>
          <w:szCs w:val="24"/>
        </w:rPr>
        <w:t>水文气象监测</w:t>
      </w:r>
    </w:p>
    <w:p w14:paraId="48138517">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接入气象局区域降雨量、地下水位监测等数据信息。</w:t>
      </w:r>
    </w:p>
    <w:p w14:paraId="47D3DD18">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可以查看某区域降雨量1/2/6/12/24H，以及未来降雨量预测数据，可以结合地理信息展示分布情况。</w:t>
      </w:r>
    </w:p>
    <w:p w14:paraId="2EA3EB4F">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可以实时查看某矿山最近1/2/6/12/24H的降雨量监测数据，按照表格、趋势图的方式展示，图上也可以展示一到四级的预警信息。</w:t>
      </w:r>
    </w:p>
    <w:p w14:paraId="2990843B">
      <w:pPr>
        <w:pStyle w:val="47"/>
        <w:pageBreakBefore w:val="0"/>
        <w:numPr>
          <w:ilvl w:val="0"/>
          <w:numId w:val="48"/>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地下矿山专题</w:t>
      </w:r>
    </w:p>
    <w:p w14:paraId="5C5AF486">
      <w:pPr>
        <w:pStyle w:val="10"/>
        <w:keepNext/>
        <w:keepLines/>
        <w:pageBreakBefore w:val="0"/>
        <w:widowControl w:val="0"/>
        <w:numPr>
          <w:ilvl w:val="0"/>
          <w:numId w:val="51"/>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地下矿山监测一张图</w:t>
      </w:r>
    </w:p>
    <w:p w14:paraId="6586EA1F">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一屏展示地下矿山总览信息，结合地理信息展示全省矿山企业、通风及运行状态、下井人员、有毒有害气体、五职矿长履职情况、视频监控、报警数量、报警处置情况，展示各地区、各类型矿山数量分布及在线情况等。点击地图进行省</w:t>
      </w:r>
      <w:r>
        <w:rPr>
          <w:rFonts w:hint="default"/>
          <w:lang w:val="en-US" w:eastAsia="zh-CN"/>
        </w:rPr>
        <w:t>/市/区县/企业可以层层下</w:t>
      </w:r>
      <w:r>
        <w:rPr>
          <w:rFonts w:hint="eastAsia"/>
          <w:lang w:val="en-US" w:eastAsia="zh-CN"/>
        </w:rPr>
        <w:t>钻，点击矿山企业切换成该矿山三维模型展现实时视频监控、位移监测、人员设备定位</w:t>
      </w:r>
      <w:r>
        <w:rPr>
          <w:rFonts w:hint="default"/>
          <w:lang w:val="en-US" w:eastAsia="zh-CN"/>
        </w:rPr>
        <w:t>等详细信息。</w:t>
      </w:r>
    </w:p>
    <w:p w14:paraId="35AAB698">
      <w:pPr>
        <w:pStyle w:val="10"/>
        <w:keepNext/>
        <w:keepLines/>
        <w:pageBreakBefore w:val="0"/>
        <w:widowControl w:val="0"/>
        <w:numPr>
          <w:ilvl w:val="0"/>
          <w:numId w:val="51"/>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地下矿山一矿一档</w:t>
      </w:r>
    </w:p>
    <w:p w14:paraId="232ED3D7">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所属企业概况：工商营业执照中信用代码、有效期、法人、地理位置、上级公司情况等基本情况；</w:t>
      </w:r>
    </w:p>
    <w:p w14:paraId="1B4900BA">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矿山概况：矿山地理位置、主要矿种、采矿许可证、安全生产许可证（建设矿可不填）、爆破作业许可证、主要人员信息（主要负责人、工程技术人员、地下矿山五职矿长、专职安管员、特种作业人员）、运行状态（生产、建设（填写采掘施工企业、上传三同时）、停工）、是否自行生产（否，填写采掘施工企业、爆破作业）、停工矿山（停工期间企业联系方式、停工起止时间、是否正常排水、停工原因）、开采方式、开拓方式、采矿方法、矿山现有储量、设计生产能力（万吨/年）、矿山规模（大、中、小型）、地质概况（工程地质、水文地质、环境地质）、矿山周边环境、主要危险有害因素、设计开采深度、现状深度、安全标准化等级、双重预防机制、固有风险等级（A\B\C\D，按国家1号文件评定）、风险等级（红橙黄蓝）、监管类别（一、二、三、四级）、地下矿山井下单班最大作业人数、主要负责人姓名、主要负责人手机号码以及隐蔽致灾因素普查报告、安全评价报告、安全设施设计、检验检测报告（通风、提升）、动态矿山图纸、月度重大隐患排查报告、月度全员考核、安全管理制度（安全生产责任制）、安全操作规程、动火作业审批材料、应急预案（备案、演练）等资料。</w:t>
      </w:r>
    </w:p>
    <w:p w14:paraId="7E35853E">
      <w:pPr>
        <w:pStyle w:val="10"/>
        <w:keepNext/>
        <w:keepLines/>
        <w:pageBreakBefore w:val="0"/>
        <w:widowControl w:val="0"/>
        <w:numPr>
          <w:ilvl w:val="0"/>
          <w:numId w:val="51"/>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地下矿山管理因素动态监管</w:t>
      </w:r>
    </w:p>
    <w:p w14:paraId="127C1CE1">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针对地下矿山一矿一档的矿企基础信息、安全生产台账等信息进行动态监测，发现企业安全生产隐患或违规信息，如证书过期、设施设备未及时巡检、图纸缺失、人员证书、许可证到期和人员配备不齐全、重要岗位人员兼职等。</w:t>
      </w:r>
    </w:p>
    <w:p w14:paraId="2914A89F">
      <w:pPr>
        <w:pStyle w:val="39"/>
        <w:pageBreakBefore w:val="0"/>
        <w:kinsoku/>
        <w:wordWrap/>
        <w:overflowPunct/>
        <w:topLinePunct w:val="0"/>
        <w:autoSpaceDE/>
        <w:autoSpaceDN/>
        <w:bidi w:val="0"/>
        <w:adjustRightInd w:val="0"/>
        <w:snapToGrid w:val="0"/>
        <w:spacing w:line="360" w:lineRule="auto"/>
        <w:ind w:left="0"/>
        <w:textAlignment w:val="auto"/>
      </w:pPr>
      <w:r>
        <w:rPr>
          <w:rFonts w:hint="eastAsia"/>
          <w:lang w:val="en-US" w:eastAsia="zh-CN"/>
        </w:rPr>
        <w:t>管理因素包含以下内容：近三个月是否按要求上传图纸（总平面布置图、矿区地形地质图、水文地质图、开拓系统图、中段平面图、通风系统图、井上井下对照图、压风供水排水系统图、通信系统图、供配电系统图、井下避灾路线图、相邻采区或矿山与本矿山空间位置关系图（针对存在相邻采区或矿山的矿山）、近一个月是否上传月度重大隐患排查报告、近一个月是否上传月度全员考核、近半年是否上传应急演练材料、近三年是否上传隐蔽致灾因素普查报告、近三年是否上传安全评价报告、（安管人员、特种作业人员、主要负责人）证书到期时间监测、（安全生产许可证、采矿许可证、爆破作业许可证、安全标准化证书）证书到期时间监测、工程技术人员（采矿、地质、测量、机电、注册安全工程师）和专职安全员（不少于</w:t>
      </w:r>
      <w:r>
        <w:rPr>
          <w:rFonts w:hint="default"/>
          <w:lang w:val="en-US" w:eastAsia="zh-CN"/>
        </w:rPr>
        <w:t>3人）配备是否齐全、（工程技术人员、特种作业人员、安管人员、五职矿长）人员兼职情况监测、近一年是否上传通风系统检测检验报告、近一年是否上传提升系统检测检验报告</w:t>
      </w:r>
      <w:r>
        <w:rPr>
          <w:rFonts w:hint="eastAsia"/>
          <w:lang w:val="en-US" w:eastAsia="zh-CN"/>
        </w:rPr>
        <w:t>等</w:t>
      </w:r>
      <w:r>
        <w:rPr>
          <w:rFonts w:hint="default"/>
          <w:lang w:val="en-US" w:eastAsia="zh-CN"/>
        </w:rPr>
        <w:t>。</w:t>
      </w:r>
    </w:p>
    <w:p w14:paraId="56E575A2">
      <w:pPr>
        <w:pStyle w:val="10"/>
        <w:keepNext/>
        <w:keepLines/>
        <w:pageBreakBefore w:val="0"/>
        <w:widowControl w:val="0"/>
        <w:numPr>
          <w:ilvl w:val="0"/>
          <w:numId w:val="51"/>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地下矿山视频监控在线监测</w:t>
      </w:r>
    </w:p>
    <w:p w14:paraId="7A8FFB70">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接入地下矿山</w:t>
      </w:r>
      <w:r>
        <w:rPr>
          <w:rFonts w:hint="default"/>
          <w:lang w:val="en-US" w:eastAsia="zh-CN"/>
        </w:rPr>
        <w:t>各关键区域摄像头</w:t>
      </w:r>
      <w:r>
        <w:rPr>
          <w:rFonts w:hint="eastAsia"/>
          <w:lang w:val="en-US" w:eastAsia="zh-CN"/>
        </w:rPr>
        <w:t>数据，并标注安装位置相关信息，可以通过地图钻取或者直接搜索矿山企业后展示的监控列表实时调阅矿山现场情况及监测设备在线等情况。</w:t>
      </w:r>
    </w:p>
    <w:p w14:paraId="3D22E28C">
      <w:pPr>
        <w:pStyle w:val="39"/>
        <w:pageBreakBefore w:val="0"/>
        <w:kinsoku/>
        <w:wordWrap/>
        <w:overflowPunct/>
        <w:topLinePunct w:val="0"/>
        <w:autoSpaceDE/>
        <w:autoSpaceDN/>
        <w:bidi w:val="0"/>
        <w:adjustRightInd w:val="0"/>
        <w:snapToGrid w:val="0"/>
        <w:spacing w:line="360" w:lineRule="auto"/>
        <w:ind w:left="0"/>
        <w:textAlignment w:val="auto"/>
        <w:rPr>
          <w:rFonts w:hint="eastAsia"/>
        </w:rPr>
      </w:pPr>
      <w:r>
        <w:rPr>
          <w:rFonts w:hint="eastAsia"/>
          <w:lang w:val="en-US" w:eastAsia="zh-CN"/>
        </w:rPr>
        <w:t>地下矿山视频重要点位：矿区地面道路出入口、地表排土场、卸矿场等主要附属设施、地表塌陷区（部分）、运输行人井口和紧急安全出口、斜井井口、竖井井口、平硐口、井下各生产中段的马头门及调车场、提升人员的井口信号房、提升机房、矿山企业安全生产监控中心、水泵房、信号房、充电硐室、中央变电所等主要硐室、紧急避险设施、主风机房或主风机硐室、井下主要行人巷道和通往应急出口的巷道、矿山企业安全生产监控中心等。</w:t>
      </w:r>
    </w:p>
    <w:p w14:paraId="477CB924">
      <w:pPr>
        <w:pStyle w:val="48"/>
        <w:pageBreakBefore w:val="0"/>
        <w:numPr>
          <w:ilvl w:val="0"/>
          <w:numId w:val="52"/>
        </w:numPr>
        <w:kinsoku/>
        <w:wordWrap/>
        <w:overflowPunct/>
        <w:topLinePunct w:val="0"/>
        <w:autoSpaceDE/>
        <w:autoSpaceDN/>
        <w:bidi w:val="0"/>
        <w:adjustRightInd w:val="0"/>
        <w:snapToGrid w:val="0"/>
        <w:spacing w:line="360" w:lineRule="auto"/>
        <w:ind w:left="0"/>
        <w:textAlignment w:val="auto"/>
        <w:outlineLvl w:val="8"/>
        <w:rPr>
          <w:rFonts w:hint="eastAsia"/>
          <w:lang w:val="en-US" w:eastAsia="zh-CN"/>
        </w:rPr>
      </w:pPr>
      <w:r>
        <w:rPr>
          <w:rFonts w:hint="eastAsia"/>
          <w:lang w:val="en-US" w:eastAsia="zh-CN"/>
        </w:rPr>
        <w:t>地下矿山五职矿长下井履职智能监测</w:t>
      </w:r>
    </w:p>
    <w:p w14:paraId="2ADB0C61">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default"/>
          <w:lang w:val="en-US" w:eastAsia="zh-CN"/>
        </w:rPr>
        <w:t>接入</w:t>
      </w:r>
      <w:r>
        <w:rPr>
          <w:rFonts w:hint="eastAsia"/>
          <w:lang w:val="en-US" w:eastAsia="zh-CN"/>
        </w:rPr>
        <w:t>企业人员定位数据和井口</w:t>
      </w:r>
      <w:r>
        <w:rPr>
          <w:rFonts w:hint="default"/>
          <w:lang w:val="en-US" w:eastAsia="zh-CN"/>
        </w:rPr>
        <w:t>人</w:t>
      </w:r>
      <w:r>
        <w:rPr>
          <w:rFonts w:hint="eastAsia"/>
          <w:lang w:val="en-US" w:eastAsia="zh-CN"/>
        </w:rPr>
        <w:t>脸识别数据，</w:t>
      </w:r>
      <w:r>
        <w:rPr>
          <w:rFonts w:hint="default"/>
          <w:lang w:val="en-US" w:eastAsia="zh-CN"/>
        </w:rPr>
        <w:t>实时获取</w:t>
      </w:r>
      <w:r>
        <w:rPr>
          <w:rFonts w:hint="eastAsia"/>
          <w:lang w:val="en-US" w:eastAsia="zh-CN"/>
        </w:rPr>
        <w:t>矿山</w:t>
      </w:r>
      <w:r>
        <w:rPr>
          <w:rFonts w:hint="default"/>
          <w:lang w:val="en-US" w:eastAsia="zh-CN"/>
        </w:rPr>
        <w:t>运行状态数据</w:t>
      </w:r>
      <w:r>
        <w:rPr>
          <w:rFonts w:hint="eastAsia"/>
          <w:lang w:val="en-US" w:eastAsia="zh-CN"/>
        </w:rPr>
        <w:t>。可以按照全省、地市、区县和矿山企业各层级展示</w:t>
      </w:r>
      <w:r>
        <w:rPr>
          <w:rFonts w:hint="default"/>
          <w:lang w:val="en-US" w:eastAsia="zh-CN"/>
        </w:rPr>
        <w:t>五职矿长下井</w:t>
      </w:r>
      <w:r>
        <w:rPr>
          <w:rFonts w:hint="eastAsia"/>
          <w:lang w:val="en-US" w:eastAsia="zh-CN"/>
        </w:rPr>
        <w:t>履职情况。</w:t>
      </w:r>
    </w:p>
    <w:p w14:paraId="16C1FFF4">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可以查看某矿山具体</w:t>
      </w:r>
      <w:r>
        <w:rPr>
          <w:rFonts w:hint="default"/>
          <w:lang w:val="en-US" w:eastAsia="zh-CN"/>
        </w:rPr>
        <w:t>五职矿长</w:t>
      </w:r>
      <w:r>
        <w:rPr>
          <w:rFonts w:hint="eastAsia"/>
          <w:lang w:val="en-US" w:eastAsia="zh-CN"/>
        </w:rPr>
        <w:t>在地下矿山三维模型上的实时分布情况，也可以分时段查询某人的最终位置和历史轨迹，按照人物模拟走动的方式在地理信息和三维模型上展示。</w:t>
      </w:r>
    </w:p>
    <w:p w14:paraId="3C379775">
      <w:pPr>
        <w:pStyle w:val="39"/>
        <w:pageBreakBefore w:val="0"/>
        <w:kinsoku/>
        <w:wordWrap/>
        <w:overflowPunct/>
        <w:topLinePunct w:val="0"/>
        <w:autoSpaceDE/>
        <w:autoSpaceDN/>
        <w:bidi w:val="0"/>
        <w:adjustRightInd w:val="0"/>
        <w:snapToGrid w:val="0"/>
        <w:spacing w:line="360" w:lineRule="auto"/>
        <w:ind w:left="0"/>
        <w:textAlignment w:val="auto"/>
      </w:pPr>
      <w:r>
        <w:rPr>
          <w:rFonts w:hint="eastAsia"/>
          <w:lang w:val="en-US" w:eastAsia="zh-CN"/>
        </w:rPr>
        <w:t>智能判断</w:t>
      </w:r>
      <w:r>
        <w:rPr>
          <w:rFonts w:hint="default"/>
          <w:lang w:val="en-US" w:eastAsia="zh-CN"/>
        </w:rPr>
        <w:t>五职矿长月度下井</w:t>
      </w:r>
      <w:r>
        <w:rPr>
          <w:rFonts w:hint="eastAsia"/>
          <w:lang w:val="en-US" w:eastAsia="zh-CN"/>
        </w:rPr>
        <w:t>次数</w:t>
      </w:r>
      <w:r>
        <w:rPr>
          <w:rFonts w:hint="default"/>
          <w:lang w:val="en-US" w:eastAsia="zh-CN"/>
        </w:rPr>
        <w:t>&lt;5班次</w:t>
      </w:r>
      <w:r>
        <w:rPr>
          <w:rFonts w:hint="eastAsia"/>
          <w:lang w:val="en-US" w:eastAsia="zh-CN"/>
        </w:rPr>
        <w:t>、</w:t>
      </w:r>
      <w:r>
        <w:rPr>
          <w:rFonts w:hint="default"/>
          <w:lang w:val="en-US" w:eastAsia="zh-CN"/>
        </w:rPr>
        <w:t>出入井时间与人员定位卡显示出入时间不一致</w:t>
      </w:r>
      <w:r>
        <w:rPr>
          <w:rFonts w:hint="eastAsia"/>
          <w:lang w:val="en-US" w:eastAsia="zh-CN"/>
        </w:rPr>
        <w:t>，同一时段与其他人员行走轨迹</w:t>
      </w:r>
      <w:r>
        <w:rPr>
          <w:rFonts w:hint="default"/>
          <w:lang w:val="en-US" w:eastAsia="zh-CN"/>
        </w:rPr>
        <w:t>高度一致（疑似带卡）</w:t>
      </w:r>
      <w:r>
        <w:rPr>
          <w:rFonts w:hint="eastAsia"/>
          <w:lang w:val="en-US" w:eastAsia="zh-CN"/>
        </w:rPr>
        <w:t>、</w:t>
      </w:r>
      <w:r>
        <w:rPr>
          <w:rFonts w:hint="default"/>
          <w:lang w:val="en-US" w:eastAsia="zh-CN"/>
        </w:rPr>
        <w:t>井下时长不足（带班矿长井下时间小于本班次最长矿工时间</w:t>
      </w:r>
      <w:r>
        <w:rPr>
          <w:rFonts w:hint="eastAsia"/>
          <w:lang w:val="en-US" w:eastAsia="zh-CN"/>
        </w:rPr>
        <w:t>10</w:t>
      </w:r>
      <w:r>
        <w:rPr>
          <w:rFonts w:hint="default"/>
          <w:lang w:val="en-US" w:eastAsia="zh-CN"/>
        </w:rPr>
        <w:t>分钟）</w:t>
      </w:r>
      <w:r>
        <w:rPr>
          <w:rFonts w:hint="eastAsia"/>
          <w:lang w:val="en-US" w:eastAsia="zh-CN"/>
        </w:rPr>
        <w:t>等情况，系统自动发出预警。</w:t>
      </w:r>
    </w:p>
    <w:p w14:paraId="546DE094">
      <w:pPr>
        <w:pStyle w:val="48"/>
        <w:pageBreakBefore w:val="0"/>
        <w:numPr>
          <w:ilvl w:val="0"/>
          <w:numId w:val="52"/>
        </w:numPr>
        <w:kinsoku/>
        <w:wordWrap/>
        <w:overflowPunct/>
        <w:topLinePunct w:val="0"/>
        <w:autoSpaceDE/>
        <w:autoSpaceDN/>
        <w:bidi w:val="0"/>
        <w:adjustRightInd w:val="0"/>
        <w:snapToGrid w:val="0"/>
        <w:spacing w:line="360" w:lineRule="auto"/>
        <w:ind w:left="0"/>
        <w:textAlignment w:val="auto"/>
        <w:outlineLvl w:val="8"/>
        <w:rPr>
          <w:rFonts w:hint="eastAsia"/>
          <w:lang w:val="en-US" w:eastAsia="zh-CN"/>
        </w:rPr>
      </w:pPr>
      <w:r>
        <w:rPr>
          <w:rFonts w:hint="eastAsia"/>
          <w:lang w:val="en-US" w:eastAsia="zh-CN"/>
        </w:rPr>
        <w:t>地下矿山违规生产智能监测</w:t>
      </w:r>
      <w:r>
        <w:rPr>
          <w:rFonts w:hint="eastAsia"/>
          <w:lang w:val="en-US" w:eastAsia="zh-CN"/>
        </w:rPr>
        <w:tab/>
      </w:r>
    </w:p>
    <w:p w14:paraId="1DBDC16F">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bookmarkStart w:id="261" w:name="OLE_LINK43"/>
      <w:r>
        <w:rPr>
          <w:rFonts w:hint="default"/>
          <w:lang w:val="en-US" w:eastAsia="zh-CN"/>
        </w:rPr>
        <w:t>通过视频智能分析设备识别</w:t>
      </w:r>
      <w:bookmarkEnd w:id="261"/>
      <w:r>
        <w:rPr>
          <w:rFonts w:hint="default"/>
          <w:lang w:val="en-US" w:eastAsia="zh-CN"/>
        </w:rPr>
        <w:t>出现作业设备的数据，联动矿山一矿一档数据</w:t>
      </w:r>
      <w:r>
        <w:rPr>
          <w:rFonts w:hint="eastAsia"/>
          <w:lang w:val="en-US" w:eastAsia="zh-CN"/>
        </w:rPr>
        <w:t>中</w:t>
      </w:r>
      <w:r>
        <w:rPr>
          <w:rFonts w:hint="default"/>
          <w:lang w:val="en-US" w:eastAsia="zh-CN"/>
        </w:rPr>
        <w:t>矿企停工状态</w:t>
      </w:r>
      <w:r>
        <w:rPr>
          <w:rFonts w:hint="eastAsia"/>
          <w:lang w:val="en-US" w:eastAsia="zh-CN"/>
        </w:rPr>
        <w:t>信息</w:t>
      </w:r>
      <w:r>
        <w:rPr>
          <w:rFonts w:hint="default"/>
          <w:lang w:val="en-US" w:eastAsia="zh-CN"/>
        </w:rPr>
        <w:t>，智能判断存在违规生产的可能性，系统自动预警。</w:t>
      </w:r>
    </w:p>
    <w:p w14:paraId="097D5385">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可以按照全省、地市、区县、企业维度统计，搜索查询查看违规生产的预警信息。</w:t>
      </w:r>
    </w:p>
    <w:p w14:paraId="3E2DDBBD">
      <w:pPr>
        <w:pStyle w:val="48"/>
        <w:pageBreakBefore w:val="0"/>
        <w:numPr>
          <w:ilvl w:val="0"/>
          <w:numId w:val="52"/>
        </w:numPr>
        <w:kinsoku/>
        <w:wordWrap/>
        <w:overflowPunct/>
        <w:topLinePunct w:val="0"/>
        <w:autoSpaceDE/>
        <w:autoSpaceDN/>
        <w:bidi w:val="0"/>
        <w:adjustRightInd w:val="0"/>
        <w:snapToGrid w:val="0"/>
        <w:spacing w:line="360" w:lineRule="auto"/>
        <w:ind w:left="0"/>
        <w:textAlignment w:val="auto"/>
        <w:outlineLvl w:val="8"/>
        <w:rPr>
          <w:rFonts w:hint="eastAsia"/>
          <w:lang w:val="en-US" w:eastAsia="zh-CN"/>
        </w:rPr>
      </w:pPr>
      <w:r>
        <w:rPr>
          <w:rFonts w:hint="eastAsia"/>
          <w:lang w:val="en-US" w:eastAsia="zh-CN"/>
        </w:rPr>
        <w:t>地下矿山罐笼（电梯）乘坐人员数量监测</w:t>
      </w:r>
    </w:p>
    <w:p w14:paraId="34066E69">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default"/>
          <w:lang w:val="en-US" w:eastAsia="zh-CN"/>
        </w:rPr>
        <w:t>通过视频智能分析设备识别下井罐笼（电梯）人员乘坐</w:t>
      </w:r>
      <w:r>
        <w:rPr>
          <w:rFonts w:hint="eastAsia"/>
          <w:lang w:val="en-US" w:eastAsia="zh-CN"/>
        </w:rPr>
        <w:t>数量统计。</w:t>
      </w:r>
    </w:p>
    <w:p w14:paraId="1E4C4FA2">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可以按照全省、地市、区县和矿山企业各层级展示罐笼（电梯）运行次数和每次乘坐人员数据。</w:t>
      </w:r>
    </w:p>
    <w:p w14:paraId="03AF364F">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可以查看某矿山具体罐笼（电梯）运行和乘坐情况。一旦一次性人员乘坐数量超过限制，系统自动发出预警。</w:t>
      </w:r>
    </w:p>
    <w:p w14:paraId="2F466DE6">
      <w:pPr>
        <w:pStyle w:val="48"/>
        <w:pageBreakBefore w:val="0"/>
        <w:numPr>
          <w:ilvl w:val="0"/>
          <w:numId w:val="52"/>
        </w:numPr>
        <w:kinsoku/>
        <w:wordWrap/>
        <w:overflowPunct/>
        <w:topLinePunct w:val="0"/>
        <w:autoSpaceDE/>
        <w:autoSpaceDN/>
        <w:bidi w:val="0"/>
        <w:adjustRightInd w:val="0"/>
        <w:snapToGrid w:val="0"/>
        <w:spacing w:line="360" w:lineRule="auto"/>
        <w:ind w:left="0"/>
        <w:textAlignment w:val="auto"/>
        <w:outlineLvl w:val="8"/>
        <w:rPr>
          <w:rFonts w:hint="eastAsia"/>
          <w:lang w:val="en-US" w:eastAsia="zh-CN"/>
        </w:rPr>
      </w:pPr>
      <w:r>
        <w:rPr>
          <w:rFonts w:hint="eastAsia"/>
          <w:lang w:val="en-US" w:eastAsia="zh-CN"/>
        </w:rPr>
        <w:t>地下矿山工装穿戴智能监测</w:t>
      </w:r>
    </w:p>
    <w:p w14:paraId="311018E4">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default"/>
          <w:lang w:val="en-US" w:eastAsia="zh-CN"/>
        </w:rPr>
        <w:t>通过视频智能分析设备识别人员下井前人员工装穿戴</w:t>
      </w:r>
      <w:r>
        <w:rPr>
          <w:rFonts w:hint="eastAsia"/>
          <w:lang w:val="en-US" w:eastAsia="zh-CN"/>
        </w:rPr>
        <w:t>、安全帽</w:t>
      </w:r>
      <w:r>
        <w:rPr>
          <w:rFonts w:hint="default"/>
          <w:lang w:val="en-US" w:eastAsia="zh-CN"/>
        </w:rPr>
        <w:t>和自救器等安全防护用品佩戴情况，如未按照要求穿戴系统自动预警。</w:t>
      </w:r>
    </w:p>
    <w:p w14:paraId="503A0FA9">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可以按照全省、地市、区县、企业维度统计，搜索查询查看违规生产的预警信息。</w:t>
      </w:r>
    </w:p>
    <w:p w14:paraId="1394FC31">
      <w:pPr>
        <w:pStyle w:val="48"/>
        <w:pageBreakBefore w:val="0"/>
        <w:numPr>
          <w:ilvl w:val="0"/>
          <w:numId w:val="52"/>
        </w:numPr>
        <w:kinsoku/>
        <w:wordWrap/>
        <w:overflowPunct/>
        <w:topLinePunct w:val="0"/>
        <w:autoSpaceDE/>
        <w:autoSpaceDN/>
        <w:bidi w:val="0"/>
        <w:adjustRightInd w:val="0"/>
        <w:snapToGrid w:val="0"/>
        <w:spacing w:line="360" w:lineRule="auto"/>
        <w:ind w:left="0"/>
        <w:textAlignment w:val="auto"/>
        <w:outlineLvl w:val="8"/>
        <w:rPr>
          <w:rFonts w:hint="eastAsia"/>
          <w:lang w:val="en-US" w:eastAsia="zh-CN"/>
        </w:rPr>
      </w:pPr>
      <w:r>
        <w:rPr>
          <w:rFonts w:hint="eastAsia"/>
          <w:lang w:val="en-US" w:eastAsia="zh-CN"/>
        </w:rPr>
        <w:t>地下矿山烟雾火灾监测智能监测</w:t>
      </w:r>
    </w:p>
    <w:p w14:paraId="21F43354">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default"/>
          <w:lang w:val="en-US" w:eastAsia="zh-CN"/>
        </w:rPr>
        <w:t>通过视频智能分析设备识别充电硐室、中央变电所、紧急避险设施等主要硐室的烟雾、火点、人员抽烟行为监测，一旦发现有火点系统自动预警。</w:t>
      </w:r>
    </w:p>
    <w:p w14:paraId="031F4785">
      <w:pPr>
        <w:pStyle w:val="39"/>
        <w:pageBreakBefore w:val="0"/>
        <w:kinsoku/>
        <w:wordWrap/>
        <w:overflowPunct/>
        <w:topLinePunct w:val="0"/>
        <w:autoSpaceDE/>
        <w:autoSpaceDN/>
        <w:bidi w:val="0"/>
        <w:adjustRightInd w:val="0"/>
        <w:snapToGrid w:val="0"/>
        <w:spacing w:line="360" w:lineRule="auto"/>
        <w:ind w:left="0"/>
        <w:textAlignment w:val="auto"/>
        <w:rPr>
          <w:rFonts w:hint="eastAsia"/>
        </w:rPr>
      </w:pPr>
      <w:r>
        <w:rPr>
          <w:rFonts w:hint="eastAsia"/>
          <w:lang w:val="en-US" w:eastAsia="zh-CN"/>
        </w:rPr>
        <w:t>可以按照全省、地市、区县、企业维度统计，搜索查询查看违规生产的预警信息。</w:t>
      </w:r>
    </w:p>
    <w:p w14:paraId="194FA672">
      <w:pPr>
        <w:pStyle w:val="48"/>
        <w:pageBreakBefore w:val="0"/>
        <w:numPr>
          <w:ilvl w:val="0"/>
          <w:numId w:val="52"/>
        </w:numPr>
        <w:kinsoku/>
        <w:wordWrap/>
        <w:overflowPunct/>
        <w:topLinePunct w:val="0"/>
        <w:autoSpaceDE/>
        <w:autoSpaceDN/>
        <w:bidi w:val="0"/>
        <w:adjustRightInd w:val="0"/>
        <w:snapToGrid w:val="0"/>
        <w:spacing w:line="360" w:lineRule="auto"/>
        <w:ind w:left="0"/>
        <w:textAlignment w:val="auto"/>
        <w:outlineLvl w:val="8"/>
        <w:rPr>
          <w:rFonts w:hint="eastAsia"/>
          <w:lang w:val="en-US" w:eastAsia="zh-CN"/>
        </w:rPr>
      </w:pPr>
      <w:r>
        <w:rPr>
          <w:rFonts w:hint="eastAsia"/>
          <w:lang w:val="en-US" w:eastAsia="zh-CN"/>
        </w:rPr>
        <w:t>地下矿山巷道异常状态在线监测</w:t>
      </w:r>
    </w:p>
    <w:p w14:paraId="045F5B0C">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bookmarkStart w:id="262" w:name="OLE_LINK55"/>
      <w:r>
        <w:rPr>
          <w:rFonts w:hint="default"/>
          <w:lang w:val="en-US" w:eastAsia="zh-CN"/>
        </w:rPr>
        <w:t>通过视频智能分析设备识别</w:t>
      </w:r>
      <w:bookmarkEnd w:id="262"/>
      <w:r>
        <w:rPr>
          <w:rFonts w:hint="default"/>
          <w:lang w:val="en-US" w:eastAsia="zh-CN"/>
        </w:rPr>
        <w:t>井下主要行人巷道和通往应急出口巷道的</w:t>
      </w:r>
      <w:r>
        <w:rPr>
          <w:rFonts w:hint="eastAsia"/>
          <w:lang w:val="en-US" w:eastAsia="zh-CN"/>
        </w:rPr>
        <w:t>人员</w:t>
      </w:r>
      <w:r>
        <w:rPr>
          <w:rFonts w:hint="default"/>
          <w:lang w:val="en-US" w:eastAsia="zh-CN"/>
        </w:rPr>
        <w:t>违规乘用矿车和</w:t>
      </w:r>
      <w:r>
        <w:rPr>
          <w:rFonts w:hint="eastAsia"/>
          <w:lang w:val="en-US" w:eastAsia="zh-CN"/>
        </w:rPr>
        <w:t>斜井</w:t>
      </w:r>
      <w:r>
        <w:rPr>
          <w:rFonts w:hint="default"/>
          <w:lang w:val="en-US" w:eastAsia="zh-CN"/>
        </w:rPr>
        <w:t>行人行车异常情况</w:t>
      </w:r>
      <w:bookmarkStart w:id="263" w:name="OLE_LINK56"/>
      <w:r>
        <w:rPr>
          <w:rFonts w:hint="default"/>
          <w:lang w:val="en-US" w:eastAsia="zh-CN"/>
        </w:rPr>
        <w:t>，一旦发现系统自动预警。</w:t>
      </w:r>
    </w:p>
    <w:bookmarkEnd w:id="263"/>
    <w:p w14:paraId="3C0B89E0">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可以按照全省、地市、区县、企业维度统计，搜索查询查看违规行为的预警信息。</w:t>
      </w:r>
    </w:p>
    <w:p w14:paraId="25949E12">
      <w:pPr>
        <w:pStyle w:val="48"/>
        <w:pageBreakBefore w:val="0"/>
        <w:numPr>
          <w:ilvl w:val="0"/>
          <w:numId w:val="52"/>
        </w:numPr>
        <w:kinsoku/>
        <w:wordWrap/>
        <w:overflowPunct/>
        <w:topLinePunct w:val="0"/>
        <w:autoSpaceDE/>
        <w:autoSpaceDN/>
        <w:bidi w:val="0"/>
        <w:adjustRightInd w:val="0"/>
        <w:snapToGrid w:val="0"/>
        <w:spacing w:line="360" w:lineRule="auto"/>
        <w:ind w:left="0"/>
        <w:textAlignment w:val="auto"/>
        <w:outlineLvl w:val="8"/>
        <w:rPr>
          <w:rFonts w:hint="eastAsia"/>
          <w:lang w:val="en-US" w:eastAsia="zh-CN"/>
        </w:rPr>
      </w:pPr>
      <w:r>
        <w:rPr>
          <w:rFonts w:hint="eastAsia"/>
          <w:lang w:val="en-US" w:eastAsia="zh-CN"/>
        </w:rPr>
        <w:t>地下矿山水仓水泵智能监测</w:t>
      </w:r>
    </w:p>
    <w:p w14:paraId="24545C1B">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通过视频智能分析设备或者传感设备识别井下主要行人巷道和通往应急出口巷道的水位检测和水泵启停状态，一旦发现水位异常或水泵启停状态异常，系统自动预警。</w:t>
      </w:r>
    </w:p>
    <w:p w14:paraId="25F980F2">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可以查看某矿山具体水位实时数据和历史数据，可以分时段查询数据，按照表格、趋势图方式展现。</w:t>
      </w:r>
    </w:p>
    <w:p w14:paraId="3C22D704">
      <w:pPr>
        <w:pStyle w:val="48"/>
        <w:pageBreakBefore w:val="0"/>
        <w:numPr>
          <w:ilvl w:val="0"/>
          <w:numId w:val="52"/>
        </w:numPr>
        <w:kinsoku/>
        <w:wordWrap/>
        <w:overflowPunct/>
        <w:topLinePunct w:val="0"/>
        <w:autoSpaceDE/>
        <w:autoSpaceDN/>
        <w:bidi w:val="0"/>
        <w:adjustRightInd w:val="0"/>
        <w:snapToGrid w:val="0"/>
        <w:spacing w:line="360" w:lineRule="auto"/>
        <w:ind w:left="0"/>
        <w:textAlignment w:val="auto"/>
        <w:outlineLvl w:val="8"/>
        <w:rPr>
          <w:rFonts w:hint="eastAsia"/>
          <w:lang w:val="en-US" w:eastAsia="zh-CN"/>
        </w:rPr>
      </w:pPr>
      <w:r>
        <w:rPr>
          <w:rFonts w:hint="eastAsia"/>
          <w:lang w:val="en-US" w:eastAsia="zh-CN"/>
        </w:rPr>
        <w:t>地下矿</w:t>
      </w:r>
      <w:bookmarkStart w:id="264" w:name="OLE_LINK63"/>
      <w:r>
        <w:rPr>
          <w:rFonts w:hint="eastAsia"/>
          <w:lang w:val="en-US" w:eastAsia="zh-CN"/>
        </w:rPr>
        <w:t>山安全生产监控中心</w:t>
      </w:r>
      <w:bookmarkEnd w:id="264"/>
      <w:r>
        <w:rPr>
          <w:rFonts w:hint="eastAsia"/>
          <w:lang w:val="en-US" w:eastAsia="zh-CN"/>
        </w:rPr>
        <w:t>智能监测</w:t>
      </w:r>
    </w:p>
    <w:p w14:paraId="03DEE8AE">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bookmarkStart w:id="265" w:name="OLE_LINK78"/>
      <w:bookmarkStart w:id="266" w:name="OLE_LINK77"/>
      <w:r>
        <w:rPr>
          <w:rFonts w:hint="eastAsia"/>
          <w:lang w:val="en-US" w:eastAsia="zh-CN"/>
        </w:rPr>
        <w:t>通过视频智能分析设备识别安全生产监控中心人员睡岗、离岗、抽烟等违规情况，一旦发现系统自动预警。</w:t>
      </w:r>
    </w:p>
    <w:p w14:paraId="714B090F">
      <w:pPr>
        <w:pStyle w:val="39"/>
        <w:pageBreakBefore w:val="0"/>
        <w:kinsoku/>
        <w:wordWrap/>
        <w:overflowPunct/>
        <w:topLinePunct w:val="0"/>
        <w:autoSpaceDE/>
        <w:autoSpaceDN/>
        <w:bidi w:val="0"/>
        <w:adjustRightInd w:val="0"/>
        <w:snapToGrid w:val="0"/>
        <w:spacing w:line="360" w:lineRule="auto"/>
        <w:ind w:left="0"/>
        <w:textAlignment w:val="auto"/>
      </w:pPr>
      <w:r>
        <w:rPr>
          <w:rFonts w:hint="eastAsia"/>
          <w:lang w:val="en-US" w:eastAsia="zh-CN"/>
        </w:rPr>
        <w:t>可以按照全省、地市、区县、企业维度统计，搜索查询查看违规行为的预警信息。</w:t>
      </w:r>
    </w:p>
    <w:bookmarkEnd w:id="265"/>
    <w:bookmarkEnd w:id="266"/>
    <w:p w14:paraId="4451B198">
      <w:pPr>
        <w:pStyle w:val="48"/>
        <w:pageBreakBefore w:val="0"/>
        <w:numPr>
          <w:ilvl w:val="0"/>
          <w:numId w:val="52"/>
        </w:numPr>
        <w:kinsoku/>
        <w:wordWrap/>
        <w:overflowPunct/>
        <w:topLinePunct w:val="0"/>
        <w:autoSpaceDE/>
        <w:autoSpaceDN/>
        <w:bidi w:val="0"/>
        <w:adjustRightInd w:val="0"/>
        <w:snapToGrid w:val="0"/>
        <w:spacing w:line="360" w:lineRule="auto"/>
        <w:ind w:left="0"/>
        <w:textAlignment w:val="auto"/>
        <w:outlineLvl w:val="8"/>
        <w:rPr>
          <w:rFonts w:hint="eastAsia"/>
          <w:lang w:val="en-US" w:eastAsia="zh-CN"/>
        </w:rPr>
      </w:pPr>
      <w:r>
        <w:rPr>
          <w:rFonts w:hint="eastAsia"/>
          <w:lang w:val="en-US" w:eastAsia="zh-CN"/>
        </w:rPr>
        <w:t>地下矿山动火作业（井口）违规智能监测</w:t>
      </w:r>
    </w:p>
    <w:p w14:paraId="4292B5D2">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接入企业动火作业信息，包含斜井井口、竖井井口、平硐口和井下各生产中段的马头门及调车场动火作业。可以按照全省、地市、区县维度数据统计。</w:t>
      </w:r>
    </w:p>
    <w:p w14:paraId="52DD2111">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智能联动人员定位数据，一旦发现井口动火作业时，井下还有人员的情况系统自动报警。</w:t>
      </w:r>
    </w:p>
    <w:p w14:paraId="1CC3E21E">
      <w:pPr>
        <w:pStyle w:val="48"/>
        <w:pageBreakBefore w:val="0"/>
        <w:numPr>
          <w:ilvl w:val="0"/>
          <w:numId w:val="52"/>
        </w:numPr>
        <w:kinsoku/>
        <w:wordWrap/>
        <w:overflowPunct/>
        <w:topLinePunct w:val="0"/>
        <w:autoSpaceDE/>
        <w:autoSpaceDN/>
        <w:bidi w:val="0"/>
        <w:adjustRightInd w:val="0"/>
        <w:snapToGrid w:val="0"/>
        <w:spacing w:line="360" w:lineRule="auto"/>
        <w:ind w:left="0"/>
        <w:textAlignment w:val="auto"/>
        <w:outlineLvl w:val="8"/>
        <w:rPr>
          <w:rFonts w:hint="eastAsia"/>
          <w:lang w:val="en-US" w:eastAsia="zh-CN"/>
        </w:rPr>
      </w:pPr>
      <w:r>
        <w:rPr>
          <w:rFonts w:hint="eastAsia"/>
          <w:lang w:val="en-US" w:eastAsia="zh-CN"/>
        </w:rPr>
        <w:t>地下矿山人员异常行为智能监测</w:t>
      </w:r>
    </w:p>
    <w:p w14:paraId="533ABC71">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通过视频智能分析设备识别人员倒地、人员聚集等违规行为，一旦发现异常，系统自动预警。</w:t>
      </w:r>
    </w:p>
    <w:p w14:paraId="2222D7EB">
      <w:pPr>
        <w:pStyle w:val="39"/>
        <w:pageBreakBefore w:val="0"/>
        <w:kinsoku/>
        <w:wordWrap/>
        <w:overflowPunct/>
        <w:topLinePunct w:val="0"/>
        <w:autoSpaceDE/>
        <w:autoSpaceDN/>
        <w:bidi w:val="0"/>
        <w:adjustRightInd w:val="0"/>
        <w:snapToGrid w:val="0"/>
        <w:spacing w:line="360" w:lineRule="auto"/>
        <w:ind w:left="0"/>
        <w:textAlignment w:val="auto"/>
        <w:rPr>
          <w:rFonts w:hint="eastAsia"/>
        </w:rPr>
      </w:pPr>
      <w:r>
        <w:rPr>
          <w:rFonts w:hint="eastAsia"/>
          <w:lang w:val="en-US" w:eastAsia="zh-CN"/>
        </w:rPr>
        <w:t>可以按照全省、地市、区县、企业维度统计，搜索查询查看违规行为的预警信息。</w:t>
      </w:r>
    </w:p>
    <w:p w14:paraId="1E000BEA">
      <w:pPr>
        <w:pStyle w:val="10"/>
        <w:keepNext/>
        <w:keepLines/>
        <w:pageBreakBefore w:val="0"/>
        <w:widowControl w:val="0"/>
        <w:numPr>
          <w:ilvl w:val="0"/>
          <w:numId w:val="51"/>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地下矿山井下人员定位智能监测</w:t>
      </w:r>
    </w:p>
    <w:p w14:paraId="010BE039">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接入地下矿山井下人员定位卡的定位设备数据，实时获取矿山运行状态数据。</w:t>
      </w:r>
    </w:p>
    <w:p w14:paraId="60AC7100">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可以按照全省、地市、区县和矿山企业各层级展示在线作业人员和设备数量，矿山开工数量。</w:t>
      </w:r>
    </w:p>
    <w:p w14:paraId="2CA28FA6">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可以查看某矿山具体人员在地下矿山三维模型上的实时分布情况，也可以分时段查询某人的最终位置和历史轨迹，按照人物模拟走动的方式在地理信息和三维模型上展示。</w:t>
      </w:r>
    </w:p>
    <w:p w14:paraId="54C3554F">
      <w:pPr>
        <w:pStyle w:val="39"/>
        <w:pageBreakBefore w:val="0"/>
        <w:kinsoku/>
        <w:wordWrap/>
        <w:overflowPunct/>
        <w:topLinePunct w:val="0"/>
        <w:autoSpaceDE/>
        <w:autoSpaceDN/>
        <w:bidi w:val="0"/>
        <w:adjustRightInd w:val="0"/>
        <w:snapToGrid w:val="0"/>
        <w:spacing w:line="360" w:lineRule="auto"/>
        <w:ind w:left="0"/>
        <w:textAlignment w:val="auto"/>
      </w:pPr>
      <w:r>
        <w:rPr>
          <w:rFonts w:hint="eastAsia"/>
          <w:lang w:val="en-US" w:eastAsia="zh-CN"/>
        </w:rPr>
        <w:t>同时，也可以结合矿山作业要求，智能判断井下人员作业超时（超过9小时未出井）、井下同时在岗总人数超员发出预警。</w:t>
      </w:r>
    </w:p>
    <w:p w14:paraId="2EDE7C79">
      <w:pPr>
        <w:pStyle w:val="10"/>
        <w:keepNext/>
        <w:keepLines/>
        <w:pageBreakBefore w:val="0"/>
        <w:widowControl w:val="0"/>
        <w:numPr>
          <w:ilvl w:val="0"/>
          <w:numId w:val="51"/>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地下矿山有毒有害气体浓度智能监测</w:t>
      </w:r>
    </w:p>
    <w:p w14:paraId="12923A74">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接入地下矿山特定区域有毒有害气体浓度监测传感器，实时获取矿山运行状态数据和监测设备在线等情况。</w:t>
      </w:r>
    </w:p>
    <w:p w14:paraId="7CD084F5">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可以按照全省、地市、区县和矿山企业各层级展示接入传感器数量、在线设备数量、在线率、离线率。</w:t>
      </w:r>
    </w:p>
    <w:p w14:paraId="0B0B5F90">
      <w:pPr>
        <w:pStyle w:val="39"/>
        <w:pageBreakBefore w:val="0"/>
        <w:kinsoku/>
        <w:wordWrap/>
        <w:overflowPunct/>
        <w:topLinePunct w:val="0"/>
        <w:autoSpaceDE/>
        <w:autoSpaceDN/>
        <w:bidi w:val="0"/>
        <w:adjustRightInd w:val="0"/>
        <w:snapToGrid w:val="0"/>
        <w:spacing w:line="360" w:lineRule="auto"/>
        <w:ind w:left="0"/>
        <w:textAlignment w:val="auto"/>
        <w:rPr>
          <w:rFonts w:hint="eastAsia"/>
        </w:rPr>
      </w:pPr>
      <w:r>
        <w:rPr>
          <w:rFonts w:hint="eastAsia"/>
          <w:lang w:val="en-US" w:eastAsia="zh-CN"/>
        </w:rPr>
        <w:t>可以查看某矿山具体有毒有害气体的实时数据和历史数据，按照表格、趋势图的方式展示。一旦发现泄露气体浓度和持续时间同时达到预警要求系统自动发出预警。</w:t>
      </w:r>
    </w:p>
    <w:p w14:paraId="70CC8D18">
      <w:pPr>
        <w:pStyle w:val="47"/>
        <w:pageBreakBefore w:val="0"/>
        <w:numPr>
          <w:ilvl w:val="0"/>
          <w:numId w:val="48"/>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尾矿库专题</w:t>
      </w:r>
    </w:p>
    <w:p w14:paraId="46F4500A">
      <w:pPr>
        <w:pStyle w:val="10"/>
        <w:keepNext/>
        <w:keepLines/>
        <w:pageBreakBefore w:val="0"/>
        <w:widowControl w:val="0"/>
        <w:numPr>
          <w:ilvl w:val="0"/>
          <w:numId w:val="53"/>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尾矿库监测一张图</w:t>
      </w:r>
    </w:p>
    <w:p w14:paraId="1A7F03B5">
      <w:pPr>
        <w:pStyle w:val="39"/>
        <w:pageBreakBefore w:val="0"/>
        <w:kinsoku/>
        <w:wordWrap/>
        <w:overflowPunct/>
        <w:topLinePunct w:val="0"/>
        <w:autoSpaceDE/>
        <w:autoSpaceDN/>
        <w:bidi w:val="0"/>
        <w:adjustRightInd w:val="0"/>
        <w:snapToGrid w:val="0"/>
        <w:spacing w:line="360" w:lineRule="auto"/>
        <w:ind w:left="0"/>
        <w:textAlignment w:val="auto"/>
      </w:pPr>
      <w:r>
        <w:rPr>
          <w:rFonts w:hint="eastAsia"/>
          <w:lang w:val="en-US" w:eastAsia="zh-CN"/>
        </w:rPr>
        <w:t>一屏展示尾矿库总览信息，结合地理信息展示全省尾矿库企业、坝体位移、干滩、库区水位、浸润线、降雨量、视频监控、报警数量、报警处置情况，展示各地区、各类型尾矿库数量分布及在线情况等。可以点击地图进行省/市/区县/企业可以层层下钻，点击矿山企业切换成该尾矿库三维模型展现实时视频监控和位移监测等详细信息。</w:t>
      </w:r>
    </w:p>
    <w:p w14:paraId="2B92AC46">
      <w:pPr>
        <w:pStyle w:val="10"/>
        <w:keepNext/>
        <w:keepLines/>
        <w:pageBreakBefore w:val="0"/>
        <w:widowControl w:val="0"/>
        <w:numPr>
          <w:ilvl w:val="0"/>
          <w:numId w:val="53"/>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尾矿库一库一档</w:t>
      </w:r>
    </w:p>
    <w:p w14:paraId="06DD3FA7">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所属企业概况：工商营业执照中信用代码、有效期、法人、地理位置、上级公司情况等基本情况；</w:t>
      </w:r>
    </w:p>
    <w:p w14:paraId="067FA333">
      <w:pPr>
        <w:pStyle w:val="39"/>
        <w:pageBreakBefore w:val="0"/>
        <w:kinsoku/>
        <w:wordWrap/>
        <w:overflowPunct/>
        <w:topLinePunct w:val="0"/>
        <w:autoSpaceDE/>
        <w:autoSpaceDN/>
        <w:bidi w:val="0"/>
        <w:adjustRightInd w:val="0"/>
        <w:snapToGrid w:val="0"/>
        <w:spacing w:line="360" w:lineRule="auto"/>
        <w:ind w:left="0"/>
        <w:textAlignment w:val="auto"/>
        <w:rPr>
          <w:rFonts w:hint="eastAsia"/>
        </w:rPr>
      </w:pPr>
      <w:r>
        <w:rPr>
          <w:rFonts w:hint="eastAsia"/>
          <w:lang w:val="en-US" w:eastAsia="zh-CN"/>
        </w:rPr>
        <w:t>尾矿库概况：尾矿库地理位置、安全生产许可证、主要人员信息（主要负责人、工程技术人员、专职安管员、特种作业人员）、所属矿种、运行状态（正常生产、停用、回采、闭库未销号）、地质概况（工程地质、水文地质、环境地质）、周边环境、是否头顶库、主要危险有害因素、安全标准化等级、风险等级（红橙黄蓝）、监管类别（一、二、三、四级）、尾矿库等级、是否安装在线监测系统、尾矿库类型、初期坝坝型、堆坝方式、坝体排渗形式、初期坝上游坡比、初期坝下游坡比、设计总坝高（米）、现状总坝高（米）、初期坝坝高（米）、堆积坝总高度（米）、初期坝坝宽（米）、库区汇水面积、最小安全超高（米）、调洪高度、最小干滩长度、设计库容（万立方米）、现状库容（万立方米）、启用时间（年、月）、停用时间（年、月）、闭库时间（年、月）、销库时间（年、月）、尾矿库企业安全管理责任人及联系电话、省级安全生产包保责任人及联系电话、市级安全生产包保责任人及联系电话、县（市、区）级安全生产包保责任人及联系电话、乡镇（街道）安全生产包保责任人及联系电话、汛期尾矿库专人盯守专班（人员、姓名、职务、手机号）、部门安全监管责任人及联系电话以及安全评价报告、安全设施设计（含变更）、检验检测报告、调洪演算报告、月度重大隐患排查报告、安全管理制度（安全生产责任制）、安全操作规程、应急预案（备案、演练）等资料。</w:t>
      </w:r>
    </w:p>
    <w:p w14:paraId="69DD562E">
      <w:pPr>
        <w:pStyle w:val="10"/>
        <w:keepNext/>
        <w:keepLines/>
        <w:pageBreakBefore w:val="0"/>
        <w:widowControl w:val="0"/>
        <w:numPr>
          <w:ilvl w:val="0"/>
          <w:numId w:val="53"/>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尾矿库管理因素动态监管</w:t>
      </w:r>
    </w:p>
    <w:p w14:paraId="7DA6AD41">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针对尾矿库一库一档的矿企基础信息、安全生产台账等信息进行动态监测，发现企业安全生产隐患或违规信息，如证书过期、设施设备未及时巡检、图纸缺失、人员证书、许可证到期和人员配备不齐全、重要岗位人员兼职等。</w:t>
      </w:r>
    </w:p>
    <w:p w14:paraId="6ED8BFB7">
      <w:pPr>
        <w:pStyle w:val="39"/>
        <w:pageBreakBefore w:val="0"/>
        <w:kinsoku/>
        <w:wordWrap/>
        <w:overflowPunct/>
        <w:topLinePunct w:val="0"/>
        <w:autoSpaceDE/>
        <w:autoSpaceDN/>
        <w:bidi w:val="0"/>
        <w:adjustRightInd w:val="0"/>
        <w:snapToGrid w:val="0"/>
        <w:spacing w:line="360" w:lineRule="auto"/>
        <w:ind w:left="0"/>
        <w:textAlignment w:val="auto"/>
        <w:rPr>
          <w:rFonts w:hint="eastAsia"/>
        </w:rPr>
      </w:pPr>
      <w:r>
        <w:rPr>
          <w:rFonts w:hint="eastAsia"/>
          <w:lang w:val="en-US" w:eastAsia="zh-CN"/>
        </w:rPr>
        <w:t>管理因素包含以下内容：近一个月是否上传月度重大隐患排查报告、近半年是否上传应急演练材料、近三年是否上传隐蔽致灾因素普查报告、近三年是否上传安全评价报告、人员（安管人员、特种作业人员（尾矿工）、主要负责人）证书到期时间监测、证书（安全生产许可证、安全标准化证书）到期时间到期监测、工程技术人员配备是否齐全：运行尾矿库应配备4名专职或者兼职的工程技术人员（选矿或者尾矿（水工）、地质、测量及电气专业）。三等及以上运行尾矿库应配备1名专职工程技术人员（选矿或尾矿（水工））。已经闭库的五等尾矿库应配备1名专职或者兼职的工程技术人员（测量专业）。已经闭库的“头顶库”和四等以上的尾矿库应配备2名专职或者兼职的工程技术人员（电气专业、测量专业）。</w:t>
      </w:r>
    </w:p>
    <w:p w14:paraId="548752BE">
      <w:pPr>
        <w:pStyle w:val="10"/>
        <w:keepNext/>
        <w:keepLines/>
        <w:pageBreakBefore w:val="0"/>
        <w:widowControl w:val="0"/>
        <w:numPr>
          <w:ilvl w:val="0"/>
          <w:numId w:val="53"/>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尾矿库视频监控在线监测</w:t>
      </w:r>
    </w:p>
    <w:p w14:paraId="09A78DB7">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接入尾矿库各关键区域摄像头数据，并标注安装位置相关信息，可以通过地图钻取或者直接搜索尾矿库企业后展示的监控列表实时调阅尾矿库现场情况和监测设备在线情况。</w:t>
      </w:r>
    </w:p>
    <w:p w14:paraId="030D69F6">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尾矿库视频重要点位：运行尾矿库排洪系统进口、运行尾矿库区水位测量处、尾矿库坝体下游坡、运行尾矿库库区、运行尾矿库区滩面、运行尾矿库坝顶及滩面、企业安全生产值班室。</w:t>
      </w:r>
    </w:p>
    <w:p w14:paraId="54D6023E">
      <w:pPr>
        <w:pStyle w:val="48"/>
        <w:pageBreakBefore w:val="0"/>
        <w:numPr>
          <w:ilvl w:val="0"/>
          <w:numId w:val="52"/>
        </w:numPr>
        <w:kinsoku/>
        <w:wordWrap/>
        <w:overflowPunct/>
        <w:topLinePunct w:val="0"/>
        <w:autoSpaceDE/>
        <w:autoSpaceDN/>
        <w:bidi w:val="0"/>
        <w:adjustRightInd w:val="0"/>
        <w:snapToGrid w:val="0"/>
        <w:spacing w:line="360" w:lineRule="auto"/>
        <w:ind w:left="0"/>
        <w:textAlignment w:val="auto"/>
        <w:outlineLvl w:val="8"/>
        <w:rPr>
          <w:rFonts w:hint="eastAsia"/>
          <w:lang w:val="en-US" w:eastAsia="zh-CN"/>
        </w:rPr>
      </w:pPr>
      <w:r>
        <w:rPr>
          <w:rFonts w:hint="eastAsia"/>
          <w:lang w:val="en-US" w:eastAsia="zh-CN"/>
        </w:rPr>
        <w:t>尾矿库违规生产智能监测</w:t>
      </w:r>
    </w:p>
    <w:p w14:paraId="2129E27F">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通过视频智能分析设备识别出现作业设备（特别是挖掘机）的数据，联动尾矿库一库一档数据中尾矿库停工状态，智能判断存在违规生产的可能性，系统自动预警。</w:t>
      </w:r>
    </w:p>
    <w:p w14:paraId="3161DE45">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可以按照全省、地市、区县和尾矿库企业等维度统计，搜索查询查看违规生产的预警信息。</w:t>
      </w:r>
    </w:p>
    <w:p w14:paraId="780387CF">
      <w:pPr>
        <w:pStyle w:val="48"/>
        <w:pageBreakBefore w:val="0"/>
        <w:numPr>
          <w:ilvl w:val="0"/>
          <w:numId w:val="52"/>
        </w:numPr>
        <w:kinsoku/>
        <w:wordWrap/>
        <w:overflowPunct/>
        <w:topLinePunct w:val="0"/>
        <w:autoSpaceDE/>
        <w:autoSpaceDN/>
        <w:bidi w:val="0"/>
        <w:adjustRightInd w:val="0"/>
        <w:snapToGrid w:val="0"/>
        <w:spacing w:line="360" w:lineRule="auto"/>
        <w:ind w:left="0"/>
        <w:textAlignment w:val="auto"/>
        <w:outlineLvl w:val="8"/>
        <w:rPr>
          <w:rFonts w:hint="eastAsia"/>
          <w:lang w:val="en-US" w:eastAsia="zh-CN"/>
        </w:rPr>
      </w:pPr>
      <w:r>
        <w:rPr>
          <w:rFonts w:hint="eastAsia"/>
          <w:lang w:val="en-US" w:eastAsia="zh-CN"/>
        </w:rPr>
        <w:t>尾矿库</w:t>
      </w:r>
      <w:bookmarkStart w:id="267" w:name="_Hlk194577759"/>
      <w:bookmarkStart w:id="268" w:name="OLE_LINK79"/>
      <w:r>
        <w:rPr>
          <w:rFonts w:hint="eastAsia"/>
          <w:lang w:val="en-US" w:eastAsia="zh-CN"/>
        </w:rPr>
        <w:t>安全生产值班室</w:t>
      </w:r>
      <w:bookmarkEnd w:id="267"/>
      <w:bookmarkEnd w:id="268"/>
      <w:r>
        <w:rPr>
          <w:rFonts w:hint="eastAsia"/>
          <w:lang w:val="en-US" w:eastAsia="zh-CN"/>
        </w:rPr>
        <w:t>智能监测</w:t>
      </w:r>
    </w:p>
    <w:p w14:paraId="2B3B49C7">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通过视频智能分析设备识别安全生产值班室人员睡岗、离岗、抽烟等违规情况，一旦发现系统自动预警。</w:t>
      </w:r>
    </w:p>
    <w:p w14:paraId="326D331C">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可以按照全省、地市、区县和尾矿库企业等维度统计，搜索查询查看违规行为的预警信息。</w:t>
      </w:r>
    </w:p>
    <w:p w14:paraId="1735B975">
      <w:pPr>
        <w:pStyle w:val="48"/>
        <w:pageBreakBefore w:val="0"/>
        <w:numPr>
          <w:ilvl w:val="0"/>
          <w:numId w:val="52"/>
        </w:numPr>
        <w:kinsoku/>
        <w:wordWrap/>
        <w:overflowPunct/>
        <w:topLinePunct w:val="0"/>
        <w:autoSpaceDE/>
        <w:autoSpaceDN/>
        <w:bidi w:val="0"/>
        <w:adjustRightInd w:val="0"/>
        <w:snapToGrid w:val="0"/>
        <w:spacing w:line="360" w:lineRule="auto"/>
        <w:ind w:left="0"/>
        <w:textAlignment w:val="auto"/>
        <w:outlineLvl w:val="8"/>
        <w:rPr>
          <w:rFonts w:hint="eastAsia"/>
          <w:lang w:val="en-US" w:eastAsia="zh-CN"/>
        </w:rPr>
      </w:pPr>
      <w:r>
        <w:rPr>
          <w:rFonts w:hint="eastAsia"/>
          <w:lang w:val="en-US" w:eastAsia="zh-CN"/>
        </w:rPr>
        <w:t>尾矿库人员异常行为智能监测</w:t>
      </w:r>
    </w:p>
    <w:p w14:paraId="00BBE475">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通过视频智能分析设备识别人员倒地、人员聚集、未带安全帽等违规行为，一旦发现异常，系统自动预警。</w:t>
      </w:r>
    </w:p>
    <w:p w14:paraId="45D85347">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可以按照全省、地市、区县维度数据统计，也可以按照某企业搜索查询查看异常预警信息。</w:t>
      </w:r>
    </w:p>
    <w:p w14:paraId="08A9AB9C">
      <w:pPr>
        <w:pStyle w:val="10"/>
        <w:keepNext/>
        <w:keepLines/>
        <w:pageBreakBefore w:val="0"/>
        <w:widowControl w:val="0"/>
        <w:numPr>
          <w:ilvl w:val="0"/>
          <w:numId w:val="53"/>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尾矿库坝体和地质位移在线监测</w:t>
      </w:r>
    </w:p>
    <w:p w14:paraId="1D2D8FFF">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bookmarkStart w:id="269" w:name="OLE_LINK80"/>
      <w:bookmarkStart w:id="270" w:name="OLE_LINK81"/>
      <w:r>
        <w:rPr>
          <w:rFonts w:hint="eastAsia"/>
          <w:lang w:val="en-US" w:eastAsia="zh-CN"/>
        </w:rPr>
        <w:t>接入</w:t>
      </w:r>
      <w:bookmarkStart w:id="271" w:name="OLE_LINK92"/>
      <w:bookmarkStart w:id="272" w:name="OLE_LINK93"/>
      <w:r>
        <w:rPr>
          <w:rFonts w:hint="eastAsia"/>
          <w:lang w:val="en-US" w:eastAsia="zh-CN"/>
        </w:rPr>
        <w:t>尾矿库</w:t>
      </w:r>
      <w:bookmarkEnd w:id="271"/>
      <w:bookmarkEnd w:id="272"/>
      <w:r>
        <w:rPr>
          <w:rFonts w:hint="eastAsia"/>
          <w:lang w:val="en-US" w:eastAsia="zh-CN"/>
        </w:rPr>
        <w:t>坝体和库区地质位移监测传感器</w:t>
      </w:r>
      <w:bookmarkEnd w:id="269"/>
      <w:bookmarkEnd w:id="270"/>
      <w:r>
        <w:rPr>
          <w:rFonts w:hint="eastAsia"/>
          <w:lang w:val="en-US" w:eastAsia="zh-CN"/>
        </w:rPr>
        <w:t>，实时获取尾矿库运行状态数据和监测设备在线等情况。</w:t>
      </w:r>
    </w:p>
    <w:p w14:paraId="413BC041">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可以按照全省、地市、区县和矿山企业各层级展示接入传感器数量、在线设备数量、在线率、离线率。</w:t>
      </w:r>
    </w:p>
    <w:p w14:paraId="4AA3A93A">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可以查看尾矿库坝体位移实时数据和历史数据，按照表格、趋势图的方式展示，图上也可以展示预警信息。</w:t>
      </w:r>
    </w:p>
    <w:p w14:paraId="5FC7C25C">
      <w:pPr>
        <w:pStyle w:val="48"/>
        <w:pageBreakBefore w:val="0"/>
        <w:numPr>
          <w:ilvl w:val="0"/>
          <w:numId w:val="52"/>
        </w:numPr>
        <w:kinsoku/>
        <w:wordWrap/>
        <w:overflowPunct/>
        <w:topLinePunct w:val="0"/>
        <w:autoSpaceDE/>
        <w:autoSpaceDN/>
        <w:bidi w:val="0"/>
        <w:adjustRightInd w:val="0"/>
        <w:snapToGrid w:val="0"/>
        <w:spacing w:line="360" w:lineRule="auto"/>
        <w:ind w:left="0"/>
        <w:textAlignment w:val="auto"/>
        <w:outlineLvl w:val="8"/>
        <w:rPr>
          <w:rFonts w:hint="eastAsia"/>
          <w:lang w:val="en-US" w:eastAsia="zh-CN"/>
        </w:rPr>
      </w:pPr>
      <w:r>
        <w:rPr>
          <w:rFonts w:hint="eastAsia"/>
          <w:lang w:val="en-US" w:eastAsia="zh-CN"/>
        </w:rPr>
        <w:t>尾矿库</w:t>
      </w:r>
      <w:bookmarkStart w:id="273" w:name="OLE_LINK82"/>
      <w:r>
        <w:rPr>
          <w:rFonts w:hint="eastAsia"/>
          <w:lang w:val="en-US" w:eastAsia="zh-CN"/>
        </w:rPr>
        <w:t>干滩</w:t>
      </w:r>
      <w:bookmarkEnd w:id="273"/>
      <w:r>
        <w:rPr>
          <w:rFonts w:hint="eastAsia"/>
          <w:lang w:val="en-US" w:eastAsia="zh-CN"/>
        </w:rPr>
        <w:t>智能监测</w:t>
      </w:r>
    </w:p>
    <w:p w14:paraId="62802DA0">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bookmarkStart w:id="274" w:name="OLE_LINK83"/>
      <w:r>
        <w:rPr>
          <w:rFonts w:hint="eastAsia"/>
          <w:lang w:val="en-US" w:eastAsia="zh-CN"/>
        </w:rPr>
        <w:t>接入尾矿库</w:t>
      </w:r>
      <w:bookmarkEnd w:id="274"/>
      <w:bookmarkStart w:id="275" w:name="OLE_LINK91"/>
      <w:bookmarkStart w:id="276" w:name="OLE_LINK90"/>
      <w:r>
        <w:rPr>
          <w:rFonts w:hint="eastAsia"/>
          <w:lang w:val="en-US" w:eastAsia="zh-CN"/>
        </w:rPr>
        <w:t>干滩</w:t>
      </w:r>
      <w:bookmarkEnd w:id="275"/>
      <w:bookmarkEnd w:id="276"/>
      <w:r>
        <w:rPr>
          <w:rFonts w:hint="eastAsia"/>
          <w:lang w:val="en-US" w:eastAsia="zh-CN"/>
        </w:rPr>
        <w:t>长度监测传感数据，以及视频智能分析植被覆盖识别数据，实时获取尾矿库运行状态数据，并监测设备在线情况。</w:t>
      </w:r>
    </w:p>
    <w:p w14:paraId="2FCE5106">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可以按照全省、地市、区县和尾矿库企业各层级展示接入传感器数量、在线设备数量、在线率、离线率。</w:t>
      </w:r>
    </w:p>
    <w:p w14:paraId="0DBE5473">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可以查看尾矿库干滩长度实时数据和历史数据，按照表格、趋势图的方式展示，图上也可以展示预警信息。</w:t>
      </w:r>
    </w:p>
    <w:p w14:paraId="1530A2DF">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如果发现有大面积植被覆盖的数据，系统自动发出预警。</w:t>
      </w:r>
    </w:p>
    <w:p w14:paraId="46EC6F1A">
      <w:pPr>
        <w:pStyle w:val="48"/>
        <w:pageBreakBefore w:val="0"/>
        <w:numPr>
          <w:ilvl w:val="0"/>
          <w:numId w:val="52"/>
        </w:numPr>
        <w:kinsoku/>
        <w:wordWrap/>
        <w:overflowPunct/>
        <w:topLinePunct w:val="0"/>
        <w:autoSpaceDE/>
        <w:autoSpaceDN/>
        <w:bidi w:val="0"/>
        <w:adjustRightInd w:val="0"/>
        <w:snapToGrid w:val="0"/>
        <w:spacing w:line="360" w:lineRule="auto"/>
        <w:ind w:left="0"/>
        <w:textAlignment w:val="auto"/>
        <w:outlineLvl w:val="8"/>
        <w:rPr>
          <w:rFonts w:hint="eastAsia"/>
          <w:lang w:val="en-US" w:eastAsia="zh-CN"/>
        </w:rPr>
      </w:pPr>
      <w:r>
        <w:rPr>
          <w:rFonts w:hint="eastAsia"/>
          <w:lang w:val="en-US" w:eastAsia="zh-CN"/>
        </w:rPr>
        <w:t>尾矿库水位智能监测</w:t>
      </w:r>
    </w:p>
    <w:p w14:paraId="7E96719A">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接入尾矿库库区水位传感监测或视频智能分析数据</w:t>
      </w:r>
      <w:bookmarkStart w:id="277" w:name="OLE_LINK89"/>
      <w:r>
        <w:rPr>
          <w:rFonts w:hint="eastAsia"/>
          <w:lang w:val="en-US" w:eastAsia="zh-CN"/>
        </w:rPr>
        <w:t>，实时获取尾矿库运行状态数据和监测设备在线情况。</w:t>
      </w:r>
      <w:bookmarkEnd w:id="277"/>
    </w:p>
    <w:p w14:paraId="38BEFF59">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可以按照全省、地市、区县和尾矿库企业各层级展示接入传感器数量、在线设备数量、在线率、离线率。</w:t>
      </w:r>
    </w:p>
    <w:p w14:paraId="605A9C65">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可以查看尾矿库库区水位实时数据和历史数据，按照表格、趋势图的方式展示，图上也可以展示预警信息。</w:t>
      </w:r>
    </w:p>
    <w:p w14:paraId="7C48361E">
      <w:pPr>
        <w:pStyle w:val="48"/>
        <w:pageBreakBefore w:val="0"/>
        <w:numPr>
          <w:ilvl w:val="0"/>
          <w:numId w:val="52"/>
        </w:numPr>
        <w:kinsoku/>
        <w:wordWrap/>
        <w:overflowPunct/>
        <w:topLinePunct w:val="0"/>
        <w:autoSpaceDE/>
        <w:autoSpaceDN/>
        <w:bidi w:val="0"/>
        <w:adjustRightInd w:val="0"/>
        <w:snapToGrid w:val="0"/>
        <w:spacing w:line="360" w:lineRule="auto"/>
        <w:ind w:left="0"/>
        <w:textAlignment w:val="auto"/>
        <w:outlineLvl w:val="8"/>
        <w:rPr>
          <w:rFonts w:hint="eastAsia"/>
          <w:lang w:val="en-US" w:eastAsia="zh-CN"/>
        </w:rPr>
      </w:pPr>
      <w:r>
        <w:rPr>
          <w:rFonts w:hint="eastAsia"/>
          <w:lang w:val="en-US" w:eastAsia="zh-CN"/>
        </w:rPr>
        <w:t>尾矿库浸润线智能监测</w:t>
      </w:r>
    </w:p>
    <w:p w14:paraId="0C6D5944">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bookmarkStart w:id="278" w:name="OLE_LINK88"/>
      <w:r>
        <w:rPr>
          <w:rFonts w:hint="eastAsia"/>
          <w:lang w:val="en-US" w:eastAsia="zh-CN"/>
        </w:rPr>
        <w:t>接入尾矿库</w:t>
      </w:r>
      <w:bookmarkStart w:id="279" w:name="OLE_LINK85"/>
      <w:r>
        <w:rPr>
          <w:rFonts w:hint="eastAsia"/>
          <w:lang w:val="en-US" w:eastAsia="zh-CN"/>
        </w:rPr>
        <w:t>浸润线</w:t>
      </w:r>
      <w:bookmarkEnd w:id="279"/>
      <w:r>
        <w:rPr>
          <w:rFonts w:hint="eastAsia"/>
          <w:lang w:val="en-US" w:eastAsia="zh-CN"/>
        </w:rPr>
        <w:t>监测数据，实时获取尾矿库运行状态数据和监测设备在线情况。</w:t>
      </w:r>
    </w:p>
    <w:p w14:paraId="776057A6">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可以按照全省、地市、区县和尾矿库企业各层级展示接入传感器数量、在线设备数量、在线率、离线率。</w:t>
      </w:r>
    </w:p>
    <w:p w14:paraId="1DCB3D20">
      <w:pPr>
        <w:pStyle w:val="39"/>
        <w:pageBreakBefore w:val="0"/>
        <w:kinsoku/>
        <w:wordWrap/>
        <w:overflowPunct/>
        <w:topLinePunct w:val="0"/>
        <w:autoSpaceDE/>
        <w:autoSpaceDN/>
        <w:bidi w:val="0"/>
        <w:adjustRightInd w:val="0"/>
        <w:snapToGrid w:val="0"/>
        <w:spacing w:line="360" w:lineRule="auto"/>
        <w:ind w:left="0"/>
        <w:textAlignment w:val="auto"/>
        <w:rPr>
          <w:rFonts w:hint="eastAsia"/>
        </w:rPr>
      </w:pPr>
      <w:r>
        <w:rPr>
          <w:rFonts w:hint="eastAsia"/>
          <w:lang w:val="en-US" w:eastAsia="zh-CN"/>
        </w:rPr>
        <w:t>可以查看尾矿库浸润线实时数据和历史数据，按照表格、趋势图的方式展示，图上也可以展示预警</w:t>
      </w:r>
      <w:bookmarkEnd w:id="278"/>
      <w:r>
        <w:rPr>
          <w:rFonts w:hint="eastAsia"/>
          <w:lang w:val="en-US" w:eastAsia="zh-CN"/>
        </w:rPr>
        <w:t>信息。</w:t>
      </w:r>
    </w:p>
    <w:p w14:paraId="7BF1F49C">
      <w:pPr>
        <w:pStyle w:val="10"/>
        <w:keepNext/>
        <w:keepLines/>
        <w:pageBreakBefore w:val="0"/>
        <w:widowControl w:val="0"/>
        <w:numPr>
          <w:ilvl w:val="0"/>
          <w:numId w:val="53"/>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尾矿库降水量在线监测</w:t>
      </w:r>
    </w:p>
    <w:p w14:paraId="45D944B8">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接入气象局区域降雨量信息监测数据。</w:t>
      </w:r>
    </w:p>
    <w:p w14:paraId="2C55765C">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可以查看某区域降雨量1/2/6/12/24H，以及未来降雨量预测数据，可以结合地理信息展示分布情况。</w:t>
      </w:r>
    </w:p>
    <w:p w14:paraId="07D24715">
      <w:pPr>
        <w:pStyle w:val="39"/>
        <w:pageBreakBefore w:val="0"/>
        <w:kinsoku/>
        <w:wordWrap/>
        <w:overflowPunct/>
        <w:topLinePunct w:val="0"/>
        <w:autoSpaceDE/>
        <w:autoSpaceDN/>
        <w:bidi w:val="0"/>
        <w:adjustRightInd w:val="0"/>
        <w:snapToGrid w:val="0"/>
        <w:spacing w:line="360" w:lineRule="auto"/>
        <w:ind w:left="0"/>
        <w:textAlignment w:val="auto"/>
        <w:rPr>
          <w:rFonts w:hint="eastAsia"/>
        </w:rPr>
      </w:pPr>
      <w:r>
        <w:rPr>
          <w:rFonts w:hint="eastAsia"/>
          <w:lang w:val="en-US" w:eastAsia="zh-CN"/>
        </w:rPr>
        <w:t>可以实时查看尾矿库最近1/2/6/12/24H的降雨量监测数据，按照表格、趋势图的方式展示，图上也可以展示预警信息。</w:t>
      </w:r>
    </w:p>
    <w:p w14:paraId="14A749DF">
      <w:pPr>
        <w:pStyle w:val="36"/>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5"/>
        <w:rPr>
          <w:rFonts w:hint="eastAsia"/>
          <w:b/>
          <w:bCs w:val="0"/>
          <w:lang w:val="en-US" w:eastAsia="zh-CN"/>
        </w:rPr>
      </w:pPr>
      <w:r>
        <w:rPr>
          <w:rFonts w:hint="eastAsia"/>
          <w:b/>
          <w:bCs w:val="0"/>
          <w:lang w:val="en-US" w:eastAsia="zh-CN"/>
        </w:rPr>
        <w:t>风险研判</w:t>
      </w:r>
      <w:bookmarkEnd w:id="243"/>
      <w:bookmarkEnd w:id="244"/>
      <w:bookmarkEnd w:id="245"/>
      <w:bookmarkEnd w:id="246"/>
      <w:bookmarkEnd w:id="247"/>
      <w:bookmarkEnd w:id="248"/>
      <w:bookmarkEnd w:id="249"/>
      <w:r>
        <w:rPr>
          <w:rFonts w:hint="eastAsia"/>
          <w:b/>
          <w:bCs w:val="0"/>
          <w:lang w:val="en-US" w:eastAsia="zh-CN"/>
        </w:rPr>
        <w:t>一张图</w:t>
      </w:r>
    </w:p>
    <w:p w14:paraId="15363BEE">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AI技术通过多模态数据融合与智能分析，深度赋能矿山风险研判，实现从“数据感知”到“风险认知”的跨越式升级、矿山风险“智能感知-精准定级”。</w:t>
      </w:r>
    </w:p>
    <w:p w14:paraId="2664E5C7">
      <w:pPr>
        <w:pStyle w:val="47"/>
        <w:pageBreakBefore w:val="0"/>
        <w:numPr>
          <w:ilvl w:val="0"/>
          <w:numId w:val="54"/>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bookmarkStart w:id="280" w:name="_Toc42784130"/>
      <w:bookmarkStart w:id="281" w:name="_Toc42728719"/>
      <w:bookmarkStart w:id="282" w:name="_Toc42729447"/>
      <w:bookmarkStart w:id="283" w:name="_Toc42686314"/>
      <w:bookmarkStart w:id="284" w:name="_Toc42956579"/>
      <w:bookmarkStart w:id="285" w:name="_Toc42812289"/>
      <w:bookmarkStart w:id="286" w:name="_Toc43305950"/>
      <w:r>
        <w:rPr>
          <w:rFonts w:hint="eastAsia"/>
          <w:b/>
          <w:bCs/>
          <w:u w:val="single"/>
          <w:lang w:val="en-US" w:eastAsia="zh-CN"/>
        </w:rPr>
        <w:t>风险态势研判</w:t>
      </w:r>
    </w:p>
    <w:p w14:paraId="7BBB4837">
      <w:pPr>
        <w:pStyle w:val="10"/>
        <w:keepNext/>
        <w:keepLines/>
        <w:pageBreakBefore w:val="0"/>
        <w:widowControl w:val="0"/>
        <w:numPr>
          <w:ilvl w:val="0"/>
          <w:numId w:val="55"/>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风险态势研判算法</w:t>
      </w:r>
    </w:p>
    <w:p w14:paraId="11D11D41">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对矿山的基础数据、隐患数量、隐患闭环处置情况以及上传的线下执法检查情况等信息进行收集计算，构建矿山企业、区域安全生产风险评估算法和模型，量化监测指挥及其变化情况，绘制“红、橙、黄、蓝”四色等安全风险空间分布图，实现矿山企业、区域安全生产风险综合评估。</w:t>
      </w:r>
    </w:p>
    <w:p w14:paraId="55F68ECB">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rPr>
        <w:t>各</w:t>
      </w:r>
      <w:r>
        <w:rPr>
          <w:rFonts w:hint="eastAsia"/>
          <w:lang w:val="en-US" w:eastAsia="zh-CN"/>
        </w:rPr>
        <w:t>类</w:t>
      </w:r>
      <w:r>
        <w:rPr>
          <w:rFonts w:hint="eastAsia"/>
        </w:rPr>
        <w:t>传感、视频和定位设备应在/实在的在线率计算模型，对辖区下的矿企</w:t>
      </w:r>
      <w:r>
        <w:rPr>
          <w:rFonts w:hint="eastAsia"/>
          <w:lang w:val="en-US" w:eastAsia="zh-CN"/>
        </w:rPr>
        <w:t>设备</w:t>
      </w:r>
      <w:r>
        <w:rPr>
          <w:rFonts w:hint="eastAsia"/>
        </w:rPr>
        <w:t>进行在线情况统计，</w:t>
      </w:r>
      <w:r>
        <w:rPr>
          <w:rFonts w:hint="eastAsia"/>
          <w:lang w:val="en-US" w:eastAsia="zh-CN"/>
        </w:rPr>
        <w:t>统计分析</w:t>
      </w:r>
      <w:r>
        <w:rPr>
          <w:rFonts w:hint="eastAsia"/>
        </w:rPr>
        <w:t>各个区域下的在线数量、在线率数据</w:t>
      </w:r>
      <w:r>
        <w:rPr>
          <w:rFonts w:hint="eastAsia"/>
          <w:lang w:eastAsia="zh-CN"/>
        </w:rPr>
        <w:t>、</w:t>
      </w:r>
      <w:r>
        <w:rPr>
          <w:rFonts w:hint="eastAsia"/>
          <w:lang w:val="en-US" w:eastAsia="zh-CN"/>
        </w:rPr>
        <w:t>预警处置闭环等情况</w:t>
      </w:r>
      <w:r>
        <w:rPr>
          <w:rFonts w:hint="eastAsia"/>
        </w:rPr>
        <w:t>，并生成</w:t>
      </w:r>
      <w:r>
        <w:rPr>
          <w:rFonts w:hint="eastAsia"/>
          <w:lang w:val="en-US" w:eastAsia="zh-CN"/>
        </w:rPr>
        <w:t>区域、</w:t>
      </w:r>
      <w:r>
        <w:rPr>
          <w:rFonts w:hint="eastAsia"/>
        </w:rPr>
        <w:t>矿企</w:t>
      </w:r>
      <w:r>
        <w:rPr>
          <w:rFonts w:hint="eastAsia"/>
          <w:lang w:val="en-US" w:eastAsia="zh-CN"/>
        </w:rPr>
        <w:t>等多维度</w:t>
      </w:r>
      <w:r>
        <w:rPr>
          <w:rFonts w:hint="eastAsia"/>
        </w:rPr>
        <w:t>分析报告，支持按照区域、矿山类型、矿山规模等多种维度查询，针对在线率较低的企业进行监管督促</w:t>
      </w:r>
      <w:r>
        <w:rPr>
          <w:rFonts w:hint="eastAsia"/>
          <w:lang w:eastAsia="zh-CN"/>
        </w:rPr>
        <w:t>。</w:t>
      </w:r>
    </w:p>
    <w:p w14:paraId="5EA53261">
      <w:pPr>
        <w:pStyle w:val="10"/>
        <w:keepNext/>
        <w:keepLines/>
        <w:pageBreakBefore w:val="0"/>
        <w:widowControl w:val="0"/>
        <w:numPr>
          <w:ilvl w:val="0"/>
          <w:numId w:val="55"/>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风险态势一张图</w:t>
      </w:r>
    </w:p>
    <w:p w14:paraId="7F3AF7A2">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通过可视化大屏，一屏展示全省监管矿山的行政区域和企业风险等级、风险类型、预警频率、预警处置情况等数据统计分析结果。</w:t>
      </w:r>
    </w:p>
    <w:p w14:paraId="04F6088A">
      <w:pPr>
        <w:pStyle w:val="47"/>
        <w:pageBreakBefore w:val="0"/>
        <w:numPr>
          <w:ilvl w:val="0"/>
          <w:numId w:val="54"/>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风险</w:t>
      </w:r>
      <w:bookmarkEnd w:id="280"/>
      <w:bookmarkEnd w:id="281"/>
      <w:bookmarkEnd w:id="282"/>
      <w:bookmarkEnd w:id="283"/>
      <w:bookmarkEnd w:id="284"/>
      <w:bookmarkEnd w:id="285"/>
      <w:bookmarkEnd w:id="286"/>
      <w:r>
        <w:rPr>
          <w:rFonts w:hint="eastAsia"/>
          <w:b/>
          <w:bCs/>
          <w:u w:val="single"/>
          <w:lang w:val="en-US" w:eastAsia="zh-CN"/>
        </w:rPr>
        <w:t>隐患研判</w:t>
      </w:r>
    </w:p>
    <w:p w14:paraId="26155A41">
      <w:pPr>
        <w:pStyle w:val="10"/>
        <w:keepNext/>
        <w:keepLines/>
        <w:pageBreakBefore w:val="0"/>
        <w:widowControl w:val="0"/>
        <w:numPr>
          <w:ilvl w:val="0"/>
          <w:numId w:val="56"/>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视频数据研判</w:t>
      </w:r>
    </w:p>
    <w:p w14:paraId="32209CAA">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基于视频汇聚及算法平台支撑，利用视觉技术与视频智能分析算法对矿山视频监控数据进行实时解析，识别人员、设备、环境等要素的异常行为与风险，实现矿山安全风险的精准识别。</w:t>
      </w:r>
    </w:p>
    <w:p w14:paraId="1F906A3D">
      <w:pPr>
        <w:pStyle w:val="10"/>
        <w:keepNext/>
        <w:keepLines/>
        <w:pageBreakBefore w:val="0"/>
        <w:widowControl w:val="0"/>
        <w:numPr>
          <w:ilvl w:val="0"/>
          <w:numId w:val="56"/>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传感器数据研判</w:t>
      </w:r>
    </w:p>
    <w:p w14:paraId="527BAFC8">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整合矿山各类传感器（位移、气体、振动、水文）数据，通过时序分析与传感器预警监测模型，实时预警设备故障与环境参数超标风险。</w:t>
      </w:r>
    </w:p>
    <w:p w14:paraId="153F45ED">
      <w:pPr>
        <w:pStyle w:val="10"/>
        <w:keepNext/>
        <w:keepLines/>
        <w:pageBreakBefore w:val="0"/>
        <w:widowControl w:val="0"/>
        <w:numPr>
          <w:ilvl w:val="0"/>
          <w:numId w:val="56"/>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管理因素研判</w:t>
      </w:r>
    </w:p>
    <w:p w14:paraId="1FC792E9">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基于企业安全管理台账、人员资质、制度执行等结构化数据进行巡检，发现企业安全生产隐患信息，如证书过期、设施设备未及时巡检、图纸缺失、连续3日未提交承诺，地下矿山中通过自然资源厅矿山储量报告与矿山设计年产量进行对比，系统将自动识别出地下矿山年产量是否超出矿山设计年产量20%。实现管理因素系统自动化研判与监管。</w:t>
      </w:r>
    </w:p>
    <w:p w14:paraId="58179E54">
      <w:pPr>
        <w:pStyle w:val="10"/>
        <w:keepNext/>
        <w:keepLines/>
        <w:pageBreakBefore w:val="0"/>
        <w:widowControl w:val="0"/>
        <w:numPr>
          <w:ilvl w:val="0"/>
          <w:numId w:val="56"/>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第三方数据研判</w:t>
      </w:r>
    </w:p>
    <w:p w14:paraId="3D9E4041">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对接气象、自然资源等外部门系统，实现对极端天气、地质灾害、安全平台宽度不足等因素风险源的超前感知。</w:t>
      </w:r>
    </w:p>
    <w:p w14:paraId="2655610D">
      <w:pPr>
        <w:pStyle w:val="10"/>
        <w:keepNext/>
        <w:keepLines/>
        <w:pageBreakBefore w:val="0"/>
        <w:widowControl w:val="0"/>
        <w:numPr>
          <w:ilvl w:val="0"/>
          <w:numId w:val="56"/>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预警处置情况研判</w:t>
      </w:r>
    </w:p>
    <w:p w14:paraId="6ED3A4CA">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超期与反复问题处理：对于超期未完成整改或隐患反复出现的重大事故隐患，系统将其视为严重问题。除了增加提醒频率和发送书面警告外，系统自动将相关信息推送至监管部门，监管部门</w:t>
      </w:r>
      <w:r>
        <w:rPr>
          <w:rFonts w:hint="eastAsia"/>
          <w:lang w:val="en-US" w:eastAsia="zh-CN"/>
        </w:rPr>
        <w:t>可</w:t>
      </w:r>
      <w:r>
        <w:rPr>
          <w:rFonts w:hint="default"/>
          <w:lang w:val="en-US" w:eastAsia="zh-CN"/>
        </w:rPr>
        <w:t>根据情况进行立案调查，依法对企业采取相应的处罚措施，并监督企业完成整改。</w:t>
      </w:r>
    </w:p>
    <w:p w14:paraId="564CE209">
      <w:pPr>
        <w:pStyle w:val="10"/>
        <w:keepNext/>
        <w:keepLines/>
        <w:pageBreakBefore w:val="0"/>
        <w:widowControl w:val="0"/>
        <w:numPr>
          <w:ilvl w:val="0"/>
          <w:numId w:val="56"/>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风险隐患分级分类</w:t>
      </w:r>
    </w:p>
    <w:p w14:paraId="66F761D7">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结合大数据、人工智能、</w:t>
      </w:r>
      <w:r>
        <w:rPr>
          <w:rFonts w:hint="default"/>
          <w:lang w:val="en-US" w:eastAsia="zh-CN"/>
        </w:rPr>
        <w:t>算法模型</w:t>
      </w:r>
      <w:r>
        <w:rPr>
          <w:rFonts w:hint="eastAsia"/>
          <w:lang w:val="en-US" w:eastAsia="zh-CN"/>
        </w:rPr>
        <w:t>等技术</w:t>
      </w:r>
      <w:r>
        <w:rPr>
          <w:rFonts w:hint="default"/>
          <w:lang w:val="en-US" w:eastAsia="zh-CN"/>
        </w:rPr>
        <w:t>对</w:t>
      </w:r>
      <w:r>
        <w:rPr>
          <w:rFonts w:hint="eastAsia"/>
          <w:lang w:val="en-US" w:eastAsia="zh-CN"/>
        </w:rPr>
        <w:t>视频、传感器监测风险结果、管理因素</w:t>
      </w:r>
      <w:r>
        <w:rPr>
          <w:rFonts w:hint="default"/>
          <w:lang w:val="en-US" w:eastAsia="zh-CN"/>
        </w:rPr>
        <w:t>监测</w:t>
      </w:r>
      <w:r>
        <w:rPr>
          <w:rFonts w:hint="eastAsia"/>
          <w:lang w:val="en-US" w:eastAsia="zh-CN"/>
        </w:rPr>
        <w:t>风险和第三方</w:t>
      </w:r>
      <w:r>
        <w:rPr>
          <w:rFonts w:hint="default"/>
          <w:lang w:val="en-US" w:eastAsia="zh-CN"/>
        </w:rPr>
        <w:t>数据进行</w:t>
      </w:r>
      <w:r>
        <w:rPr>
          <w:rFonts w:hint="eastAsia"/>
          <w:lang w:val="en-US" w:eastAsia="zh-CN"/>
        </w:rPr>
        <w:t>综合</w:t>
      </w:r>
      <w:r>
        <w:rPr>
          <w:rFonts w:hint="default"/>
          <w:lang w:val="en-US" w:eastAsia="zh-CN"/>
        </w:rPr>
        <w:t>分析，依据</w:t>
      </w:r>
      <w:r>
        <w:rPr>
          <w:rFonts w:hint="eastAsia"/>
          <w:lang w:val="en-US" w:eastAsia="zh-CN"/>
        </w:rPr>
        <w:t>国家以及省级发布的矿山管理标准规范隐患分类规则，</w:t>
      </w:r>
      <w:r>
        <w:rPr>
          <w:rFonts w:hint="default"/>
          <w:lang w:val="en-US" w:eastAsia="zh-CN"/>
        </w:rPr>
        <w:t>自动</w:t>
      </w:r>
      <w:r>
        <w:rPr>
          <w:rFonts w:hint="eastAsia"/>
          <w:lang w:val="en-US" w:eastAsia="zh-CN"/>
        </w:rPr>
        <w:t>将相关预警信息分为提醒信息和风险隐患（</w:t>
      </w:r>
      <w:r>
        <w:rPr>
          <w:rFonts w:hint="default"/>
          <w:lang w:val="en-US" w:eastAsia="zh-CN"/>
        </w:rPr>
        <w:t>一、二、三、四级</w:t>
      </w:r>
      <w:r>
        <w:rPr>
          <w:rFonts w:hint="eastAsia"/>
          <w:lang w:val="en-US" w:eastAsia="zh-CN"/>
        </w:rPr>
        <w:t>风险和一般、重大隐患）。</w:t>
      </w:r>
    </w:p>
    <w:p w14:paraId="4965CA34">
      <w:pPr>
        <w:pStyle w:val="36"/>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5"/>
        <w:rPr>
          <w:rFonts w:hint="eastAsia"/>
          <w:b/>
          <w:bCs w:val="0"/>
          <w:lang w:val="en-US" w:eastAsia="zh-CN"/>
        </w:rPr>
      </w:pPr>
      <w:r>
        <w:rPr>
          <w:rFonts w:hint="eastAsia"/>
          <w:b/>
          <w:bCs w:val="0"/>
          <w:lang w:val="en-US" w:eastAsia="zh-CN"/>
        </w:rPr>
        <w:t>预警处置</w:t>
      </w:r>
    </w:p>
    <w:p w14:paraId="7BF8A4D7">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default"/>
          <w:lang w:val="en-US" w:eastAsia="zh-CN"/>
        </w:rPr>
        <w:t>实现从“风险发现”到“处置闭环”的无人化智能监管，大幅提升</w:t>
      </w:r>
      <w:r>
        <w:rPr>
          <w:rFonts w:hint="eastAsia"/>
          <w:lang w:val="en-US" w:eastAsia="zh-CN"/>
        </w:rPr>
        <w:t>企业</w:t>
      </w:r>
      <w:r>
        <w:rPr>
          <w:rFonts w:hint="default"/>
          <w:lang w:val="en-US" w:eastAsia="zh-CN"/>
        </w:rPr>
        <w:t>安全管理的时效性与精准性。基于知识图谱与历史案例库，AI自动匹配风险类型与</w:t>
      </w:r>
      <w:r>
        <w:rPr>
          <w:rFonts w:hint="eastAsia"/>
          <w:lang w:val="en-US" w:eastAsia="zh-CN"/>
        </w:rPr>
        <w:t>提醒类和处置类隐患</w:t>
      </w:r>
      <w:r>
        <w:rPr>
          <w:rFonts w:hint="default"/>
          <w:lang w:val="en-US" w:eastAsia="zh-CN"/>
        </w:rPr>
        <w:t>标准处置规程</w:t>
      </w:r>
      <w:r>
        <w:rPr>
          <w:rFonts w:hint="eastAsia"/>
          <w:lang w:val="en-US" w:eastAsia="zh-CN"/>
        </w:rPr>
        <w:t>，并智能生成各种表单，使用监测预警智能体统一实现预警处置。</w:t>
      </w:r>
    </w:p>
    <w:p w14:paraId="6C4E6058">
      <w:pPr>
        <w:pStyle w:val="36"/>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5"/>
        <w:rPr>
          <w:rFonts w:hint="eastAsia"/>
          <w:b/>
          <w:bCs w:val="0"/>
          <w:lang w:val="en-US" w:eastAsia="zh-CN"/>
        </w:rPr>
      </w:pPr>
      <w:r>
        <w:rPr>
          <w:rFonts w:hint="eastAsia"/>
          <w:b/>
          <w:bCs w:val="0"/>
          <w:lang w:val="en-US" w:eastAsia="zh-CN"/>
        </w:rPr>
        <w:t>监管执法</w:t>
      </w:r>
    </w:p>
    <w:p w14:paraId="14274A17">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运用</w:t>
      </w:r>
      <w:r>
        <w:rPr>
          <w:rFonts w:hint="default"/>
          <w:lang w:val="en-US" w:eastAsia="zh-CN"/>
        </w:rPr>
        <w:t>AI</w:t>
      </w:r>
      <w:r>
        <w:rPr>
          <w:rFonts w:hint="eastAsia"/>
          <w:lang w:val="en-US" w:eastAsia="zh-CN"/>
        </w:rPr>
        <w:t>技术</w:t>
      </w:r>
      <w:r>
        <w:rPr>
          <w:rFonts w:hint="default"/>
          <w:lang w:val="en-US" w:eastAsia="zh-CN"/>
        </w:rPr>
        <w:t>驱动执法从“人工经验主导”升级为“数据规则驱动”，实现隐患识别零遗漏、文书生成零差错、处置闭环零延迟，推动矿山监管执法向智能化、标准化、透明化转型</w:t>
      </w:r>
      <w:r>
        <w:rPr>
          <w:rFonts w:hint="eastAsia"/>
          <w:lang w:val="en-US" w:eastAsia="zh-CN"/>
        </w:rPr>
        <w:t>。</w:t>
      </w:r>
    </w:p>
    <w:p w14:paraId="538267AC">
      <w:pPr>
        <w:pStyle w:val="47"/>
        <w:pageBreakBefore w:val="0"/>
        <w:numPr>
          <w:ilvl w:val="0"/>
          <w:numId w:val="57"/>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自动生成执法文书</w:t>
      </w:r>
    </w:p>
    <w:p w14:paraId="530A2566">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自动监测系统中</w:t>
      </w:r>
      <w:r>
        <w:rPr>
          <w:rFonts w:hint="default"/>
          <w:lang w:val="en-US" w:eastAsia="zh-CN"/>
        </w:rPr>
        <w:t>未处置闭环的隐患信息</w:t>
      </w:r>
      <w:r>
        <w:rPr>
          <w:rFonts w:hint="eastAsia"/>
          <w:lang w:val="en-US" w:eastAsia="zh-CN"/>
        </w:rPr>
        <w:t>，</w:t>
      </w:r>
      <w:r>
        <w:rPr>
          <w:rFonts w:hint="default"/>
          <w:lang w:val="en-US" w:eastAsia="zh-CN"/>
        </w:rPr>
        <w:t>将接收到的</w:t>
      </w:r>
      <w:r>
        <w:rPr>
          <w:rFonts w:hint="eastAsia"/>
          <w:lang w:val="en-US" w:eastAsia="zh-CN"/>
        </w:rPr>
        <w:t>疑似违法行为的</w:t>
      </w:r>
      <w:r>
        <w:rPr>
          <w:rFonts w:hint="default"/>
          <w:lang w:val="en-US" w:eastAsia="zh-CN"/>
        </w:rPr>
        <w:t>信息</w:t>
      </w:r>
      <w:r>
        <w:rPr>
          <w:rFonts w:hint="eastAsia"/>
          <w:lang w:val="en-US" w:eastAsia="zh-CN"/>
        </w:rPr>
        <w:t>（</w:t>
      </w:r>
      <w:r>
        <w:rPr>
          <w:rFonts w:hint="default"/>
          <w:lang w:val="en-US" w:eastAsia="zh-CN"/>
        </w:rPr>
        <w:t>隐患情况、判定依据、涉及矿山企业等关键内容</w:t>
      </w:r>
      <w:r>
        <w:rPr>
          <w:rFonts w:hint="eastAsia"/>
          <w:lang w:val="en-US" w:eastAsia="zh-CN"/>
        </w:rPr>
        <w:t>）</w:t>
      </w:r>
      <w:r>
        <w:rPr>
          <w:rFonts w:hint="default"/>
          <w:lang w:val="en-US" w:eastAsia="zh-CN"/>
        </w:rPr>
        <w:t>推送至当地</w:t>
      </w:r>
      <w:r>
        <w:rPr>
          <w:rFonts w:hint="eastAsia"/>
          <w:lang w:val="en-US" w:eastAsia="zh-CN"/>
        </w:rPr>
        <w:t>县级</w:t>
      </w:r>
      <w:r>
        <w:rPr>
          <w:rFonts w:hint="default"/>
          <w:lang w:val="en-US" w:eastAsia="zh-CN"/>
        </w:rPr>
        <w:t>监管部门，</w:t>
      </w:r>
      <w:r>
        <w:rPr>
          <w:rFonts w:hint="eastAsia"/>
          <w:lang w:val="en-US" w:eastAsia="zh-CN"/>
        </w:rPr>
        <w:t>将疑似违法行为的信息自动生成执法文书，</w:t>
      </w:r>
      <w:r>
        <w:rPr>
          <w:rFonts w:hint="default"/>
          <w:lang w:val="en-US" w:eastAsia="zh-CN"/>
        </w:rPr>
        <w:t>由监管部门依据相关法规和实际情况，判断该隐患风险是否达到立案标准</w:t>
      </w:r>
      <w:r>
        <w:rPr>
          <w:rFonts w:hint="eastAsia"/>
          <w:lang w:val="en-US" w:eastAsia="zh-CN"/>
        </w:rPr>
        <w:t>。</w:t>
      </w:r>
    </w:p>
    <w:p w14:paraId="7603E754">
      <w:pPr>
        <w:pStyle w:val="47"/>
        <w:pageBreakBefore w:val="0"/>
        <w:numPr>
          <w:ilvl w:val="0"/>
          <w:numId w:val="57"/>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获取执法处置结果</w:t>
      </w:r>
    </w:p>
    <w:p w14:paraId="47CF9635">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获取</w:t>
      </w:r>
      <w:r>
        <w:rPr>
          <w:rFonts w:hint="default"/>
          <w:lang w:val="en-US" w:eastAsia="zh-CN"/>
        </w:rPr>
        <w:t>大综合一体化系统</w:t>
      </w:r>
      <w:r>
        <w:rPr>
          <w:rFonts w:hint="eastAsia"/>
          <w:lang w:val="en-US" w:eastAsia="zh-CN"/>
        </w:rPr>
        <w:t>的执法处置结果，</w:t>
      </w:r>
      <w:r>
        <w:rPr>
          <w:rFonts w:hint="default"/>
          <w:lang w:val="en-US" w:eastAsia="zh-CN"/>
        </w:rPr>
        <w:t>包括立案执法结果和不立案督办结果。</w:t>
      </w:r>
    </w:p>
    <w:p w14:paraId="1E5D9533">
      <w:pPr>
        <w:pStyle w:val="37"/>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lang w:val="en-US" w:eastAsia="zh-CN"/>
        </w:rPr>
      </w:pPr>
      <w:bookmarkStart w:id="287" w:name="_Toc1182813891"/>
      <w:r>
        <w:rPr>
          <w:rFonts w:hint="eastAsia"/>
          <w:lang w:val="en-US" w:eastAsia="zh-CN"/>
        </w:rPr>
        <w:t>采掘施工专题子系统</w:t>
      </w:r>
      <w:bookmarkEnd w:id="287"/>
    </w:p>
    <w:p w14:paraId="5E074596">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基于大数据、知识图谱、人工智能等技术，实现对省内外采掘施工企业及其项目部全面、动态的监管，通过信息化、智能化手段保障矿山施工安全。</w:t>
      </w:r>
    </w:p>
    <w:p w14:paraId="03775CF1">
      <w:pPr>
        <w:pStyle w:val="36"/>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5"/>
        <w:rPr>
          <w:rFonts w:hint="eastAsia"/>
          <w:b/>
          <w:bCs w:val="0"/>
          <w:lang w:val="en-US" w:eastAsia="zh-CN"/>
        </w:rPr>
      </w:pPr>
      <w:r>
        <w:rPr>
          <w:rFonts w:hint="eastAsia"/>
          <w:b/>
          <w:bCs w:val="0"/>
          <w:lang w:val="en-US" w:eastAsia="zh-CN"/>
        </w:rPr>
        <w:t>监测一张图</w:t>
      </w:r>
    </w:p>
    <w:p w14:paraId="13E1103B">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基于AI技术构建全省矿山智能监管中枢，通过“一屏总览+智能分析”模式，实现企业安全态势的实时感知。AI技术与可视化大屏的结合，结合GIS技术一屏展示全国采掘施工企业的总览信息，如企业总部信息、项目部信息、报警数量、报警处置情况，并分类展示。</w:t>
      </w:r>
    </w:p>
    <w:p w14:paraId="096EC2CD">
      <w:pPr>
        <w:pStyle w:val="47"/>
        <w:pageBreakBefore w:val="0"/>
        <w:numPr>
          <w:ilvl w:val="0"/>
          <w:numId w:val="58"/>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企业总部信息管理</w:t>
      </w:r>
    </w:p>
    <w:p w14:paraId="63D9753E">
      <w:pPr>
        <w:pStyle w:val="10"/>
        <w:keepNext/>
        <w:keepLines/>
        <w:pageBreakBefore w:val="0"/>
        <w:widowControl w:val="0"/>
        <w:numPr>
          <w:ilvl w:val="0"/>
          <w:numId w:val="59"/>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企业资质</w:t>
      </w:r>
    </w:p>
    <w:p w14:paraId="26D3C3A7">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证书（证照）信息录入</w:t>
      </w:r>
      <w:r>
        <w:rPr>
          <w:rFonts w:hint="default"/>
          <w:lang w:val="en-US" w:eastAsia="zh-CN"/>
        </w:rPr>
        <w:t>：</w:t>
      </w:r>
      <w:r>
        <w:rPr>
          <w:rFonts w:hint="eastAsia"/>
          <w:lang w:val="en-US" w:eastAsia="zh-CN"/>
        </w:rPr>
        <w:t>提供专门的数据录入界面，支持多种文件格式上传资质证书扫描件，如 PDF、JPEG等，确保资质证书信息的完整性和准确性。</w:t>
      </w:r>
    </w:p>
    <w:p w14:paraId="5DF73FA8">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对于《安全生产许可证》，除了记录核定项目部数量、采掘作业类型（露天矿、地下矿）外，还需录入发证机关、发证日期、有效期起止时间等详细信息。</w:t>
      </w:r>
    </w:p>
    <w:p w14:paraId="71C4C0C1">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针对建筑企业资质证书，明确录入特级、一、二、三级资质的具体类别（如房屋建筑工程、矿山工程等），以及资质证书编号、有效期等内容。</w:t>
      </w:r>
    </w:p>
    <w:p w14:paraId="3A2FA5C2">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对于营业执照，录入统一社会信用代码、注册地址、经营范围、成立日期、营业期限等关键信息。</w:t>
      </w:r>
    </w:p>
    <w:p w14:paraId="4EE0019F">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对于其他行业资质证书，根据证书类型，设置相应的必填字段，如证书名称、证书编号、颁发机构、有效期等。</w:t>
      </w:r>
    </w:p>
    <w:p w14:paraId="1034958F">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上传后的文件资料应均可在线预览，不用下载即可查看。</w:t>
      </w:r>
    </w:p>
    <w:p w14:paraId="57A71392">
      <w:pPr>
        <w:pStyle w:val="10"/>
        <w:keepNext/>
        <w:keepLines/>
        <w:pageBreakBefore w:val="0"/>
        <w:widowControl w:val="0"/>
        <w:numPr>
          <w:ilvl w:val="0"/>
          <w:numId w:val="59"/>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企业人员信息管理</w:t>
      </w:r>
    </w:p>
    <w:p w14:paraId="3630460A">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企业总人数填报，企业总部人员分类统计:为每种人员类型设计独立的信息录入页面，确保各类人员信息的完整性和准确性。</w:t>
      </w:r>
    </w:p>
    <w:p w14:paraId="55055E31">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动态统计主要负责人、分管安全负责人、专职安全管理人员、工程技术人员和特种作业人员姓名、联系电话、身份证号、学历证书或资质证书、职务、安全考核合格证（有效期）等信息。</w:t>
      </w:r>
    </w:p>
    <w:p w14:paraId="5C2CC9E7">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注册安全工程师，除上述基本信息外，详细录入注册编号、注册企业信息、注册有效期、所学专业、从事安全工作年限等信息。</w:t>
      </w:r>
    </w:p>
    <w:p w14:paraId="67529C0E">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其他安全管理人员，若有学历证书或资质证书，详细录入证书名称、颁发机构、颁发日期、有效期等信息；若选填安全考核合格证，同样录入有效期等详细信息。</w:t>
      </w:r>
    </w:p>
    <w:p w14:paraId="1DAA8369">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工伤保险单信息，上传保险单扫描件，并录入保险单号、投保日期、保险期限、参保人员清单（明确总部及项目部主要负责人、安全管理人员、工程技术人员以及特种作业人员的投保情况）、保险金额等信息。</w:t>
      </w:r>
    </w:p>
    <w:p w14:paraId="62C84AE5">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统计面板支持点击数字跳转至人员详情页（含姓名、证书、职务、联系方式）</w:t>
      </w:r>
    </w:p>
    <w:p w14:paraId="64D405C3">
      <w:pPr>
        <w:pStyle w:val="10"/>
        <w:keepNext/>
        <w:keepLines/>
        <w:pageBreakBefore w:val="0"/>
        <w:widowControl w:val="0"/>
        <w:numPr>
          <w:ilvl w:val="0"/>
          <w:numId w:val="59"/>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安全生产管理机构管理</w:t>
      </w:r>
    </w:p>
    <w:p w14:paraId="202B8DF6">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确定企业是否设置安全生产管理机构（从业人员 50 人以上应当设置），并上传组织机构架构、任命文件，确保企业安全管理组织健全。</w:t>
      </w:r>
    </w:p>
    <w:p w14:paraId="1897D1B8">
      <w:pPr>
        <w:pStyle w:val="10"/>
        <w:keepNext/>
        <w:keepLines/>
        <w:pageBreakBefore w:val="0"/>
        <w:widowControl w:val="0"/>
        <w:numPr>
          <w:ilvl w:val="0"/>
          <w:numId w:val="59"/>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企业注册地址管理</w:t>
      </w:r>
    </w:p>
    <w:p w14:paraId="714F11F4">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在地图上精确展示企业注册地址的经纬度坐标，方便监管部门定位和管理。</w:t>
      </w:r>
    </w:p>
    <w:p w14:paraId="1ADA3056">
      <w:pPr>
        <w:pStyle w:val="10"/>
        <w:keepNext/>
        <w:keepLines/>
        <w:pageBreakBefore w:val="0"/>
        <w:widowControl w:val="0"/>
        <w:numPr>
          <w:ilvl w:val="0"/>
          <w:numId w:val="59"/>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项目部数量统计与展示</w:t>
      </w:r>
    </w:p>
    <w:p w14:paraId="78A085CD">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统计现有项目部总数量，并区分筹建、在建、暂时停产、长期停产停业等状态，同时系统自动呈现历史项目部数量（合同解除、已完工），直观反映企业项目动态。</w:t>
      </w:r>
    </w:p>
    <w:p w14:paraId="412435E6">
      <w:pPr>
        <w:pStyle w:val="10"/>
        <w:keepNext/>
        <w:keepLines/>
        <w:pageBreakBefore w:val="0"/>
        <w:widowControl w:val="0"/>
        <w:numPr>
          <w:ilvl w:val="0"/>
          <w:numId w:val="59"/>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安全管理制度与台账管理</w:t>
      </w:r>
    </w:p>
    <w:p w14:paraId="26171EDA">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上传企业的安全管理制度、安全生产责任制、安全操作规程，以及总部对项目部的安全检查记录（每半年至少一次上传）和安全教育培训考核记录（每年至少一次上传）。</w:t>
      </w:r>
    </w:p>
    <w:p w14:paraId="0303A6FC">
      <w:pPr>
        <w:pStyle w:val="10"/>
        <w:keepNext/>
        <w:keepLines/>
        <w:pageBreakBefore w:val="0"/>
        <w:widowControl w:val="0"/>
        <w:numPr>
          <w:ilvl w:val="0"/>
          <w:numId w:val="59"/>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项目部人员工作经历展示</w:t>
      </w:r>
    </w:p>
    <w:p w14:paraId="44888169">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展示项目部人员工作经历，并记录是否定期更新及更新时间。</w:t>
      </w:r>
    </w:p>
    <w:p w14:paraId="539C4479">
      <w:pPr>
        <w:pStyle w:val="47"/>
        <w:pageBreakBefore w:val="0"/>
        <w:numPr>
          <w:ilvl w:val="0"/>
          <w:numId w:val="58"/>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项目管理模块</w:t>
      </w:r>
    </w:p>
    <w:p w14:paraId="3870DD05">
      <w:pPr>
        <w:pStyle w:val="10"/>
        <w:keepNext/>
        <w:keepLines/>
        <w:pageBreakBefore w:val="0"/>
        <w:widowControl w:val="0"/>
        <w:numPr>
          <w:ilvl w:val="0"/>
          <w:numId w:val="60"/>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基本情况管理</w:t>
      </w:r>
    </w:p>
    <w:p w14:paraId="06D26940">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录入项目部详细信息，包括项目部名称、项目名称、业主单位、工程地址（精确到省市县及经纬度坐标）、工程类型（露天矿/井下矿/尾矿库等）、运行情况（筹建、在建、暂时停产等多种状态）、工程合同时间（起止日期）、承包方式（总包、分包）、安全管理协议（有效期）、项目部备案或告知信息（关联附件及备案状态）、矿山类型（大中小）、设计年开采量、矿种、是否省外项目、项目部从业总人数，并上传项目部成立及人员任命文件，全面掌握项目部基础信息。</w:t>
      </w:r>
    </w:p>
    <w:p w14:paraId="159DC6BA">
      <w:pPr>
        <w:pStyle w:val="10"/>
        <w:keepNext/>
        <w:keepLines/>
        <w:pageBreakBefore w:val="0"/>
        <w:widowControl w:val="0"/>
        <w:numPr>
          <w:ilvl w:val="0"/>
          <w:numId w:val="60"/>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人员信息管理</w:t>
      </w:r>
    </w:p>
    <w:p w14:paraId="32FF8F26">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管理项目部各类人员信息，确保项目负责人和专职技术人员具备矿山相关专业中专及以上学历或者中级及以上技术职称，地下矿项目部配备采矿、地质、测量、机电等专业的专职技术人员（每个专业至少 1 人），并关联安全合格证、身份证、技术职称或学历证书。同时，管理专职安全员（关联安全合格证、身份证）、特种作业人员（必备人员按露天矿和地下矿分别配置），以及确保地下矿项目部至少有 1 名注册安全工程师或者具有 5 年以上井下工作经验的安全生产管理人员。</w:t>
      </w:r>
    </w:p>
    <w:p w14:paraId="7F246EF7">
      <w:pPr>
        <w:pStyle w:val="10"/>
        <w:keepNext/>
        <w:keepLines/>
        <w:pageBreakBefore w:val="0"/>
        <w:widowControl w:val="0"/>
        <w:numPr>
          <w:ilvl w:val="0"/>
          <w:numId w:val="60"/>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事故信息管理</w:t>
      </w:r>
    </w:p>
    <w:p w14:paraId="57E4E547">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提供事故信息录入功能，要求在事故发生7天内录入事故基本信息，包括事故发生单位、时间、地点、分类、伤亡人数、事故简要情况；在事故调查报告公布后上传报告。系统自动关联事故等级（一般事故、较大事故、重大事故、特别重大事故）、分类（20类预设选项）、原因（直接原因和间接原因）以及伤亡数据（死亡人数、重伤人数、责任人关联具体人员账号）。</w:t>
      </w:r>
    </w:p>
    <w:p w14:paraId="0D7AB4D7">
      <w:pPr>
        <w:pStyle w:val="47"/>
        <w:pageBreakBefore w:val="0"/>
        <w:numPr>
          <w:ilvl w:val="0"/>
          <w:numId w:val="58"/>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管理因素动态监测</w:t>
      </w:r>
    </w:p>
    <w:p w14:paraId="2149566E">
      <w:pPr>
        <w:pStyle w:val="10"/>
        <w:keepNext/>
        <w:keepLines/>
        <w:pageBreakBefore w:val="0"/>
        <w:widowControl w:val="0"/>
        <w:numPr>
          <w:ilvl w:val="0"/>
          <w:numId w:val="61"/>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协议与证书监测</w:t>
      </w:r>
    </w:p>
    <w:p w14:paraId="2273E9FE">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实时监测安全管理协议是否签订，以及安管人员、特种作业人员、主要负责人证书到期时间，同时监测安全生产许可证、爆破作业许可证、安全标准化证书到期时间，及时发现潜在风险。</w:t>
      </w:r>
    </w:p>
    <w:p w14:paraId="0DBA6704">
      <w:pPr>
        <w:pStyle w:val="10"/>
        <w:keepNext/>
        <w:keepLines/>
        <w:pageBreakBefore w:val="0"/>
        <w:widowControl w:val="0"/>
        <w:numPr>
          <w:ilvl w:val="0"/>
          <w:numId w:val="61"/>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人员与资质监测</w:t>
      </w:r>
    </w:p>
    <w:p w14:paraId="355CA15B">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检查地下矿项目部负责人专业背景是否符合要求，项目部技术人员配备是否合格（从专业、人数、学历等方面评估），以及地下矿项目部注册安全工程师或具有5年以上井下工作经验的安全生产管理人员配备是否合格，确保人员资质满足施工安全要求。</w:t>
      </w:r>
    </w:p>
    <w:p w14:paraId="4761CC3D">
      <w:pPr>
        <w:pStyle w:val="10"/>
        <w:keepNext/>
        <w:keepLines/>
        <w:pageBreakBefore w:val="0"/>
        <w:widowControl w:val="0"/>
        <w:numPr>
          <w:ilvl w:val="0"/>
          <w:numId w:val="61"/>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兼职与作业监测</w:t>
      </w:r>
    </w:p>
    <w:p w14:paraId="177EDFA6">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监测地下矿项目部人员（项目负责人、专职安管人员、工程技术人员）是否存在违规兼职情况，项目数量是否超过安全生产许可证核定数量，是否超许可范围作业（露天矿、地下矿）、是否超等级承包（资质等级与矿山类型是否匹配），防止违规作业。</w:t>
      </w:r>
    </w:p>
    <w:p w14:paraId="39A29B03">
      <w:pPr>
        <w:pStyle w:val="10"/>
        <w:keepNext/>
        <w:keepLines/>
        <w:pageBreakBefore w:val="0"/>
        <w:widowControl w:val="0"/>
        <w:numPr>
          <w:ilvl w:val="0"/>
          <w:numId w:val="61"/>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信息与监管监测</w:t>
      </w:r>
    </w:p>
    <w:p w14:paraId="1BD9CAF5">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监测项目部是否有漏报瞒报现象，检查项目信息是否及时更新，以及监测项目部数量和人员变化是否异常，同时判断同一项目部负责人是否在多个采掘施工企业出现。此外，监测项目部是否按要求进行安全检查（每半年至少一次）和安全教育培训考核（每年至少一次），全面掌握项目部运营情况。</w:t>
      </w:r>
    </w:p>
    <w:p w14:paraId="7B104376">
      <w:pPr>
        <w:pStyle w:val="36"/>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5"/>
        <w:rPr>
          <w:rFonts w:hint="eastAsia"/>
          <w:b/>
          <w:bCs w:val="0"/>
          <w:lang w:val="en-US" w:eastAsia="zh-CN"/>
        </w:rPr>
      </w:pPr>
      <w:r>
        <w:rPr>
          <w:rFonts w:hint="eastAsia"/>
          <w:b/>
          <w:bCs w:val="0"/>
          <w:lang w:val="en-US" w:eastAsia="zh-CN"/>
        </w:rPr>
        <w:t>风险研判一张图</w:t>
      </w:r>
    </w:p>
    <w:p w14:paraId="04AE95E1">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AI技术通过多模态数据融合与智能分析，深度赋能矿山风险研判，实现从“数据感知”到“风险认知”的跨越式升级、矿山风险“智能感知-精准定级”。</w:t>
      </w:r>
    </w:p>
    <w:p w14:paraId="7F6FA64D">
      <w:pPr>
        <w:pStyle w:val="47"/>
        <w:pageBreakBefore w:val="0"/>
        <w:numPr>
          <w:ilvl w:val="0"/>
          <w:numId w:val="62"/>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风险态势研判</w:t>
      </w:r>
    </w:p>
    <w:p w14:paraId="5F49DCF2">
      <w:pPr>
        <w:pStyle w:val="10"/>
        <w:keepNext/>
        <w:keepLines/>
        <w:pageBreakBefore w:val="0"/>
        <w:widowControl w:val="0"/>
        <w:numPr>
          <w:ilvl w:val="0"/>
          <w:numId w:val="63"/>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风险态势研判算法</w:t>
      </w:r>
    </w:p>
    <w:p w14:paraId="71FED1D6">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对企业的基础数据、隐患数量、隐患闭环处置情况以及上传的线下执法检查情况等信息进行收集计算，构建采掘施工企业、区域安全生产风险评估算法和模型，量化监测指挥及其变化情况，绘制“红、橙、黄、蓝”四色等安全风险空间分布图，实现企业、区域安全生产风险综合评估。</w:t>
      </w:r>
    </w:p>
    <w:p w14:paraId="3DDED462">
      <w:pPr>
        <w:pStyle w:val="10"/>
        <w:keepNext/>
        <w:keepLines/>
        <w:pageBreakBefore w:val="0"/>
        <w:widowControl w:val="0"/>
        <w:numPr>
          <w:ilvl w:val="0"/>
          <w:numId w:val="63"/>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风险态势一张图</w:t>
      </w:r>
    </w:p>
    <w:p w14:paraId="1E6ACA1A">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通过可视化大屏，一屏展示全国监管采掘施工的行政区域和企业风险等级、风险类型、预警频率、预警处置情况等数据统计分析结果。</w:t>
      </w:r>
    </w:p>
    <w:p w14:paraId="2DF24E94">
      <w:pPr>
        <w:pStyle w:val="47"/>
        <w:pageBreakBefore w:val="0"/>
        <w:numPr>
          <w:ilvl w:val="0"/>
          <w:numId w:val="62"/>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风险隐患研判</w:t>
      </w:r>
    </w:p>
    <w:p w14:paraId="6238A7D3">
      <w:pPr>
        <w:pStyle w:val="10"/>
        <w:keepNext/>
        <w:keepLines/>
        <w:pageBreakBefore w:val="0"/>
        <w:widowControl w:val="0"/>
        <w:numPr>
          <w:ilvl w:val="0"/>
          <w:numId w:val="64"/>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管理因素研判</w:t>
      </w:r>
    </w:p>
    <w:p w14:paraId="7BC952D2">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基于企业安全管理台账、人员资质、制度执行等结构化数据进行巡检，发现企业安全生产隐患信息，如证书过期、设施设备未及时巡检、图纸缺失等，实现管理因素系统自动化研判与监管。</w:t>
      </w:r>
    </w:p>
    <w:p w14:paraId="4E39F415">
      <w:pPr>
        <w:pStyle w:val="10"/>
        <w:keepNext/>
        <w:keepLines/>
        <w:pageBreakBefore w:val="0"/>
        <w:widowControl w:val="0"/>
        <w:numPr>
          <w:ilvl w:val="0"/>
          <w:numId w:val="64"/>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风险隐患分级分类</w:t>
      </w:r>
    </w:p>
    <w:p w14:paraId="31D6082F">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结合大数据、人工智能、</w:t>
      </w:r>
      <w:r>
        <w:rPr>
          <w:rFonts w:hint="default"/>
          <w:lang w:val="en-US" w:eastAsia="zh-CN"/>
        </w:rPr>
        <w:t>算法模型</w:t>
      </w:r>
      <w:r>
        <w:rPr>
          <w:rFonts w:hint="eastAsia"/>
          <w:lang w:val="en-US" w:eastAsia="zh-CN"/>
        </w:rPr>
        <w:t>等技术</w:t>
      </w:r>
      <w:r>
        <w:rPr>
          <w:rFonts w:hint="default"/>
          <w:lang w:val="en-US" w:eastAsia="zh-CN"/>
        </w:rPr>
        <w:t>对</w:t>
      </w:r>
      <w:r>
        <w:rPr>
          <w:rFonts w:hint="eastAsia"/>
          <w:lang w:val="en-US" w:eastAsia="zh-CN"/>
        </w:rPr>
        <w:t>管理因素</w:t>
      </w:r>
      <w:r>
        <w:rPr>
          <w:rFonts w:hint="default"/>
          <w:lang w:val="en-US" w:eastAsia="zh-CN"/>
        </w:rPr>
        <w:t>监测</w:t>
      </w:r>
      <w:r>
        <w:rPr>
          <w:rFonts w:hint="eastAsia"/>
          <w:lang w:val="en-US" w:eastAsia="zh-CN"/>
        </w:rPr>
        <w:t>风险和第三方</w:t>
      </w:r>
      <w:r>
        <w:rPr>
          <w:rFonts w:hint="default"/>
          <w:lang w:val="en-US" w:eastAsia="zh-CN"/>
        </w:rPr>
        <w:t>数据进行</w:t>
      </w:r>
      <w:r>
        <w:rPr>
          <w:rFonts w:hint="eastAsia"/>
          <w:lang w:val="en-US" w:eastAsia="zh-CN"/>
        </w:rPr>
        <w:t>综合</w:t>
      </w:r>
      <w:r>
        <w:rPr>
          <w:rFonts w:hint="default"/>
          <w:lang w:val="en-US" w:eastAsia="zh-CN"/>
        </w:rPr>
        <w:t>分析，</w:t>
      </w:r>
      <w:r>
        <w:rPr>
          <w:rFonts w:hint="eastAsia"/>
          <w:lang w:val="en-US" w:eastAsia="zh-CN"/>
        </w:rPr>
        <w:t>设置 隐患分类规则，</w:t>
      </w:r>
      <w:r>
        <w:rPr>
          <w:rFonts w:hint="default"/>
          <w:lang w:val="en-US" w:eastAsia="zh-CN"/>
        </w:rPr>
        <w:t>自动</w:t>
      </w:r>
      <w:r>
        <w:rPr>
          <w:rFonts w:hint="eastAsia"/>
          <w:lang w:val="en-US" w:eastAsia="zh-CN"/>
        </w:rPr>
        <w:t>将相关预警信息分为提醒信息和风险隐患（</w:t>
      </w:r>
      <w:r>
        <w:rPr>
          <w:rFonts w:hint="default"/>
          <w:lang w:val="en-US" w:eastAsia="zh-CN"/>
        </w:rPr>
        <w:t>一、二、三、四级</w:t>
      </w:r>
      <w:r>
        <w:rPr>
          <w:rFonts w:hint="eastAsia"/>
          <w:lang w:val="en-US" w:eastAsia="zh-CN"/>
        </w:rPr>
        <w:t>、一般隐患和重大隐患）。</w:t>
      </w:r>
    </w:p>
    <w:p w14:paraId="3BD8FE7F">
      <w:pPr>
        <w:pStyle w:val="36"/>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5"/>
        <w:rPr>
          <w:rFonts w:hint="eastAsia"/>
          <w:b/>
          <w:bCs w:val="0"/>
          <w:lang w:val="en-US" w:eastAsia="zh-CN"/>
        </w:rPr>
      </w:pPr>
      <w:r>
        <w:rPr>
          <w:rFonts w:hint="eastAsia"/>
          <w:b/>
          <w:bCs w:val="0"/>
          <w:lang w:val="en-US" w:eastAsia="zh-CN"/>
        </w:rPr>
        <w:t>预警处置</w:t>
      </w:r>
    </w:p>
    <w:p w14:paraId="3593E101">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实现从“风险发现”到“处置闭环”的无人化智能监管，大幅提升</w:t>
      </w:r>
      <w:r>
        <w:rPr>
          <w:rFonts w:hint="eastAsia"/>
          <w:lang w:val="en-US" w:eastAsia="zh-CN"/>
        </w:rPr>
        <w:t>企业</w:t>
      </w:r>
      <w:r>
        <w:rPr>
          <w:rFonts w:hint="default"/>
          <w:lang w:val="en-US" w:eastAsia="zh-CN"/>
        </w:rPr>
        <w:t>安全管理的时效性与精准性。基于知识图谱与历史案例库，AI自动匹配风险类型与</w:t>
      </w:r>
      <w:r>
        <w:rPr>
          <w:rFonts w:hint="eastAsia"/>
          <w:lang w:val="en-US" w:eastAsia="zh-CN"/>
        </w:rPr>
        <w:t>提醒类和处置类隐患</w:t>
      </w:r>
      <w:r>
        <w:rPr>
          <w:rFonts w:hint="default"/>
          <w:lang w:val="en-US" w:eastAsia="zh-CN"/>
        </w:rPr>
        <w:t>标准处置规程</w:t>
      </w:r>
      <w:r>
        <w:rPr>
          <w:rFonts w:hint="eastAsia"/>
          <w:lang w:val="en-US" w:eastAsia="zh-CN"/>
        </w:rPr>
        <w:t>，并智能生成各种表单，使用监测预警智能体统一实现预警处置。</w:t>
      </w:r>
    </w:p>
    <w:p w14:paraId="7F4519A9">
      <w:pPr>
        <w:pStyle w:val="36"/>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5"/>
        <w:rPr>
          <w:rFonts w:hint="eastAsia"/>
          <w:b/>
          <w:bCs w:val="0"/>
          <w:lang w:val="en-US" w:eastAsia="zh-CN"/>
        </w:rPr>
      </w:pPr>
      <w:r>
        <w:rPr>
          <w:rFonts w:hint="eastAsia"/>
          <w:b/>
          <w:bCs w:val="0"/>
          <w:lang w:val="en-US" w:eastAsia="zh-CN"/>
        </w:rPr>
        <w:t>监管执法</w:t>
      </w:r>
    </w:p>
    <w:p w14:paraId="7F744559">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运用</w:t>
      </w:r>
      <w:r>
        <w:rPr>
          <w:rFonts w:hint="default"/>
          <w:lang w:val="en-US" w:eastAsia="zh-CN"/>
        </w:rPr>
        <w:t>AI</w:t>
      </w:r>
      <w:r>
        <w:rPr>
          <w:rFonts w:hint="eastAsia"/>
          <w:lang w:val="en-US" w:eastAsia="zh-CN"/>
        </w:rPr>
        <w:t>技术</w:t>
      </w:r>
      <w:r>
        <w:rPr>
          <w:rFonts w:hint="default"/>
          <w:lang w:val="en-US" w:eastAsia="zh-CN"/>
        </w:rPr>
        <w:t>驱动执法从“人工经验主导”升级为“数据规则驱动”，实现隐患识别零遗漏、文书生成零差错、处置闭环零延迟，推动</w:t>
      </w:r>
      <w:r>
        <w:rPr>
          <w:rFonts w:hint="eastAsia"/>
          <w:lang w:val="en-US" w:eastAsia="zh-CN"/>
        </w:rPr>
        <w:t>采掘施工企业</w:t>
      </w:r>
      <w:r>
        <w:rPr>
          <w:rFonts w:hint="default"/>
          <w:lang w:val="en-US" w:eastAsia="zh-CN"/>
        </w:rPr>
        <w:t>监管执法向智能化、标准化、透明化转型</w:t>
      </w:r>
      <w:r>
        <w:rPr>
          <w:rFonts w:hint="eastAsia"/>
          <w:lang w:val="en-US" w:eastAsia="zh-CN"/>
        </w:rPr>
        <w:t>。</w:t>
      </w:r>
    </w:p>
    <w:p w14:paraId="4A5BF0B0">
      <w:pPr>
        <w:pStyle w:val="47"/>
        <w:pageBreakBefore w:val="0"/>
        <w:numPr>
          <w:ilvl w:val="0"/>
          <w:numId w:val="65"/>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自动生成执法文书</w:t>
      </w:r>
    </w:p>
    <w:p w14:paraId="3D990EB9">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自动监测系统中</w:t>
      </w:r>
      <w:r>
        <w:rPr>
          <w:rFonts w:hint="default"/>
          <w:lang w:val="en-US" w:eastAsia="zh-CN"/>
        </w:rPr>
        <w:t>未处置闭环的隐患信息</w:t>
      </w:r>
      <w:r>
        <w:rPr>
          <w:rFonts w:hint="eastAsia"/>
          <w:lang w:val="en-US" w:eastAsia="zh-CN"/>
        </w:rPr>
        <w:t>，</w:t>
      </w:r>
      <w:r>
        <w:rPr>
          <w:rFonts w:hint="default"/>
          <w:lang w:val="en-US" w:eastAsia="zh-CN"/>
        </w:rPr>
        <w:t>将接收到的</w:t>
      </w:r>
      <w:r>
        <w:rPr>
          <w:rFonts w:hint="eastAsia"/>
          <w:lang w:val="en-US" w:eastAsia="zh-CN"/>
        </w:rPr>
        <w:t>疑似违法行为的</w:t>
      </w:r>
      <w:r>
        <w:rPr>
          <w:rFonts w:hint="default"/>
          <w:lang w:val="en-US" w:eastAsia="zh-CN"/>
        </w:rPr>
        <w:t>信息</w:t>
      </w:r>
      <w:r>
        <w:rPr>
          <w:rFonts w:hint="eastAsia"/>
          <w:lang w:val="en-US" w:eastAsia="zh-CN"/>
        </w:rPr>
        <w:t>（</w:t>
      </w:r>
      <w:r>
        <w:rPr>
          <w:rFonts w:hint="default"/>
          <w:lang w:val="en-US" w:eastAsia="zh-CN"/>
        </w:rPr>
        <w:t>隐患情况、判定依据、涉及矿山企业等关键内容</w:t>
      </w:r>
      <w:r>
        <w:rPr>
          <w:rFonts w:hint="eastAsia"/>
          <w:lang w:val="en-US" w:eastAsia="zh-CN"/>
        </w:rPr>
        <w:t>）</w:t>
      </w:r>
      <w:r>
        <w:rPr>
          <w:rFonts w:hint="default"/>
          <w:lang w:val="en-US" w:eastAsia="zh-CN"/>
        </w:rPr>
        <w:t>推送至当地</w:t>
      </w:r>
      <w:r>
        <w:rPr>
          <w:rFonts w:hint="eastAsia"/>
          <w:lang w:val="en-US" w:eastAsia="zh-CN"/>
        </w:rPr>
        <w:t>县级</w:t>
      </w:r>
      <w:r>
        <w:rPr>
          <w:rFonts w:hint="default"/>
          <w:lang w:val="en-US" w:eastAsia="zh-CN"/>
        </w:rPr>
        <w:t>监管部门，</w:t>
      </w:r>
      <w:r>
        <w:rPr>
          <w:rFonts w:hint="eastAsia"/>
          <w:lang w:val="en-US" w:eastAsia="zh-CN"/>
        </w:rPr>
        <w:t>将疑似违法行为的信息自动生成执法文书，</w:t>
      </w:r>
      <w:r>
        <w:rPr>
          <w:rFonts w:hint="default"/>
          <w:lang w:val="en-US" w:eastAsia="zh-CN"/>
        </w:rPr>
        <w:t>由监管部门依据相关法规和实际情况，判断该隐患风险是否达到立案标准</w:t>
      </w:r>
      <w:r>
        <w:rPr>
          <w:rFonts w:hint="eastAsia"/>
          <w:lang w:val="en-US" w:eastAsia="zh-CN"/>
        </w:rPr>
        <w:t>。</w:t>
      </w:r>
    </w:p>
    <w:p w14:paraId="761EF4D5">
      <w:pPr>
        <w:pStyle w:val="47"/>
        <w:pageBreakBefore w:val="0"/>
        <w:numPr>
          <w:ilvl w:val="0"/>
          <w:numId w:val="65"/>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获取执法处置结果</w:t>
      </w:r>
    </w:p>
    <w:p w14:paraId="36BF02D1">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获取</w:t>
      </w:r>
      <w:r>
        <w:rPr>
          <w:rFonts w:hint="default"/>
          <w:lang w:val="en-US" w:eastAsia="zh-CN"/>
        </w:rPr>
        <w:t>大综合一体化系统</w:t>
      </w:r>
      <w:r>
        <w:rPr>
          <w:rFonts w:hint="eastAsia"/>
          <w:lang w:val="en-US" w:eastAsia="zh-CN"/>
        </w:rPr>
        <w:t>的执法处置结果，</w:t>
      </w:r>
      <w:r>
        <w:rPr>
          <w:rFonts w:hint="default"/>
          <w:lang w:val="en-US" w:eastAsia="zh-CN"/>
        </w:rPr>
        <w:t>包括立案执法结果和不立案督办结果。</w:t>
      </w:r>
    </w:p>
    <w:p w14:paraId="65B91C1E">
      <w:pPr>
        <w:pStyle w:val="37"/>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lang w:val="en-US" w:eastAsia="zh-CN"/>
        </w:rPr>
      </w:pPr>
      <w:bookmarkStart w:id="288" w:name="_Toc296945758"/>
      <w:r>
        <w:rPr>
          <w:rFonts w:hint="eastAsia"/>
          <w:lang w:val="en-US" w:eastAsia="zh-CN"/>
        </w:rPr>
        <w:t>政企工作台</w:t>
      </w:r>
      <w:bookmarkEnd w:id="288"/>
    </w:p>
    <w:p w14:paraId="3D060F74">
      <w:pPr>
        <w:pStyle w:val="36"/>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5"/>
        <w:rPr>
          <w:rFonts w:hint="eastAsia"/>
          <w:b/>
          <w:bCs w:val="0"/>
          <w:lang w:val="en-US" w:eastAsia="zh-CN"/>
        </w:rPr>
      </w:pPr>
      <w:r>
        <w:rPr>
          <w:rFonts w:hint="eastAsia"/>
          <w:b/>
          <w:bCs w:val="0"/>
          <w:lang w:val="en-US" w:eastAsia="zh-CN"/>
        </w:rPr>
        <w:t>监管侧应用</w:t>
      </w:r>
    </w:p>
    <w:p w14:paraId="43C20DC6">
      <w:pPr>
        <w:pStyle w:val="47"/>
        <w:pageBreakBefore w:val="0"/>
        <w:numPr>
          <w:ilvl w:val="0"/>
          <w:numId w:val="66"/>
        </w:numPr>
        <w:kinsoku/>
        <w:wordWrap/>
        <w:overflowPunct/>
        <w:topLinePunct w:val="0"/>
        <w:autoSpaceDE/>
        <w:autoSpaceDN/>
        <w:bidi w:val="0"/>
        <w:adjustRightInd w:val="0"/>
        <w:snapToGrid w:val="0"/>
        <w:spacing w:line="360" w:lineRule="auto"/>
        <w:ind w:left="0"/>
        <w:textAlignment w:val="auto"/>
        <w:outlineLvl w:val="6"/>
        <w:rPr>
          <w:rFonts w:hint="eastAsia"/>
          <w:b/>
          <w:bCs/>
          <w:lang w:val="en-US" w:eastAsia="zh-CN"/>
        </w:rPr>
      </w:pPr>
      <w:r>
        <w:rPr>
          <w:rFonts w:hint="eastAsia"/>
          <w:b/>
          <w:bCs/>
          <w:lang w:val="en-US" w:eastAsia="zh-CN"/>
        </w:rPr>
        <w:t>报表自动生成</w:t>
      </w:r>
    </w:p>
    <w:p w14:paraId="42E2082D">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支持手动勾选数据字段或调用预置模板，自动生成标准化监管报表。例如隐患清单、降雨影响矿山情况、三年行动数据等。</w:t>
      </w:r>
    </w:p>
    <w:p w14:paraId="24DAB345">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动态报表管理，允许监管部门手动新增自定义报表模板，配置数据来源、统计维度及输出格式（Excel/PDF），适配多样化监管需求。</w:t>
      </w:r>
    </w:p>
    <w:p w14:paraId="7B0D023A">
      <w:pPr>
        <w:pStyle w:val="47"/>
        <w:pageBreakBefore w:val="0"/>
        <w:numPr>
          <w:ilvl w:val="0"/>
          <w:numId w:val="66"/>
        </w:numPr>
        <w:kinsoku/>
        <w:wordWrap/>
        <w:overflowPunct/>
        <w:topLinePunct w:val="0"/>
        <w:autoSpaceDE/>
        <w:autoSpaceDN/>
        <w:bidi w:val="0"/>
        <w:adjustRightInd w:val="0"/>
        <w:snapToGrid w:val="0"/>
        <w:spacing w:line="360" w:lineRule="auto"/>
        <w:ind w:left="0"/>
        <w:textAlignment w:val="auto"/>
        <w:outlineLvl w:val="6"/>
        <w:rPr>
          <w:rFonts w:hint="eastAsia"/>
          <w:b/>
          <w:bCs/>
          <w:lang w:val="en-US" w:eastAsia="zh-CN"/>
        </w:rPr>
      </w:pPr>
      <w:r>
        <w:rPr>
          <w:rFonts w:hint="eastAsia"/>
          <w:b/>
          <w:bCs/>
          <w:lang w:val="en-US" w:eastAsia="zh-CN"/>
        </w:rPr>
        <w:t>文书下发</w:t>
      </w:r>
    </w:p>
    <w:p w14:paraId="79048E56">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实现政策文件、工作指令等下发至监管部门或企业的数字化全流程管理，涵盖文件上传、定向分发、执行跟踪与合规反馈。</w:t>
      </w:r>
    </w:p>
    <w:p w14:paraId="5BF55D52">
      <w:pPr>
        <w:pStyle w:val="36"/>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5"/>
        <w:rPr>
          <w:rFonts w:hint="eastAsia"/>
          <w:b/>
          <w:bCs w:val="0"/>
          <w:lang w:val="en-US" w:eastAsia="zh-CN"/>
        </w:rPr>
      </w:pPr>
      <w:r>
        <w:rPr>
          <w:rFonts w:hint="eastAsia"/>
          <w:b/>
          <w:bCs w:val="0"/>
          <w:lang w:val="en-US" w:eastAsia="zh-CN"/>
        </w:rPr>
        <w:t>企业侧应用</w:t>
      </w:r>
    </w:p>
    <w:p w14:paraId="291D0270">
      <w:pPr>
        <w:pStyle w:val="47"/>
        <w:pageBreakBefore w:val="0"/>
        <w:numPr>
          <w:ilvl w:val="0"/>
          <w:numId w:val="67"/>
        </w:numPr>
        <w:kinsoku/>
        <w:wordWrap/>
        <w:overflowPunct/>
        <w:topLinePunct w:val="0"/>
        <w:autoSpaceDE/>
        <w:autoSpaceDN/>
        <w:bidi w:val="0"/>
        <w:adjustRightInd w:val="0"/>
        <w:snapToGrid w:val="0"/>
        <w:spacing w:line="360" w:lineRule="auto"/>
        <w:ind w:left="0"/>
        <w:textAlignment w:val="auto"/>
        <w:outlineLvl w:val="6"/>
        <w:rPr>
          <w:rFonts w:hint="eastAsia"/>
          <w:b/>
          <w:bCs/>
          <w:lang w:val="en-US" w:eastAsia="zh-CN"/>
        </w:rPr>
      </w:pPr>
      <w:r>
        <w:rPr>
          <w:rFonts w:hint="eastAsia"/>
          <w:b/>
          <w:bCs/>
          <w:lang w:val="en-US" w:eastAsia="zh-CN"/>
        </w:rPr>
        <w:t>综合数据查询</w:t>
      </w:r>
    </w:p>
    <w:p w14:paraId="1A6280C3">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 xml:space="preserve">企业可实时查询自身安全生产数据，包括设备在线情况、企业基本情况、隐患台账等。 </w:t>
      </w:r>
    </w:p>
    <w:p w14:paraId="2B5946F2">
      <w:pPr>
        <w:pStyle w:val="47"/>
        <w:pageBreakBefore w:val="0"/>
        <w:numPr>
          <w:ilvl w:val="0"/>
          <w:numId w:val="67"/>
        </w:numPr>
        <w:kinsoku/>
        <w:wordWrap/>
        <w:overflowPunct/>
        <w:topLinePunct w:val="0"/>
        <w:autoSpaceDE/>
        <w:autoSpaceDN/>
        <w:bidi w:val="0"/>
        <w:adjustRightInd w:val="0"/>
        <w:snapToGrid w:val="0"/>
        <w:spacing w:line="360" w:lineRule="auto"/>
        <w:ind w:left="0"/>
        <w:textAlignment w:val="auto"/>
        <w:outlineLvl w:val="6"/>
        <w:rPr>
          <w:rFonts w:hint="eastAsia"/>
          <w:b/>
          <w:bCs/>
          <w:lang w:val="en-US" w:eastAsia="zh-CN"/>
        </w:rPr>
      </w:pPr>
      <w:r>
        <w:rPr>
          <w:rFonts w:hint="eastAsia"/>
          <w:b/>
          <w:bCs/>
          <w:lang w:val="en-US" w:eastAsia="zh-CN"/>
        </w:rPr>
        <w:t>预警处置闭环</w:t>
      </w:r>
    </w:p>
    <w:p w14:paraId="74676096">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移动端即时接收系统推送的预警（如人员违规、设备异常），查看预警详情（含现场抓拍图片/视频片段）。</w:t>
      </w:r>
    </w:p>
    <w:p w14:paraId="6AFB23C7">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企业安全员可在线提交处置方案（文字/图片/视频），关联整改责任人及期限，超期未处理自动升级至上级管理人员。</w:t>
      </w:r>
    </w:p>
    <w:p w14:paraId="7A5F58F0">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整改完成后，上传整改完成证据（如整改后照片、检测报告），形成完整处置闭环。</w:t>
      </w:r>
    </w:p>
    <w:p w14:paraId="3CABA52B">
      <w:pPr>
        <w:pStyle w:val="47"/>
        <w:pageBreakBefore w:val="0"/>
        <w:numPr>
          <w:ilvl w:val="0"/>
          <w:numId w:val="67"/>
        </w:numPr>
        <w:kinsoku/>
        <w:wordWrap/>
        <w:overflowPunct/>
        <w:topLinePunct w:val="0"/>
        <w:autoSpaceDE/>
        <w:autoSpaceDN/>
        <w:bidi w:val="0"/>
        <w:adjustRightInd w:val="0"/>
        <w:snapToGrid w:val="0"/>
        <w:spacing w:line="360" w:lineRule="auto"/>
        <w:ind w:left="0"/>
        <w:textAlignment w:val="auto"/>
        <w:outlineLvl w:val="6"/>
        <w:rPr>
          <w:rFonts w:hint="eastAsia"/>
          <w:b/>
          <w:bCs/>
          <w:lang w:val="en-US" w:eastAsia="zh-CN"/>
        </w:rPr>
      </w:pPr>
      <w:r>
        <w:rPr>
          <w:rFonts w:hint="eastAsia"/>
          <w:b/>
          <w:bCs/>
          <w:lang w:val="en-US" w:eastAsia="zh-CN"/>
        </w:rPr>
        <w:t>管理资料上传</w:t>
      </w:r>
    </w:p>
    <w:p w14:paraId="34F62DB2">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实现企业基本档案的更新，支持上传安全生产责任制文件、应急预案、培训记录、停工停产报告等资料，系统自动校验文件格式（PDF/图片/视频）、命名规范及内容完整性。</w:t>
      </w:r>
    </w:p>
    <w:p w14:paraId="6AC4FE9B">
      <w:pPr>
        <w:pStyle w:val="47"/>
        <w:pageBreakBefore w:val="0"/>
        <w:numPr>
          <w:ilvl w:val="0"/>
          <w:numId w:val="67"/>
        </w:numPr>
        <w:kinsoku/>
        <w:wordWrap/>
        <w:overflowPunct/>
        <w:topLinePunct w:val="0"/>
        <w:autoSpaceDE/>
        <w:autoSpaceDN/>
        <w:bidi w:val="0"/>
        <w:adjustRightInd w:val="0"/>
        <w:snapToGrid w:val="0"/>
        <w:spacing w:line="360" w:lineRule="auto"/>
        <w:ind w:left="0"/>
        <w:textAlignment w:val="auto"/>
        <w:outlineLvl w:val="6"/>
        <w:rPr>
          <w:rFonts w:hint="eastAsia"/>
          <w:b/>
          <w:bCs/>
          <w:lang w:val="en-US" w:eastAsia="zh-CN"/>
        </w:rPr>
      </w:pPr>
      <w:r>
        <w:rPr>
          <w:rFonts w:hint="eastAsia"/>
          <w:b/>
          <w:bCs/>
          <w:lang w:val="en-US" w:eastAsia="zh-CN"/>
        </w:rPr>
        <w:t>政策文件接收</w:t>
      </w:r>
    </w:p>
    <w:p w14:paraId="41410340">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企业可查看监管部门下发的政策文件、整改指令，支持在线阅读及附件下载。</w:t>
      </w:r>
    </w:p>
    <w:p w14:paraId="7B4BDF2F">
      <w:pPr>
        <w:pStyle w:val="47"/>
        <w:pageBreakBefore w:val="0"/>
        <w:numPr>
          <w:ilvl w:val="0"/>
          <w:numId w:val="67"/>
        </w:numPr>
        <w:kinsoku/>
        <w:wordWrap/>
        <w:overflowPunct/>
        <w:topLinePunct w:val="0"/>
        <w:autoSpaceDE/>
        <w:autoSpaceDN/>
        <w:bidi w:val="0"/>
        <w:adjustRightInd w:val="0"/>
        <w:snapToGrid w:val="0"/>
        <w:spacing w:line="360" w:lineRule="auto"/>
        <w:ind w:left="0"/>
        <w:textAlignment w:val="auto"/>
        <w:outlineLvl w:val="6"/>
        <w:rPr>
          <w:rFonts w:hint="eastAsia"/>
          <w:b/>
          <w:bCs/>
          <w:lang w:val="en-US" w:eastAsia="zh-CN"/>
        </w:rPr>
      </w:pPr>
      <w:r>
        <w:rPr>
          <w:rFonts w:hint="eastAsia"/>
          <w:b/>
          <w:bCs/>
          <w:lang w:val="en-US" w:eastAsia="zh-CN"/>
        </w:rPr>
        <w:t>每日安全承诺</w:t>
      </w:r>
    </w:p>
    <w:p w14:paraId="10C2AF72">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企业主要负责人或安全管理员每日需在线提交安全承诺。系统提供标准化承诺模板，也可自定义补充关键事项。</w:t>
      </w:r>
    </w:p>
    <w:p w14:paraId="0FA2A8B2">
      <w:pPr>
        <w:pStyle w:val="36"/>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5"/>
        <w:rPr>
          <w:rFonts w:hint="eastAsia"/>
          <w:b/>
          <w:bCs w:val="0"/>
          <w:lang w:val="en-US" w:eastAsia="zh-CN"/>
        </w:rPr>
      </w:pPr>
      <w:r>
        <w:rPr>
          <w:rFonts w:hint="eastAsia"/>
          <w:b/>
          <w:bCs w:val="0"/>
          <w:lang w:val="en-US" w:eastAsia="zh-CN"/>
        </w:rPr>
        <w:t>矿山风险缺陷排查治理</w:t>
      </w:r>
    </w:p>
    <w:p w14:paraId="0A6B1E85">
      <w:pPr>
        <w:pStyle w:val="47"/>
        <w:pageBreakBefore w:val="0"/>
        <w:numPr>
          <w:ilvl w:val="0"/>
          <w:numId w:val="68"/>
        </w:numPr>
        <w:kinsoku/>
        <w:wordWrap/>
        <w:overflowPunct/>
        <w:topLinePunct w:val="0"/>
        <w:autoSpaceDE/>
        <w:autoSpaceDN/>
        <w:bidi w:val="0"/>
        <w:adjustRightInd w:val="0"/>
        <w:snapToGrid w:val="0"/>
        <w:spacing w:line="360" w:lineRule="auto"/>
        <w:ind w:left="0"/>
        <w:textAlignment w:val="auto"/>
        <w:outlineLvl w:val="6"/>
        <w:rPr>
          <w:rFonts w:hint="eastAsia"/>
          <w:b/>
          <w:bCs/>
          <w:lang w:val="en-US" w:eastAsia="zh-CN"/>
        </w:rPr>
      </w:pPr>
      <w:bookmarkStart w:id="289" w:name="_Hlk501365990"/>
      <w:r>
        <w:rPr>
          <w:rFonts w:hint="eastAsia"/>
          <w:b/>
          <w:bCs/>
          <w:lang w:val="en-US" w:eastAsia="zh-CN"/>
        </w:rPr>
        <w:t>风险缺陷治理</w:t>
      </w:r>
    </w:p>
    <w:p w14:paraId="16EFDF17">
      <w:pPr>
        <w:pStyle w:val="39"/>
        <w:pageBreakBefore w:val="0"/>
        <w:kinsoku/>
        <w:wordWrap/>
        <w:overflowPunct/>
        <w:topLinePunct w:val="0"/>
        <w:autoSpaceDE/>
        <w:autoSpaceDN/>
        <w:bidi w:val="0"/>
        <w:adjustRightInd w:val="0"/>
        <w:snapToGrid w:val="0"/>
        <w:spacing w:line="360" w:lineRule="auto"/>
        <w:ind w:left="0"/>
        <w:textAlignment w:val="auto"/>
        <w:rPr>
          <w:rFonts w:hint="eastAsia"/>
          <w:lang w:eastAsia="zh-CN"/>
        </w:rPr>
      </w:pPr>
      <w:r>
        <w:rPr>
          <w:rFonts w:hint="eastAsia"/>
          <w:lang w:val="en-US" w:eastAsia="zh-CN"/>
        </w:rPr>
        <w:t>对接省应急管理厅原有隐患排查系统，支撑矿企风险缺陷排查、登记、整改、销号的闭环管理，促进矿企风险缺陷排查的规范化和常态化</w:t>
      </w:r>
      <w:bookmarkEnd w:id="289"/>
      <w:r>
        <w:rPr>
          <w:rFonts w:hint="eastAsia"/>
          <w:lang w:val="en-US" w:eastAsia="zh-CN"/>
        </w:rPr>
        <w:t>，实现隐患登记、风险缺陷上报、风险缺陷整改、风险缺陷查询等功能</w:t>
      </w:r>
      <w:r>
        <w:rPr>
          <w:rFonts w:hint="eastAsia"/>
          <w:lang w:eastAsia="zh-CN"/>
        </w:rPr>
        <w:t>。</w:t>
      </w:r>
    </w:p>
    <w:p w14:paraId="3FD66B1E">
      <w:pPr>
        <w:pStyle w:val="47"/>
        <w:pageBreakBefore w:val="0"/>
        <w:numPr>
          <w:ilvl w:val="0"/>
          <w:numId w:val="68"/>
        </w:numPr>
        <w:kinsoku/>
        <w:wordWrap/>
        <w:overflowPunct/>
        <w:topLinePunct w:val="0"/>
        <w:autoSpaceDE/>
        <w:autoSpaceDN/>
        <w:bidi w:val="0"/>
        <w:adjustRightInd w:val="0"/>
        <w:snapToGrid w:val="0"/>
        <w:spacing w:line="360" w:lineRule="auto"/>
        <w:ind w:left="0"/>
        <w:textAlignment w:val="auto"/>
        <w:outlineLvl w:val="6"/>
        <w:rPr>
          <w:rFonts w:hint="eastAsia"/>
          <w:b/>
          <w:bCs/>
          <w:lang w:val="en-US" w:eastAsia="zh-CN"/>
        </w:rPr>
      </w:pPr>
      <w:r>
        <w:rPr>
          <w:rFonts w:hint="eastAsia"/>
          <w:b/>
          <w:bCs/>
          <w:lang w:val="en-US" w:eastAsia="zh-CN"/>
        </w:rPr>
        <w:t>风险缺陷排查</w:t>
      </w:r>
    </w:p>
    <w:p w14:paraId="0A218FCE">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根据《非煤矿山重大隐患判定标准》等标准规范，运用AI技术，实现风险缺陷排查。建立重大隐患数据库，为精准判定矿山安全检查现场照片或视频中的重大隐患提供技术支撑，并生成重大隐患判定依据、整改建议等，辅助检查人员排查重大隐患。</w:t>
      </w:r>
    </w:p>
    <w:p w14:paraId="65A81505">
      <w:pPr>
        <w:pStyle w:val="36"/>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5"/>
        <w:rPr>
          <w:rFonts w:hint="eastAsia"/>
          <w:b/>
          <w:bCs w:val="0"/>
          <w:lang w:val="en-US" w:eastAsia="zh-CN"/>
        </w:rPr>
      </w:pPr>
      <w:r>
        <w:rPr>
          <w:rFonts w:hint="eastAsia"/>
          <w:b/>
          <w:bCs w:val="0"/>
          <w:lang w:val="en-US" w:eastAsia="zh-CN"/>
        </w:rPr>
        <w:t>应急救援</w:t>
      </w:r>
    </w:p>
    <w:p w14:paraId="2B105BBB">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整合救援队伍、装备等资源信息，建立救援资源数据库。当矿山发生事故时，平台自动识别事发地周边可用应急救援资源，为应急救援指挥提供决策支持，提高应急响应速度和救援效率。</w:t>
      </w:r>
    </w:p>
    <w:p w14:paraId="186AB158">
      <w:pPr>
        <w:pStyle w:val="36"/>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5"/>
        <w:rPr>
          <w:rFonts w:hint="eastAsia"/>
          <w:b/>
          <w:bCs w:val="0"/>
          <w:lang w:val="en-US" w:eastAsia="zh-CN"/>
        </w:rPr>
      </w:pPr>
      <w:r>
        <w:rPr>
          <w:rFonts w:hint="eastAsia"/>
          <w:b/>
          <w:bCs w:val="0"/>
          <w:lang w:val="en-US" w:eastAsia="zh-CN"/>
        </w:rPr>
        <w:t>培训教育</w:t>
      </w:r>
    </w:p>
    <w:p w14:paraId="44225470">
      <w:pPr>
        <w:pStyle w:val="47"/>
        <w:pageBreakBefore w:val="0"/>
        <w:numPr>
          <w:ilvl w:val="0"/>
          <w:numId w:val="69"/>
        </w:numPr>
        <w:kinsoku/>
        <w:wordWrap/>
        <w:overflowPunct/>
        <w:topLinePunct w:val="0"/>
        <w:autoSpaceDE/>
        <w:autoSpaceDN/>
        <w:bidi w:val="0"/>
        <w:adjustRightInd w:val="0"/>
        <w:snapToGrid w:val="0"/>
        <w:spacing w:line="360" w:lineRule="auto"/>
        <w:ind w:left="0"/>
        <w:textAlignment w:val="auto"/>
        <w:outlineLvl w:val="6"/>
        <w:rPr>
          <w:rFonts w:hint="eastAsia"/>
          <w:b/>
          <w:bCs/>
          <w:u w:val="none"/>
          <w:lang w:val="en-US" w:eastAsia="zh-CN"/>
        </w:rPr>
      </w:pPr>
      <w:r>
        <w:rPr>
          <w:rFonts w:hint="eastAsia"/>
          <w:b/>
          <w:bCs/>
          <w:u w:val="none"/>
          <w:lang w:val="en-US" w:eastAsia="zh-CN"/>
        </w:rPr>
        <w:t>智能知识推送</w:t>
      </w:r>
    </w:p>
    <w:p w14:paraId="1ECC60C7">
      <w:pPr>
        <w:pStyle w:val="39"/>
        <w:pageBreakBefore w:val="0"/>
        <w:kinsoku/>
        <w:wordWrap/>
        <w:overflowPunct/>
        <w:topLinePunct w:val="0"/>
        <w:autoSpaceDE/>
        <w:autoSpaceDN/>
        <w:bidi w:val="0"/>
        <w:adjustRightInd w:val="0"/>
        <w:snapToGrid w:val="0"/>
        <w:spacing w:line="360" w:lineRule="auto"/>
        <w:ind w:left="0"/>
        <w:textAlignment w:val="auto"/>
        <w:rPr>
          <w:rFonts w:hint="default"/>
          <w:u w:val="none"/>
          <w:lang w:val="en-US" w:eastAsia="zh-CN"/>
        </w:rPr>
      </w:pPr>
      <w:r>
        <w:rPr>
          <w:rFonts w:hint="eastAsia"/>
          <w:u w:val="none"/>
          <w:lang w:val="en-US" w:eastAsia="zh-CN"/>
        </w:rPr>
        <w:t>根据隐患预警事件，运用大语言模型技术，自动关联与事件相关的事故案例、矿山领域专业知识，实现安全知识精准推送培训视频、“隐患即教材、事故即课堂”的按需宣教。</w:t>
      </w:r>
    </w:p>
    <w:p w14:paraId="417DE70E">
      <w:pPr>
        <w:pStyle w:val="47"/>
        <w:pageBreakBefore w:val="0"/>
        <w:numPr>
          <w:ilvl w:val="0"/>
          <w:numId w:val="69"/>
        </w:numPr>
        <w:kinsoku/>
        <w:wordWrap/>
        <w:overflowPunct/>
        <w:topLinePunct w:val="0"/>
        <w:autoSpaceDE/>
        <w:autoSpaceDN/>
        <w:bidi w:val="0"/>
        <w:adjustRightInd w:val="0"/>
        <w:snapToGrid w:val="0"/>
        <w:spacing w:line="360" w:lineRule="auto"/>
        <w:ind w:left="0"/>
        <w:textAlignment w:val="auto"/>
        <w:outlineLvl w:val="6"/>
        <w:rPr>
          <w:rFonts w:hint="eastAsia"/>
          <w:b/>
          <w:bCs/>
          <w:u w:val="none"/>
          <w:lang w:val="en-US" w:eastAsia="zh-CN"/>
        </w:rPr>
      </w:pPr>
      <w:r>
        <w:rPr>
          <w:rFonts w:hint="eastAsia"/>
          <w:b/>
          <w:bCs/>
          <w:u w:val="none"/>
          <w:lang w:val="en-US" w:eastAsia="zh-CN"/>
        </w:rPr>
        <w:t>非煤矿山重大事故隐患3D数智教材应用</w:t>
      </w:r>
    </w:p>
    <w:p w14:paraId="42C2D14F">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3D数智教材以3D动画形式为主，根据金属非金属地下矿山、金属非金属露天矿山、尾矿库等127条重大隐患判定标准进行制作，共分三个模块：一是教学演示浏览（基础知识、隐患条款解读、情形说明、排查指导、警示案例）；二是练习（点击模型标注隐患、进行整改、显示整改完成情况）；三是测试（选择试卷、选择场景、查找隐患、完成后提交、查看成绩）。其中1个教材以浙江省莹石地下矿山为版本，另2个教材以2024年以来发生生产安全事故的矿山为版本，具体模拟事故经过及相关隐患排查等内容。</w:t>
      </w:r>
    </w:p>
    <w:p w14:paraId="6C6E2F96">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针对重大隐患条款可分为不同的模块，供企业负责人、安管员、普通员工及监管部门根据自身岗位职责分别选择不同模块内容进行学习。可实现知识教育、自主学习、自主训练、仿真考核、分析评价，供企业人员、监管人员、服务机构人员使用学习。通过三维与虚拟现实技术，教学内容以更真实、生动形式展现，增强学习体验与效果。</w:t>
      </w:r>
    </w:p>
    <w:p w14:paraId="52FD7908">
      <w:pPr>
        <w:pStyle w:val="38"/>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lang w:val="en-US" w:eastAsia="zh-CN"/>
        </w:rPr>
      </w:pPr>
      <w:bookmarkStart w:id="290" w:name="_Toc15359078"/>
      <w:r>
        <w:rPr>
          <w:rFonts w:hint="eastAsia"/>
          <w:lang w:val="en-US" w:eastAsia="zh-CN"/>
        </w:rPr>
        <w:t>应用支撑服务</w:t>
      </w:r>
      <w:bookmarkEnd w:id="290"/>
    </w:p>
    <w:p w14:paraId="1D4FEBB2">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default"/>
          <w:lang w:val="en-US" w:eastAsia="zh-CN"/>
        </w:rPr>
        <w:t>应用支撑系统设计以模块化、组件化为主导</w:t>
      </w:r>
      <w:r>
        <w:rPr>
          <w:rFonts w:hint="eastAsia"/>
          <w:lang w:val="en-US" w:eastAsia="zh-CN"/>
        </w:rPr>
        <w:t>，</w:t>
      </w:r>
      <w:r>
        <w:rPr>
          <w:rFonts w:hint="default"/>
          <w:lang w:val="en-US" w:eastAsia="zh-CN"/>
        </w:rPr>
        <w:t>包括AI+监测预警支撑、</w:t>
      </w:r>
      <w:r>
        <w:rPr>
          <w:rFonts w:hint="eastAsia"/>
          <w:lang w:val="en-US" w:eastAsia="zh-CN"/>
        </w:rPr>
        <w:t>视频汇聚及</w:t>
      </w:r>
      <w:r>
        <w:rPr>
          <w:rFonts w:hint="default"/>
          <w:lang w:val="en-US" w:eastAsia="zh-CN"/>
        </w:rPr>
        <w:t>算法汇聚平台支撑、三维应用支撑</w:t>
      </w:r>
      <w:r>
        <w:rPr>
          <w:rFonts w:hint="eastAsia"/>
          <w:lang w:val="en-US" w:eastAsia="zh-CN"/>
        </w:rPr>
        <w:t>、数据</w:t>
      </w:r>
      <w:r>
        <w:rPr>
          <w:rFonts w:hint="default"/>
          <w:lang w:val="en-US" w:eastAsia="zh-CN"/>
        </w:rPr>
        <w:t>共享与交换应用支撑，保障业务应用系统稳定可靠运行和使用</w:t>
      </w:r>
      <w:r>
        <w:rPr>
          <w:rFonts w:hint="eastAsia"/>
          <w:lang w:val="en-US" w:eastAsia="zh-CN"/>
        </w:rPr>
        <w:t>。</w:t>
      </w:r>
    </w:p>
    <w:p w14:paraId="509AAC4E">
      <w:pPr>
        <w:pStyle w:val="37"/>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lang w:val="en-US" w:eastAsia="zh-CN"/>
        </w:rPr>
      </w:pPr>
      <w:bookmarkStart w:id="291" w:name="_Toc441986306"/>
      <w:r>
        <w:rPr>
          <w:rFonts w:hint="eastAsia"/>
          <w:lang w:val="en-US" w:eastAsia="zh-CN"/>
        </w:rPr>
        <w:t>AI+监测预警支撑</w:t>
      </w:r>
      <w:bookmarkEnd w:id="291"/>
    </w:p>
    <w:p w14:paraId="06F35AEE">
      <w:pPr>
        <w:pStyle w:val="36"/>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5"/>
        <w:rPr>
          <w:rFonts w:hint="eastAsia"/>
          <w:b/>
          <w:bCs w:val="0"/>
          <w:lang w:val="en-US" w:eastAsia="zh-CN"/>
        </w:rPr>
      </w:pPr>
      <w:r>
        <w:rPr>
          <w:rFonts w:hint="eastAsia"/>
          <w:b/>
          <w:bCs w:val="0"/>
          <w:lang w:val="en-US" w:eastAsia="zh-CN"/>
        </w:rPr>
        <w:t>监测预警智能体建设</w:t>
      </w:r>
    </w:p>
    <w:p w14:paraId="28ABEF82">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通过AI深度介入预警处置环节，实现从“风险发现”到“处置闭环”的无人化智能监管，大幅提升矿山</w:t>
      </w:r>
      <w:r>
        <w:rPr>
          <w:rFonts w:hint="eastAsia"/>
          <w:lang w:val="en-US" w:eastAsia="zh-CN"/>
        </w:rPr>
        <w:t>等领域</w:t>
      </w:r>
      <w:r>
        <w:rPr>
          <w:rFonts w:hint="default"/>
          <w:lang w:val="en-US" w:eastAsia="zh-CN"/>
        </w:rPr>
        <w:t>安全管理的时效性与精准性。基于知识图谱与历史案例库，AI自动匹配风险类型与</w:t>
      </w:r>
      <w:r>
        <w:rPr>
          <w:rFonts w:hint="eastAsia"/>
          <w:lang w:val="en-US" w:eastAsia="zh-CN"/>
        </w:rPr>
        <w:t>提醒类和处置类隐患</w:t>
      </w:r>
      <w:r>
        <w:rPr>
          <w:rFonts w:hint="default"/>
          <w:lang w:val="en-US" w:eastAsia="zh-CN"/>
        </w:rPr>
        <w:t>标准处置规程</w:t>
      </w:r>
      <w:r>
        <w:rPr>
          <w:rFonts w:hint="eastAsia"/>
          <w:lang w:val="en-US" w:eastAsia="zh-CN"/>
        </w:rPr>
        <w:t>，并智能生成各种表单。</w:t>
      </w:r>
    </w:p>
    <w:p w14:paraId="4EF03D7F">
      <w:pPr>
        <w:pStyle w:val="47"/>
        <w:pageBreakBefore w:val="0"/>
        <w:numPr>
          <w:ilvl w:val="0"/>
          <w:numId w:val="70"/>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提醒类预警处置流程</w:t>
      </w:r>
    </w:p>
    <w:p w14:paraId="624392B1">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包含但不限于以下提醒事项：</w:t>
      </w:r>
    </w:p>
    <w:p w14:paraId="3E03C4C0">
      <w:pPr>
        <w:pStyle w:val="10"/>
        <w:keepNext/>
        <w:keepLines/>
        <w:pageBreakBefore w:val="0"/>
        <w:widowControl w:val="0"/>
        <w:numPr>
          <w:ilvl w:val="0"/>
          <w:numId w:val="71"/>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恶劣天气提醒</w:t>
      </w:r>
    </w:p>
    <w:p w14:paraId="364026CC">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系统实时接入气象部门数据，获取恶劣天气（大风、雨雪、大雾、雷电、冰/雹等）预警信息</w:t>
      </w:r>
      <w:r>
        <w:rPr>
          <w:rFonts w:hint="eastAsia"/>
          <w:lang w:val="en-US" w:eastAsia="zh-CN"/>
        </w:rPr>
        <w:t>，</w:t>
      </w:r>
      <w:r>
        <w:rPr>
          <w:rFonts w:hint="default"/>
          <w:lang w:val="en-US" w:eastAsia="zh-CN"/>
        </w:rPr>
        <w:t>系统</w:t>
      </w:r>
      <w:r>
        <w:rPr>
          <w:rFonts w:hint="eastAsia"/>
          <w:lang w:val="en-US" w:eastAsia="zh-CN"/>
        </w:rPr>
        <w:t>能</w:t>
      </w:r>
      <w:r>
        <w:rPr>
          <w:rFonts w:hint="default"/>
          <w:lang w:val="en-US" w:eastAsia="zh-CN"/>
        </w:rPr>
        <w:t>自动识别受影响的矿企名单。</w:t>
      </w:r>
    </w:p>
    <w:p w14:paraId="74E38A9C">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在恶劣天气来临前，通过短信、系统消息等方式向相关矿企发送提醒通知，告知恶劣天气类型、预计来临时间等信息，提醒矿企提前做好防范措施。</w:t>
      </w:r>
    </w:p>
    <w:p w14:paraId="7CFB01BD">
      <w:pPr>
        <w:pStyle w:val="10"/>
        <w:keepNext/>
        <w:keepLines/>
        <w:pageBreakBefore w:val="0"/>
        <w:widowControl w:val="0"/>
        <w:numPr>
          <w:ilvl w:val="0"/>
          <w:numId w:val="71"/>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事故警示提醒</w:t>
      </w:r>
    </w:p>
    <w:p w14:paraId="2A171A7E">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当行业内发生相关矿山事故时，系统收集事故信息，包括事故类型、发生原因、造成后果等。</w:t>
      </w:r>
    </w:p>
    <w:p w14:paraId="1AA97EFB">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针对可能存在类似风险的矿企，系统通过人工或AI推送的方式，发送事故警示提醒。提醒内容不仅包含事故详情，还会结合受提醒矿企的实际情况，提供针对性的预防建议，帮助矿企避免类似事故的发生。</w:t>
      </w:r>
    </w:p>
    <w:p w14:paraId="5A4B903C">
      <w:pPr>
        <w:pStyle w:val="47"/>
        <w:pageBreakBefore w:val="0"/>
        <w:numPr>
          <w:ilvl w:val="0"/>
          <w:numId w:val="70"/>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处置类预警处置流程</w:t>
      </w:r>
    </w:p>
    <w:p w14:paraId="167A5964">
      <w:pPr>
        <w:pStyle w:val="10"/>
        <w:keepNext/>
        <w:keepLines/>
        <w:pageBreakBefore w:val="0"/>
        <w:widowControl w:val="0"/>
        <w:numPr>
          <w:ilvl w:val="0"/>
          <w:numId w:val="72"/>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预警分类与接收</w:t>
      </w:r>
    </w:p>
    <w:p w14:paraId="3F4EA901">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系统接收来自不同渠道的</w:t>
      </w:r>
      <w:r>
        <w:rPr>
          <w:rFonts w:hint="eastAsia"/>
          <w:lang w:val="en-US" w:eastAsia="zh-CN"/>
        </w:rPr>
        <w:t>预警</w:t>
      </w:r>
      <w:r>
        <w:rPr>
          <w:rFonts w:hint="default"/>
          <w:lang w:val="en-US" w:eastAsia="zh-CN"/>
        </w:rPr>
        <w:t>信息，包括系统自动发现、企业自查上报以及政府检查上报等。</w:t>
      </w:r>
      <w:r>
        <w:rPr>
          <w:rFonts w:hint="eastAsia"/>
          <w:lang w:val="en-US" w:eastAsia="zh-CN"/>
        </w:rPr>
        <w:t>自动</w:t>
      </w:r>
      <w:r>
        <w:rPr>
          <w:rFonts w:hint="default"/>
          <w:lang w:val="en-US" w:eastAsia="zh-CN"/>
        </w:rPr>
        <w:t>对</w:t>
      </w:r>
      <w:r>
        <w:rPr>
          <w:rFonts w:hint="eastAsia"/>
          <w:lang w:val="en-US" w:eastAsia="zh-CN"/>
        </w:rPr>
        <w:t>上报</w:t>
      </w:r>
      <w:r>
        <w:rPr>
          <w:rFonts w:hint="default"/>
          <w:lang w:val="en-US" w:eastAsia="zh-CN"/>
        </w:rPr>
        <w:t>的</w:t>
      </w:r>
      <w:r>
        <w:rPr>
          <w:rFonts w:hint="eastAsia"/>
          <w:lang w:val="en-US" w:eastAsia="zh-CN"/>
        </w:rPr>
        <w:t>预警</w:t>
      </w:r>
      <w:r>
        <w:rPr>
          <w:rFonts w:hint="default"/>
          <w:lang w:val="en-US" w:eastAsia="zh-CN"/>
        </w:rPr>
        <w:t>信息进行</w:t>
      </w:r>
      <w:r>
        <w:rPr>
          <w:rFonts w:hint="eastAsia"/>
          <w:lang w:val="en-US" w:eastAsia="zh-CN"/>
        </w:rPr>
        <w:t>分类</w:t>
      </w:r>
      <w:r>
        <w:rPr>
          <w:rFonts w:hint="default"/>
          <w:lang w:val="en-US" w:eastAsia="zh-CN"/>
        </w:rPr>
        <w:t>，依据</w:t>
      </w:r>
      <w:r>
        <w:rPr>
          <w:rFonts w:hint="eastAsia"/>
          <w:lang w:val="en-US" w:eastAsia="zh-CN"/>
        </w:rPr>
        <w:t>国家发布的矿山管理标准规范</w:t>
      </w:r>
      <w:r>
        <w:rPr>
          <w:rFonts w:hint="default"/>
          <w:lang w:val="en-US" w:eastAsia="zh-CN"/>
        </w:rPr>
        <w:t>，将</w:t>
      </w:r>
      <w:r>
        <w:rPr>
          <w:rFonts w:hint="eastAsia"/>
          <w:lang w:val="en-US" w:eastAsia="zh-CN"/>
        </w:rPr>
        <w:t>预警信息</w:t>
      </w:r>
      <w:r>
        <w:rPr>
          <w:rFonts w:hint="default"/>
          <w:lang w:val="en-US" w:eastAsia="zh-CN"/>
        </w:rPr>
        <w:t>其分为</w:t>
      </w:r>
      <w:r>
        <w:rPr>
          <w:rFonts w:hint="eastAsia"/>
          <w:lang w:val="en-US" w:eastAsia="zh-CN"/>
        </w:rPr>
        <w:t>非隐患信息、</w:t>
      </w:r>
      <w:r>
        <w:rPr>
          <w:rFonts w:hint="default"/>
          <w:lang w:val="en-US" w:eastAsia="zh-CN"/>
        </w:rPr>
        <w:t>一般隐患</w:t>
      </w:r>
      <w:r>
        <w:rPr>
          <w:rFonts w:hint="eastAsia"/>
          <w:lang w:val="en-US" w:eastAsia="zh-CN"/>
        </w:rPr>
        <w:t>信息</w:t>
      </w:r>
      <w:r>
        <w:rPr>
          <w:rFonts w:hint="default"/>
          <w:lang w:val="en-US" w:eastAsia="zh-CN"/>
        </w:rPr>
        <w:t>和重大事故隐患</w:t>
      </w:r>
      <w:r>
        <w:rPr>
          <w:rFonts w:hint="eastAsia"/>
          <w:lang w:val="en-US" w:eastAsia="zh-CN"/>
        </w:rPr>
        <w:t>信息</w:t>
      </w:r>
      <w:r>
        <w:rPr>
          <w:rFonts w:hint="default"/>
          <w:lang w:val="en-US" w:eastAsia="zh-CN"/>
        </w:rPr>
        <w:t>。</w:t>
      </w:r>
    </w:p>
    <w:p w14:paraId="68B78FB5">
      <w:pPr>
        <w:pStyle w:val="10"/>
        <w:keepNext/>
        <w:keepLines/>
        <w:pageBreakBefore w:val="0"/>
        <w:widowControl w:val="0"/>
        <w:numPr>
          <w:ilvl w:val="0"/>
          <w:numId w:val="72"/>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非隐患处置流程</w:t>
      </w:r>
    </w:p>
    <w:p w14:paraId="38E6E2B1">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事项</w:t>
      </w:r>
      <w:r>
        <w:rPr>
          <w:rFonts w:hint="default"/>
          <w:lang w:val="en-US" w:eastAsia="zh-CN"/>
        </w:rPr>
        <w:t>交办：系统将</w:t>
      </w:r>
      <w:r>
        <w:rPr>
          <w:rFonts w:hint="eastAsia"/>
          <w:lang w:val="en-US" w:eastAsia="zh-CN"/>
        </w:rPr>
        <w:t>非</w:t>
      </w:r>
      <w:r>
        <w:rPr>
          <w:rFonts w:hint="default"/>
          <w:lang w:val="en-US" w:eastAsia="zh-CN"/>
        </w:rPr>
        <w:t>隐患信息发送至相关</w:t>
      </w:r>
      <w:r>
        <w:rPr>
          <w:rFonts w:hint="eastAsia"/>
          <w:lang w:val="en-US" w:eastAsia="zh-CN"/>
        </w:rPr>
        <w:t>监管部门或</w:t>
      </w:r>
      <w:r>
        <w:rPr>
          <w:rFonts w:hint="default"/>
          <w:lang w:val="en-US" w:eastAsia="zh-CN"/>
        </w:rPr>
        <w:t>矿企，</w:t>
      </w:r>
      <w:r>
        <w:rPr>
          <w:rFonts w:hint="eastAsia"/>
          <w:lang w:val="en-US" w:eastAsia="zh-CN"/>
        </w:rPr>
        <w:t>信息内容包括事项</w:t>
      </w:r>
      <w:r>
        <w:rPr>
          <w:rFonts w:hint="default"/>
          <w:lang w:val="en-US" w:eastAsia="zh-CN"/>
        </w:rPr>
        <w:t>情况、</w:t>
      </w:r>
      <w:r>
        <w:rPr>
          <w:rFonts w:hint="eastAsia"/>
          <w:lang w:val="en-US" w:eastAsia="zh-CN"/>
        </w:rPr>
        <w:t>反馈内容及时限等</w:t>
      </w:r>
      <w:r>
        <w:rPr>
          <w:rFonts w:hint="default"/>
          <w:lang w:val="en-US" w:eastAsia="zh-CN"/>
        </w:rPr>
        <w:t>。</w:t>
      </w:r>
    </w:p>
    <w:p w14:paraId="5CD2B187">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反馈</w:t>
      </w:r>
      <w:r>
        <w:rPr>
          <w:rFonts w:hint="eastAsia"/>
          <w:lang w:val="en-US" w:eastAsia="zh-CN"/>
        </w:rPr>
        <w:t>要求</w:t>
      </w:r>
      <w:r>
        <w:rPr>
          <w:rFonts w:hint="default"/>
          <w:lang w:val="en-US" w:eastAsia="zh-CN"/>
        </w:rPr>
        <w:t>：</w:t>
      </w:r>
      <w:r>
        <w:rPr>
          <w:rFonts w:hint="eastAsia"/>
          <w:lang w:val="en-US" w:eastAsia="zh-CN"/>
        </w:rPr>
        <w:t>相关单位</w:t>
      </w:r>
      <w:r>
        <w:rPr>
          <w:rFonts w:hint="default"/>
          <w:lang w:val="en-US" w:eastAsia="zh-CN"/>
        </w:rPr>
        <w:t>收到</w:t>
      </w:r>
      <w:r>
        <w:rPr>
          <w:rFonts w:hint="eastAsia"/>
          <w:lang w:val="en-US" w:eastAsia="zh-CN"/>
        </w:rPr>
        <w:t>事项</w:t>
      </w:r>
      <w:r>
        <w:rPr>
          <w:rFonts w:hint="default"/>
          <w:lang w:val="en-US" w:eastAsia="zh-CN"/>
        </w:rPr>
        <w:t>信息后，按照要求进行</w:t>
      </w:r>
      <w:r>
        <w:rPr>
          <w:rFonts w:hint="eastAsia"/>
          <w:lang w:val="en-US" w:eastAsia="zh-CN"/>
        </w:rPr>
        <w:t>落实</w:t>
      </w:r>
      <w:r>
        <w:rPr>
          <w:rFonts w:hint="default"/>
          <w:lang w:val="en-US" w:eastAsia="zh-CN"/>
        </w:rPr>
        <w:t>，并在规定的时限内通过系统反馈结果。</w:t>
      </w:r>
    </w:p>
    <w:p w14:paraId="1A45F4F7">
      <w:pPr>
        <w:pStyle w:val="10"/>
        <w:keepNext/>
        <w:keepLines/>
        <w:pageBreakBefore w:val="0"/>
        <w:widowControl w:val="0"/>
        <w:numPr>
          <w:ilvl w:val="0"/>
          <w:numId w:val="72"/>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一般隐患处置流程</w:t>
      </w:r>
    </w:p>
    <w:p w14:paraId="5F5BBBCE">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隐患交</w:t>
      </w:r>
      <w:r>
        <w:rPr>
          <w:rFonts w:hint="default"/>
          <w:lang w:val="en-US" w:eastAsia="zh-CN"/>
        </w:rPr>
        <w:t>办：系统将一般隐患信息发送至相关矿企，详细说明隐患情况、判定依据、整改标准以及整改时限。</w:t>
      </w:r>
    </w:p>
    <w:p w14:paraId="65DBF7FE">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企业整改与反馈：矿企收到隐患信息后，按照要求进行整改，并在规定的整改时限内，通过系统反馈整改结果，包括整改措施、整改完成情况等。</w:t>
      </w:r>
    </w:p>
    <w:p w14:paraId="644D41C4">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AI跟踪与评估：</w:t>
      </w:r>
      <w:r>
        <w:rPr>
          <w:rFonts w:hint="eastAsia"/>
          <w:lang w:val="en-US" w:eastAsia="zh-CN"/>
        </w:rPr>
        <w:t>利用隐患处置</w:t>
      </w:r>
      <w:r>
        <w:rPr>
          <w:rFonts w:hint="default"/>
          <w:lang w:val="en-US" w:eastAsia="zh-CN"/>
        </w:rPr>
        <w:t>全流程闭环</w:t>
      </w:r>
      <w:r>
        <w:rPr>
          <w:rFonts w:hint="eastAsia"/>
          <w:lang w:val="en-US" w:eastAsia="zh-CN"/>
        </w:rPr>
        <w:t>模型</w:t>
      </w:r>
      <w:r>
        <w:rPr>
          <w:rFonts w:hint="default"/>
          <w:lang w:val="en-US" w:eastAsia="zh-CN"/>
        </w:rPr>
        <w:t>对企业反馈的整改情况进行分析评估，判断整改是否到位。同时，跟踪整改</w:t>
      </w:r>
      <w:r>
        <w:rPr>
          <w:rFonts w:hint="eastAsia"/>
          <w:lang w:val="en-US" w:eastAsia="zh-CN"/>
        </w:rPr>
        <w:t>进度</w:t>
      </w:r>
      <w:r>
        <w:rPr>
          <w:rFonts w:hint="default"/>
          <w:lang w:val="en-US" w:eastAsia="zh-CN"/>
        </w:rPr>
        <w:t>，若发现企业整改进度缓慢或存在问题，及时提醒企业加快整改进度。</w:t>
      </w:r>
    </w:p>
    <w:p w14:paraId="27E83F88">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超期与反复问题处理：对于超期未完成整改或隐患反复出现的</w:t>
      </w:r>
      <w:r>
        <w:rPr>
          <w:rFonts w:hint="eastAsia"/>
          <w:lang w:val="en-US" w:eastAsia="zh-CN"/>
        </w:rPr>
        <w:t>一般</w:t>
      </w:r>
      <w:r>
        <w:rPr>
          <w:rFonts w:hint="default"/>
          <w:lang w:val="en-US" w:eastAsia="zh-CN"/>
        </w:rPr>
        <w:t>隐患，系统将其视为严重问题。除了增加提醒频率和发送书面警告外，系统自动将相关信息推送至监管部门，监管部门</w:t>
      </w:r>
      <w:r>
        <w:rPr>
          <w:rFonts w:hint="eastAsia"/>
          <w:lang w:val="en-US" w:eastAsia="zh-CN"/>
        </w:rPr>
        <w:t>可</w:t>
      </w:r>
      <w:r>
        <w:rPr>
          <w:rFonts w:hint="default"/>
          <w:lang w:val="en-US" w:eastAsia="zh-CN"/>
        </w:rPr>
        <w:t>根据情况进行立案调查，依法对企业采取相应的处罚措施，并监督企业完成整改。</w:t>
      </w:r>
    </w:p>
    <w:p w14:paraId="4A37BD50">
      <w:pPr>
        <w:pStyle w:val="10"/>
        <w:keepNext/>
        <w:keepLines/>
        <w:pageBreakBefore w:val="0"/>
        <w:widowControl w:val="0"/>
        <w:numPr>
          <w:ilvl w:val="0"/>
          <w:numId w:val="72"/>
        </w:numPr>
        <w:tabs>
          <w:tab w:val="left" w:pos="420"/>
        </w:tabs>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重大事故隐患处置流程</w:t>
      </w:r>
    </w:p>
    <w:p w14:paraId="6B3CE6E6">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隐患交办与告知：系统将重大事故隐患信息迅速发送至相关矿企，明确告知隐患的严重性、可能导致的后果、整改标准以及严格的整改时限。同时，将该重大事故隐患信息同步推送至监管部门。</w:t>
      </w:r>
    </w:p>
    <w:p w14:paraId="4333A45B">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企业整改与反馈：矿企在收到重大事故隐患信息后，立即制定详细的整改方案，并在规定时间内提交至系统。整改过程中，企业需定期向系统反馈整改进度。整改完成后，提交全面的整改报告，包括整改措施的实施情况、整改效果评估等。</w:t>
      </w:r>
    </w:p>
    <w:p w14:paraId="1EAA7D01">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AI跟踪与评估：利用</w:t>
      </w:r>
      <w:r>
        <w:rPr>
          <w:rFonts w:hint="eastAsia"/>
          <w:lang w:val="en-US" w:eastAsia="zh-CN"/>
        </w:rPr>
        <w:t>隐患处置</w:t>
      </w:r>
      <w:r>
        <w:rPr>
          <w:rFonts w:hint="default"/>
          <w:lang w:val="en-US" w:eastAsia="zh-CN"/>
        </w:rPr>
        <w:t>全流程闭环</w:t>
      </w:r>
      <w:r>
        <w:rPr>
          <w:rFonts w:hint="eastAsia"/>
          <w:lang w:val="en-US" w:eastAsia="zh-CN"/>
        </w:rPr>
        <w:t>模型</w:t>
      </w:r>
      <w:r>
        <w:rPr>
          <w:rFonts w:hint="default"/>
          <w:lang w:val="en-US" w:eastAsia="zh-CN"/>
        </w:rPr>
        <w:t>对企业的整改方案和整改进度进行实时跟踪和评估。</w:t>
      </w:r>
      <w:r>
        <w:rPr>
          <w:rFonts w:hint="eastAsia"/>
          <w:lang w:val="en-US" w:eastAsia="zh-CN"/>
        </w:rPr>
        <w:t>隐患处置</w:t>
      </w:r>
      <w:r>
        <w:rPr>
          <w:rFonts w:hint="default"/>
          <w:lang w:val="en-US" w:eastAsia="zh-CN"/>
        </w:rPr>
        <w:t>全流程闭环</w:t>
      </w:r>
      <w:r>
        <w:rPr>
          <w:rFonts w:hint="eastAsia"/>
          <w:lang w:val="en-US" w:eastAsia="zh-CN"/>
        </w:rPr>
        <w:t>模型</w:t>
      </w:r>
      <w:r>
        <w:rPr>
          <w:rFonts w:hint="default"/>
          <w:lang w:val="en-US" w:eastAsia="zh-CN"/>
        </w:rPr>
        <w:t>根据预设的规则和标准，判断企业的整改措施是否有效、整改进度是否符合要求。若发现问题，及时向企业和监管部门发出预警。</w:t>
      </w:r>
    </w:p>
    <w:p w14:paraId="14DC10DC">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超期与反复问题处理：对于超期未完成整改或隐患反复出现的重大事故隐患，系统将其视为严重问题。除了增加提醒频率和发送书面警告外，系统自动将相关信息推送至监管部门，监管部门</w:t>
      </w:r>
      <w:r>
        <w:rPr>
          <w:rFonts w:hint="eastAsia"/>
          <w:lang w:val="en-US" w:eastAsia="zh-CN"/>
        </w:rPr>
        <w:t>可</w:t>
      </w:r>
      <w:r>
        <w:rPr>
          <w:rFonts w:hint="default"/>
          <w:lang w:val="en-US" w:eastAsia="zh-CN"/>
        </w:rPr>
        <w:t>根据情况进行立案调查，依法对企业采取相应的处罚措施，并监督企业完成整改。</w:t>
      </w:r>
    </w:p>
    <w:p w14:paraId="0BCC7486">
      <w:pPr>
        <w:pStyle w:val="36"/>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5"/>
        <w:rPr>
          <w:rFonts w:hint="eastAsia"/>
          <w:b/>
          <w:bCs w:val="0"/>
          <w:lang w:val="en-US" w:eastAsia="zh-CN"/>
        </w:rPr>
      </w:pPr>
      <w:r>
        <w:rPr>
          <w:rFonts w:hint="eastAsia"/>
          <w:b/>
          <w:bCs w:val="0"/>
          <w:lang w:val="en-US" w:eastAsia="zh-CN"/>
        </w:rPr>
        <w:t>大模型通用能力支撑</w:t>
      </w:r>
    </w:p>
    <w:p w14:paraId="7AF85DD6">
      <w:pPr>
        <w:pStyle w:val="47"/>
        <w:pageBreakBefore w:val="0"/>
        <w:numPr>
          <w:ilvl w:val="0"/>
          <w:numId w:val="73"/>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语言模型能力支撑</w:t>
      </w:r>
    </w:p>
    <w:p w14:paraId="54D2B5EE">
      <w:pPr>
        <w:pStyle w:val="10"/>
        <w:keepNext/>
        <w:keepLines/>
        <w:pageBreakBefore w:val="0"/>
        <w:widowControl w:val="0"/>
        <w:numPr>
          <w:ilvl w:val="0"/>
          <w:numId w:val="74"/>
        </w:numPr>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非结构化数据解析</w:t>
      </w:r>
    </w:p>
    <w:p w14:paraId="2526D5B6">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利用LLM从非结构化数据中提取结构化内容，并构建知识图谱</w:t>
      </w:r>
      <w:r>
        <w:rPr>
          <w:rFonts w:hint="eastAsia"/>
          <w:lang w:val="en-US" w:eastAsia="zh-CN"/>
        </w:rPr>
        <w:t>在</w:t>
      </w:r>
      <w:r>
        <w:rPr>
          <w:rFonts w:hint="default"/>
          <w:lang w:val="en-US" w:eastAsia="zh-CN"/>
        </w:rPr>
        <w:t>问答助手、隐患排查关联等</w:t>
      </w:r>
      <w:r>
        <w:rPr>
          <w:rFonts w:hint="eastAsia"/>
          <w:lang w:val="en-US" w:eastAsia="zh-CN"/>
        </w:rPr>
        <w:t>场景</w:t>
      </w:r>
      <w:r>
        <w:rPr>
          <w:rFonts w:hint="default"/>
          <w:lang w:val="en-US" w:eastAsia="zh-CN"/>
        </w:rPr>
        <w:t>应用</w:t>
      </w:r>
      <w:r>
        <w:rPr>
          <w:rFonts w:hint="eastAsia"/>
          <w:lang w:val="en-US" w:eastAsia="zh-CN"/>
        </w:rPr>
        <w:t>中</w:t>
      </w:r>
      <w:r>
        <w:rPr>
          <w:rFonts w:hint="default"/>
          <w:lang w:val="en-US" w:eastAsia="zh-CN"/>
        </w:rPr>
        <w:t>使用。</w:t>
      </w:r>
    </w:p>
    <w:p w14:paraId="6EC7635C">
      <w:pPr>
        <w:pStyle w:val="10"/>
        <w:keepNext/>
        <w:keepLines/>
        <w:pageBreakBefore w:val="0"/>
        <w:widowControl w:val="0"/>
        <w:numPr>
          <w:ilvl w:val="0"/>
          <w:numId w:val="74"/>
        </w:numPr>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表单自动生成</w:t>
      </w:r>
    </w:p>
    <w:p w14:paraId="3B4A3C4A">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根据一矿一档、上传的政策文件等具体内容，自动生成隐患排查表、企业月度考核表等表单。</w:t>
      </w:r>
    </w:p>
    <w:p w14:paraId="304F9EA5">
      <w:pPr>
        <w:pStyle w:val="10"/>
        <w:keepNext/>
        <w:keepLines/>
        <w:pageBreakBefore w:val="0"/>
        <w:widowControl w:val="0"/>
        <w:numPr>
          <w:ilvl w:val="0"/>
          <w:numId w:val="74"/>
        </w:numPr>
        <w:kinsoku/>
        <w:wordWrap/>
        <w:overflowPunct/>
        <w:topLinePunct w:val="0"/>
        <w:autoSpaceDE/>
        <w:autoSpaceDN/>
        <w:bidi w:val="0"/>
        <w:adjustRightInd w:val="0"/>
        <w:snapToGrid w:val="0"/>
        <w:spacing w:before="0" w:after="0" w:line="360" w:lineRule="auto"/>
        <w:ind w:left="0" w:leftChars="0" w:firstLine="48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材料自检与纠错</w:t>
      </w:r>
    </w:p>
    <w:p w14:paraId="4375FCEE">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实时校验企业填报内容完整性及逻辑合理性（如数值范围、格式合规性），联动企业数据库，对异常波动数据（如月度产量突增）进行标记，错误字段高亮提示并给出修正建议。</w:t>
      </w:r>
    </w:p>
    <w:p w14:paraId="2D5944EC">
      <w:pPr>
        <w:pStyle w:val="10"/>
        <w:pageBreakBefore w:val="0"/>
        <w:numPr>
          <w:ilvl w:val="0"/>
          <w:numId w:val="74"/>
        </w:numPr>
        <w:tabs>
          <w:tab w:val="left" w:pos="420"/>
        </w:tabs>
        <w:kinsoku/>
        <w:wordWrap/>
        <w:overflowPunct/>
        <w:topLinePunct w:val="0"/>
        <w:autoSpaceDE/>
        <w:autoSpaceDN/>
        <w:bidi w:val="0"/>
        <w:adjustRightInd w:val="0"/>
        <w:snapToGrid w:val="0"/>
        <w:spacing w:before="0" w:after="0" w:line="360" w:lineRule="auto"/>
        <w:ind w:left="0" w:firstLine="64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人机交互能力</w:t>
      </w:r>
    </w:p>
    <w:p w14:paraId="3F2E8BF3">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基于大模型（LLM）+多模态交互技术，构建矿山监管领域专属AI助手，以虚拟数字人形象为交互入口，深度融合</w:t>
      </w:r>
      <w:r>
        <w:rPr>
          <w:rFonts w:hint="eastAsia"/>
          <w:lang w:val="en-US" w:eastAsia="zh-CN"/>
        </w:rPr>
        <w:t>系统</w:t>
      </w:r>
      <w:r>
        <w:rPr>
          <w:rFonts w:hint="default"/>
          <w:lang w:val="en-US" w:eastAsia="zh-CN"/>
        </w:rPr>
        <w:t>业务场景，</w:t>
      </w:r>
      <w:r>
        <w:rPr>
          <w:rFonts w:hint="eastAsia"/>
          <w:lang w:val="en-US" w:eastAsia="zh-CN"/>
        </w:rPr>
        <w:t>提供</w:t>
      </w:r>
      <w:r>
        <w:rPr>
          <w:rFonts w:hint="default"/>
          <w:lang w:val="en-US" w:eastAsia="zh-CN"/>
        </w:rPr>
        <w:t>基于专用模型开发的智能问答、统一系统入口等应用</w:t>
      </w:r>
      <w:r>
        <w:rPr>
          <w:rFonts w:hint="eastAsia"/>
          <w:lang w:val="en-US" w:eastAsia="zh-CN"/>
        </w:rPr>
        <w:t>功能，实现</w:t>
      </w:r>
      <w:r>
        <w:rPr>
          <w:rFonts w:hint="default"/>
          <w:lang w:val="en-US" w:eastAsia="zh-CN"/>
        </w:rPr>
        <w:t>跨平台（PC/移动端）智能化服务，推动监管效率与用户体验双重升级。</w:t>
      </w:r>
    </w:p>
    <w:p w14:paraId="5C1F9E3D">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根据用户账号权限实现按权限分级查询功能，监管部门和企业可根据自身权限检索汇总系统内的各类信息，支持语音和文字输入查询。包括法律法规库、政策要求、自身固有风险等，并能输出针对矿山隐患、预警处置的依据、整改建议。</w:t>
      </w:r>
    </w:p>
    <w:p w14:paraId="6503C503">
      <w:pPr>
        <w:pStyle w:val="47"/>
        <w:pageBreakBefore w:val="0"/>
        <w:numPr>
          <w:ilvl w:val="0"/>
          <w:numId w:val="73"/>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多模态模型能力支撑</w:t>
      </w:r>
    </w:p>
    <w:p w14:paraId="4C5D4215">
      <w:pPr>
        <w:pStyle w:val="10"/>
        <w:keepNext w:val="0"/>
        <w:keepLines w:val="0"/>
        <w:pageBreakBefore w:val="0"/>
        <w:widowControl/>
        <w:numPr>
          <w:ilvl w:val="5"/>
          <w:numId w:val="75"/>
        </w:numPr>
        <w:kinsoku/>
        <w:wordWrap/>
        <w:overflowPunct/>
        <w:topLinePunct w:val="0"/>
        <w:autoSpaceDE/>
        <w:autoSpaceDN/>
        <w:bidi w:val="0"/>
        <w:adjustRightInd w:val="0"/>
        <w:snapToGrid w:val="0"/>
        <w:spacing w:before="0" w:after="0" w:line="360" w:lineRule="auto"/>
        <w:ind w:left="0" w:leftChars="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视觉算法二次训练与迭代优化</w:t>
      </w:r>
    </w:p>
    <w:p w14:paraId="6C2A785E">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利用多模态大模型的理解和推理能力，在视觉特征感知的基础上，结合图像语义理解进行 综合分析推理，对视觉算法生成的预警预报进行二次核准，提高其准确率。</w:t>
      </w:r>
      <w:r>
        <w:rPr>
          <w:rFonts w:hint="eastAsia"/>
          <w:lang w:val="en-US" w:eastAsia="zh-CN"/>
        </w:rPr>
        <w:t>定期评估与校准模型：设定固定的评估周期（如每周、每月），评估指标包括误报率、漏报率等。根据评估结果，对模型进行校准和调整。</w:t>
      </w:r>
    </w:p>
    <w:p w14:paraId="1A6EA2F5">
      <w:pPr>
        <w:pStyle w:val="10"/>
        <w:keepNext w:val="0"/>
        <w:keepLines w:val="0"/>
        <w:pageBreakBefore w:val="0"/>
        <w:widowControl/>
        <w:numPr>
          <w:ilvl w:val="5"/>
          <w:numId w:val="75"/>
        </w:numPr>
        <w:kinsoku/>
        <w:wordWrap/>
        <w:overflowPunct/>
        <w:topLinePunct w:val="0"/>
        <w:autoSpaceDE/>
        <w:autoSpaceDN/>
        <w:bidi w:val="0"/>
        <w:adjustRightInd w:val="0"/>
        <w:snapToGrid w:val="0"/>
        <w:spacing w:before="0" w:after="0" w:line="360" w:lineRule="auto"/>
        <w:ind w:left="0" w:leftChars="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自然语言生成视觉算法</w:t>
      </w:r>
    </w:p>
    <w:p w14:paraId="69DD95A2">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通过自然语言描述、图片识别及自定义正反规则文本实现快速生成初始视觉算法。</w:t>
      </w:r>
    </w:p>
    <w:p w14:paraId="4B1E3D6C">
      <w:pPr>
        <w:pStyle w:val="10"/>
        <w:keepNext w:val="0"/>
        <w:keepLines w:val="0"/>
        <w:pageBreakBefore w:val="0"/>
        <w:widowControl/>
        <w:numPr>
          <w:ilvl w:val="5"/>
          <w:numId w:val="75"/>
        </w:numPr>
        <w:kinsoku/>
        <w:wordWrap/>
        <w:overflowPunct/>
        <w:topLinePunct w:val="0"/>
        <w:autoSpaceDE/>
        <w:autoSpaceDN/>
        <w:bidi w:val="0"/>
        <w:adjustRightInd w:val="0"/>
        <w:snapToGrid w:val="0"/>
        <w:spacing w:before="0" w:after="0" w:line="360" w:lineRule="auto"/>
        <w:ind w:left="0" w:leftChars="0" w:firstLineChars="200"/>
        <w:textAlignment w:val="auto"/>
        <w:outlineLvl w:val="7"/>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开放式视觉内容检索</w:t>
      </w:r>
    </w:p>
    <w:p w14:paraId="57ABFD13">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基于多模态大模型，预警图片与自然语言描述映射到同一高维度向量空间，从而</w:t>
      </w:r>
      <w:r>
        <w:rPr>
          <w:rFonts w:hint="eastAsia"/>
          <w:lang w:val="en-US" w:eastAsia="zh-CN"/>
        </w:rPr>
        <w:t>在问答助手中</w:t>
      </w:r>
      <w:r>
        <w:rPr>
          <w:rFonts w:hint="default"/>
          <w:lang w:val="en-US" w:eastAsia="zh-CN"/>
        </w:rPr>
        <w:t>实现基于人、物、隐患、地点</w:t>
      </w:r>
      <w:r>
        <w:rPr>
          <w:rFonts w:hint="eastAsia"/>
          <w:lang w:val="en-US" w:eastAsia="zh-CN"/>
        </w:rPr>
        <w:t>等要素</w:t>
      </w:r>
      <w:r>
        <w:rPr>
          <w:rFonts w:hint="default"/>
          <w:lang w:val="en-US" w:eastAsia="zh-CN"/>
        </w:rPr>
        <w:t>的开放式文搜图、图搜图以及目标预警。</w:t>
      </w:r>
    </w:p>
    <w:p w14:paraId="6788BCBE">
      <w:pPr>
        <w:pStyle w:val="37"/>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lang w:val="en-US" w:eastAsia="zh-CN"/>
        </w:rPr>
      </w:pPr>
      <w:bookmarkStart w:id="292" w:name="_Toc317909969"/>
      <w:r>
        <w:rPr>
          <w:rFonts w:hint="eastAsia"/>
          <w:lang w:val="en-US" w:eastAsia="zh-CN"/>
        </w:rPr>
        <w:t>三维应用支撑服务</w:t>
      </w:r>
      <w:bookmarkEnd w:id="292"/>
    </w:p>
    <w:p w14:paraId="6F1FC8AB">
      <w:pPr>
        <w:pStyle w:val="5"/>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完成不少于50座矿山（尾矿库）的三维应用支撑服务。</w:t>
      </w:r>
    </w:p>
    <w:p w14:paraId="71491656">
      <w:pPr>
        <w:pStyle w:val="36"/>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5"/>
        <w:rPr>
          <w:rFonts w:hint="eastAsia"/>
          <w:b/>
          <w:bCs w:val="0"/>
          <w:lang w:val="en-US" w:eastAsia="zh-CN"/>
        </w:rPr>
      </w:pPr>
      <w:r>
        <w:rPr>
          <w:rFonts w:hint="eastAsia"/>
          <w:b/>
          <w:bCs w:val="0"/>
          <w:lang w:val="en-US" w:eastAsia="zh-CN"/>
        </w:rPr>
        <w:t>三维模型收集与整理</w:t>
      </w:r>
    </w:p>
    <w:p w14:paraId="220838DA">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矿山三维数据清洗。通过预处理与格式转换，将多源数据进行统一管理。首先需要对采集的三维数据进行全面分析，将不同来源的数据进行标准化处理并转换为统一的格式，如GLTF、OSGB或OBJ等格式，方便后续的存储、转换分析。</w:t>
      </w:r>
    </w:p>
    <w:p w14:paraId="3AC3C0C1">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基础地形处理。矿山三维数据是具备三维立体的空间数据，具备经纬度、高程等绝对位置坐标。在应用中还需要具备基础地形，才能够将矿山三维数据与地图相套合，避免出现三维模型悬浮和陷入等情形。采用基于GIS技术的空间数据库存储地形和三维模型数据。</w:t>
      </w:r>
    </w:p>
    <w:p w14:paraId="35C180C7">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监测监控设备空间数据清洗。矿山位置相关传感器等监控监测设备同样应当根据矿山三维数据的整理结果进行相应的位置定位，使相关传感器能够与实际位置匹配，能够套合到矿山三维数据中来。</w:t>
      </w:r>
    </w:p>
    <w:p w14:paraId="12F689D4">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坐标系要求：CSGS2000坐标系</w:t>
      </w:r>
    </w:p>
    <w:p w14:paraId="761ADFFC">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高程要求：1985国家高程基准</w:t>
      </w:r>
    </w:p>
    <w:p w14:paraId="32AD9650">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格式要求：OBJ、OSGB、GLTF等</w:t>
      </w:r>
    </w:p>
    <w:p w14:paraId="3FA4D4F7">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数据精度要求：平面和高程精度不低于原始数据精度。</w:t>
      </w:r>
    </w:p>
    <w:p w14:paraId="3CAAEA29">
      <w:pPr>
        <w:pStyle w:val="36"/>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5"/>
        <w:rPr>
          <w:rFonts w:hint="eastAsia"/>
          <w:b/>
          <w:bCs w:val="0"/>
          <w:lang w:val="en-US" w:eastAsia="zh-CN"/>
        </w:rPr>
      </w:pPr>
      <w:r>
        <w:rPr>
          <w:rFonts w:hint="eastAsia"/>
          <w:b/>
          <w:bCs w:val="0"/>
          <w:lang w:val="en-US" w:eastAsia="zh-CN"/>
        </w:rPr>
        <w:t>三维数据数据仓建库</w:t>
      </w:r>
    </w:p>
    <w:p w14:paraId="0A0778AD">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整理好的矿山三维数据应当在数字中心</w:t>
      </w:r>
      <w:r>
        <w:rPr>
          <w:rFonts w:hint="eastAsia"/>
          <w:lang w:val="en-US" w:eastAsia="zh-CN"/>
        </w:rPr>
        <w:t>原有</w:t>
      </w:r>
      <w:r>
        <w:rPr>
          <w:rFonts w:hint="default"/>
          <w:lang w:val="en-US" w:eastAsia="zh-CN"/>
        </w:rPr>
        <w:t>数据仓建库存储。</w:t>
      </w:r>
    </w:p>
    <w:p w14:paraId="5A9A316B">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数据库设计。多维数据存储：采用多维数据模型存储矿山三维数据。按照统一的数据标准和编码规范存储数据，确保数据的互操作性。</w:t>
      </w:r>
    </w:p>
    <w:p w14:paraId="627F24D1">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default"/>
          <w:lang w:val="en-US" w:eastAsia="zh-CN"/>
        </w:rPr>
        <w:t>数据管理功能。数据入库与导出：实现三维数据快速入库，支持海量数据的高效存储和数据快速下载。数据更新与维护：定期更新三维模型和相关数据，确保数据的时效性。数据备份与恢复：建立数据备份机制，确保数据安全。</w:t>
      </w:r>
    </w:p>
    <w:p w14:paraId="39339B34">
      <w:pPr>
        <w:pStyle w:val="36"/>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5"/>
        <w:rPr>
          <w:rFonts w:hint="eastAsia"/>
          <w:b/>
          <w:bCs w:val="0"/>
          <w:lang w:val="en-US" w:eastAsia="zh-CN"/>
        </w:rPr>
      </w:pPr>
      <w:r>
        <w:rPr>
          <w:rFonts w:hint="eastAsia"/>
          <w:b/>
          <w:bCs w:val="0"/>
          <w:lang w:val="en-US" w:eastAsia="zh-CN"/>
        </w:rPr>
        <w:t>三维数据服务发布</w:t>
      </w:r>
    </w:p>
    <w:p w14:paraId="1F29FC47">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发布平台。基于WebGIS、云平台等技术，将三维数据服务发布到矿山的管理平台或监控系统中。服务发布需遵循《实景三维数据接口及服务发布技术规范》等标准，确保数据服务的标准化和规范化。</w:t>
      </w:r>
    </w:p>
    <w:p w14:paraId="4D86E0B1">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服务功能。支持三维场景下的查询浏览、应用分析与可视化展示功能。</w:t>
      </w:r>
    </w:p>
    <w:p w14:paraId="7C2341DF">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数据转换与发布。面向Web服务的矿山三维数据应当转换为3DTiles格式的流媒体数据。</w:t>
      </w:r>
      <w:r>
        <w:rPr>
          <w:rFonts w:hint="eastAsia"/>
          <w:lang w:val="en-US" w:eastAsia="zh-CN"/>
        </w:rPr>
        <w:t>具备</w:t>
      </w:r>
      <w:r>
        <w:rPr>
          <w:rFonts w:hint="default"/>
          <w:lang w:val="en-US" w:eastAsia="zh-CN"/>
        </w:rPr>
        <w:t>osgb、gltf、obj等三维格式转换为3DTiles格式的</w:t>
      </w:r>
      <w:r>
        <w:rPr>
          <w:rFonts w:hint="eastAsia"/>
          <w:lang w:val="en-US" w:eastAsia="zh-CN"/>
        </w:rPr>
        <w:t>能力</w:t>
      </w:r>
      <w:r>
        <w:rPr>
          <w:rFonts w:hint="default"/>
          <w:lang w:val="en-US" w:eastAsia="zh-CN"/>
        </w:rPr>
        <w:t>，对整理好的三维数据进行整体转换，并进行根节点合并、数据简化等操作，使Web服务中数据传输与展示效率能够大幅提升。</w:t>
      </w:r>
    </w:p>
    <w:p w14:paraId="18D20D01">
      <w:pPr>
        <w:pStyle w:val="37"/>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lang w:val="en-US" w:eastAsia="zh-CN"/>
        </w:rPr>
      </w:pPr>
      <w:bookmarkStart w:id="293" w:name="_Toc173535247"/>
      <w:r>
        <w:rPr>
          <w:rFonts w:hint="eastAsia"/>
          <w:lang w:val="en-US" w:eastAsia="zh-CN"/>
        </w:rPr>
        <w:t>视频汇聚及算法平台支撑</w:t>
      </w:r>
      <w:bookmarkEnd w:id="293"/>
    </w:p>
    <w:p w14:paraId="0B0AC3DD">
      <w:pPr>
        <w:pStyle w:val="36"/>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5"/>
        <w:rPr>
          <w:rFonts w:hint="eastAsia"/>
          <w:b/>
          <w:bCs w:val="0"/>
          <w:lang w:val="en-US" w:eastAsia="zh-CN"/>
        </w:rPr>
      </w:pPr>
      <w:r>
        <w:rPr>
          <w:rFonts w:hint="eastAsia"/>
          <w:b/>
          <w:bCs w:val="0"/>
          <w:lang w:val="en-US" w:eastAsia="zh-CN"/>
        </w:rPr>
        <w:t>智能分析设备</w:t>
      </w:r>
    </w:p>
    <w:p w14:paraId="6BE8A5E0">
      <w:pPr>
        <w:pStyle w:val="47"/>
        <w:pageBreakBefore w:val="0"/>
        <w:numPr>
          <w:ilvl w:val="0"/>
          <w:numId w:val="76"/>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性能参数</w:t>
      </w:r>
    </w:p>
    <w:p w14:paraId="027DE555">
      <w:pPr>
        <w:pStyle w:val="48"/>
        <w:pageBreakBefore w:val="0"/>
        <w:numPr>
          <w:ilvl w:val="0"/>
          <w:numId w:val="77"/>
        </w:numPr>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★自主可控设备，服务器不低于512 TOPS INT8算力，不低于128路1080P视频多算法智能解析；</w:t>
      </w:r>
    </w:p>
    <w:p w14:paraId="51980AE5">
      <w:pPr>
        <w:pStyle w:val="48"/>
        <w:pageBreakBefore w:val="0"/>
        <w:numPr>
          <w:ilvl w:val="0"/>
          <w:numId w:val="77"/>
        </w:numPr>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CPU主频率≥2.2GHz；</w:t>
      </w:r>
    </w:p>
    <w:p w14:paraId="35AAD756">
      <w:pPr>
        <w:pStyle w:val="48"/>
        <w:pageBreakBefore w:val="0"/>
        <w:numPr>
          <w:ilvl w:val="0"/>
          <w:numId w:val="77"/>
        </w:numPr>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内存配置≥32G DDR4；</w:t>
      </w:r>
    </w:p>
    <w:p w14:paraId="3192971A">
      <w:pPr>
        <w:pStyle w:val="48"/>
        <w:pageBreakBefore w:val="0"/>
        <w:numPr>
          <w:ilvl w:val="0"/>
          <w:numId w:val="77"/>
        </w:numPr>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网口不少于4个千兆电口；</w:t>
      </w:r>
    </w:p>
    <w:p w14:paraId="1B73976A">
      <w:pPr>
        <w:pStyle w:val="48"/>
        <w:pageBreakBefore w:val="0"/>
        <w:numPr>
          <w:ilvl w:val="0"/>
          <w:numId w:val="77"/>
        </w:numPr>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支持双电源，支持热插拔，支持1+1冗余备份，一个电源损坏的情况下，仍可正常运行。</w:t>
      </w:r>
    </w:p>
    <w:p w14:paraId="72DA0E2F">
      <w:pPr>
        <w:pStyle w:val="48"/>
        <w:pageBreakBefore w:val="0"/>
        <w:numPr>
          <w:ilvl w:val="0"/>
          <w:numId w:val="77"/>
        </w:numPr>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需按要求接入省应急管理厅视频汇聚平台（由省应急管理厅视频汇聚平台提供标准api接口进行对接），由省应急管理厅视频汇聚平台对硬件、算法部署进行统一管理。需保持开放性以及算法管理规范性，可接入多厂商算法。</w:t>
      </w:r>
    </w:p>
    <w:p w14:paraId="04A55993">
      <w:pPr>
        <w:pStyle w:val="47"/>
        <w:pageBreakBefore w:val="0"/>
        <w:numPr>
          <w:ilvl w:val="0"/>
          <w:numId w:val="76"/>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部署要求</w:t>
      </w:r>
    </w:p>
    <w:p w14:paraId="6CB25325">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本次采购的视频智能分析设备总数为14台，部署在省厅、10个地市（除嘉兴外）机房。</w:t>
      </w:r>
    </w:p>
    <w:p w14:paraId="61FBD466">
      <w:pPr>
        <w:pStyle w:val="47"/>
        <w:pageBreakBefore w:val="0"/>
        <w:numPr>
          <w:ilvl w:val="0"/>
          <w:numId w:val="76"/>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质保要求</w:t>
      </w:r>
    </w:p>
    <w:p w14:paraId="6247220B">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自最终验收合格后起智能分析设备整体质保5年。投标人须在充分考虑本项目所投设备的情况下，针对所投产品的易损件更换、返厂维修以及软硬件升级提供明确详细的工作流程。若出现无法排除的故障，投标人须无条件为甲方更换同型号产品。质保期内因设备本身缺陷造成各种故障应由原厂厂家技术服务和维修。</w:t>
      </w:r>
    </w:p>
    <w:p w14:paraId="37A9BEED">
      <w:pPr>
        <w:pStyle w:val="36"/>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5"/>
        <w:rPr>
          <w:rFonts w:hint="eastAsia"/>
          <w:b/>
          <w:bCs w:val="0"/>
          <w:lang w:val="en-US" w:eastAsia="zh-CN"/>
        </w:rPr>
      </w:pPr>
      <w:r>
        <w:rPr>
          <w:rFonts w:hint="eastAsia"/>
          <w:b/>
          <w:bCs w:val="0"/>
          <w:lang w:val="en-US" w:eastAsia="zh-CN"/>
        </w:rPr>
        <w:t>视频算法模型</w:t>
      </w:r>
    </w:p>
    <w:p w14:paraId="5A461519">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根据业务需要，提供或定制开发不少于23种算法，包含但不限于：</w:t>
      </w:r>
    </w:p>
    <w:p w14:paraId="4C1FD8C2">
      <w:pPr>
        <w:pStyle w:val="47"/>
        <w:pageBreakBefore w:val="0"/>
        <w:numPr>
          <w:ilvl w:val="0"/>
          <w:numId w:val="78"/>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人员倒地模型</w:t>
      </w:r>
    </w:p>
    <w:p w14:paraId="0A07083E">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通过识别矿山所有视频监控区域内，系统自动识别人员倒地风险。如作业人员突然倒地（如突发疾病、物体打击）等。</w:t>
      </w:r>
    </w:p>
    <w:p w14:paraId="0FFB6E6C">
      <w:pPr>
        <w:pStyle w:val="47"/>
        <w:pageBreakBefore w:val="0"/>
        <w:numPr>
          <w:ilvl w:val="0"/>
          <w:numId w:val="78"/>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人员睡岗模型</w:t>
      </w:r>
    </w:p>
    <w:p w14:paraId="52D2A5E0">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通过识别企业安全生产值班室、矿山企业安全生产监控中心、提升机房、井口信号房等视频监控，系统自动识别人员睡岗风险。如固定岗位人员长时间闭眼或低头不动（超过20分钟）。</w:t>
      </w:r>
    </w:p>
    <w:p w14:paraId="7AA25929">
      <w:pPr>
        <w:pStyle w:val="47"/>
        <w:pageBreakBefore w:val="0"/>
        <w:numPr>
          <w:ilvl w:val="0"/>
          <w:numId w:val="78"/>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人员离岗模型</w:t>
      </w:r>
    </w:p>
    <w:p w14:paraId="06E868DA">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通过识别企业安全生产值班室、矿山企业安全生产监控中心、提升机房、井口信号房等视频监控，系统自动识别人员离岗风险。如固定岗位人员不在工位动（超过20分钟）。</w:t>
      </w:r>
    </w:p>
    <w:p w14:paraId="7A29AA44">
      <w:pPr>
        <w:pStyle w:val="47"/>
        <w:pageBreakBefore w:val="0"/>
        <w:numPr>
          <w:ilvl w:val="0"/>
          <w:numId w:val="78"/>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生产监测模型</w:t>
      </w:r>
    </w:p>
    <w:p w14:paraId="1BD6467F">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系统将自动识别出矿山生产作业情况。如：</w:t>
      </w:r>
    </w:p>
    <w:p w14:paraId="1346F30D">
      <w:pPr>
        <w:pStyle w:val="48"/>
        <w:pageBreakBefore w:val="0"/>
        <w:numPr>
          <w:ilvl w:val="0"/>
          <w:numId w:val="79"/>
        </w:numPr>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矿区道路出入口视频监控，检测到30分钟内运输车辆装载出入数量≥2；</w:t>
      </w:r>
    </w:p>
    <w:p w14:paraId="1D893739">
      <w:pPr>
        <w:pStyle w:val="48"/>
        <w:pageBreakBefore w:val="0"/>
        <w:numPr>
          <w:ilvl w:val="0"/>
          <w:numId w:val="79"/>
        </w:numPr>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矿山采场视频监控，检测到2分钟内运输车辆或挖掘铲装机械或凿岩设备作业；</w:t>
      </w:r>
    </w:p>
    <w:p w14:paraId="52860DB0">
      <w:pPr>
        <w:pStyle w:val="48"/>
        <w:pageBreakBefore w:val="0"/>
        <w:numPr>
          <w:ilvl w:val="0"/>
          <w:numId w:val="79"/>
        </w:numPr>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矿山运输道路视频监控，检测到30分钟内运输车辆运行数量≥2；</w:t>
      </w:r>
    </w:p>
    <w:p w14:paraId="7B3A72FC">
      <w:pPr>
        <w:pStyle w:val="48"/>
        <w:pageBreakBefore w:val="0"/>
        <w:numPr>
          <w:ilvl w:val="0"/>
          <w:numId w:val="79"/>
        </w:numPr>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视频运输行人井口视频监控，检测到入井人员超过2小时或运输车辆出入；</w:t>
      </w:r>
    </w:p>
    <w:p w14:paraId="67F70ADF">
      <w:pPr>
        <w:pStyle w:val="48"/>
        <w:pageBreakBefore w:val="0"/>
        <w:numPr>
          <w:ilvl w:val="0"/>
          <w:numId w:val="79"/>
        </w:numPr>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井下各生产中段的马头门及调车场视频监控，检测到入井人员超过2小时，或运输车辆出入。</w:t>
      </w:r>
    </w:p>
    <w:p w14:paraId="296654DC">
      <w:pPr>
        <w:pStyle w:val="47"/>
        <w:pageBreakBefore w:val="0"/>
        <w:numPr>
          <w:ilvl w:val="0"/>
          <w:numId w:val="78"/>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卸矿口车挡高度监测模型</w:t>
      </w:r>
    </w:p>
    <w:p w14:paraId="05A0D4A9">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通过一破卸矿口视频监控，系统将自动识别出车档和轮胎，算法分别输出两者目标框的四角坐标位置。</w:t>
      </w:r>
    </w:p>
    <w:p w14:paraId="6EDB575C">
      <w:pPr>
        <w:pStyle w:val="47"/>
        <w:pageBreakBefore w:val="0"/>
        <w:numPr>
          <w:ilvl w:val="0"/>
          <w:numId w:val="78"/>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一破“笼口”防护监测模型</w:t>
      </w:r>
    </w:p>
    <w:p w14:paraId="7D2E1158">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通过一破“笼口”视频监控，系统将自动识别出一破“笼口”防护不足风险。如检测到未设置防护罩或防护栏、人员进入笼口内部未系安全带。</w:t>
      </w:r>
    </w:p>
    <w:p w14:paraId="5B1AE504">
      <w:pPr>
        <w:pStyle w:val="47"/>
        <w:pageBreakBefore w:val="0"/>
        <w:numPr>
          <w:ilvl w:val="0"/>
          <w:numId w:val="78"/>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油库（油罐）火情监测模型</w:t>
      </w:r>
    </w:p>
    <w:p w14:paraId="28242A43">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通过油库（油罐）视频监控，系统将自动识别出油库（油罐）有火情风险。如检测到油罐旁有抽烟或动火作业。</w:t>
      </w:r>
    </w:p>
    <w:p w14:paraId="184C90EC">
      <w:pPr>
        <w:pStyle w:val="47"/>
        <w:pageBreakBefore w:val="0"/>
        <w:numPr>
          <w:ilvl w:val="0"/>
          <w:numId w:val="78"/>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自救器未佩戴监测模型</w:t>
      </w:r>
    </w:p>
    <w:p w14:paraId="57618818">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通过井下所有视频监控，系统自动识别出自救器未佩戴风险。如检测到井下人员未随身携带自救器或未正确佩戴。</w:t>
      </w:r>
    </w:p>
    <w:p w14:paraId="10560C5F">
      <w:pPr>
        <w:pStyle w:val="47"/>
        <w:pageBreakBefore w:val="0"/>
        <w:numPr>
          <w:ilvl w:val="0"/>
          <w:numId w:val="78"/>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“行人不行车、行车不行人”执行不到位模型</w:t>
      </w:r>
    </w:p>
    <w:p w14:paraId="6676976D">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通过斜井井口、井下各生产中段调车场视频监控，系统将自动识别出“行人不行车、行车不行人”执行不到位风险。如检测到斜井井筒中矿车与行人同时出现。</w:t>
      </w:r>
    </w:p>
    <w:p w14:paraId="1112361A">
      <w:pPr>
        <w:pStyle w:val="47"/>
        <w:pageBreakBefore w:val="0"/>
        <w:numPr>
          <w:ilvl w:val="0"/>
          <w:numId w:val="78"/>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五职矿长下井监测模型</w:t>
      </w:r>
    </w:p>
    <w:p w14:paraId="3F38374F">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通过井下视频监控、人员定位数据，系统将自动识别出五职矿长下井情况。如：</w:t>
      </w:r>
    </w:p>
    <w:p w14:paraId="29773B1A">
      <w:pPr>
        <w:pStyle w:val="48"/>
        <w:pageBreakBefore w:val="0"/>
        <w:numPr>
          <w:ilvl w:val="0"/>
          <w:numId w:val="80"/>
        </w:numPr>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井下视频监控，检测到主要负责人月度井下数量、五职矿长出入井视频时间与人员定位卡显示出入时间；</w:t>
      </w:r>
    </w:p>
    <w:p w14:paraId="4EE4E63A">
      <w:pPr>
        <w:pStyle w:val="48"/>
        <w:pageBreakBefore w:val="0"/>
        <w:numPr>
          <w:ilvl w:val="0"/>
          <w:numId w:val="80"/>
        </w:numPr>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人员定位数据，检测到五职矿长井下轨迹、五职矿长井下时长、视频检测下井人数。</w:t>
      </w:r>
    </w:p>
    <w:p w14:paraId="009C5BB5">
      <w:pPr>
        <w:pStyle w:val="47"/>
        <w:pageBreakBefore w:val="0"/>
        <w:numPr>
          <w:ilvl w:val="0"/>
          <w:numId w:val="78"/>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乘车人员数量监测模型</w:t>
      </w:r>
    </w:p>
    <w:p w14:paraId="4C8A0671">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通过斜井井口和井下各生产中段调车场视频监控、竖井口或马头门视频监控，系统将自动识别出乘车人员数量。如：</w:t>
      </w:r>
    </w:p>
    <w:p w14:paraId="0F0451CE">
      <w:pPr>
        <w:pStyle w:val="48"/>
        <w:pageBreakBefore w:val="0"/>
        <w:numPr>
          <w:ilvl w:val="0"/>
          <w:numId w:val="81"/>
        </w:numPr>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斜井井口、井下各生产中段调车场视频监控，检测进入人车数量；</w:t>
      </w:r>
    </w:p>
    <w:p w14:paraId="39F6F66C">
      <w:pPr>
        <w:pStyle w:val="48"/>
        <w:pageBreakBefore w:val="0"/>
        <w:numPr>
          <w:ilvl w:val="0"/>
          <w:numId w:val="81"/>
        </w:numPr>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竖井口或马头门视频监控，检测进入罐笼人员数量。</w:t>
      </w:r>
    </w:p>
    <w:p w14:paraId="65AD0349">
      <w:pPr>
        <w:pStyle w:val="47"/>
        <w:pageBreakBefore w:val="0"/>
        <w:numPr>
          <w:ilvl w:val="0"/>
          <w:numId w:val="78"/>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井下同时在岗总人数监测模型</w:t>
      </w:r>
    </w:p>
    <w:p w14:paraId="02006FCF">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通过运输行人井口视频监控，系统将自动识别出井下同时在岗总人数。如检测到井下同时在岗总人数。</w:t>
      </w:r>
    </w:p>
    <w:p w14:paraId="5B697BB6">
      <w:pPr>
        <w:pStyle w:val="47"/>
        <w:pageBreakBefore w:val="0"/>
        <w:numPr>
          <w:ilvl w:val="0"/>
          <w:numId w:val="78"/>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烟雾火灾模型</w:t>
      </w:r>
    </w:p>
    <w:p w14:paraId="3003EB67">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通过矿山所有视频监控，系统将自动识别出烟雾火灾风险。如检测到烟雾或明火。</w:t>
      </w:r>
    </w:p>
    <w:p w14:paraId="3E596C92">
      <w:pPr>
        <w:pStyle w:val="47"/>
        <w:pageBreakBefore w:val="0"/>
        <w:numPr>
          <w:ilvl w:val="0"/>
          <w:numId w:val="78"/>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水仓水位监测模型</w:t>
      </w:r>
    </w:p>
    <w:p w14:paraId="62307644">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通过水泵房视频监控，系统将自动识别出水仓水位超高风险。如检测到水仓水位超过警戒水位。</w:t>
      </w:r>
    </w:p>
    <w:p w14:paraId="7E373BE9">
      <w:pPr>
        <w:pStyle w:val="47"/>
        <w:pageBreakBefore w:val="0"/>
        <w:numPr>
          <w:ilvl w:val="0"/>
          <w:numId w:val="78"/>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井下透水监测模型</w:t>
      </w:r>
    </w:p>
    <w:p w14:paraId="4708D3A3">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通过井下各生产中段、水泵房视频监控，系统将自动识别出井下透水风险。如检测到巷道水位急速上升。</w:t>
      </w:r>
    </w:p>
    <w:p w14:paraId="739E6BC1">
      <w:pPr>
        <w:pStyle w:val="47"/>
        <w:pageBreakBefore w:val="0"/>
        <w:numPr>
          <w:ilvl w:val="0"/>
          <w:numId w:val="78"/>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井口动火作业井下人员未撤离模型</w:t>
      </w:r>
    </w:p>
    <w:p w14:paraId="0236E05B">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通过井口视频监控，系统将自动识别出井口的动火行为。通过人员定位系统，统计井下人员作业人员情况数量。</w:t>
      </w:r>
    </w:p>
    <w:p w14:paraId="530174E4">
      <w:pPr>
        <w:pStyle w:val="47"/>
        <w:pageBreakBefore w:val="0"/>
        <w:numPr>
          <w:ilvl w:val="0"/>
          <w:numId w:val="78"/>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运行尾矿库排洪系统进口有堵塞风险模型</w:t>
      </w:r>
    </w:p>
    <w:p w14:paraId="16AA8183">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通过运行尾矿库排洪系统进口视频监控，系统将自动识别出运行尾矿库排洪系统进口有堵塞风险。如检测到排水井上口积水达到异常水位。</w:t>
      </w:r>
    </w:p>
    <w:p w14:paraId="2C3768BF">
      <w:pPr>
        <w:pStyle w:val="47"/>
        <w:pageBreakBefore w:val="0"/>
        <w:numPr>
          <w:ilvl w:val="0"/>
          <w:numId w:val="78"/>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运行尾矿库区水位超高模型</w:t>
      </w:r>
    </w:p>
    <w:p w14:paraId="4B273166">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通过运行尾矿库区水位测量处视频监控，系统将自动识别出运行尾矿库区水位超高风险。如检测到监测水位超过标尺警戒水位。</w:t>
      </w:r>
    </w:p>
    <w:p w14:paraId="38E40B5B">
      <w:pPr>
        <w:pStyle w:val="47"/>
        <w:pageBreakBefore w:val="0"/>
        <w:numPr>
          <w:ilvl w:val="0"/>
          <w:numId w:val="78"/>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运行尾矿库区违规作业模型</w:t>
      </w:r>
    </w:p>
    <w:p w14:paraId="5F3CDF43">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通过运行尾矿库库区视频监控，检测到周边有取土或开挖现象、回采与排放同时进行，系统将自动识别出运行尾矿库区违规作业风险。</w:t>
      </w:r>
    </w:p>
    <w:p w14:paraId="281F4661">
      <w:pPr>
        <w:pStyle w:val="47"/>
        <w:pageBreakBefore w:val="0"/>
        <w:numPr>
          <w:ilvl w:val="0"/>
          <w:numId w:val="78"/>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尾矿库坝体下游坡管理不善模型</w:t>
      </w:r>
    </w:p>
    <w:p w14:paraId="48237571">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 xml:space="preserve">通过尾矿库坝体下游坡视频监控，系统将自动识别出尾矿库坝体下游坡管理不善风险。如检测到下游坡存在放牧现象、植被高度＞1米。 </w:t>
      </w:r>
    </w:p>
    <w:p w14:paraId="441A0FDB">
      <w:pPr>
        <w:pStyle w:val="47"/>
        <w:pageBreakBefore w:val="0"/>
        <w:numPr>
          <w:ilvl w:val="0"/>
          <w:numId w:val="78"/>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卸矿口声光报警设备运行不正常模型</w:t>
      </w:r>
    </w:p>
    <w:p w14:paraId="6408758F">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通过一破卸矿口视频监控，系统将自动识别出卸矿口声光报警设备运行不正常风险。如检测到卸矿时，声光报警不运行或无声光报警设备。</w:t>
      </w:r>
    </w:p>
    <w:p w14:paraId="03539947">
      <w:pPr>
        <w:pStyle w:val="47"/>
        <w:pageBreakBefore w:val="0"/>
        <w:numPr>
          <w:ilvl w:val="0"/>
          <w:numId w:val="78"/>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竖井提升系统未联锁模型</w:t>
      </w:r>
    </w:p>
    <w:p w14:paraId="45D26CFE">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通过井下各生产中段的马头门及调车场视频监控、竖井井口视频监控、信号房视频监控，系统将自动识别出竖井提升系统未联锁风险。如：</w:t>
      </w:r>
    </w:p>
    <w:p w14:paraId="7A57F9EF">
      <w:pPr>
        <w:pStyle w:val="48"/>
        <w:pageBreakBefore w:val="0"/>
        <w:numPr>
          <w:ilvl w:val="0"/>
          <w:numId w:val="82"/>
        </w:numPr>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井下各生产中段的马头门及调车场视频监控，检测到安全门未关闭，绞车运行或摇台未抬起，绞车运行；</w:t>
      </w:r>
    </w:p>
    <w:p w14:paraId="22EF654D">
      <w:pPr>
        <w:pStyle w:val="48"/>
        <w:pageBreakBefore w:val="0"/>
        <w:numPr>
          <w:ilvl w:val="0"/>
          <w:numId w:val="82"/>
        </w:numPr>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竖井井口视频监控，检测到安全门未关闭，绞车运行或摇台未抬起，绞车运行；</w:t>
      </w:r>
    </w:p>
    <w:p w14:paraId="40CD9DE4">
      <w:pPr>
        <w:pStyle w:val="48"/>
        <w:pageBreakBefore w:val="0"/>
        <w:numPr>
          <w:ilvl w:val="0"/>
          <w:numId w:val="82"/>
        </w:numPr>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信号房视频监控，检测到信号未发出（信号灯不亮），绞车运行。</w:t>
      </w:r>
    </w:p>
    <w:p w14:paraId="44858A3E">
      <w:pPr>
        <w:pStyle w:val="47"/>
        <w:pageBreakBefore w:val="0"/>
        <w:numPr>
          <w:ilvl w:val="0"/>
          <w:numId w:val="78"/>
        </w:numPr>
        <w:kinsoku/>
        <w:wordWrap/>
        <w:overflowPunct/>
        <w:topLinePunct w:val="0"/>
        <w:autoSpaceDE/>
        <w:autoSpaceDN/>
        <w:bidi w:val="0"/>
        <w:adjustRightInd w:val="0"/>
        <w:snapToGrid w:val="0"/>
        <w:spacing w:line="360" w:lineRule="auto"/>
        <w:ind w:left="0"/>
        <w:textAlignment w:val="auto"/>
        <w:outlineLvl w:val="6"/>
        <w:rPr>
          <w:rFonts w:hint="eastAsia"/>
          <w:b/>
          <w:bCs/>
          <w:u w:val="single"/>
          <w:lang w:val="en-US" w:eastAsia="zh-CN"/>
        </w:rPr>
      </w:pPr>
      <w:r>
        <w:rPr>
          <w:rFonts w:hint="eastAsia"/>
          <w:b/>
          <w:bCs/>
          <w:u w:val="single"/>
          <w:lang w:val="en-US" w:eastAsia="zh-CN"/>
        </w:rPr>
        <w:t>疑似发生险情模型</w:t>
      </w:r>
    </w:p>
    <w:p w14:paraId="1103CBEE">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通过井下所有视频监控，系统将自动识别出疑似发生险情风险。如检测到30秒内2人及以上作业人员跑动。</w:t>
      </w:r>
    </w:p>
    <w:p w14:paraId="7375D9F2">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p>
    <w:p w14:paraId="171266EF">
      <w:pPr>
        <w:pStyle w:val="38"/>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lang w:val="en-US" w:eastAsia="zh-CN"/>
        </w:rPr>
      </w:pPr>
      <w:bookmarkStart w:id="294" w:name="_Toc324103703"/>
      <w:bookmarkStart w:id="295" w:name="_Toc9254"/>
      <w:r>
        <w:rPr>
          <w:rFonts w:hint="eastAsia"/>
          <w:lang w:val="en-US" w:eastAsia="zh-CN"/>
        </w:rPr>
        <w:t>系统安全防护建设</w:t>
      </w:r>
      <w:bookmarkEnd w:id="294"/>
    </w:p>
    <w:p w14:paraId="0B2A91B5">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基于省密码服务平台构建功能齐全和运行稳定的网络安全防护能力，为三大专题系统和采掘施工专题子系统应用提供包括数据密文存储、分级访问控制、数据审计监控等通用能力组件。</w:t>
      </w:r>
    </w:p>
    <w:p w14:paraId="214B239D">
      <w:pPr>
        <w:pStyle w:val="37"/>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lang w:val="en-US" w:eastAsia="zh-CN"/>
        </w:rPr>
      </w:pPr>
      <w:bookmarkStart w:id="296" w:name="_Toc1192407529"/>
      <w:r>
        <w:rPr>
          <w:rFonts w:hint="eastAsia"/>
          <w:lang w:val="en-US" w:eastAsia="zh-CN"/>
        </w:rPr>
        <w:t>数据密文存储</w:t>
      </w:r>
      <w:bookmarkEnd w:id="296"/>
    </w:p>
    <w:p w14:paraId="512412DE">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针对敏感数据存储安全性，实现数据密文存储功能，确保数据在云端RDS数据库或本地备份数据库中均以密文形式存放，防止云平台、第三方托管机房或本地备份数据的泄露风险。</w:t>
      </w:r>
    </w:p>
    <w:p w14:paraId="79B33AEB">
      <w:pPr>
        <w:pStyle w:val="37"/>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lang w:val="en-US" w:eastAsia="zh-CN"/>
        </w:rPr>
      </w:pPr>
      <w:bookmarkStart w:id="297" w:name="_Toc475946099"/>
      <w:r>
        <w:rPr>
          <w:rFonts w:hint="eastAsia"/>
          <w:lang w:val="en-US" w:eastAsia="zh-CN"/>
        </w:rPr>
        <w:t>分级访问控制</w:t>
      </w:r>
      <w:bookmarkEnd w:id="297"/>
    </w:p>
    <w:p w14:paraId="706A48FF">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实现数据库分级访问权限控制和第三方维护人员“无明文”化管理，通过技术手段有效分离数据的可读权限和数据库结构管理权限，确保数据使用的安全性。</w:t>
      </w:r>
    </w:p>
    <w:p w14:paraId="1E0935EC">
      <w:pPr>
        <w:pStyle w:val="37"/>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lang w:val="en-US" w:eastAsia="zh-CN"/>
        </w:rPr>
      </w:pPr>
      <w:bookmarkStart w:id="298" w:name="_Toc1996984465"/>
      <w:r>
        <w:rPr>
          <w:rFonts w:hint="eastAsia"/>
          <w:lang w:val="en-US" w:eastAsia="zh-CN"/>
        </w:rPr>
        <w:t>数据审计监控</w:t>
      </w:r>
      <w:bookmarkEnd w:id="298"/>
    </w:p>
    <w:p w14:paraId="5BAF2088">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实现面向数据操作审计和风险控制应用场景，对数据全生命周期中的各类操作行为进行智能实时的监控和记录。</w:t>
      </w:r>
    </w:p>
    <w:p w14:paraId="6258BEDA">
      <w:pPr>
        <w:pStyle w:val="37"/>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lang w:val="en-US" w:eastAsia="zh-CN"/>
        </w:rPr>
      </w:pPr>
      <w:bookmarkStart w:id="299" w:name="_Toc295984292"/>
      <w:r>
        <w:rPr>
          <w:rFonts w:hint="eastAsia"/>
          <w:lang w:val="en-US" w:eastAsia="zh-CN"/>
        </w:rPr>
        <w:t>其他服务</w:t>
      </w:r>
      <w:bookmarkEnd w:id="299"/>
    </w:p>
    <w:bookmarkEnd w:id="295"/>
    <w:p w14:paraId="50EFAA41">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default"/>
          <w:lang w:val="en-US" w:eastAsia="zh-CN"/>
        </w:rPr>
        <w:t>为进一步夯实系统安全基础，依据国家信息安全等级保护三级标准，计划开展三级等保测评</w:t>
      </w:r>
      <w:r>
        <w:rPr>
          <w:rFonts w:hint="eastAsia"/>
          <w:lang w:val="en-US" w:eastAsia="zh-CN"/>
        </w:rPr>
        <w:t>、密评、第三方软件测评、代码审计以及信创符合性报告</w:t>
      </w:r>
      <w:r>
        <w:rPr>
          <w:rFonts w:hint="default"/>
          <w:lang w:val="en-US" w:eastAsia="zh-CN"/>
        </w:rPr>
        <w:t>，对平台的安全技术和安全管理体系进行全面评估，确保平台在物理安全、网络安全、主机安全、应用安全和数据安全等层面符合严格的安全规范</w:t>
      </w:r>
      <w:r>
        <w:rPr>
          <w:rFonts w:hint="eastAsia"/>
          <w:lang w:val="en-US" w:eastAsia="zh-CN"/>
        </w:rPr>
        <w:t>。</w:t>
      </w:r>
    </w:p>
    <w:p w14:paraId="2E373A2A">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p>
    <w:p w14:paraId="75AC23DA">
      <w:pPr>
        <w:pStyle w:val="43"/>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rPr>
      </w:pPr>
      <w:bookmarkStart w:id="300" w:name="_Toc14700"/>
      <w:bookmarkStart w:id="301" w:name="_Toc32614"/>
      <w:bookmarkStart w:id="302" w:name="_Toc15515"/>
      <w:bookmarkStart w:id="303" w:name="_Toc32314"/>
      <w:bookmarkStart w:id="304" w:name="_Toc1035869192"/>
      <w:bookmarkStart w:id="305" w:name="_Toc1248169739"/>
      <w:bookmarkStart w:id="306" w:name="_Toc21158"/>
      <w:bookmarkStart w:id="307" w:name="_Toc180439144"/>
      <w:bookmarkStart w:id="308" w:name="_Toc23330"/>
      <w:bookmarkStart w:id="309" w:name="_Toc21517"/>
      <w:bookmarkStart w:id="310" w:name="_Toc11480"/>
      <w:bookmarkStart w:id="311" w:name="_Toc29026"/>
      <w:bookmarkStart w:id="312" w:name="_Toc14213"/>
      <w:bookmarkStart w:id="313" w:name="_Toc7793"/>
      <w:bookmarkStart w:id="314" w:name="_Toc3955"/>
      <w:bookmarkStart w:id="315" w:name="_Toc7906"/>
      <w:bookmarkStart w:id="316" w:name="_Toc16814"/>
      <w:bookmarkStart w:id="317" w:name="_Toc15921"/>
      <w:bookmarkStart w:id="318" w:name="_Toc32357"/>
      <w:bookmarkStart w:id="319" w:name="_Toc15875"/>
      <w:bookmarkStart w:id="320" w:name="_Toc14770"/>
      <w:r>
        <w:rPr>
          <w:rFonts w:hint="eastAsia"/>
        </w:rPr>
        <w:t>建设其他要求</w:t>
      </w:r>
      <w:bookmarkEnd w:id="300"/>
      <w:bookmarkEnd w:id="301"/>
      <w:bookmarkEnd w:id="302"/>
      <w:bookmarkEnd w:id="303"/>
      <w:bookmarkEnd w:id="304"/>
      <w:bookmarkEnd w:id="305"/>
      <w:bookmarkEnd w:id="306"/>
      <w:bookmarkEnd w:id="307"/>
    </w:p>
    <w:bookmarkEnd w:id="308"/>
    <w:bookmarkEnd w:id="309"/>
    <w:bookmarkEnd w:id="310"/>
    <w:bookmarkEnd w:id="311"/>
    <w:bookmarkEnd w:id="312"/>
    <w:bookmarkEnd w:id="313"/>
    <w:bookmarkEnd w:id="314"/>
    <w:bookmarkEnd w:id="315"/>
    <w:bookmarkEnd w:id="316"/>
    <w:bookmarkEnd w:id="317"/>
    <w:bookmarkEnd w:id="318"/>
    <w:bookmarkEnd w:id="319"/>
    <w:bookmarkEnd w:id="320"/>
    <w:p w14:paraId="38FF2B3F">
      <w:pPr>
        <w:pStyle w:val="38"/>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default"/>
          <w:lang w:val="en-US" w:eastAsia="zh-CN"/>
        </w:rPr>
      </w:pPr>
      <w:bookmarkStart w:id="321" w:name="_Toc203583715"/>
      <w:bookmarkStart w:id="322" w:name="_Toc180439146"/>
      <w:bookmarkStart w:id="323" w:name="_Toc17559"/>
      <w:bookmarkStart w:id="324" w:name="_Toc12401"/>
      <w:r>
        <w:rPr>
          <w:rFonts w:hint="default"/>
          <w:lang w:val="en-US" w:eastAsia="zh-CN"/>
        </w:rPr>
        <w:t>项目实施方式</w:t>
      </w:r>
      <w:bookmarkEnd w:id="321"/>
    </w:p>
    <w:p w14:paraId="49BD604A">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合同签订后</w:t>
      </w:r>
      <w:r>
        <w:rPr>
          <w:rFonts w:hint="eastAsia"/>
          <w:lang w:val="en-US" w:eastAsia="zh-CN"/>
        </w:rPr>
        <w:t>5</w:t>
      </w:r>
      <w:r>
        <w:rPr>
          <w:rFonts w:hint="default"/>
          <w:lang w:val="en-US" w:eastAsia="zh-CN"/>
        </w:rPr>
        <w:t>0日内完成项目方案总体设计，</w:t>
      </w:r>
      <w:r>
        <w:rPr>
          <w:rFonts w:hint="eastAsia"/>
          <w:lang w:val="en-US" w:eastAsia="zh-CN"/>
        </w:rPr>
        <w:t>6个月内完成系统开发并上线试运行，试运行期结束后提交验收申请</w:t>
      </w:r>
      <w:r>
        <w:rPr>
          <w:rFonts w:hint="default"/>
          <w:lang w:val="en-US" w:eastAsia="zh-CN"/>
        </w:rPr>
        <w:t>。</w:t>
      </w:r>
    </w:p>
    <w:p w14:paraId="68932AC7">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项目必须严格按照系统软件工程的规范进行组织实施，制定严格的实施计划，建立完善的软件开发质量保证体系，在项目组织内部分工明确，并有充足的人力和物力保证项目的质量和进度要求。</w:t>
      </w:r>
    </w:p>
    <w:p w14:paraId="17F720FC">
      <w:pPr>
        <w:pStyle w:val="38"/>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default"/>
          <w:lang w:val="en-US" w:eastAsia="zh-CN"/>
        </w:rPr>
      </w:pPr>
      <w:bookmarkStart w:id="325" w:name="_Toc690048334"/>
      <w:r>
        <w:rPr>
          <w:rFonts w:hint="eastAsia"/>
          <w:lang w:val="en-US" w:eastAsia="zh-CN"/>
        </w:rPr>
        <w:t>实施人员要求</w:t>
      </w:r>
      <w:bookmarkEnd w:id="325"/>
    </w:p>
    <w:p w14:paraId="00C7AA38">
      <w:pPr>
        <w:pStyle w:val="39"/>
        <w:pageBreakBefore w:val="0"/>
        <w:kinsoku/>
        <w:wordWrap/>
        <w:overflowPunct/>
        <w:topLinePunct w:val="0"/>
        <w:autoSpaceDE/>
        <w:autoSpaceDN/>
        <w:bidi w:val="0"/>
        <w:adjustRightInd w:val="0"/>
        <w:snapToGrid w:val="0"/>
        <w:spacing w:line="360" w:lineRule="auto"/>
        <w:ind w:left="0"/>
        <w:textAlignment w:val="auto"/>
        <w:rPr>
          <w:rFonts w:hint="eastAsia"/>
          <w:lang w:eastAsia="zh-CN"/>
        </w:rPr>
      </w:pPr>
      <w:r>
        <w:rPr>
          <w:rFonts w:hint="eastAsia"/>
        </w:rPr>
        <w:t>投标人必须组建项目开发</w:t>
      </w:r>
      <w:r>
        <w:rPr>
          <w:rFonts w:hint="eastAsia"/>
          <w:lang w:val="en-US" w:eastAsia="zh-CN"/>
        </w:rPr>
        <w:t>保障</w:t>
      </w:r>
      <w:r>
        <w:rPr>
          <w:rFonts w:hint="eastAsia"/>
        </w:rPr>
        <w:t>团队，人员不少于</w:t>
      </w:r>
      <w:r>
        <w:rPr>
          <w:rFonts w:hint="eastAsia"/>
          <w:lang w:val="en-US" w:eastAsia="zh-CN"/>
        </w:rPr>
        <w:t>15</w:t>
      </w:r>
      <w:r>
        <w:rPr>
          <w:rFonts w:hint="eastAsia"/>
        </w:rPr>
        <w:t>人（项目负责人除外）</w:t>
      </w:r>
      <w:r>
        <w:rPr>
          <w:rFonts w:hint="eastAsia"/>
          <w:lang w:val="en-US" w:eastAsia="zh-CN"/>
        </w:rPr>
        <w:t>,</w:t>
      </w:r>
      <w:r>
        <w:rPr>
          <w:rFonts w:hint="eastAsia"/>
        </w:rPr>
        <w:t>团队组成人员须为投标单位的正式职工。其中</w:t>
      </w:r>
      <w:r>
        <w:rPr>
          <w:rFonts w:hint="eastAsia"/>
          <w:lang w:eastAsia="zh-CN"/>
        </w:rPr>
        <w:t>：</w:t>
      </w:r>
    </w:p>
    <w:p w14:paraId="1059AB58">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rPr>
        <w:t>项目负责人1人，应具有AI大模型项目经验</w:t>
      </w:r>
      <w:r>
        <w:rPr>
          <w:rFonts w:hint="eastAsia"/>
          <w:lang w:eastAsia="zh-CN"/>
        </w:rPr>
        <w:t>，</w:t>
      </w:r>
      <w:r>
        <w:rPr>
          <w:rFonts w:hint="eastAsia"/>
        </w:rPr>
        <w:t>具有3年及以上软件开发从业经验</w:t>
      </w:r>
      <w:r>
        <w:rPr>
          <w:rFonts w:hint="eastAsia"/>
          <w:lang w:eastAsia="zh-CN"/>
        </w:rPr>
        <w:t>，</w:t>
      </w:r>
      <w:r>
        <w:rPr>
          <w:rFonts w:hint="eastAsia"/>
        </w:rPr>
        <w:t>具有国家人力资源和社会保障部及工业和信息化部共同颁发的“计算机技术与软件专业技术资格”类</w:t>
      </w:r>
      <w:r>
        <w:rPr>
          <w:rFonts w:hint="eastAsia"/>
          <w:lang w:val="en-US" w:eastAsia="zh-CN"/>
        </w:rPr>
        <w:t>高级资格</w:t>
      </w:r>
      <w:r>
        <w:rPr>
          <w:rFonts w:hint="eastAsia"/>
          <w:lang w:eastAsia="zh-CN"/>
        </w:rPr>
        <w:t>。</w:t>
      </w:r>
    </w:p>
    <w:p w14:paraId="6FD52BA1">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项目开发团队</w:t>
      </w:r>
      <w:r>
        <w:rPr>
          <w:rFonts w:hint="eastAsia"/>
        </w:rPr>
        <w:t>（项目经理与技术负责人除外）</w:t>
      </w:r>
      <w:r>
        <w:rPr>
          <w:rFonts w:hint="eastAsia"/>
          <w:lang w:eastAsia="zh-CN"/>
        </w:rPr>
        <w:t>，</w:t>
      </w:r>
      <w:r>
        <w:rPr>
          <w:rFonts w:hint="eastAsia"/>
          <w:lang w:val="en-US" w:eastAsia="zh-CN"/>
        </w:rPr>
        <w:t>应</w:t>
      </w:r>
      <w:r>
        <w:rPr>
          <w:rFonts w:hint="eastAsia"/>
        </w:rPr>
        <w:t>具有国家人力资源和社会保障部及工业和信息化部共同颁发的“计算机技术与软件专业技术资格”类</w:t>
      </w:r>
      <w:r>
        <w:rPr>
          <w:rFonts w:hint="eastAsia"/>
          <w:lang w:val="en-US" w:eastAsia="zh-CN"/>
        </w:rPr>
        <w:t>高级或中级资格</w:t>
      </w:r>
      <w:r>
        <w:rPr>
          <w:rFonts w:hint="eastAsia"/>
          <w:lang w:eastAsia="zh-CN"/>
        </w:rPr>
        <w:t>。</w:t>
      </w:r>
    </w:p>
    <w:p w14:paraId="06AAD92F">
      <w:pPr>
        <w:pStyle w:val="39"/>
        <w:pageBreakBefore w:val="0"/>
        <w:kinsoku/>
        <w:wordWrap/>
        <w:overflowPunct/>
        <w:topLinePunct w:val="0"/>
        <w:autoSpaceDE/>
        <w:autoSpaceDN/>
        <w:bidi w:val="0"/>
        <w:adjustRightInd w:val="0"/>
        <w:snapToGrid w:val="0"/>
        <w:spacing w:line="360" w:lineRule="auto"/>
        <w:ind w:left="0"/>
        <w:textAlignment w:val="auto"/>
        <w:rPr>
          <w:rFonts w:hint="default"/>
          <w:color w:val="auto"/>
          <w:highlight w:val="none"/>
          <w:lang w:val="en-US" w:eastAsia="zh-CN"/>
        </w:rPr>
      </w:pPr>
      <w:r>
        <w:rPr>
          <w:rFonts w:hint="eastAsia"/>
          <w:color w:val="auto"/>
          <w:highlight w:val="none"/>
          <w:lang w:val="en-US" w:eastAsia="zh-CN"/>
        </w:rPr>
        <w:t>其他人员要求。项目建设期间，数据接入及在线率专职保障技术人员2名，配合相关部门单位及矿山企业解决设备离线问题；长期驻场运维人员2名，对重大或紧急问题提供现场技术支持。</w:t>
      </w:r>
    </w:p>
    <w:p w14:paraId="2475CA8F">
      <w:pPr>
        <w:pStyle w:val="38"/>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default"/>
          <w:lang w:val="en-US" w:eastAsia="zh-CN"/>
        </w:rPr>
      </w:pPr>
      <w:bookmarkStart w:id="326" w:name="_Toc1230655738"/>
      <w:r>
        <w:rPr>
          <w:rFonts w:hint="eastAsia"/>
          <w:lang w:val="en-US" w:eastAsia="zh-CN"/>
        </w:rPr>
        <w:t>项目数据传输专项保障</w:t>
      </w:r>
      <w:bookmarkEnd w:id="326"/>
    </w:p>
    <w:p w14:paraId="63A35F1B">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根据《浙江省人民政府办公厅关于全省公共视频监控建设一体化改革的指导意见》（浙政办函〔2021〕41号）按照“五统一”的一体化改革的要求，企业视频纵向采用县（区）、市、省三级IP网络的联网方式级联，横向通过电子政务视联网与三级总平台双向互联实现资源共享。业务监管流程上，本项目视频流转路径如下：</w:t>
      </w:r>
    </w:p>
    <w:p w14:paraId="059419F4">
      <w:pPr>
        <w:pStyle w:val="47"/>
        <w:pageBreakBefore w:val="0"/>
        <w:numPr>
          <w:ilvl w:val="0"/>
          <w:numId w:val="83"/>
        </w:numPr>
        <w:kinsoku/>
        <w:wordWrap/>
        <w:overflowPunct/>
        <w:topLinePunct w:val="0"/>
        <w:autoSpaceDE/>
        <w:autoSpaceDN/>
        <w:bidi w:val="0"/>
        <w:adjustRightInd w:val="0"/>
        <w:snapToGrid w:val="0"/>
        <w:spacing w:line="360" w:lineRule="auto"/>
        <w:ind w:left="0"/>
        <w:textAlignment w:val="auto"/>
        <w:rPr>
          <w:rFonts w:hint="eastAsia"/>
          <w:b/>
          <w:bCs/>
          <w:lang w:val="en-US" w:eastAsia="zh-CN"/>
        </w:rPr>
      </w:pPr>
      <w:r>
        <w:rPr>
          <w:rFonts w:hint="eastAsia"/>
          <w:b/>
          <w:bCs/>
          <w:lang w:val="en-US" w:eastAsia="zh-CN"/>
        </w:rPr>
        <w:t>路径一（三级联调）</w:t>
      </w:r>
    </w:p>
    <w:p w14:paraId="7EAB0151">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矿山现场→企业自建平台：前端摄像头、传感器等设备实时采集视频流及监测数据（位移/气体/水位等），通过5G/光纤传输至企业本地服务器；</w:t>
      </w:r>
    </w:p>
    <w:p w14:paraId="68EA6560">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企业平台→地市监管平台：企业平台对数据进行初步清洗与压缩，通过政务外网专线推送至地市已建矿山监管平台；</w:t>
      </w:r>
    </w:p>
    <w:p w14:paraId="642E4D35">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地市平台→省级平台（本项目）：地市平台完成数据合规性校验后，通过省级视频汇聚平台上传至本项目。</w:t>
      </w:r>
    </w:p>
    <w:p w14:paraId="5D5850F9">
      <w:pPr>
        <w:pStyle w:val="47"/>
        <w:pageBreakBefore w:val="0"/>
        <w:numPr>
          <w:ilvl w:val="0"/>
          <w:numId w:val="83"/>
        </w:numPr>
        <w:kinsoku/>
        <w:wordWrap/>
        <w:overflowPunct/>
        <w:topLinePunct w:val="0"/>
        <w:autoSpaceDE/>
        <w:autoSpaceDN/>
        <w:bidi w:val="0"/>
        <w:adjustRightInd w:val="0"/>
        <w:snapToGrid w:val="0"/>
        <w:spacing w:line="360" w:lineRule="auto"/>
        <w:ind w:left="0"/>
        <w:textAlignment w:val="auto"/>
        <w:rPr>
          <w:rFonts w:hint="eastAsia"/>
          <w:b/>
          <w:bCs/>
          <w:lang w:val="en-US" w:eastAsia="zh-CN"/>
        </w:rPr>
      </w:pPr>
      <w:r>
        <w:rPr>
          <w:rFonts w:hint="eastAsia"/>
          <w:b/>
          <w:bCs/>
          <w:lang w:val="en-US" w:eastAsia="zh-CN"/>
        </w:rPr>
        <w:t>路径二（矿企直连）</w:t>
      </w:r>
    </w:p>
    <w:p w14:paraId="1CB92899">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矿山现场→企业自建平台：数据采集方式与路径一相同；</w:t>
      </w:r>
    </w:p>
    <w:p w14:paraId="6F4412AF">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企业平台→省级平台（本项目）：企业通过API接口或SDK直接对接省级视频汇聚平台。</w:t>
      </w:r>
    </w:p>
    <w:p w14:paraId="5799152F">
      <w:pPr>
        <w:pStyle w:val="47"/>
        <w:pageBreakBefore w:val="0"/>
        <w:numPr>
          <w:ilvl w:val="0"/>
          <w:numId w:val="83"/>
        </w:numPr>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b/>
          <w:bCs/>
          <w:lang w:val="en-US" w:eastAsia="zh-CN"/>
        </w:rPr>
        <w:t>路线图</w:t>
      </w:r>
    </w:p>
    <w:p w14:paraId="1EFC0A2F">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258445</wp:posOffset>
            </wp:positionV>
            <wp:extent cx="5259705" cy="3037205"/>
            <wp:effectExtent l="0" t="0" r="23495" b="10795"/>
            <wp:wrapTopAndBottom/>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a:stretch>
                      <a:fillRect/>
                    </a:stretch>
                  </pic:blipFill>
                  <pic:spPr>
                    <a:xfrm>
                      <a:off x="0" y="0"/>
                      <a:ext cx="5259705" cy="3037205"/>
                    </a:xfrm>
                    <a:prstGeom prst="rect">
                      <a:avLst/>
                    </a:prstGeom>
                    <a:noFill/>
                    <a:ln>
                      <a:noFill/>
                    </a:ln>
                  </pic:spPr>
                </pic:pic>
              </a:graphicData>
            </a:graphic>
          </wp:anchor>
        </w:drawing>
      </w:r>
      <w:r>
        <w:rPr>
          <w:rFonts w:hint="eastAsia"/>
          <w:lang w:val="en-US" w:eastAsia="zh-CN"/>
        </w:rPr>
        <w:t>传输要求：本项目所确定的视频和传感数据在应用层的接入率达到100%，月均在线率90%以上。</w:t>
      </w:r>
    </w:p>
    <w:p w14:paraId="0951D967">
      <w:pPr>
        <w:pStyle w:val="38"/>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default"/>
          <w:lang w:val="en-US" w:eastAsia="zh-CN"/>
        </w:rPr>
      </w:pPr>
      <w:bookmarkStart w:id="327" w:name="_Toc1215984309"/>
      <w:r>
        <w:rPr>
          <w:rFonts w:hint="default"/>
          <w:lang w:val="en-US" w:eastAsia="zh-CN"/>
        </w:rPr>
        <w:t>数据安全责任</w:t>
      </w:r>
      <w:bookmarkEnd w:id="327"/>
    </w:p>
    <w:p w14:paraId="53CFACD3">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本节所述数据指项目全生命周期中使用、录入、采集、加工、自动生成等全部数据，包括且不限于组织机构数据、个人信息数据、业务数据、管理数据，以及项目建设内部文件、建设规划和建设方案等。采购人拥有数据的所有权。</w:t>
      </w:r>
    </w:p>
    <w:p w14:paraId="0CE28CDE">
      <w:pPr>
        <w:pStyle w:val="47"/>
        <w:pageBreakBefore w:val="0"/>
        <w:numPr>
          <w:ilvl w:val="0"/>
          <w:numId w:val="84"/>
        </w:numPr>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投标人应在采购人的授权下使用数据，不得直接或间接利用采购人提供的数据进行与项目无关的活动。</w:t>
      </w:r>
    </w:p>
    <w:p w14:paraId="1991B2A8">
      <w:pPr>
        <w:pStyle w:val="47"/>
        <w:pageBreakBefore w:val="0"/>
        <w:numPr>
          <w:ilvl w:val="0"/>
          <w:numId w:val="84"/>
        </w:numPr>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投标人不得擅自留存、使用、复制、泄露、提供给本项目团队人员以外的人员参看、使用等。</w:t>
      </w:r>
    </w:p>
    <w:p w14:paraId="0579DA87">
      <w:pPr>
        <w:pStyle w:val="47"/>
        <w:pageBreakBefore w:val="0"/>
        <w:numPr>
          <w:ilvl w:val="0"/>
          <w:numId w:val="84"/>
        </w:numPr>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投标人应与本项目团队人员签订保密协议，对接触关键数据的团队人员开展安全背景审查，并向采购人提交背景审查材料。</w:t>
      </w:r>
    </w:p>
    <w:p w14:paraId="6E66537E">
      <w:pPr>
        <w:pStyle w:val="47"/>
        <w:pageBreakBefore w:val="0"/>
        <w:numPr>
          <w:ilvl w:val="0"/>
          <w:numId w:val="84"/>
        </w:numPr>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投标人应建立数据安全内控制度，组织开展数据安全教育培训，采取相应的技术措施和其他必要措施，保障数据安全。项目实施过程中产生的数据副本、残留数据应在项目结束前全部清理销毁。</w:t>
      </w:r>
    </w:p>
    <w:p w14:paraId="7D807C02">
      <w:pPr>
        <w:pStyle w:val="47"/>
        <w:pageBreakBefore w:val="0"/>
        <w:numPr>
          <w:ilvl w:val="0"/>
          <w:numId w:val="84"/>
        </w:numPr>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投标人应加强数据安全风险监测，发现数据安全缺陷、漏洞等风险时，应当在告知采购人的同时立即采取补救措施；发生数据安全事件时，应当在告知采购人的同时立即采取处置措施。</w:t>
      </w:r>
    </w:p>
    <w:p w14:paraId="4182AB96">
      <w:pPr>
        <w:pStyle w:val="47"/>
        <w:pageBreakBefore w:val="0"/>
        <w:numPr>
          <w:ilvl w:val="0"/>
          <w:numId w:val="84"/>
        </w:numPr>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采购人或其他数据安全主管部门在数据安全监管过程中，发现本项目数据处理活动存在较大安全风险的，可以对投标人进行约谈，并要求投标人采取措施进行整改，直至消除隐患。</w:t>
      </w:r>
    </w:p>
    <w:p w14:paraId="56FB26DD">
      <w:pPr>
        <w:pStyle w:val="47"/>
        <w:pageBreakBefore w:val="0"/>
        <w:numPr>
          <w:ilvl w:val="0"/>
          <w:numId w:val="84"/>
        </w:numPr>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投标人因违反上述条款造成数据侵权、数据泄露等情况，引发数据安全事件的，采购人有权追究投标人相应法律责任。</w:t>
      </w:r>
    </w:p>
    <w:p w14:paraId="29283CB1">
      <w:pPr>
        <w:pStyle w:val="47"/>
        <w:pageBreakBefore w:val="0"/>
        <w:numPr>
          <w:ilvl w:val="0"/>
          <w:numId w:val="84"/>
        </w:numPr>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本项目应满足网络安全等级保护测评要求，并出具测评报告。为满足项目安全保密的要求，检测机构如无相关安全保密资格，须将本项目有关工作委托具有相应安全保密资质条件的单位承担完成。</w:t>
      </w:r>
    </w:p>
    <w:p w14:paraId="3194E75F">
      <w:pPr>
        <w:pStyle w:val="47"/>
        <w:pageBreakBefore w:val="0"/>
        <w:numPr>
          <w:ilvl w:val="0"/>
          <w:numId w:val="84"/>
        </w:numPr>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default"/>
          <w:lang w:val="en-US" w:eastAsia="zh-CN"/>
        </w:rPr>
        <w:t>网络安全等级保护定级为三级及以上的应按照商用密码应用安全性评估要求，推进相关建设、应用及整改工作。根据密码相关国家标准和采购人对系统密码应用需求，制定系统密码应用方案，并组织密码机构评审，出具测评报告。如因投标人原因未符合要求的，须负责整改到位。</w:t>
      </w:r>
    </w:p>
    <w:p w14:paraId="2D468D90">
      <w:pPr>
        <w:pStyle w:val="38"/>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lang w:val="en-US" w:eastAsia="zh-CN"/>
        </w:rPr>
      </w:pPr>
      <w:bookmarkStart w:id="328" w:name="_Toc1593896511"/>
      <w:r>
        <w:rPr>
          <w:rFonts w:hint="eastAsia"/>
          <w:lang w:val="en-US" w:eastAsia="zh-CN"/>
        </w:rPr>
        <w:t>培训要求</w:t>
      </w:r>
      <w:bookmarkEnd w:id="328"/>
    </w:p>
    <w:p w14:paraId="4F5E7BD7">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中标投标人须对采购单位指定人员进行设备使用、维护技术培训，根据省应急管理厅要求组织完成相关的培训工作，此项报价需包含在投标总价中。</w:t>
      </w:r>
    </w:p>
    <w:p w14:paraId="30324468">
      <w:pPr>
        <w:pStyle w:val="38"/>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lang w:val="en-US" w:eastAsia="zh-CN"/>
        </w:rPr>
      </w:pPr>
      <w:bookmarkStart w:id="329" w:name="_Toc907647699"/>
      <w:r>
        <w:rPr>
          <w:rFonts w:hint="eastAsia"/>
          <w:lang w:val="en-US" w:eastAsia="zh-CN"/>
        </w:rPr>
        <w:t>运维要求</w:t>
      </w:r>
      <w:bookmarkEnd w:id="329"/>
    </w:p>
    <w:p w14:paraId="146429B0">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自项目终验通过起需提供不少于5年免费维护期。根据用户要求，运维期间提供2人驻场服务，对重大或紧急问题提供现场技术支持；投标人应提供技术支持人员名单和技术支持电话，提供免费技术支持服务包括各种软、硬件故障及对各种突发事件采取应急措施等。项目实施过程中如因中标人失职造成损失的，按有关规定承担相应赔偿责任。</w:t>
      </w:r>
    </w:p>
    <w:p w14:paraId="4F5B52A6">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用户需求在开发期和试运行期内，仍有可能不断完善，投标人须承诺在采购需求和政策法规范围内，随着用户需求的变动随时做出响应，修改应用软件。正式验收通过后，若有需求变动，在5年免费维护期内，需按用户需求对整个系统做出相应修改，以满足用户的需求。</w:t>
      </w:r>
    </w:p>
    <w:p w14:paraId="64048E09">
      <w:pPr>
        <w:pStyle w:val="38"/>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lang w:val="en-US" w:eastAsia="zh-CN"/>
        </w:rPr>
      </w:pPr>
      <w:bookmarkStart w:id="330" w:name="_Toc1258532452"/>
      <w:r>
        <w:rPr>
          <w:rFonts w:hint="eastAsia"/>
          <w:lang w:val="en-US" w:eastAsia="zh-CN"/>
        </w:rPr>
        <w:t>信创要求</w:t>
      </w:r>
      <w:bookmarkEnd w:id="330"/>
    </w:p>
    <w:p w14:paraId="6223F501">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该项目要求能在信创环境下平稳运行，支持信创服务器、数据库、操作系统等信创设备，提供信创符合性报告。</w:t>
      </w:r>
    </w:p>
    <w:p w14:paraId="43ECDD35">
      <w:pPr>
        <w:pStyle w:val="38"/>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default"/>
          <w:lang w:val="en-US" w:eastAsia="zh-CN"/>
        </w:rPr>
      </w:pPr>
      <w:bookmarkStart w:id="331" w:name="_Toc1588481461"/>
      <w:r>
        <w:rPr>
          <w:rFonts w:hint="default"/>
          <w:lang w:val="en-US" w:eastAsia="zh-CN"/>
        </w:rPr>
        <w:t>系统性能</w:t>
      </w:r>
      <w:r>
        <w:rPr>
          <w:rFonts w:hint="eastAsia"/>
          <w:lang w:val="en-US" w:eastAsia="zh-CN"/>
        </w:rPr>
        <w:t>要</w:t>
      </w:r>
      <w:r>
        <w:rPr>
          <w:rFonts w:hint="default"/>
          <w:lang w:val="en-US" w:eastAsia="zh-CN"/>
        </w:rPr>
        <w:t>求</w:t>
      </w:r>
      <w:bookmarkEnd w:id="331"/>
    </w:p>
    <w:p w14:paraId="6EA5691E">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系统性能应能满足以下系统响应时间、系统吞吐量及系统稳定性等指标要求。</w:t>
      </w:r>
    </w:p>
    <w:p w14:paraId="5EBD4286">
      <w:pPr>
        <w:pStyle w:val="47"/>
        <w:pageBreakBefore w:val="0"/>
        <w:numPr>
          <w:ilvl w:val="0"/>
          <w:numId w:val="85"/>
        </w:numPr>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设备在线率</w:t>
      </w:r>
    </w:p>
    <w:p w14:paraId="13B0CD2B">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由于本项目网络、软件原因导致设备离线，需满足设备离线率&lt;1%，掉线后的恢复时长&lt;5小时。</w:t>
      </w:r>
    </w:p>
    <w:p w14:paraId="7E374083">
      <w:pPr>
        <w:pStyle w:val="47"/>
        <w:pageBreakBefore w:val="0"/>
        <w:numPr>
          <w:ilvl w:val="0"/>
          <w:numId w:val="85"/>
        </w:numPr>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数据信息编辑</w:t>
      </w:r>
    </w:p>
    <w:p w14:paraId="3EDA3B36">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对于关键字以外的字段能够修改。并检查数据的完整性、数值的合理性，有相似性和重复性检查；响应时间≤3秒。</w:t>
      </w:r>
    </w:p>
    <w:p w14:paraId="55308288">
      <w:pPr>
        <w:pStyle w:val="47"/>
        <w:pageBreakBefore w:val="0"/>
        <w:numPr>
          <w:ilvl w:val="0"/>
          <w:numId w:val="85"/>
        </w:numPr>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查询检索</w:t>
      </w:r>
    </w:p>
    <w:p w14:paraId="0E18343C">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简单查询响应速度≤3秒；复杂和组合查询响应速度≤30秒；能够对相关文件进行检索、模糊查询；查询结果可以按照一定原则进行排序、筛选、保存；查询结果可以显示为图形或图表，可以输出到通用的办公处理软件中。</w:t>
      </w:r>
    </w:p>
    <w:p w14:paraId="21495177">
      <w:pPr>
        <w:pStyle w:val="47"/>
        <w:pageBreakBefore w:val="0"/>
        <w:numPr>
          <w:ilvl w:val="0"/>
          <w:numId w:val="85"/>
        </w:numPr>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系统吞吐量指标</w:t>
      </w:r>
    </w:p>
    <w:p w14:paraId="417A814D">
      <w:pPr>
        <w:pStyle w:val="39"/>
        <w:pageBreakBefore w:val="0"/>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并发访问量应不小于500个。</w:t>
      </w:r>
    </w:p>
    <w:p w14:paraId="7BE5B1C9">
      <w:pPr>
        <w:pStyle w:val="47"/>
        <w:pageBreakBefore w:val="0"/>
        <w:numPr>
          <w:ilvl w:val="0"/>
          <w:numId w:val="85"/>
        </w:numPr>
        <w:kinsoku/>
        <w:wordWrap/>
        <w:overflowPunct/>
        <w:topLinePunct w:val="0"/>
        <w:autoSpaceDE/>
        <w:autoSpaceDN/>
        <w:bidi w:val="0"/>
        <w:adjustRightInd w:val="0"/>
        <w:snapToGrid w:val="0"/>
        <w:spacing w:line="360" w:lineRule="auto"/>
        <w:ind w:left="0"/>
        <w:textAlignment w:val="auto"/>
        <w:rPr>
          <w:rFonts w:hint="default"/>
          <w:lang w:val="en-US" w:eastAsia="zh-CN"/>
        </w:rPr>
      </w:pPr>
      <w:r>
        <w:rPr>
          <w:rFonts w:hint="eastAsia"/>
          <w:lang w:val="en-US" w:eastAsia="zh-CN"/>
        </w:rPr>
        <w:t>系统稳定性指标</w:t>
      </w:r>
    </w:p>
    <w:p w14:paraId="6B21BA3E">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系统有效工作时间：≥99.00%；系统平均故障间隔时间：≥100天；平均故障修复时间：&lt;30分钟。</w:t>
      </w:r>
    </w:p>
    <w:p w14:paraId="18C75536">
      <w:pPr>
        <w:pStyle w:val="47"/>
        <w:pageBreakBefore w:val="0"/>
        <w:numPr>
          <w:ilvl w:val="0"/>
          <w:numId w:val="85"/>
        </w:numPr>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算法预警准确率不少于90%；</w:t>
      </w:r>
    </w:p>
    <w:p w14:paraId="6AB4FE2D">
      <w:pPr>
        <w:pStyle w:val="47"/>
        <w:pageBreakBefore w:val="0"/>
        <w:numPr>
          <w:ilvl w:val="0"/>
          <w:numId w:val="85"/>
        </w:numPr>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告警时延不高于40s。</w:t>
      </w:r>
    </w:p>
    <w:p w14:paraId="3AD16F71">
      <w:pPr>
        <w:pStyle w:val="38"/>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lang w:val="en-US" w:eastAsia="zh-CN"/>
        </w:rPr>
      </w:pPr>
      <w:bookmarkStart w:id="332" w:name="_Toc91215523"/>
      <w:r>
        <w:rPr>
          <w:rFonts w:hint="eastAsia"/>
          <w:lang w:val="en-US" w:eastAsia="zh-CN"/>
        </w:rPr>
        <w:t>其它要求</w:t>
      </w:r>
      <w:bookmarkEnd w:id="332"/>
    </w:p>
    <w:p w14:paraId="3911DC94">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本项目需要按照建设方管理要求，完成统一用户、统一组织架构、规范日志存档等统一管理工作。</w:t>
      </w:r>
    </w:p>
    <w:p w14:paraId="527A913E">
      <w:pPr>
        <w:pStyle w:val="39"/>
        <w:pageBreakBefore w:val="0"/>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lang w:val="en-US" w:eastAsia="zh-CN"/>
        </w:rPr>
        <w:t>本项目采用第三方监理工作制度，中标供应商应全程配合监理方工作。</w:t>
      </w:r>
    </w:p>
    <w:bookmarkEnd w:id="322"/>
    <w:bookmarkEnd w:id="323"/>
    <w:bookmarkEnd w:id="324"/>
    <w:p w14:paraId="7A26F935">
      <w:pPr>
        <w:pStyle w:val="43"/>
        <w:keepNext w:val="0"/>
        <w:keepLines w:val="0"/>
        <w:pageBreakBefore w:val="0"/>
        <w:widowControl w:val="0"/>
        <w:kinsoku/>
        <w:wordWrap/>
        <w:overflowPunct/>
        <w:topLinePunct w:val="0"/>
        <w:autoSpaceDE/>
        <w:autoSpaceDN/>
        <w:bidi w:val="0"/>
        <w:adjustRightInd w:val="0"/>
        <w:snapToGrid/>
        <w:ind w:left="0" w:firstLine="0" w:firstLineChars="0"/>
        <w:textAlignment w:val="auto"/>
      </w:pPr>
      <w:bookmarkStart w:id="333" w:name="_Toc1903454750"/>
      <w:bookmarkStart w:id="334" w:name="_Toc180439147"/>
      <w:bookmarkStart w:id="335" w:name="_Toc1368539477"/>
      <w:bookmarkStart w:id="336" w:name="_Toc2032"/>
      <w:bookmarkStart w:id="337" w:name="_Toc15857"/>
      <w:bookmarkStart w:id="338" w:name="_Toc8966"/>
      <w:bookmarkStart w:id="339" w:name="_Toc13538"/>
      <w:bookmarkStart w:id="340" w:name="_Toc16113"/>
      <w:r>
        <w:t>商务要求</w:t>
      </w:r>
      <w:bookmarkEnd w:id="333"/>
      <w:bookmarkEnd w:id="334"/>
      <w:bookmarkEnd w:id="335"/>
      <w:bookmarkEnd w:id="336"/>
      <w:bookmarkEnd w:id="337"/>
      <w:bookmarkEnd w:id="338"/>
      <w:bookmarkEnd w:id="339"/>
      <w:bookmarkEnd w:id="340"/>
    </w:p>
    <w:p w14:paraId="5BCEE132">
      <w:pPr>
        <w:pStyle w:val="38"/>
        <w:bidi w:val="0"/>
        <w:rPr>
          <w:rFonts w:hint="eastAsia"/>
        </w:rPr>
      </w:pPr>
      <w:bookmarkStart w:id="341" w:name="_Toc300093891"/>
      <w:bookmarkStart w:id="342" w:name="_Toc965465680"/>
      <w:bookmarkStart w:id="343" w:name="_Toc2105943592"/>
      <w:r>
        <w:rPr>
          <w:rFonts w:hint="eastAsia"/>
        </w:rPr>
        <w:t>项目工期（交付期）及地点</w:t>
      </w:r>
      <w:bookmarkEnd w:id="341"/>
    </w:p>
    <w:p w14:paraId="7A3C99BB">
      <w:pPr>
        <w:pStyle w:val="47"/>
        <w:numPr>
          <w:ilvl w:val="0"/>
          <w:numId w:val="86"/>
        </w:numPr>
        <w:bidi w:val="0"/>
        <w:rPr>
          <w:rFonts w:hint="eastAsia"/>
        </w:rPr>
      </w:pPr>
      <w:r>
        <w:rPr>
          <w:rFonts w:hint="eastAsia"/>
        </w:rPr>
        <w:t>项目工期：合同签订后</w:t>
      </w:r>
      <w:r>
        <w:rPr>
          <w:rFonts w:hint="eastAsia"/>
          <w:lang w:val="en-US" w:eastAsia="zh-CN"/>
        </w:rPr>
        <w:t>50</w:t>
      </w:r>
      <w:r>
        <w:rPr>
          <w:rFonts w:hint="eastAsia"/>
        </w:rPr>
        <w:t>日内完成项目方案总体设计，合同签订后6个月内完成项目建设内容，可进行项目初验。初验合格后投入运行后（完成相关培训），提请终验，验收合格，提交全部报告材料，出具终验报告，正式交付使用，进入免费维护期。</w:t>
      </w:r>
    </w:p>
    <w:p w14:paraId="12CA13CB">
      <w:pPr>
        <w:pStyle w:val="47"/>
        <w:numPr>
          <w:ilvl w:val="0"/>
          <w:numId w:val="86"/>
        </w:numPr>
        <w:bidi w:val="0"/>
        <w:rPr>
          <w:rFonts w:hint="eastAsia"/>
        </w:rPr>
      </w:pPr>
      <w:r>
        <w:rPr>
          <w:rFonts w:hint="eastAsia"/>
        </w:rPr>
        <w:t>交付地点：用户指定地点</w:t>
      </w:r>
    </w:p>
    <w:p w14:paraId="5EB3E809">
      <w:pPr>
        <w:pStyle w:val="38"/>
        <w:bidi w:val="0"/>
        <w:rPr>
          <w:rFonts w:hint="eastAsia"/>
        </w:rPr>
      </w:pPr>
      <w:bookmarkStart w:id="344" w:name="_Toc1386422881"/>
      <w:r>
        <w:rPr>
          <w:rFonts w:hint="eastAsia"/>
        </w:rPr>
        <w:t>付款条件</w:t>
      </w:r>
      <w:bookmarkEnd w:id="344"/>
    </w:p>
    <w:p w14:paraId="1DD2F763">
      <w:pPr>
        <w:pStyle w:val="39"/>
        <w:bidi w:val="0"/>
        <w:rPr>
          <w:rFonts w:hint="eastAsia"/>
        </w:rPr>
      </w:pPr>
      <w:r>
        <w:rPr>
          <w:rFonts w:hint="eastAsia"/>
        </w:rPr>
        <w:t>（1）合同签订后，采购人在收到成交供应商票据并确认无误后向成交供应商支付合同总额的</w:t>
      </w:r>
      <w:r>
        <w:rPr>
          <w:rFonts w:hint="eastAsia"/>
          <w:lang w:val="en-US" w:eastAsia="zh-CN"/>
        </w:rPr>
        <w:t>50</w:t>
      </w:r>
      <w:r>
        <w:rPr>
          <w:rFonts w:hint="eastAsia"/>
        </w:rPr>
        <w:t>%；</w:t>
      </w:r>
    </w:p>
    <w:p w14:paraId="1CED7005">
      <w:pPr>
        <w:pStyle w:val="39"/>
        <w:bidi w:val="0"/>
        <w:rPr>
          <w:rFonts w:hint="eastAsia"/>
        </w:rPr>
      </w:pPr>
      <w:r>
        <w:rPr>
          <w:rFonts w:hint="eastAsia"/>
        </w:rPr>
        <w:t>（2）</w:t>
      </w:r>
      <w:r>
        <w:rPr>
          <w:rFonts w:hint="eastAsia"/>
          <w:lang w:val="en-US" w:eastAsia="zh-CN"/>
        </w:rPr>
        <w:t>完成方案编制</w:t>
      </w:r>
      <w:r>
        <w:rPr>
          <w:rFonts w:hint="eastAsia"/>
        </w:rPr>
        <w:t>，采购人在收到成交供应商票据并确认无误后向成交供应商支付合同总额的</w:t>
      </w:r>
      <w:r>
        <w:rPr>
          <w:rFonts w:hint="eastAsia"/>
          <w:lang w:val="en-US" w:eastAsia="zh-CN"/>
        </w:rPr>
        <w:t>20</w:t>
      </w:r>
      <w:r>
        <w:rPr>
          <w:rFonts w:hint="eastAsia"/>
        </w:rPr>
        <w:t>%；</w:t>
      </w:r>
    </w:p>
    <w:p w14:paraId="44C9D20B">
      <w:pPr>
        <w:pStyle w:val="39"/>
        <w:bidi w:val="0"/>
        <w:rPr>
          <w:rFonts w:hint="eastAsia"/>
        </w:rPr>
      </w:pPr>
      <w:r>
        <w:rPr>
          <w:rFonts w:hint="eastAsia"/>
        </w:rPr>
        <w:t>（3）</w:t>
      </w:r>
      <w:r>
        <w:rPr>
          <w:rFonts w:hint="eastAsia"/>
          <w:lang w:val="en-US" w:eastAsia="zh-CN"/>
        </w:rPr>
        <w:t>初验</w:t>
      </w:r>
      <w:r>
        <w:rPr>
          <w:rFonts w:hint="eastAsia"/>
        </w:rPr>
        <w:t>通过后，采购人在收到成交供应商票据并确认无误后向成交供应商支付合同总额的</w:t>
      </w:r>
      <w:r>
        <w:rPr>
          <w:rFonts w:hint="eastAsia"/>
          <w:lang w:val="en-US" w:eastAsia="zh-CN"/>
        </w:rPr>
        <w:t>25</w:t>
      </w:r>
      <w:r>
        <w:rPr>
          <w:rFonts w:hint="eastAsia"/>
        </w:rPr>
        <w:t>%；</w:t>
      </w:r>
    </w:p>
    <w:p w14:paraId="009FC7EC">
      <w:pPr>
        <w:pStyle w:val="39"/>
        <w:bidi w:val="0"/>
        <w:rPr>
          <w:rFonts w:hint="eastAsia"/>
        </w:rPr>
      </w:pPr>
      <w:r>
        <w:rPr>
          <w:rFonts w:hint="eastAsia"/>
        </w:rPr>
        <w:t>（</w:t>
      </w:r>
      <w:r>
        <w:rPr>
          <w:rFonts w:hint="eastAsia"/>
          <w:lang w:val="en-US" w:eastAsia="zh-CN"/>
        </w:rPr>
        <w:t>4</w:t>
      </w:r>
      <w:r>
        <w:rPr>
          <w:rFonts w:hint="eastAsia"/>
        </w:rPr>
        <w:t>）终验通过后，采购人在收到成交供应商票据并确认无误后向成交供应商支付合同总额的5%。</w:t>
      </w:r>
    </w:p>
    <w:p w14:paraId="5ACE7E5B">
      <w:pPr>
        <w:pStyle w:val="39"/>
        <w:bidi w:val="0"/>
        <w:rPr>
          <w:rFonts w:hint="eastAsia" w:ascii="仿宋" w:hAnsi="仿宋" w:cs="仿宋"/>
          <w:szCs w:val="32"/>
        </w:rPr>
      </w:pPr>
      <w:r>
        <w:rPr>
          <w:rFonts w:hint="eastAsia"/>
        </w:rPr>
        <w:t>（</w:t>
      </w:r>
      <w:r>
        <w:rPr>
          <w:rFonts w:hint="eastAsia"/>
          <w:lang w:val="en-US" w:eastAsia="zh-CN"/>
        </w:rPr>
        <w:t>5</w:t>
      </w:r>
      <w:r>
        <w:rPr>
          <w:rFonts w:hint="eastAsia"/>
        </w:rPr>
        <w:t>）无履约保证金。</w:t>
      </w:r>
    </w:p>
    <w:bookmarkEnd w:id="342"/>
    <w:bookmarkEnd w:id="343"/>
    <w:p w14:paraId="2F43C349">
      <w:pPr>
        <w:pStyle w:val="39"/>
        <w:bidi w:val="0"/>
      </w:pPr>
    </w:p>
    <w:p w14:paraId="59209F98">
      <w:pPr>
        <w:pStyle w:val="39"/>
        <w:bidi w:val="0"/>
        <w:rPr>
          <w:rFonts w:hint="eastAsia"/>
        </w:rPr>
      </w:pPr>
    </w:p>
    <w:p w14:paraId="7FDD07AB">
      <w:pPr>
        <w:pStyle w:val="39"/>
        <w:bidi w:val="0"/>
        <w:rPr>
          <w:rFonts w:hint="eastAsia"/>
        </w:rPr>
        <w:sectPr>
          <w:footerReference r:id="rId11" w:type="default"/>
          <w:pgSz w:w="11906" w:h="16838"/>
          <w:pgMar w:top="1440" w:right="1800" w:bottom="1440" w:left="1800" w:header="851" w:footer="992" w:gutter="0"/>
          <w:pgNumType w:fmt="decimal" w:start="1"/>
          <w:cols w:space="425" w:num="1"/>
          <w:docGrid w:type="lines" w:linePitch="312" w:charSpace="0"/>
        </w:sectPr>
      </w:pPr>
    </w:p>
    <w:p w14:paraId="15F7D56E">
      <w:pPr>
        <w:pStyle w:val="41"/>
        <w:numPr>
          <w:ilvl w:val="1"/>
          <w:numId w:val="0"/>
        </w:numPr>
        <w:bidi w:val="0"/>
        <w:jc w:val="both"/>
        <w:rPr>
          <w:rFonts w:hint="eastAsia"/>
          <w:sz w:val="28"/>
          <w:szCs w:val="28"/>
          <w:lang w:val="en-US" w:eastAsia="zh-CN"/>
        </w:rPr>
      </w:pPr>
      <w:bookmarkStart w:id="345" w:name="_Toc1411791017"/>
      <w:bookmarkStart w:id="346" w:name="_Toc11246"/>
      <w:bookmarkStart w:id="347" w:name="_Toc1493130569"/>
      <w:bookmarkStart w:id="348" w:name="_Toc24930"/>
      <w:bookmarkStart w:id="349" w:name="_Toc32205"/>
      <w:bookmarkStart w:id="350" w:name="_Toc11362"/>
      <w:bookmarkStart w:id="351" w:name="_Toc14491"/>
      <w:bookmarkStart w:id="352" w:name="_Toc180439148"/>
      <w:r>
        <w:rPr>
          <w:rFonts w:hint="eastAsia"/>
          <w:sz w:val="28"/>
          <w:szCs w:val="28"/>
        </w:rPr>
        <w:t>标项二</w:t>
      </w:r>
      <w:r>
        <w:rPr>
          <w:rFonts w:hint="eastAsia"/>
          <w:sz w:val="28"/>
          <w:szCs w:val="28"/>
          <w:lang w:eastAsia="zh-CN"/>
        </w:rPr>
        <w:t>：“</w:t>
      </w:r>
      <w:r>
        <w:rPr>
          <w:rFonts w:hint="eastAsia"/>
          <w:sz w:val="28"/>
          <w:szCs w:val="28"/>
          <w:lang w:val="en-US" w:eastAsia="zh-CN"/>
        </w:rPr>
        <w:t>省级</w:t>
      </w:r>
      <w:r>
        <w:rPr>
          <w:rFonts w:hint="eastAsia"/>
          <w:sz w:val="28"/>
          <w:szCs w:val="28"/>
        </w:rPr>
        <w:t>矿山智慧监管平台建设</w:t>
      </w:r>
      <w:r>
        <w:rPr>
          <w:rFonts w:hint="eastAsia"/>
          <w:sz w:val="28"/>
          <w:szCs w:val="28"/>
          <w:lang w:val="en-US" w:eastAsia="zh-CN"/>
        </w:rPr>
        <w:t>项目”监理服务采购需求</w:t>
      </w:r>
      <w:bookmarkEnd w:id="345"/>
      <w:bookmarkEnd w:id="346"/>
      <w:bookmarkEnd w:id="347"/>
      <w:bookmarkEnd w:id="348"/>
    </w:p>
    <w:bookmarkEnd w:id="349"/>
    <w:bookmarkEnd w:id="350"/>
    <w:bookmarkEnd w:id="351"/>
    <w:bookmarkEnd w:id="352"/>
    <w:p w14:paraId="13030DE2">
      <w:pPr>
        <w:pStyle w:val="43"/>
        <w:keepNext w:val="0"/>
        <w:keepLines w:val="0"/>
        <w:pageBreakBefore w:val="0"/>
        <w:widowControl w:val="0"/>
        <w:numPr>
          <w:ilvl w:val="2"/>
          <w:numId w:val="87"/>
        </w:numPr>
        <w:kinsoku/>
        <w:wordWrap/>
        <w:overflowPunct/>
        <w:topLinePunct w:val="0"/>
        <w:autoSpaceDE/>
        <w:autoSpaceDN/>
        <w:bidi w:val="0"/>
        <w:adjustRightInd w:val="0"/>
        <w:snapToGrid/>
        <w:ind w:left="0" w:firstLine="0" w:firstLineChars="0"/>
        <w:textAlignment w:val="auto"/>
        <w:rPr>
          <w:rFonts w:hint="eastAsia"/>
        </w:rPr>
      </w:pPr>
      <w:bookmarkStart w:id="353" w:name="_Toc1699057988"/>
      <w:bookmarkStart w:id="354" w:name="_Toc306"/>
      <w:bookmarkStart w:id="355" w:name="_Toc30270"/>
      <w:bookmarkStart w:id="356" w:name="_Toc25431"/>
      <w:bookmarkStart w:id="357" w:name="_Toc231981020"/>
      <w:bookmarkStart w:id="358" w:name="_Toc424807016"/>
      <w:r>
        <w:rPr>
          <w:rFonts w:hint="eastAsia"/>
          <w:lang w:val="en-US" w:eastAsia="zh-CN"/>
        </w:rPr>
        <w:t>建设背景</w:t>
      </w:r>
      <w:bookmarkEnd w:id="353"/>
      <w:bookmarkEnd w:id="354"/>
      <w:bookmarkEnd w:id="355"/>
      <w:bookmarkEnd w:id="356"/>
      <w:bookmarkEnd w:id="357"/>
      <w:bookmarkEnd w:id="358"/>
    </w:p>
    <w:p w14:paraId="2277B55D">
      <w:pPr>
        <w:pStyle w:val="39"/>
        <w:bidi w:val="0"/>
        <w:rPr>
          <w:rFonts w:hint="eastAsia"/>
          <w:lang w:val="en-US" w:eastAsia="zh-CN"/>
        </w:rPr>
      </w:pPr>
      <w:r>
        <w:rPr>
          <w:rFonts w:hint="eastAsia"/>
          <w:lang w:val="en-US" w:eastAsia="zh-CN"/>
        </w:rPr>
        <w:t>采购第三方监理对本项目浙江省应急管理厅省级矿山智慧监管平台的建设和实施进行全程监理，用公正、客观、科学的方法和手段对项目合同、质量、进度、资金等方面进行评估与控制，协调处理项目问题。</w:t>
      </w:r>
    </w:p>
    <w:p w14:paraId="6F597266">
      <w:pPr>
        <w:pStyle w:val="43"/>
        <w:keepNext w:val="0"/>
        <w:keepLines w:val="0"/>
        <w:pageBreakBefore w:val="0"/>
        <w:widowControl w:val="0"/>
        <w:numPr>
          <w:ilvl w:val="2"/>
          <w:numId w:val="87"/>
        </w:numPr>
        <w:kinsoku/>
        <w:wordWrap/>
        <w:overflowPunct/>
        <w:topLinePunct w:val="0"/>
        <w:autoSpaceDE/>
        <w:autoSpaceDN/>
        <w:bidi w:val="0"/>
        <w:adjustRightInd w:val="0"/>
        <w:snapToGrid/>
        <w:ind w:left="0" w:firstLine="0" w:firstLineChars="0"/>
        <w:textAlignment w:val="auto"/>
        <w:rPr>
          <w:rFonts w:hint="eastAsia"/>
        </w:rPr>
      </w:pPr>
      <w:bookmarkStart w:id="359" w:name="_Toc32346"/>
      <w:bookmarkStart w:id="360" w:name="_Toc977550157"/>
      <w:bookmarkStart w:id="361" w:name="_Toc1222183835"/>
      <w:bookmarkStart w:id="362" w:name="_Toc1495875284"/>
      <w:bookmarkStart w:id="363" w:name="_Toc8877"/>
      <w:bookmarkStart w:id="364" w:name="_Toc25222"/>
      <w:r>
        <w:rPr>
          <w:rFonts w:hint="eastAsia"/>
          <w:lang w:val="en-US" w:eastAsia="zh-CN"/>
        </w:rPr>
        <w:t>监理服务</w:t>
      </w:r>
      <w:r>
        <w:rPr>
          <w:rFonts w:hint="eastAsia"/>
        </w:rPr>
        <w:t>内容</w:t>
      </w:r>
      <w:bookmarkEnd w:id="359"/>
      <w:bookmarkEnd w:id="360"/>
      <w:bookmarkEnd w:id="361"/>
      <w:bookmarkEnd w:id="362"/>
      <w:bookmarkEnd w:id="363"/>
      <w:bookmarkEnd w:id="364"/>
    </w:p>
    <w:p w14:paraId="3BBEDA74">
      <w:pPr>
        <w:pStyle w:val="38"/>
        <w:keepNext w:val="0"/>
        <w:keepLines w:val="0"/>
        <w:pageBreakBefore w:val="0"/>
        <w:widowControl w:val="0"/>
        <w:numPr>
          <w:ilvl w:val="3"/>
          <w:numId w:val="88"/>
        </w:numPr>
        <w:kinsoku/>
        <w:wordWrap/>
        <w:overflowPunct/>
        <w:topLinePunct w:val="0"/>
        <w:autoSpaceDE/>
        <w:autoSpaceDN/>
        <w:bidi w:val="0"/>
        <w:adjustRightInd w:val="0"/>
        <w:snapToGrid/>
        <w:ind w:left="0" w:firstLine="482" w:firstLineChars="200"/>
        <w:textAlignment w:val="auto"/>
        <w:rPr>
          <w:rFonts w:hint="eastAsia"/>
        </w:rPr>
      </w:pPr>
      <w:bookmarkStart w:id="365" w:name="_Toc584842759"/>
      <w:r>
        <w:rPr>
          <w:rFonts w:hint="eastAsia"/>
        </w:rPr>
        <w:t>协助建设单位完成合同条款的协助审核与修改工作</w:t>
      </w:r>
      <w:bookmarkEnd w:id="365"/>
    </w:p>
    <w:p w14:paraId="3B146EF4">
      <w:pPr>
        <w:pStyle w:val="39"/>
        <w:bidi w:val="0"/>
        <w:rPr>
          <w:rFonts w:hint="eastAsia"/>
        </w:rPr>
      </w:pPr>
      <w:r>
        <w:rPr>
          <w:rFonts w:hint="eastAsia"/>
        </w:rPr>
        <w:t>监理单位进场后，根据建设单位的要求,参与建设单位与承建单位合同的讨论，协助建设单位完成项目合同的编写工作，提出监理修改建议。</w:t>
      </w:r>
    </w:p>
    <w:p w14:paraId="6346A2D7">
      <w:pPr>
        <w:pStyle w:val="38"/>
        <w:keepNext w:val="0"/>
        <w:keepLines w:val="0"/>
        <w:pageBreakBefore w:val="0"/>
        <w:widowControl w:val="0"/>
        <w:numPr>
          <w:ilvl w:val="3"/>
          <w:numId w:val="88"/>
        </w:numPr>
        <w:kinsoku/>
        <w:wordWrap/>
        <w:overflowPunct/>
        <w:topLinePunct w:val="0"/>
        <w:autoSpaceDE/>
        <w:autoSpaceDN/>
        <w:bidi w:val="0"/>
        <w:adjustRightInd w:val="0"/>
        <w:snapToGrid/>
        <w:ind w:left="0" w:firstLine="482" w:firstLineChars="200"/>
        <w:textAlignment w:val="auto"/>
        <w:rPr>
          <w:rFonts w:hint="eastAsia"/>
        </w:rPr>
      </w:pPr>
      <w:bookmarkStart w:id="366" w:name="_Toc419598194"/>
      <w:r>
        <w:rPr>
          <w:rFonts w:hint="eastAsia"/>
        </w:rPr>
        <w:t>全程参与项目日常监理工作</w:t>
      </w:r>
      <w:bookmarkEnd w:id="366"/>
    </w:p>
    <w:p w14:paraId="21B7813D">
      <w:pPr>
        <w:pStyle w:val="39"/>
        <w:bidi w:val="0"/>
        <w:rPr>
          <w:rFonts w:hint="eastAsia"/>
          <w:lang w:eastAsia="zh-CN"/>
        </w:rPr>
      </w:pPr>
      <w:r>
        <w:rPr>
          <w:rFonts w:hint="eastAsia"/>
          <w:lang w:eastAsia="zh-CN"/>
        </w:rPr>
        <w:t>根据“三控、两管、一协调”的原则，开展相关项目的监理工作。</w:t>
      </w:r>
    </w:p>
    <w:p w14:paraId="4AD5F73C">
      <w:pPr>
        <w:pStyle w:val="37"/>
        <w:keepNext w:val="0"/>
        <w:keepLines w:val="0"/>
        <w:pageBreakBefore w:val="0"/>
        <w:widowControl w:val="0"/>
        <w:numPr>
          <w:ilvl w:val="4"/>
          <w:numId w:val="88"/>
        </w:numPr>
        <w:kinsoku/>
        <w:wordWrap/>
        <w:overflowPunct/>
        <w:topLinePunct w:val="0"/>
        <w:autoSpaceDE/>
        <w:autoSpaceDN/>
        <w:bidi w:val="0"/>
        <w:adjustRightInd w:val="0"/>
        <w:snapToGrid/>
        <w:ind w:firstLine="482" w:firstLineChars="200"/>
        <w:textAlignment w:val="auto"/>
        <w:rPr>
          <w:rFonts w:hint="eastAsia"/>
        </w:rPr>
      </w:pPr>
      <w:bookmarkStart w:id="367" w:name="_Toc1998033457"/>
      <w:r>
        <w:rPr>
          <w:rFonts w:hint="eastAsia"/>
        </w:rPr>
        <w:t>质量控制</w:t>
      </w:r>
      <w:bookmarkEnd w:id="367"/>
    </w:p>
    <w:p w14:paraId="0218F2EF">
      <w:pPr>
        <w:pStyle w:val="39"/>
        <w:bidi w:val="0"/>
        <w:rPr>
          <w:rFonts w:hint="eastAsia"/>
        </w:rPr>
      </w:pPr>
      <w:r>
        <w:rPr>
          <w:rFonts w:hint="eastAsia"/>
        </w:rPr>
        <w:t>监理部按照监理大纲的质量控制点，在各阶段实施时，要求承建单位作出组织和技术保障措施，经监理审查，用户单位审定后执行，必要时召集相关技术人员对项目进行技术评审。</w:t>
      </w:r>
    </w:p>
    <w:p w14:paraId="40413AE6">
      <w:pPr>
        <w:pStyle w:val="39"/>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需求阶段</w:t>
      </w:r>
    </w:p>
    <w:p w14:paraId="20746652">
      <w:pPr>
        <w:pStyle w:val="39"/>
        <w:bidi w:val="0"/>
        <w:rPr>
          <w:rFonts w:hint="eastAsia"/>
        </w:rPr>
      </w:pPr>
      <w:r>
        <w:rPr>
          <w:rFonts w:hint="eastAsia"/>
        </w:rPr>
        <w:t>在项目前期，参与项目需求的讨论，从而保证了解各业务部门的详细需求，并就有关需求组织评审和确认工作。</w:t>
      </w:r>
    </w:p>
    <w:p w14:paraId="26457371">
      <w:pPr>
        <w:pStyle w:val="39"/>
        <w:bidi w:val="0"/>
        <w:rPr>
          <w:rFonts w:hint="eastAsia"/>
        </w:rPr>
      </w:pPr>
      <w:r>
        <w:rPr>
          <w:rFonts w:hint="eastAsia"/>
        </w:rPr>
        <w:t>包括但不限于审核和确认承建单位的项目实施方案、项目计划和人员组成；审核和确认承建单位的项目质量保证计划、质量控制体系（含质量控制的关键性节点）、培训计划等。</w:t>
      </w:r>
    </w:p>
    <w:p w14:paraId="22D8B23A">
      <w:pPr>
        <w:pStyle w:val="39"/>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设计开发阶段</w:t>
      </w:r>
    </w:p>
    <w:p w14:paraId="46B04220">
      <w:pPr>
        <w:pStyle w:val="39"/>
        <w:bidi w:val="0"/>
        <w:rPr>
          <w:rFonts w:hint="eastAsia"/>
        </w:rPr>
      </w:pPr>
      <w:r>
        <w:rPr>
          <w:rFonts w:hint="eastAsia"/>
        </w:rPr>
        <w:t>在项目设计开发过程中，协助用户方详细审核承建单位提出的实施技术方案、开发路线、设计文档，督促审核承建单位开发过程中是否按标准规范执行等。</w:t>
      </w:r>
    </w:p>
    <w:p w14:paraId="1916A404">
      <w:pPr>
        <w:pStyle w:val="39"/>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实施阶段</w:t>
      </w:r>
    </w:p>
    <w:p w14:paraId="0E4CEBB2">
      <w:pPr>
        <w:pStyle w:val="39"/>
        <w:bidi w:val="0"/>
        <w:rPr>
          <w:rFonts w:hint="eastAsia"/>
        </w:rPr>
      </w:pPr>
      <w:r>
        <w:rPr>
          <w:rFonts w:hint="eastAsia"/>
        </w:rPr>
        <w:t>在软件系统实施过程中，要求承建单位在交付实施版本前对系统进行全面测试，并参与系统测试，确保项目稳定有效的实施。</w:t>
      </w:r>
    </w:p>
    <w:p w14:paraId="614891F9">
      <w:pPr>
        <w:pStyle w:val="39"/>
        <w:bidi w:val="0"/>
        <w:rPr>
          <w:rFonts w:hint="eastAsia"/>
        </w:rPr>
      </w:pPr>
      <w:r>
        <w:rPr>
          <w:rFonts w:hint="eastAsia"/>
        </w:rPr>
        <w:t>在设备采购实施过程中，监理单位现场验收相关采购设备，根据投标文件和采购合同要求核对设备型号、数量、随机配件和文档及售后服务。在实地的上架加电工作进行了严格的监督，在加电测试后要求承建单位向监理单位和建设单位提交相应的测试方案和自测报告，监理单位根据承建单位测试方案和测试报告，对设备进行严格的监测。</w:t>
      </w:r>
    </w:p>
    <w:p w14:paraId="5403AAF1">
      <w:pPr>
        <w:pStyle w:val="39"/>
        <w:bidi w:val="0"/>
        <w:rPr>
          <w:rFonts w:hint="eastAsia"/>
        </w:rPr>
      </w:pPr>
      <w:r>
        <w:rPr>
          <w:rFonts w:hint="eastAsia"/>
        </w:rPr>
        <w:t>审核和确认项目实施过程中的各种关键技术方案。</w:t>
      </w:r>
    </w:p>
    <w:p w14:paraId="390A0695">
      <w:pPr>
        <w:pStyle w:val="39"/>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试运行阶段</w:t>
      </w:r>
    </w:p>
    <w:p w14:paraId="499B4D87">
      <w:pPr>
        <w:pStyle w:val="39"/>
        <w:bidi w:val="0"/>
        <w:rPr>
          <w:rFonts w:hint="eastAsia"/>
        </w:rPr>
      </w:pPr>
      <w:r>
        <w:rPr>
          <w:rFonts w:hint="eastAsia"/>
        </w:rPr>
        <w:t>对试运行存在问题的修改情况进行跟进，组织相关人员对试运行期间修改完成的问题进行测试。</w:t>
      </w:r>
    </w:p>
    <w:p w14:paraId="5CF80DF0">
      <w:pPr>
        <w:pStyle w:val="39"/>
        <w:bidi w:val="0"/>
        <w:rPr>
          <w:rFonts w:hint="eastAsia"/>
        </w:rPr>
      </w:pPr>
      <w:r>
        <w:rPr>
          <w:rFonts w:hint="eastAsia"/>
          <w:lang w:eastAsia="zh-CN"/>
        </w:rPr>
        <w:t>（</w:t>
      </w:r>
      <w:r>
        <w:rPr>
          <w:rFonts w:hint="eastAsia"/>
          <w:lang w:val="en-US" w:eastAsia="zh-CN"/>
        </w:rPr>
        <w:t>5</w:t>
      </w:r>
      <w:r>
        <w:rPr>
          <w:rFonts w:hint="eastAsia"/>
          <w:lang w:eastAsia="zh-CN"/>
        </w:rPr>
        <w:t>）</w:t>
      </w:r>
      <w:r>
        <w:rPr>
          <w:rFonts w:hint="eastAsia"/>
        </w:rPr>
        <w:t>培训阶段</w:t>
      </w:r>
    </w:p>
    <w:p w14:paraId="7282CD58">
      <w:pPr>
        <w:pStyle w:val="39"/>
        <w:bidi w:val="0"/>
        <w:rPr>
          <w:rFonts w:hint="eastAsia"/>
        </w:rPr>
      </w:pPr>
      <w:r>
        <w:rPr>
          <w:rFonts w:hint="eastAsia"/>
        </w:rPr>
        <w:t>督促承建单位按照合同规定，向建设单位提供相关的培训服务，并要求承建单位提供培训教程。审核培训教程的规范性，要求承建单位在培训方案中明确培训时间、培训质量、培训地点、培训人数，了解培训情况。</w:t>
      </w:r>
    </w:p>
    <w:p w14:paraId="50FC8494">
      <w:pPr>
        <w:pStyle w:val="39"/>
        <w:bidi w:val="0"/>
        <w:rPr>
          <w:rFonts w:hint="eastAsia"/>
        </w:rPr>
      </w:pPr>
      <w:r>
        <w:rPr>
          <w:rFonts w:hint="eastAsia"/>
          <w:lang w:eastAsia="zh-CN"/>
        </w:rPr>
        <w:t>（</w:t>
      </w:r>
      <w:r>
        <w:rPr>
          <w:rFonts w:hint="eastAsia"/>
          <w:lang w:val="en-US" w:eastAsia="zh-CN"/>
        </w:rPr>
        <w:t>6</w:t>
      </w:r>
      <w:r>
        <w:rPr>
          <w:rFonts w:hint="eastAsia"/>
          <w:lang w:eastAsia="zh-CN"/>
        </w:rPr>
        <w:t>）</w:t>
      </w:r>
      <w:r>
        <w:rPr>
          <w:rFonts w:hint="eastAsia"/>
        </w:rPr>
        <w:t>验收准备阶段</w:t>
      </w:r>
    </w:p>
    <w:p w14:paraId="2440DC83">
      <w:pPr>
        <w:pStyle w:val="39"/>
        <w:bidi w:val="0"/>
        <w:rPr>
          <w:rFonts w:hint="eastAsia"/>
        </w:rPr>
      </w:pPr>
      <w:r>
        <w:rPr>
          <w:rFonts w:hint="eastAsia"/>
        </w:rPr>
        <w:t>审核承建单位提供的设备是否符合合同约定的各项要求；技术文档和工程管理资料是否完备；审核试运行期间所提问题的修改情况，对承建单位的实施质量、合同变更、索赔等事宜进行审核确认，并协助用户做好项目验收工作。</w:t>
      </w:r>
    </w:p>
    <w:p w14:paraId="7FD2A180">
      <w:pPr>
        <w:pStyle w:val="37"/>
        <w:keepNext w:val="0"/>
        <w:keepLines w:val="0"/>
        <w:pageBreakBefore w:val="0"/>
        <w:widowControl w:val="0"/>
        <w:numPr>
          <w:ilvl w:val="4"/>
          <w:numId w:val="88"/>
        </w:numPr>
        <w:kinsoku/>
        <w:wordWrap/>
        <w:overflowPunct/>
        <w:topLinePunct w:val="0"/>
        <w:autoSpaceDE/>
        <w:autoSpaceDN/>
        <w:bidi w:val="0"/>
        <w:adjustRightInd w:val="0"/>
        <w:snapToGrid/>
        <w:ind w:firstLine="482" w:firstLineChars="200"/>
        <w:textAlignment w:val="auto"/>
        <w:rPr>
          <w:rFonts w:hint="eastAsia"/>
        </w:rPr>
      </w:pPr>
      <w:bookmarkStart w:id="368" w:name="_Toc746523660"/>
      <w:r>
        <w:rPr>
          <w:rFonts w:hint="eastAsia"/>
        </w:rPr>
        <w:t>进度控制</w:t>
      </w:r>
      <w:bookmarkEnd w:id="368"/>
    </w:p>
    <w:p w14:paraId="7051183A">
      <w:pPr>
        <w:pStyle w:val="39"/>
        <w:bidi w:val="0"/>
        <w:rPr>
          <w:rFonts w:hint="eastAsia"/>
        </w:rPr>
      </w:pPr>
      <w:r>
        <w:rPr>
          <w:rFonts w:hint="eastAsia"/>
        </w:rPr>
        <w:t>在整个项目实施过程中，依据合同工期要求，督促和审核承建单位提交的工程进度计划。</w:t>
      </w:r>
    </w:p>
    <w:p w14:paraId="563F558C">
      <w:pPr>
        <w:pStyle w:val="39"/>
        <w:bidi w:val="0"/>
        <w:rPr>
          <w:rFonts w:hint="eastAsia"/>
        </w:rPr>
      </w:pPr>
      <w:r>
        <w:rPr>
          <w:rFonts w:hint="eastAsia"/>
        </w:rPr>
        <w:t>在项目一开始，建立详细的监理制度。定时对承建方的进度进行检查，审核承建单位提交的工程进度报告，检查计划进度与实际进度的差异，进行工程施工的动态管理、进度分析和调整，并不定期向建设方报告有关工程项目进度情况。当工期目标严重偏离时，及时指出，并提出对策建议，同时督促承建单位尽快采取措施。</w:t>
      </w:r>
    </w:p>
    <w:p w14:paraId="4FEBD5BE">
      <w:pPr>
        <w:pStyle w:val="39"/>
        <w:bidi w:val="0"/>
        <w:rPr>
          <w:rFonts w:hint="eastAsia"/>
          <w:lang w:val="en-US" w:eastAsia="zh-CN"/>
        </w:rPr>
      </w:pPr>
      <w:r>
        <w:rPr>
          <w:rFonts w:hint="eastAsia"/>
        </w:rPr>
        <w:t>在项目验收准备阶段对合同工期的延误和延期进行审核确认</w:t>
      </w:r>
      <w:r>
        <w:rPr>
          <w:rFonts w:hint="eastAsia"/>
          <w:lang w:eastAsia="zh-CN"/>
        </w:rPr>
        <w:t>。</w:t>
      </w:r>
    </w:p>
    <w:p w14:paraId="48C9A1F9">
      <w:pPr>
        <w:pStyle w:val="37"/>
        <w:keepNext w:val="0"/>
        <w:keepLines w:val="0"/>
        <w:pageBreakBefore w:val="0"/>
        <w:widowControl w:val="0"/>
        <w:numPr>
          <w:ilvl w:val="4"/>
          <w:numId w:val="88"/>
        </w:numPr>
        <w:kinsoku/>
        <w:wordWrap/>
        <w:overflowPunct/>
        <w:topLinePunct w:val="0"/>
        <w:autoSpaceDE/>
        <w:autoSpaceDN/>
        <w:bidi w:val="0"/>
        <w:adjustRightInd w:val="0"/>
        <w:snapToGrid/>
        <w:ind w:firstLine="482" w:firstLineChars="200"/>
        <w:textAlignment w:val="auto"/>
        <w:rPr>
          <w:rFonts w:hint="eastAsia"/>
        </w:rPr>
      </w:pPr>
      <w:bookmarkStart w:id="369" w:name="_Toc1223687846"/>
      <w:r>
        <w:rPr>
          <w:rFonts w:hint="eastAsia"/>
        </w:rPr>
        <w:t>成本控制</w:t>
      </w:r>
      <w:bookmarkEnd w:id="369"/>
    </w:p>
    <w:p w14:paraId="5C48AB4B">
      <w:pPr>
        <w:pStyle w:val="39"/>
        <w:bidi w:val="0"/>
        <w:rPr>
          <w:rFonts w:hint="eastAsia"/>
        </w:rPr>
      </w:pPr>
      <w:r>
        <w:rPr>
          <w:rFonts w:hint="eastAsia"/>
        </w:rPr>
        <w:t>在合同款支付前，核实工程量，审核承建单位提交的付款申请，核定应支付的进度款，对项目成本进行控制。</w:t>
      </w:r>
    </w:p>
    <w:p w14:paraId="69A6BB6B">
      <w:pPr>
        <w:pStyle w:val="37"/>
        <w:keepNext w:val="0"/>
        <w:keepLines w:val="0"/>
        <w:pageBreakBefore w:val="0"/>
        <w:widowControl w:val="0"/>
        <w:numPr>
          <w:ilvl w:val="4"/>
          <w:numId w:val="88"/>
        </w:numPr>
        <w:kinsoku/>
        <w:wordWrap/>
        <w:overflowPunct/>
        <w:topLinePunct w:val="0"/>
        <w:autoSpaceDE/>
        <w:autoSpaceDN/>
        <w:bidi w:val="0"/>
        <w:adjustRightInd w:val="0"/>
        <w:snapToGrid/>
        <w:ind w:firstLine="482" w:firstLineChars="200"/>
        <w:textAlignment w:val="auto"/>
        <w:rPr>
          <w:rFonts w:hint="eastAsia"/>
        </w:rPr>
      </w:pPr>
      <w:bookmarkStart w:id="370" w:name="_Toc70740403"/>
      <w:r>
        <w:rPr>
          <w:rFonts w:hint="eastAsia"/>
        </w:rPr>
        <w:t>文档管理</w:t>
      </w:r>
      <w:bookmarkEnd w:id="370"/>
    </w:p>
    <w:p w14:paraId="0F881E08">
      <w:pPr>
        <w:pStyle w:val="39"/>
        <w:bidi w:val="0"/>
        <w:rPr>
          <w:rFonts w:hint="eastAsia"/>
        </w:rPr>
      </w:pPr>
      <w:r>
        <w:rPr>
          <w:rFonts w:hint="eastAsia"/>
        </w:rPr>
        <w:t>在本项目建设过程中，项目文档管理贯穿整个工程实施的各个阶段。例如编写项目各种会议纪要、做好合同批复等各类往来文件的批复和存档、管理好实施期间的各类技术文档、结合相关规范对承建单位提交的过程文档进行审核。并在项目验收后协助对项目文件进行移交。</w:t>
      </w:r>
    </w:p>
    <w:p w14:paraId="1FDA80E9">
      <w:pPr>
        <w:pStyle w:val="37"/>
        <w:keepNext w:val="0"/>
        <w:keepLines w:val="0"/>
        <w:pageBreakBefore w:val="0"/>
        <w:widowControl w:val="0"/>
        <w:numPr>
          <w:ilvl w:val="4"/>
          <w:numId w:val="88"/>
        </w:numPr>
        <w:kinsoku/>
        <w:wordWrap/>
        <w:overflowPunct/>
        <w:topLinePunct w:val="0"/>
        <w:autoSpaceDE/>
        <w:autoSpaceDN/>
        <w:bidi w:val="0"/>
        <w:adjustRightInd w:val="0"/>
        <w:snapToGrid/>
        <w:ind w:firstLine="482" w:firstLineChars="200"/>
        <w:textAlignment w:val="auto"/>
        <w:rPr>
          <w:rFonts w:hint="eastAsia"/>
        </w:rPr>
      </w:pPr>
      <w:bookmarkStart w:id="371" w:name="_Toc1375496430"/>
      <w:r>
        <w:rPr>
          <w:rFonts w:hint="eastAsia"/>
        </w:rPr>
        <w:t>安全管理</w:t>
      </w:r>
      <w:bookmarkEnd w:id="371"/>
    </w:p>
    <w:p w14:paraId="1C715B27">
      <w:pPr>
        <w:pStyle w:val="39"/>
        <w:bidi w:val="0"/>
        <w:rPr>
          <w:rFonts w:hint="eastAsia"/>
        </w:rPr>
      </w:pPr>
      <w:r>
        <w:rPr>
          <w:rFonts w:hint="eastAsia"/>
        </w:rPr>
        <w:t>负责项目建设过程中所涉及的政府机密数据和资料的保护，保证不被非授权使用。负责项目建设施工过程中安全控制，确保不出现安全事故。</w:t>
      </w:r>
    </w:p>
    <w:p w14:paraId="6363E643">
      <w:pPr>
        <w:pStyle w:val="37"/>
        <w:keepNext w:val="0"/>
        <w:keepLines w:val="0"/>
        <w:pageBreakBefore w:val="0"/>
        <w:widowControl w:val="0"/>
        <w:numPr>
          <w:ilvl w:val="4"/>
          <w:numId w:val="88"/>
        </w:numPr>
        <w:kinsoku/>
        <w:wordWrap/>
        <w:overflowPunct/>
        <w:topLinePunct w:val="0"/>
        <w:autoSpaceDE/>
        <w:autoSpaceDN/>
        <w:bidi w:val="0"/>
        <w:adjustRightInd w:val="0"/>
        <w:snapToGrid/>
        <w:ind w:firstLine="482" w:firstLineChars="200"/>
        <w:textAlignment w:val="auto"/>
        <w:rPr>
          <w:rFonts w:hint="eastAsia"/>
        </w:rPr>
      </w:pPr>
      <w:bookmarkStart w:id="372" w:name="_Toc307039055"/>
      <w:r>
        <w:rPr>
          <w:rFonts w:hint="eastAsia"/>
        </w:rPr>
        <w:t>组织协调</w:t>
      </w:r>
      <w:bookmarkEnd w:id="372"/>
    </w:p>
    <w:p w14:paraId="7A44CF02">
      <w:pPr>
        <w:pStyle w:val="39"/>
        <w:bidi w:val="0"/>
        <w:rPr>
          <w:rFonts w:hint="eastAsia"/>
        </w:rPr>
      </w:pPr>
      <w:r>
        <w:rPr>
          <w:rFonts w:hint="eastAsia"/>
        </w:rPr>
        <w:t>在项目实施过程中，项目协调工作的原则是：诚信、公正、科学、公平。组织协调工作将贯穿于项目建设的全过程，包括了对工程进度控制、工程质量控制、信息管理等方面的组织协调工作。本项目主要的组织协调方式为会议、协商和沟通。</w:t>
      </w:r>
    </w:p>
    <w:p w14:paraId="6010DB87">
      <w:pPr>
        <w:pStyle w:val="43"/>
        <w:keepNext w:val="0"/>
        <w:keepLines w:val="0"/>
        <w:pageBreakBefore w:val="0"/>
        <w:widowControl w:val="0"/>
        <w:numPr>
          <w:ilvl w:val="2"/>
          <w:numId w:val="88"/>
        </w:numPr>
        <w:kinsoku/>
        <w:wordWrap/>
        <w:overflowPunct/>
        <w:topLinePunct w:val="0"/>
        <w:autoSpaceDE/>
        <w:autoSpaceDN/>
        <w:bidi w:val="0"/>
        <w:adjustRightInd w:val="0"/>
        <w:snapToGrid/>
        <w:ind w:left="0" w:firstLine="0" w:firstLineChars="0"/>
        <w:textAlignment w:val="auto"/>
        <w:rPr>
          <w:rFonts w:hint="eastAsia"/>
        </w:rPr>
      </w:pPr>
      <w:bookmarkStart w:id="373" w:name="_Toc1435589149"/>
      <w:bookmarkStart w:id="374" w:name="_Toc26010"/>
      <w:bookmarkStart w:id="375" w:name="_Toc12741"/>
      <w:bookmarkStart w:id="376" w:name="_Toc2193644"/>
      <w:bookmarkStart w:id="377" w:name="_Toc20974"/>
      <w:bookmarkStart w:id="378" w:name="_Toc562631290"/>
      <w:r>
        <w:rPr>
          <w:rFonts w:hint="eastAsia"/>
        </w:rPr>
        <w:t>监理服务方式</w:t>
      </w:r>
      <w:bookmarkEnd w:id="373"/>
      <w:bookmarkEnd w:id="374"/>
      <w:bookmarkEnd w:id="375"/>
      <w:bookmarkEnd w:id="376"/>
      <w:bookmarkEnd w:id="377"/>
      <w:bookmarkEnd w:id="378"/>
    </w:p>
    <w:p w14:paraId="500D2C37">
      <w:pPr>
        <w:pStyle w:val="39"/>
        <w:bidi w:val="0"/>
        <w:rPr>
          <w:rFonts w:hint="eastAsia"/>
        </w:rPr>
      </w:pPr>
      <w:r>
        <w:rPr>
          <w:rFonts w:hint="eastAsia"/>
        </w:rPr>
        <w:t>监理单位成立专业的项目工作组，工作组人员不少于5人（不允许外聘，投标文件须提供人员名单及在近三个月内任意时间点在投标单位缴纳社保的参保证明扫描件，无证明视为外聘人员）；确定其中一名作为总监理工程师，一名作为总监理工程师代表。</w:t>
      </w:r>
    </w:p>
    <w:p w14:paraId="4FD5134D">
      <w:pPr>
        <w:pStyle w:val="39"/>
        <w:bidi w:val="0"/>
        <w:rPr>
          <w:rFonts w:hint="eastAsia"/>
        </w:rPr>
      </w:pPr>
      <w:r>
        <w:rPr>
          <w:rFonts w:hint="eastAsia"/>
        </w:rPr>
        <w:t>为确保项目顺利实施，采购人要求：监理工作人员在业主单位工作时，应遵守采购人相关规章和制度；监理公司投入的办公设备应满足工作需求；如经采购人及第三方查实，监理单位及监理人员与被监理单位发生非正常经济往来及其他徇私舞弊情况，采购人有权要求更换监理人员或更换全体监理项目班子，情况严重的，采购人有权终止合同；项目中标后按照承诺进场开展工作，项目服务期间不得随意变动。</w:t>
      </w:r>
    </w:p>
    <w:p w14:paraId="4EB78ADD">
      <w:pPr>
        <w:pStyle w:val="43"/>
        <w:keepNext w:val="0"/>
        <w:keepLines w:val="0"/>
        <w:pageBreakBefore w:val="0"/>
        <w:widowControl w:val="0"/>
        <w:numPr>
          <w:ilvl w:val="2"/>
          <w:numId w:val="88"/>
        </w:numPr>
        <w:kinsoku/>
        <w:wordWrap/>
        <w:overflowPunct/>
        <w:topLinePunct w:val="0"/>
        <w:autoSpaceDE/>
        <w:autoSpaceDN/>
        <w:bidi w:val="0"/>
        <w:adjustRightInd w:val="0"/>
        <w:snapToGrid/>
        <w:ind w:left="0" w:firstLine="0" w:firstLineChars="0"/>
        <w:textAlignment w:val="auto"/>
        <w:rPr>
          <w:rFonts w:hint="eastAsia"/>
        </w:rPr>
      </w:pPr>
      <w:bookmarkStart w:id="379" w:name="_Toc968053198"/>
      <w:bookmarkStart w:id="380" w:name="_Toc8226"/>
      <w:bookmarkStart w:id="381" w:name="_Toc2481"/>
      <w:bookmarkStart w:id="382" w:name="_Toc773593289"/>
      <w:bookmarkStart w:id="383" w:name="_Toc25230"/>
      <w:bookmarkStart w:id="384" w:name="_Toc361352709"/>
      <w:r>
        <w:rPr>
          <w:rFonts w:hint="eastAsia"/>
          <w:lang w:val="en-US" w:eastAsia="zh-CN"/>
        </w:rPr>
        <w:t>监理服务标准</w:t>
      </w:r>
      <w:bookmarkEnd w:id="379"/>
      <w:bookmarkEnd w:id="380"/>
      <w:bookmarkEnd w:id="381"/>
      <w:bookmarkEnd w:id="382"/>
      <w:bookmarkEnd w:id="383"/>
      <w:bookmarkEnd w:id="384"/>
    </w:p>
    <w:p w14:paraId="232D985A">
      <w:pPr>
        <w:pStyle w:val="39"/>
        <w:bidi w:val="0"/>
        <w:rPr>
          <w:rFonts w:hint="eastAsia"/>
          <w:lang w:eastAsia="zh-CN"/>
        </w:rPr>
      </w:pPr>
      <w:r>
        <w:rPr>
          <w:rFonts w:hint="eastAsia"/>
          <w:lang w:eastAsia="zh-CN"/>
        </w:rPr>
        <w:t>遵照国家信息产业部《信息系统项目监理暂行规定》的有关规定，以“守法、诚信、公正、科学”的准则执业，维护建设方与承建方的合法权益。具体应做到：</w:t>
      </w:r>
    </w:p>
    <w:p w14:paraId="0CCE33CF">
      <w:pPr>
        <w:pStyle w:val="39"/>
        <w:bidi w:val="0"/>
        <w:rPr>
          <w:rFonts w:hint="eastAsia"/>
          <w:lang w:eastAsia="zh-CN"/>
        </w:rPr>
      </w:pPr>
      <w:r>
        <w:rPr>
          <w:rFonts w:hint="eastAsia"/>
          <w:lang w:eastAsia="zh-CN"/>
        </w:rPr>
        <w:t>（</w:t>
      </w:r>
      <w:r>
        <w:rPr>
          <w:rFonts w:hint="eastAsia"/>
          <w:lang w:val="en-US" w:eastAsia="zh-CN"/>
        </w:rPr>
        <w:t>1</w:t>
      </w:r>
      <w:r>
        <w:rPr>
          <w:rFonts w:hint="eastAsia"/>
          <w:lang w:eastAsia="zh-CN"/>
        </w:rPr>
        <w:t>）执行有关项目建设的法律、法规、规范、标准和制度，履行监理合同规定的义务和职责。</w:t>
      </w:r>
    </w:p>
    <w:p w14:paraId="29DF7579">
      <w:pPr>
        <w:pStyle w:val="39"/>
        <w:bidi w:val="0"/>
        <w:rPr>
          <w:rFonts w:hint="eastAsia"/>
          <w:lang w:eastAsia="zh-CN"/>
        </w:rPr>
      </w:pPr>
      <w:r>
        <w:rPr>
          <w:rFonts w:hint="eastAsia"/>
          <w:lang w:eastAsia="zh-CN"/>
        </w:rPr>
        <w:t>（</w:t>
      </w:r>
      <w:r>
        <w:rPr>
          <w:rFonts w:hint="eastAsia"/>
          <w:lang w:val="en-US" w:eastAsia="zh-CN"/>
        </w:rPr>
        <w:t>2</w:t>
      </w:r>
      <w:r>
        <w:rPr>
          <w:rFonts w:hint="eastAsia"/>
          <w:lang w:eastAsia="zh-CN"/>
        </w:rPr>
        <w:t>）不收受被监理单位的任何礼金。</w:t>
      </w:r>
    </w:p>
    <w:p w14:paraId="567D70A2">
      <w:pPr>
        <w:pStyle w:val="39"/>
        <w:bidi w:val="0"/>
        <w:rPr>
          <w:rFonts w:hint="eastAsia"/>
          <w:lang w:eastAsia="zh-CN"/>
        </w:rPr>
      </w:pPr>
      <w:r>
        <w:rPr>
          <w:rFonts w:hint="eastAsia"/>
          <w:lang w:eastAsia="zh-CN"/>
        </w:rPr>
        <w:t>（</w:t>
      </w:r>
      <w:r>
        <w:rPr>
          <w:rFonts w:hint="eastAsia"/>
          <w:lang w:val="en-US" w:eastAsia="zh-CN"/>
        </w:rPr>
        <w:t>3</w:t>
      </w:r>
      <w:r>
        <w:rPr>
          <w:rFonts w:hint="eastAsia"/>
          <w:lang w:eastAsia="zh-CN"/>
        </w:rPr>
        <w:t>）不泄漏所监理项目各方认为需要保密的事项。</w:t>
      </w:r>
    </w:p>
    <w:p w14:paraId="60A98ABB">
      <w:pPr>
        <w:pStyle w:val="39"/>
        <w:bidi w:val="0"/>
        <w:rPr>
          <w:rFonts w:hint="eastAsia"/>
          <w:lang w:eastAsia="zh-CN"/>
        </w:rPr>
      </w:pPr>
      <w:r>
        <w:rPr>
          <w:rFonts w:hint="eastAsia"/>
          <w:lang w:eastAsia="zh-CN"/>
        </w:rPr>
        <w:t>（</w:t>
      </w:r>
      <w:r>
        <w:rPr>
          <w:rFonts w:hint="eastAsia"/>
          <w:lang w:val="en-US" w:eastAsia="zh-CN"/>
        </w:rPr>
        <w:t>4</w:t>
      </w:r>
      <w:r>
        <w:rPr>
          <w:rFonts w:hint="eastAsia"/>
          <w:lang w:eastAsia="zh-CN"/>
        </w:rPr>
        <w:t>）遵守国家的法律和政府的有关条例、规定和办法等。</w:t>
      </w:r>
    </w:p>
    <w:p w14:paraId="388C4AC4">
      <w:pPr>
        <w:pStyle w:val="39"/>
        <w:bidi w:val="0"/>
        <w:rPr>
          <w:rFonts w:hint="eastAsia"/>
          <w:lang w:eastAsia="zh-CN"/>
        </w:rPr>
      </w:pPr>
      <w:r>
        <w:rPr>
          <w:rFonts w:hint="eastAsia"/>
          <w:lang w:eastAsia="zh-CN"/>
        </w:rPr>
        <w:t>（</w:t>
      </w:r>
      <w:r>
        <w:rPr>
          <w:rFonts w:hint="eastAsia"/>
          <w:lang w:val="en-US" w:eastAsia="zh-CN"/>
        </w:rPr>
        <w:t>5</w:t>
      </w:r>
      <w:r>
        <w:rPr>
          <w:rFonts w:hint="eastAsia"/>
          <w:lang w:eastAsia="zh-CN"/>
        </w:rPr>
        <w:t>）坚持公正的立场，独立、公正地处理有关各方的争议。</w:t>
      </w:r>
    </w:p>
    <w:p w14:paraId="44947B59">
      <w:pPr>
        <w:pStyle w:val="39"/>
        <w:bidi w:val="0"/>
        <w:rPr>
          <w:rFonts w:hint="eastAsia"/>
          <w:lang w:eastAsia="zh-CN"/>
        </w:rPr>
      </w:pPr>
      <w:r>
        <w:rPr>
          <w:rFonts w:hint="eastAsia"/>
          <w:lang w:eastAsia="zh-CN"/>
        </w:rPr>
        <w:t>（</w:t>
      </w:r>
      <w:r>
        <w:rPr>
          <w:rFonts w:hint="eastAsia"/>
          <w:lang w:val="en-US" w:eastAsia="zh-CN"/>
        </w:rPr>
        <w:t>6</w:t>
      </w:r>
      <w:r>
        <w:rPr>
          <w:rFonts w:hint="eastAsia"/>
          <w:lang w:eastAsia="zh-CN"/>
        </w:rPr>
        <w:t>）坚持科学的态度和实事求是的原则。</w:t>
      </w:r>
    </w:p>
    <w:p w14:paraId="63EB61E5">
      <w:pPr>
        <w:pStyle w:val="39"/>
        <w:bidi w:val="0"/>
        <w:rPr>
          <w:rFonts w:hint="eastAsia"/>
          <w:lang w:eastAsia="zh-CN"/>
        </w:rPr>
      </w:pPr>
      <w:r>
        <w:rPr>
          <w:rFonts w:hint="eastAsia"/>
          <w:lang w:eastAsia="zh-CN"/>
        </w:rPr>
        <w:t>（</w:t>
      </w:r>
      <w:r>
        <w:rPr>
          <w:rFonts w:hint="eastAsia"/>
          <w:lang w:val="en-US" w:eastAsia="zh-CN"/>
        </w:rPr>
        <w:t>7</w:t>
      </w:r>
      <w:r>
        <w:rPr>
          <w:rFonts w:hint="eastAsia"/>
          <w:lang w:eastAsia="zh-CN"/>
        </w:rPr>
        <w:t>）在坚持按监理合同的规定向采购人提供技术服务的同时，帮助被监理者完成起担负的建设任务。</w:t>
      </w:r>
    </w:p>
    <w:p w14:paraId="23EF6339">
      <w:pPr>
        <w:pStyle w:val="39"/>
        <w:bidi w:val="0"/>
        <w:rPr>
          <w:rFonts w:hint="eastAsia"/>
          <w:lang w:eastAsia="zh-CN"/>
        </w:rPr>
      </w:pPr>
      <w:r>
        <w:rPr>
          <w:rFonts w:hint="eastAsia"/>
          <w:lang w:eastAsia="zh-CN"/>
        </w:rPr>
        <w:t>（</w:t>
      </w:r>
      <w:r>
        <w:rPr>
          <w:rFonts w:hint="eastAsia"/>
          <w:lang w:val="en-US" w:eastAsia="zh-CN"/>
        </w:rPr>
        <w:t>8</w:t>
      </w:r>
      <w:r>
        <w:rPr>
          <w:rFonts w:hint="eastAsia"/>
          <w:lang w:eastAsia="zh-CN"/>
        </w:rPr>
        <w:t>）不泄漏所监理的项目需保密的事项。</w:t>
      </w:r>
    </w:p>
    <w:p w14:paraId="44355DC7">
      <w:pPr>
        <w:pStyle w:val="43"/>
        <w:keepNext w:val="0"/>
        <w:keepLines w:val="0"/>
        <w:pageBreakBefore w:val="0"/>
        <w:widowControl w:val="0"/>
        <w:numPr>
          <w:ilvl w:val="2"/>
          <w:numId w:val="88"/>
        </w:numPr>
        <w:kinsoku/>
        <w:wordWrap/>
        <w:overflowPunct/>
        <w:topLinePunct w:val="0"/>
        <w:autoSpaceDE/>
        <w:autoSpaceDN/>
        <w:bidi w:val="0"/>
        <w:adjustRightInd w:val="0"/>
        <w:snapToGrid/>
        <w:ind w:left="0" w:firstLine="0" w:firstLineChars="0"/>
        <w:textAlignment w:val="auto"/>
        <w:rPr>
          <w:rFonts w:hint="eastAsia"/>
          <w:lang w:eastAsia="zh-CN"/>
        </w:rPr>
      </w:pPr>
      <w:bookmarkStart w:id="385" w:name="_Toc916409285"/>
      <w:bookmarkStart w:id="386" w:name="_Toc27426"/>
      <w:bookmarkStart w:id="387" w:name="_Toc733989114"/>
      <w:bookmarkStart w:id="388" w:name="_Toc14949"/>
      <w:bookmarkStart w:id="389" w:name="_Toc25330"/>
      <w:bookmarkStart w:id="390" w:name="_Toc171226447"/>
      <w:r>
        <w:rPr>
          <w:rFonts w:hint="eastAsia"/>
          <w:lang w:val="en-US" w:eastAsia="zh-CN"/>
        </w:rPr>
        <w:t>监理服务遵照的依据</w:t>
      </w:r>
      <w:bookmarkEnd w:id="385"/>
      <w:bookmarkEnd w:id="386"/>
      <w:bookmarkEnd w:id="387"/>
      <w:bookmarkEnd w:id="388"/>
      <w:bookmarkEnd w:id="389"/>
      <w:bookmarkEnd w:id="390"/>
    </w:p>
    <w:p w14:paraId="1A2B58F5">
      <w:pPr>
        <w:pStyle w:val="39"/>
        <w:bidi w:val="0"/>
        <w:rPr>
          <w:rFonts w:hint="eastAsia"/>
          <w:lang w:eastAsia="zh-CN"/>
        </w:rPr>
      </w:pPr>
      <w:r>
        <w:rPr>
          <w:rFonts w:hint="eastAsia"/>
          <w:lang w:eastAsia="zh-CN"/>
        </w:rPr>
        <w:t>（</w:t>
      </w:r>
      <w:r>
        <w:rPr>
          <w:rFonts w:hint="eastAsia"/>
          <w:lang w:val="en-US" w:eastAsia="zh-CN"/>
        </w:rPr>
        <w:t>1</w:t>
      </w:r>
      <w:r>
        <w:rPr>
          <w:rFonts w:hint="eastAsia"/>
          <w:lang w:eastAsia="zh-CN"/>
        </w:rPr>
        <w:t>）国家工信部和我省有关信息系统项目建设和监理管理规范；</w:t>
      </w:r>
    </w:p>
    <w:p w14:paraId="5C7E76BD">
      <w:pPr>
        <w:pStyle w:val="39"/>
        <w:bidi w:val="0"/>
        <w:rPr>
          <w:rFonts w:hint="eastAsia"/>
          <w:lang w:eastAsia="zh-CN"/>
        </w:rPr>
      </w:pPr>
      <w:r>
        <w:rPr>
          <w:rFonts w:hint="eastAsia"/>
          <w:lang w:eastAsia="zh-CN"/>
        </w:rPr>
        <w:t>（</w:t>
      </w:r>
      <w:r>
        <w:rPr>
          <w:rFonts w:hint="eastAsia"/>
          <w:lang w:val="en-US" w:eastAsia="zh-CN"/>
        </w:rPr>
        <w:t>2</w:t>
      </w:r>
      <w:r>
        <w:rPr>
          <w:rFonts w:hint="eastAsia"/>
          <w:lang w:eastAsia="zh-CN"/>
        </w:rPr>
        <w:t>）采购人与项目承建单位签订的合同；</w:t>
      </w:r>
    </w:p>
    <w:p w14:paraId="515493A3">
      <w:pPr>
        <w:pStyle w:val="39"/>
        <w:bidi w:val="0"/>
        <w:rPr>
          <w:rFonts w:hint="eastAsia"/>
          <w:lang w:eastAsia="zh-CN"/>
        </w:rPr>
      </w:pPr>
      <w:r>
        <w:rPr>
          <w:rFonts w:hint="eastAsia"/>
          <w:lang w:eastAsia="zh-CN"/>
        </w:rPr>
        <w:t>（</w:t>
      </w:r>
      <w:r>
        <w:rPr>
          <w:rFonts w:hint="eastAsia"/>
          <w:lang w:val="en-US" w:eastAsia="zh-CN"/>
        </w:rPr>
        <w:t>3</w:t>
      </w:r>
      <w:r>
        <w:rPr>
          <w:rFonts w:hint="eastAsia"/>
          <w:lang w:eastAsia="zh-CN"/>
        </w:rPr>
        <w:t>）采购人与监理单位签订的监理合同；</w:t>
      </w:r>
    </w:p>
    <w:p w14:paraId="1C78946D">
      <w:pPr>
        <w:pStyle w:val="39"/>
        <w:bidi w:val="0"/>
        <w:rPr>
          <w:rFonts w:hint="eastAsia"/>
          <w:lang w:eastAsia="zh-CN"/>
        </w:rPr>
      </w:pPr>
      <w:r>
        <w:rPr>
          <w:rFonts w:hint="eastAsia"/>
          <w:lang w:eastAsia="zh-CN"/>
        </w:rPr>
        <w:t>（</w:t>
      </w:r>
      <w:r>
        <w:rPr>
          <w:rFonts w:hint="eastAsia"/>
          <w:lang w:val="en-US" w:eastAsia="zh-CN"/>
        </w:rPr>
        <w:t>4</w:t>
      </w:r>
      <w:r>
        <w:rPr>
          <w:rFonts w:hint="eastAsia"/>
          <w:lang w:eastAsia="zh-CN"/>
        </w:rPr>
        <w:t>）有关国家、省技术规范和标准</w:t>
      </w:r>
    </w:p>
    <w:p w14:paraId="797573D6">
      <w:pPr>
        <w:pStyle w:val="43"/>
        <w:keepNext w:val="0"/>
        <w:keepLines w:val="0"/>
        <w:pageBreakBefore w:val="0"/>
        <w:widowControl w:val="0"/>
        <w:numPr>
          <w:ilvl w:val="2"/>
          <w:numId w:val="88"/>
        </w:numPr>
        <w:kinsoku/>
        <w:wordWrap/>
        <w:overflowPunct/>
        <w:topLinePunct w:val="0"/>
        <w:autoSpaceDE/>
        <w:autoSpaceDN/>
        <w:bidi w:val="0"/>
        <w:adjustRightInd w:val="0"/>
        <w:snapToGrid/>
        <w:ind w:left="0" w:firstLine="0" w:firstLineChars="0"/>
        <w:textAlignment w:val="auto"/>
        <w:rPr>
          <w:rFonts w:hint="eastAsia"/>
          <w:lang w:eastAsia="zh-CN"/>
        </w:rPr>
      </w:pPr>
      <w:bookmarkStart w:id="391" w:name="_Toc174807749"/>
      <w:bookmarkStart w:id="392" w:name="_Toc32249"/>
      <w:bookmarkStart w:id="393" w:name="_Toc25264"/>
      <w:bookmarkStart w:id="394" w:name="_Toc7327"/>
      <w:bookmarkStart w:id="395" w:name="_Toc338136711"/>
      <w:bookmarkStart w:id="396" w:name="_Toc1008970630"/>
      <w:r>
        <w:rPr>
          <w:rFonts w:hint="eastAsia"/>
          <w:lang w:val="en-US" w:eastAsia="zh-CN"/>
        </w:rPr>
        <w:t>监理服务期限及其他要求</w:t>
      </w:r>
      <w:bookmarkEnd w:id="391"/>
      <w:bookmarkEnd w:id="392"/>
      <w:bookmarkEnd w:id="393"/>
      <w:bookmarkEnd w:id="394"/>
      <w:bookmarkEnd w:id="395"/>
      <w:bookmarkEnd w:id="396"/>
    </w:p>
    <w:p w14:paraId="05C261AF">
      <w:pPr>
        <w:pStyle w:val="39"/>
        <w:bidi w:val="0"/>
        <w:rPr>
          <w:rFonts w:hint="eastAsia"/>
          <w:lang w:eastAsia="zh-CN"/>
        </w:rPr>
      </w:pPr>
      <w:r>
        <w:rPr>
          <w:rFonts w:hint="eastAsia"/>
          <w:lang w:eastAsia="zh-CN"/>
        </w:rPr>
        <w:t>（</w:t>
      </w:r>
      <w:r>
        <w:rPr>
          <w:rFonts w:hint="eastAsia"/>
          <w:lang w:val="en-US" w:eastAsia="zh-CN"/>
        </w:rPr>
        <w:t>1</w:t>
      </w:r>
      <w:r>
        <w:rPr>
          <w:rFonts w:hint="eastAsia"/>
          <w:lang w:eastAsia="zh-CN"/>
        </w:rPr>
        <w:t>）本次监理服务的服务期为合同签订后至所监理的项目全部完成验收。</w:t>
      </w:r>
    </w:p>
    <w:p w14:paraId="3D91359D">
      <w:pPr>
        <w:pStyle w:val="39"/>
        <w:bidi w:val="0"/>
        <w:rPr>
          <w:rFonts w:hint="eastAsia"/>
          <w:lang w:eastAsia="zh-CN"/>
        </w:rPr>
      </w:pPr>
      <w:r>
        <w:rPr>
          <w:rFonts w:hint="eastAsia"/>
          <w:lang w:eastAsia="zh-CN"/>
        </w:rPr>
        <w:t>（</w:t>
      </w:r>
      <w:r>
        <w:rPr>
          <w:rFonts w:hint="eastAsia"/>
          <w:lang w:val="en-US" w:eastAsia="zh-CN"/>
        </w:rPr>
        <w:t>2</w:t>
      </w:r>
      <w:r>
        <w:rPr>
          <w:rFonts w:hint="eastAsia"/>
          <w:lang w:eastAsia="zh-CN"/>
        </w:rPr>
        <w:t>）提供项目实施地（市级）本地化服务。</w:t>
      </w:r>
    </w:p>
    <w:p w14:paraId="4F2FD6B0">
      <w:pPr>
        <w:pStyle w:val="39"/>
        <w:bidi w:val="0"/>
        <w:rPr>
          <w:rFonts w:hint="eastAsia"/>
          <w:lang w:eastAsia="zh-CN"/>
        </w:rPr>
      </w:pPr>
      <w:r>
        <w:rPr>
          <w:rFonts w:hint="eastAsia"/>
          <w:lang w:eastAsia="zh-CN"/>
        </w:rPr>
        <w:t>（</w:t>
      </w:r>
      <w:r>
        <w:rPr>
          <w:rFonts w:hint="eastAsia"/>
          <w:lang w:val="en-US" w:eastAsia="zh-CN"/>
        </w:rPr>
        <w:t>3</w:t>
      </w:r>
      <w:r>
        <w:rPr>
          <w:rFonts w:hint="eastAsia"/>
          <w:lang w:eastAsia="zh-CN"/>
        </w:rPr>
        <w:t>）协助采购人规范项目管理、项目验收以及项目审计等服务工作。</w:t>
      </w:r>
    </w:p>
    <w:p w14:paraId="721685C4">
      <w:pPr>
        <w:pStyle w:val="39"/>
        <w:bidi w:val="0"/>
        <w:rPr>
          <w:rFonts w:hint="eastAsia"/>
          <w:lang w:eastAsia="zh-CN"/>
        </w:rPr>
      </w:pPr>
      <w:r>
        <w:rPr>
          <w:rFonts w:hint="eastAsia"/>
          <w:lang w:eastAsia="zh-CN"/>
        </w:rPr>
        <w:t>（</w:t>
      </w:r>
      <w:r>
        <w:rPr>
          <w:rFonts w:hint="eastAsia"/>
          <w:lang w:val="en-US" w:eastAsia="zh-CN"/>
        </w:rPr>
        <w:t>4</w:t>
      </w:r>
      <w:r>
        <w:rPr>
          <w:rFonts w:hint="eastAsia"/>
          <w:lang w:eastAsia="zh-CN"/>
        </w:rPr>
        <w:t>）做好各项目承建单位和采购人之间的协调工作。</w:t>
      </w:r>
    </w:p>
    <w:p w14:paraId="05B938C2">
      <w:pPr>
        <w:pStyle w:val="39"/>
        <w:bidi w:val="0"/>
        <w:rPr>
          <w:rFonts w:hint="eastAsia"/>
          <w:lang w:eastAsia="zh-CN"/>
        </w:rPr>
      </w:pPr>
      <w:r>
        <w:rPr>
          <w:rFonts w:hint="eastAsia"/>
          <w:lang w:eastAsia="zh-CN"/>
        </w:rPr>
        <w:t>（</w:t>
      </w:r>
      <w:r>
        <w:rPr>
          <w:rFonts w:hint="eastAsia"/>
          <w:lang w:val="en-US" w:eastAsia="zh-CN"/>
        </w:rPr>
        <w:t>5</w:t>
      </w:r>
      <w:r>
        <w:rPr>
          <w:rFonts w:hint="eastAsia"/>
          <w:lang w:eastAsia="zh-CN"/>
        </w:rPr>
        <w:t>）协助采购人开展有关项目管理制度的完善和落实。</w:t>
      </w:r>
    </w:p>
    <w:p w14:paraId="340F7ADB">
      <w:pPr>
        <w:pStyle w:val="39"/>
        <w:bidi w:val="0"/>
        <w:rPr>
          <w:rFonts w:hint="eastAsia"/>
          <w:lang w:eastAsia="zh-CN"/>
        </w:rPr>
      </w:pPr>
      <w:r>
        <w:rPr>
          <w:rFonts w:hint="eastAsia"/>
          <w:lang w:eastAsia="zh-CN"/>
        </w:rPr>
        <w:t>（</w:t>
      </w:r>
      <w:r>
        <w:rPr>
          <w:rFonts w:hint="eastAsia"/>
          <w:lang w:val="en-US" w:eastAsia="zh-CN"/>
        </w:rPr>
        <w:t>6</w:t>
      </w:r>
      <w:r>
        <w:rPr>
          <w:rFonts w:hint="eastAsia"/>
          <w:lang w:eastAsia="zh-CN"/>
        </w:rPr>
        <w:t>）做好项目合同、文档资料管理工作。</w:t>
      </w:r>
    </w:p>
    <w:p w14:paraId="2B798303">
      <w:pPr>
        <w:pStyle w:val="43"/>
        <w:keepNext w:val="0"/>
        <w:keepLines w:val="0"/>
        <w:pageBreakBefore w:val="0"/>
        <w:widowControl w:val="0"/>
        <w:numPr>
          <w:ilvl w:val="2"/>
          <w:numId w:val="88"/>
        </w:numPr>
        <w:kinsoku/>
        <w:wordWrap/>
        <w:overflowPunct/>
        <w:topLinePunct w:val="0"/>
        <w:autoSpaceDE/>
        <w:autoSpaceDN/>
        <w:bidi w:val="0"/>
        <w:adjustRightInd w:val="0"/>
        <w:snapToGrid/>
        <w:ind w:left="0" w:firstLine="0" w:firstLineChars="0"/>
        <w:textAlignment w:val="auto"/>
        <w:rPr>
          <w:rFonts w:hint="eastAsia"/>
          <w:lang w:val="en-US" w:eastAsia="zh-CN"/>
        </w:rPr>
      </w:pPr>
      <w:bookmarkStart w:id="397" w:name="_Toc22953"/>
      <w:bookmarkStart w:id="398" w:name="_Toc4716"/>
      <w:bookmarkStart w:id="399" w:name="_Toc821971815"/>
      <w:bookmarkStart w:id="400" w:name="_Toc27731"/>
      <w:bookmarkStart w:id="401" w:name="_Toc1238501698"/>
      <w:bookmarkStart w:id="402" w:name="_Toc236208347"/>
      <w:r>
        <w:rPr>
          <w:rFonts w:hint="eastAsia"/>
          <w:lang w:val="en-US" w:eastAsia="zh-CN"/>
        </w:rPr>
        <w:t>网络和数据安全要求</w:t>
      </w:r>
      <w:bookmarkEnd w:id="397"/>
      <w:bookmarkEnd w:id="398"/>
      <w:bookmarkEnd w:id="399"/>
      <w:bookmarkEnd w:id="400"/>
      <w:bookmarkEnd w:id="401"/>
      <w:bookmarkEnd w:id="402"/>
    </w:p>
    <w:p w14:paraId="737653FA">
      <w:pPr>
        <w:pStyle w:val="39"/>
        <w:bidi w:val="0"/>
        <w:rPr>
          <w:rFonts w:hint="eastAsia"/>
          <w:lang w:val="en-US" w:eastAsia="zh-CN"/>
        </w:rPr>
      </w:pPr>
      <w:r>
        <w:rPr>
          <w:rFonts w:hint="eastAsia"/>
          <w:lang w:val="en-US" w:eastAsia="zh-CN"/>
        </w:rPr>
        <w:t>中标方必须具备确保招标方信息系统网络和数据安全的技术能力和安全防护措施。中标方需做好项目关键数据岗位人员的背景预审，并按要求提交相关材料，进行背景审查，审查通过后签署相关保密协议或承诺，确保关键数据岗位人员的安全可靠。中标方在项目实施过程中必须按照《浙江省大数据发展管理局关于印发对政务信息系统建设运维企业开展网络和数据安全专项检查方案的通知》（浙数局发﹝2021﹞14号）的文件精神，严格落实网络和数据安全责任，遵守网络和数据安全管理各项要求和操作规范，确保招标方网络和数据安全。项目实施期间，如因中标方原因造成网络和数据安全事件的，招标方将追责问责。</w:t>
      </w:r>
    </w:p>
    <w:p w14:paraId="605B2AB8">
      <w:pPr>
        <w:pStyle w:val="43"/>
        <w:keepNext w:val="0"/>
        <w:keepLines w:val="0"/>
        <w:pageBreakBefore w:val="0"/>
        <w:widowControl w:val="0"/>
        <w:numPr>
          <w:ilvl w:val="2"/>
          <w:numId w:val="88"/>
        </w:numPr>
        <w:kinsoku/>
        <w:wordWrap/>
        <w:overflowPunct/>
        <w:topLinePunct w:val="0"/>
        <w:autoSpaceDE/>
        <w:autoSpaceDN/>
        <w:bidi w:val="0"/>
        <w:adjustRightInd w:val="0"/>
        <w:snapToGrid/>
        <w:ind w:left="0" w:firstLine="0" w:firstLineChars="0"/>
        <w:textAlignment w:val="auto"/>
        <w:rPr>
          <w:rFonts w:hint="eastAsia"/>
          <w:lang w:val="en-US" w:eastAsia="zh-CN"/>
        </w:rPr>
      </w:pPr>
      <w:bookmarkStart w:id="403" w:name="_Toc117993554"/>
      <w:bookmarkStart w:id="404" w:name="_Toc2086531562"/>
      <w:bookmarkStart w:id="405" w:name="_Toc1403908373"/>
      <w:bookmarkStart w:id="406" w:name="_Toc18338"/>
      <w:bookmarkStart w:id="407" w:name="_Toc7980"/>
      <w:bookmarkStart w:id="408" w:name="_Toc9992"/>
      <w:r>
        <w:rPr>
          <w:rFonts w:hint="eastAsia"/>
          <w:lang w:val="en-US" w:eastAsia="zh-CN"/>
        </w:rPr>
        <w:t>商务要求</w:t>
      </w:r>
      <w:bookmarkEnd w:id="403"/>
      <w:bookmarkEnd w:id="404"/>
      <w:bookmarkEnd w:id="405"/>
      <w:bookmarkEnd w:id="406"/>
      <w:bookmarkEnd w:id="407"/>
      <w:bookmarkEnd w:id="408"/>
    </w:p>
    <w:p w14:paraId="2E8F096C">
      <w:pPr>
        <w:pStyle w:val="39"/>
        <w:numPr>
          <w:ilvl w:val="0"/>
          <w:numId w:val="89"/>
        </w:numPr>
        <w:bidi w:val="0"/>
        <w:rPr>
          <w:rFonts w:hint="eastAsia"/>
        </w:rPr>
      </w:pPr>
      <w:r>
        <w:rPr>
          <w:rFonts w:hint="eastAsia"/>
        </w:rPr>
        <w:t>服务期：</w:t>
      </w:r>
      <w:r>
        <w:rPr>
          <w:rFonts w:hint="eastAsia"/>
          <w:lang w:val="en-US" w:eastAsia="zh-CN"/>
        </w:rPr>
        <w:t>直至项目通过验收。</w:t>
      </w:r>
    </w:p>
    <w:p w14:paraId="46E1BCE6">
      <w:pPr>
        <w:pStyle w:val="39"/>
        <w:numPr>
          <w:ilvl w:val="0"/>
          <w:numId w:val="89"/>
        </w:numPr>
        <w:bidi w:val="0"/>
        <w:rPr>
          <w:rFonts w:hint="default"/>
          <w:lang w:val="en-US" w:eastAsia="zh-CN"/>
        </w:rPr>
      </w:pPr>
      <w:r>
        <w:rPr>
          <w:rFonts w:hint="eastAsia"/>
          <w:lang w:val="en-US" w:eastAsia="zh-CN"/>
        </w:rPr>
        <w:t>服务地点：采购人指定地点</w:t>
      </w:r>
    </w:p>
    <w:p w14:paraId="6BE8ED4A">
      <w:pPr>
        <w:pStyle w:val="39"/>
        <w:numPr>
          <w:ilvl w:val="0"/>
          <w:numId w:val="89"/>
        </w:numPr>
        <w:bidi w:val="0"/>
        <w:rPr>
          <w:rFonts w:hint="eastAsia"/>
          <w:lang w:val="en-US" w:eastAsia="zh-CN"/>
        </w:rPr>
      </w:pPr>
      <w:r>
        <w:rPr>
          <w:rFonts w:hint="eastAsia"/>
          <w:lang w:val="en-US" w:eastAsia="zh-CN"/>
        </w:rPr>
        <w:t>付款方式：</w:t>
      </w:r>
    </w:p>
    <w:p w14:paraId="4BA1A306">
      <w:pPr>
        <w:pStyle w:val="48"/>
        <w:numPr>
          <w:ilvl w:val="0"/>
          <w:numId w:val="90"/>
        </w:numPr>
        <w:bidi w:val="0"/>
        <w:rPr>
          <w:rFonts w:hint="eastAsia"/>
        </w:rPr>
      </w:pPr>
      <w:r>
        <w:rPr>
          <w:rFonts w:hint="eastAsia"/>
        </w:rPr>
        <w:t>合同签订后，采购人在收到成交供应商票据并确认无误后向成交供应商支付合同总额的</w:t>
      </w:r>
      <w:r>
        <w:rPr>
          <w:rFonts w:hint="eastAsia"/>
          <w:lang w:val="en-US" w:eastAsia="zh-CN"/>
        </w:rPr>
        <w:t>50</w:t>
      </w:r>
      <w:r>
        <w:rPr>
          <w:rFonts w:hint="eastAsia"/>
        </w:rPr>
        <w:t>%；</w:t>
      </w:r>
    </w:p>
    <w:p w14:paraId="35288B9D">
      <w:pPr>
        <w:pStyle w:val="48"/>
        <w:numPr>
          <w:ilvl w:val="0"/>
          <w:numId w:val="90"/>
        </w:numPr>
        <w:bidi w:val="0"/>
        <w:rPr>
          <w:rFonts w:hint="eastAsia"/>
        </w:rPr>
      </w:pPr>
      <w:r>
        <w:rPr>
          <w:rFonts w:hint="eastAsia"/>
        </w:rPr>
        <w:t>完成监理规划和监理规范的编制，并通过采购人审核确认，采购人在收到成交供应商票据并确认无误后向成交供应商支付合同总额的20%；</w:t>
      </w:r>
    </w:p>
    <w:p w14:paraId="5B3B96C2">
      <w:pPr>
        <w:pStyle w:val="48"/>
        <w:numPr>
          <w:ilvl w:val="0"/>
          <w:numId w:val="90"/>
        </w:numPr>
        <w:bidi w:val="0"/>
        <w:rPr>
          <w:rFonts w:hint="eastAsia"/>
        </w:rPr>
      </w:pPr>
      <w:r>
        <w:rPr>
          <w:rFonts w:hint="eastAsia"/>
        </w:rPr>
        <w:t>所监理的建设项目全部初验通过后，采购人在收到成交供应商票据并确认无误后向成交供应商支付合同总额的</w:t>
      </w:r>
      <w:r>
        <w:rPr>
          <w:rFonts w:hint="eastAsia"/>
          <w:lang w:val="en-US" w:eastAsia="zh-CN"/>
        </w:rPr>
        <w:t>2</w:t>
      </w:r>
      <w:r>
        <w:rPr>
          <w:rFonts w:hint="eastAsia"/>
        </w:rPr>
        <w:t>5%；</w:t>
      </w:r>
    </w:p>
    <w:p w14:paraId="056E3B2D">
      <w:pPr>
        <w:pStyle w:val="48"/>
        <w:numPr>
          <w:ilvl w:val="0"/>
          <w:numId w:val="90"/>
        </w:numPr>
        <w:bidi w:val="0"/>
        <w:rPr>
          <w:rFonts w:hint="eastAsia"/>
        </w:rPr>
      </w:pPr>
      <w:r>
        <w:rPr>
          <w:rFonts w:hint="eastAsia"/>
        </w:rPr>
        <w:t>监理范围内所有项目验收通过后，采购人在收到成交供应商票据并确认无误后向成交供应商支付合同总额的5%。</w:t>
      </w:r>
    </w:p>
    <w:p w14:paraId="7AF8EEAE">
      <w:pPr>
        <w:pStyle w:val="39"/>
        <w:bidi w:val="0"/>
      </w:pPr>
      <w:r>
        <w:br w:type="page"/>
      </w:r>
    </w:p>
    <w:p w14:paraId="182502FE">
      <w:pPr>
        <w:pStyle w:val="42"/>
      </w:pPr>
      <w:bookmarkStart w:id="409" w:name="_Toc1085195422"/>
      <w:bookmarkStart w:id="410" w:name="_Toc2075490671"/>
      <w:r>
        <w:rPr>
          <w:rFonts w:hint="eastAsia"/>
          <w:lang w:eastAsia="zh-CN"/>
        </w:rPr>
        <w:t>合同文本</w:t>
      </w:r>
      <w:bookmarkEnd w:id="409"/>
      <w:bookmarkEnd w:id="410"/>
    </w:p>
    <w:p w14:paraId="3484142A">
      <w:pPr>
        <w:pStyle w:val="39"/>
        <w:ind w:firstLine="0" w:firstLineChars="0"/>
        <w:rPr>
          <w:u w:val="single"/>
        </w:rPr>
      </w:pPr>
      <w:r>
        <w:rPr>
          <w:rFonts w:hint="eastAsia"/>
          <w:u w:val="single"/>
        </w:rPr>
        <w:t>说明：本合同文本为招标人与中标人需要签订的正式文本，除将招标结果内容逐项填入外，其他已填写内容不得更改（联合体中标的可针对多方权益适当调整部分描述，但不得调整任何导致对其他投标人产生不公平影响的条款）。各投标人应对本合同文本中的条款全部响应，如有偏离需在商务偏离表中注明。</w:t>
      </w:r>
    </w:p>
    <w:p w14:paraId="40FDF477">
      <w:pPr>
        <w:pStyle w:val="39"/>
        <w:bidi w:val="0"/>
      </w:pPr>
      <w:r>
        <w:rPr>
          <w:rFonts w:hint="eastAsia"/>
        </w:rPr>
        <w:t xml:space="preserve"> </w:t>
      </w:r>
    </w:p>
    <w:p w14:paraId="3D208ED5">
      <w:pPr>
        <w:pStyle w:val="41"/>
        <w:numPr>
          <w:ilvl w:val="1"/>
          <w:numId w:val="91"/>
        </w:numPr>
        <w:bidi w:val="0"/>
        <w:rPr>
          <w:rFonts w:hint="eastAsia"/>
          <w:lang w:val="en-US" w:eastAsia="zh-CN"/>
        </w:rPr>
      </w:pPr>
      <w:bookmarkStart w:id="411" w:name="_Toc1194829276"/>
      <w:bookmarkStart w:id="412" w:name="_Toc300843583"/>
      <w:r>
        <w:rPr>
          <w:rFonts w:hint="eastAsia"/>
          <w:lang w:val="en-US" w:eastAsia="zh-CN"/>
        </w:rPr>
        <w:t>标项一适用合同文本</w:t>
      </w:r>
      <w:bookmarkEnd w:id="411"/>
      <w:bookmarkEnd w:id="412"/>
    </w:p>
    <w:p w14:paraId="069AB69E">
      <w:pPr>
        <w:pStyle w:val="39"/>
        <w:ind w:left="0" w:leftChars="0" w:firstLine="0" w:firstLineChars="0"/>
        <w:rPr>
          <w:rFonts w:hint="eastAsia"/>
          <w:lang w:val="en-US" w:eastAsia="zh-CN"/>
        </w:rPr>
      </w:pPr>
    </w:p>
    <w:p w14:paraId="0BC7DC69">
      <w:pPr>
        <w:jc w:val="center"/>
        <w:outlineLvl w:val="9"/>
        <w:rPr>
          <w:color w:val="auto"/>
          <w:sz w:val="36"/>
          <w:szCs w:val="36"/>
        </w:rPr>
      </w:pPr>
      <w:r>
        <w:rPr>
          <w:rFonts w:hint="eastAsia"/>
          <w:color w:val="auto"/>
          <w:sz w:val="36"/>
          <w:szCs w:val="36"/>
        </w:rPr>
        <w:t>政府采购合同</w:t>
      </w:r>
    </w:p>
    <w:p w14:paraId="28BD31CE">
      <w:pPr>
        <w:rPr>
          <w:color w:val="auto"/>
        </w:rPr>
      </w:pPr>
    </w:p>
    <w:p w14:paraId="04D37469">
      <w:pPr>
        <w:rPr>
          <w:color w:val="auto"/>
        </w:rPr>
      </w:pPr>
    </w:p>
    <w:p w14:paraId="056AA12B">
      <w:pPr>
        <w:rPr>
          <w:color w:val="auto"/>
          <w:sz w:val="24"/>
          <w:szCs w:val="24"/>
        </w:rPr>
      </w:pPr>
    </w:p>
    <w:p w14:paraId="7C787DF8">
      <w:pPr>
        <w:spacing w:line="600" w:lineRule="auto"/>
        <w:rPr>
          <w:color w:val="auto"/>
          <w:sz w:val="24"/>
          <w:szCs w:val="24"/>
        </w:rPr>
      </w:pPr>
      <w:r>
        <w:rPr>
          <w:rFonts w:hint="eastAsia"/>
          <w:color w:val="auto"/>
          <w:sz w:val="24"/>
          <w:szCs w:val="24"/>
        </w:rPr>
        <w:t>项目名称：</w:t>
      </w:r>
      <w:r>
        <w:rPr>
          <w:rFonts w:hint="eastAsia"/>
          <w:color w:val="auto"/>
          <w:sz w:val="24"/>
          <w:szCs w:val="24"/>
          <w:u w:val="single"/>
          <w:lang w:val="en-US" w:eastAsia="zh-CN"/>
        </w:rPr>
        <w:t xml:space="preserve">                                                       </w:t>
      </w:r>
      <w:r>
        <w:rPr>
          <w:rFonts w:hint="eastAsia"/>
          <w:color w:val="auto"/>
          <w:sz w:val="24"/>
          <w:szCs w:val="24"/>
          <w:u w:val="single"/>
        </w:rPr>
        <w:t xml:space="preserve">       </w:t>
      </w:r>
    </w:p>
    <w:p w14:paraId="1A85A8D6">
      <w:pPr>
        <w:spacing w:line="600" w:lineRule="auto"/>
        <w:rPr>
          <w:color w:val="auto"/>
          <w:sz w:val="24"/>
          <w:szCs w:val="24"/>
        </w:rPr>
      </w:pPr>
    </w:p>
    <w:p w14:paraId="11F7E087">
      <w:pPr>
        <w:spacing w:line="600" w:lineRule="auto"/>
        <w:rPr>
          <w:color w:val="auto"/>
          <w:sz w:val="24"/>
          <w:szCs w:val="24"/>
        </w:rPr>
      </w:pPr>
    </w:p>
    <w:p w14:paraId="40D854CE">
      <w:pPr>
        <w:spacing w:line="600" w:lineRule="auto"/>
        <w:rPr>
          <w:color w:val="auto"/>
          <w:sz w:val="24"/>
          <w:szCs w:val="24"/>
          <w:u w:val="single"/>
        </w:rPr>
      </w:pPr>
      <w:r>
        <w:rPr>
          <w:rFonts w:hint="eastAsia"/>
          <w:color w:val="auto"/>
          <w:sz w:val="24"/>
          <w:szCs w:val="24"/>
        </w:rPr>
        <w:t>甲方：</w:t>
      </w:r>
      <w:r>
        <w:rPr>
          <w:rFonts w:hint="eastAsia"/>
          <w:color w:val="auto"/>
          <w:sz w:val="24"/>
          <w:szCs w:val="24"/>
          <w:u w:val="single"/>
        </w:rPr>
        <w:t xml:space="preserve">                         （盖章）                              </w:t>
      </w:r>
    </w:p>
    <w:p w14:paraId="74E6CC19">
      <w:pPr>
        <w:spacing w:line="600" w:lineRule="auto"/>
        <w:rPr>
          <w:color w:val="auto"/>
          <w:sz w:val="24"/>
          <w:szCs w:val="24"/>
          <w:u w:val="single"/>
        </w:rPr>
      </w:pPr>
      <w:r>
        <w:rPr>
          <w:rFonts w:hint="eastAsia"/>
          <w:color w:val="auto"/>
          <w:sz w:val="24"/>
          <w:szCs w:val="24"/>
        </w:rPr>
        <w:t>乙方：</w:t>
      </w:r>
      <w:r>
        <w:rPr>
          <w:rFonts w:hint="eastAsia"/>
          <w:color w:val="auto"/>
          <w:sz w:val="24"/>
          <w:szCs w:val="24"/>
          <w:u w:val="single"/>
        </w:rPr>
        <w:t xml:space="preserve">                         （盖章）                              </w:t>
      </w:r>
    </w:p>
    <w:p w14:paraId="6FAA3683">
      <w:pPr>
        <w:spacing w:line="600" w:lineRule="auto"/>
        <w:rPr>
          <w:color w:val="auto"/>
          <w:sz w:val="24"/>
          <w:szCs w:val="24"/>
          <w:u w:val="single"/>
        </w:rPr>
      </w:pPr>
      <w:r>
        <w:rPr>
          <w:rFonts w:hint="eastAsia"/>
          <w:color w:val="auto"/>
          <w:sz w:val="24"/>
          <w:szCs w:val="24"/>
        </w:rPr>
        <w:t>签订时间：</w:t>
      </w:r>
      <w:r>
        <w:rPr>
          <w:rFonts w:hint="eastAsia"/>
          <w:color w:val="auto"/>
          <w:sz w:val="24"/>
          <w:szCs w:val="24"/>
          <w:u w:val="single"/>
        </w:rPr>
        <w:t xml:space="preserve">                                                           </w:t>
      </w:r>
    </w:p>
    <w:p w14:paraId="265E6CEF">
      <w:pPr>
        <w:spacing w:line="600" w:lineRule="auto"/>
        <w:rPr>
          <w:color w:val="auto"/>
          <w:u w:val="single"/>
        </w:rPr>
      </w:pPr>
      <w:r>
        <w:rPr>
          <w:rFonts w:hint="eastAsia"/>
          <w:color w:val="auto"/>
          <w:sz w:val="24"/>
          <w:szCs w:val="24"/>
        </w:rPr>
        <w:t>签订地点：</w:t>
      </w:r>
      <w:r>
        <w:rPr>
          <w:rFonts w:hint="eastAsia"/>
          <w:color w:val="auto"/>
          <w:sz w:val="24"/>
          <w:szCs w:val="24"/>
          <w:u w:val="single"/>
        </w:rPr>
        <w:t xml:space="preserve">   </w:t>
      </w:r>
      <w:r>
        <w:rPr>
          <w:rFonts w:hint="eastAsia"/>
          <w:color w:val="auto"/>
          <w:u w:val="single"/>
        </w:rPr>
        <w:t xml:space="preserve">                                                                </w:t>
      </w:r>
    </w:p>
    <w:p w14:paraId="58D00E12">
      <w:pPr>
        <w:spacing w:before="100" w:beforeAutospacing="1" w:after="100" w:afterAutospacing="1"/>
        <w:rPr>
          <w:color w:val="auto"/>
          <w:sz w:val="24"/>
          <w:szCs w:val="24"/>
        </w:rPr>
      </w:pPr>
    </w:p>
    <w:p w14:paraId="7D9D30F2">
      <w:pPr>
        <w:rPr>
          <w:color w:val="auto"/>
          <w:sz w:val="24"/>
          <w:szCs w:val="24"/>
        </w:rPr>
      </w:pPr>
      <w:r>
        <w:rPr>
          <w:rFonts w:hint="eastAsia"/>
          <w:color w:val="auto"/>
          <w:sz w:val="24"/>
          <w:szCs w:val="24"/>
        </w:rPr>
        <w:br w:type="page"/>
      </w:r>
    </w:p>
    <w:p w14:paraId="3AF1D9B6">
      <w:pPr>
        <w:spacing w:line="360" w:lineRule="auto"/>
        <w:ind w:left="200" w:firstLine="0" w:firstLineChars="0"/>
        <w:jc w:val="center"/>
        <w:outlineLvl w:val="9"/>
      </w:pPr>
      <w:r>
        <w:rPr>
          <w:rFonts w:hint="eastAsia" w:ascii="黑体" w:hAnsi="黑体" w:eastAsia="黑体"/>
          <w:sz w:val="32"/>
        </w:rPr>
        <w:t>第一部分  合同书</w:t>
      </w:r>
    </w:p>
    <w:p w14:paraId="13AB9E95">
      <w:pPr>
        <w:spacing w:line="360" w:lineRule="auto"/>
        <w:ind w:firstLine="480"/>
        <w:jc w:val="both"/>
        <w:outlineLvl w:val="9"/>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（甲方名称）</w:t>
      </w:r>
      <w:r>
        <w:rPr>
          <w:rFonts w:hint="eastAsia" w:ascii="宋体" w:hAnsi="宋体" w:eastAsia="宋体" w:cs="宋体"/>
          <w:sz w:val="24"/>
          <w:szCs w:val="24"/>
        </w:rPr>
        <w:t>（以下简称“甲方”）和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（乙方名称）（以下简称“乙方”）本着平等互利，协商一致原则，签订本合同。</w:t>
      </w:r>
    </w:p>
    <w:p w14:paraId="60BE57D9">
      <w:pPr>
        <w:spacing w:line="360" w:lineRule="auto"/>
        <w:ind w:firstLine="480"/>
        <w:jc w:val="both"/>
        <w:outlineLvl w:val="9"/>
        <w:rPr>
          <w:rFonts w:hint="eastAsia" w:ascii="宋体" w:hAnsi="宋体" w:eastAsia="宋体" w:cs="宋体"/>
          <w:sz w:val="24"/>
          <w:szCs w:val="24"/>
        </w:rPr>
      </w:pPr>
      <w:r>
        <w:rPr>
          <w:rFonts w:hint="eastAsia" w:ascii="宋体" w:hAnsi="宋体" w:eastAsia="宋体" w:cs="宋体"/>
          <w:sz w:val="24"/>
          <w:szCs w:val="24"/>
        </w:rPr>
        <w:t>本合同在此声明如下：</w:t>
      </w:r>
    </w:p>
    <w:p w14:paraId="02ABAEBC">
      <w:pPr>
        <w:spacing w:line="360" w:lineRule="auto"/>
        <w:ind w:firstLine="480"/>
        <w:jc w:val="both"/>
        <w:outlineLvl w:val="9"/>
        <w:rPr>
          <w:rFonts w:hint="eastAsia" w:ascii="宋体" w:hAnsi="宋体" w:eastAsia="宋体" w:cs="宋体"/>
          <w:sz w:val="24"/>
          <w:szCs w:val="24"/>
        </w:rPr>
      </w:pPr>
      <w:r>
        <w:rPr>
          <w:rFonts w:hint="eastAsia" w:ascii="宋体" w:hAnsi="宋体" w:eastAsia="宋体" w:cs="宋体"/>
          <w:sz w:val="24"/>
          <w:szCs w:val="24"/>
        </w:rPr>
        <w:t>1、本合同中的词语和术语的含义与合同条款中所定义的相同。</w:t>
      </w:r>
    </w:p>
    <w:p w14:paraId="1383E2E6">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2、下列文件构成本合同的组成部分，彼此相互解释，相互补充。为便于解释，组成合同的多个文件的优先支配地位的次序如下：</w:t>
      </w:r>
    </w:p>
    <w:p w14:paraId="3A9B944B">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a.本合同书及附件</w:t>
      </w:r>
    </w:p>
    <w:p w14:paraId="746C4B49">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附件 1— 技术支持和售后服务方案（含硬件维护）</w:t>
      </w:r>
    </w:p>
    <w:p w14:paraId="173AE9ED">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附件 2— 保密方案</w:t>
      </w:r>
    </w:p>
    <w:p w14:paraId="372C8D7D">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附件 3— 实施方案（含硬件集成）</w:t>
      </w:r>
    </w:p>
    <w:p w14:paraId="71324261">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附件4— 验收测试大纲</w:t>
      </w:r>
    </w:p>
    <w:p w14:paraId="770F67EA">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附件 5— 硬件设备清单及详细技术规格书（需详细列明所有硬件设备的具体名称、规格型号、数量、生产厂商、技术参数等关键信息，并作为验收依据）</w:t>
      </w:r>
    </w:p>
    <w:p w14:paraId="4D92C443">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b.合同专用条款</w:t>
      </w:r>
    </w:p>
    <w:p w14:paraId="0869F2CA">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c.合同通用条款</w:t>
      </w:r>
    </w:p>
    <w:p w14:paraId="2E05D7CE">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d.中标通知书</w:t>
      </w:r>
    </w:p>
    <w:p w14:paraId="76D9CA90">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e.投标文件（含澄清文件、修改说明）</w:t>
      </w:r>
    </w:p>
    <w:p w14:paraId="5D76C622">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f.招标文件（含招标文件补充通知、澄清文件）</w:t>
      </w:r>
    </w:p>
    <w:p w14:paraId="68FCED5F">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招标文件与投标文件内容如有冲突，以有利于甲方利益的条款为准。</w:t>
      </w:r>
    </w:p>
    <w:p w14:paraId="25008C64">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3、服务内容</w:t>
      </w:r>
    </w:p>
    <w:p w14:paraId="37A5D42D">
      <w:pPr>
        <w:spacing w:line="360" w:lineRule="auto"/>
        <w:ind w:firstLineChars="150"/>
        <w:jc w:val="both"/>
        <w:rPr>
          <w:rFonts w:hint="eastAsia" w:ascii="宋体" w:hAnsi="宋体" w:eastAsia="宋体" w:cs="宋体"/>
          <w:sz w:val="24"/>
          <w:szCs w:val="24"/>
        </w:rPr>
      </w:pPr>
      <w:r>
        <w:rPr>
          <w:rFonts w:hint="eastAsia" w:ascii="宋体" w:hAnsi="宋体" w:eastAsia="宋体" w:cs="宋体"/>
          <w:sz w:val="24"/>
          <w:szCs w:val="24"/>
        </w:rPr>
        <w:t>乙方为甲方开发的软件系统分为【具体数量】个子系统，包括：</w:t>
      </w:r>
    </w:p>
    <w:p w14:paraId="02E7FE41">
      <w:pPr>
        <w:spacing w:line="360" w:lineRule="auto"/>
        <w:ind w:firstLineChars="150"/>
        <w:jc w:val="both"/>
        <w:rPr>
          <w:rFonts w:hint="eastAsia" w:ascii="宋体" w:hAnsi="宋体" w:eastAsia="宋体" w:cs="宋体"/>
          <w:sz w:val="24"/>
          <w:szCs w:val="24"/>
        </w:rPr>
      </w:pPr>
      <w:r>
        <w:rPr>
          <w:rFonts w:hint="eastAsia" w:ascii="宋体" w:hAnsi="宋体" w:eastAsia="宋体" w:cs="宋体"/>
          <w:sz w:val="24"/>
          <w:szCs w:val="24"/>
        </w:rPr>
        <w:t>_________子系统；</w:t>
      </w:r>
    </w:p>
    <w:p w14:paraId="097C2764">
      <w:pPr>
        <w:spacing w:line="360" w:lineRule="auto"/>
        <w:ind w:firstLineChars="150"/>
        <w:jc w:val="both"/>
        <w:rPr>
          <w:rFonts w:hint="eastAsia" w:ascii="宋体" w:hAnsi="宋体" w:eastAsia="宋体" w:cs="宋体"/>
          <w:sz w:val="24"/>
          <w:szCs w:val="24"/>
        </w:rPr>
      </w:pPr>
      <w:r>
        <w:rPr>
          <w:rFonts w:hint="eastAsia" w:ascii="宋体" w:hAnsi="宋体" w:eastAsia="宋体" w:cs="宋体"/>
          <w:sz w:val="24"/>
          <w:szCs w:val="24"/>
        </w:rPr>
        <w:t>_________子系统；</w:t>
      </w:r>
    </w:p>
    <w:p w14:paraId="46C9ED00">
      <w:pPr>
        <w:spacing w:line="360" w:lineRule="auto"/>
        <w:ind w:firstLineChars="150"/>
        <w:jc w:val="both"/>
        <w:rPr>
          <w:rFonts w:hint="eastAsia" w:ascii="宋体" w:hAnsi="宋体" w:eastAsia="宋体" w:cs="宋体"/>
          <w:sz w:val="24"/>
          <w:szCs w:val="24"/>
        </w:rPr>
      </w:pPr>
      <w:r>
        <w:rPr>
          <w:rFonts w:hint="eastAsia" w:ascii="宋体" w:hAnsi="宋体" w:eastAsia="宋体" w:cs="宋体"/>
          <w:sz w:val="24"/>
          <w:szCs w:val="24"/>
        </w:rPr>
        <w:t>_________子系统。</w:t>
      </w:r>
    </w:p>
    <w:p w14:paraId="42153261">
      <w:pPr>
        <w:spacing w:line="360" w:lineRule="auto"/>
        <w:ind w:firstLineChars="150"/>
        <w:rPr>
          <w:rFonts w:hint="eastAsia" w:ascii="宋体" w:hAnsi="宋体" w:eastAsia="宋体" w:cs="宋体"/>
          <w:sz w:val="24"/>
          <w:szCs w:val="24"/>
        </w:rPr>
      </w:pPr>
      <w:r>
        <w:rPr>
          <w:rFonts w:hint="eastAsia" w:ascii="宋体" w:hAnsi="宋体" w:eastAsia="宋体" w:cs="宋体"/>
          <w:sz w:val="24"/>
          <w:szCs w:val="24"/>
        </w:rPr>
        <w:t xml:space="preserve">该软件所构建的系统的主要功能为【具体功能描述】。                                                                               </w:t>
      </w:r>
    </w:p>
    <w:p w14:paraId="79C710A6">
      <w:pPr>
        <w:spacing w:line="360" w:lineRule="auto"/>
        <w:ind w:firstLineChars="150"/>
        <w:rPr>
          <w:rFonts w:hint="eastAsia" w:ascii="宋体" w:hAnsi="宋体" w:eastAsia="宋体" w:cs="宋体"/>
          <w:sz w:val="24"/>
          <w:szCs w:val="24"/>
        </w:rPr>
      </w:pPr>
      <w:r>
        <w:rPr>
          <w:rFonts w:hint="eastAsia" w:ascii="宋体" w:hAnsi="宋体" w:eastAsia="宋体" w:cs="宋体"/>
          <w:sz w:val="24"/>
          <w:szCs w:val="24"/>
        </w:rPr>
        <w:t>硬件采购内容：乙方需向甲方提供以下硬件设备（详见附件 5）：</w:t>
      </w:r>
    </w:p>
    <w:p w14:paraId="654C926B">
      <w:pPr>
        <w:spacing w:line="360" w:lineRule="auto"/>
        <w:ind w:firstLineChars="150"/>
        <w:rPr>
          <w:rFonts w:hint="eastAsia" w:ascii="宋体" w:hAnsi="宋体" w:eastAsia="宋体" w:cs="宋体"/>
          <w:sz w:val="24"/>
          <w:szCs w:val="24"/>
        </w:rPr>
      </w:pPr>
      <w:r>
        <w:rPr>
          <w:rFonts w:hint="eastAsia" w:ascii="宋体" w:hAnsi="宋体" w:eastAsia="宋体" w:cs="宋体"/>
          <w:sz w:val="24"/>
          <w:szCs w:val="24"/>
        </w:rPr>
        <w:t>设备名称：_________</w:t>
      </w:r>
    </w:p>
    <w:p w14:paraId="69FE637E">
      <w:pPr>
        <w:spacing w:line="360" w:lineRule="auto"/>
        <w:ind w:firstLineChars="150"/>
        <w:rPr>
          <w:rFonts w:hint="eastAsia" w:ascii="宋体" w:hAnsi="宋体" w:eastAsia="宋体" w:cs="宋体"/>
          <w:sz w:val="24"/>
          <w:szCs w:val="24"/>
        </w:rPr>
      </w:pPr>
      <w:r>
        <w:rPr>
          <w:rFonts w:hint="eastAsia" w:ascii="宋体" w:hAnsi="宋体" w:eastAsia="宋体" w:cs="宋体"/>
          <w:sz w:val="24"/>
          <w:szCs w:val="24"/>
        </w:rPr>
        <w:t>规格型号：_________</w:t>
      </w:r>
    </w:p>
    <w:p w14:paraId="4239A832">
      <w:pPr>
        <w:spacing w:line="360" w:lineRule="auto"/>
        <w:ind w:firstLineChars="150"/>
        <w:rPr>
          <w:rFonts w:hint="eastAsia" w:ascii="宋体" w:hAnsi="宋体" w:eastAsia="宋体" w:cs="宋体"/>
          <w:sz w:val="24"/>
          <w:szCs w:val="24"/>
        </w:rPr>
      </w:pPr>
      <w:r>
        <w:rPr>
          <w:rFonts w:hint="eastAsia" w:ascii="宋体" w:hAnsi="宋体" w:eastAsia="宋体" w:cs="宋体"/>
          <w:sz w:val="24"/>
          <w:szCs w:val="24"/>
        </w:rPr>
        <w:t>数量：_________</w:t>
      </w:r>
    </w:p>
    <w:p w14:paraId="2C4EABC6">
      <w:pPr>
        <w:spacing w:line="360" w:lineRule="auto"/>
        <w:ind w:firstLineChars="150"/>
        <w:rPr>
          <w:rFonts w:hint="eastAsia" w:ascii="宋体" w:hAnsi="宋体" w:eastAsia="宋体" w:cs="宋体"/>
          <w:sz w:val="24"/>
          <w:szCs w:val="24"/>
        </w:rPr>
      </w:pPr>
      <w:r>
        <w:rPr>
          <w:rFonts w:hint="eastAsia" w:ascii="宋体" w:hAnsi="宋体" w:eastAsia="宋体" w:cs="宋体"/>
          <w:sz w:val="24"/>
          <w:szCs w:val="24"/>
        </w:rPr>
        <w:t>生产厂商：_________</w:t>
      </w:r>
    </w:p>
    <w:p w14:paraId="0ABE3ECB">
      <w:pPr>
        <w:spacing w:line="360" w:lineRule="auto"/>
        <w:ind w:firstLineChars="150"/>
        <w:rPr>
          <w:rFonts w:hint="eastAsia" w:ascii="宋体" w:hAnsi="宋体" w:eastAsia="宋体" w:cs="宋体"/>
          <w:sz w:val="24"/>
          <w:szCs w:val="24"/>
        </w:rPr>
      </w:pPr>
      <w:r>
        <w:rPr>
          <w:rFonts w:hint="eastAsia" w:ascii="宋体" w:hAnsi="宋体" w:eastAsia="宋体" w:cs="宋体"/>
          <w:sz w:val="24"/>
          <w:szCs w:val="24"/>
        </w:rPr>
        <w:t>（注：附件5需详细列明各硬件设备的具体技术参数及性能指标）</w:t>
      </w:r>
    </w:p>
    <w:p w14:paraId="437C396E">
      <w:pPr>
        <w:spacing w:line="360" w:lineRule="auto"/>
        <w:ind w:firstLineChars="150"/>
        <w:rPr>
          <w:rFonts w:hint="eastAsia" w:ascii="宋体" w:hAnsi="宋体" w:eastAsia="宋体" w:cs="宋体"/>
          <w:sz w:val="24"/>
          <w:szCs w:val="24"/>
        </w:rPr>
      </w:pPr>
      <w:r>
        <w:rPr>
          <w:rFonts w:hint="eastAsia" w:ascii="宋体" w:hAnsi="宋体" w:eastAsia="宋体" w:cs="宋体"/>
          <w:sz w:val="24"/>
          <w:szCs w:val="24"/>
        </w:rPr>
        <w:t>集成服务内容：乙方负责完成软件系统与硬件设备的集成调试，包括但不限于：</w:t>
      </w:r>
    </w:p>
    <w:p w14:paraId="5AA88715">
      <w:pPr>
        <w:spacing w:line="360" w:lineRule="auto"/>
        <w:ind w:firstLineChars="150"/>
        <w:rPr>
          <w:rFonts w:hint="eastAsia" w:ascii="宋体" w:hAnsi="宋体" w:eastAsia="宋体" w:cs="宋体"/>
          <w:sz w:val="24"/>
          <w:szCs w:val="24"/>
        </w:rPr>
      </w:pPr>
      <w:r>
        <w:rPr>
          <w:rFonts w:hint="eastAsia" w:ascii="宋体" w:hAnsi="宋体" w:eastAsia="宋体" w:cs="宋体"/>
          <w:sz w:val="24"/>
          <w:szCs w:val="24"/>
        </w:rPr>
        <w:t>硬件设备的安装、配置及联调；</w:t>
      </w:r>
    </w:p>
    <w:p w14:paraId="4585D353">
      <w:pPr>
        <w:spacing w:line="360" w:lineRule="auto"/>
        <w:ind w:firstLineChars="150"/>
        <w:rPr>
          <w:rFonts w:hint="eastAsia" w:ascii="宋体" w:hAnsi="宋体" w:eastAsia="宋体" w:cs="宋体"/>
          <w:sz w:val="24"/>
          <w:szCs w:val="24"/>
        </w:rPr>
      </w:pPr>
      <w:r>
        <w:rPr>
          <w:rFonts w:hint="eastAsia" w:ascii="宋体" w:hAnsi="宋体" w:eastAsia="宋体" w:cs="宋体"/>
          <w:sz w:val="24"/>
          <w:szCs w:val="24"/>
        </w:rPr>
        <w:t>软硬件系统的兼容性测试；</w:t>
      </w:r>
    </w:p>
    <w:p w14:paraId="2291F3AE">
      <w:pPr>
        <w:spacing w:line="360" w:lineRule="auto"/>
        <w:ind w:firstLineChars="150"/>
        <w:rPr>
          <w:rFonts w:hint="eastAsia" w:ascii="宋体" w:hAnsi="宋体" w:eastAsia="宋体" w:cs="宋体"/>
          <w:sz w:val="24"/>
          <w:szCs w:val="24"/>
        </w:rPr>
      </w:pPr>
      <w:r>
        <w:rPr>
          <w:rFonts w:hint="eastAsia" w:ascii="宋体" w:hAnsi="宋体" w:eastAsia="宋体" w:cs="宋体"/>
          <w:sz w:val="24"/>
          <w:szCs w:val="24"/>
        </w:rPr>
        <w:t>整体系统的性能优化及稳定性测试。 。</w:t>
      </w:r>
    </w:p>
    <w:p w14:paraId="12560024">
      <w:pPr>
        <w:spacing w:line="360" w:lineRule="auto"/>
        <w:ind w:firstLineChars="147"/>
        <w:jc w:val="both"/>
        <w:rPr>
          <w:rFonts w:hint="eastAsia" w:ascii="宋体" w:hAnsi="宋体" w:eastAsia="宋体" w:cs="宋体"/>
          <w:sz w:val="24"/>
          <w:szCs w:val="24"/>
        </w:rPr>
      </w:pPr>
      <w:r>
        <w:rPr>
          <w:rFonts w:hint="eastAsia" w:ascii="宋体" w:hAnsi="宋体" w:eastAsia="宋体" w:cs="宋体"/>
          <w:b/>
          <w:sz w:val="24"/>
          <w:szCs w:val="24"/>
        </w:rPr>
        <w:t>4、合同总价</w:t>
      </w:r>
    </w:p>
    <w:p w14:paraId="0661B00D">
      <w:pPr>
        <w:spacing w:line="360" w:lineRule="auto"/>
        <w:ind w:firstLineChars="147"/>
        <w:jc w:val="both"/>
        <w:rPr>
          <w:rFonts w:hint="eastAsia" w:ascii="宋体" w:hAnsi="宋体" w:eastAsia="宋体" w:cs="宋体"/>
          <w:sz w:val="24"/>
          <w:szCs w:val="24"/>
        </w:rPr>
      </w:pPr>
      <w:r>
        <w:rPr>
          <w:rFonts w:hint="eastAsia" w:ascii="宋体" w:hAnsi="宋体" w:eastAsia="宋体" w:cs="宋体"/>
          <w:sz w:val="24"/>
          <w:szCs w:val="24"/>
        </w:rPr>
        <w:t>合同币种：_________</w:t>
      </w:r>
    </w:p>
    <w:p w14:paraId="30B84437">
      <w:pPr>
        <w:spacing w:line="360" w:lineRule="auto"/>
        <w:ind w:firstLineChars="147"/>
        <w:jc w:val="both"/>
        <w:rPr>
          <w:rFonts w:hint="eastAsia" w:ascii="宋体" w:hAnsi="宋体" w:eastAsia="宋体" w:cs="宋体"/>
          <w:sz w:val="24"/>
          <w:szCs w:val="24"/>
        </w:rPr>
      </w:pPr>
      <w:r>
        <w:rPr>
          <w:rFonts w:hint="eastAsia" w:ascii="宋体" w:hAnsi="宋体" w:eastAsia="宋体" w:cs="宋体"/>
          <w:sz w:val="24"/>
          <w:szCs w:val="24"/>
        </w:rPr>
        <w:t>合同总价（大写金额）：_________</w:t>
      </w:r>
    </w:p>
    <w:p w14:paraId="65964F26">
      <w:pPr>
        <w:spacing w:line="360" w:lineRule="auto"/>
        <w:ind w:firstLineChars="147"/>
        <w:jc w:val="both"/>
        <w:rPr>
          <w:rFonts w:hint="eastAsia" w:ascii="宋体" w:hAnsi="宋体" w:eastAsia="宋体" w:cs="宋体"/>
          <w:sz w:val="24"/>
          <w:szCs w:val="24"/>
        </w:rPr>
      </w:pPr>
      <w:r>
        <w:rPr>
          <w:rFonts w:hint="eastAsia" w:ascii="宋体" w:hAnsi="宋体" w:eastAsia="宋体" w:cs="宋体"/>
          <w:sz w:val="24"/>
          <w:szCs w:val="24"/>
        </w:rPr>
        <w:t>分项价格：</w:t>
      </w:r>
    </w:p>
    <w:p w14:paraId="3C1C65C3">
      <w:pPr>
        <w:spacing w:line="360" w:lineRule="auto"/>
        <w:ind w:firstLineChars="147"/>
        <w:jc w:val="both"/>
        <w:rPr>
          <w:rFonts w:hint="eastAsia" w:ascii="宋体" w:hAnsi="宋体" w:eastAsia="宋体" w:cs="宋体"/>
          <w:sz w:val="24"/>
          <w:szCs w:val="24"/>
        </w:rPr>
      </w:pPr>
      <w:r>
        <w:rPr>
          <w:rFonts w:hint="eastAsia" w:ascii="宋体" w:hAnsi="宋体" w:eastAsia="宋体" w:cs="宋体"/>
          <w:sz w:val="24"/>
          <w:szCs w:val="24"/>
        </w:rPr>
        <w:t>软件开发：人民币_________元</w:t>
      </w:r>
    </w:p>
    <w:p w14:paraId="7AC8F0F5">
      <w:pPr>
        <w:spacing w:line="360" w:lineRule="auto"/>
        <w:ind w:firstLineChars="147"/>
        <w:jc w:val="both"/>
        <w:rPr>
          <w:rFonts w:hint="eastAsia" w:ascii="宋体" w:hAnsi="宋体" w:eastAsia="宋体" w:cs="宋体"/>
          <w:sz w:val="24"/>
          <w:szCs w:val="24"/>
        </w:rPr>
      </w:pPr>
      <w:r>
        <w:rPr>
          <w:rFonts w:hint="eastAsia" w:ascii="宋体" w:hAnsi="宋体" w:eastAsia="宋体" w:cs="宋体"/>
          <w:sz w:val="24"/>
          <w:szCs w:val="24"/>
        </w:rPr>
        <w:t>硬件采购：人民币_________元</w:t>
      </w:r>
    </w:p>
    <w:p w14:paraId="5AD4BB30">
      <w:pPr>
        <w:spacing w:line="360" w:lineRule="auto"/>
        <w:ind w:firstLineChars="147"/>
        <w:jc w:val="both"/>
        <w:rPr>
          <w:rFonts w:hint="eastAsia" w:ascii="宋体" w:hAnsi="宋体" w:eastAsia="宋体" w:cs="宋体"/>
          <w:sz w:val="24"/>
          <w:szCs w:val="24"/>
        </w:rPr>
      </w:pPr>
      <w:r>
        <w:rPr>
          <w:rFonts w:hint="eastAsia" w:ascii="宋体" w:hAnsi="宋体" w:eastAsia="宋体" w:cs="宋体"/>
          <w:sz w:val="24"/>
          <w:szCs w:val="24"/>
        </w:rPr>
        <w:t>集成服务：人民币_________元</w:t>
      </w:r>
    </w:p>
    <w:p w14:paraId="1F2C03F8">
      <w:pPr>
        <w:spacing w:line="360" w:lineRule="auto"/>
        <w:ind w:firstLineChars="147"/>
        <w:jc w:val="both"/>
        <w:rPr>
          <w:rFonts w:hint="eastAsia" w:ascii="宋体" w:hAnsi="宋体" w:eastAsia="宋体" w:cs="宋体"/>
          <w:sz w:val="24"/>
          <w:szCs w:val="24"/>
        </w:rPr>
      </w:pPr>
      <w:r>
        <w:rPr>
          <w:rFonts w:hint="eastAsia" w:ascii="宋体" w:hAnsi="宋体" w:eastAsia="宋体" w:cs="宋体"/>
          <w:b/>
          <w:sz w:val="24"/>
          <w:szCs w:val="24"/>
        </w:rPr>
        <w:t>5、付款方式</w:t>
      </w:r>
    </w:p>
    <w:p w14:paraId="01103B9B">
      <w:pPr>
        <w:spacing w:line="360" w:lineRule="auto"/>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rPr>
        <w:t>本合同的付款方式为：</w:t>
      </w:r>
      <w:r>
        <w:rPr>
          <w:rFonts w:hint="eastAsia" w:ascii="宋体" w:hAnsi="宋体" w:eastAsia="宋体" w:cs="宋体"/>
          <w:sz w:val="24"/>
          <w:szCs w:val="24"/>
          <w:lang w:val="en-US" w:eastAsia="zh-CN"/>
        </w:rPr>
        <w:t>分期付款</w:t>
      </w:r>
    </w:p>
    <w:p w14:paraId="2F66ABEE">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（1）合同签订后，采购人在收到成交供应商票据并确认无误后向成交供应商支付合同总额的50%；</w:t>
      </w:r>
    </w:p>
    <w:p w14:paraId="12A9315E">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（2）完成方案编制，采购人在收到成交供应商票据并确认无误后向成交供应商支付合同总额的20%；</w:t>
      </w:r>
    </w:p>
    <w:p w14:paraId="7A5FA146">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（3）初验通过后，采购人在收到成交供应商票据并确认无误后向成交供应商支付合同总额的25%；</w:t>
      </w:r>
    </w:p>
    <w:p w14:paraId="2BF5D1B3">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（4）终验通过后，采购人在收到成交供应商票据并确认无误后向成交供应商支付合同总额的5%。</w:t>
      </w:r>
    </w:p>
    <w:p w14:paraId="0779ED00">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每次付款前，乙方需按甲方要求向甲方提供与付款金额相等的正规发票，否则甲方有权拒绝付款。</w:t>
      </w:r>
    </w:p>
    <w:p w14:paraId="222689C0">
      <w:pPr>
        <w:spacing w:line="360" w:lineRule="auto"/>
        <w:ind w:firstLineChars="196"/>
        <w:jc w:val="both"/>
        <w:rPr>
          <w:rFonts w:hint="eastAsia" w:ascii="宋体" w:hAnsi="宋体" w:eastAsia="宋体" w:cs="宋体"/>
          <w:sz w:val="24"/>
          <w:szCs w:val="24"/>
        </w:rPr>
      </w:pPr>
      <w:r>
        <w:rPr>
          <w:rFonts w:hint="eastAsia" w:ascii="宋体" w:hAnsi="宋体" w:eastAsia="宋体" w:cs="宋体"/>
          <w:b/>
          <w:sz w:val="24"/>
          <w:szCs w:val="24"/>
        </w:rPr>
        <w:t>6、本合同提供服务方式：</w:t>
      </w:r>
      <w:r>
        <w:rPr>
          <w:rFonts w:hint="eastAsia" w:ascii="宋体" w:hAnsi="宋体" w:eastAsia="宋体" w:cs="宋体"/>
          <w:sz w:val="24"/>
          <w:szCs w:val="24"/>
          <w:u w:val="single"/>
          <w:lang w:val="en-US" w:eastAsia="zh-CN"/>
        </w:rPr>
        <w:t xml:space="preserve">                             </w:t>
      </w:r>
    </w:p>
    <w:p w14:paraId="310A9B4A">
      <w:pPr>
        <w:spacing w:line="360" w:lineRule="auto"/>
        <w:ind w:firstLine="480"/>
        <w:jc w:val="both"/>
        <w:rPr>
          <w:rFonts w:hint="eastAsia" w:ascii="宋体" w:hAnsi="宋体" w:eastAsia="宋体" w:cs="宋体"/>
          <w:sz w:val="24"/>
          <w:szCs w:val="24"/>
        </w:rPr>
      </w:pPr>
      <w:r>
        <w:rPr>
          <w:rFonts w:hint="eastAsia" w:ascii="宋体" w:hAnsi="宋体" w:eastAsia="宋体" w:cs="宋体"/>
          <w:b/>
          <w:sz w:val="24"/>
          <w:szCs w:val="24"/>
        </w:rPr>
        <w:t>7、合同的生效和份数。</w:t>
      </w:r>
    </w:p>
    <w:p w14:paraId="6B5ADC34">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本合同经双方法定代表人或委托代表人签字、并加盖单位公章，且双方签署日期均不早于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日之日起生效，生效时间以双方实际签署日期中较晚者为准。</w:t>
      </w:r>
    </w:p>
    <w:p w14:paraId="38797614">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本合同一式【具体份数】份，具有同等法律效力。甲方执【甲方持有份数】份，乙方执【乙方持有份数】份。</w:t>
      </w:r>
    </w:p>
    <w:p w14:paraId="22D4525B">
      <w:pPr>
        <w:spacing w:line="360" w:lineRule="auto"/>
        <w:ind w:firstLine="480"/>
        <w:jc w:val="both"/>
        <w:rPr>
          <w:rFonts w:hint="eastAsia" w:ascii="宋体" w:hAnsi="宋体" w:eastAsia="宋体" w:cs="宋体"/>
          <w:sz w:val="24"/>
          <w:szCs w:val="24"/>
        </w:rPr>
      </w:pPr>
      <w:r>
        <w:rPr>
          <w:rFonts w:hint="eastAsia" w:ascii="宋体" w:hAnsi="宋体" w:eastAsia="宋体" w:cs="宋体"/>
          <w:b/>
          <w:sz w:val="24"/>
          <w:szCs w:val="24"/>
        </w:rPr>
        <w:t>8.合同终止</w:t>
      </w:r>
    </w:p>
    <w:p w14:paraId="70CEE5D2">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本合同终止日期为系统质保期的结束日期，到期后自行终止。合同期满后，双方重新签订系统维护条约。</w:t>
      </w:r>
    </w:p>
    <w:p w14:paraId="4F7BA3B0">
      <w:pPr>
        <w:spacing w:after="100"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以下为本合同签署页，无正文</w:t>
      </w:r>
    </w:p>
    <w:p w14:paraId="41BC8480">
      <w:pPr>
        <w:spacing w:line="240" w:lineRule="auto"/>
        <w:ind w:firstLine="480"/>
        <w:jc w:val="both"/>
        <w:rPr>
          <w:rFonts w:hint="eastAsia" w:ascii="宋体" w:hAnsi="宋体" w:eastAsia="宋体" w:cs="宋体"/>
          <w:sz w:val="24"/>
          <w:szCs w:val="24"/>
        </w:rPr>
      </w:pP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5"/>
        <w:gridCol w:w="4256"/>
      </w:tblGrid>
      <w:tr w14:paraId="23CFE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5" w:type="dxa"/>
            <w:vAlign w:val="center"/>
          </w:tcPr>
          <w:p w14:paraId="7C0ED5FF">
            <w:pPr>
              <w:keepNext w:val="0"/>
              <w:keepLines w:val="0"/>
              <w:pageBreakBefore w:val="0"/>
              <w:widowControl/>
              <w:kinsoku/>
              <w:wordWrap/>
              <w:overflowPunct/>
              <w:topLinePunct w:val="0"/>
              <w:autoSpaceDE/>
              <w:autoSpaceDN/>
              <w:bidi w:val="0"/>
              <w:adjustRightInd/>
              <w:snapToGrid/>
              <w:spacing w:before="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甲方：（公章）</w:t>
            </w:r>
          </w:p>
        </w:tc>
        <w:tc>
          <w:tcPr>
            <w:tcW w:w="4256" w:type="dxa"/>
            <w:vAlign w:val="center"/>
          </w:tcPr>
          <w:p w14:paraId="77ADB8A4">
            <w:pPr>
              <w:keepNext w:val="0"/>
              <w:keepLines w:val="0"/>
              <w:pageBreakBefore w:val="0"/>
              <w:widowControl/>
              <w:kinsoku/>
              <w:wordWrap/>
              <w:overflowPunct/>
              <w:topLinePunct w:val="0"/>
              <w:autoSpaceDE/>
              <w:autoSpaceDN/>
              <w:bidi w:val="0"/>
              <w:adjustRightInd/>
              <w:snapToGrid/>
              <w:spacing w:before="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乙方：（公章）</w:t>
            </w:r>
          </w:p>
        </w:tc>
      </w:tr>
      <w:tr w14:paraId="444C0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5" w:type="dxa"/>
            <w:vAlign w:val="center"/>
          </w:tcPr>
          <w:p w14:paraId="261405DD">
            <w:pPr>
              <w:keepNext w:val="0"/>
              <w:keepLines w:val="0"/>
              <w:pageBreakBefore w:val="0"/>
              <w:widowControl/>
              <w:kinsoku/>
              <w:wordWrap/>
              <w:overflowPunct/>
              <w:topLinePunct w:val="0"/>
              <w:autoSpaceDE/>
              <w:autoSpaceDN/>
              <w:bidi w:val="0"/>
              <w:adjustRightInd/>
              <w:snapToGrid/>
              <w:spacing w:before="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法定代表人</w:t>
            </w:r>
          </w:p>
        </w:tc>
        <w:tc>
          <w:tcPr>
            <w:tcW w:w="4256" w:type="dxa"/>
            <w:vAlign w:val="center"/>
          </w:tcPr>
          <w:p w14:paraId="1ED0D197">
            <w:pPr>
              <w:keepNext w:val="0"/>
              <w:keepLines w:val="0"/>
              <w:pageBreakBefore w:val="0"/>
              <w:widowControl/>
              <w:kinsoku/>
              <w:wordWrap/>
              <w:overflowPunct/>
              <w:topLinePunct w:val="0"/>
              <w:autoSpaceDE/>
              <w:autoSpaceDN/>
              <w:bidi w:val="0"/>
              <w:adjustRightInd/>
              <w:snapToGrid/>
              <w:spacing w:before="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法定代表人</w:t>
            </w:r>
          </w:p>
        </w:tc>
      </w:tr>
      <w:tr w14:paraId="09EB3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5" w:type="dxa"/>
            <w:vAlign w:val="center"/>
          </w:tcPr>
          <w:p w14:paraId="057ECDF8">
            <w:pPr>
              <w:keepNext w:val="0"/>
              <w:keepLines w:val="0"/>
              <w:pageBreakBefore w:val="0"/>
              <w:widowControl/>
              <w:kinsoku/>
              <w:wordWrap/>
              <w:overflowPunct/>
              <w:topLinePunct w:val="0"/>
              <w:autoSpaceDE/>
              <w:autoSpaceDN/>
              <w:bidi w:val="0"/>
              <w:adjustRightInd/>
              <w:snapToGrid/>
              <w:spacing w:before="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或授权代表（需提供有效授权委托书）（签字）：</w:t>
            </w:r>
          </w:p>
        </w:tc>
        <w:tc>
          <w:tcPr>
            <w:tcW w:w="4256" w:type="dxa"/>
            <w:vAlign w:val="center"/>
          </w:tcPr>
          <w:p w14:paraId="0188D067">
            <w:pPr>
              <w:keepNext w:val="0"/>
              <w:keepLines w:val="0"/>
              <w:pageBreakBefore w:val="0"/>
              <w:widowControl/>
              <w:kinsoku/>
              <w:wordWrap/>
              <w:overflowPunct/>
              <w:topLinePunct w:val="0"/>
              <w:autoSpaceDE/>
              <w:autoSpaceDN/>
              <w:bidi w:val="0"/>
              <w:adjustRightInd/>
              <w:snapToGrid/>
              <w:spacing w:before="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或授权代表（需提供有效授权委托书）（签字）：</w:t>
            </w:r>
          </w:p>
        </w:tc>
      </w:tr>
      <w:tr w14:paraId="17E2B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5" w:type="dxa"/>
            <w:vAlign w:val="center"/>
          </w:tcPr>
          <w:p w14:paraId="368FE9B4">
            <w:pPr>
              <w:keepNext w:val="0"/>
              <w:keepLines w:val="0"/>
              <w:pageBreakBefore w:val="0"/>
              <w:widowControl/>
              <w:kinsoku/>
              <w:wordWrap/>
              <w:overflowPunct/>
              <w:topLinePunct w:val="0"/>
              <w:autoSpaceDE/>
              <w:autoSpaceDN/>
              <w:bidi w:val="0"/>
              <w:adjustRightInd/>
              <w:snapToGrid/>
              <w:spacing w:before="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签字日期：</w:t>
            </w:r>
          </w:p>
        </w:tc>
        <w:tc>
          <w:tcPr>
            <w:tcW w:w="4256" w:type="dxa"/>
            <w:vAlign w:val="center"/>
          </w:tcPr>
          <w:p w14:paraId="17341109">
            <w:pPr>
              <w:keepNext w:val="0"/>
              <w:keepLines w:val="0"/>
              <w:pageBreakBefore w:val="0"/>
              <w:widowControl/>
              <w:kinsoku/>
              <w:wordWrap/>
              <w:overflowPunct/>
              <w:topLinePunct w:val="0"/>
              <w:autoSpaceDE/>
              <w:autoSpaceDN/>
              <w:bidi w:val="0"/>
              <w:adjustRightInd/>
              <w:snapToGrid/>
              <w:spacing w:before="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签字日期：</w:t>
            </w:r>
          </w:p>
        </w:tc>
      </w:tr>
      <w:tr w14:paraId="0FB0E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5" w:type="dxa"/>
            <w:vAlign w:val="center"/>
          </w:tcPr>
          <w:p w14:paraId="52411F46">
            <w:pPr>
              <w:keepNext w:val="0"/>
              <w:keepLines w:val="0"/>
              <w:pageBreakBefore w:val="0"/>
              <w:widowControl/>
              <w:kinsoku/>
              <w:wordWrap/>
              <w:overflowPunct/>
              <w:topLinePunct w:val="0"/>
              <w:autoSpaceDE/>
              <w:autoSpaceDN/>
              <w:bidi w:val="0"/>
              <w:adjustRightInd/>
              <w:snapToGrid/>
              <w:spacing w:before="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联系人：</w:t>
            </w:r>
          </w:p>
        </w:tc>
        <w:tc>
          <w:tcPr>
            <w:tcW w:w="4256" w:type="dxa"/>
            <w:vAlign w:val="center"/>
          </w:tcPr>
          <w:p w14:paraId="3D4810D5">
            <w:pPr>
              <w:keepNext w:val="0"/>
              <w:keepLines w:val="0"/>
              <w:pageBreakBefore w:val="0"/>
              <w:widowControl/>
              <w:kinsoku/>
              <w:wordWrap/>
              <w:overflowPunct/>
              <w:topLinePunct w:val="0"/>
              <w:autoSpaceDE/>
              <w:autoSpaceDN/>
              <w:bidi w:val="0"/>
              <w:adjustRightInd/>
              <w:snapToGrid/>
              <w:spacing w:before="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联系人：</w:t>
            </w:r>
          </w:p>
        </w:tc>
      </w:tr>
      <w:tr w14:paraId="247B3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5" w:type="dxa"/>
            <w:vAlign w:val="center"/>
          </w:tcPr>
          <w:p w14:paraId="17949DA9">
            <w:pPr>
              <w:keepNext w:val="0"/>
              <w:keepLines w:val="0"/>
              <w:pageBreakBefore w:val="0"/>
              <w:widowControl/>
              <w:kinsoku/>
              <w:wordWrap/>
              <w:overflowPunct/>
              <w:topLinePunct w:val="0"/>
              <w:autoSpaceDE/>
              <w:autoSpaceDN/>
              <w:bidi w:val="0"/>
              <w:adjustRightInd/>
              <w:snapToGrid/>
              <w:spacing w:before="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电话：</w:t>
            </w:r>
          </w:p>
        </w:tc>
        <w:tc>
          <w:tcPr>
            <w:tcW w:w="4256" w:type="dxa"/>
            <w:vAlign w:val="center"/>
          </w:tcPr>
          <w:p w14:paraId="6C1F6224">
            <w:pPr>
              <w:keepNext w:val="0"/>
              <w:keepLines w:val="0"/>
              <w:pageBreakBefore w:val="0"/>
              <w:widowControl/>
              <w:kinsoku/>
              <w:wordWrap/>
              <w:overflowPunct/>
              <w:topLinePunct w:val="0"/>
              <w:autoSpaceDE/>
              <w:autoSpaceDN/>
              <w:bidi w:val="0"/>
              <w:adjustRightInd/>
              <w:snapToGrid/>
              <w:spacing w:before="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电话：</w:t>
            </w:r>
          </w:p>
        </w:tc>
      </w:tr>
      <w:tr w14:paraId="6A70D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5" w:type="dxa"/>
            <w:vAlign w:val="center"/>
          </w:tcPr>
          <w:p w14:paraId="3FE3EE36">
            <w:pPr>
              <w:keepNext w:val="0"/>
              <w:keepLines w:val="0"/>
              <w:pageBreakBefore w:val="0"/>
              <w:widowControl/>
              <w:kinsoku/>
              <w:wordWrap/>
              <w:overflowPunct/>
              <w:topLinePunct w:val="0"/>
              <w:autoSpaceDE/>
              <w:autoSpaceDN/>
              <w:bidi w:val="0"/>
              <w:adjustRightInd/>
              <w:snapToGrid/>
              <w:spacing w:before="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电子信箱：</w:t>
            </w:r>
          </w:p>
        </w:tc>
        <w:tc>
          <w:tcPr>
            <w:tcW w:w="4256" w:type="dxa"/>
            <w:vAlign w:val="center"/>
          </w:tcPr>
          <w:p w14:paraId="1D4FB864">
            <w:pPr>
              <w:keepNext w:val="0"/>
              <w:keepLines w:val="0"/>
              <w:pageBreakBefore w:val="0"/>
              <w:widowControl/>
              <w:kinsoku/>
              <w:wordWrap/>
              <w:overflowPunct/>
              <w:topLinePunct w:val="0"/>
              <w:autoSpaceDE/>
              <w:autoSpaceDN/>
              <w:bidi w:val="0"/>
              <w:adjustRightInd/>
              <w:snapToGrid/>
              <w:spacing w:before="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电子信箱：</w:t>
            </w:r>
          </w:p>
        </w:tc>
      </w:tr>
      <w:tr w14:paraId="77D52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5" w:type="dxa"/>
            <w:vAlign w:val="center"/>
          </w:tcPr>
          <w:p w14:paraId="2F509951">
            <w:pPr>
              <w:keepNext w:val="0"/>
              <w:keepLines w:val="0"/>
              <w:pageBreakBefore w:val="0"/>
              <w:widowControl/>
              <w:kinsoku/>
              <w:wordWrap/>
              <w:overflowPunct/>
              <w:topLinePunct w:val="0"/>
              <w:autoSpaceDE/>
              <w:autoSpaceDN/>
              <w:bidi w:val="0"/>
              <w:adjustRightInd/>
              <w:snapToGrid/>
              <w:spacing w:before="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地址：</w:t>
            </w:r>
          </w:p>
        </w:tc>
        <w:tc>
          <w:tcPr>
            <w:tcW w:w="4256" w:type="dxa"/>
            <w:vAlign w:val="center"/>
          </w:tcPr>
          <w:p w14:paraId="476546A1">
            <w:pPr>
              <w:keepNext w:val="0"/>
              <w:keepLines w:val="0"/>
              <w:pageBreakBefore w:val="0"/>
              <w:widowControl/>
              <w:kinsoku/>
              <w:wordWrap/>
              <w:overflowPunct/>
              <w:topLinePunct w:val="0"/>
              <w:autoSpaceDE/>
              <w:autoSpaceDN/>
              <w:bidi w:val="0"/>
              <w:adjustRightInd/>
              <w:snapToGrid/>
              <w:spacing w:before="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地址：</w:t>
            </w:r>
          </w:p>
        </w:tc>
      </w:tr>
      <w:tr w14:paraId="7A5C4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5" w:type="dxa"/>
            <w:vAlign w:val="center"/>
          </w:tcPr>
          <w:p w14:paraId="373FF83E">
            <w:pPr>
              <w:keepNext w:val="0"/>
              <w:keepLines w:val="0"/>
              <w:pageBreakBefore w:val="0"/>
              <w:widowControl/>
              <w:kinsoku/>
              <w:wordWrap/>
              <w:overflowPunct/>
              <w:topLinePunct w:val="0"/>
              <w:autoSpaceDE/>
              <w:autoSpaceDN/>
              <w:bidi w:val="0"/>
              <w:adjustRightInd/>
              <w:snapToGrid/>
              <w:spacing w:before="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邮政编码：</w:t>
            </w:r>
          </w:p>
        </w:tc>
        <w:tc>
          <w:tcPr>
            <w:tcW w:w="4256" w:type="dxa"/>
            <w:vAlign w:val="center"/>
          </w:tcPr>
          <w:p w14:paraId="09E31D2B">
            <w:pPr>
              <w:keepNext w:val="0"/>
              <w:keepLines w:val="0"/>
              <w:pageBreakBefore w:val="0"/>
              <w:widowControl/>
              <w:kinsoku/>
              <w:wordWrap/>
              <w:overflowPunct/>
              <w:topLinePunct w:val="0"/>
              <w:autoSpaceDE/>
              <w:autoSpaceDN/>
              <w:bidi w:val="0"/>
              <w:adjustRightInd/>
              <w:snapToGrid/>
              <w:spacing w:before="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邮政编码：</w:t>
            </w:r>
          </w:p>
        </w:tc>
      </w:tr>
      <w:tr w14:paraId="1A3D5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5" w:type="dxa"/>
            <w:vAlign w:val="center"/>
          </w:tcPr>
          <w:p w14:paraId="5EBCECA6">
            <w:pPr>
              <w:keepNext w:val="0"/>
              <w:keepLines w:val="0"/>
              <w:pageBreakBefore w:val="0"/>
              <w:widowControl/>
              <w:kinsoku/>
              <w:wordWrap/>
              <w:overflowPunct/>
              <w:topLinePunct w:val="0"/>
              <w:autoSpaceDE/>
              <w:autoSpaceDN/>
              <w:bidi w:val="0"/>
              <w:adjustRightInd/>
              <w:snapToGrid/>
              <w:spacing w:before="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开户银行：</w:t>
            </w:r>
          </w:p>
        </w:tc>
        <w:tc>
          <w:tcPr>
            <w:tcW w:w="4256" w:type="dxa"/>
            <w:vAlign w:val="center"/>
          </w:tcPr>
          <w:p w14:paraId="38701838">
            <w:pPr>
              <w:keepNext w:val="0"/>
              <w:keepLines w:val="0"/>
              <w:pageBreakBefore w:val="0"/>
              <w:widowControl/>
              <w:kinsoku/>
              <w:wordWrap/>
              <w:overflowPunct/>
              <w:topLinePunct w:val="0"/>
              <w:autoSpaceDE/>
              <w:autoSpaceDN/>
              <w:bidi w:val="0"/>
              <w:adjustRightInd/>
              <w:snapToGrid/>
              <w:spacing w:before="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开户银行：</w:t>
            </w:r>
          </w:p>
        </w:tc>
      </w:tr>
      <w:tr w14:paraId="03E2D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5" w:type="dxa"/>
            <w:vAlign w:val="center"/>
          </w:tcPr>
          <w:p w14:paraId="71F8E6F3">
            <w:pPr>
              <w:keepNext w:val="0"/>
              <w:keepLines w:val="0"/>
              <w:pageBreakBefore w:val="0"/>
              <w:widowControl/>
              <w:kinsoku/>
              <w:wordWrap/>
              <w:overflowPunct/>
              <w:topLinePunct w:val="0"/>
              <w:autoSpaceDE/>
              <w:autoSpaceDN/>
              <w:bidi w:val="0"/>
              <w:adjustRightInd/>
              <w:snapToGrid/>
              <w:spacing w:before="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账号：</w:t>
            </w:r>
          </w:p>
        </w:tc>
        <w:tc>
          <w:tcPr>
            <w:tcW w:w="4256" w:type="dxa"/>
            <w:vAlign w:val="center"/>
          </w:tcPr>
          <w:p w14:paraId="6F0E931B">
            <w:pPr>
              <w:keepNext w:val="0"/>
              <w:keepLines w:val="0"/>
              <w:pageBreakBefore w:val="0"/>
              <w:widowControl/>
              <w:kinsoku/>
              <w:wordWrap/>
              <w:overflowPunct/>
              <w:topLinePunct w:val="0"/>
              <w:autoSpaceDE/>
              <w:autoSpaceDN/>
              <w:bidi w:val="0"/>
              <w:adjustRightInd/>
              <w:snapToGrid/>
              <w:spacing w:before="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账号：</w:t>
            </w:r>
          </w:p>
        </w:tc>
      </w:tr>
    </w:tbl>
    <w:p w14:paraId="298CFAC6">
      <w:pPr>
        <w:spacing w:line="240" w:lineRule="auto"/>
        <w:jc w:val="both"/>
      </w:pPr>
    </w:p>
    <w:p w14:paraId="21885F43">
      <w:pPr>
        <w:spacing w:line="240" w:lineRule="auto"/>
        <w:jc w:val="both"/>
      </w:pPr>
    </w:p>
    <w:p w14:paraId="2A225924">
      <w:pPr>
        <w:spacing w:line="240" w:lineRule="auto"/>
        <w:jc w:val="both"/>
      </w:pPr>
    </w:p>
    <w:p w14:paraId="125414B8">
      <w:pPr>
        <w:rPr>
          <w:rFonts w:hint="eastAsia" w:ascii="黑体" w:hAnsi="黑体" w:eastAsia="黑体"/>
          <w:sz w:val="32"/>
        </w:rPr>
      </w:pPr>
      <w:r>
        <w:rPr>
          <w:rFonts w:hint="eastAsia" w:ascii="黑体" w:hAnsi="黑体" w:eastAsia="黑体"/>
          <w:sz w:val="32"/>
        </w:rPr>
        <w:br w:type="page"/>
      </w:r>
    </w:p>
    <w:p w14:paraId="7A317E50">
      <w:pPr>
        <w:spacing w:line="240" w:lineRule="auto"/>
        <w:jc w:val="center"/>
      </w:pPr>
      <w:r>
        <w:rPr>
          <w:rFonts w:hint="eastAsia" w:ascii="黑体" w:hAnsi="黑体" w:eastAsia="黑体"/>
          <w:sz w:val="32"/>
        </w:rPr>
        <w:t>第二部分   合同条款</w:t>
      </w:r>
    </w:p>
    <w:p w14:paraId="5FA18881">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根据《中华人民共和国民法典》的规定，合同双方经协商达成一致，自愿订立本合同，遵循公平原则明确双方的权利、义务，确保双方诚实守信地履行合同。</w:t>
      </w:r>
    </w:p>
    <w:p w14:paraId="215C3830">
      <w:pPr>
        <w:spacing w:line="360" w:lineRule="auto"/>
        <w:jc w:val="both"/>
        <w:rPr>
          <w:rFonts w:hint="eastAsia" w:ascii="宋体" w:hAnsi="宋体" w:eastAsia="宋体" w:cs="宋体"/>
          <w:sz w:val="24"/>
          <w:szCs w:val="24"/>
        </w:rPr>
      </w:pPr>
      <w:r>
        <w:rPr>
          <w:rFonts w:hint="eastAsia" w:ascii="宋体" w:hAnsi="宋体" w:eastAsia="宋体" w:cs="宋体"/>
          <w:b/>
          <w:sz w:val="24"/>
          <w:szCs w:val="24"/>
        </w:rPr>
        <w:t>1.定义</w:t>
      </w:r>
    </w:p>
    <w:p w14:paraId="42CEC4BA">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本合同中的下列术语应解释为：</w:t>
      </w:r>
    </w:p>
    <w:p w14:paraId="3067FFA5">
      <w:pPr>
        <w:spacing w:line="360" w:lineRule="auto"/>
        <w:ind w:firstLineChars="200"/>
        <w:jc w:val="both"/>
        <w:rPr>
          <w:rFonts w:hint="eastAsia" w:ascii="宋体" w:hAnsi="宋体" w:eastAsia="宋体" w:cs="宋体"/>
          <w:sz w:val="24"/>
          <w:szCs w:val="24"/>
        </w:rPr>
      </w:pPr>
      <w:r>
        <w:rPr>
          <w:rFonts w:hint="eastAsia" w:ascii="宋体" w:hAnsi="宋体" w:eastAsia="宋体" w:cs="宋体"/>
          <w:color w:val="000000"/>
          <w:sz w:val="24"/>
          <w:szCs w:val="24"/>
        </w:rPr>
        <w:t>1.1 “合同”指甲乙双方签署的、载明的甲乙双方权利义务的协议，包括所有的附件、附录和上述文件所提到的构成合同的所有文件。</w:t>
      </w:r>
    </w:p>
    <w:p w14:paraId="3DA07B26">
      <w:pPr>
        <w:spacing w:before="119"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1.2 “合同价”指根据合同规定，乙方在正确地完全履行合同义务后甲方应付给乙方的价款。</w:t>
      </w:r>
    </w:p>
    <w:p w14:paraId="24F762FE">
      <w:pPr>
        <w:spacing w:before="119"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1.3 “合同条款”指本合同条款。</w:t>
      </w:r>
    </w:p>
    <w:p w14:paraId="00FAAF6E">
      <w:pPr>
        <w:spacing w:before="119"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1.4 “服务”乙方根据本合同提供的任何服务。</w:t>
      </w:r>
    </w:p>
    <w:p w14:paraId="288AE9C1">
      <w:pPr>
        <w:spacing w:before="119"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1.5 “甲方”指在合同中指明的提出服务需求的单位。</w:t>
      </w:r>
    </w:p>
    <w:p w14:paraId="3C4046F8">
      <w:pPr>
        <w:spacing w:before="119"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1.6 “乙方”指在合同中指明的提供本合同条款服务的公司或其它实体。</w:t>
      </w:r>
    </w:p>
    <w:p w14:paraId="51788124">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1.7 “现场”指合同规定提供服务的地点。</w:t>
      </w:r>
    </w:p>
    <w:p w14:paraId="081805B6">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1.8 “软件产品”指乙方根据本合同向甲方提供并完成开发和建设的</w:t>
      </w:r>
      <w:r>
        <w:rPr>
          <w:rFonts w:hint="eastAsia" w:ascii="宋体" w:hAnsi="宋体" w:eastAsia="宋体" w:cs="宋体"/>
          <w:sz w:val="24"/>
          <w:szCs w:val="24"/>
          <w:highlight w:val="white"/>
        </w:rPr>
        <w:t>计算机软件、信息系统、设备中嵌入的软件或在提供</w:t>
      </w:r>
      <w:r>
        <w:rPr>
          <w:rFonts w:hint="eastAsia" w:ascii="宋体" w:hAnsi="宋体" w:eastAsia="宋体" w:cs="宋体"/>
          <w:color w:val="auto"/>
          <w:sz w:val="24"/>
          <w:szCs w:val="24"/>
          <w:highlight w:val="white"/>
          <w:u w:val="none"/>
        </w:rPr>
        <w:t>计算机</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"http://baike.baidu.com/view/1455161.htm" \h </w:instrText>
      </w:r>
      <w:r>
        <w:rPr>
          <w:rFonts w:hint="eastAsia" w:ascii="宋体" w:hAnsi="宋体" w:eastAsia="宋体" w:cs="宋体"/>
          <w:color w:val="auto"/>
          <w:sz w:val="24"/>
          <w:szCs w:val="24"/>
          <w:u w:val="none"/>
        </w:rPr>
        <w:fldChar w:fldCharType="separate"/>
      </w:r>
      <w:r>
        <w:rPr>
          <w:rStyle w:val="35"/>
          <w:rFonts w:hint="eastAsia" w:ascii="宋体" w:hAnsi="宋体" w:eastAsia="宋体" w:cs="宋体"/>
          <w:color w:val="auto"/>
          <w:sz w:val="24"/>
          <w:szCs w:val="24"/>
          <w:u w:val="none"/>
        </w:rPr>
        <w:t>信息系统集成</w:t>
      </w:r>
      <w:r>
        <w:rPr>
          <w:rStyle w:val="35"/>
          <w:rFonts w:hint="eastAsia" w:ascii="宋体" w:hAnsi="宋体" w:eastAsia="宋体" w:cs="宋体"/>
          <w:color w:val="auto"/>
          <w:sz w:val="24"/>
          <w:szCs w:val="24"/>
          <w:u w:val="none"/>
        </w:rPr>
        <w:fldChar w:fldCharType="end"/>
      </w:r>
      <w:r>
        <w:rPr>
          <w:rFonts w:hint="eastAsia" w:ascii="宋体" w:hAnsi="宋体" w:eastAsia="宋体" w:cs="宋体"/>
          <w:color w:val="auto"/>
          <w:sz w:val="24"/>
          <w:szCs w:val="24"/>
          <w:highlight w:val="white"/>
          <w:u w:val="none"/>
        </w:rPr>
        <w:t>、应</w:t>
      </w:r>
      <w:r>
        <w:rPr>
          <w:rFonts w:hint="eastAsia" w:ascii="宋体" w:hAnsi="宋体" w:eastAsia="宋体" w:cs="宋体"/>
          <w:sz w:val="24"/>
          <w:szCs w:val="24"/>
          <w:highlight w:val="white"/>
        </w:rPr>
        <w:t>用服务等技术服务时的计算机软件。</w:t>
      </w:r>
    </w:p>
    <w:p w14:paraId="07510105">
      <w:pPr>
        <w:spacing w:before="119"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1.9 “升级”指乙方发布的替代本合同条款提供给甲方的软件产品、用以增加、改进或扩展现有软件产品基本功能和能力的替代版本；</w:t>
      </w:r>
    </w:p>
    <w:p w14:paraId="30E3B8D4">
      <w:pPr>
        <w:spacing w:before="119"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1.10 “开发”指新技术、新产品、新工艺或新材料及其系统的研究。</w:t>
      </w:r>
    </w:p>
    <w:p w14:paraId="26C9A58D">
      <w:pPr>
        <w:spacing w:before="119"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1.11 “咨询”指就特定技术项目提供的可行性论证、技术预测、专题技术调查、分析评价报告等。</w:t>
      </w:r>
    </w:p>
    <w:p w14:paraId="14C93BDB">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1.12 “技术文档”指为满足软件产品二次开发、升级和维护的需要，乙方在本合同条款需向甲方提供的相关文档以及经双方协商一致的需向甲方提供的相关文档；</w:t>
      </w:r>
    </w:p>
    <w:p w14:paraId="675BD8A9">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1.13 “源代码”指以可读形式存在的、非可执行的计算机程序指令序列，根据源代码以及有关源材料和文档可辨析该计算机程序的逻辑、算法、内部结构和操作性设计特性；</w:t>
      </w:r>
    </w:p>
    <w:p w14:paraId="5AB2B508">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1.14 “知识产权”指专利、专利申请、商业秘密、著作权、著作权登记和申请、人身权和所有其他知识产权和专有权的总称，无论上述权利根据任何适用法律产生，包括所有因侵犯或侵占任何上述权利而产生的权利或诉因；</w:t>
      </w:r>
    </w:p>
    <w:p w14:paraId="3259D007">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1.15 “保密信息”指在履行本合同过程中明确指明为“专有”或“保密”的，与项目及为项目研究开发有关的任何信息、数据、软件、电子邮件、传真、信函、文件、图纸、表格、影像资料及其他形式的资料。在本合同中，也可能表述为商业秘密、商业机密或类似文字。</w:t>
      </w:r>
    </w:p>
    <w:p w14:paraId="4F6BB4F9">
      <w:pPr>
        <w:spacing w:before="119"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1.16 “验收”指合同双方依据强制性的国家技术质量规范和合同约定，确认合同条款的服务符合合同规定的活动。</w:t>
      </w:r>
    </w:p>
    <w:p w14:paraId="3C4A544F">
      <w:pPr>
        <w:spacing w:before="119" w:line="360" w:lineRule="auto"/>
        <w:ind w:left="126" w:leftChars="60" w:firstLineChars="150"/>
        <w:jc w:val="both"/>
        <w:rPr>
          <w:rFonts w:hint="eastAsia" w:ascii="宋体" w:hAnsi="宋体" w:eastAsia="宋体" w:cs="宋体"/>
          <w:sz w:val="24"/>
          <w:szCs w:val="24"/>
        </w:rPr>
      </w:pPr>
      <w:r>
        <w:rPr>
          <w:rFonts w:hint="eastAsia" w:ascii="宋体" w:hAnsi="宋体" w:eastAsia="宋体" w:cs="宋体"/>
          <w:sz w:val="24"/>
          <w:szCs w:val="24"/>
        </w:rPr>
        <w:t xml:space="preserve">1.17 “天”指日历天数。 </w:t>
      </w:r>
    </w:p>
    <w:p w14:paraId="09A74F2D">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1.18 “硬件设备” 指乙方根据本合同向甲方提供的计算机硬件、网络设备、存储设备及其他相关配套设备。</w:t>
      </w:r>
    </w:p>
    <w:p w14:paraId="4AFA5767">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1.19 “集成服务” 指乙方将软件系统与硬件设备进行整合、调试，使其达到合同约定功能的服务。</w:t>
      </w:r>
    </w:p>
    <w:p w14:paraId="7F0129CC">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1.20 “开箱验收” 指对硬件设备到货后进行外包装检查、设备清点及外观检验的过程。</w:t>
      </w:r>
    </w:p>
    <w:p w14:paraId="1B5C5D8E">
      <w:pPr>
        <w:spacing w:line="360" w:lineRule="auto"/>
        <w:jc w:val="both"/>
        <w:rPr>
          <w:rFonts w:hint="eastAsia" w:ascii="宋体" w:hAnsi="宋体" w:eastAsia="宋体" w:cs="宋体"/>
          <w:sz w:val="24"/>
          <w:szCs w:val="24"/>
        </w:rPr>
      </w:pPr>
      <w:r>
        <w:rPr>
          <w:rFonts w:hint="eastAsia" w:ascii="宋体" w:hAnsi="宋体" w:eastAsia="宋体" w:cs="宋体"/>
          <w:b/>
          <w:sz w:val="24"/>
          <w:szCs w:val="24"/>
        </w:rPr>
        <w:t>2.技术规范</w:t>
      </w:r>
    </w:p>
    <w:p w14:paraId="498EA364">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2.1 本合同条款提供服务的技术规格应与本招标文件技术规格的标准相一致或高于此标准，具体包括但不限于以下内容：性能指标、功能要求、兼容性要求、安全性要求等。若技术规格中无相应规定，则应符合GB/T 25000.51-2016《系统与软件工程系统与软件质量要求和评价(SQuaRE) 第51部分：就绪可用软件产品(RUSP)的质量要求和测试细则》等国家有关部门最新颁布的相应正式标准。</w:t>
      </w:r>
    </w:p>
    <w:p w14:paraId="1D27DEFB">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2.2 乙方应向甲方提供有关标准的中文文本。</w:t>
      </w:r>
    </w:p>
    <w:p w14:paraId="33F49F8B">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2.3 除非技术规范中另有规定，计量单位均采用中华人民共和国法定计量单位。</w:t>
      </w:r>
    </w:p>
    <w:p w14:paraId="04920984">
      <w:pPr>
        <w:spacing w:line="360" w:lineRule="auto"/>
        <w:jc w:val="both"/>
        <w:rPr>
          <w:rFonts w:hint="eastAsia" w:ascii="宋体" w:hAnsi="宋体" w:eastAsia="宋体" w:cs="宋体"/>
          <w:sz w:val="24"/>
          <w:szCs w:val="24"/>
        </w:rPr>
      </w:pPr>
      <w:r>
        <w:rPr>
          <w:rFonts w:hint="eastAsia" w:ascii="宋体" w:hAnsi="宋体" w:eastAsia="宋体" w:cs="宋体"/>
          <w:b/>
          <w:sz w:val="24"/>
          <w:szCs w:val="24"/>
        </w:rPr>
        <w:t>3.合同范围</w:t>
      </w:r>
    </w:p>
    <w:p w14:paraId="51AD8137">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3.1 甲方向乙方提供服务所需的信息、数据、环境以及其他的合理支持和便利条件。</w:t>
      </w:r>
    </w:p>
    <w:p w14:paraId="72986FBE">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3.2 在乙方按照合同约定履行相应义务的前提下，甲方应按合同约定进行付款。</w:t>
      </w:r>
    </w:p>
    <w:p w14:paraId="305B1AB6">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3.3 如根据项目具体情况的变化，甲方需适当调整本项目有关需求或系统方案，应在知道情况变化之日起3天提出，逾期对需求或系统方案提出增加、删除和修改均视为变更合同，应由双方另行协商签署补充协议确定。</w:t>
      </w:r>
    </w:p>
    <w:p w14:paraId="058447AB">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3.4 乙方向甲方提供明确详细的需求分析报告，如在项目实施过程中需变更需求，应书面报甲方确认，在取得甲方确认后方可变更。</w:t>
      </w:r>
    </w:p>
    <w:p w14:paraId="33EFC325">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3.5 乙方应按合同规定的期限完成服务各项内容，交付软、硬件产品并通过系统平台的项目检验和项目验收。</w:t>
      </w:r>
    </w:p>
    <w:p w14:paraId="68272043">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乙方应按合同规定，在交付软、硬件的同时一并交付技术文档以及完整可编译的源代码，确保源代码可通过第三方验证。</w:t>
      </w:r>
    </w:p>
    <w:p w14:paraId="68836D5F">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 乙方负责提供高质量的培训，确保甲方接受培训的人员能够充分和适当地使用合同条款交付的系统。</w:t>
      </w:r>
    </w:p>
    <w:p w14:paraId="1254C0C9">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 乙方应按甲方的要求，免费或以优惠价格提供升级服务。</w:t>
      </w:r>
    </w:p>
    <w:p w14:paraId="61DC1508">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 未经甲方书面同意，乙方不得在所交付的软件产品及系统中附带其他非合同条款的需另行付费的产品。</w:t>
      </w:r>
    </w:p>
    <w:p w14:paraId="05528006">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 乙方负责硬件设备的采购、运输、保险及到货验收，确保设备符合国家相关标准及合同技术要求，并按照不低于到货数量X%的比例进行抽样检测；</w:t>
      </w:r>
    </w:p>
    <w:p w14:paraId="6067B9C1">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乙方应在硬件设备到货前______天通知甲方做好验收准备；</w:t>
      </w:r>
    </w:p>
    <w:p w14:paraId="3628F81E">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集成服务包括但不限于：硬件安装调试、软件部署、系统联调、接口开发及数据迁移等。</w:t>
      </w:r>
    </w:p>
    <w:p w14:paraId="7B715B53">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乙方需提供硬件设备的原厂保修服务承诺函（加盖厂商公章）。</w:t>
      </w:r>
    </w:p>
    <w:p w14:paraId="3B4261A2">
      <w:pPr>
        <w:spacing w:line="360" w:lineRule="auto"/>
        <w:jc w:val="both"/>
        <w:rPr>
          <w:rFonts w:hint="eastAsia" w:ascii="宋体" w:hAnsi="宋体" w:eastAsia="宋体" w:cs="宋体"/>
          <w:sz w:val="24"/>
          <w:szCs w:val="24"/>
        </w:rPr>
      </w:pPr>
      <w:r>
        <w:rPr>
          <w:rFonts w:hint="eastAsia" w:ascii="宋体" w:hAnsi="宋体" w:eastAsia="宋体" w:cs="宋体"/>
          <w:b/>
          <w:sz w:val="24"/>
          <w:szCs w:val="24"/>
        </w:rPr>
        <w:t>4. 使用合同文件和资料</w:t>
      </w:r>
    </w:p>
    <w:p w14:paraId="0A59F4AF">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4.1 合同生效后</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sz w:val="24"/>
          <w:szCs w:val="24"/>
          <w:lang w:val="en-US" w:eastAsia="zh-CN"/>
        </w:rPr>
        <w:t>天</w:t>
      </w:r>
      <w:r>
        <w:rPr>
          <w:rFonts w:hint="eastAsia" w:ascii="宋体" w:hAnsi="宋体" w:eastAsia="宋体" w:cs="宋体"/>
          <w:sz w:val="24"/>
          <w:szCs w:val="24"/>
        </w:rPr>
        <w:t>之内，乙方应将合同需提供服务的实施方案提交给甲方。甲方确认与达到服务产生效果一致后，乙方以实施方案为依据履行合同。</w:t>
      </w:r>
    </w:p>
    <w:p w14:paraId="0F30804B">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4.2 甲方确认乙方的实施方案对于所提供的服务质量有欠缺，乙方将在收到甲方通知后3天内将依据甲方意见修改后的实施方案提交甲方。</w:t>
      </w:r>
    </w:p>
    <w:p w14:paraId="3924B3D5">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4.3 未经甲方事先的书面同意，乙方不得将由甲方或代表甲方提供的有关合同或任何合同条文、规格、计划或资料提供给与履行本合同无关的任何其他人。</w:t>
      </w:r>
    </w:p>
    <w:p w14:paraId="4CCF03E5">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4.4 如向与履行本合同有关的人员提供，应严格遵守保密协议并限于履行本合同所必须的范围。</w:t>
      </w:r>
    </w:p>
    <w:p w14:paraId="31EE6987">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4.5 未经甲方事先书面同意，除履行本合同之外，乙方不应使用提供服务所需的任何文件和资料。</w:t>
      </w:r>
    </w:p>
    <w:p w14:paraId="62280622">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4.6 双方在本合同履行中所共同签署或认可的符合现行法律、法规、规章及规范性文件，且符合本合同实质性约定的指令、洽商、纪要或同类性质的文件，均构成合同文件的有效补充。</w:t>
      </w:r>
    </w:p>
    <w:p w14:paraId="58677A49">
      <w:pPr>
        <w:spacing w:line="360" w:lineRule="auto"/>
        <w:jc w:val="both"/>
        <w:rPr>
          <w:rFonts w:hint="eastAsia" w:ascii="宋体" w:hAnsi="宋体" w:eastAsia="宋体" w:cs="宋体"/>
          <w:sz w:val="24"/>
          <w:szCs w:val="24"/>
        </w:rPr>
      </w:pPr>
      <w:r>
        <w:rPr>
          <w:rFonts w:hint="eastAsia" w:ascii="宋体" w:hAnsi="宋体" w:eastAsia="宋体" w:cs="宋体"/>
          <w:b/>
          <w:sz w:val="24"/>
          <w:szCs w:val="24"/>
        </w:rPr>
        <w:t>5.知识产权</w:t>
      </w:r>
    </w:p>
    <w:p w14:paraId="77749AC2">
      <w:pPr>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5.1在不影响本合同其他条款有关知识产权许可及转让的约定的前提下，在本合同生效时已经存在并为各方合法拥有或使用的所有技术或资料、信息的知识产权和所有权，仍应属于其各自的原权利人所有或享有。</w:t>
      </w:r>
    </w:p>
    <w:p w14:paraId="39100B81">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5.2乙方保证拥有由其提供给甲方的所有软件的合法使用权，并且已获得进行许可的正当授权及其有权将软件许可及其相关材料授权/转让给甲方。甲方可独立对本合同条款软件产品进行后续开发，不受版权限制。乙方承诺并保证甲方除本协议的付款义务外无需支付任何其它的许可使用费，以非独家的、永久的、全球的、不可撤销的方式使用本合同条款软件产品。</w:t>
      </w:r>
    </w:p>
    <w:p w14:paraId="0410D80D">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 xml:space="preserve">5.3乙方应在合同签订前向甲方提供由第三方权威机构出具的知识产权无瑕疵证明（包括但不限于专利检索报告）。乙方保证其提供的产品未侵犯第三人之著作权、商标权、专利权等知识产权，不会侵犯任何第三人的商业秘密或对任何第三人构成不正当竞争，如因此与第三人形成争议、诉讼或仲裁案件，由乙方承担全部责任，并负责赔偿甲方由此而遭受的全部直接和间接损失（包括但不限于律师费、诉讼费、赔偿金等）。同时乙方需提供全力支持防止因上述侵权给甲方带来的直接和预期的损失，包括但不限于提供甲方继续使用本合同条款的软件而需取得的第三方授权、修改本合同条款软件使其至少在功能上可以替代原技术、提供功能上相等的使甲方可以达到原合同目的的其他软件，并承担因此而产生的所有的费用。 </w:t>
      </w:r>
    </w:p>
    <w:p w14:paraId="7EABB2D8">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5.4 乙方对软件系统客户化前的标准版软件产品拥有著作权，但对于在本合同履行期间可能使用到的乙方或者第三方所拥有的技术或相关信息的知识产权，乙方授权甲方在本合同项目范围内使用。甲方对本合同履行期间产生的成果（包括客户化开发所取得的全部工作成果以及实施过程中所产生的所有技术文件）拥有知识产权、所有权及相应的利益。乙方不对合同条款的成果具有任何知识产权和申请知识产权的权利，甲方享有署名权在内的全部知识产权及申请知识产权的权利。</w:t>
      </w:r>
    </w:p>
    <w:p w14:paraId="0CE7199D">
      <w:pPr>
        <w:spacing w:line="360" w:lineRule="auto"/>
        <w:ind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rPr>
        <w:t>5.5知识产权的其他规定：</w:t>
      </w:r>
      <w:r>
        <w:rPr>
          <w:rFonts w:hint="eastAsia" w:ascii="宋体" w:hAnsi="宋体" w:eastAsia="宋体" w:cs="宋体"/>
          <w:sz w:val="24"/>
          <w:szCs w:val="24"/>
          <w:u w:val="single"/>
          <w:lang w:val="en-US" w:eastAsia="zh-CN"/>
        </w:rPr>
        <w:t xml:space="preserve">                             </w:t>
      </w:r>
    </w:p>
    <w:p w14:paraId="0B2590DD">
      <w:pPr>
        <w:spacing w:line="360" w:lineRule="auto"/>
        <w:jc w:val="both"/>
        <w:rPr>
          <w:rFonts w:hint="eastAsia" w:ascii="宋体" w:hAnsi="宋体" w:eastAsia="宋体" w:cs="宋体"/>
          <w:sz w:val="24"/>
          <w:szCs w:val="24"/>
        </w:rPr>
      </w:pPr>
      <w:r>
        <w:rPr>
          <w:rFonts w:hint="eastAsia" w:ascii="宋体" w:hAnsi="宋体" w:eastAsia="宋体" w:cs="宋体"/>
          <w:b/>
          <w:sz w:val="24"/>
          <w:szCs w:val="24"/>
        </w:rPr>
        <w:t>6.保密</w:t>
      </w:r>
    </w:p>
    <w:p w14:paraId="040E3BF0">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6.1 在本合同履行期间及履行完毕后的5年内，任何一方及其雇员、顾问、代理人等所有可能接触保密信息的人员，均应对因履行本合同从对方获取或知悉的保密信息承担保密责任，未经对方书面同意不得向第三方透露，否则应赔偿由此给对方造成的全部损失。乙方的保密义务应不低于甲方的保密要求及信息安全政策（详见附件6《甲方保密要求及信息安全政策》）所规定的标准。</w:t>
      </w:r>
    </w:p>
    <w:p w14:paraId="0681D677">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6.2 保密信息指任何一方因履行本合同所知悉的任何以口头、书面、图表或电子形式存在的对方信息，具体包括：</w:t>
      </w:r>
    </w:p>
    <w:p w14:paraId="7BB600A3">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（1）任何涉及对方过去、现在或将来的商业计划、规章制度、操作规程、处理手段、财务信息；</w:t>
      </w:r>
    </w:p>
    <w:p w14:paraId="21A4591B">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（2）任何对方的技术措施、技术方案、软件应用及开发，硬件设备的品种、质量、数量、品牌等；</w:t>
      </w:r>
    </w:p>
    <w:p w14:paraId="79E3400B">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（3）任何对方的技术秘密或专有知识、文件 、报告、数据、客户软件、流程图、数据库、发明、知识、及贸易秘密；</w:t>
      </w:r>
    </w:p>
    <w:p w14:paraId="0A0EDB3D">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（4）项目实施过程中产生的业务数据、用户信息、系统日志等新型敏感数据。</w:t>
      </w:r>
    </w:p>
    <w:p w14:paraId="268E9972">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6.3 乙方应与甲方签署相应的保密协议，保密协议应包含甲方的保密要求及信息安全政策（详见附件6《甲方保密要求及信息安全政策》），并明确约定保密义务的具体人员范围（包括但不限于乙方的雇员、顾问、代理人等）。保密协议与本合同其他条款存在不一致的，以更有利于保护甲方利益的条款为准。</w:t>
      </w:r>
    </w:p>
    <w:p w14:paraId="4B24C206">
      <w:pPr>
        <w:spacing w:line="360" w:lineRule="auto"/>
        <w:jc w:val="both"/>
        <w:rPr>
          <w:rFonts w:hint="eastAsia" w:ascii="宋体" w:hAnsi="宋体" w:eastAsia="宋体" w:cs="宋体"/>
          <w:sz w:val="24"/>
          <w:szCs w:val="24"/>
        </w:rPr>
      </w:pPr>
      <w:r>
        <w:rPr>
          <w:rFonts w:hint="eastAsia" w:ascii="宋体" w:hAnsi="宋体" w:eastAsia="宋体" w:cs="宋体"/>
          <w:b/>
          <w:sz w:val="24"/>
          <w:szCs w:val="24"/>
        </w:rPr>
        <w:t>7.甲方义务</w:t>
      </w:r>
    </w:p>
    <w:p w14:paraId="05A32967">
      <w:pPr>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 xml:space="preserve">7.1甲方提出_________项目建设任务和需求，负责项目的总体组织工作，并保留根据实际工作需求，提出对项目建设方案进行适当修改的权利。 </w:t>
      </w:r>
    </w:p>
    <w:p w14:paraId="1CDA88A3">
      <w:pPr>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7.2甲方应为调研、安装、测试、调试等乙方工作提供必要的工作环境及协助人员。</w:t>
      </w:r>
    </w:p>
    <w:p w14:paraId="506C35D9">
      <w:pPr>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7.3甲方负责组织由乙方提供的技术培训工作。</w:t>
      </w:r>
    </w:p>
    <w:p w14:paraId="44C62246">
      <w:pPr>
        <w:spacing w:line="360" w:lineRule="auto"/>
        <w:jc w:val="both"/>
        <w:rPr>
          <w:rFonts w:hint="eastAsia" w:ascii="宋体" w:hAnsi="宋体" w:eastAsia="宋体" w:cs="宋体"/>
          <w:sz w:val="24"/>
          <w:szCs w:val="24"/>
        </w:rPr>
      </w:pPr>
      <w:r>
        <w:rPr>
          <w:rFonts w:hint="eastAsia" w:ascii="宋体" w:hAnsi="宋体" w:eastAsia="宋体" w:cs="宋体"/>
          <w:b/>
          <w:sz w:val="24"/>
          <w:szCs w:val="24"/>
        </w:rPr>
        <w:t>8.乙方义务</w:t>
      </w:r>
    </w:p>
    <w:p w14:paraId="461F5A84">
      <w:pPr>
        <w:spacing w:line="360" w:lineRule="auto"/>
        <w:ind w:firstLine="540"/>
        <w:rPr>
          <w:rFonts w:hint="eastAsia" w:ascii="宋体" w:hAnsi="宋体" w:eastAsia="宋体" w:cs="宋体"/>
          <w:sz w:val="24"/>
          <w:szCs w:val="24"/>
        </w:rPr>
      </w:pPr>
      <w:r>
        <w:rPr>
          <w:rFonts w:hint="eastAsia" w:ascii="宋体" w:hAnsi="宋体" w:eastAsia="宋体" w:cs="宋体"/>
          <w:sz w:val="24"/>
          <w:szCs w:val="24"/>
        </w:rPr>
        <w:t>8.1乙方负责项目的具体实施工作，保证本项目达到所设定的全部目标。</w:t>
      </w:r>
    </w:p>
    <w:p w14:paraId="10AD8BD4">
      <w:pPr>
        <w:spacing w:line="360" w:lineRule="auto"/>
        <w:ind w:firstLine="540"/>
        <w:rPr>
          <w:rFonts w:hint="eastAsia" w:ascii="宋体" w:hAnsi="宋体" w:eastAsia="宋体" w:cs="宋体"/>
          <w:sz w:val="24"/>
          <w:szCs w:val="24"/>
        </w:rPr>
      </w:pPr>
      <w:r>
        <w:rPr>
          <w:rFonts w:hint="eastAsia" w:ascii="宋体" w:hAnsi="宋体" w:eastAsia="宋体" w:cs="宋体"/>
          <w:sz w:val="24"/>
          <w:szCs w:val="24"/>
        </w:rPr>
        <w:t>8.2乙方应按照《国家电子政务工程建设项目档案管理暂行办法》、计算机软件工程规范的国家标准和</w:t>
      </w:r>
      <w:r>
        <w:rPr>
          <w:rFonts w:hint="eastAsia" w:ascii="宋体" w:hAnsi="宋体" w:eastAsia="宋体" w:cs="宋体"/>
          <w:sz w:val="24"/>
          <w:szCs w:val="24"/>
          <w:u w:val="single"/>
        </w:rPr>
        <w:t>   </w:t>
      </w:r>
      <w:r>
        <w:rPr>
          <w:rFonts w:hint="eastAsia" w:ascii="宋体" w:hAnsi="宋体" w:eastAsia="宋体" w:cs="宋体"/>
          <w:sz w:val="24"/>
          <w:szCs w:val="24"/>
        </w:rPr>
        <w:t xml:space="preserve"> 相关管理规定分阶段提交相应文档及完整软件源代码，以满足系统安装、管理及运行维护等需要。文档与源代码以纸质文件和电子资料（光盘）的形式提供，文档应全面、完整、详细。</w:t>
      </w:r>
    </w:p>
    <w:p w14:paraId="0B9EF935">
      <w:pPr>
        <w:spacing w:line="360" w:lineRule="auto"/>
        <w:ind w:firstLine="540"/>
        <w:rPr>
          <w:rFonts w:hint="eastAsia" w:ascii="宋体" w:hAnsi="宋体" w:eastAsia="宋体" w:cs="宋体"/>
          <w:sz w:val="24"/>
          <w:szCs w:val="24"/>
        </w:rPr>
      </w:pPr>
      <w:r>
        <w:rPr>
          <w:rFonts w:hint="eastAsia" w:ascii="宋体" w:hAnsi="宋体" w:eastAsia="宋体" w:cs="宋体"/>
          <w:sz w:val="24"/>
          <w:szCs w:val="24"/>
        </w:rPr>
        <w:t>8.3乙方为甲方提供项目所涉及的软、硬件设备使用、管理及维护等方面的培训。</w:t>
      </w:r>
    </w:p>
    <w:p w14:paraId="2CC0C37A">
      <w:pPr>
        <w:spacing w:line="360" w:lineRule="auto"/>
        <w:ind w:firstLine="540"/>
        <w:rPr>
          <w:rFonts w:hint="eastAsia" w:ascii="宋体" w:hAnsi="宋体" w:eastAsia="宋体" w:cs="宋体"/>
          <w:sz w:val="24"/>
          <w:szCs w:val="24"/>
        </w:rPr>
      </w:pPr>
      <w:r>
        <w:rPr>
          <w:rFonts w:hint="eastAsia" w:ascii="宋体" w:hAnsi="宋体" w:eastAsia="宋体" w:cs="宋体"/>
          <w:sz w:val="24"/>
          <w:szCs w:val="24"/>
        </w:rPr>
        <w:t>8.4未经甲方书面授权或同意，乙方不得以任何方式将项目转交第三方开发或由第三方提供相关服务，且项目成果（包括任何相对独立的部分）不得侵犯他人知识产权或遭到类似指控。如乙方违反本条规定，应向甲方支付合同总价30%的违约金，并赔偿甲方因此遭受的全部损失；同时甲方有权解除合同。</w:t>
      </w:r>
    </w:p>
    <w:p w14:paraId="25E5C6F5">
      <w:pPr>
        <w:spacing w:line="360" w:lineRule="auto"/>
        <w:ind w:firstLine="540"/>
        <w:rPr>
          <w:rFonts w:hint="eastAsia" w:ascii="宋体" w:hAnsi="宋体" w:eastAsia="宋体" w:cs="宋体"/>
          <w:sz w:val="24"/>
          <w:szCs w:val="24"/>
        </w:rPr>
      </w:pPr>
      <w:r>
        <w:rPr>
          <w:rFonts w:hint="eastAsia" w:ascii="宋体" w:hAnsi="宋体" w:eastAsia="宋体" w:cs="宋体"/>
          <w:sz w:val="24"/>
          <w:szCs w:val="24"/>
        </w:rPr>
        <w:t>8.5保证乙方设计开发的软件系统仅用于本项目及甲方系统内部使用，未经甲方同意，不得在甲方系统外使用。如乙方违反本条规定，应向甲方支付合同总价20%的违约金，并立即停止侵权行为；同时甲方有权要求乙方回购全部软件系统。</w:t>
      </w:r>
    </w:p>
    <w:p w14:paraId="35F7F306">
      <w:pPr>
        <w:spacing w:line="360" w:lineRule="auto"/>
        <w:jc w:val="both"/>
        <w:rPr>
          <w:rFonts w:hint="eastAsia" w:ascii="宋体" w:hAnsi="宋体" w:eastAsia="宋体" w:cs="宋体"/>
          <w:sz w:val="24"/>
          <w:szCs w:val="24"/>
        </w:rPr>
      </w:pPr>
      <w:r>
        <w:rPr>
          <w:rFonts w:hint="eastAsia" w:ascii="宋体" w:hAnsi="宋体" w:eastAsia="宋体" w:cs="宋体"/>
          <w:b/>
          <w:sz w:val="24"/>
          <w:szCs w:val="24"/>
        </w:rPr>
        <w:t>9. 项目上线、试运行和验收</w:t>
      </w:r>
    </w:p>
    <w:p w14:paraId="243EEF33">
      <w:pPr>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9.1乙方应在系统上线前5个工作日内，进行完整系统测试后，向甲方提供详细的系统上线方案，方案应包括具体实施步骤、时间安排、参与人员及验收标准。甲方应在收到方案后3个工作日内确认。在甲方确认无误后，乙方应在7个工作日内完成系统的安装和调试工作。安装调试过程中，乙方应提供完整的文档资料，并由甲乙双方技术人员共同参与验收。安装调试完成后，乙方应在3个工作日内向甲方提交安装调试报告，报告应包括安装调试结果、出现的问题及解决方案等内容。</w:t>
      </w:r>
    </w:p>
    <w:p w14:paraId="4D41D1B2">
      <w:pPr>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9.2系统的安装调试工作完成后，由甲方或双方共同进行系统初步验收，初验通过后应进行至少为期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个月的试运行，试运行期间系统可用率应不低于99%，故障响应时间不超过4小时，乙方应派遣技术人员在现场进行技术服务，负责系统试运行阶段的服务工作。</w:t>
      </w:r>
    </w:p>
    <w:p w14:paraId="56647D30">
      <w:pPr>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9.3在试运行期间，由于各种原因造成某些技术指标达不到要求，乙方应负责解决，试运行期相应顺延。</w:t>
      </w:r>
    </w:p>
    <w:p w14:paraId="357A3EBB">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9.4 硬件设备到货后，甲乙双方应在7个工作日内完成开箱验收，签署《硬件开箱验收单》；</w:t>
      </w:r>
    </w:p>
    <w:p w14:paraId="0B804EF5">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9.5 硬件安装调试完成后，乙方应在3个工作日内向甲方提交《硬件安装调试报告》，甲方应在收到报告后5个工作日内组织初步验收；</w:t>
      </w:r>
    </w:p>
    <w:p w14:paraId="1290FD2C">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9.6 试运行期间系统可用率应不低于99%，故障响应时间不超过4小时，包含软硬件协同运行测试，乙方需派驻技术人员现场支持。</w:t>
      </w:r>
    </w:p>
    <w:p w14:paraId="3C50E5A2">
      <w:pPr>
        <w:spacing w:line="360" w:lineRule="auto"/>
        <w:jc w:val="both"/>
        <w:rPr>
          <w:rFonts w:hint="eastAsia" w:ascii="宋体" w:hAnsi="宋体" w:eastAsia="宋体" w:cs="宋体"/>
          <w:sz w:val="24"/>
          <w:szCs w:val="24"/>
        </w:rPr>
      </w:pPr>
      <w:r>
        <w:rPr>
          <w:rFonts w:hint="eastAsia" w:ascii="宋体" w:hAnsi="宋体" w:eastAsia="宋体" w:cs="宋体"/>
          <w:b/>
          <w:sz w:val="24"/>
          <w:szCs w:val="24"/>
        </w:rPr>
        <w:t>10.质量保证</w:t>
      </w:r>
    </w:p>
    <w:p w14:paraId="30C3AF01">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10.1 乙方必须保证提供服务完全符合GB/T 25000.51-2016《系统与软件工程 系统与软件质量要求和评价(SQuaRE) 第51部分：就绪可用软件产品(RUSP)的质量要求和测试细则》等强制性的国家技术质量规范和合同规定的质量、规格、性能和技术规范等的要求，具体包括但不限于：</w:t>
      </w:r>
      <w:r>
        <w:rPr>
          <w:rFonts w:hint="eastAsia" w:ascii="宋体" w:hAnsi="宋体" w:eastAsia="宋体" w:cs="宋体"/>
          <w:sz w:val="24"/>
          <w:szCs w:val="24"/>
          <w:u w:val="single"/>
          <w:lang w:eastAsia="zh-CN"/>
        </w:rPr>
        <w:t>……………………………………</w:t>
      </w:r>
    </w:p>
    <w:p w14:paraId="6227B6EF">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10.2 乙方应与甲方签订《技术支持和售后服务方案》，对所提交的服务实行全程跟踪、现场指导、技术支持、应急响应、定期巡检、质量保证、维护，及时解决系统运行时出现的问题，保证满足甲方的使用要求，并向甲方提供     年的免费维护和保修服务。</w:t>
      </w:r>
    </w:p>
    <w:p w14:paraId="26FB500F">
      <w:pPr>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    10.3 乙方保证合同条款的软件产品在质量保证期结束后提供至少</w:t>
      </w:r>
      <w:r>
        <w:rPr>
          <w:rFonts w:hint="eastAsia" w:ascii="宋体" w:hAnsi="宋体" w:eastAsia="宋体" w:cs="宋体"/>
          <w:sz w:val="24"/>
          <w:szCs w:val="24"/>
          <w:u w:val="single"/>
          <w:lang w:eastAsia="zh-CN"/>
        </w:rPr>
        <w:t>……</w:t>
      </w:r>
      <w:r>
        <w:rPr>
          <w:rFonts w:hint="eastAsia" w:ascii="宋体" w:hAnsi="宋体" w:eastAsia="宋体" w:cs="宋体"/>
          <w:sz w:val="24"/>
          <w:szCs w:val="24"/>
        </w:rPr>
        <w:t>年软件全部功能及其换代产品的升级与技术支持服务（包含任何版本升级、产品换代、更新及在原有产品基础上的拆解、完善、合并所产生的新产品，提供升级产品介质及授权，要求原厂商承诺，并加盖原厂商公章）。</w:t>
      </w:r>
    </w:p>
    <w:p w14:paraId="2DF982C2">
      <w:pPr>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    10.4 乙方应保证合同条款所提供的辅助服务包括培训、安装指导、单机调试、系统联调和试验等，按合同规定方式进行，并保证不存在因乙方工作人员的过失、错误或疏忽而产生的缺陷。</w:t>
      </w:r>
    </w:p>
    <w:p w14:paraId="7B89E8C3">
      <w:pPr>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    10.5 根据检验和测试结论，发现服务与合同不符，或者在质量保证期内，证实服务存在缺陷，包括潜在的缺陷，甲方自发现缺陷之日起     内书面通知乙方。接到通知后，乙方应立即免费进行补救。乙方在甲方发出通知之日起    天内，未作答复，甲方在通知书中所提出的要求应视为已被乙方接受。</w:t>
      </w:r>
    </w:p>
    <w:p w14:paraId="06B0F2E0">
      <w:pPr>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    10.6乙方在收到甲方书面通知之日起7天内虽答复，但没有弥补缺陷，甲方可采取必要的补救措施，但由此引发的风险和费用将乙方承担。甲方可从合同款或乙方提交的履约保证金中扣款，不足部分，甲方有权要求乙方赔偿。甲方根据合同规定对乙方行使的其他权力不受影响。</w:t>
      </w:r>
    </w:p>
    <w:p w14:paraId="3C74C96F">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10.7 合同条款货物的质量保证期为自提交服务并最终验收起24个月。</w:t>
      </w:r>
    </w:p>
    <w:p w14:paraId="32E19AAF">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10.8 质保期内，乙方负责免费维修或更换故障硬件，由此产生的费用由乙方承担；</w:t>
      </w:r>
    </w:p>
    <w:p w14:paraId="107EDC35">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10.9 集成服务质量保证：乙方保证集成后的系统满足合同约定的功能、性能及兼容性要求，如因集成问题导致系统故障，乙方应在24小时内解决。</w:t>
      </w:r>
    </w:p>
    <w:p w14:paraId="3380FA77">
      <w:pPr>
        <w:spacing w:line="360" w:lineRule="auto"/>
        <w:jc w:val="both"/>
        <w:rPr>
          <w:rFonts w:hint="eastAsia" w:ascii="宋体" w:hAnsi="宋体" w:eastAsia="宋体" w:cs="宋体"/>
          <w:sz w:val="24"/>
          <w:szCs w:val="24"/>
        </w:rPr>
      </w:pPr>
      <w:r>
        <w:rPr>
          <w:rFonts w:hint="eastAsia" w:ascii="宋体" w:hAnsi="宋体" w:eastAsia="宋体" w:cs="宋体"/>
          <w:b/>
          <w:sz w:val="24"/>
          <w:szCs w:val="24"/>
        </w:rPr>
        <w:t>11.价格</w:t>
      </w:r>
    </w:p>
    <w:p w14:paraId="5BE09438">
      <w:pPr>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    本合同为固定总价合同。除非双方另有约定，本合同金额是固定不变的，不会因物价、汇率、利率、税率等的变化或相关劳动/社会保障政策的变化而变化。该合同金额是本合同条款乙方依约为甲方提供保质、保量的服务，甲方所需支付给乙方的全部费用，乙方不得再行向甲方要求任何费用。</w:t>
      </w:r>
    </w:p>
    <w:p w14:paraId="1AACFC23">
      <w:pPr>
        <w:spacing w:line="360" w:lineRule="auto"/>
        <w:jc w:val="both"/>
        <w:rPr>
          <w:rFonts w:hint="eastAsia" w:ascii="宋体" w:hAnsi="宋体" w:eastAsia="宋体" w:cs="宋体"/>
          <w:sz w:val="24"/>
          <w:szCs w:val="24"/>
        </w:rPr>
      </w:pPr>
      <w:r>
        <w:rPr>
          <w:rFonts w:hint="eastAsia" w:ascii="宋体" w:hAnsi="宋体" w:eastAsia="宋体" w:cs="宋体"/>
          <w:b/>
          <w:sz w:val="24"/>
          <w:szCs w:val="24"/>
        </w:rPr>
        <w:t>12.提交服务时间、地点和方式</w:t>
      </w:r>
    </w:p>
    <w:p w14:paraId="681BE6F8">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12.1 乙方应在合同签订后</w:t>
      </w:r>
      <w:r>
        <w:rPr>
          <w:rFonts w:hint="eastAsia" w:ascii="宋体" w:hAnsi="宋体" w:eastAsia="宋体" w:cs="宋体"/>
          <w:sz w:val="24"/>
          <w:szCs w:val="24"/>
          <w:u w:val="single"/>
          <w:lang w:eastAsia="zh-CN"/>
        </w:rPr>
        <w:t>…………</w:t>
      </w:r>
      <w:r>
        <w:rPr>
          <w:rFonts w:hint="eastAsia" w:ascii="宋体" w:hAnsi="宋体" w:eastAsia="宋体" w:cs="宋体"/>
          <w:sz w:val="24"/>
          <w:szCs w:val="24"/>
        </w:rPr>
        <w:t>个工作日内，完成本合同条款的服务内容，交付软、硬件产品并通过系统平台的项目检验和项目验收。乙方在交付软、硬件产品的同时应提交完整、可编译的源代码（以未加密的电子形式交付），并在系统后续修改时同步更新源代码库。</w:t>
      </w:r>
    </w:p>
    <w:p w14:paraId="1D642FA8">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具体提交服务时间：</w:t>
      </w:r>
    </w:p>
    <w:p w14:paraId="531FA3F6">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12.2 提交服务的地点：</w:t>
      </w:r>
    </w:p>
    <w:p w14:paraId="100DF1AB">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12.3 提交服务的方式：</w:t>
      </w:r>
    </w:p>
    <w:p w14:paraId="5AC25814">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12.4 硬件设备交付时间：；</w:t>
      </w:r>
    </w:p>
    <w:p w14:paraId="7A0992F1">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12.5 硬件交付地点：甲方指定地点；</w:t>
      </w:r>
    </w:p>
    <w:p w14:paraId="71C5BBD3">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12.6 交付方式：现场交货，乙方负责卸货及搬运至甲方指定位置。</w:t>
      </w:r>
    </w:p>
    <w:p w14:paraId="60574C10">
      <w:pPr>
        <w:spacing w:line="360" w:lineRule="auto"/>
        <w:jc w:val="both"/>
        <w:rPr>
          <w:rFonts w:hint="eastAsia" w:ascii="宋体" w:hAnsi="宋体" w:eastAsia="宋体" w:cs="宋体"/>
          <w:sz w:val="24"/>
          <w:szCs w:val="24"/>
        </w:rPr>
      </w:pPr>
      <w:r>
        <w:rPr>
          <w:rFonts w:hint="eastAsia" w:ascii="宋体" w:hAnsi="宋体" w:eastAsia="宋体" w:cs="宋体"/>
          <w:b/>
          <w:sz w:val="24"/>
          <w:szCs w:val="24"/>
        </w:rPr>
        <w:t>13.检验和验收</w:t>
      </w:r>
    </w:p>
    <w:p w14:paraId="738717D4">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13.1乙方应在完成系统安装调试并满足合同全部要求后5个工作日内，向甲方提交书面验收申请。验收申请中必须包含具体的验收标准和技术指标。甲方应在收到申请后5个工作日内按照甲方内部验收标准及流程组织验收，验收由甲乙双方项目负责人、技术负责人及相关业务部门人员共同参与。验收应按照合同附件4《验收测试大纲》规定的标准和方法进行。</w:t>
      </w:r>
    </w:p>
    <w:p w14:paraId="2E89FEF5">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13.2验收应严格按照GB/T 25000.51-2016《系统与软件工程 系统与软件质量要求和评价(SQuaRE) 第51部分：就绪可用软件产品(RUSP)的质量要求和测试细则》等国家有关部门最新颁布的相应正式标准和附件4《验收测试大纲》执行</w:t>
      </w:r>
      <w:r>
        <w:rPr>
          <w:rFonts w:hint="eastAsia" w:ascii="宋体" w:hAnsi="宋体" w:eastAsia="宋体" w:cs="宋体"/>
          <w:sz w:val="24"/>
          <w:szCs w:val="24"/>
          <w:lang w:eastAsia="zh-CN"/>
        </w:rPr>
        <w:t>。</w:t>
      </w:r>
      <w:r>
        <w:rPr>
          <w:rFonts w:hint="eastAsia" w:ascii="宋体" w:hAnsi="宋体" w:eastAsia="宋体" w:cs="宋体"/>
          <w:sz w:val="24"/>
          <w:szCs w:val="24"/>
        </w:rPr>
        <w:t>验收不合格的，乙方应在7个工作日内完成整改。验收时可由甲方指定的具有资质的第三方检测机构出具检测报告。</w:t>
      </w:r>
    </w:p>
    <w:p w14:paraId="06ACD8EA">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13.3验收完成后3个工作日内，双方应按照甲方内部验收标准及流程共同签署验收报告。验收报告必须包含具体的验收标准和技术指标，并作为验收合格的依据。若验收不通过，乙方应在收到甲方书面通知后10个工作日内提交整改方案，并在方案获批后30个工作日内完成整改；整改后仍不能通过验收的，甲方有权终止合同并要求乙方返还已支付的全部款项。</w:t>
      </w:r>
    </w:p>
    <w:p w14:paraId="39C35250">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13.4项目终验通过前，乙方须向甲方提供完整、可编译的系统源代码（包括所有开发工具、库文件、配置文件及编译说明文档），以加密光盘形式交付，并建立源代码版本管理机制。甲方有权委托第三方对源代码进行编译验证。在质保期内系统发生任何修改，乙方应在修改完成后3个工作日内同步更新至甲方指定的源代码库。如乙方未按时交付或更新源代码，每延迟一天应按合同总金额的0.1%支付违约金。</w:t>
      </w:r>
    </w:p>
    <w:p w14:paraId="17499450">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13.5项目进行的各子阶段，乙方均可以根据需要就能够独立检验和验收的部分，向甲方提交书面验收申请，甲方视情况做出书面决定。</w:t>
      </w:r>
    </w:p>
    <w:p w14:paraId="4C250B59">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13.6 硬件开箱验收内容：</w:t>
      </w:r>
    </w:p>
    <w:p w14:paraId="709C526B">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设备包装完整性检查；</w:t>
      </w:r>
    </w:p>
    <w:p w14:paraId="79D67B5F">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设备型号、数量、配件与清单一致性核对；</w:t>
      </w:r>
    </w:p>
    <w:p w14:paraId="150191D5">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设备技术参数与合同要求的符合性验证；</w:t>
      </w:r>
    </w:p>
    <w:p w14:paraId="3EB4EB9E">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设备外观及附件完好性检验；</w:t>
      </w:r>
    </w:p>
    <w:p w14:paraId="2CFE86A3">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随箱文件（合格证、说明书、保修卡等）齐全性检查；</w:t>
      </w:r>
    </w:p>
    <w:p w14:paraId="604A45EC">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对于复杂设备，应进行初步性能检测，包括但不限于：通电测试、基本功能测试等；</w:t>
      </w:r>
    </w:p>
    <w:p w14:paraId="21EE5FD3">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设备技术参数与附件5技术规格书一致性验证。</w:t>
      </w:r>
    </w:p>
    <w:p w14:paraId="227A3BC4">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13.7 硬件性能验收：乙方应按照附件5《硬件设备清单及技术规格书》中规定的技术指标和测试方法进行硬件性能测试，并提供详细的性能测试报告。测试指标应包括但不限于：</w:t>
      </w:r>
    </w:p>
    <w:p w14:paraId="5A22968E">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 设备运行稳定性：连续运行72小时无故障；</w:t>
      </w:r>
    </w:p>
    <w:p w14:paraId="5377F812">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 兼容性：与其他硬件及软件系统完全兼容，通过标准接口测试；</w:t>
      </w:r>
    </w:p>
    <w:p w14:paraId="792C496E">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 性能指标：达到附件5规定的各项性能参数；</w:t>
      </w:r>
    </w:p>
    <w:p w14:paraId="73934FD6">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 功耗、散热等物理指标：功耗不超过额定功耗的10%，设备表面温度不超过60℃，符合国家相关标准。</w:t>
      </w:r>
    </w:p>
    <w:p w14:paraId="338C9B05">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测试方法应采用行业标准测试工具和流程，参照GB/T XXXXX标准执行，测试结果需经双方确认。未达到上述标准的设备视为验收不合格。</w:t>
      </w:r>
    </w:p>
    <w:p w14:paraId="1DDFC8FE">
      <w:pPr>
        <w:spacing w:line="360" w:lineRule="auto"/>
        <w:jc w:val="both"/>
        <w:rPr>
          <w:rFonts w:hint="eastAsia" w:ascii="宋体" w:hAnsi="宋体" w:eastAsia="宋体" w:cs="宋体"/>
          <w:sz w:val="24"/>
          <w:szCs w:val="24"/>
        </w:rPr>
      </w:pPr>
      <w:r>
        <w:rPr>
          <w:rFonts w:hint="eastAsia" w:ascii="宋体" w:hAnsi="宋体" w:eastAsia="宋体" w:cs="宋体"/>
          <w:b/>
          <w:sz w:val="24"/>
          <w:szCs w:val="24"/>
        </w:rPr>
        <w:t>14.项目进度</w:t>
      </w:r>
    </w:p>
    <w:p w14:paraId="1C93F2DA">
      <w:pPr>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自本项目签订之日起，乙方必须履行其在本合同中所规定的义务，按以下进度要求按时完成。本项目的总体建设周期为______个月，具体进度安排如下：</w:t>
      </w:r>
    </w:p>
    <w:p w14:paraId="6C6A26F7">
      <w:pPr>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14.1乙方应在合同签订后______个工作日内提交详细项目计划书并通过甲方确认。</w:t>
      </w:r>
    </w:p>
    <w:p w14:paraId="767C899D">
      <w:pPr>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14.2乙方应在合同签订后______个工作日内提交需求规格说明书并通过甲方确认。</w:t>
      </w:r>
    </w:p>
    <w:p w14:paraId="10C24B0F">
      <w:pPr>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14.3乙方应在需求确认后______个工作日内完成系统开发及内部测试工作。</w:t>
      </w:r>
    </w:p>
    <w:p w14:paraId="64593659">
      <w:pPr>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14.4乙方应于系统开发完成后______个工作日内完成系统初验工作，并提交初验报告。</w:t>
      </w:r>
    </w:p>
    <w:p w14:paraId="0B0EBABA">
      <w:pPr>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14.5乙方应于初验通过后______个工作日内完成系统上线、试运行及用户培训工作。</w:t>
      </w:r>
    </w:p>
    <w:p w14:paraId="0DCA1E4B">
      <w:pPr>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14.6乙方应于试运行期满后______个工作日内完成项目终验工作，并提交终验报告。</w:t>
      </w:r>
    </w:p>
    <w:p w14:paraId="7C8A55FE">
      <w:pPr>
        <w:spacing w:line="360" w:lineRule="auto"/>
        <w:ind w:firstLineChars="200"/>
        <w:rPr>
          <w:rFonts w:hint="eastAsia" w:ascii="宋体" w:hAnsi="宋体" w:eastAsia="宋体" w:cs="宋体"/>
          <w:sz w:val="24"/>
          <w:szCs w:val="24"/>
        </w:rPr>
      </w:pPr>
      <w:r>
        <w:rPr>
          <w:rFonts w:hint="eastAsia" w:ascii="宋体" w:hAnsi="宋体" w:eastAsia="宋体" w:cs="宋体"/>
          <w:b/>
          <w:sz w:val="24"/>
          <w:szCs w:val="24"/>
        </w:rPr>
        <w:t>关键里程碑计划：</w:t>
      </w:r>
    </w:p>
    <w:p w14:paraId="192E270B">
      <w:pPr>
        <w:spacing w:line="360" w:lineRule="auto"/>
        <w:ind w:firstLineChars="200"/>
        <w:rPr>
          <w:rFonts w:hint="eastAsia" w:ascii="宋体" w:hAnsi="宋体" w:eastAsia="宋体" w:cs="宋体"/>
          <w:sz w:val="24"/>
          <w:szCs w:val="24"/>
        </w:rPr>
      </w:pPr>
      <w:r>
        <w:rPr>
          <w:rFonts w:hint="eastAsia" w:ascii="宋体" w:hAnsi="宋体" w:eastAsia="宋体" w:cs="宋体"/>
          <w:b/>
          <w:sz w:val="24"/>
          <w:szCs w:val="24"/>
        </w:rPr>
        <w:t>- 需求确认完成：______年______月______日</w:t>
      </w:r>
    </w:p>
    <w:p w14:paraId="2BF644FF">
      <w:pPr>
        <w:spacing w:line="360" w:lineRule="auto"/>
        <w:ind w:firstLineChars="200"/>
        <w:rPr>
          <w:rFonts w:hint="eastAsia" w:ascii="宋体" w:hAnsi="宋体" w:eastAsia="宋体" w:cs="宋体"/>
          <w:sz w:val="24"/>
          <w:szCs w:val="24"/>
        </w:rPr>
      </w:pPr>
      <w:r>
        <w:rPr>
          <w:rFonts w:hint="eastAsia" w:ascii="宋体" w:hAnsi="宋体" w:eastAsia="宋体" w:cs="宋体"/>
          <w:b/>
          <w:sz w:val="24"/>
          <w:szCs w:val="24"/>
        </w:rPr>
        <w:t>- 设计评审通过：______年______月______日</w:t>
      </w:r>
    </w:p>
    <w:p w14:paraId="4CBF13AB">
      <w:pPr>
        <w:spacing w:line="360" w:lineRule="auto"/>
        <w:ind w:firstLineChars="200"/>
        <w:rPr>
          <w:rFonts w:hint="eastAsia" w:ascii="宋体" w:hAnsi="宋体" w:eastAsia="宋体" w:cs="宋体"/>
          <w:sz w:val="24"/>
          <w:szCs w:val="24"/>
        </w:rPr>
      </w:pPr>
      <w:r>
        <w:rPr>
          <w:rFonts w:hint="eastAsia" w:ascii="宋体" w:hAnsi="宋体" w:eastAsia="宋体" w:cs="宋体"/>
          <w:b/>
          <w:sz w:val="24"/>
          <w:szCs w:val="24"/>
        </w:rPr>
        <w:t>- 开发完成：______年______月______日</w:t>
      </w:r>
    </w:p>
    <w:p w14:paraId="2086D79C">
      <w:pPr>
        <w:spacing w:line="360" w:lineRule="auto"/>
        <w:ind w:firstLineChars="200"/>
        <w:rPr>
          <w:rFonts w:hint="eastAsia" w:ascii="宋体" w:hAnsi="宋体" w:eastAsia="宋体" w:cs="宋体"/>
          <w:sz w:val="24"/>
          <w:szCs w:val="24"/>
        </w:rPr>
      </w:pPr>
      <w:r>
        <w:rPr>
          <w:rFonts w:hint="eastAsia" w:ascii="宋体" w:hAnsi="宋体" w:eastAsia="宋体" w:cs="宋体"/>
          <w:b/>
          <w:sz w:val="24"/>
          <w:szCs w:val="24"/>
        </w:rPr>
        <w:t>- 系统测试完成：______年______月______日</w:t>
      </w:r>
    </w:p>
    <w:p w14:paraId="420711B6">
      <w:pPr>
        <w:spacing w:line="360" w:lineRule="auto"/>
        <w:ind w:firstLineChars="200"/>
        <w:rPr>
          <w:rFonts w:hint="eastAsia" w:ascii="宋体" w:hAnsi="宋体" w:eastAsia="宋体" w:cs="宋体"/>
          <w:sz w:val="24"/>
          <w:szCs w:val="24"/>
        </w:rPr>
      </w:pPr>
      <w:r>
        <w:rPr>
          <w:rFonts w:hint="eastAsia" w:ascii="宋体" w:hAnsi="宋体" w:eastAsia="宋体" w:cs="宋体"/>
          <w:b/>
          <w:sz w:val="24"/>
          <w:szCs w:val="24"/>
        </w:rPr>
        <w:t>- 用户验收测试完成：______年______月______日</w:t>
      </w:r>
    </w:p>
    <w:p w14:paraId="61C6E13F">
      <w:pPr>
        <w:spacing w:line="360" w:lineRule="auto"/>
        <w:ind w:firstLineChars="200"/>
        <w:rPr>
          <w:rFonts w:hint="eastAsia" w:ascii="宋体" w:hAnsi="宋体" w:eastAsia="宋体" w:cs="宋体"/>
          <w:sz w:val="24"/>
          <w:szCs w:val="24"/>
        </w:rPr>
      </w:pPr>
      <w:r>
        <w:rPr>
          <w:rFonts w:hint="eastAsia" w:ascii="宋体" w:hAnsi="宋体" w:eastAsia="宋体" w:cs="宋体"/>
          <w:b/>
          <w:sz w:val="24"/>
          <w:szCs w:val="24"/>
        </w:rPr>
        <w:t>- 系统上线：______年______月______日</w:t>
      </w:r>
    </w:p>
    <w:p w14:paraId="0847188A">
      <w:pPr>
        <w:spacing w:line="360" w:lineRule="auto"/>
        <w:jc w:val="both"/>
        <w:rPr>
          <w:rFonts w:hint="eastAsia" w:ascii="宋体" w:hAnsi="宋体" w:eastAsia="宋体" w:cs="宋体"/>
          <w:sz w:val="24"/>
          <w:szCs w:val="24"/>
        </w:rPr>
      </w:pPr>
      <w:r>
        <w:rPr>
          <w:rFonts w:hint="eastAsia" w:ascii="宋体" w:hAnsi="宋体" w:eastAsia="宋体" w:cs="宋体"/>
          <w:b/>
          <w:sz w:val="24"/>
          <w:szCs w:val="24"/>
        </w:rPr>
        <w:t>15.付款条件</w:t>
      </w:r>
    </w:p>
    <w:p w14:paraId="3FAC2461">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（1）合同签订后，采购人在收到成交供应商票据并确认无误后向成交供应商支付合同总额的50%；</w:t>
      </w:r>
    </w:p>
    <w:p w14:paraId="13073D49">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（2）完成方案编制，采购人在收到成交供应商票据并确认无误后向成交供应商支付合同总额的20%；</w:t>
      </w:r>
    </w:p>
    <w:p w14:paraId="30CAD820">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（3）初验通过后，采购人在收到成交供应商票据并确认无误后向成交供应商支付合同总额的25%；</w:t>
      </w:r>
    </w:p>
    <w:p w14:paraId="3DDFC2A5">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（4）终验通过后，采购人在收到成交供应商票据并确认无误后向成交供应商支付合同总额的5%。</w:t>
      </w:r>
    </w:p>
    <w:p w14:paraId="343F268A">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每次付款前，乙方需按甲方要求向甲方提供与付款金额相等的正规发票，否则甲方有权拒绝付款。</w:t>
      </w:r>
    </w:p>
    <w:p w14:paraId="6C0BE12B">
      <w:pPr>
        <w:spacing w:line="360" w:lineRule="auto"/>
        <w:jc w:val="both"/>
        <w:rPr>
          <w:rFonts w:hint="eastAsia" w:ascii="宋体" w:hAnsi="宋体" w:eastAsia="宋体" w:cs="宋体"/>
          <w:sz w:val="24"/>
          <w:szCs w:val="24"/>
        </w:rPr>
      </w:pPr>
      <w:r>
        <w:rPr>
          <w:rFonts w:hint="eastAsia" w:ascii="宋体" w:hAnsi="宋体" w:eastAsia="宋体" w:cs="宋体"/>
          <w:b/>
          <w:sz w:val="24"/>
          <w:szCs w:val="24"/>
        </w:rPr>
        <w:t>16.履约保证金</w:t>
      </w:r>
    </w:p>
    <w:p w14:paraId="084CA829">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lang w:val="en-US" w:eastAsia="zh-CN"/>
        </w:rPr>
        <w:t>本项目乙方无须向甲方交纳履约保证金。</w:t>
      </w:r>
    </w:p>
    <w:p w14:paraId="6DDAC765">
      <w:pPr>
        <w:spacing w:line="360" w:lineRule="auto"/>
        <w:jc w:val="both"/>
        <w:rPr>
          <w:rFonts w:hint="eastAsia" w:ascii="宋体" w:hAnsi="宋体" w:eastAsia="宋体" w:cs="宋体"/>
          <w:sz w:val="24"/>
          <w:szCs w:val="24"/>
        </w:rPr>
      </w:pPr>
      <w:r>
        <w:rPr>
          <w:rFonts w:hint="eastAsia" w:ascii="宋体" w:hAnsi="宋体" w:eastAsia="宋体" w:cs="宋体"/>
          <w:b/>
          <w:sz w:val="24"/>
          <w:szCs w:val="24"/>
        </w:rPr>
        <w:t>17.违约责任</w:t>
      </w:r>
    </w:p>
    <w:p w14:paraId="413B56CB">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17.1 甲乙双方应认真履行合同，如违约应承担相应违约责任：</w:t>
      </w:r>
    </w:p>
    <w:p w14:paraId="701E53D8">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包括但不限于第8.4条、第8.5条约定的违约责任。</w:t>
      </w:r>
    </w:p>
    <w:p w14:paraId="11BE840D">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乙方不能按照双方约定的时间分期向甲方提交服务，应在每次交付日前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天内通知甲方，同时每违约一次，应向甲方支付</w:t>
      </w:r>
      <w:r>
        <w:rPr>
          <w:rFonts w:hint="eastAsia" w:ascii="宋体" w:hAnsi="宋体" w:eastAsia="宋体" w:cs="宋体"/>
          <w:sz w:val="24"/>
          <w:szCs w:val="24"/>
          <w:u w:val="single"/>
        </w:rPr>
        <w:t xml:space="preserve">    </w:t>
      </w:r>
      <w:r>
        <w:rPr>
          <w:rFonts w:hint="eastAsia" w:ascii="宋体" w:hAnsi="宋体" w:eastAsia="宋体" w:cs="宋体"/>
          <w:sz w:val="24"/>
          <w:szCs w:val="24"/>
        </w:rPr>
        <w:t>%的违约金并赔偿甲方的损失。</w:t>
      </w:r>
    </w:p>
    <w:p w14:paraId="7667E241">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（3）乙方不能按本合同要求提供培训服务的，应向甲方支付合同总价10%的违约金。如果此等违约造成本合同条款软件产品的使用目的无法实现的，甲方有权解除合同并主张除违约金以外的损害赔偿。</w:t>
      </w:r>
    </w:p>
    <w:p w14:paraId="11CB5342">
      <w:pPr>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    （4） 乙方不能按本合同要求提供所承诺的服务人员的，应向甲方支付合同总价10%的违约金。如果此等违约造成本合同条款货物的使用目的无法实现的，甲方有权解除合同并主张除违约金以外的损害赔偿。</w:t>
      </w:r>
    </w:p>
    <w:p w14:paraId="75C27F58">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17.2 乙方不能按照双方约定的时间分期向甲方提交服务，应在每次交付日前通知甲方，如甲方不再需要，可解除合同，如甲方需要，乙方应提交合格的服务，同时每违约一次，应向甲方支付违约金         并赔偿甲方的全部损失，包括但不限于直接损失、间接损失（如业务中断损失、利润损失等），间接损失的计算方式为______。</w:t>
      </w:r>
    </w:p>
    <w:p w14:paraId="3A8162AD">
      <w:pPr>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17.3 乙方不能按本合同要求提供培训服务的，应向甲方支付违约金。此等违约造成本合同条款软件产品的使用目的无法实现的，甲方有权解除合同并主张除违约金以外的损害赔偿。具体金额：</w:t>
      </w:r>
      <w:r>
        <w:rPr>
          <w:rFonts w:hint="eastAsia" w:ascii="宋体" w:hAnsi="宋体" w:eastAsia="宋体" w:cs="宋体"/>
          <w:sz w:val="24"/>
          <w:szCs w:val="24"/>
          <w:u w:val="single"/>
        </w:rPr>
        <w:t xml:space="preserve">                 </w:t>
      </w:r>
    </w:p>
    <w:p w14:paraId="26D8CAC0">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17.4本合同条款服务侵犯他人专利、版权、商标权或商业秘密等权利而针对甲方提起索赔或诉讼仲裁的情况，除另有规定外，乙方应支付由此而产生的全部费用（包括但不限于律师费、诉讼费、鉴定费、差旅费等维权成本）及赔偿金，且最低赔偿金额不低于合同总价的20%，并应采取包括但不限于以下补救措施：(1)提供甲方继续使用本合同条款的软件而需取得的第三方授权；(2)修改本合同条款软件使其至少在功能上可以替代原技术；(3)提供功能上相等的使甲方可以达到原合同目的的其他软件。乙方应承担因此而产生的所有费用。</w:t>
      </w:r>
    </w:p>
    <w:p w14:paraId="51F26407">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17.5 在处理索赔或诉讼仲裁的过程中，乙方应尽力为甲方取得继续得到服务的权利。乙方不能合理地完成这些补救措施，乙方将按退还甲方已付款项方式使双方权利义务归于最初始状态。因执行甲方的设计、规格或指示而导致的与使用本合同条款货物相关的侵权追诉，乙方应承担相应的赔偿责任。</w:t>
      </w:r>
    </w:p>
    <w:p w14:paraId="7F4FF21E">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17.6项目终验通过前，乙方应向甲方提供完整、可编译的系统源代码（以未加密的电子形式交付），包括所有依赖库和编译工具。在维保期间及后续维护期间，系统发生的任何修改都应在3个工作日内同步更新至甲方指定的源代码库。如乙方未按时提交或提交的源代码不完整、不可用，每延迟一天应支付合同总额0.1%的违约金，从质保金中扣除；超过15天未提交的，甲方有权解除合同并要求赔偿。</w:t>
      </w:r>
    </w:p>
    <w:p w14:paraId="23E613AF">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17.7 硬件设备未按合同约定时间交付的，每逾期 1 天，乙方应支付硬件采购金额0.5%的违约金；逾期超过15天的，甲方有权解除合同并要求乙方赔偿全部损失。</w:t>
      </w:r>
    </w:p>
    <w:p w14:paraId="6380EC88">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17.8 硬件设备质量不符合合同要求的，乙方应在7个工作日内更换合格设备，并赔偿甲方硬件采购金额10%的违约金；由此导致项目延误的，按17.7条逾期交付处理；</w:t>
      </w:r>
    </w:p>
    <w:p w14:paraId="4D653EE8">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17.9 集成服务未达到合同要求，经整改后仍不合格的，甲方有权扣除集成服务费用的______% 作为赔偿。</w:t>
      </w:r>
    </w:p>
    <w:p w14:paraId="1372004F">
      <w:pPr>
        <w:spacing w:line="360" w:lineRule="auto"/>
        <w:jc w:val="both"/>
        <w:rPr>
          <w:rFonts w:hint="eastAsia" w:ascii="宋体" w:hAnsi="宋体" w:eastAsia="宋体" w:cs="宋体"/>
          <w:sz w:val="24"/>
          <w:szCs w:val="24"/>
        </w:rPr>
      </w:pPr>
      <w:r>
        <w:rPr>
          <w:rFonts w:hint="eastAsia" w:ascii="宋体" w:hAnsi="宋体" w:eastAsia="宋体" w:cs="宋体"/>
          <w:b/>
          <w:sz w:val="24"/>
          <w:szCs w:val="24"/>
        </w:rPr>
        <w:t>18不可抗力</w:t>
      </w:r>
    </w:p>
    <w:p w14:paraId="5526DFA9">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18.1.双方中任何一方遭遇法律规定的不可抗力（包括但不限于自然灾害如地震、洪水、火山爆发；政府行为如征收、征用；战争、罢工、骚乱等社会异常事件），但排除合同签订时已预见的自然灾害（如已知的台风、季节性洪水等），致使合同履行受阻时，履行合同的期限应予延长，延长的期限应相当于不可抗力所影响的时间。乙方应采取一切合理措施减轻不可抗力事件的影响，包括但不限于及时通知甲方、制定并实施减损方案、寻求替代方案等。乙方在援引不可抗力条款时，应向甲方提供不可抗力发生及其影响程度的证明材料，包括但不限于政府部门的证明文件、权威机构的鉴定报告等。</w:t>
      </w:r>
    </w:p>
    <w:p w14:paraId="1C8FB5F2">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18.2受事故影响的一方应在不可抗力的事故发生后3天内以书面形式通知另一方，乙方应在通知中详细说明不可抗力事件的性质、预计持续时间和已采取或拟采取的减损措施，并附上不可抗力发生及其影响程度的证明材料。乙方未能提供充分证明材料的，不得援引不可抗力条款免除责任。如未能在上述期限内通知，则该方不得援引不可抗力条款免除其违约责任。</w:t>
      </w:r>
    </w:p>
    <w:p w14:paraId="285F4ABB">
      <w:pPr>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18.3不可抗力使合同的某些内容有变更必要的，双方应通过协商在15天内达成进一步履行合同的协议，因不可抗力致使合同不能履行的，合同终止。如乙方未采取合理减损措施导致损失扩大的，乙方应对扩大的损失承担赔偿责任。甲方有权对乙方提供的不可抗力证明材料进行审核，如发现证明材料不充分或存在虚假，甲方有权拒绝乙方的不可抗力主张。</w:t>
      </w:r>
    </w:p>
    <w:p w14:paraId="4007E22F">
      <w:pPr>
        <w:spacing w:line="360" w:lineRule="auto"/>
        <w:ind w:firstLineChars="200"/>
        <w:rPr>
          <w:rFonts w:hint="eastAsia" w:ascii="宋体" w:hAnsi="宋体" w:eastAsia="宋体" w:cs="宋体"/>
          <w:sz w:val="24"/>
          <w:szCs w:val="24"/>
        </w:rPr>
      </w:pPr>
      <w:r>
        <w:rPr>
          <w:rFonts w:hint="eastAsia" w:ascii="宋体" w:hAnsi="宋体" w:eastAsia="宋体" w:cs="宋体"/>
          <w:sz w:val="24"/>
          <w:szCs w:val="24"/>
        </w:rPr>
        <w:t>18.4除法律、法规规定的不可抗力情形外，双方约定出现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情况亦视为不可抗力。</w:t>
      </w:r>
    </w:p>
    <w:p w14:paraId="0CEA98AF">
      <w:pPr>
        <w:spacing w:line="360" w:lineRule="auto"/>
        <w:jc w:val="both"/>
        <w:rPr>
          <w:rFonts w:hint="eastAsia" w:ascii="宋体" w:hAnsi="宋体" w:eastAsia="宋体" w:cs="宋体"/>
          <w:sz w:val="24"/>
          <w:szCs w:val="24"/>
        </w:rPr>
      </w:pPr>
      <w:r>
        <w:rPr>
          <w:rFonts w:hint="eastAsia" w:ascii="宋体" w:hAnsi="宋体" w:eastAsia="宋体" w:cs="宋体"/>
          <w:b/>
          <w:sz w:val="24"/>
          <w:szCs w:val="24"/>
        </w:rPr>
        <w:t>19.税费</w:t>
      </w:r>
    </w:p>
    <w:p w14:paraId="0017C218">
      <w:pPr>
        <w:spacing w:before="119"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与本合同有关的一切税费均适用中华人民共和国法律的相关规定。</w:t>
      </w:r>
    </w:p>
    <w:p w14:paraId="6DEF5479">
      <w:pPr>
        <w:spacing w:line="360" w:lineRule="auto"/>
        <w:jc w:val="both"/>
        <w:rPr>
          <w:rFonts w:hint="eastAsia" w:ascii="宋体" w:hAnsi="宋体" w:eastAsia="宋体" w:cs="宋体"/>
          <w:sz w:val="24"/>
          <w:szCs w:val="24"/>
        </w:rPr>
      </w:pPr>
      <w:r>
        <w:rPr>
          <w:rFonts w:hint="eastAsia" w:ascii="宋体" w:hAnsi="宋体" w:eastAsia="宋体" w:cs="宋体"/>
          <w:b/>
          <w:sz w:val="24"/>
          <w:szCs w:val="24"/>
        </w:rPr>
        <w:t>20.合同争议的解决</w:t>
      </w:r>
    </w:p>
    <w:p w14:paraId="5ED7AF74">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甲方和乙方由于本合同的履行而发生任何争议时，双方可先通过友好协商或者邀请第三方调解此类争议。任何一方不愿通过协商或调解解决争议或通过协商或调解仍不能解决争议，则双方中任何一方均可向甲方所在地的人民法院起诉。</w:t>
      </w:r>
    </w:p>
    <w:p w14:paraId="44841646">
      <w:pPr>
        <w:spacing w:line="360" w:lineRule="auto"/>
        <w:jc w:val="both"/>
        <w:rPr>
          <w:rFonts w:hint="eastAsia" w:ascii="宋体" w:hAnsi="宋体" w:eastAsia="宋体" w:cs="宋体"/>
          <w:sz w:val="24"/>
          <w:szCs w:val="24"/>
        </w:rPr>
      </w:pPr>
      <w:r>
        <w:rPr>
          <w:rFonts w:hint="eastAsia" w:ascii="宋体" w:hAnsi="宋体" w:eastAsia="宋体" w:cs="宋体"/>
          <w:b/>
          <w:sz w:val="24"/>
          <w:szCs w:val="24"/>
        </w:rPr>
        <w:t>21违约解除合同</w:t>
      </w:r>
    </w:p>
    <w:p w14:paraId="05D43C0B">
      <w:pPr>
        <w:spacing w:line="360" w:lineRule="auto"/>
        <w:ind w:left="6" w:leftChars="3" w:firstLineChars="200"/>
        <w:jc w:val="both"/>
        <w:rPr>
          <w:rFonts w:hint="eastAsia" w:ascii="宋体" w:hAnsi="宋体" w:eastAsia="宋体" w:cs="宋体"/>
          <w:sz w:val="24"/>
          <w:szCs w:val="24"/>
        </w:rPr>
      </w:pPr>
      <w:r>
        <w:rPr>
          <w:rFonts w:hint="eastAsia" w:ascii="宋体" w:hAnsi="宋体" w:eastAsia="宋体" w:cs="宋体"/>
          <w:sz w:val="24"/>
          <w:szCs w:val="24"/>
        </w:rPr>
        <w:t>21.1 在乙方发生重大违约的情况下（包括但不限于：逾期交付超过30天；提供的货物或服务不符合合同要求且无法在30天内修复；存在欺诈行为等），甲方经同级政府采购监督管理机关审批后，可向乙方发出书面通知，部分或全部终止合同。同时保留向乙方追诉的权利。</w:t>
      </w:r>
    </w:p>
    <w:p w14:paraId="5C98BF19">
      <w:pPr>
        <w:spacing w:line="360" w:lineRule="auto"/>
        <w:ind w:left="426" w:leftChars="203"/>
        <w:jc w:val="both"/>
        <w:rPr>
          <w:rFonts w:hint="eastAsia" w:ascii="宋体" w:hAnsi="宋体" w:eastAsia="宋体" w:cs="宋体"/>
          <w:sz w:val="24"/>
          <w:szCs w:val="24"/>
        </w:rPr>
      </w:pPr>
      <w:r>
        <w:rPr>
          <w:rFonts w:hint="eastAsia" w:ascii="宋体" w:hAnsi="宋体" w:eastAsia="宋体" w:cs="宋体"/>
          <w:sz w:val="24"/>
          <w:szCs w:val="24"/>
        </w:rPr>
        <w:t xml:space="preserve">21.1.1 乙方未能在合同规定的限期或甲方同意延长的限期内（超过30天），提供全部或部分货物的； </w:t>
      </w:r>
    </w:p>
    <w:p w14:paraId="41531B65">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21.1.2 乙方未能履行合同规定的其它主要义务的（包括但不限于：未按约定提供技术服务；未履行质量保证义务；未按约定提供培训等）；</w:t>
      </w:r>
    </w:p>
    <w:p w14:paraId="29B27EDD">
      <w:pPr>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21.1.3 甲方认为乙方在本合同履行过程中有欺诈行为的。</w:t>
      </w:r>
    </w:p>
    <w:p w14:paraId="794F1CB2">
      <w:pPr>
        <w:spacing w:line="360" w:lineRule="auto"/>
        <w:ind w:left="6" w:leftChars="3" w:firstLineChars="200"/>
        <w:jc w:val="both"/>
        <w:rPr>
          <w:rFonts w:hint="eastAsia" w:ascii="宋体" w:hAnsi="宋体" w:eastAsia="宋体" w:cs="宋体"/>
          <w:sz w:val="24"/>
          <w:szCs w:val="24"/>
        </w:rPr>
      </w:pPr>
      <w:r>
        <w:rPr>
          <w:rFonts w:hint="eastAsia" w:ascii="宋体" w:hAnsi="宋体" w:eastAsia="宋体" w:cs="宋体"/>
          <w:sz w:val="24"/>
          <w:szCs w:val="24"/>
        </w:rPr>
        <w:t>21.2 在甲方根据上述第17.1条规定，全部或部分解除合同之后，应当遵循诚实信用原则，提供与未交付的软件类似的软件，乙方应承担产生的额外支出。部分解除合同的，乙方应继续履行合同中未解除的部分。</w:t>
      </w:r>
    </w:p>
    <w:p w14:paraId="7767EA1F">
      <w:pPr>
        <w:spacing w:line="360" w:lineRule="auto"/>
        <w:ind w:left="6" w:leftChars="3" w:firstLineChars="200"/>
        <w:jc w:val="both"/>
        <w:rPr>
          <w:rFonts w:hint="eastAsia" w:ascii="宋体" w:hAnsi="宋体" w:eastAsia="宋体" w:cs="宋体"/>
          <w:sz w:val="24"/>
          <w:szCs w:val="24"/>
        </w:rPr>
      </w:pPr>
      <w:r>
        <w:rPr>
          <w:rFonts w:hint="eastAsia" w:ascii="宋体" w:hAnsi="宋体" w:eastAsia="宋体" w:cs="宋体"/>
          <w:sz w:val="24"/>
          <w:szCs w:val="24"/>
        </w:rPr>
        <w:t>21.3甲方如发现乙方提交的系统在设计和功能等方面不符合合同技术要求，或证实系统存在重大质量问题或缺陷（包括但不限于：系统核心功能无法实现；系统存在严重安全隐患；系统性能指标低于合同约定标准的50%等），甲方有权要求乙方在30天内修补完善，仍不能达到合同要求，甲方有权终止合同，并要求乙方返还甲方已支付的合同经费，同时甲方有权向乙方提出索赔。索赔总额不超过合同总价的</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8BAFD44">
      <w:pPr>
        <w:spacing w:line="360" w:lineRule="auto"/>
        <w:jc w:val="both"/>
        <w:rPr>
          <w:rFonts w:hint="eastAsia" w:ascii="宋体" w:hAnsi="宋体" w:eastAsia="宋体" w:cs="宋体"/>
          <w:sz w:val="24"/>
          <w:szCs w:val="24"/>
        </w:rPr>
      </w:pPr>
      <w:r>
        <w:rPr>
          <w:rFonts w:hint="eastAsia" w:ascii="宋体" w:hAnsi="宋体" w:eastAsia="宋体" w:cs="宋体"/>
          <w:b/>
          <w:sz w:val="24"/>
          <w:szCs w:val="24"/>
        </w:rPr>
        <w:t>22.破产终止合同</w:t>
      </w:r>
    </w:p>
    <w:p w14:paraId="7A52E353">
      <w:pPr>
        <w:spacing w:before="119"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乙方破产或无清偿能力时，甲方可在任何时候以书面通知乙方，提出终止合同而不给乙方补偿。该合同的终止将不损害或不影响甲已经采取或将要采取任何行动或补救措施的权利。</w:t>
      </w:r>
    </w:p>
    <w:p w14:paraId="0F9DE1CA">
      <w:pPr>
        <w:spacing w:line="360" w:lineRule="auto"/>
        <w:jc w:val="both"/>
        <w:rPr>
          <w:rFonts w:hint="eastAsia" w:ascii="宋体" w:hAnsi="宋体" w:eastAsia="宋体" w:cs="宋体"/>
          <w:sz w:val="24"/>
          <w:szCs w:val="24"/>
        </w:rPr>
      </w:pPr>
      <w:r>
        <w:rPr>
          <w:rFonts w:hint="eastAsia" w:ascii="宋体" w:hAnsi="宋体" w:eastAsia="宋体" w:cs="宋体"/>
          <w:b/>
          <w:sz w:val="24"/>
          <w:szCs w:val="24"/>
        </w:rPr>
        <w:t>23.合同修改</w:t>
      </w:r>
    </w:p>
    <w:p w14:paraId="65D2DE2C">
      <w:pPr>
        <w:spacing w:before="119"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甲方和乙方都不得擅自变更本合同，但合同继续履行将损害国家和社会公共利益的除外。如必须对合同条款进行改动时，当事人双方须共同签署书面文件，做为合同的补充。</w:t>
      </w:r>
    </w:p>
    <w:p w14:paraId="04870631">
      <w:pPr>
        <w:spacing w:line="360" w:lineRule="auto"/>
        <w:jc w:val="both"/>
        <w:rPr>
          <w:rFonts w:hint="eastAsia" w:ascii="宋体" w:hAnsi="宋体" w:eastAsia="宋体" w:cs="宋体"/>
          <w:sz w:val="24"/>
          <w:szCs w:val="24"/>
        </w:rPr>
      </w:pPr>
      <w:r>
        <w:rPr>
          <w:rFonts w:hint="eastAsia" w:ascii="宋体" w:hAnsi="宋体" w:eastAsia="宋体" w:cs="宋体"/>
          <w:b/>
          <w:sz w:val="24"/>
          <w:szCs w:val="24"/>
        </w:rPr>
        <w:t>24.通知</w:t>
      </w:r>
    </w:p>
    <w:p w14:paraId="72A1B85F">
      <w:pPr>
        <w:spacing w:before="119"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rPr>
        <w:t>24.1 本合同任何一方给另一方的通知，均应以书面形式通过以下方式送达：（1）专人递送；（2）国内特快专递；（3）电子邮件。通知应发送至以下地址和联系人：</w:t>
      </w:r>
    </w:p>
    <w:p w14:paraId="1F141EEE">
      <w:pPr>
        <w:spacing w:before="119" w:line="360" w:lineRule="auto"/>
        <w:ind w:firstLineChars="200"/>
        <w:jc w:val="both"/>
        <w:rPr>
          <w:rFonts w:hint="eastAsia" w:ascii="宋体" w:hAnsi="宋体" w:eastAsia="宋体" w:cs="宋体"/>
          <w:sz w:val="24"/>
          <w:szCs w:val="24"/>
        </w:rPr>
      </w:pPr>
      <w:r>
        <w:rPr>
          <w:rFonts w:hint="eastAsia" w:ascii="宋体" w:hAnsi="宋体" w:eastAsia="宋体" w:cs="宋体"/>
          <w:b/>
          <w:sz w:val="24"/>
          <w:szCs w:val="24"/>
        </w:rPr>
        <w:t>甲方送达信息：</w:t>
      </w:r>
    </w:p>
    <w:p w14:paraId="4437B2D1">
      <w:pPr>
        <w:spacing w:before="119" w:line="360" w:lineRule="auto"/>
        <w:ind w:firstLineChars="200"/>
        <w:jc w:val="both"/>
        <w:rPr>
          <w:rFonts w:hint="eastAsia" w:ascii="宋体" w:hAnsi="宋体" w:eastAsia="宋体" w:cs="宋体"/>
          <w:sz w:val="24"/>
          <w:szCs w:val="24"/>
        </w:rPr>
      </w:pPr>
      <w:r>
        <w:rPr>
          <w:rFonts w:hint="eastAsia" w:ascii="宋体" w:hAnsi="宋体" w:eastAsia="宋体" w:cs="宋体"/>
          <w:b/>
          <w:sz w:val="24"/>
          <w:szCs w:val="24"/>
        </w:rPr>
        <w:t>地址：________________________</w:t>
      </w:r>
    </w:p>
    <w:p w14:paraId="351312C3">
      <w:pPr>
        <w:spacing w:before="119" w:line="360" w:lineRule="auto"/>
        <w:ind w:firstLineChars="200"/>
        <w:jc w:val="both"/>
        <w:rPr>
          <w:rFonts w:hint="eastAsia" w:ascii="宋体" w:hAnsi="宋体" w:eastAsia="宋体" w:cs="宋体"/>
          <w:sz w:val="24"/>
          <w:szCs w:val="24"/>
        </w:rPr>
      </w:pPr>
      <w:r>
        <w:rPr>
          <w:rFonts w:hint="eastAsia" w:ascii="宋体" w:hAnsi="宋体" w:eastAsia="宋体" w:cs="宋体"/>
          <w:b/>
          <w:sz w:val="24"/>
          <w:szCs w:val="24"/>
        </w:rPr>
        <w:t>联系人：______________________</w:t>
      </w:r>
    </w:p>
    <w:p w14:paraId="26A52222">
      <w:pPr>
        <w:spacing w:before="119" w:line="360" w:lineRule="auto"/>
        <w:ind w:firstLineChars="200"/>
        <w:jc w:val="both"/>
        <w:rPr>
          <w:rFonts w:hint="eastAsia" w:ascii="宋体" w:hAnsi="宋体" w:eastAsia="宋体" w:cs="宋体"/>
          <w:sz w:val="24"/>
          <w:szCs w:val="24"/>
        </w:rPr>
      </w:pPr>
      <w:r>
        <w:rPr>
          <w:rFonts w:hint="eastAsia" w:ascii="宋体" w:hAnsi="宋体" w:eastAsia="宋体" w:cs="宋体"/>
          <w:b/>
          <w:sz w:val="24"/>
          <w:szCs w:val="24"/>
        </w:rPr>
        <w:t>电话：________________________</w:t>
      </w:r>
    </w:p>
    <w:p w14:paraId="1D61616D">
      <w:pPr>
        <w:spacing w:before="119" w:line="360" w:lineRule="auto"/>
        <w:ind w:firstLineChars="200"/>
        <w:jc w:val="both"/>
        <w:rPr>
          <w:rFonts w:hint="eastAsia" w:ascii="宋体" w:hAnsi="宋体" w:eastAsia="宋体" w:cs="宋体"/>
          <w:sz w:val="24"/>
          <w:szCs w:val="24"/>
        </w:rPr>
      </w:pPr>
      <w:r>
        <w:rPr>
          <w:rFonts w:hint="eastAsia" w:ascii="宋体" w:hAnsi="宋体" w:eastAsia="宋体" w:cs="宋体"/>
          <w:b/>
          <w:sz w:val="24"/>
          <w:szCs w:val="24"/>
        </w:rPr>
        <w:t>电子邮箱：____________________</w:t>
      </w:r>
    </w:p>
    <w:p w14:paraId="5D9AA9AD">
      <w:pPr>
        <w:spacing w:before="119" w:line="360" w:lineRule="auto"/>
        <w:ind w:firstLineChars="200"/>
        <w:jc w:val="both"/>
        <w:rPr>
          <w:rFonts w:hint="eastAsia" w:ascii="宋体" w:hAnsi="宋体" w:eastAsia="宋体" w:cs="宋体"/>
          <w:sz w:val="24"/>
          <w:szCs w:val="24"/>
        </w:rPr>
      </w:pPr>
    </w:p>
    <w:p w14:paraId="3E2F7B00">
      <w:pPr>
        <w:spacing w:before="119" w:line="360" w:lineRule="auto"/>
        <w:ind w:firstLineChars="200"/>
        <w:jc w:val="both"/>
        <w:rPr>
          <w:rFonts w:hint="eastAsia" w:ascii="宋体" w:hAnsi="宋体" w:eastAsia="宋体" w:cs="宋体"/>
          <w:sz w:val="24"/>
          <w:szCs w:val="24"/>
        </w:rPr>
      </w:pPr>
      <w:r>
        <w:rPr>
          <w:rFonts w:hint="eastAsia" w:ascii="宋体" w:hAnsi="宋体" w:eastAsia="宋体" w:cs="宋体"/>
          <w:b/>
          <w:sz w:val="24"/>
          <w:szCs w:val="24"/>
        </w:rPr>
        <w:t>乙方送达信息：</w:t>
      </w:r>
    </w:p>
    <w:p w14:paraId="69AA9455">
      <w:pPr>
        <w:spacing w:before="119" w:line="360" w:lineRule="auto"/>
        <w:ind w:firstLineChars="200"/>
        <w:jc w:val="both"/>
        <w:rPr>
          <w:rFonts w:hint="eastAsia" w:ascii="宋体" w:hAnsi="宋体" w:eastAsia="宋体" w:cs="宋体"/>
          <w:sz w:val="24"/>
          <w:szCs w:val="24"/>
        </w:rPr>
      </w:pPr>
      <w:r>
        <w:rPr>
          <w:rFonts w:hint="eastAsia" w:ascii="宋体" w:hAnsi="宋体" w:eastAsia="宋体" w:cs="宋体"/>
          <w:b/>
          <w:sz w:val="24"/>
          <w:szCs w:val="24"/>
        </w:rPr>
        <w:t>地址：________________________</w:t>
      </w:r>
    </w:p>
    <w:p w14:paraId="247933DA">
      <w:pPr>
        <w:spacing w:before="119" w:line="360" w:lineRule="auto"/>
        <w:ind w:firstLineChars="200"/>
        <w:jc w:val="both"/>
        <w:rPr>
          <w:rFonts w:hint="eastAsia" w:ascii="宋体" w:hAnsi="宋体" w:eastAsia="宋体" w:cs="宋体"/>
          <w:sz w:val="24"/>
          <w:szCs w:val="24"/>
        </w:rPr>
      </w:pPr>
      <w:r>
        <w:rPr>
          <w:rFonts w:hint="eastAsia" w:ascii="宋体" w:hAnsi="宋体" w:eastAsia="宋体" w:cs="宋体"/>
          <w:b/>
          <w:sz w:val="24"/>
          <w:szCs w:val="24"/>
        </w:rPr>
        <w:t>联系人：______________________</w:t>
      </w:r>
    </w:p>
    <w:p w14:paraId="7416654C">
      <w:pPr>
        <w:spacing w:before="119" w:line="360" w:lineRule="auto"/>
        <w:ind w:firstLineChars="200"/>
        <w:jc w:val="both"/>
        <w:rPr>
          <w:rFonts w:hint="eastAsia" w:ascii="宋体" w:hAnsi="宋体" w:eastAsia="宋体" w:cs="宋体"/>
          <w:sz w:val="24"/>
          <w:szCs w:val="24"/>
        </w:rPr>
      </w:pPr>
      <w:r>
        <w:rPr>
          <w:rFonts w:hint="eastAsia" w:ascii="宋体" w:hAnsi="宋体" w:eastAsia="宋体" w:cs="宋体"/>
          <w:b/>
          <w:sz w:val="24"/>
          <w:szCs w:val="24"/>
        </w:rPr>
        <w:t>电话：________________________</w:t>
      </w:r>
    </w:p>
    <w:p w14:paraId="7297C0A4">
      <w:pPr>
        <w:spacing w:before="119" w:line="360" w:lineRule="auto"/>
        <w:ind w:firstLineChars="200"/>
        <w:jc w:val="both"/>
        <w:rPr>
          <w:rFonts w:hint="eastAsia" w:ascii="宋体" w:hAnsi="宋体" w:eastAsia="宋体" w:cs="宋体"/>
          <w:sz w:val="24"/>
          <w:szCs w:val="24"/>
        </w:rPr>
      </w:pPr>
      <w:r>
        <w:rPr>
          <w:rFonts w:hint="eastAsia" w:ascii="宋体" w:hAnsi="宋体" w:eastAsia="宋体" w:cs="宋体"/>
          <w:b/>
          <w:sz w:val="24"/>
          <w:szCs w:val="24"/>
        </w:rPr>
        <w:t>电子邮箱：____________________</w:t>
      </w:r>
    </w:p>
    <w:p w14:paraId="66FCFD5B">
      <w:pPr>
        <w:spacing w:before="119" w:line="360" w:lineRule="auto"/>
        <w:ind w:firstLineChars="200"/>
        <w:jc w:val="both"/>
        <w:rPr>
          <w:rFonts w:hint="eastAsia" w:ascii="宋体" w:hAnsi="宋体" w:eastAsia="宋体" w:cs="宋体"/>
          <w:sz w:val="24"/>
          <w:szCs w:val="24"/>
        </w:rPr>
      </w:pPr>
    </w:p>
    <w:p w14:paraId="06D79790">
      <w:pPr>
        <w:spacing w:before="119" w:line="360" w:lineRule="auto"/>
        <w:ind w:firstLineChars="200"/>
        <w:jc w:val="both"/>
        <w:rPr>
          <w:rFonts w:hint="eastAsia" w:ascii="宋体" w:hAnsi="宋体" w:eastAsia="宋体" w:cs="宋体"/>
          <w:sz w:val="24"/>
          <w:szCs w:val="24"/>
        </w:rPr>
      </w:pPr>
      <w:r>
        <w:rPr>
          <w:rFonts w:hint="eastAsia" w:ascii="宋体" w:hAnsi="宋体" w:eastAsia="宋体" w:cs="宋体"/>
          <w:b/>
          <w:sz w:val="24"/>
          <w:szCs w:val="24"/>
        </w:rPr>
        <w:t>24.2 通知的生效时间：（1）专人递送的，以签收时间为准；（2）国内特快专递的，以投递后第三日为送达日；（3）电子邮件的，以发送成功且收到系统回执时间为准。电子送达与书面送达具有同等法律效力。</w:t>
      </w:r>
    </w:p>
    <w:p w14:paraId="01042FBE">
      <w:pPr>
        <w:spacing w:before="119" w:line="360" w:lineRule="auto"/>
        <w:ind w:firstLineChars="200"/>
        <w:jc w:val="both"/>
        <w:rPr>
          <w:rFonts w:hint="eastAsia" w:ascii="宋体" w:hAnsi="宋体" w:eastAsia="宋体" w:cs="宋体"/>
          <w:sz w:val="24"/>
          <w:szCs w:val="24"/>
        </w:rPr>
      </w:pPr>
      <w:r>
        <w:rPr>
          <w:rFonts w:hint="eastAsia" w:ascii="宋体" w:hAnsi="宋体" w:eastAsia="宋体" w:cs="宋体"/>
          <w:b/>
          <w:sz w:val="24"/>
          <w:szCs w:val="24"/>
        </w:rPr>
        <w:t>24.3 任何一方变更名称、地址、联系人或联系方式的，应自变更之日起5个工作日内书面通知对方。因未及时通知导致送达失败的，由变更方承担由此产生的一切法律后果。</w:t>
      </w:r>
    </w:p>
    <w:p w14:paraId="3738400C">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sz w:val="24"/>
          <w:szCs w:val="24"/>
        </w:rPr>
      </w:pPr>
      <w:r>
        <w:rPr>
          <w:rFonts w:hint="eastAsia" w:ascii="宋体" w:hAnsi="宋体" w:eastAsia="宋体" w:cs="宋体"/>
          <w:b/>
          <w:sz w:val="24"/>
          <w:szCs w:val="24"/>
        </w:rPr>
        <w:t>25. 适用法律</w:t>
      </w:r>
    </w:p>
    <w:p w14:paraId="74652BEE">
      <w:pPr>
        <w:pStyle w:val="39"/>
        <w:bidi w:val="0"/>
        <w:rPr>
          <w:rFonts w:hint="eastAsia" w:ascii="宋体" w:hAnsi="宋体" w:eastAsia="宋体" w:cs="宋体"/>
          <w:sz w:val="24"/>
          <w:szCs w:val="24"/>
        </w:rPr>
      </w:pPr>
      <w:r>
        <w:rPr>
          <w:rFonts w:hint="eastAsia" w:ascii="宋体" w:hAnsi="宋体" w:eastAsia="宋体" w:cs="宋体"/>
          <w:sz w:val="24"/>
          <w:szCs w:val="24"/>
        </w:rPr>
        <w:t>本合同应按照中华人民共和国的法律进行解释。</w:t>
      </w:r>
    </w:p>
    <w:p w14:paraId="66FC63B6">
      <w:pPr>
        <w:snapToGrid w:val="0"/>
        <w:spacing w:line="360" w:lineRule="auto"/>
        <w:jc w:val="left"/>
        <w:outlineLvl w:val="9"/>
        <w:rPr>
          <w:rFonts w:hint="eastAsia" w:ascii="宋体" w:hAnsi="宋体"/>
          <w:color w:val="000000"/>
          <w:sz w:val="24"/>
        </w:rPr>
      </w:pPr>
    </w:p>
    <w:p w14:paraId="5EED23E1">
      <w:r>
        <w:rPr>
          <w:rFonts w:hint="eastAsia"/>
          <w:lang w:val="en-US" w:eastAsia="zh-CN"/>
        </w:rPr>
        <w:br w:type="page"/>
      </w:r>
    </w:p>
    <w:p w14:paraId="4C63F710">
      <w:pPr>
        <w:pStyle w:val="41"/>
        <w:bidi w:val="0"/>
      </w:pPr>
      <w:bookmarkStart w:id="413" w:name="_Toc376058635"/>
      <w:bookmarkStart w:id="414" w:name="_Toc1101594443"/>
      <w:r>
        <w:rPr>
          <w:rFonts w:hint="eastAsia"/>
          <w:lang w:val="en-US" w:eastAsia="zh-CN"/>
        </w:rPr>
        <w:t>标项二适用合同文本</w:t>
      </w:r>
      <w:bookmarkEnd w:id="413"/>
      <w:bookmarkEnd w:id="414"/>
    </w:p>
    <w:p w14:paraId="04FFD72F">
      <w:pPr>
        <w:jc w:val="center"/>
        <w:rPr>
          <w:rFonts w:hint="default" w:eastAsia="宋体"/>
          <w:color w:val="auto"/>
          <w:sz w:val="36"/>
          <w:szCs w:val="36"/>
          <w:lang w:val="en-US" w:eastAsia="zh-CN"/>
        </w:rPr>
      </w:pPr>
      <w:r>
        <w:rPr>
          <w:rFonts w:hint="eastAsia"/>
          <w:color w:val="auto"/>
          <w:sz w:val="36"/>
          <w:szCs w:val="36"/>
          <w:lang w:val="en-US" w:eastAsia="zh-CN"/>
        </w:rPr>
        <w:t>政府采购合同</w:t>
      </w:r>
    </w:p>
    <w:p w14:paraId="4EE8DF18">
      <w:pPr>
        <w:rPr>
          <w:color w:val="auto"/>
        </w:rPr>
      </w:pPr>
    </w:p>
    <w:p w14:paraId="243BDCA4">
      <w:pPr>
        <w:pStyle w:val="15"/>
        <w:rPr>
          <w:color w:val="auto"/>
        </w:rPr>
      </w:pPr>
    </w:p>
    <w:p w14:paraId="2DE257AC">
      <w:pPr>
        <w:pStyle w:val="24"/>
        <w:rPr>
          <w:color w:val="auto"/>
        </w:rPr>
      </w:pPr>
    </w:p>
    <w:p w14:paraId="1D3F1033">
      <w:pPr>
        <w:rPr>
          <w:color w:val="auto"/>
        </w:rPr>
      </w:pPr>
    </w:p>
    <w:p w14:paraId="3F17D456">
      <w:pPr>
        <w:rPr>
          <w:color w:val="auto"/>
        </w:rPr>
      </w:pPr>
    </w:p>
    <w:p w14:paraId="106C022E">
      <w:pPr>
        <w:rPr>
          <w:color w:val="auto"/>
          <w:sz w:val="24"/>
          <w:szCs w:val="24"/>
        </w:rPr>
      </w:pPr>
    </w:p>
    <w:p w14:paraId="076F1D0B">
      <w:pPr>
        <w:spacing w:line="600" w:lineRule="auto"/>
        <w:rPr>
          <w:color w:val="auto"/>
          <w:sz w:val="24"/>
          <w:szCs w:val="24"/>
        </w:rPr>
      </w:pPr>
      <w:r>
        <w:rPr>
          <w:rFonts w:hint="eastAsia"/>
          <w:color w:val="auto"/>
          <w:sz w:val="24"/>
          <w:szCs w:val="24"/>
        </w:rPr>
        <w:t>项目名称：</w:t>
      </w:r>
      <w:r>
        <w:rPr>
          <w:rFonts w:hint="eastAsia"/>
          <w:color w:val="auto"/>
          <w:sz w:val="24"/>
          <w:szCs w:val="24"/>
          <w:u w:val="single"/>
          <w:lang w:val="en-US" w:eastAsia="zh-CN"/>
        </w:rPr>
        <w:t xml:space="preserve">                                                       </w:t>
      </w:r>
      <w:r>
        <w:rPr>
          <w:rFonts w:hint="eastAsia"/>
          <w:color w:val="auto"/>
          <w:sz w:val="24"/>
          <w:szCs w:val="24"/>
          <w:u w:val="single"/>
        </w:rPr>
        <w:t xml:space="preserve">       </w:t>
      </w:r>
    </w:p>
    <w:p w14:paraId="6A73A1A7">
      <w:pPr>
        <w:spacing w:line="600" w:lineRule="auto"/>
        <w:rPr>
          <w:color w:val="auto"/>
          <w:sz w:val="24"/>
          <w:szCs w:val="24"/>
        </w:rPr>
      </w:pPr>
    </w:p>
    <w:p w14:paraId="0009600B">
      <w:pPr>
        <w:spacing w:line="600" w:lineRule="auto"/>
        <w:rPr>
          <w:color w:val="auto"/>
          <w:sz w:val="24"/>
          <w:szCs w:val="24"/>
        </w:rPr>
      </w:pPr>
    </w:p>
    <w:p w14:paraId="113E476D">
      <w:pPr>
        <w:spacing w:line="600" w:lineRule="auto"/>
        <w:rPr>
          <w:color w:val="auto"/>
          <w:sz w:val="24"/>
          <w:szCs w:val="24"/>
          <w:u w:val="single"/>
        </w:rPr>
      </w:pPr>
      <w:r>
        <w:rPr>
          <w:rFonts w:hint="eastAsia"/>
          <w:color w:val="auto"/>
          <w:sz w:val="24"/>
          <w:szCs w:val="24"/>
        </w:rPr>
        <w:t>甲方：</w:t>
      </w:r>
      <w:r>
        <w:rPr>
          <w:rFonts w:hint="eastAsia"/>
          <w:color w:val="auto"/>
          <w:sz w:val="24"/>
          <w:szCs w:val="24"/>
          <w:u w:val="single"/>
        </w:rPr>
        <w:t xml:space="preserve">                         （盖章）                              </w:t>
      </w:r>
    </w:p>
    <w:p w14:paraId="285289B5">
      <w:pPr>
        <w:spacing w:line="600" w:lineRule="auto"/>
        <w:rPr>
          <w:color w:val="auto"/>
          <w:sz w:val="24"/>
          <w:szCs w:val="24"/>
          <w:u w:val="single"/>
        </w:rPr>
      </w:pPr>
      <w:r>
        <w:rPr>
          <w:rFonts w:hint="eastAsia"/>
          <w:color w:val="auto"/>
          <w:sz w:val="24"/>
          <w:szCs w:val="24"/>
        </w:rPr>
        <w:t>乙方：</w:t>
      </w:r>
      <w:r>
        <w:rPr>
          <w:rFonts w:hint="eastAsia"/>
          <w:color w:val="auto"/>
          <w:sz w:val="24"/>
          <w:szCs w:val="24"/>
          <w:u w:val="single"/>
        </w:rPr>
        <w:t xml:space="preserve">                         （盖章）                              </w:t>
      </w:r>
    </w:p>
    <w:p w14:paraId="6EA2C8BE">
      <w:pPr>
        <w:spacing w:line="600" w:lineRule="auto"/>
        <w:rPr>
          <w:color w:val="auto"/>
          <w:sz w:val="24"/>
          <w:szCs w:val="24"/>
          <w:u w:val="single"/>
        </w:rPr>
      </w:pPr>
      <w:r>
        <w:rPr>
          <w:rFonts w:hint="eastAsia"/>
          <w:color w:val="auto"/>
          <w:sz w:val="24"/>
          <w:szCs w:val="24"/>
        </w:rPr>
        <w:t>签订时间：</w:t>
      </w:r>
      <w:r>
        <w:rPr>
          <w:rFonts w:hint="eastAsia"/>
          <w:color w:val="auto"/>
          <w:sz w:val="24"/>
          <w:szCs w:val="24"/>
          <w:u w:val="single"/>
        </w:rPr>
        <w:t xml:space="preserve">                                                           </w:t>
      </w:r>
    </w:p>
    <w:p w14:paraId="66EB48C2">
      <w:pPr>
        <w:spacing w:line="600" w:lineRule="auto"/>
        <w:rPr>
          <w:color w:val="auto"/>
          <w:u w:val="single"/>
        </w:rPr>
      </w:pPr>
      <w:r>
        <w:rPr>
          <w:rFonts w:hint="eastAsia"/>
          <w:color w:val="auto"/>
          <w:sz w:val="24"/>
          <w:szCs w:val="24"/>
        </w:rPr>
        <w:t>签订地点：</w:t>
      </w:r>
      <w:r>
        <w:rPr>
          <w:rFonts w:hint="eastAsia"/>
          <w:color w:val="auto"/>
          <w:sz w:val="24"/>
          <w:szCs w:val="24"/>
          <w:u w:val="single"/>
        </w:rPr>
        <w:t xml:space="preserve">   </w:t>
      </w:r>
      <w:r>
        <w:rPr>
          <w:rFonts w:hint="eastAsia"/>
          <w:color w:val="auto"/>
          <w:u w:val="single"/>
        </w:rPr>
        <w:t xml:space="preserve">                                                                </w:t>
      </w:r>
    </w:p>
    <w:p w14:paraId="474B7A3C">
      <w:pPr>
        <w:spacing w:before="100" w:beforeAutospacing="1" w:after="100" w:afterAutospacing="1"/>
        <w:rPr>
          <w:color w:val="auto"/>
          <w:sz w:val="24"/>
          <w:szCs w:val="24"/>
        </w:rPr>
      </w:pPr>
    </w:p>
    <w:p w14:paraId="5939046B">
      <w:pPr>
        <w:rPr>
          <w:color w:val="auto"/>
          <w:sz w:val="24"/>
          <w:szCs w:val="24"/>
        </w:rPr>
      </w:pPr>
      <w:r>
        <w:rPr>
          <w:rFonts w:hint="eastAsia"/>
          <w:color w:val="auto"/>
          <w:sz w:val="24"/>
          <w:szCs w:val="24"/>
        </w:rPr>
        <w:br w:type="page"/>
      </w:r>
    </w:p>
    <w:p w14:paraId="5D4E5902">
      <w:pPr>
        <w:pStyle w:val="41"/>
        <w:numPr>
          <w:ilvl w:val="1"/>
          <w:numId w:val="0"/>
        </w:numPr>
        <w:bidi w:val="0"/>
        <w:ind w:left="200" w:leftChars="0"/>
        <w:jc w:val="center"/>
        <w:outlineLvl w:val="9"/>
        <w:rPr>
          <w:rFonts w:hint="eastAsia"/>
          <w:color w:val="auto"/>
        </w:rPr>
      </w:pPr>
      <w:bookmarkStart w:id="415" w:name="_Toc16537"/>
      <w:bookmarkStart w:id="416" w:name="_Toc232596629"/>
      <w:r>
        <w:rPr>
          <w:rFonts w:hint="eastAsia"/>
          <w:color w:val="auto"/>
        </w:rPr>
        <w:t>第一部分 合同协议</w:t>
      </w:r>
      <w:bookmarkEnd w:id="415"/>
      <w:bookmarkEnd w:id="416"/>
    </w:p>
    <w:p w14:paraId="72B11D9C">
      <w:pPr>
        <w:pStyle w:val="39"/>
        <w:ind w:firstLine="480"/>
        <w:rPr>
          <w:rFonts w:hint="default" w:eastAsia="宋体"/>
          <w:color w:val="auto"/>
          <w:lang w:val="en-US" w:eastAsia="zh-CN"/>
        </w:rPr>
      </w:pPr>
      <w:r>
        <w:rPr>
          <w:rFonts w:hint="eastAsia"/>
          <w:color w:val="auto"/>
        </w:rPr>
        <w:t>甲方：</w:t>
      </w:r>
      <w:r>
        <w:rPr>
          <w:rFonts w:hint="eastAsia"/>
          <w:color w:val="auto"/>
          <w:u w:val="single"/>
          <w:lang w:val="en-US" w:eastAsia="zh-CN"/>
        </w:rPr>
        <w:t xml:space="preserve">                </w:t>
      </w:r>
    </w:p>
    <w:p w14:paraId="7D238779">
      <w:pPr>
        <w:pStyle w:val="39"/>
        <w:ind w:firstLine="480"/>
        <w:rPr>
          <w:rFonts w:hint="eastAsia" w:eastAsia="宋体"/>
          <w:color w:val="auto"/>
          <w:lang w:val="en-US" w:eastAsia="zh-CN"/>
        </w:rPr>
      </w:pPr>
      <w:r>
        <w:rPr>
          <w:rFonts w:hint="eastAsia"/>
          <w:color w:val="auto"/>
        </w:rPr>
        <w:t>乙方：</w:t>
      </w:r>
      <w:r>
        <w:rPr>
          <w:rFonts w:hint="eastAsia"/>
          <w:color w:val="auto"/>
          <w:u w:val="single"/>
        </w:rPr>
        <w:t xml:space="preserve">               </w:t>
      </w:r>
      <w:r>
        <w:rPr>
          <w:rFonts w:hint="eastAsia"/>
          <w:color w:val="auto"/>
          <w:u w:val="single"/>
          <w:lang w:val="en-US" w:eastAsia="zh-CN"/>
        </w:rPr>
        <w:t xml:space="preserve"> </w:t>
      </w:r>
    </w:p>
    <w:p w14:paraId="5B25ADE8">
      <w:pPr>
        <w:pStyle w:val="39"/>
        <w:ind w:firstLine="480"/>
        <w:rPr>
          <w:rFonts w:hint="eastAsia"/>
          <w:color w:val="auto"/>
        </w:rPr>
      </w:pPr>
      <w:r>
        <w:rPr>
          <w:rFonts w:hint="eastAsia"/>
          <w:color w:val="auto"/>
        </w:rPr>
        <w:t>买、卖双方根据浙江中勤招标代理有限公司关于</w:t>
      </w:r>
      <w:r>
        <w:rPr>
          <w:rFonts w:hint="eastAsia"/>
          <w:color w:val="auto"/>
          <w:u w:val="single"/>
          <w:lang w:val="en-US" w:eastAsia="zh-CN"/>
        </w:rPr>
        <w:t xml:space="preserve"> </w:t>
      </w:r>
      <w:r>
        <w:rPr>
          <w:rFonts w:hint="eastAsia"/>
          <w:color w:val="auto"/>
          <w:u w:val="single"/>
        </w:rPr>
        <w:t>（</w:t>
      </w:r>
      <w:r>
        <w:rPr>
          <w:rFonts w:hint="eastAsia"/>
          <w:color w:val="auto"/>
          <w:u w:val="single"/>
          <w:lang w:val="en-US" w:eastAsia="zh-CN"/>
        </w:rPr>
        <w:t>项目</w:t>
      </w:r>
      <w:r>
        <w:rPr>
          <w:rFonts w:hint="eastAsia"/>
          <w:color w:val="auto"/>
          <w:u w:val="single"/>
        </w:rPr>
        <w:t>名称）</w:t>
      </w:r>
      <w:r>
        <w:rPr>
          <w:rFonts w:hint="eastAsia"/>
          <w:color w:val="auto"/>
          <w:u w:val="single"/>
          <w:lang w:val="en-US" w:eastAsia="zh-CN"/>
        </w:rPr>
        <w:t xml:space="preserve"> </w:t>
      </w:r>
      <w:r>
        <w:rPr>
          <w:rFonts w:hint="eastAsia"/>
          <w:color w:val="auto"/>
          <w:u w:val="single"/>
        </w:rPr>
        <w:t>(项目编号：</w:t>
      </w:r>
      <w:r>
        <w:rPr>
          <w:rFonts w:hint="eastAsia"/>
          <w:color w:val="auto"/>
          <w:u w:val="single"/>
          <w:lang w:val="en-US" w:eastAsia="zh-CN"/>
        </w:rPr>
        <w:t xml:space="preserve">         </w:t>
      </w:r>
      <w:r>
        <w:rPr>
          <w:rFonts w:hint="eastAsia"/>
          <w:color w:val="auto"/>
          <w:u w:val="single"/>
        </w:rPr>
        <w:t>)</w:t>
      </w:r>
      <w:r>
        <w:rPr>
          <w:rFonts w:hint="eastAsia"/>
          <w:color w:val="auto"/>
        </w:rPr>
        <w:t>公开招标的结果，共同达成如下协议：</w:t>
      </w:r>
    </w:p>
    <w:p w14:paraId="62670D29">
      <w:pPr>
        <w:pStyle w:val="39"/>
        <w:ind w:firstLine="480"/>
        <w:rPr>
          <w:rFonts w:hint="eastAsia"/>
          <w:color w:val="auto"/>
        </w:rPr>
      </w:pPr>
      <w:r>
        <w:rPr>
          <w:rFonts w:hint="eastAsia"/>
          <w:color w:val="auto"/>
        </w:rPr>
        <w:t>1、下列文件为本合同协议书的组成部分，须与本合同协议书共同阅读和解释：</w:t>
      </w:r>
    </w:p>
    <w:p w14:paraId="486183CA">
      <w:pPr>
        <w:pStyle w:val="39"/>
        <w:ind w:firstLine="480"/>
        <w:rPr>
          <w:rFonts w:hint="eastAsia"/>
          <w:color w:val="auto"/>
        </w:rPr>
      </w:pPr>
      <w:r>
        <w:rPr>
          <w:rFonts w:hint="eastAsia"/>
          <w:color w:val="auto"/>
        </w:rPr>
        <w:t>（1）中标通知书；</w:t>
      </w:r>
    </w:p>
    <w:p w14:paraId="18D3D417">
      <w:pPr>
        <w:pStyle w:val="39"/>
        <w:ind w:firstLine="480"/>
        <w:rPr>
          <w:rFonts w:hint="eastAsia"/>
          <w:color w:val="auto"/>
        </w:rPr>
      </w:pPr>
      <w:r>
        <w:rPr>
          <w:rFonts w:hint="eastAsia"/>
          <w:color w:val="auto"/>
        </w:rPr>
        <w:t>（2）投标文件及其修改、补充文件（包括评标期间的澄清文件）；</w:t>
      </w:r>
    </w:p>
    <w:p w14:paraId="03EDEA5F">
      <w:pPr>
        <w:pStyle w:val="39"/>
        <w:ind w:firstLine="480"/>
        <w:rPr>
          <w:rFonts w:hint="eastAsia"/>
          <w:color w:val="auto"/>
        </w:rPr>
      </w:pPr>
      <w:r>
        <w:rPr>
          <w:rFonts w:hint="eastAsia"/>
          <w:color w:val="auto"/>
        </w:rPr>
        <w:t>（3）补充协议（如果有）；</w:t>
      </w:r>
    </w:p>
    <w:p w14:paraId="729B2BB7">
      <w:pPr>
        <w:pStyle w:val="39"/>
        <w:ind w:firstLine="480"/>
        <w:rPr>
          <w:rFonts w:hint="eastAsia"/>
          <w:color w:val="auto"/>
        </w:rPr>
      </w:pPr>
      <w:r>
        <w:rPr>
          <w:rFonts w:hint="eastAsia"/>
          <w:color w:val="auto"/>
        </w:rPr>
        <w:t>（4）合同条款及其相关附件；</w:t>
      </w:r>
    </w:p>
    <w:p w14:paraId="2F1C7752">
      <w:pPr>
        <w:pStyle w:val="39"/>
        <w:ind w:firstLine="480"/>
        <w:rPr>
          <w:rFonts w:hint="eastAsia"/>
          <w:color w:val="auto"/>
        </w:rPr>
      </w:pPr>
      <w:r>
        <w:rPr>
          <w:rFonts w:hint="eastAsia"/>
          <w:color w:val="auto"/>
        </w:rPr>
        <w:t>（5）招标文件及其修改、补充文件；</w:t>
      </w:r>
    </w:p>
    <w:p w14:paraId="1F3F2052">
      <w:pPr>
        <w:pStyle w:val="39"/>
        <w:ind w:firstLine="480"/>
        <w:rPr>
          <w:rFonts w:hint="eastAsia"/>
          <w:color w:val="auto"/>
        </w:rPr>
      </w:pPr>
      <w:r>
        <w:rPr>
          <w:rFonts w:hint="eastAsia"/>
          <w:color w:val="auto"/>
        </w:rPr>
        <w:t>（6）其他协议文件。买卖双方合同实施过程中的洽商、会议纪要、变更、补充协议等书面文件应视为本合同的组成部分。</w:t>
      </w:r>
    </w:p>
    <w:p w14:paraId="48E0D4A9">
      <w:pPr>
        <w:pStyle w:val="39"/>
        <w:ind w:firstLine="480"/>
        <w:rPr>
          <w:rFonts w:hint="eastAsia"/>
          <w:color w:val="auto"/>
        </w:rPr>
      </w:pPr>
      <w:r>
        <w:rPr>
          <w:rFonts w:hint="eastAsia"/>
          <w:color w:val="auto"/>
        </w:rPr>
        <w:t>2、上述文件互相补充和解释，如有不明确或不一致之处，上述合同文件以自上而下为优先解释顺序。</w:t>
      </w:r>
    </w:p>
    <w:p w14:paraId="2070EAF5">
      <w:pPr>
        <w:pStyle w:val="39"/>
        <w:ind w:firstLine="480"/>
        <w:rPr>
          <w:rFonts w:hint="eastAsia"/>
          <w:color w:val="auto"/>
        </w:rPr>
      </w:pPr>
      <w:r>
        <w:rPr>
          <w:rFonts w:hint="eastAsia"/>
          <w:color w:val="auto"/>
        </w:rPr>
        <w:t>3、服务内容：</w:t>
      </w:r>
      <w:r>
        <w:rPr>
          <w:rFonts w:hint="eastAsia"/>
          <w:color w:val="auto"/>
          <w:u w:val="single"/>
        </w:rPr>
        <w:t xml:space="preserve">                                                    </w:t>
      </w:r>
    </w:p>
    <w:p w14:paraId="20656F00">
      <w:pPr>
        <w:pStyle w:val="39"/>
        <w:ind w:firstLine="480"/>
        <w:rPr>
          <w:rFonts w:hint="eastAsia"/>
          <w:color w:val="auto"/>
        </w:rPr>
      </w:pPr>
      <w:r>
        <w:rPr>
          <w:rFonts w:hint="eastAsia"/>
          <w:color w:val="auto"/>
        </w:rPr>
        <w:t>服务期：</w:t>
      </w:r>
      <w:r>
        <w:rPr>
          <w:rFonts w:hint="eastAsia"/>
          <w:color w:val="auto"/>
          <w:u w:val="single"/>
        </w:rPr>
        <w:t xml:space="preserve">                                                         </w:t>
      </w:r>
    </w:p>
    <w:p w14:paraId="5D6A99D2">
      <w:pPr>
        <w:pStyle w:val="39"/>
        <w:ind w:firstLine="480"/>
        <w:rPr>
          <w:rFonts w:hint="eastAsia"/>
          <w:color w:val="auto"/>
        </w:rPr>
      </w:pPr>
      <w:r>
        <w:rPr>
          <w:rFonts w:hint="eastAsia"/>
          <w:color w:val="auto"/>
        </w:rPr>
        <w:t>4、考虑到</w:t>
      </w:r>
      <w:r>
        <w:rPr>
          <w:rFonts w:hint="eastAsia"/>
          <w:color w:val="auto"/>
          <w:lang w:eastAsia="zh-CN"/>
        </w:rPr>
        <w:t>乙方</w:t>
      </w:r>
      <w:r>
        <w:rPr>
          <w:rFonts w:hint="eastAsia"/>
          <w:color w:val="auto"/>
        </w:rPr>
        <w:t>将提供服务及修补缺陷，</w:t>
      </w:r>
      <w:r>
        <w:rPr>
          <w:rFonts w:hint="eastAsia"/>
          <w:color w:val="auto"/>
          <w:lang w:eastAsia="zh-CN"/>
        </w:rPr>
        <w:t>甲方</w:t>
      </w:r>
      <w:r>
        <w:rPr>
          <w:rFonts w:hint="eastAsia"/>
          <w:color w:val="auto"/>
        </w:rPr>
        <w:t>在此同</w:t>
      </w:r>
      <w:r>
        <w:rPr>
          <w:rFonts w:hint="eastAsia"/>
          <w:color w:val="auto"/>
          <w:lang w:eastAsia="zh-CN"/>
        </w:rPr>
        <w:t>乙方</w:t>
      </w:r>
      <w:r>
        <w:rPr>
          <w:rFonts w:hint="eastAsia"/>
          <w:color w:val="auto"/>
        </w:rPr>
        <w:t>立约，保证按照合同规定的付款时间和付款方式向</w:t>
      </w:r>
      <w:r>
        <w:rPr>
          <w:rFonts w:hint="eastAsia"/>
          <w:color w:val="auto"/>
          <w:lang w:eastAsia="zh-CN"/>
        </w:rPr>
        <w:t>乙方</w:t>
      </w:r>
      <w:r>
        <w:rPr>
          <w:rFonts w:hint="eastAsia"/>
          <w:color w:val="auto"/>
        </w:rPr>
        <w:t>支付合同条款所规定的合同价款或其他应付款项。</w:t>
      </w:r>
    </w:p>
    <w:p w14:paraId="3D975342">
      <w:pPr>
        <w:pStyle w:val="39"/>
        <w:ind w:firstLine="480"/>
        <w:rPr>
          <w:rFonts w:hint="eastAsia"/>
          <w:color w:val="auto"/>
        </w:rPr>
      </w:pPr>
      <w:r>
        <w:rPr>
          <w:rFonts w:hint="eastAsia"/>
          <w:color w:val="auto"/>
        </w:rPr>
        <w:t>5、签约合同价为：人民币（大写）</w:t>
      </w:r>
      <w:r>
        <w:rPr>
          <w:rFonts w:hint="eastAsia"/>
          <w:color w:val="auto"/>
          <w:u w:val="single"/>
        </w:rPr>
        <w:t xml:space="preserve">          元</w:t>
      </w:r>
      <w:r>
        <w:rPr>
          <w:rFonts w:hint="eastAsia"/>
          <w:color w:val="auto"/>
        </w:rPr>
        <w:t>（¥         ）。</w:t>
      </w:r>
    </w:p>
    <w:p w14:paraId="43DF6AB6">
      <w:pPr>
        <w:pStyle w:val="39"/>
        <w:ind w:firstLine="480"/>
        <w:rPr>
          <w:rFonts w:hint="eastAsia"/>
          <w:color w:val="auto"/>
        </w:rPr>
      </w:pPr>
      <w:r>
        <w:rPr>
          <w:rFonts w:hint="eastAsia"/>
          <w:color w:val="auto"/>
        </w:rPr>
        <w:t>6、本合同中的词语和术语的含义与下文合同条款中的定义相同。</w:t>
      </w:r>
    </w:p>
    <w:p w14:paraId="14EBDEEE">
      <w:pPr>
        <w:pStyle w:val="39"/>
        <w:ind w:firstLine="480"/>
        <w:rPr>
          <w:rFonts w:hint="eastAsia"/>
          <w:color w:val="auto"/>
        </w:rPr>
      </w:pPr>
      <w:r>
        <w:rPr>
          <w:rFonts w:hint="eastAsia"/>
          <w:color w:val="auto"/>
        </w:rPr>
        <w:t>7、本合同在</w:t>
      </w:r>
      <w:r>
        <w:rPr>
          <w:rFonts w:hint="eastAsia"/>
          <w:color w:val="auto"/>
          <w:lang w:eastAsia="zh-CN"/>
        </w:rPr>
        <w:t>乙方</w:t>
      </w:r>
      <w:r>
        <w:rPr>
          <w:rFonts w:hint="eastAsia"/>
          <w:color w:val="auto"/>
        </w:rPr>
        <w:t>提交有效履约担保（如需要，详见合同条款）及买、卖双方法定代表人（或其委托代理人）签字或盖章并盖单位章后生效。</w:t>
      </w:r>
    </w:p>
    <w:p w14:paraId="5D20F3FB">
      <w:pPr>
        <w:pStyle w:val="39"/>
        <w:ind w:firstLine="480"/>
        <w:rPr>
          <w:rFonts w:hint="eastAsia"/>
          <w:color w:val="auto"/>
        </w:rPr>
      </w:pPr>
      <w:r>
        <w:rPr>
          <w:rFonts w:hint="eastAsia"/>
          <w:color w:val="auto"/>
        </w:rPr>
        <w:t>8、本合同正本2份，买、卖双方各1份；副本</w:t>
      </w:r>
      <w:r>
        <w:rPr>
          <w:rFonts w:hint="eastAsia"/>
          <w:color w:val="auto"/>
          <w:u w:val="single"/>
        </w:rPr>
        <w:t xml:space="preserve">   </w:t>
      </w:r>
      <w:r>
        <w:rPr>
          <w:rFonts w:hint="eastAsia"/>
          <w:color w:val="auto"/>
        </w:rPr>
        <w:t>份，</w:t>
      </w:r>
      <w:r>
        <w:rPr>
          <w:rFonts w:hint="eastAsia"/>
          <w:color w:val="auto"/>
          <w:lang w:eastAsia="zh-CN"/>
        </w:rPr>
        <w:t>甲方</w:t>
      </w:r>
      <w:r>
        <w:rPr>
          <w:rFonts w:hint="eastAsia"/>
          <w:color w:val="auto"/>
          <w:u w:val="single"/>
        </w:rPr>
        <w:t xml:space="preserve">   </w:t>
      </w:r>
      <w:r>
        <w:rPr>
          <w:rFonts w:hint="eastAsia"/>
          <w:color w:val="auto"/>
        </w:rPr>
        <w:t>份，</w:t>
      </w:r>
      <w:r>
        <w:rPr>
          <w:rFonts w:hint="eastAsia"/>
          <w:color w:val="auto"/>
          <w:lang w:eastAsia="zh-CN"/>
        </w:rPr>
        <w:t>乙方</w:t>
      </w:r>
      <w:r>
        <w:rPr>
          <w:rFonts w:hint="eastAsia"/>
          <w:color w:val="auto"/>
          <w:u w:val="single"/>
        </w:rPr>
        <w:t xml:space="preserve">   </w:t>
      </w:r>
      <w:r>
        <w:rPr>
          <w:rFonts w:hint="eastAsia"/>
          <w:color w:val="auto"/>
        </w:rPr>
        <w:t>份。均具有同等的法律效力。当正本与副本内容有偏离时，以正本为准。</w:t>
      </w:r>
    </w:p>
    <w:p w14:paraId="249FCACD">
      <w:pPr>
        <w:pStyle w:val="39"/>
        <w:ind w:firstLine="480"/>
        <w:rPr>
          <w:rFonts w:hint="eastAsia"/>
          <w:color w:val="auto"/>
        </w:rPr>
      </w:pPr>
      <w:r>
        <w:rPr>
          <w:rFonts w:hint="eastAsia"/>
          <w:color w:val="auto"/>
        </w:rPr>
        <w:t>9、本合同签约地为杭州市。</w:t>
      </w:r>
    </w:p>
    <w:p w14:paraId="54838BED">
      <w:pPr>
        <w:pStyle w:val="39"/>
        <w:ind w:firstLine="480"/>
        <w:rPr>
          <w:rFonts w:hint="eastAsia"/>
          <w:color w:val="auto"/>
        </w:rPr>
      </w:pPr>
      <w:r>
        <w:rPr>
          <w:rFonts w:hint="eastAsia"/>
          <w:color w:val="auto"/>
        </w:rPr>
        <w:t>10、未尽事宜，经双方协商一致，签订补充协议。</w:t>
      </w:r>
    </w:p>
    <w:p w14:paraId="7D6BA64B">
      <w:pPr>
        <w:pStyle w:val="39"/>
        <w:ind w:firstLine="480"/>
        <w:rPr>
          <w:rFonts w:hint="eastAsia"/>
          <w:color w:val="auto"/>
        </w:rPr>
      </w:pPr>
    </w:p>
    <w:p w14:paraId="65150782">
      <w:pPr>
        <w:pStyle w:val="39"/>
        <w:ind w:firstLine="480"/>
        <w:rPr>
          <w:rFonts w:hint="eastAsia"/>
          <w:color w:val="auto"/>
        </w:rPr>
      </w:pPr>
      <w:r>
        <w:rPr>
          <w:rFonts w:hint="eastAsia"/>
          <w:color w:val="auto"/>
          <w:lang w:eastAsia="zh-CN"/>
        </w:rPr>
        <w:t>甲方</w:t>
      </w:r>
      <w:r>
        <w:rPr>
          <w:rFonts w:hint="eastAsia"/>
          <w:color w:val="auto"/>
        </w:rPr>
        <w:t xml:space="preserve">：                                 </w:t>
      </w:r>
      <w:r>
        <w:rPr>
          <w:rFonts w:hint="eastAsia"/>
          <w:color w:val="auto"/>
          <w:lang w:eastAsia="zh-CN"/>
        </w:rPr>
        <w:t>乙方</w:t>
      </w:r>
      <w:r>
        <w:rPr>
          <w:rFonts w:hint="eastAsia"/>
          <w:color w:val="auto"/>
        </w:rPr>
        <w:t xml:space="preserve">：     （中标单位全称）     </w:t>
      </w:r>
    </w:p>
    <w:p w14:paraId="205802A9">
      <w:pPr>
        <w:pStyle w:val="39"/>
        <w:ind w:firstLine="480"/>
        <w:rPr>
          <w:rFonts w:hint="eastAsia"/>
          <w:color w:val="auto"/>
        </w:rPr>
      </w:pPr>
      <w:r>
        <w:rPr>
          <w:rFonts w:hint="eastAsia"/>
          <w:color w:val="auto"/>
        </w:rPr>
        <w:t xml:space="preserve">法定代表人或委托代理人：（签字或盖章）  法定代表人或委托代理人：（签字或盖章） </w:t>
      </w:r>
    </w:p>
    <w:p w14:paraId="7059C317">
      <w:pPr>
        <w:pStyle w:val="39"/>
        <w:ind w:firstLine="480"/>
        <w:rPr>
          <w:rFonts w:hint="eastAsia"/>
          <w:color w:val="auto"/>
        </w:rPr>
      </w:pPr>
      <w:r>
        <w:rPr>
          <w:rFonts w:hint="eastAsia"/>
          <w:color w:val="auto"/>
        </w:rPr>
        <w:t xml:space="preserve">地址：                                  地址：                          </w:t>
      </w:r>
    </w:p>
    <w:p w14:paraId="31CCA327">
      <w:pPr>
        <w:pStyle w:val="39"/>
        <w:ind w:firstLine="480"/>
        <w:rPr>
          <w:rFonts w:hint="eastAsia"/>
          <w:color w:val="auto"/>
        </w:rPr>
      </w:pPr>
      <w:r>
        <w:rPr>
          <w:rFonts w:hint="eastAsia"/>
          <w:color w:val="auto"/>
        </w:rPr>
        <w:t xml:space="preserve">邮政编码：                              邮政编码：                      </w:t>
      </w:r>
    </w:p>
    <w:p w14:paraId="02E48483">
      <w:pPr>
        <w:pStyle w:val="39"/>
        <w:ind w:firstLine="480"/>
        <w:rPr>
          <w:rFonts w:hint="eastAsia"/>
          <w:color w:val="auto"/>
        </w:rPr>
      </w:pPr>
      <w:r>
        <w:rPr>
          <w:rFonts w:hint="eastAsia"/>
          <w:color w:val="auto"/>
        </w:rPr>
        <w:t xml:space="preserve">电    话：                              电    话：                      </w:t>
      </w:r>
    </w:p>
    <w:p w14:paraId="760658E0">
      <w:pPr>
        <w:pStyle w:val="39"/>
        <w:ind w:firstLine="480"/>
        <w:rPr>
          <w:rFonts w:hint="eastAsia"/>
          <w:color w:val="auto"/>
        </w:rPr>
      </w:pPr>
      <w:r>
        <w:rPr>
          <w:rFonts w:hint="eastAsia"/>
          <w:color w:val="auto"/>
        </w:rPr>
        <w:t xml:space="preserve">传    真：                              传    真：                      </w:t>
      </w:r>
    </w:p>
    <w:p w14:paraId="63BDE02C">
      <w:pPr>
        <w:pStyle w:val="39"/>
        <w:ind w:firstLine="480"/>
        <w:rPr>
          <w:rFonts w:hint="eastAsia"/>
          <w:color w:val="auto"/>
        </w:rPr>
      </w:pPr>
      <w:r>
        <w:rPr>
          <w:rFonts w:hint="eastAsia"/>
          <w:color w:val="auto"/>
        </w:rPr>
        <w:t xml:space="preserve">开户银行：                              开户银行：                      </w:t>
      </w:r>
    </w:p>
    <w:p w14:paraId="3D1047C9">
      <w:pPr>
        <w:pStyle w:val="39"/>
        <w:ind w:firstLine="480"/>
        <w:rPr>
          <w:rFonts w:hint="eastAsia"/>
          <w:color w:val="auto"/>
        </w:rPr>
      </w:pPr>
      <w:r>
        <w:rPr>
          <w:rFonts w:hint="eastAsia"/>
          <w:color w:val="auto"/>
        </w:rPr>
        <w:t xml:space="preserve">银行帐号：                              银行帐号：                      </w:t>
      </w:r>
    </w:p>
    <w:p w14:paraId="7E880730">
      <w:pPr>
        <w:pStyle w:val="39"/>
        <w:ind w:firstLine="480"/>
        <w:rPr>
          <w:rFonts w:hint="eastAsia"/>
          <w:color w:val="auto"/>
        </w:rPr>
      </w:pPr>
      <w:r>
        <w:rPr>
          <w:rFonts w:hint="eastAsia"/>
          <w:color w:val="auto"/>
        </w:rPr>
        <w:t xml:space="preserve">签约日期：    年    月    日。  </w:t>
      </w:r>
    </w:p>
    <w:p w14:paraId="0056E58A">
      <w:pPr>
        <w:pStyle w:val="39"/>
        <w:ind w:firstLine="480"/>
        <w:rPr>
          <w:rFonts w:hint="eastAsia"/>
          <w:color w:val="auto"/>
        </w:rPr>
      </w:pPr>
    </w:p>
    <w:p w14:paraId="4FFD267B">
      <w:pPr>
        <w:rPr>
          <w:rFonts w:hint="eastAsia"/>
          <w:color w:val="auto"/>
        </w:rPr>
      </w:pPr>
      <w:r>
        <w:rPr>
          <w:rFonts w:hint="eastAsia"/>
          <w:color w:val="auto"/>
        </w:rPr>
        <w:br w:type="page"/>
      </w:r>
    </w:p>
    <w:p w14:paraId="1A02AAF3">
      <w:pPr>
        <w:pStyle w:val="41"/>
        <w:numPr>
          <w:ilvl w:val="1"/>
          <w:numId w:val="0"/>
        </w:numPr>
        <w:bidi w:val="0"/>
        <w:ind w:left="200" w:leftChars="0"/>
        <w:jc w:val="center"/>
        <w:outlineLvl w:val="9"/>
        <w:rPr>
          <w:rFonts w:hint="eastAsia"/>
          <w:color w:val="auto"/>
        </w:rPr>
      </w:pPr>
      <w:bookmarkStart w:id="417" w:name="_Toc831306063"/>
      <w:bookmarkStart w:id="418" w:name="_Toc29507"/>
      <w:r>
        <w:rPr>
          <w:rFonts w:hint="eastAsia"/>
          <w:color w:val="auto"/>
        </w:rPr>
        <w:t>第二部分 合同条款</w:t>
      </w:r>
      <w:bookmarkEnd w:id="417"/>
      <w:bookmarkEnd w:id="418"/>
    </w:p>
    <w:p w14:paraId="1A17CF77">
      <w:pPr>
        <w:pStyle w:val="39"/>
        <w:ind w:firstLine="480"/>
        <w:rPr>
          <w:rFonts w:hint="eastAsia"/>
          <w:color w:val="auto"/>
        </w:rPr>
      </w:pPr>
      <w:r>
        <w:rPr>
          <w:rFonts w:hint="eastAsia"/>
          <w:color w:val="auto"/>
        </w:rPr>
        <w:t>《中华人民共和国民法典》、《中华人民共和国政府采购法》及有关法律规定，合同双方经协商达成一致，自愿订立本合同，遵循公平原则明确双方的权利、义务，确保双方诚实守信地履行合同。</w:t>
      </w:r>
    </w:p>
    <w:p w14:paraId="1789BE3F">
      <w:pPr>
        <w:pStyle w:val="39"/>
        <w:ind w:firstLine="480"/>
        <w:rPr>
          <w:rFonts w:hint="eastAsia"/>
          <w:color w:val="auto"/>
        </w:rPr>
      </w:pPr>
      <w:r>
        <w:rPr>
          <w:rFonts w:hint="eastAsia"/>
          <w:color w:val="auto"/>
        </w:rPr>
        <w:t>一、定义</w:t>
      </w:r>
    </w:p>
    <w:p w14:paraId="27EAC612">
      <w:pPr>
        <w:pStyle w:val="39"/>
        <w:ind w:firstLine="480"/>
        <w:rPr>
          <w:rFonts w:hint="eastAsia"/>
          <w:color w:val="auto"/>
        </w:rPr>
      </w:pPr>
      <w:r>
        <w:rPr>
          <w:rFonts w:hint="eastAsia"/>
          <w:color w:val="auto"/>
        </w:rPr>
        <w:t>1“合同”或称“合同书”系指买卖双方达成并签署的协议，包括合同协议书、合同条款及构成合同的所有文件。</w:t>
      </w:r>
    </w:p>
    <w:p w14:paraId="7E0543CF">
      <w:pPr>
        <w:pStyle w:val="39"/>
        <w:ind w:firstLine="480"/>
        <w:rPr>
          <w:rFonts w:hint="eastAsia"/>
          <w:color w:val="auto"/>
        </w:rPr>
      </w:pPr>
      <w:r>
        <w:rPr>
          <w:rFonts w:hint="eastAsia"/>
          <w:color w:val="auto"/>
        </w:rPr>
        <w:t>2“合同价格”系指根据合同规定</w:t>
      </w:r>
      <w:r>
        <w:rPr>
          <w:rFonts w:hint="eastAsia"/>
          <w:color w:val="auto"/>
          <w:lang w:eastAsia="zh-CN"/>
        </w:rPr>
        <w:t>乙方</w:t>
      </w:r>
      <w:r>
        <w:rPr>
          <w:rFonts w:hint="eastAsia"/>
          <w:color w:val="auto"/>
        </w:rPr>
        <w:t>在正确、及时地完全履行合同义务后</w:t>
      </w:r>
      <w:r>
        <w:rPr>
          <w:rFonts w:hint="eastAsia"/>
          <w:color w:val="auto"/>
          <w:lang w:eastAsia="zh-CN"/>
        </w:rPr>
        <w:t>甲方</w:t>
      </w:r>
      <w:r>
        <w:rPr>
          <w:rFonts w:hint="eastAsia"/>
          <w:color w:val="auto"/>
        </w:rPr>
        <w:t>应支付给</w:t>
      </w:r>
      <w:r>
        <w:rPr>
          <w:rFonts w:hint="eastAsia"/>
          <w:color w:val="auto"/>
          <w:lang w:eastAsia="zh-CN"/>
        </w:rPr>
        <w:t>乙方</w:t>
      </w:r>
      <w:r>
        <w:rPr>
          <w:rFonts w:hint="eastAsia"/>
          <w:color w:val="auto"/>
        </w:rPr>
        <w:t>的价格，包括完成本项目所需的全部费用，具体包括人工、福利、设备、保险、税金等招标文件及合同明示或者暗示的所有责任、义务和风险。其中人员工资不得低于服务所在地的最低工资标准。</w:t>
      </w:r>
    </w:p>
    <w:p w14:paraId="75041584">
      <w:pPr>
        <w:pStyle w:val="39"/>
        <w:ind w:firstLine="480"/>
        <w:rPr>
          <w:rFonts w:hint="eastAsia"/>
          <w:color w:val="auto"/>
        </w:rPr>
      </w:pPr>
      <w:r>
        <w:rPr>
          <w:rFonts w:hint="eastAsia"/>
          <w:color w:val="auto"/>
        </w:rPr>
        <w:t>3“</w:t>
      </w:r>
      <w:r>
        <w:rPr>
          <w:rFonts w:hint="eastAsia"/>
          <w:color w:val="auto"/>
          <w:lang w:eastAsia="zh-CN"/>
        </w:rPr>
        <w:t>甲方</w:t>
      </w:r>
      <w:r>
        <w:rPr>
          <w:rFonts w:hint="eastAsia"/>
          <w:color w:val="auto"/>
        </w:rPr>
        <w:t>”系指与成交人签属供货合同的单位（含最终用户）。</w:t>
      </w:r>
    </w:p>
    <w:p w14:paraId="3571F158">
      <w:pPr>
        <w:pStyle w:val="39"/>
        <w:ind w:firstLine="480"/>
        <w:rPr>
          <w:rFonts w:hint="eastAsia"/>
          <w:color w:val="auto"/>
        </w:rPr>
      </w:pPr>
      <w:r>
        <w:rPr>
          <w:rFonts w:hint="eastAsia"/>
          <w:color w:val="auto"/>
        </w:rPr>
        <w:t>4“</w:t>
      </w:r>
      <w:r>
        <w:rPr>
          <w:rFonts w:hint="eastAsia"/>
          <w:color w:val="auto"/>
          <w:lang w:eastAsia="zh-CN"/>
        </w:rPr>
        <w:t>乙方</w:t>
      </w:r>
      <w:r>
        <w:rPr>
          <w:rFonts w:hint="eastAsia"/>
          <w:color w:val="auto"/>
        </w:rPr>
        <w:t>”系指根据合同约定提供货物及相关服务的中标人。</w:t>
      </w:r>
    </w:p>
    <w:p w14:paraId="159EFE9D">
      <w:pPr>
        <w:pStyle w:val="39"/>
        <w:ind w:firstLine="480"/>
        <w:rPr>
          <w:rFonts w:hint="eastAsia"/>
          <w:color w:val="auto"/>
        </w:rPr>
      </w:pPr>
      <w:r>
        <w:rPr>
          <w:rFonts w:hint="eastAsia"/>
          <w:color w:val="auto"/>
        </w:rPr>
        <w:t>5“双方”系指</w:t>
      </w:r>
      <w:r>
        <w:rPr>
          <w:rFonts w:hint="eastAsia"/>
          <w:color w:val="auto"/>
          <w:lang w:eastAsia="zh-CN"/>
        </w:rPr>
        <w:t>甲方</w:t>
      </w:r>
      <w:r>
        <w:rPr>
          <w:rFonts w:hint="eastAsia"/>
          <w:color w:val="auto"/>
        </w:rPr>
        <w:t>和</w:t>
      </w:r>
      <w:r>
        <w:rPr>
          <w:rFonts w:hint="eastAsia"/>
          <w:color w:val="auto"/>
          <w:lang w:eastAsia="zh-CN"/>
        </w:rPr>
        <w:t>乙方</w:t>
      </w:r>
      <w:r>
        <w:rPr>
          <w:rFonts w:hint="eastAsia"/>
          <w:color w:val="auto"/>
        </w:rPr>
        <w:t>。</w:t>
      </w:r>
    </w:p>
    <w:p w14:paraId="540E59E2">
      <w:pPr>
        <w:pStyle w:val="39"/>
        <w:ind w:firstLine="480"/>
        <w:rPr>
          <w:rFonts w:hint="eastAsia"/>
          <w:color w:val="auto"/>
        </w:rPr>
      </w:pPr>
      <w:r>
        <w:rPr>
          <w:rFonts w:hint="eastAsia"/>
          <w:color w:val="auto"/>
        </w:rPr>
        <w:t>6“不可抗力”系指合同条款第十五条赋予的含义。</w:t>
      </w:r>
    </w:p>
    <w:p w14:paraId="78352168">
      <w:pPr>
        <w:pStyle w:val="39"/>
        <w:ind w:firstLine="480"/>
        <w:rPr>
          <w:rFonts w:hint="eastAsia"/>
          <w:color w:val="auto"/>
        </w:rPr>
      </w:pPr>
      <w:r>
        <w:rPr>
          <w:rFonts w:hint="eastAsia"/>
          <w:color w:val="auto"/>
        </w:rPr>
        <w:t>7“天”、“日”系指公历日。</w:t>
      </w:r>
    </w:p>
    <w:p w14:paraId="6F2C7580">
      <w:pPr>
        <w:pStyle w:val="39"/>
        <w:ind w:firstLine="480"/>
        <w:rPr>
          <w:rFonts w:hint="eastAsia"/>
          <w:color w:val="auto"/>
        </w:rPr>
      </w:pPr>
      <w:r>
        <w:rPr>
          <w:rFonts w:hint="eastAsia"/>
          <w:color w:val="auto"/>
        </w:rPr>
        <w:t>8“周”系指7个公历日</w:t>
      </w:r>
    </w:p>
    <w:p w14:paraId="6E801DB7">
      <w:pPr>
        <w:pStyle w:val="39"/>
        <w:ind w:firstLine="480"/>
        <w:rPr>
          <w:rFonts w:hint="eastAsia"/>
          <w:color w:val="auto"/>
        </w:rPr>
      </w:pPr>
      <w:r>
        <w:rPr>
          <w:rFonts w:hint="eastAsia"/>
          <w:color w:val="auto"/>
        </w:rPr>
        <w:t>二、付款方式</w:t>
      </w:r>
    </w:p>
    <w:p w14:paraId="013643AB">
      <w:pPr>
        <w:pStyle w:val="48"/>
        <w:numPr>
          <w:ilvl w:val="0"/>
          <w:numId w:val="92"/>
        </w:numPr>
        <w:bidi w:val="0"/>
        <w:rPr>
          <w:rFonts w:hint="eastAsia"/>
        </w:rPr>
      </w:pPr>
      <w:r>
        <w:rPr>
          <w:rFonts w:hint="eastAsia"/>
        </w:rPr>
        <w:t>合同签订后，采购人在收到成交供应商票据并确认无误后向成交供应商支付合同总额的</w:t>
      </w:r>
      <w:r>
        <w:rPr>
          <w:rFonts w:hint="eastAsia"/>
          <w:lang w:val="en-US" w:eastAsia="zh-CN"/>
        </w:rPr>
        <w:t>50</w:t>
      </w:r>
      <w:r>
        <w:rPr>
          <w:rFonts w:hint="eastAsia"/>
        </w:rPr>
        <w:t>%；</w:t>
      </w:r>
    </w:p>
    <w:p w14:paraId="301CAA85">
      <w:pPr>
        <w:pStyle w:val="48"/>
        <w:numPr>
          <w:ilvl w:val="0"/>
          <w:numId w:val="92"/>
        </w:numPr>
        <w:bidi w:val="0"/>
        <w:rPr>
          <w:rFonts w:hint="eastAsia"/>
        </w:rPr>
      </w:pPr>
      <w:r>
        <w:rPr>
          <w:rFonts w:hint="eastAsia"/>
        </w:rPr>
        <w:t>完成监理规划和监理规范的编制，并通过采购人审核确认，采购人在收到成交供应商票据并确认无误后向成交供应商支付合同总额的20%；</w:t>
      </w:r>
    </w:p>
    <w:p w14:paraId="4664A4CB">
      <w:pPr>
        <w:pStyle w:val="48"/>
        <w:numPr>
          <w:ilvl w:val="0"/>
          <w:numId w:val="92"/>
        </w:numPr>
        <w:bidi w:val="0"/>
        <w:rPr>
          <w:rFonts w:hint="eastAsia"/>
        </w:rPr>
      </w:pPr>
      <w:r>
        <w:rPr>
          <w:rFonts w:hint="eastAsia"/>
        </w:rPr>
        <w:t>所监理的建设项目全部初验通过后，采购人在收到成交供应商票据并确认无误后向成交供应商支付合同总额的</w:t>
      </w:r>
      <w:r>
        <w:rPr>
          <w:rFonts w:hint="eastAsia"/>
          <w:lang w:val="en-US" w:eastAsia="zh-CN"/>
        </w:rPr>
        <w:t>2</w:t>
      </w:r>
      <w:r>
        <w:rPr>
          <w:rFonts w:hint="eastAsia"/>
        </w:rPr>
        <w:t>5%；</w:t>
      </w:r>
    </w:p>
    <w:p w14:paraId="1C51C744">
      <w:pPr>
        <w:pStyle w:val="48"/>
        <w:numPr>
          <w:ilvl w:val="0"/>
          <w:numId w:val="92"/>
        </w:numPr>
        <w:bidi w:val="0"/>
        <w:rPr>
          <w:rFonts w:hint="eastAsia"/>
        </w:rPr>
      </w:pPr>
      <w:r>
        <w:rPr>
          <w:rFonts w:hint="eastAsia"/>
        </w:rPr>
        <w:t>监理范围内所有项目验收通过后，采购人在收到成交供应商票据并确认无误后向成交供应商支付合同总额的5%。</w:t>
      </w:r>
    </w:p>
    <w:p w14:paraId="6443BC7F">
      <w:pPr>
        <w:pStyle w:val="39"/>
        <w:ind w:firstLine="480"/>
        <w:rPr>
          <w:rFonts w:hint="eastAsia"/>
          <w:color w:val="auto"/>
        </w:rPr>
      </w:pPr>
      <w:r>
        <w:rPr>
          <w:rFonts w:hint="eastAsia"/>
          <w:color w:val="auto"/>
        </w:rPr>
        <w:t>三、服务时间、地点</w:t>
      </w:r>
    </w:p>
    <w:p w14:paraId="7C788C00">
      <w:pPr>
        <w:pStyle w:val="39"/>
        <w:ind w:firstLine="480"/>
        <w:rPr>
          <w:rFonts w:hint="eastAsia"/>
          <w:color w:val="auto"/>
        </w:rPr>
      </w:pPr>
      <w:r>
        <w:rPr>
          <w:rFonts w:hint="eastAsia"/>
          <w:color w:val="auto"/>
        </w:rPr>
        <w:t>服务时间：</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日前；</w:t>
      </w:r>
    </w:p>
    <w:p w14:paraId="7A481EDB">
      <w:pPr>
        <w:pStyle w:val="39"/>
        <w:ind w:firstLine="480"/>
        <w:rPr>
          <w:rFonts w:hint="eastAsia"/>
          <w:color w:val="auto"/>
        </w:rPr>
      </w:pPr>
      <w:r>
        <w:rPr>
          <w:rFonts w:hint="eastAsia"/>
          <w:color w:val="auto"/>
        </w:rPr>
        <w:t>服务地点：</w:t>
      </w:r>
      <w:r>
        <w:rPr>
          <w:rFonts w:hint="eastAsia"/>
          <w:color w:val="auto"/>
          <w:u w:val="single"/>
        </w:rPr>
        <w:t xml:space="preserve">                         </w:t>
      </w:r>
      <w:r>
        <w:rPr>
          <w:rFonts w:hint="eastAsia"/>
          <w:color w:val="auto"/>
        </w:rPr>
        <w:t>；</w:t>
      </w:r>
    </w:p>
    <w:p w14:paraId="0283A754">
      <w:pPr>
        <w:pStyle w:val="39"/>
        <w:ind w:firstLine="480"/>
        <w:rPr>
          <w:rFonts w:hint="eastAsia" w:eastAsia="宋体"/>
          <w:color w:val="auto"/>
          <w:lang w:val="en-US" w:eastAsia="zh-CN"/>
        </w:rPr>
      </w:pPr>
      <w:r>
        <w:rPr>
          <w:rFonts w:hint="eastAsia"/>
          <w:color w:val="auto"/>
        </w:rPr>
        <w:t>四、服务</w:t>
      </w:r>
      <w:r>
        <w:rPr>
          <w:rFonts w:hint="eastAsia"/>
          <w:color w:val="auto"/>
          <w:lang w:val="en-US" w:eastAsia="zh-CN"/>
        </w:rPr>
        <w:t>内容</w:t>
      </w:r>
    </w:p>
    <w:p w14:paraId="2C67F0AE">
      <w:pPr>
        <w:pStyle w:val="39"/>
        <w:ind w:firstLine="480"/>
        <w:rPr>
          <w:rFonts w:hint="eastAsia"/>
          <w:color w:val="auto"/>
        </w:rPr>
      </w:pPr>
      <w:r>
        <w:rPr>
          <w:rFonts w:hint="eastAsia"/>
          <w:color w:val="auto"/>
          <w:lang w:val="en-US" w:eastAsia="zh-CN"/>
        </w:rPr>
        <w:t>1、</w:t>
      </w:r>
      <w:r>
        <w:rPr>
          <w:rFonts w:hint="eastAsia"/>
          <w:color w:val="auto"/>
        </w:rPr>
        <w:t>协助建设单位完成合同条款的协助审核与修改工作</w:t>
      </w:r>
    </w:p>
    <w:p w14:paraId="07577794">
      <w:pPr>
        <w:pStyle w:val="39"/>
        <w:ind w:firstLine="480"/>
        <w:rPr>
          <w:rFonts w:hint="eastAsia"/>
          <w:color w:val="auto"/>
        </w:rPr>
      </w:pPr>
      <w:r>
        <w:rPr>
          <w:rFonts w:hint="eastAsia"/>
          <w:color w:val="auto"/>
        </w:rPr>
        <w:t>监理单位进场后，根据建设单位的要求,参与建设单位与承建单位合同的讨论，协助建设单位完成项目合同的编写工作，提出监理修改建议。</w:t>
      </w:r>
    </w:p>
    <w:p w14:paraId="42B384D3">
      <w:pPr>
        <w:pStyle w:val="39"/>
        <w:rPr>
          <w:rFonts w:hint="eastAsia"/>
          <w:color w:val="auto"/>
        </w:rPr>
      </w:pPr>
      <w:r>
        <w:rPr>
          <w:rFonts w:hint="eastAsia"/>
          <w:color w:val="auto"/>
          <w:lang w:val="en-US" w:eastAsia="zh-CN"/>
        </w:rPr>
        <w:t>2、</w:t>
      </w:r>
      <w:r>
        <w:rPr>
          <w:rFonts w:hint="eastAsia"/>
          <w:color w:val="auto"/>
        </w:rPr>
        <w:t>全程参与项目日常监理工作</w:t>
      </w:r>
    </w:p>
    <w:p w14:paraId="7C6EA745">
      <w:pPr>
        <w:pStyle w:val="39"/>
        <w:ind w:firstLine="480"/>
        <w:rPr>
          <w:rFonts w:hint="eastAsia"/>
          <w:color w:val="auto"/>
        </w:rPr>
      </w:pPr>
      <w:r>
        <w:rPr>
          <w:rFonts w:hint="eastAsia"/>
          <w:color w:val="auto"/>
        </w:rPr>
        <w:t>根据“三控、两管、一协调”的原则，开展相关项目的监理工作。</w:t>
      </w:r>
    </w:p>
    <w:p w14:paraId="19DA5D52">
      <w:pPr>
        <w:pStyle w:val="39"/>
        <w:ind w:firstLine="480"/>
        <w:rPr>
          <w:rFonts w:hint="eastAsia"/>
          <w:color w:val="auto"/>
        </w:rPr>
      </w:pPr>
      <w:r>
        <w:rPr>
          <w:rFonts w:hint="eastAsia"/>
          <w:color w:val="auto"/>
        </w:rPr>
        <w:t>2.1 质量控制</w:t>
      </w:r>
    </w:p>
    <w:p w14:paraId="50387EF7">
      <w:pPr>
        <w:pStyle w:val="39"/>
        <w:ind w:firstLine="480"/>
        <w:rPr>
          <w:rFonts w:hint="eastAsia"/>
          <w:color w:val="auto"/>
        </w:rPr>
      </w:pPr>
      <w:r>
        <w:rPr>
          <w:rFonts w:hint="eastAsia"/>
          <w:color w:val="auto"/>
        </w:rPr>
        <w:t>监理部按照监理大纲的质量控制点，在各阶段实施时，要求承建单位作出组织和技术保障措施，经监理审查，用户单位审定后执行，必要时召集相关技术人员对项目进行技术评审。</w:t>
      </w:r>
    </w:p>
    <w:p w14:paraId="79555734">
      <w:pPr>
        <w:pStyle w:val="39"/>
        <w:ind w:firstLine="480"/>
        <w:rPr>
          <w:rFonts w:hint="eastAsia"/>
          <w:color w:val="auto"/>
        </w:rPr>
      </w:pPr>
      <w:r>
        <w:rPr>
          <w:rFonts w:hint="eastAsia"/>
          <w:color w:val="auto"/>
        </w:rPr>
        <w:t>（1）需求阶段</w:t>
      </w:r>
    </w:p>
    <w:p w14:paraId="6F6D832B">
      <w:pPr>
        <w:pStyle w:val="39"/>
        <w:ind w:firstLine="480"/>
        <w:rPr>
          <w:rFonts w:hint="eastAsia"/>
          <w:color w:val="auto"/>
        </w:rPr>
      </w:pPr>
      <w:r>
        <w:rPr>
          <w:rFonts w:hint="eastAsia"/>
          <w:color w:val="auto"/>
        </w:rPr>
        <w:t>在项目前期，参与项目需求的讨论，从而保证了解各业务部门的详细需求，并就有关需求组织评审和确认工作。</w:t>
      </w:r>
    </w:p>
    <w:p w14:paraId="5C665670">
      <w:pPr>
        <w:pStyle w:val="39"/>
        <w:ind w:firstLine="480"/>
        <w:rPr>
          <w:rFonts w:hint="eastAsia"/>
          <w:color w:val="auto"/>
        </w:rPr>
      </w:pPr>
      <w:r>
        <w:rPr>
          <w:rFonts w:hint="eastAsia"/>
          <w:color w:val="auto"/>
        </w:rPr>
        <w:t>包括但不限于审核和确认承建单位的项目实施方案、项目计划和人员组成；审核和确认承建单位的项目质量保证计划、质量控制体系（含质量控制的关键性节点）、培训计划等。</w:t>
      </w:r>
    </w:p>
    <w:p w14:paraId="5483A3D9">
      <w:pPr>
        <w:pStyle w:val="39"/>
        <w:ind w:firstLine="480"/>
        <w:rPr>
          <w:rFonts w:hint="eastAsia"/>
          <w:color w:val="auto"/>
        </w:rPr>
      </w:pPr>
      <w:r>
        <w:rPr>
          <w:rFonts w:hint="eastAsia"/>
          <w:color w:val="auto"/>
        </w:rPr>
        <w:t>（2）设计开发阶段</w:t>
      </w:r>
    </w:p>
    <w:p w14:paraId="48363DCD">
      <w:pPr>
        <w:pStyle w:val="39"/>
        <w:ind w:firstLine="480"/>
        <w:rPr>
          <w:rFonts w:hint="eastAsia"/>
          <w:color w:val="auto"/>
        </w:rPr>
      </w:pPr>
      <w:r>
        <w:rPr>
          <w:rFonts w:hint="eastAsia"/>
          <w:color w:val="auto"/>
        </w:rPr>
        <w:t>在项目设计开发过程中，协助用户方详细审核承建单位提出的实施的技术方案、开发路线、设计文档，督促审核承建单位开发过程中是否按标准规范执行等。</w:t>
      </w:r>
    </w:p>
    <w:p w14:paraId="3D1B719B">
      <w:pPr>
        <w:pStyle w:val="39"/>
        <w:ind w:firstLine="480"/>
        <w:rPr>
          <w:rFonts w:hint="eastAsia"/>
          <w:color w:val="auto"/>
        </w:rPr>
      </w:pPr>
      <w:r>
        <w:rPr>
          <w:rFonts w:hint="eastAsia"/>
          <w:color w:val="auto"/>
        </w:rPr>
        <w:t>（3）实施阶段</w:t>
      </w:r>
    </w:p>
    <w:p w14:paraId="185F8EDB">
      <w:pPr>
        <w:pStyle w:val="39"/>
        <w:ind w:firstLine="480"/>
        <w:rPr>
          <w:rFonts w:hint="eastAsia"/>
          <w:color w:val="auto"/>
        </w:rPr>
      </w:pPr>
      <w:r>
        <w:rPr>
          <w:rFonts w:hint="eastAsia"/>
          <w:color w:val="auto"/>
        </w:rPr>
        <w:t>在软件系统实施过程中，要求承建单位在交付实施版本前对系统进行全面测试，并参与系统测试，确保项目稳定有效的实施。</w:t>
      </w:r>
    </w:p>
    <w:p w14:paraId="5DD7CFB1">
      <w:pPr>
        <w:pStyle w:val="39"/>
        <w:ind w:firstLine="480"/>
        <w:rPr>
          <w:rFonts w:hint="eastAsia"/>
          <w:color w:val="auto"/>
        </w:rPr>
      </w:pPr>
      <w:r>
        <w:rPr>
          <w:rFonts w:hint="eastAsia"/>
          <w:color w:val="auto"/>
        </w:rPr>
        <w:t>在设备采购实施过程中，监理单位现场验收相关采购设备，根据投标文件和采购合同要求核对设备型号、数量、随机配件和文档及售后服务。在实地的上架加电工作进行了严格的监督，在加电测试后要求承建单位，向监理单位和建设单位提交相应的测试方案和自测报告，监理单位根据承建单位测试方案和测试报告，对设备进行严格的监测。</w:t>
      </w:r>
    </w:p>
    <w:p w14:paraId="234CE9B0">
      <w:pPr>
        <w:pStyle w:val="39"/>
        <w:ind w:firstLine="480"/>
        <w:rPr>
          <w:rFonts w:hint="eastAsia"/>
          <w:color w:val="auto"/>
        </w:rPr>
      </w:pPr>
      <w:r>
        <w:rPr>
          <w:rFonts w:hint="eastAsia"/>
          <w:color w:val="auto"/>
        </w:rPr>
        <w:t>审核和确认项目实施过程中的各种关键技术方案。</w:t>
      </w:r>
    </w:p>
    <w:p w14:paraId="1A9D1239">
      <w:pPr>
        <w:pStyle w:val="39"/>
        <w:ind w:firstLine="480"/>
        <w:rPr>
          <w:rFonts w:hint="eastAsia"/>
          <w:color w:val="auto"/>
        </w:rPr>
      </w:pPr>
      <w:r>
        <w:rPr>
          <w:rFonts w:hint="eastAsia"/>
          <w:color w:val="auto"/>
        </w:rPr>
        <w:t>（4）试运行阶段</w:t>
      </w:r>
    </w:p>
    <w:p w14:paraId="003039C9">
      <w:pPr>
        <w:pStyle w:val="39"/>
        <w:ind w:firstLine="480"/>
        <w:rPr>
          <w:rFonts w:hint="eastAsia"/>
          <w:color w:val="auto"/>
        </w:rPr>
      </w:pPr>
      <w:r>
        <w:rPr>
          <w:rFonts w:hint="eastAsia"/>
          <w:color w:val="auto"/>
        </w:rPr>
        <w:t>对试运行存在问题的修改情况进行跟进，组织相关人员对试运行期间修改完成的问题进行测试。</w:t>
      </w:r>
    </w:p>
    <w:p w14:paraId="28A8D437">
      <w:pPr>
        <w:pStyle w:val="39"/>
        <w:ind w:firstLine="480"/>
        <w:rPr>
          <w:rFonts w:hint="eastAsia"/>
          <w:color w:val="auto"/>
        </w:rPr>
      </w:pPr>
      <w:r>
        <w:rPr>
          <w:rFonts w:hint="eastAsia"/>
          <w:color w:val="auto"/>
        </w:rPr>
        <w:t>（5）培训阶段</w:t>
      </w:r>
    </w:p>
    <w:p w14:paraId="549F20BC">
      <w:pPr>
        <w:pStyle w:val="39"/>
        <w:ind w:firstLine="480"/>
        <w:rPr>
          <w:rFonts w:hint="eastAsia"/>
          <w:color w:val="auto"/>
        </w:rPr>
      </w:pPr>
      <w:r>
        <w:rPr>
          <w:rFonts w:hint="eastAsia"/>
          <w:color w:val="auto"/>
        </w:rPr>
        <w:t>督促承建单位按照合同规定，向建设单位提供相关的培训服务，并要求承建单位提供培训教程。审核培训教程的规范性，要求承建单位在培训方案中明确培训时间、培训质量、培训地点、培训人数，了解培训情况。</w:t>
      </w:r>
    </w:p>
    <w:p w14:paraId="128C0726">
      <w:pPr>
        <w:pStyle w:val="39"/>
        <w:ind w:firstLine="480"/>
        <w:rPr>
          <w:rFonts w:hint="eastAsia"/>
          <w:color w:val="auto"/>
        </w:rPr>
      </w:pPr>
      <w:r>
        <w:rPr>
          <w:rFonts w:hint="eastAsia"/>
          <w:color w:val="auto"/>
        </w:rPr>
        <w:t>（6）验收准备阶段</w:t>
      </w:r>
    </w:p>
    <w:p w14:paraId="14A82B1D">
      <w:pPr>
        <w:pStyle w:val="39"/>
        <w:ind w:firstLine="480"/>
        <w:rPr>
          <w:rFonts w:hint="eastAsia"/>
          <w:color w:val="auto"/>
        </w:rPr>
      </w:pPr>
      <w:r>
        <w:rPr>
          <w:rFonts w:hint="eastAsia"/>
          <w:color w:val="auto"/>
        </w:rPr>
        <w:t>审核承建单位提供的设备是否符合合同约定的各项要求；技术文档和工程管理资料是否完备；审核试运行期间所提问题的修改情况，对承建单位的实施质量、合同变更、索赔等事宜进行审核确认，并协助用户做好项目验收工作。</w:t>
      </w:r>
    </w:p>
    <w:p w14:paraId="2BCC37C1">
      <w:pPr>
        <w:pStyle w:val="39"/>
        <w:ind w:firstLine="480"/>
        <w:rPr>
          <w:rFonts w:hint="eastAsia"/>
          <w:color w:val="auto"/>
        </w:rPr>
      </w:pPr>
      <w:r>
        <w:rPr>
          <w:rFonts w:hint="eastAsia"/>
          <w:color w:val="auto"/>
        </w:rPr>
        <w:t>2.2 进度控制</w:t>
      </w:r>
    </w:p>
    <w:p w14:paraId="7B71F045">
      <w:pPr>
        <w:pStyle w:val="39"/>
        <w:ind w:firstLine="480"/>
        <w:rPr>
          <w:rFonts w:hint="eastAsia"/>
          <w:color w:val="auto"/>
        </w:rPr>
      </w:pPr>
      <w:r>
        <w:rPr>
          <w:rFonts w:hint="eastAsia"/>
          <w:color w:val="auto"/>
        </w:rPr>
        <w:t>在整个项目实施过程中，依据合同工期要求，督促和审核承建单位提交的工程进度计划。</w:t>
      </w:r>
    </w:p>
    <w:p w14:paraId="6D218E62">
      <w:pPr>
        <w:pStyle w:val="39"/>
        <w:ind w:firstLine="480"/>
        <w:rPr>
          <w:rFonts w:hint="eastAsia"/>
          <w:color w:val="auto"/>
        </w:rPr>
      </w:pPr>
      <w:r>
        <w:rPr>
          <w:rFonts w:hint="eastAsia"/>
          <w:color w:val="auto"/>
        </w:rPr>
        <w:t>在项目一开始，建立详细的监理制度。定时对承建方的进度进行检查，审核承建单位提交的工程进度报告，检查计划进度与实际进度的差异，进行工程施工的动态管理、进度分析和调整，并不定期向建设方报告有关工程项目进度情况。当工期目标严重偏离时，及时指出，并提出对策建议，同时督促承建单位尽快采取措施。</w:t>
      </w:r>
    </w:p>
    <w:p w14:paraId="05F85409">
      <w:pPr>
        <w:pStyle w:val="39"/>
        <w:ind w:firstLine="480"/>
        <w:rPr>
          <w:rFonts w:hint="eastAsia"/>
          <w:color w:val="auto"/>
        </w:rPr>
      </w:pPr>
      <w:r>
        <w:rPr>
          <w:rFonts w:hint="eastAsia"/>
          <w:color w:val="auto"/>
        </w:rPr>
        <w:t>在项目验收准备阶段对合同工期的延误和延期进行审核确认</w:t>
      </w:r>
    </w:p>
    <w:p w14:paraId="391E362A">
      <w:pPr>
        <w:pStyle w:val="39"/>
        <w:ind w:firstLine="480"/>
        <w:rPr>
          <w:rFonts w:hint="eastAsia"/>
          <w:color w:val="auto"/>
        </w:rPr>
      </w:pPr>
      <w:r>
        <w:rPr>
          <w:rFonts w:hint="eastAsia"/>
          <w:color w:val="auto"/>
        </w:rPr>
        <w:t>2.3 成本控制</w:t>
      </w:r>
    </w:p>
    <w:p w14:paraId="1F1110AB">
      <w:pPr>
        <w:pStyle w:val="39"/>
        <w:ind w:firstLine="480"/>
        <w:rPr>
          <w:rFonts w:hint="eastAsia"/>
          <w:color w:val="auto"/>
        </w:rPr>
      </w:pPr>
      <w:r>
        <w:rPr>
          <w:rFonts w:hint="eastAsia"/>
          <w:color w:val="auto"/>
        </w:rPr>
        <w:t>在合同款支付前，核实工程量，审核承建单位提交的付款申请，核定应支付的进度款，对项目成本进行控制。</w:t>
      </w:r>
    </w:p>
    <w:p w14:paraId="3CF58E14">
      <w:pPr>
        <w:pStyle w:val="39"/>
        <w:ind w:firstLine="480"/>
        <w:rPr>
          <w:rFonts w:hint="eastAsia"/>
          <w:color w:val="auto"/>
        </w:rPr>
      </w:pPr>
      <w:r>
        <w:rPr>
          <w:rFonts w:hint="eastAsia"/>
          <w:color w:val="auto"/>
        </w:rPr>
        <w:t>2.4 文档管理</w:t>
      </w:r>
    </w:p>
    <w:p w14:paraId="5B253C69">
      <w:pPr>
        <w:pStyle w:val="39"/>
        <w:ind w:firstLine="480"/>
        <w:rPr>
          <w:rFonts w:hint="eastAsia"/>
          <w:color w:val="auto"/>
        </w:rPr>
      </w:pPr>
      <w:r>
        <w:rPr>
          <w:rFonts w:hint="eastAsia"/>
          <w:color w:val="auto"/>
        </w:rPr>
        <w:t>在本项目建设过程中，项目文档管理贯穿整个工程实施的各个阶段。例如编写项目各种会议纪要、做好合同批复等各类往来文件的批复和存档、管理好实施期间的各类技术文档、结合相关规范对承建单位提交的过程文档进行审核。并在项目验收后协助对项目文件进行移交。</w:t>
      </w:r>
    </w:p>
    <w:p w14:paraId="3BE12B5E">
      <w:pPr>
        <w:pStyle w:val="39"/>
        <w:ind w:firstLine="480"/>
        <w:rPr>
          <w:rFonts w:hint="eastAsia"/>
          <w:color w:val="auto"/>
        </w:rPr>
      </w:pPr>
      <w:r>
        <w:rPr>
          <w:rFonts w:hint="eastAsia"/>
          <w:color w:val="auto"/>
        </w:rPr>
        <w:t>2.5 安全管理</w:t>
      </w:r>
    </w:p>
    <w:p w14:paraId="3BA0D418">
      <w:pPr>
        <w:pStyle w:val="39"/>
        <w:ind w:firstLine="480"/>
        <w:rPr>
          <w:rFonts w:hint="eastAsia"/>
          <w:color w:val="auto"/>
        </w:rPr>
      </w:pPr>
      <w:r>
        <w:rPr>
          <w:rFonts w:hint="eastAsia"/>
          <w:color w:val="auto"/>
        </w:rPr>
        <w:t>负责项目建设过程中所涉及的政府机密数据和资料的保护，保证不被非授权使用。负责项目建设施工过程中安全控制，确保不出现安全事故。</w:t>
      </w:r>
    </w:p>
    <w:p w14:paraId="680ECCA8">
      <w:pPr>
        <w:pStyle w:val="39"/>
        <w:ind w:firstLine="480"/>
        <w:rPr>
          <w:rFonts w:hint="eastAsia"/>
          <w:color w:val="auto"/>
        </w:rPr>
      </w:pPr>
      <w:r>
        <w:rPr>
          <w:rFonts w:hint="eastAsia"/>
          <w:color w:val="auto"/>
        </w:rPr>
        <w:t>2.6 组织协调</w:t>
      </w:r>
    </w:p>
    <w:p w14:paraId="7B91CA72">
      <w:pPr>
        <w:pStyle w:val="39"/>
        <w:ind w:firstLine="480"/>
        <w:rPr>
          <w:rFonts w:hint="eastAsia"/>
          <w:color w:val="auto"/>
        </w:rPr>
      </w:pPr>
      <w:r>
        <w:rPr>
          <w:rFonts w:hint="eastAsia"/>
          <w:color w:val="auto"/>
        </w:rPr>
        <w:t>在项目实施过程中，项目协调工作的原则是：诚信、公正、科学、公平。组织协调工作将贯穿于项目建设的全过程，包括了对工程进度控制、工程质量控制、信息管理等方面的组织协调工作。本项目主要的组织协调方式为会议、协商和沟通。</w:t>
      </w:r>
    </w:p>
    <w:p w14:paraId="3834647F">
      <w:pPr>
        <w:pStyle w:val="39"/>
        <w:ind w:firstLine="480"/>
        <w:rPr>
          <w:rFonts w:hint="eastAsia"/>
          <w:color w:val="auto"/>
        </w:rPr>
      </w:pPr>
      <w:r>
        <w:rPr>
          <w:rFonts w:hint="eastAsia"/>
          <w:color w:val="auto"/>
        </w:rPr>
        <w:t>五、监理服务准则</w:t>
      </w:r>
    </w:p>
    <w:p w14:paraId="285BB398">
      <w:pPr>
        <w:pStyle w:val="39"/>
        <w:ind w:firstLine="480"/>
        <w:rPr>
          <w:rFonts w:hint="eastAsia"/>
          <w:color w:val="auto"/>
        </w:rPr>
      </w:pPr>
      <w:r>
        <w:rPr>
          <w:rFonts w:hint="eastAsia"/>
          <w:color w:val="auto"/>
        </w:rPr>
        <w:t>遵照国家信息产业部《信息系统项目监理暂行规定》的有关规定，以“守法、诚信、公正、科学”的准则执业，维护建设方与承建方的合法权益。具体应做到：</w:t>
      </w:r>
    </w:p>
    <w:p w14:paraId="6E71FA48">
      <w:pPr>
        <w:pStyle w:val="39"/>
        <w:ind w:firstLine="480"/>
        <w:rPr>
          <w:rFonts w:hint="eastAsia"/>
          <w:color w:val="auto"/>
        </w:rPr>
      </w:pPr>
      <w:r>
        <w:rPr>
          <w:rFonts w:hint="eastAsia"/>
          <w:color w:val="auto"/>
        </w:rPr>
        <w:t>（1）执行有关项目建设的法律、法规、规范、标准和制度，履行监理合同规定的义务和职责。</w:t>
      </w:r>
    </w:p>
    <w:p w14:paraId="68E1EEE1">
      <w:pPr>
        <w:pStyle w:val="39"/>
        <w:ind w:firstLine="480"/>
        <w:rPr>
          <w:rFonts w:hint="eastAsia"/>
          <w:color w:val="auto"/>
        </w:rPr>
      </w:pPr>
      <w:r>
        <w:rPr>
          <w:rFonts w:hint="eastAsia"/>
          <w:color w:val="auto"/>
        </w:rPr>
        <w:t>（2）不收受被监理单位的任何礼金。</w:t>
      </w:r>
    </w:p>
    <w:p w14:paraId="522F38D4">
      <w:pPr>
        <w:pStyle w:val="39"/>
        <w:ind w:firstLine="480"/>
        <w:rPr>
          <w:rFonts w:hint="eastAsia"/>
          <w:color w:val="auto"/>
        </w:rPr>
      </w:pPr>
      <w:r>
        <w:rPr>
          <w:rFonts w:hint="eastAsia"/>
          <w:color w:val="auto"/>
        </w:rPr>
        <w:t>（3）不泄漏所监理项目各方认为需要保密的事项。</w:t>
      </w:r>
    </w:p>
    <w:p w14:paraId="068252F5">
      <w:pPr>
        <w:pStyle w:val="39"/>
        <w:ind w:firstLine="480"/>
        <w:rPr>
          <w:rFonts w:hint="eastAsia"/>
          <w:color w:val="auto"/>
        </w:rPr>
      </w:pPr>
      <w:r>
        <w:rPr>
          <w:rFonts w:hint="eastAsia"/>
          <w:color w:val="auto"/>
        </w:rPr>
        <w:t>（4）遵守国家的法律和政府的有关条例、规定和办法等。</w:t>
      </w:r>
    </w:p>
    <w:p w14:paraId="5E8C48CB">
      <w:pPr>
        <w:pStyle w:val="39"/>
        <w:ind w:firstLine="480"/>
        <w:rPr>
          <w:rFonts w:hint="eastAsia"/>
          <w:color w:val="auto"/>
        </w:rPr>
      </w:pPr>
      <w:r>
        <w:rPr>
          <w:rFonts w:hint="eastAsia"/>
          <w:color w:val="auto"/>
        </w:rPr>
        <w:t>（5）坚持公正的立场，独立、公正地处理有关各方的争议。</w:t>
      </w:r>
    </w:p>
    <w:p w14:paraId="69553827">
      <w:pPr>
        <w:pStyle w:val="39"/>
        <w:ind w:firstLine="480"/>
        <w:rPr>
          <w:rFonts w:hint="eastAsia"/>
          <w:color w:val="auto"/>
        </w:rPr>
      </w:pPr>
      <w:r>
        <w:rPr>
          <w:rFonts w:hint="eastAsia"/>
          <w:color w:val="auto"/>
        </w:rPr>
        <w:t>（6）坚持科学的态度和实事求是的原则。</w:t>
      </w:r>
    </w:p>
    <w:p w14:paraId="3AFAC62F">
      <w:pPr>
        <w:pStyle w:val="39"/>
        <w:ind w:firstLine="480"/>
        <w:rPr>
          <w:rFonts w:hint="eastAsia"/>
          <w:color w:val="auto"/>
        </w:rPr>
      </w:pPr>
      <w:r>
        <w:rPr>
          <w:rFonts w:hint="eastAsia"/>
          <w:color w:val="auto"/>
        </w:rPr>
        <w:t>（7）在坚持按监理合同的规定向甲方提供技术服务的同时，帮助被监理者完成起担负的建设任务。</w:t>
      </w:r>
    </w:p>
    <w:p w14:paraId="5B7D8F35">
      <w:pPr>
        <w:pStyle w:val="39"/>
        <w:ind w:firstLine="480"/>
        <w:rPr>
          <w:rFonts w:hint="eastAsia"/>
          <w:color w:val="auto"/>
        </w:rPr>
      </w:pPr>
      <w:r>
        <w:rPr>
          <w:rFonts w:hint="eastAsia"/>
          <w:color w:val="auto"/>
        </w:rPr>
        <w:t>（8）不泄漏所监理的项目需保密的事项。</w:t>
      </w:r>
    </w:p>
    <w:p w14:paraId="200B7D3A">
      <w:pPr>
        <w:pStyle w:val="39"/>
        <w:ind w:firstLine="480"/>
        <w:rPr>
          <w:rFonts w:hint="eastAsia"/>
          <w:color w:val="auto"/>
        </w:rPr>
      </w:pPr>
      <w:r>
        <w:rPr>
          <w:rFonts w:hint="eastAsia"/>
          <w:color w:val="auto"/>
        </w:rPr>
        <w:t>六、验收</w:t>
      </w:r>
    </w:p>
    <w:p w14:paraId="7EC775B5">
      <w:pPr>
        <w:pStyle w:val="39"/>
        <w:ind w:firstLine="480"/>
        <w:rPr>
          <w:rFonts w:hint="eastAsia"/>
          <w:color w:val="auto"/>
        </w:rPr>
      </w:pPr>
      <w:r>
        <w:rPr>
          <w:rFonts w:hint="eastAsia"/>
          <w:color w:val="auto"/>
        </w:rPr>
        <w:t>1</w:t>
      </w:r>
      <w:r>
        <w:rPr>
          <w:rFonts w:hint="eastAsia"/>
          <w:color w:val="auto"/>
          <w:lang w:eastAsia="zh-CN"/>
        </w:rPr>
        <w:t>、</w:t>
      </w:r>
      <w:r>
        <w:rPr>
          <w:rFonts w:hint="eastAsia"/>
          <w:color w:val="auto"/>
        </w:rPr>
        <w:t>验收由甲方负责实施；</w:t>
      </w:r>
    </w:p>
    <w:p w14:paraId="1E1E242F">
      <w:pPr>
        <w:pStyle w:val="39"/>
        <w:ind w:firstLine="480"/>
        <w:rPr>
          <w:rFonts w:hint="eastAsia"/>
          <w:color w:val="auto"/>
        </w:rPr>
      </w:pPr>
      <w:r>
        <w:rPr>
          <w:rFonts w:hint="eastAsia"/>
          <w:color w:val="auto"/>
        </w:rPr>
        <w:t>2</w:t>
      </w:r>
      <w:r>
        <w:rPr>
          <w:rFonts w:hint="eastAsia"/>
          <w:color w:val="auto"/>
          <w:lang w:eastAsia="zh-CN"/>
        </w:rPr>
        <w:t>、</w:t>
      </w:r>
      <w:r>
        <w:rPr>
          <w:rFonts w:hint="eastAsia"/>
          <w:color w:val="auto"/>
        </w:rPr>
        <w:t>验收依据：</w:t>
      </w:r>
    </w:p>
    <w:p w14:paraId="7D6167DF">
      <w:pPr>
        <w:pStyle w:val="39"/>
        <w:ind w:firstLine="480"/>
        <w:rPr>
          <w:rFonts w:hint="eastAsia"/>
          <w:color w:val="auto"/>
        </w:rPr>
      </w:pPr>
      <w:r>
        <w:rPr>
          <w:rFonts w:hint="eastAsia"/>
          <w:color w:val="auto"/>
        </w:rPr>
        <w:t>2.1合同、采购文件、响应文件；</w:t>
      </w:r>
    </w:p>
    <w:p w14:paraId="0F6A74D3">
      <w:pPr>
        <w:pStyle w:val="39"/>
        <w:ind w:firstLine="480"/>
        <w:rPr>
          <w:rFonts w:hint="eastAsia"/>
          <w:color w:val="auto"/>
        </w:rPr>
      </w:pPr>
      <w:r>
        <w:rPr>
          <w:rFonts w:hint="eastAsia"/>
          <w:color w:val="auto"/>
        </w:rPr>
        <w:t>2.2于</w:t>
      </w:r>
      <w:r>
        <w:rPr>
          <w:rFonts w:hint="eastAsia"/>
          <w:color w:val="auto"/>
          <w:lang w:val="en-US" w:eastAsia="zh-CN"/>
        </w:rPr>
        <w:t xml:space="preserve">     </w:t>
      </w:r>
      <w:r>
        <w:rPr>
          <w:rFonts w:hint="eastAsia"/>
          <w:color w:val="auto"/>
        </w:rPr>
        <w:t>年   月     日前，乙方向甲方提供与采购文件相符的结案报告供甲方验收，以合作内容的落实情况报告为主。</w:t>
      </w:r>
    </w:p>
    <w:p w14:paraId="6D5C3607">
      <w:pPr>
        <w:pStyle w:val="39"/>
        <w:ind w:firstLine="480"/>
        <w:rPr>
          <w:rFonts w:hint="eastAsia"/>
          <w:color w:val="auto"/>
        </w:rPr>
      </w:pPr>
      <w:r>
        <w:rPr>
          <w:rFonts w:hint="eastAsia"/>
          <w:color w:val="auto"/>
        </w:rPr>
        <w:t>3</w:t>
      </w:r>
      <w:r>
        <w:rPr>
          <w:rFonts w:hint="eastAsia"/>
          <w:color w:val="auto"/>
          <w:lang w:eastAsia="zh-CN"/>
        </w:rPr>
        <w:t>、</w:t>
      </w:r>
      <w:r>
        <w:rPr>
          <w:rFonts w:hint="eastAsia"/>
          <w:color w:val="auto"/>
        </w:rPr>
        <w:t>甲方于收到结案报告之日起7日内对乙方服务进行验收，针对乙方服务不符合本合同、采购文件、投标承诺要求的，每一项甲方有权从合同尾款中扣除。</w:t>
      </w:r>
    </w:p>
    <w:p w14:paraId="5CAF09CE">
      <w:pPr>
        <w:pStyle w:val="39"/>
        <w:ind w:firstLine="480"/>
        <w:rPr>
          <w:rFonts w:hint="eastAsia"/>
          <w:color w:val="auto"/>
        </w:rPr>
      </w:pPr>
      <w:r>
        <w:rPr>
          <w:rFonts w:hint="eastAsia"/>
          <w:color w:val="auto"/>
        </w:rPr>
        <w:t>4</w:t>
      </w:r>
      <w:r>
        <w:rPr>
          <w:rFonts w:hint="eastAsia"/>
          <w:color w:val="auto"/>
          <w:lang w:eastAsia="zh-CN"/>
        </w:rPr>
        <w:t>、</w:t>
      </w:r>
      <w:r>
        <w:rPr>
          <w:rFonts w:hint="eastAsia"/>
          <w:color w:val="auto"/>
        </w:rPr>
        <w:t>验收合格的条件：</w:t>
      </w:r>
    </w:p>
    <w:p w14:paraId="14641FE0">
      <w:pPr>
        <w:pStyle w:val="39"/>
        <w:ind w:firstLine="480"/>
        <w:rPr>
          <w:rFonts w:hint="eastAsia"/>
          <w:color w:val="auto"/>
        </w:rPr>
      </w:pPr>
      <w:r>
        <w:rPr>
          <w:rFonts w:hint="eastAsia"/>
          <w:color w:val="auto"/>
        </w:rPr>
        <w:t>4.1所供服务符合标准和及合同的要求；</w:t>
      </w:r>
    </w:p>
    <w:p w14:paraId="7D7C5FE2">
      <w:pPr>
        <w:pStyle w:val="39"/>
        <w:ind w:firstLine="480"/>
        <w:rPr>
          <w:rFonts w:hint="eastAsia"/>
          <w:color w:val="auto"/>
        </w:rPr>
      </w:pPr>
      <w:r>
        <w:rPr>
          <w:rFonts w:hint="eastAsia"/>
          <w:color w:val="auto"/>
        </w:rPr>
        <w:t>4.2在进行验收过程中发现的问题已被解决并得到甲方的认可；</w:t>
      </w:r>
    </w:p>
    <w:p w14:paraId="67144F39">
      <w:pPr>
        <w:pStyle w:val="39"/>
        <w:ind w:firstLine="480"/>
        <w:rPr>
          <w:rFonts w:hint="eastAsia"/>
          <w:color w:val="auto"/>
        </w:rPr>
      </w:pPr>
      <w:r>
        <w:rPr>
          <w:rFonts w:hint="eastAsia"/>
          <w:color w:val="auto"/>
        </w:rPr>
        <w:t>4.3合同中规定的所有服务和材料均已交付；</w:t>
      </w:r>
    </w:p>
    <w:p w14:paraId="403DB8C1">
      <w:pPr>
        <w:pStyle w:val="39"/>
        <w:ind w:firstLine="480"/>
        <w:rPr>
          <w:rFonts w:hint="eastAsia"/>
          <w:color w:val="auto"/>
        </w:rPr>
      </w:pPr>
      <w:r>
        <w:rPr>
          <w:rFonts w:hint="eastAsia"/>
          <w:color w:val="auto"/>
        </w:rPr>
        <w:t>4.4所有相关的技术文件及资料均已提交并得到接受。</w:t>
      </w:r>
    </w:p>
    <w:p w14:paraId="0B62BDC1">
      <w:pPr>
        <w:pStyle w:val="39"/>
        <w:ind w:firstLine="480"/>
        <w:rPr>
          <w:rFonts w:hint="eastAsia"/>
          <w:color w:val="auto"/>
        </w:rPr>
      </w:pPr>
      <w:r>
        <w:rPr>
          <w:rFonts w:hint="eastAsia"/>
          <w:color w:val="auto"/>
        </w:rPr>
        <w:t>七、技术规范</w:t>
      </w:r>
    </w:p>
    <w:p w14:paraId="5751BFB1">
      <w:pPr>
        <w:pStyle w:val="39"/>
        <w:ind w:firstLine="480"/>
        <w:rPr>
          <w:rFonts w:hint="eastAsia"/>
          <w:color w:val="auto"/>
        </w:rPr>
      </w:pPr>
      <w:r>
        <w:rPr>
          <w:rFonts w:hint="eastAsia"/>
          <w:color w:val="auto"/>
        </w:rPr>
        <w:t>1.本合同条款提供服务的技术规格应与本招标文件技术规格的标准相一致或高于此标准。若技术规格中无相应规定，则应符合相应的国家有关部门最新颁布的相应的正式标准。</w:t>
      </w:r>
    </w:p>
    <w:p w14:paraId="18350CAD">
      <w:pPr>
        <w:pStyle w:val="39"/>
        <w:ind w:firstLine="480"/>
        <w:rPr>
          <w:rFonts w:hint="eastAsia"/>
          <w:color w:val="auto"/>
        </w:rPr>
      </w:pPr>
      <w:r>
        <w:rPr>
          <w:rFonts w:hint="eastAsia"/>
          <w:color w:val="auto"/>
        </w:rPr>
        <w:t>2.乙方应向甲方提供有关标准的中文文本。</w:t>
      </w:r>
    </w:p>
    <w:p w14:paraId="007416B2">
      <w:pPr>
        <w:pStyle w:val="39"/>
        <w:ind w:firstLine="480"/>
        <w:rPr>
          <w:rFonts w:hint="eastAsia"/>
          <w:color w:val="auto"/>
        </w:rPr>
      </w:pPr>
      <w:r>
        <w:rPr>
          <w:rFonts w:hint="eastAsia"/>
          <w:color w:val="auto"/>
        </w:rPr>
        <w:t>3.除非技术规范中另有规定，计量单位均采用中华人民共和国法定计量单位。</w:t>
      </w:r>
    </w:p>
    <w:p w14:paraId="76F02BF4">
      <w:pPr>
        <w:pStyle w:val="39"/>
        <w:ind w:firstLine="480"/>
        <w:rPr>
          <w:rFonts w:hint="eastAsia"/>
          <w:color w:val="auto"/>
        </w:rPr>
      </w:pPr>
      <w:r>
        <w:rPr>
          <w:rFonts w:hint="eastAsia"/>
          <w:color w:val="auto"/>
        </w:rPr>
        <w:t>八、合同范围</w:t>
      </w:r>
    </w:p>
    <w:p w14:paraId="69394687">
      <w:pPr>
        <w:pStyle w:val="39"/>
        <w:ind w:firstLine="480"/>
        <w:rPr>
          <w:rFonts w:hint="eastAsia"/>
          <w:color w:val="auto"/>
        </w:rPr>
      </w:pPr>
      <w:r>
        <w:rPr>
          <w:rFonts w:hint="eastAsia"/>
          <w:color w:val="auto"/>
        </w:rPr>
        <w:t>1.甲方向乙方提供服务所需的信息、数据、环境以及其他的合理支持和便利条件。</w:t>
      </w:r>
    </w:p>
    <w:p w14:paraId="67956F62">
      <w:pPr>
        <w:pStyle w:val="39"/>
        <w:ind w:firstLine="480"/>
        <w:rPr>
          <w:rFonts w:hint="eastAsia"/>
          <w:color w:val="auto"/>
        </w:rPr>
      </w:pPr>
      <w:r>
        <w:rPr>
          <w:rFonts w:hint="eastAsia"/>
          <w:color w:val="auto"/>
        </w:rPr>
        <w:t>2.在乙方按照合同约定履行相应义务的前提下，甲方应按合同约定进行付款。</w:t>
      </w:r>
    </w:p>
    <w:p w14:paraId="7770D9EA">
      <w:pPr>
        <w:pStyle w:val="39"/>
        <w:ind w:firstLine="480"/>
        <w:rPr>
          <w:rFonts w:hint="eastAsia"/>
          <w:color w:val="auto"/>
        </w:rPr>
      </w:pPr>
      <w:r>
        <w:rPr>
          <w:rFonts w:hint="eastAsia"/>
          <w:color w:val="auto"/>
        </w:rPr>
        <w:t>3.如根据项目具体情况的变化，甲方需适当调整本项目有关需求或方案，应在知道情况变化之日起3天提出，逾期对需求或系统方案提出增加、删除和修改均视为变更合同，应由双方另行协商签署补充协议确定。</w:t>
      </w:r>
    </w:p>
    <w:p w14:paraId="41E2020F">
      <w:pPr>
        <w:pStyle w:val="39"/>
        <w:ind w:firstLine="480"/>
        <w:rPr>
          <w:rFonts w:hint="eastAsia"/>
          <w:color w:val="auto"/>
        </w:rPr>
      </w:pPr>
      <w:r>
        <w:rPr>
          <w:rFonts w:hint="eastAsia"/>
          <w:color w:val="auto"/>
        </w:rPr>
        <w:t>4.乙方向甲方提供明确详细的需求分析报告，如在项目实施过程中需变更需求，应书面报甲方确认，在取得甲方确认后方可变更。</w:t>
      </w:r>
    </w:p>
    <w:p w14:paraId="3DC50B62">
      <w:pPr>
        <w:pStyle w:val="39"/>
        <w:ind w:firstLine="480"/>
        <w:rPr>
          <w:rFonts w:hint="eastAsia"/>
          <w:color w:val="auto"/>
        </w:rPr>
      </w:pPr>
      <w:r>
        <w:rPr>
          <w:rFonts w:hint="eastAsia"/>
          <w:color w:val="auto"/>
        </w:rPr>
        <w:t>九、使用合同文件和资料</w:t>
      </w:r>
    </w:p>
    <w:p w14:paraId="1F0123ED">
      <w:pPr>
        <w:pStyle w:val="39"/>
        <w:ind w:firstLine="480"/>
        <w:rPr>
          <w:rFonts w:hint="eastAsia"/>
          <w:color w:val="auto"/>
        </w:rPr>
      </w:pPr>
      <w:r>
        <w:rPr>
          <w:rFonts w:hint="eastAsia"/>
          <w:color w:val="auto"/>
        </w:rPr>
        <w:t>1.合同生效后          天之内，乙方应将合同需提供服务的实施方案提交给甲方。甲方确认与达到服务产生效果一致后，乙方以实施方案为依据履行合同。</w:t>
      </w:r>
    </w:p>
    <w:p w14:paraId="31110E41">
      <w:pPr>
        <w:pStyle w:val="39"/>
        <w:ind w:firstLine="480"/>
        <w:rPr>
          <w:rFonts w:hint="eastAsia"/>
          <w:color w:val="auto"/>
        </w:rPr>
      </w:pPr>
      <w:r>
        <w:rPr>
          <w:rFonts w:hint="eastAsia"/>
          <w:color w:val="auto"/>
        </w:rPr>
        <w:t>2.甲方确认乙方的实施方案对于所提供的服务质量有欠缺，乙方将在收到甲方通知后3天内将依据甲方意见修改后的实施方案提交甲方。</w:t>
      </w:r>
    </w:p>
    <w:p w14:paraId="7097DEE2">
      <w:pPr>
        <w:pStyle w:val="39"/>
        <w:ind w:firstLine="480"/>
        <w:rPr>
          <w:rFonts w:hint="eastAsia"/>
          <w:color w:val="auto"/>
        </w:rPr>
      </w:pPr>
      <w:r>
        <w:rPr>
          <w:rFonts w:hint="eastAsia"/>
          <w:color w:val="auto"/>
        </w:rPr>
        <w:t>3.未经甲方事先的书面同意，乙方不得将由甲方或代表甲方提供的有关合同或任何合同条文、规格、计划或资料提供给与履行本合同无关的任何其他人。</w:t>
      </w:r>
    </w:p>
    <w:p w14:paraId="08310834">
      <w:pPr>
        <w:pStyle w:val="39"/>
        <w:ind w:firstLine="480"/>
        <w:rPr>
          <w:rFonts w:hint="eastAsia"/>
          <w:color w:val="auto"/>
        </w:rPr>
      </w:pPr>
      <w:r>
        <w:rPr>
          <w:rFonts w:hint="eastAsia"/>
          <w:color w:val="auto"/>
        </w:rPr>
        <w:t>4.如向与履行本合同有关的人员提供，应严格遵守保密协议并限于履行本合同所必须的范围。</w:t>
      </w:r>
    </w:p>
    <w:p w14:paraId="3957322B">
      <w:pPr>
        <w:pStyle w:val="39"/>
        <w:ind w:firstLine="480"/>
        <w:rPr>
          <w:rFonts w:hint="eastAsia"/>
          <w:color w:val="auto"/>
        </w:rPr>
      </w:pPr>
      <w:r>
        <w:rPr>
          <w:rFonts w:hint="eastAsia"/>
          <w:color w:val="auto"/>
        </w:rPr>
        <w:t>5.未经甲方事先书面同意，除履行本合同之外，乙方不应使用提供服务所需的任何文件和资料。</w:t>
      </w:r>
    </w:p>
    <w:p w14:paraId="34A7B236">
      <w:pPr>
        <w:pStyle w:val="39"/>
        <w:ind w:firstLine="480"/>
        <w:rPr>
          <w:rFonts w:hint="eastAsia"/>
          <w:color w:val="auto"/>
        </w:rPr>
      </w:pPr>
      <w:r>
        <w:rPr>
          <w:rFonts w:hint="eastAsia"/>
          <w:color w:val="auto"/>
        </w:rPr>
        <w:t>6.双方在本合同履行中所共同签署或认可的符合现行法律、法规、规章及规范性文件，且符合本合同实质性约定的指令、洽商、纪要或同类性质的文件，均构成合同文件的有效补充。</w:t>
      </w:r>
    </w:p>
    <w:p w14:paraId="3838ACA6">
      <w:pPr>
        <w:pStyle w:val="39"/>
        <w:ind w:firstLine="480"/>
        <w:rPr>
          <w:rFonts w:hint="eastAsia"/>
          <w:color w:val="auto"/>
        </w:rPr>
      </w:pPr>
      <w:r>
        <w:rPr>
          <w:rFonts w:hint="eastAsia"/>
          <w:color w:val="auto"/>
        </w:rPr>
        <w:t>十、知识产权</w:t>
      </w:r>
    </w:p>
    <w:p w14:paraId="7D84D0EB">
      <w:pPr>
        <w:pStyle w:val="39"/>
        <w:ind w:firstLine="480"/>
        <w:rPr>
          <w:rFonts w:hint="eastAsia"/>
          <w:color w:val="auto"/>
        </w:rPr>
      </w:pPr>
      <w:r>
        <w:rPr>
          <w:rFonts w:hint="eastAsia"/>
          <w:color w:val="auto"/>
        </w:rPr>
        <w:t>1.乙方应保证提供服务过程中不会侵犯任何第三方的知识产权。</w:t>
      </w:r>
    </w:p>
    <w:p w14:paraId="1F49844E">
      <w:pPr>
        <w:pStyle w:val="39"/>
        <w:ind w:firstLine="480"/>
        <w:rPr>
          <w:rFonts w:hint="eastAsia"/>
          <w:color w:val="auto"/>
        </w:rPr>
      </w:pPr>
      <w:r>
        <w:rPr>
          <w:rFonts w:hint="eastAsia"/>
          <w:color w:val="auto"/>
        </w:rPr>
        <w:t>2.本项目所产出的知识产权归甲方所有。</w:t>
      </w:r>
    </w:p>
    <w:p w14:paraId="6279F9F7">
      <w:pPr>
        <w:pStyle w:val="39"/>
        <w:ind w:firstLine="480"/>
        <w:rPr>
          <w:rFonts w:hint="eastAsia"/>
          <w:color w:val="auto"/>
        </w:rPr>
      </w:pPr>
      <w:r>
        <w:rPr>
          <w:rFonts w:hint="eastAsia"/>
          <w:color w:val="auto"/>
        </w:rPr>
        <w:t>3.知识产权的其他规定：</w:t>
      </w:r>
      <w:r>
        <w:rPr>
          <w:rFonts w:hint="eastAsia"/>
          <w:color w:val="auto"/>
          <w:u w:val="single"/>
        </w:rPr>
        <w:t xml:space="preserve">                                          </w:t>
      </w:r>
    </w:p>
    <w:p w14:paraId="2E2B9651">
      <w:pPr>
        <w:pStyle w:val="39"/>
        <w:ind w:firstLine="480"/>
        <w:rPr>
          <w:rFonts w:hint="eastAsia"/>
          <w:color w:val="auto"/>
        </w:rPr>
      </w:pPr>
      <w:r>
        <w:rPr>
          <w:rFonts w:hint="eastAsia"/>
          <w:color w:val="auto"/>
        </w:rPr>
        <w:t>十一、保密</w:t>
      </w:r>
    </w:p>
    <w:p w14:paraId="16370BFE">
      <w:pPr>
        <w:pStyle w:val="39"/>
        <w:ind w:firstLine="480"/>
        <w:rPr>
          <w:rFonts w:hint="eastAsia"/>
          <w:color w:val="auto"/>
        </w:rPr>
      </w:pPr>
      <w:r>
        <w:rPr>
          <w:rFonts w:hint="eastAsia"/>
          <w:color w:val="auto"/>
        </w:rPr>
        <w:t>1.在本合同履行期间及履行完毕后的任何时候，任何一方均应对因履行本合同从对方获取或知悉的保密信息承担保密责任，未经对方书面同意不得向第三方透露，否则应赔偿由此给对方造成的全部损失。</w:t>
      </w:r>
    </w:p>
    <w:p w14:paraId="58F226E4">
      <w:pPr>
        <w:pStyle w:val="39"/>
        <w:ind w:firstLine="480"/>
        <w:rPr>
          <w:rFonts w:hint="eastAsia"/>
          <w:color w:val="auto"/>
        </w:rPr>
      </w:pPr>
      <w:r>
        <w:rPr>
          <w:rFonts w:hint="eastAsia"/>
          <w:color w:val="auto"/>
        </w:rPr>
        <w:t>2.保密信息指任何一方因履行本合同所知悉的任何以口头、书面、图表或电子形式存在的对方信息。</w:t>
      </w:r>
    </w:p>
    <w:p w14:paraId="5619351B">
      <w:pPr>
        <w:pStyle w:val="39"/>
        <w:ind w:firstLine="480"/>
        <w:rPr>
          <w:rFonts w:hint="eastAsia"/>
          <w:color w:val="auto"/>
        </w:rPr>
      </w:pPr>
      <w:r>
        <w:rPr>
          <w:rFonts w:hint="eastAsia"/>
          <w:color w:val="auto"/>
        </w:rPr>
        <w:t>3.乙方应与甲方签署相应的保密协议，保密协议与本条款存在不一致的，以保密协议为准。</w:t>
      </w:r>
    </w:p>
    <w:p w14:paraId="484A502A">
      <w:pPr>
        <w:pStyle w:val="39"/>
        <w:ind w:firstLine="480"/>
        <w:rPr>
          <w:rFonts w:hint="eastAsia"/>
          <w:color w:val="auto"/>
        </w:rPr>
      </w:pPr>
      <w:r>
        <w:rPr>
          <w:rFonts w:hint="eastAsia"/>
          <w:color w:val="auto"/>
        </w:rPr>
        <w:t>十二、价格</w:t>
      </w:r>
    </w:p>
    <w:p w14:paraId="126AD1EB">
      <w:pPr>
        <w:pStyle w:val="39"/>
        <w:ind w:firstLine="480"/>
        <w:rPr>
          <w:rFonts w:hint="eastAsia"/>
          <w:color w:val="auto"/>
        </w:rPr>
      </w:pPr>
      <w:r>
        <w:rPr>
          <w:rFonts w:hint="eastAsia"/>
          <w:color w:val="auto"/>
        </w:rPr>
        <w:t>本合同为固定总价合同。除非双方另有约定，本合同金额是固定不变的，不会因物价、汇率、利率、税率等的变化或相关劳动/社会保障政策的变化而变化。该合同金额是本合同条款乙方依约为甲方提供保质、保量的服务，甲方所需支付给乙方的全部费用，乙方不得再行向甲方要求任何费用。</w:t>
      </w:r>
    </w:p>
    <w:p w14:paraId="53F602E0">
      <w:pPr>
        <w:pStyle w:val="39"/>
        <w:ind w:firstLine="480"/>
        <w:rPr>
          <w:rFonts w:hint="eastAsia"/>
          <w:color w:val="auto"/>
        </w:rPr>
      </w:pPr>
      <w:r>
        <w:rPr>
          <w:rFonts w:hint="eastAsia"/>
          <w:color w:val="auto"/>
        </w:rPr>
        <w:t>十三、履约保证金</w:t>
      </w:r>
    </w:p>
    <w:p w14:paraId="53FFEAC7">
      <w:pPr>
        <w:pStyle w:val="39"/>
        <w:ind w:firstLine="480"/>
        <w:rPr>
          <w:rFonts w:hint="eastAsia"/>
          <w:color w:val="auto"/>
          <w:lang w:val="en-US" w:eastAsia="zh-CN"/>
        </w:rPr>
      </w:pPr>
      <w:r>
        <w:rPr>
          <w:rFonts w:hint="eastAsia"/>
          <w:color w:val="auto"/>
          <w:lang w:val="en-US" w:eastAsia="zh-CN"/>
        </w:rPr>
        <w:t>无。</w:t>
      </w:r>
    </w:p>
    <w:p w14:paraId="11E8FE16">
      <w:pPr>
        <w:pStyle w:val="39"/>
        <w:ind w:firstLine="480"/>
        <w:rPr>
          <w:rFonts w:hint="eastAsia"/>
          <w:color w:val="auto"/>
        </w:rPr>
      </w:pPr>
      <w:r>
        <w:rPr>
          <w:rFonts w:hint="eastAsia"/>
          <w:color w:val="auto"/>
        </w:rPr>
        <w:t>十四、违约责任</w:t>
      </w:r>
    </w:p>
    <w:p w14:paraId="23C0BD32">
      <w:pPr>
        <w:pStyle w:val="39"/>
        <w:ind w:firstLine="480"/>
        <w:rPr>
          <w:rFonts w:hint="eastAsia"/>
          <w:color w:val="auto"/>
        </w:rPr>
      </w:pPr>
      <w:r>
        <w:rPr>
          <w:rFonts w:hint="eastAsia"/>
          <w:color w:val="auto"/>
        </w:rPr>
        <w:t>1.甲方无正当理由拒收接受服务的，甲方向乙方偿付合同款项</w:t>
      </w:r>
      <w:r>
        <w:rPr>
          <w:rFonts w:hint="eastAsia"/>
          <w:color w:val="auto"/>
          <w:u w:val="single"/>
        </w:rPr>
        <w:t xml:space="preserve">   </w:t>
      </w:r>
      <w:r>
        <w:rPr>
          <w:rFonts w:hint="eastAsia"/>
          <w:color w:val="auto"/>
        </w:rPr>
        <w:t>%作为违约金。</w:t>
      </w:r>
    </w:p>
    <w:p w14:paraId="4D8FA14A">
      <w:pPr>
        <w:pStyle w:val="39"/>
        <w:ind w:firstLine="480"/>
        <w:rPr>
          <w:rFonts w:hint="eastAsia"/>
          <w:color w:val="auto"/>
        </w:rPr>
      </w:pPr>
      <w:r>
        <w:rPr>
          <w:rFonts w:hint="eastAsia"/>
          <w:color w:val="auto"/>
        </w:rPr>
        <w:t>2.甲方无故逾期验收和办理款项支付手续的,甲方应当按逾期付款的总额每日</w:t>
      </w:r>
      <w:r>
        <w:rPr>
          <w:rFonts w:hint="eastAsia"/>
          <w:color w:val="auto"/>
          <w:u w:val="single"/>
        </w:rPr>
        <w:t xml:space="preserve">   </w:t>
      </w:r>
      <w:r>
        <w:rPr>
          <w:rFonts w:hint="eastAsia"/>
          <w:color w:val="auto"/>
        </w:rPr>
        <w:t>%向乙方支付违约金。</w:t>
      </w:r>
    </w:p>
    <w:p w14:paraId="6E342F9F">
      <w:pPr>
        <w:pStyle w:val="39"/>
        <w:ind w:firstLine="480"/>
        <w:rPr>
          <w:rFonts w:hint="eastAsia"/>
          <w:color w:val="auto"/>
        </w:rPr>
      </w:pPr>
      <w:r>
        <w:rPr>
          <w:rFonts w:hint="eastAsia"/>
          <w:color w:val="auto"/>
        </w:rPr>
        <w:t>3.乙方未能如期提供服务的，每日向甲方支付合同款项的</w:t>
      </w:r>
      <w:r>
        <w:rPr>
          <w:rFonts w:hint="eastAsia"/>
          <w:color w:val="auto"/>
          <w:u w:val="single"/>
        </w:rPr>
        <w:t xml:space="preserve">   </w:t>
      </w:r>
      <w:r>
        <w:rPr>
          <w:rFonts w:hint="eastAsia"/>
          <w:color w:val="auto"/>
        </w:rPr>
        <w:t>%作为违约金。乙方超过约定日期    工作日仍不能提供服务的，甲方可解除本合同。乙方因未能如期提供服务或因其他违约行为导致甲方解除合同的，乙方应向甲方支付合同总值</w:t>
      </w:r>
      <w:r>
        <w:rPr>
          <w:rFonts w:hint="eastAsia"/>
          <w:color w:val="auto"/>
          <w:u w:val="single"/>
        </w:rPr>
        <w:t xml:space="preserve">    </w:t>
      </w:r>
      <w:r>
        <w:rPr>
          <w:rFonts w:hint="eastAsia"/>
          <w:color w:val="auto"/>
        </w:rPr>
        <w:t xml:space="preserve">%的违约金，如造成甲方损失超过违约金的，超出部分由乙方继续承担赔偿责任。 </w:t>
      </w:r>
    </w:p>
    <w:p w14:paraId="073DD227">
      <w:pPr>
        <w:pStyle w:val="39"/>
        <w:ind w:firstLine="480"/>
        <w:rPr>
          <w:rFonts w:hint="eastAsia"/>
          <w:color w:val="auto"/>
        </w:rPr>
      </w:pPr>
      <w:r>
        <w:rPr>
          <w:rFonts w:hint="eastAsia"/>
          <w:color w:val="auto"/>
        </w:rPr>
        <w:t>4.本合同条款服务侵犯他人专利、版权、商标权或商业秘密等权利而针对甲方提起索赔或诉讼仲裁的情况，除另有规定外，乙方应支付由此而产生的全部费用及赔偿金。</w:t>
      </w:r>
    </w:p>
    <w:p w14:paraId="1C73539E">
      <w:pPr>
        <w:pStyle w:val="39"/>
        <w:ind w:firstLine="480"/>
        <w:rPr>
          <w:rFonts w:hint="eastAsia"/>
          <w:color w:val="auto"/>
        </w:rPr>
      </w:pPr>
      <w:r>
        <w:rPr>
          <w:rFonts w:hint="eastAsia"/>
          <w:color w:val="auto"/>
        </w:rPr>
        <w:t>5.在处理索赔或诉讼仲裁的过程中，乙方应尽力为甲方取得继续得到服务的权利。乙方不能合理地完成这些补救措施，乙方将按退还甲方已付款项方式使双方权利义务归于最初始状态。仅因乙方执行了甲方的设计、规格或指示而导致的与使用本合同条款货物相关的侵权追诉，乙方对甲方不承担任何赔偿责任。</w:t>
      </w:r>
    </w:p>
    <w:p w14:paraId="2BE7CD72">
      <w:pPr>
        <w:pStyle w:val="39"/>
        <w:ind w:firstLine="480"/>
        <w:rPr>
          <w:rFonts w:hint="eastAsia"/>
          <w:color w:val="auto"/>
        </w:rPr>
      </w:pPr>
      <w:r>
        <w:rPr>
          <w:rFonts w:hint="eastAsia"/>
          <w:color w:val="auto"/>
        </w:rPr>
        <w:t>十五、不可抗力</w:t>
      </w:r>
    </w:p>
    <w:p w14:paraId="0BA35BD6">
      <w:pPr>
        <w:pStyle w:val="39"/>
        <w:ind w:firstLine="480"/>
        <w:rPr>
          <w:rFonts w:hint="eastAsia"/>
          <w:color w:val="auto"/>
        </w:rPr>
      </w:pPr>
      <w:r>
        <w:rPr>
          <w:rFonts w:hint="eastAsia"/>
          <w:color w:val="auto"/>
        </w:rPr>
        <w:t>1.双方中任何一方遭遇法律规定的不可抗力，致使合同履行受阻时，履行合同的期限应予延长，延长的期限应相当于不可抗力所影响的时间。</w:t>
      </w:r>
    </w:p>
    <w:p w14:paraId="7D8CAEA8">
      <w:pPr>
        <w:pStyle w:val="39"/>
        <w:ind w:firstLine="480"/>
        <w:rPr>
          <w:rFonts w:hint="eastAsia"/>
          <w:color w:val="auto"/>
        </w:rPr>
      </w:pPr>
      <w:r>
        <w:rPr>
          <w:rFonts w:hint="eastAsia"/>
          <w:color w:val="auto"/>
        </w:rPr>
        <w:t>2.受事故影响的一方应在不可抗力的事故发生后</w:t>
      </w:r>
      <w:r>
        <w:rPr>
          <w:rFonts w:hint="eastAsia"/>
          <w:color w:val="auto"/>
          <w:u w:val="single"/>
        </w:rPr>
        <w:t xml:space="preserve">     </w:t>
      </w:r>
      <w:r>
        <w:rPr>
          <w:rFonts w:hint="eastAsia"/>
          <w:color w:val="auto"/>
        </w:rPr>
        <w:t>天内以书面形式通知另一方。</w:t>
      </w:r>
    </w:p>
    <w:p w14:paraId="5E4D8316">
      <w:pPr>
        <w:pStyle w:val="39"/>
        <w:ind w:firstLine="480"/>
        <w:rPr>
          <w:rFonts w:hint="eastAsia"/>
          <w:color w:val="auto"/>
        </w:rPr>
      </w:pPr>
      <w:r>
        <w:rPr>
          <w:rFonts w:hint="eastAsia"/>
          <w:color w:val="auto"/>
        </w:rPr>
        <w:t>3.不可抗力使合同的某些内容有变更必要的，双方应通过协商在</w:t>
      </w:r>
      <w:r>
        <w:rPr>
          <w:rFonts w:hint="eastAsia"/>
          <w:color w:val="auto"/>
          <w:u w:val="single"/>
        </w:rPr>
        <w:t xml:space="preserve">      </w:t>
      </w:r>
      <w:r>
        <w:rPr>
          <w:rFonts w:hint="eastAsia"/>
          <w:color w:val="auto"/>
        </w:rPr>
        <w:t>天达成进一步履行合同的协议，因不可抗力致使合同不能履行的，合同终止。</w:t>
      </w:r>
    </w:p>
    <w:p w14:paraId="1D90AA06">
      <w:pPr>
        <w:pStyle w:val="39"/>
        <w:ind w:firstLine="480"/>
        <w:rPr>
          <w:rFonts w:hint="eastAsia"/>
          <w:color w:val="auto"/>
        </w:rPr>
      </w:pPr>
      <w:r>
        <w:rPr>
          <w:rFonts w:hint="eastAsia"/>
          <w:color w:val="auto"/>
        </w:rPr>
        <w:t>4.除法律、法规规定的不可抗力情形外，双方约定出现</w:t>
      </w:r>
      <w:r>
        <w:rPr>
          <w:rFonts w:hint="eastAsia"/>
          <w:color w:val="auto"/>
          <w:u w:val="single"/>
        </w:rPr>
        <w:t xml:space="preserve">               </w:t>
      </w:r>
      <w:r>
        <w:rPr>
          <w:rFonts w:hint="eastAsia"/>
          <w:color w:val="auto"/>
        </w:rPr>
        <w:t>情况亦视为不可抗力。</w:t>
      </w:r>
    </w:p>
    <w:p w14:paraId="7FF3B66A">
      <w:pPr>
        <w:pStyle w:val="39"/>
        <w:ind w:firstLine="480"/>
        <w:rPr>
          <w:rFonts w:hint="eastAsia"/>
          <w:color w:val="auto"/>
        </w:rPr>
      </w:pPr>
      <w:r>
        <w:rPr>
          <w:rFonts w:hint="eastAsia"/>
          <w:color w:val="auto"/>
        </w:rPr>
        <w:t>十六、税费</w:t>
      </w:r>
    </w:p>
    <w:p w14:paraId="25DE8179">
      <w:pPr>
        <w:pStyle w:val="39"/>
        <w:ind w:firstLine="480"/>
        <w:rPr>
          <w:rFonts w:hint="eastAsia"/>
          <w:color w:val="auto"/>
        </w:rPr>
      </w:pPr>
      <w:r>
        <w:rPr>
          <w:rFonts w:hint="eastAsia"/>
          <w:color w:val="auto"/>
        </w:rPr>
        <w:t>与本合同有关的一切税费均适用中华人民共和国法律的相关规定。</w:t>
      </w:r>
    </w:p>
    <w:p w14:paraId="57803C21">
      <w:pPr>
        <w:pStyle w:val="39"/>
        <w:ind w:firstLine="480"/>
        <w:rPr>
          <w:rFonts w:hint="eastAsia"/>
          <w:color w:val="auto"/>
        </w:rPr>
      </w:pPr>
      <w:r>
        <w:rPr>
          <w:rFonts w:hint="eastAsia"/>
          <w:color w:val="auto"/>
        </w:rPr>
        <w:t>十七、合同争议的解决</w:t>
      </w:r>
    </w:p>
    <w:p w14:paraId="6B87A3A2">
      <w:pPr>
        <w:pStyle w:val="39"/>
        <w:ind w:firstLine="480"/>
        <w:rPr>
          <w:rFonts w:hint="eastAsia"/>
          <w:color w:val="auto"/>
        </w:rPr>
      </w:pPr>
      <w:r>
        <w:rPr>
          <w:rFonts w:hint="eastAsia"/>
          <w:color w:val="auto"/>
        </w:rPr>
        <w:t>甲方和乙方由于本合同的履行而发生任何争议时，双方可先通过友好协商或者邀请第三方调解此类争议。任何一方不愿通过协商或调解解决争议或通过协商或调解仍不能解决争议，则双方中任何一方均可向甲方所在地的人民法院起诉。</w:t>
      </w:r>
    </w:p>
    <w:p w14:paraId="0B29764C">
      <w:pPr>
        <w:pStyle w:val="39"/>
        <w:ind w:firstLine="480"/>
        <w:rPr>
          <w:rFonts w:hint="eastAsia"/>
          <w:color w:val="auto"/>
        </w:rPr>
      </w:pPr>
      <w:r>
        <w:rPr>
          <w:rFonts w:hint="eastAsia"/>
          <w:color w:val="auto"/>
        </w:rPr>
        <w:t>十八、破产终止合同</w:t>
      </w:r>
    </w:p>
    <w:p w14:paraId="4D6BE31D">
      <w:pPr>
        <w:pStyle w:val="39"/>
        <w:ind w:firstLine="480"/>
        <w:rPr>
          <w:rFonts w:hint="eastAsia"/>
          <w:color w:val="auto"/>
        </w:rPr>
      </w:pPr>
      <w:r>
        <w:rPr>
          <w:rFonts w:hint="eastAsia"/>
          <w:color w:val="auto"/>
        </w:rPr>
        <w:t>乙方破产或无清偿能力时，甲方可在任何时候以书面通知乙方，提出终止合同而不给乙方补偿。该合同的终止将不损害或不影响甲已经采取或将要采取任何行动或补救措施的权利。</w:t>
      </w:r>
    </w:p>
    <w:p w14:paraId="1A1FB7C8">
      <w:pPr>
        <w:pStyle w:val="39"/>
        <w:ind w:firstLine="480"/>
        <w:rPr>
          <w:rFonts w:hint="eastAsia"/>
          <w:color w:val="auto"/>
        </w:rPr>
      </w:pPr>
      <w:r>
        <w:rPr>
          <w:rFonts w:hint="eastAsia"/>
          <w:color w:val="auto"/>
        </w:rPr>
        <w:t>十九、合同修改</w:t>
      </w:r>
    </w:p>
    <w:p w14:paraId="5F447B5D">
      <w:pPr>
        <w:pStyle w:val="39"/>
        <w:ind w:firstLine="480"/>
        <w:rPr>
          <w:rFonts w:hint="eastAsia"/>
          <w:color w:val="auto"/>
        </w:rPr>
      </w:pPr>
      <w:r>
        <w:rPr>
          <w:rFonts w:hint="eastAsia"/>
          <w:color w:val="auto"/>
        </w:rPr>
        <w:t>甲方和乙方都不得擅自变更本合同，但合同继续履行将损害国家和社会公共利益的除外。如必须对合同条款进行改动时，当事人双方须共同签署书面文件，做为合同的补充。</w:t>
      </w:r>
    </w:p>
    <w:p w14:paraId="3E229F4B">
      <w:pPr>
        <w:pStyle w:val="39"/>
        <w:ind w:firstLine="480"/>
        <w:rPr>
          <w:rFonts w:hint="eastAsia"/>
          <w:color w:val="auto"/>
        </w:rPr>
      </w:pPr>
      <w:r>
        <w:rPr>
          <w:rFonts w:hint="eastAsia"/>
          <w:color w:val="auto"/>
        </w:rPr>
        <w:t>二十、通知</w:t>
      </w:r>
    </w:p>
    <w:p w14:paraId="50C3B8D0">
      <w:pPr>
        <w:pStyle w:val="39"/>
        <w:ind w:firstLine="480"/>
        <w:rPr>
          <w:rFonts w:hint="eastAsia"/>
          <w:color w:val="auto"/>
        </w:rPr>
      </w:pPr>
      <w:r>
        <w:rPr>
          <w:rFonts w:hint="eastAsia"/>
          <w:color w:val="auto"/>
        </w:rPr>
        <w:t>本合同任何一方给另一方的通知，都应以书面形式发送，而另一方也应以书面形式确认并发送到对方明确的地址。</w:t>
      </w:r>
    </w:p>
    <w:p w14:paraId="39AEB53A">
      <w:pPr>
        <w:pStyle w:val="39"/>
        <w:ind w:firstLine="480"/>
        <w:rPr>
          <w:rFonts w:hint="eastAsia"/>
          <w:color w:val="auto"/>
        </w:rPr>
      </w:pPr>
      <w:r>
        <w:rPr>
          <w:rFonts w:hint="eastAsia"/>
          <w:color w:val="auto"/>
        </w:rPr>
        <w:t>二十一、适用法律</w:t>
      </w:r>
    </w:p>
    <w:p w14:paraId="7E02C1C1">
      <w:pPr>
        <w:pStyle w:val="39"/>
        <w:bidi w:val="0"/>
      </w:pPr>
      <w:r>
        <w:rPr>
          <w:rFonts w:hint="eastAsia"/>
        </w:rPr>
        <w:t>本合同应按照中华人民共和国的法律进行解释</w:t>
      </w:r>
      <w:r>
        <w:t>。</w:t>
      </w:r>
      <w:r>
        <w:br w:type="page"/>
      </w:r>
    </w:p>
    <w:p w14:paraId="5371E4C5">
      <w:pPr>
        <w:pStyle w:val="42"/>
      </w:pPr>
      <w:bookmarkStart w:id="419" w:name="_Toc373105324"/>
      <w:bookmarkStart w:id="420" w:name="_Toc1041282714"/>
      <w:r>
        <w:rPr>
          <w:rFonts w:hint="eastAsia"/>
        </w:rPr>
        <w:t>评审方法和标准</w:t>
      </w:r>
      <w:bookmarkEnd w:id="419"/>
      <w:bookmarkEnd w:id="420"/>
    </w:p>
    <w:p w14:paraId="0D55EB73">
      <w:pPr>
        <w:pStyle w:val="41"/>
        <w:numPr>
          <w:ilvl w:val="1"/>
          <w:numId w:val="93"/>
        </w:numPr>
      </w:pPr>
      <w:bookmarkStart w:id="421" w:name="_Toc994334795"/>
      <w:bookmarkStart w:id="422" w:name="_Toc128931228"/>
      <w:r>
        <w:rPr>
          <w:rFonts w:hint="eastAsia"/>
        </w:rPr>
        <w:t>评审方法</w:t>
      </w:r>
      <w:bookmarkEnd w:id="421"/>
      <w:bookmarkEnd w:id="422"/>
    </w:p>
    <w:p w14:paraId="25212164">
      <w:pPr>
        <w:pStyle w:val="39"/>
        <w:ind w:firstLine="480"/>
        <w:rPr>
          <w:lang w:eastAsia="zh-CN"/>
        </w:rPr>
      </w:pPr>
      <w:r>
        <w:rPr>
          <w:rFonts w:hint="eastAsia"/>
        </w:rPr>
        <w:t>本项目采用</w:t>
      </w:r>
      <w:r>
        <w:rPr>
          <w:rFonts w:hint="eastAsia"/>
          <w:b/>
          <w:bCs/>
        </w:rPr>
        <w:t>综合评分法</w:t>
      </w:r>
      <w:r>
        <w:rPr>
          <w:rFonts w:hint="eastAsia"/>
          <w:lang w:eastAsia="zh-CN"/>
        </w:rPr>
        <w:t>。</w:t>
      </w:r>
    </w:p>
    <w:p w14:paraId="0D1FF5CE">
      <w:pPr>
        <w:pStyle w:val="39"/>
        <w:ind w:firstLine="480"/>
      </w:pPr>
      <w:r>
        <w:rPr>
          <w:rFonts w:hint="eastAsia"/>
        </w:rPr>
        <w:t>评审委员会将按照本章规定的评审方法、评分标准，对符合性审查合格的投标文件进行商务和技术的评估、综合评价。评标时，评审委员会各成员将独立对每个投标人的投标文件进行评价，并汇总每个投标人的得分。评分过程中采用四舍五入法，保留小数二位。</w:t>
      </w:r>
      <w:r>
        <w:rPr>
          <w:rFonts w:hint="eastAsia"/>
          <w:u w:val="single"/>
        </w:rPr>
        <w:t>综合得分=商务技术得分+报价得分</w:t>
      </w:r>
    </w:p>
    <w:p w14:paraId="454E041C">
      <w:pPr>
        <w:pStyle w:val="39"/>
        <w:ind w:firstLine="480"/>
        <w:rPr>
          <w:rFonts w:hint="default"/>
          <w:b w:val="0"/>
          <w:bCs w:val="0"/>
          <w:color w:val="auto"/>
          <w:u w:val="none"/>
          <w:lang w:val="en-US" w:eastAsia="zh-Hans"/>
        </w:rPr>
      </w:pPr>
    </w:p>
    <w:p w14:paraId="62A89F7E">
      <w:pPr>
        <w:pStyle w:val="41"/>
        <w:numPr>
          <w:ilvl w:val="1"/>
          <w:numId w:val="93"/>
        </w:numPr>
        <w:rPr>
          <w:rFonts w:hint="eastAsia"/>
          <w:u w:val="single"/>
        </w:rPr>
      </w:pPr>
      <w:bookmarkStart w:id="423" w:name="_Toc67158611"/>
      <w:bookmarkStart w:id="424" w:name="_Toc136149173"/>
      <w:r>
        <w:rPr>
          <w:rFonts w:hint="eastAsia"/>
          <w:lang w:val="en-US" w:eastAsia="zh-CN"/>
        </w:rPr>
        <w:t>评分标准</w:t>
      </w:r>
      <w:bookmarkEnd w:id="423"/>
      <w:bookmarkEnd w:id="424"/>
    </w:p>
    <w:p w14:paraId="07EAC4AE">
      <w:pPr>
        <w:pStyle w:val="43"/>
        <w:keepNext w:val="0"/>
        <w:keepLines w:val="0"/>
        <w:pageBreakBefore w:val="0"/>
        <w:widowControl w:val="0"/>
        <w:numPr>
          <w:ilvl w:val="2"/>
          <w:numId w:val="88"/>
        </w:numPr>
        <w:kinsoku/>
        <w:wordWrap/>
        <w:overflowPunct/>
        <w:topLinePunct w:val="0"/>
        <w:autoSpaceDE/>
        <w:autoSpaceDN/>
        <w:bidi w:val="0"/>
        <w:adjustRightInd w:val="0"/>
        <w:snapToGrid/>
        <w:ind w:left="0" w:firstLine="0" w:firstLineChars="0"/>
        <w:textAlignment w:val="auto"/>
        <w:rPr>
          <w:rFonts w:hint="eastAsia"/>
          <w:lang w:val="en-US" w:eastAsia="zh-CN"/>
        </w:rPr>
      </w:pPr>
      <w:bookmarkStart w:id="425" w:name="_Toc1305860402"/>
      <w:bookmarkStart w:id="426" w:name="_Toc1189066556"/>
      <w:r>
        <w:rPr>
          <w:rFonts w:hint="eastAsia"/>
          <w:lang w:val="en-US" w:eastAsia="zh-CN"/>
        </w:rPr>
        <w:t>标项一适用评分标准</w:t>
      </w:r>
      <w:bookmarkEnd w:id="425"/>
      <w:bookmarkEnd w:id="426"/>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7021"/>
        <w:gridCol w:w="735"/>
        <w:gridCol w:w="3"/>
      </w:tblGrid>
      <w:tr w14:paraId="2673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6" w:type="pct"/>
            <w:tcBorders>
              <w:right w:val="single" w:color="000000" w:sz="4" w:space="0"/>
            </w:tcBorders>
            <w:shd w:val="clear" w:color="auto" w:fill="D7D7D7" w:themeFill="background1" w:themeFillShade="D8"/>
            <w:vAlign w:val="center"/>
          </w:tcPr>
          <w:p w14:paraId="44658F48">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eastAsia="zh-CN"/>
              </w:rPr>
              <w:t>序号</w:t>
            </w:r>
          </w:p>
        </w:tc>
        <w:tc>
          <w:tcPr>
            <w:tcW w:w="4120" w:type="pct"/>
            <w:tcBorders>
              <w:left w:val="single" w:color="000000" w:sz="4" w:space="0"/>
              <w:right w:val="single" w:color="000000" w:sz="4" w:space="0"/>
            </w:tcBorders>
            <w:shd w:val="clear" w:color="auto" w:fill="D7D7D7" w:themeFill="background1" w:themeFillShade="D8"/>
            <w:vAlign w:val="center"/>
          </w:tcPr>
          <w:p w14:paraId="602FEF14">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Hans"/>
              </w:rPr>
              <w:t>评分项</w:t>
            </w:r>
          </w:p>
        </w:tc>
        <w:tc>
          <w:tcPr>
            <w:tcW w:w="433" w:type="pct"/>
            <w:gridSpan w:val="2"/>
            <w:tcBorders>
              <w:left w:val="single" w:color="000000" w:sz="4" w:space="0"/>
            </w:tcBorders>
            <w:shd w:val="clear" w:color="auto" w:fill="D7D7D7" w:themeFill="background1" w:themeFillShade="D8"/>
            <w:vAlign w:val="center"/>
          </w:tcPr>
          <w:p w14:paraId="0C91F9E7">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b/>
                <w:bCs/>
                <w:color w:val="auto"/>
                <w:kern w:val="0"/>
                <w:sz w:val="21"/>
                <w:szCs w:val="21"/>
                <w:lang w:val="en-US" w:eastAsia="zh-Hans"/>
              </w:rPr>
            </w:pPr>
            <w:r>
              <w:rPr>
                <w:rFonts w:hint="eastAsia" w:ascii="宋体" w:hAnsi="宋体" w:eastAsia="宋体" w:cs="宋体"/>
                <w:b/>
                <w:bCs/>
                <w:color w:val="auto"/>
                <w:kern w:val="0"/>
                <w:sz w:val="21"/>
                <w:szCs w:val="21"/>
                <w:lang w:val="en-US" w:eastAsia="zh-Hans"/>
              </w:rPr>
              <w:t>分值</w:t>
            </w:r>
          </w:p>
        </w:tc>
      </w:tr>
      <w:tr w14:paraId="7A94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60ADA0FD">
            <w:pPr>
              <w:pStyle w:val="39"/>
              <w:keepNext w:val="0"/>
              <w:keepLines w:val="0"/>
              <w:pageBreakBefore w:val="0"/>
              <w:widowControl w:val="0"/>
              <w:numPr>
                <w:ilvl w:val="0"/>
                <w:numId w:val="94"/>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lang w:eastAsia="zh-CN"/>
              </w:rPr>
            </w:pPr>
          </w:p>
        </w:tc>
        <w:tc>
          <w:tcPr>
            <w:tcW w:w="4120" w:type="pct"/>
            <w:shd w:val="clear" w:color="auto" w:fill="auto"/>
            <w:vAlign w:val="center"/>
          </w:tcPr>
          <w:p w14:paraId="77390F20">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项目需求分析评价</w:t>
            </w:r>
          </w:p>
          <w:p w14:paraId="1A00F51A">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1）能够准确理解把握目的意义，系统建设思想及拟达成效果；</w:t>
            </w:r>
          </w:p>
          <w:p w14:paraId="12631612">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（2）能够准确把握用户需求、用户范围、应用模式等业务需求，紧密贴合用户业务；</w:t>
            </w:r>
          </w:p>
          <w:p w14:paraId="6CCD7A17">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（3）能够实质性支撑用户顶层设计、辅助决策。</w:t>
            </w:r>
          </w:p>
          <w:p w14:paraId="5F587186">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上述</w:t>
            </w:r>
            <w:r>
              <w:rPr>
                <w:rFonts w:hint="eastAsia" w:ascii="宋体" w:hAnsi="宋体" w:eastAsia="宋体" w:cs="宋体"/>
                <w:color w:val="auto"/>
                <w:sz w:val="21"/>
                <w:szCs w:val="21"/>
                <w:lang w:val="en-US" w:eastAsia="zh-CN"/>
              </w:rPr>
              <w:t>内容</w:t>
            </w: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要求</w:t>
            </w:r>
            <w:r>
              <w:rPr>
                <w:rFonts w:hint="eastAsia" w:ascii="宋体" w:hAnsi="宋体" w:eastAsia="宋体" w:cs="宋体"/>
                <w:color w:val="auto"/>
                <w:sz w:val="21"/>
                <w:szCs w:val="21"/>
              </w:rPr>
              <w:t>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/项</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内容</w:t>
            </w:r>
            <w:r>
              <w:rPr>
                <w:rFonts w:hint="eastAsia" w:ascii="宋体" w:hAnsi="宋体" w:eastAsia="宋体" w:cs="宋体"/>
                <w:color w:val="auto"/>
                <w:sz w:val="21"/>
                <w:szCs w:val="21"/>
                <w:highlight w:val="none"/>
                <w:lang w:val="en-US" w:eastAsia="zh-CN"/>
              </w:rPr>
              <w:t>有缺陷或不足的得0.5分</w:t>
            </w:r>
            <w:r>
              <w:rPr>
                <w:rFonts w:hint="eastAsia" w:ascii="宋体" w:hAnsi="宋体" w:eastAsia="宋体" w:cs="宋体"/>
                <w:color w:val="auto"/>
                <w:sz w:val="21"/>
                <w:szCs w:val="21"/>
                <w:lang w:val="en-US" w:eastAsia="zh-CN"/>
              </w:rPr>
              <w:t>/项</w:t>
            </w:r>
            <w:r>
              <w:rPr>
                <w:rFonts w:hint="eastAsia" w:ascii="宋体" w:hAnsi="宋体" w:eastAsia="宋体" w:cs="宋体"/>
                <w:color w:val="auto"/>
                <w:sz w:val="21"/>
                <w:szCs w:val="21"/>
                <w:highlight w:val="none"/>
                <w:lang w:val="en-US" w:eastAsia="zh-CN"/>
              </w:rPr>
              <w:t>，未提供或完全不匹配的得0分</w:t>
            </w:r>
            <w:r>
              <w:rPr>
                <w:rFonts w:hint="eastAsia" w:ascii="宋体" w:hAnsi="宋体" w:eastAsia="宋体" w:cs="宋体"/>
                <w:color w:val="auto"/>
                <w:sz w:val="21"/>
                <w:szCs w:val="21"/>
                <w:lang w:val="en-US" w:eastAsia="zh-CN"/>
              </w:rPr>
              <w:t>/项</w:t>
            </w:r>
            <w:r>
              <w:rPr>
                <w:rFonts w:hint="eastAsia" w:ascii="宋体" w:hAnsi="宋体" w:eastAsia="宋体" w:cs="宋体"/>
                <w:color w:val="auto"/>
                <w:sz w:val="21"/>
                <w:szCs w:val="21"/>
                <w:highlight w:val="none"/>
                <w:lang w:val="en-US" w:eastAsia="zh-CN"/>
              </w:rPr>
              <w:t>。</w:t>
            </w:r>
          </w:p>
          <w:p w14:paraId="47E134E8">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有缺陷或不足”是指存在以下任意一种或多种情形：非专门针对本项目；不适用本项目特性；内容不完整或缺少关键节点；不利于项目实施；套用其他项目方案；内容前后矛盾；涉及的规范及标准错误、失效或不适用本项目；仅有框架或标题、内容简单或仅有复制采购要求的内容等。</w:t>
            </w:r>
          </w:p>
        </w:tc>
        <w:tc>
          <w:tcPr>
            <w:tcW w:w="433" w:type="pct"/>
            <w:gridSpan w:val="2"/>
            <w:shd w:val="clear" w:color="auto" w:fill="auto"/>
            <w:vAlign w:val="center"/>
          </w:tcPr>
          <w:p w14:paraId="460D3BC2">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3</w:t>
            </w:r>
          </w:p>
        </w:tc>
      </w:tr>
      <w:tr w14:paraId="150F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077F4614">
            <w:pPr>
              <w:pStyle w:val="39"/>
              <w:keepNext w:val="0"/>
              <w:keepLines w:val="0"/>
              <w:pageBreakBefore w:val="0"/>
              <w:widowControl w:val="0"/>
              <w:numPr>
                <w:ilvl w:val="0"/>
                <w:numId w:val="94"/>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lang w:eastAsia="zh-CN"/>
              </w:rPr>
            </w:pPr>
          </w:p>
        </w:tc>
        <w:tc>
          <w:tcPr>
            <w:tcW w:w="4120" w:type="pct"/>
            <w:shd w:val="clear" w:color="auto" w:fill="auto"/>
            <w:vAlign w:val="center"/>
          </w:tcPr>
          <w:p w14:paraId="2D741D07">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项目总体设计方案评价</w:t>
            </w:r>
          </w:p>
          <w:p w14:paraId="25EA55BC">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1）体系架构：系统整体架构、技术体系架构、数据体系架构、网络拓扑架构合理实用，技术架构选型图、网络部署图清晰准确、没有重大纰漏和隐患。</w:t>
            </w:r>
          </w:p>
          <w:p w14:paraId="53084BEE">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标准规范：应用建设和集成相关设计、技术、管理规范等内容全面、分类合理、界定准确，能指导统一用户、统一登录、统一授权、统一任务通知、统一日志、统一字典、统一服务等目标实现，后期完善工作量小。</w:t>
            </w:r>
          </w:p>
          <w:p w14:paraId="50986306">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（3）应用支撑：能提供系统基础服务或公共组件设计方案，规划系统统筹建设实现，内容详实、贴合实际，关系清晰，便于后期开展项目工作。</w:t>
            </w:r>
          </w:p>
          <w:p w14:paraId="2BFDB6F1">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（4）数据资源：能提供数据分层分域设计方案，规划数据归集共享方法路线，内容详实、贴合实际，关系清晰，便于后期开展项目工作。 </w:t>
            </w:r>
          </w:p>
          <w:p w14:paraId="717E611C">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（5）基础环境：能提供国产自主可控设计、部署环境设计、安全保密解决方案，方案清晰完善、贴合实际，充分满足业务需求和系统运维需要。</w:t>
            </w:r>
          </w:p>
          <w:p w14:paraId="601D4DE4">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上述</w:t>
            </w:r>
            <w:r>
              <w:rPr>
                <w:rFonts w:hint="eastAsia" w:ascii="宋体" w:hAnsi="宋体" w:eastAsia="宋体" w:cs="宋体"/>
                <w:color w:val="auto"/>
                <w:sz w:val="21"/>
                <w:szCs w:val="21"/>
                <w:lang w:val="en-US" w:eastAsia="zh-CN"/>
              </w:rPr>
              <w:t>内容</w:t>
            </w: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要求</w:t>
            </w:r>
            <w:r>
              <w:rPr>
                <w:rFonts w:hint="eastAsia" w:ascii="宋体" w:hAnsi="宋体" w:eastAsia="宋体" w:cs="宋体"/>
                <w:color w:val="auto"/>
                <w:sz w:val="21"/>
                <w:szCs w:val="21"/>
              </w:rPr>
              <w:t>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/项</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内容</w:t>
            </w:r>
            <w:r>
              <w:rPr>
                <w:rFonts w:hint="eastAsia" w:ascii="宋体" w:hAnsi="宋体" w:eastAsia="宋体" w:cs="宋体"/>
                <w:color w:val="auto"/>
                <w:sz w:val="21"/>
                <w:szCs w:val="21"/>
                <w:highlight w:val="none"/>
                <w:lang w:val="en-US" w:eastAsia="zh-CN"/>
              </w:rPr>
              <w:t>有缺陷或不足的得1分</w:t>
            </w:r>
            <w:r>
              <w:rPr>
                <w:rFonts w:hint="eastAsia" w:ascii="宋体" w:hAnsi="宋体" w:eastAsia="宋体" w:cs="宋体"/>
                <w:color w:val="auto"/>
                <w:sz w:val="21"/>
                <w:szCs w:val="21"/>
                <w:lang w:val="en-US" w:eastAsia="zh-CN"/>
              </w:rPr>
              <w:t>/项</w:t>
            </w:r>
            <w:r>
              <w:rPr>
                <w:rFonts w:hint="eastAsia" w:ascii="宋体" w:hAnsi="宋体" w:eastAsia="宋体" w:cs="宋体"/>
                <w:color w:val="auto"/>
                <w:sz w:val="21"/>
                <w:szCs w:val="21"/>
                <w:highlight w:val="none"/>
                <w:lang w:val="en-US" w:eastAsia="zh-CN"/>
              </w:rPr>
              <w:t>，未提供或完全不匹配的得0分</w:t>
            </w:r>
            <w:r>
              <w:rPr>
                <w:rFonts w:hint="eastAsia" w:ascii="宋体" w:hAnsi="宋体" w:eastAsia="宋体" w:cs="宋体"/>
                <w:color w:val="auto"/>
                <w:sz w:val="21"/>
                <w:szCs w:val="21"/>
                <w:lang w:val="en-US" w:eastAsia="zh-CN"/>
              </w:rPr>
              <w:t>/项</w:t>
            </w:r>
            <w:r>
              <w:rPr>
                <w:rFonts w:hint="eastAsia" w:ascii="宋体" w:hAnsi="宋体" w:eastAsia="宋体" w:cs="宋体"/>
                <w:color w:val="auto"/>
                <w:sz w:val="21"/>
                <w:szCs w:val="21"/>
                <w:highlight w:val="none"/>
                <w:lang w:val="en-US" w:eastAsia="zh-CN"/>
              </w:rPr>
              <w:t>。</w:t>
            </w:r>
          </w:p>
          <w:p w14:paraId="339A3A83">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有缺陷或不足”是指存在以下任意一种或多种情形：非专门针对本项目；不适用本项目特性；内容不完整或缺少关键节点；不利于项目实施；套用其他项目方案；内容前后矛盾；涉及的规范及标准错误、失效或不适用本项目；仅有框架或标题、内容简单或仅有复制采购要求的内容等。</w:t>
            </w:r>
          </w:p>
        </w:tc>
        <w:tc>
          <w:tcPr>
            <w:tcW w:w="433" w:type="pct"/>
            <w:gridSpan w:val="2"/>
            <w:shd w:val="clear" w:color="auto" w:fill="auto"/>
            <w:vAlign w:val="center"/>
          </w:tcPr>
          <w:p w14:paraId="603F85FB">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10</w:t>
            </w:r>
          </w:p>
        </w:tc>
      </w:tr>
      <w:tr w14:paraId="79BF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7D34D531">
            <w:pPr>
              <w:pStyle w:val="39"/>
              <w:keepNext w:val="0"/>
              <w:keepLines w:val="0"/>
              <w:pageBreakBefore w:val="0"/>
              <w:widowControl w:val="0"/>
              <w:numPr>
                <w:ilvl w:val="0"/>
                <w:numId w:val="94"/>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lang w:eastAsia="zh-CN"/>
              </w:rPr>
            </w:pPr>
          </w:p>
        </w:tc>
        <w:tc>
          <w:tcPr>
            <w:tcW w:w="4120" w:type="pct"/>
            <w:vAlign w:val="center"/>
          </w:tcPr>
          <w:p w14:paraId="00802EFD">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业务应用系统建设</w:t>
            </w:r>
            <w:r>
              <w:rPr>
                <w:rFonts w:hint="eastAsia" w:ascii="宋体" w:hAnsi="宋体" w:eastAsia="宋体" w:cs="宋体"/>
                <w:b/>
                <w:bCs/>
                <w:color w:val="auto"/>
                <w:kern w:val="0"/>
                <w:sz w:val="21"/>
                <w:szCs w:val="21"/>
              </w:rPr>
              <w:t>方案评价</w:t>
            </w:r>
          </w:p>
          <w:p w14:paraId="603D5CCE">
            <w:pPr>
              <w:pStyle w:val="39"/>
              <w:keepNext w:val="0"/>
              <w:keepLines w:val="0"/>
              <w:pageBreakBefore w:val="0"/>
              <w:widowControl w:val="0"/>
              <w:numPr>
                <w:ilvl w:val="0"/>
                <w:numId w:val="95"/>
              </w:numPr>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三大专题（露天矿、地下矿和尾矿库专题）系统建设方案</w:t>
            </w:r>
          </w:p>
          <w:p w14:paraId="276FD560">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①监测一张图建设方案</w:t>
            </w:r>
          </w:p>
          <w:p w14:paraId="24F0DA7E">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②风险研判一张图建设方案</w:t>
            </w:r>
          </w:p>
          <w:p w14:paraId="30ED2FE1">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③预警处置建设方案</w:t>
            </w:r>
          </w:p>
          <w:p w14:paraId="36F59339">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fldChar w:fldCharType="begin"/>
            </w:r>
            <w:r>
              <w:rPr>
                <w:rFonts w:hint="eastAsia" w:ascii="宋体" w:hAnsi="宋体" w:eastAsia="宋体" w:cs="宋体"/>
                <w:color w:val="auto"/>
                <w:kern w:val="0"/>
                <w:sz w:val="21"/>
                <w:szCs w:val="21"/>
                <w:highlight w:val="none"/>
                <w:lang w:val="en-US" w:eastAsia="zh-CN"/>
              </w:rPr>
              <w:instrText xml:space="preserve"> = 4 \* GB3 \* MERGEFORMAT </w:instrText>
            </w:r>
            <w:r>
              <w:rPr>
                <w:rFonts w:hint="eastAsia" w:ascii="宋体" w:hAnsi="宋体" w:eastAsia="宋体" w:cs="宋体"/>
                <w:color w:val="auto"/>
                <w:kern w:val="0"/>
                <w:sz w:val="21"/>
                <w:szCs w:val="21"/>
                <w:highlight w:val="none"/>
                <w:lang w:val="en-US" w:eastAsia="zh-CN"/>
              </w:rPr>
              <w:fldChar w:fldCharType="separate"/>
            </w:r>
            <w:r>
              <w:rPr>
                <w:rFonts w:hint="eastAsia" w:ascii="宋体" w:hAnsi="宋体" w:eastAsia="宋体" w:cs="宋体"/>
                <w:color w:val="auto"/>
                <w:kern w:val="0"/>
                <w:sz w:val="21"/>
                <w:szCs w:val="21"/>
                <w:highlight w:val="none"/>
                <w:lang w:eastAsia="zh-CN"/>
              </w:rPr>
              <w:t>④</w:t>
            </w:r>
            <w:r>
              <w:rPr>
                <w:rFonts w:hint="eastAsia" w:ascii="宋体" w:hAnsi="宋体" w:eastAsia="宋体" w:cs="宋体"/>
                <w:color w:val="auto"/>
                <w:kern w:val="0"/>
                <w:sz w:val="21"/>
                <w:szCs w:val="21"/>
                <w:highlight w:val="none"/>
                <w:lang w:val="en-US" w:eastAsia="zh-CN"/>
              </w:rPr>
              <w:fldChar w:fldCharType="end"/>
            </w:r>
            <w:r>
              <w:rPr>
                <w:rFonts w:hint="eastAsia" w:ascii="宋体" w:hAnsi="宋体" w:eastAsia="宋体" w:cs="宋体"/>
                <w:color w:val="auto"/>
                <w:kern w:val="0"/>
                <w:sz w:val="21"/>
                <w:szCs w:val="21"/>
                <w:highlight w:val="none"/>
                <w:lang w:val="en-US" w:eastAsia="zh-CN"/>
              </w:rPr>
              <w:t>监管执法建设方案</w:t>
            </w:r>
          </w:p>
          <w:p w14:paraId="282EAF96">
            <w:pPr>
              <w:pStyle w:val="39"/>
              <w:keepNext w:val="0"/>
              <w:keepLines w:val="0"/>
              <w:pageBreakBefore w:val="0"/>
              <w:widowControl w:val="0"/>
              <w:numPr>
                <w:ilvl w:val="0"/>
                <w:numId w:val="95"/>
              </w:numPr>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采掘施工专题子系统建设方案</w:t>
            </w:r>
          </w:p>
          <w:p w14:paraId="336D3D29">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①监测一张图建设方案</w:t>
            </w:r>
          </w:p>
          <w:p w14:paraId="26D0358D">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②风险研判一张图建设方案</w:t>
            </w:r>
          </w:p>
          <w:p w14:paraId="29D3FA74">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③预警处置建设方案</w:t>
            </w:r>
          </w:p>
          <w:p w14:paraId="73CDC046">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fldChar w:fldCharType="begin"/>
            </w:r>
            <w:r>
              <w:rPr>
                <w:rFonts w:hint="eastAsia" w:ascii="宋体" w:hAnsi="宋体" w:eastAsia="宋体" w:cs="宋体"/>
                <w:color w:val="auto"/>
                <w:kern w:val="0"/>
                <w:sz w:val="21"/>
                <w:szCs w:val="21"/>
                <w:highlight w:val="none"/>
                <w:lang w:val="en-US" w:eastAsia="zh-CN"/>
              </w:rPr>
              <w:instrText xml:space="preserve"> = 4 \* GB3 \* MERGEFORMAT </w:instrText>
            </w:r>
            <w:r>
              <w:rPr>
                <w:rFonts w:hint="eastAsia" w:ascii="宋体" w:hAnsi="宋体" w:eastAsia="宋体" w:cs="宋体"/>
                <w:color w:val="auto"/>
                <w:kern w:val="0"/>
                <w:sz w:val="21"/>
                <w:szCs w:val="21"/>
                <w:highlight w:val="none"/>
                <w:lang w:val="en-US" w:eastAsia="zh-CN"/>
              </w:rPr>
              <w:fldChar w:fldCharType="separate"/>
            </w:r>
            <w:r>
              <w:rPr>
                <w:rFonts w:hint="eastAsia" w:ascii="宋体" w:hAnsi="宋体" w:eastAsia="宋体" w:cs="宋体"/>
                <w:color w:val="auto"/>
                <w:kern w:val="0"/>
                <w:sz w:val="21"/>
                <w:szCs w:val="21"/>
                <w:highlight w:val="none"/>
                <w:lang w:eastAsia="zh-CN"/>
              </w:rPr>
              <w:t>④</w:t>
            </w:r>
            <w:r>
              <w:rPr>
                <w:rFonts w:hint="eastAsia" w:ascii="宋体" w:hAnsi="宋体" w:eastAsia="宋体" w:cs="宋体"/>
                <w:color w:val="auto"/>
                <w:kern w:val="0"/>
                <w:sz w:val="21"/>
                <w:szCs w:val="21"/>
                <w:highlight w:val="none"/>
                <w:lang w:val="en-US" w:eastAsia="zh-CN"/>
              </w:rPr>
              <w:fldChar w:fldCharType="end"/>
            </w:r>
            <w:r>
              <w:rPr>
                <w:rFonts w:hint="eastAsia" w:ascii="宋体" w:hAnsi="宋体" w:eastAsia="宋体" w:cs="宋体"/>
                <w:color w:val="auto"/>
                <w:kern w:val="0"/>
                <w:sz w:val="21"/>
                <w:szCs w:val="21"/>
                <w:highlight w:val="none"/>
                <w:lang w:val="en-US" w:eastAsia="zh-CN"/>
              </w:rPr>
              <w:t>监管执法建设方案</w:t>
            </w:r>
          </w:p>
          <w:p w14:paraId="1EEAF19C">
            <w:pPr>
              <w:pStyle w:val="39"/>
              <w:keepNext w:val="0"/>
              <w:keepLines w:val="0"/>
              <w:pageBreakBefore w:val="0"/>
              <w:widowControl w:val="0"/>
              <w:numPr>
                <w:ilvl w:val="0"/>
                <w:numId w:val="95"/>
              </w:numPr>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政企工作台建设方案</w:t>
            </w:r>
          </w:p>
          <w:p w14:paraId="13545507">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①矿山风险缺陷排查治理建设方案</w:t>
            </w:r>
          </w:p>
          <w:p w14:paraId="2F53A4F5">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②应急救援建设方案</w:t>
            </w:r>
          </w:p>
          <w:p w14:paraId="75430DDD">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③培训教育建设方案</w:t>
            </w:r>
          </w:p>
          <w:p w14:paraId="3BDCE60F">
            <w:pPr>
              <w:pStyle w:val="39"/>
              <w:keepNext w:val="0"/>
              <w:keepLines w:val="0"/>
              <w:pageBreakBefore w:val="0"/>
              <w:widowControl w:val="0"/>
              <w:numPr>
                <w:ilvl w:val="0"/>
                <w:numId w:val="95"/>
              </w:numPr>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系统安全防护建设方案</w:t>
            </w:r>
          </w:p>
          <w:p w14:paraId="1B03F6A4">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①数据密文存储建设方案</w:t>
            </w:r>
          </w:p>
          <w:p w14:paraId="174F0425">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②分级访问控制建设方案</w:t>
            </w:r>
          </w:p>
          <w:p w14:paraId="5356B9D2">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③数据审计监控建设方案</w:t>
            </w:r>
          </w:p>
          <w:p w14:paraId="1FBFDD72">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lang w:val="en-US" w:eastAsia="zh-CN"/>
              </w:rPr>
              <w:t>业务应用系统建设方案需包含</w:t>
            </w:r>
            <w:r>
              <w:rPr>
                <w:rFonts w:hint="eastAsia" w:ascii="宋体" w:hAnsi="宋体" w:eastAsia="宋体" w:cs="宋体"/>
                <w:color w:val="auto"/>
                <w:kern w:val="0"/>
                <w:sz w:val="21"/>
                <w:szCs w:val="21"/>
              </w:rPr>
              <w:t>功能架构图、UI原型设计图</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业务流程图</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要求</w:t>
            </w:r>
            <w:r>
              <w:rPr>
                <w:rFonts w:hint="eastAsia" w:ascii="宋体" w:hAnsi="宋体" w:eastAsia="宋体" w:cs="宋体"/>
                <w:color w:val="auto"/>
                <w:kern w:val="0"/>
                <w:sz w:val="21"/>
                <w:szCs w:val="21"/>
              </w:rPr>
              <w:t>功能模块完整、图文并茂，业务工作台网页端、移动端设计</w:t>
            </w:r>
            <w:r>
              <w:rPr>
                <w:rFonts w:hint="eastAsia" w:ascii="宋体" w:hAnsi="宋体" w:eastAsia="宋体" w:cs="宋体"/>
                <w:color w:val="auto"/>
                <w:kern w:val="0"/>
                <w:sz w:val="21"/>
                <w:szCs w:val="21"/>
                <w:lang w:val="en-US" w:eastAsia="zh-CN"/>
              </w:rPr>
              <w:t>符合采购需求</w:t>
            </w:r>
            <w:r>
              <w:rPr>
                <w:rFonts w:hint="eastAsia" w:ascii="宋体" w:hAnsi="宋体" w:eastAsia="宋体" w:cs="宋体"/>
                <w:color w:val="auto"/>
                <w:kern w:val="0"/>
                <w:sz w:val="21"/>
                <w:szCs w:val="21"/>
              </w:rPr>
              <w:t>、直观；后台管理、系统管理、权限申请等角色权限相关功能设计逻辑流程清晰的</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/项</w:t>
            </w:r>
            <w:r>
              <w:rPr>
                <w:rFonts w:hint="eastAsia" w:ascii="宋体" w:hAnsi="宋体" w:eastAsia="宋体" w:cs="宋体"/>
                <w:color w:val="auto"/>
                <w:sz w:val="21"/>
                <w:szCs w:val="21"/>
              </w:rPr>
              <w:t>，</w:t>
            </w:r>
            <w:r>
              <w:rPr>
                <w:rFonts w:hint="eastAsia" w:ascii="宋体" w:hAnsi="宋体" w:eastAsia="宋体" w:cs="宋体"/>
                <w:color w:val="auto"/>
                <w:sz w:val="21"/>
                <w:szCs w:val="21"/>
                <w:highlight w:val="none"/>
                <w:lang w:val="en-US" w:eastAsia="zh-CN"/>
              </w:rPr>
              <w:t>内容有缺陷或不足的得0.5分</w:t>
            </w:r>
            <w:r>
              <w:rPr>
                <w:rFonts w:hint="eastAsia" w:ascii="宋体" w:hAnsi="宋体" w:eastAsia="宋体" w:cs="宋体"/>
                <w:color w:val="auto"/>
                <w:sz w:val="21"/>
                <w:szCs w:val="21"/>
                <w:lang w:val="en-US" w:eastAsia="zh-CN"/>
              </w:rPr>
              <w:t>/项</w:t>
            </w:r>
            <w:r>
              <w:rPr>
                <w:rFonts w:hint="eastAsia" w:ascii="宋体" w:hAnsi="宋体" w:eastAsia="宋体" w:cs="宋体"/>
                <w:color w:val="auto"/>
                <w:sz w:val="21"/>
                <w:szCs w:val="21"/>
                <w:highlight w:val="none"/>
                <w:lang w:val="en-US" w:eastAsia="zh-CN"/>
              </w:rPr>
              <w:t>，未提供对应方案或方案完全不匹配的得0分</w:t>
            </w:r>
            <w:r>
              <w:rPr>
                <w:rFonts w:hint="eastAsia" w:ascii="宋体" w:hAnsi="宋体" w:eastAsia="宋体" w:cs="宋体"/>
                <w:color w:val="auto"/>
                <w:sz w:val="21"/>
                <w:szCs w:val="21"/>
                <w:lang w:val="en-US" w:eastAsia="zh-CN"/>
              </w:rPr>
              <w:t>/项</w:t>
            </w:r>
            <w:r>
              <w:rPr>
                <w:rFonts w:hint="eastAsia" w:ascii="宋体" w:hAnsi="宋体" w:eastAsia="宋体" w:cs="宋体"/>
                <w:color w:val="auto"/>
                <w:sz w:val="21"/>
                <w:szCs w:val="21"/>
                <w:highlight w:val="none"/>
                <w:lang w:val="en-US" w:eastAsia="zh-CN"/>
              </w:rPr>
              <w:t>。</w:t>
            </w:r>
          </w:p>
          <w:p w14:paraId="11A62569">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说明：“有缺陷或不足”是指存在以下任意一种或多种情形：非专门针对本项目；不适用本项目特性；内容不完整或缺少关键节点；不利于项目实施；套用其他项目方案；内容前后矛盾；涉及的规范及标准错误、失效或不适用本项目；仅有框架或标题、内容简单或仅有复制采购要求的内容等。</w:t>
            </w:r>
          </w:p>
        </w:tc>
        <w:tc>
          <w:tcPr>
            <w:tcW w:w="433" w:type="pct"/>
            <w:gridSpan w:val="2"/>
            <w:vAlign w:val="center"/>
          </w:tcPr>
          <w:p w14:paraId="32A4EC3F">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14</w:t>
            </w:r>
          </w:p>
        </w:tc>
      </w:tr>
      <w:tr w14:paraId="215D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shd w:val="clear" w:color="auto" w:fill="auto"/>
            <w:vAlign w:val="center"/>
          </w:tcPr>
          <w:p w14:paraId="0157FEA2">
            <w:pPr>
              <w:pStyle w:val="39"/>
              <w:keepNext w:val="0"/>
              <w:keepLines w:val="0"/>
              <w:pageBreakBefore w:val="0"/>
              <w:widowControl w:val="0"/>
              <w:numPr>
                <w:ilvl w:val="0"/>
                <w:numId w:val="94"/>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lang w:val="en-US" w:eastAsia="zh-CN" w:bidi="ar-SA"/>
              </w:rPr>
            </w:pPr>
          </w:p>
        </w:tc>
        <w:tc>
          <w:tcPr>
            <w:tcW w:w="4120" w:type="pct"/>
            <w:shd w:val="clear" w:color="auto" w:fill="auto"/>
            <w:vAlign w:val="center"/>
          </w:tcPr>
          <w:p w14:paraId="6C75CC27">
            <w:pPr>
              <w:pStyle w:val="39"/>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智能分析设备关键技术指标评价</w:t>
            </w:r>
          </w:p>
          <w:p w14:paraId="054AC1E7">
            <w:pPr>
              <w:pStyle w:val="39"/>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智能分析设备的</w:t>
            </w:r>
            <w:r>
              <w:rPr>
                <w:rFonts w:hint="eastAsia" w:ascii="宋体" w:hAnsi="宋体" w:eastAsia="宋体" w:cs="宋体"/>
                <w:color w:val="auto"/>
                <w:sz w:val="21"/>
                <w:szCs w:val="21"/>
                <w:lang w:val="en-US" w:eastAsia="zh-CN"/>
              </w:rPr>
              <w:t>性能参数</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部署要求（详见建设内容-应用支撑-视频汇聚及算法平台支撑）</w:t>
            </w:r>
            <w:r>
              <w:rPr>
                <w:rFonts w:hint="eastAsia" w:ascii="宋体" w:hAnsi="宋体" w:eastAsia="宋体" w:cs="宋体"/>
                <w:color w:val="auto"/>
                <w:sz w:val="21"/>
                <w:szCs w:val="21"/>
              </w:rPr>
              <w:t>与需求的吻合程度和偏差情况是否能够满足招标文件要</w:t>
            </w:r>
            <w:r>
              <w:rPr>
                <w:rFonts w:hint="eastAsia" w:ascii="宋体" w:hAnsi="宋体" w:eastAsia="宋体" w:cs="宋体"/>
                <w:color w:val="auto"/>
                <w:sz w:val="21"/>
                <w:szCs w:val="21"/>
                <w:highlight w:val="none"/>
                <w:lang w:eastAsia="zh-CN"/>
              </w:rPr>
              <w:t>求，</w:t>
            </w:r>
            <w:r>
              <w:rPr>
                <w:rFonts w:hint="eastAsia" w:cs="宋体"/>
                <w:color w:val="auto"/>
                <w:sz w:val="21"/>
                <w:szCs w:val="21"/>
                <w:highlight w:val="none"/>
                <w:lang w:val="en-US" w:eastAsia="zh-CN"/>
              </w:rPr>
              <w:t>完全满足的得12分，</w:t>
            </w:r>
            <w:r>
              <w:rPr>
                <w:rFonts w:hint="eastAsia" w:ascii="宋体" w:hAnsi="宋体" w:eastAsia="宋体" w:cs="宋体"/>
                <w:b w:val="0"/>
                <w:color w:val="auto"/>
                <w:sz w:val="21"/>
                <w:szCs w:val="21"/>
                <w:highlight w:val="none"/>
                <w:vertAlign w:val="baseline"/>
                <w:lang w:eastAsia="zh-CN"/>
              </w:rPr>
              <w:t>招标需求中标注“</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color w:val="auto"/>
                <w:sz w:val="21"/>
                <w:szCs w:val="21"/>
                <w:highlight w:val="none"/>
                <w:vertAlign w:val="baseline"/>
                <w:lang w:eastAsia="zh-CN"/>
              </w:rPr>
              <w:t>”</w:t>
            </w:r>
            <w:r>
              <w:rPr>
                <w:rFonts w:hint="eastAsia" w:ascii="宋体" w:hAnsi="宋体" w:eastAsia="宋体" w:cs="宋体"/>
                <w:b w:val="0"/>
                <w:color w:val="auto"/>
                <w:sz w:val="21"/>
                <w:szCs w:val="21"/>
                <w:highlight w:val="none"/>
                <w:vertAlign w:val="baseline"/>
                <w:lang w:val="en-US" w:eastAsia="zh-CN"/>
              </w:rPr>
              <w:t>的</w:t>
            </w:r>
            <w:r>
              <w:rPr>
                <w:rFonts w:hint="eastAsia" w:ascii="宋体" w:hAnsi="宋体" w:eastAsia="宋体" w:cs="宋体"/>
                <w:b w:val="0"/>
                <w:color w:val="auto"/>
                <w:sz w:val="21"/>
                <w:szCs w:val="21"/>
                <w:highlight w:val="none"/>
                <w:vertAlign w:val="baseline"/>
                <w:lang w:eastAsia="zh-CN"/>
              </w:rPr>
              <w:t>技术参数</w:t>
            </w:r>
            <w:r>
              <w:rPr>
                <w:rFonts w:hint="eastAsia" w:cs="宋体"/>
                <w:b w:val="0"/>
                <w:color w:val="auto"/>
                <w:sz w:val="21"/>
                <w:szCs w:val="21"/>
                <w:highlight w:val="none"/>
                <w:vertAlign w:val="baseline"/>
                <w:lang w:eastAsia="zh-CN"/>
              </w:rPr>
              <w:t>（</w:t>
            </w:r>
            <w:r>
              <w:rPr>
                <w:rFonts w:hint="eastAsia" w:cs="宋体"/>
                <w:b w:val="0"/>
                <w:color w:val="auto"/>
                <w:sz w:val="21"/>
                <w:szCs w:val="21"/>
                <w:highlight w:val="none"/>
                <w:vertAlign w:val="baseline"/>
                <w:lang w:val="en-US" w:eastAsia="zh-CN"/>
              </w:rPr>
              <w:t>共1项）</w:t>
            </w:r>
            <w:r>
              <w:rPr>
                <w:rFonts w:hint="eastAsia" w:ascii="宋体" w:hAnsi="宋体" w:eastAsia="宋体" w:cs="宋体"/>
                <w:color w:val="auto"/>
                <w:sz w:val="21"/>
                <w:szCs w:val="21"/>
                <w:highlight w:val="none"/>
                <w:lang w:val="en-US" w:eastAsia="zh-CN"/>
              </w:rPr>
              <w:t>不满足</w:t>
            </w:r>
            <w:r>
              <w:rPr>
                <w:rFonts w:hint="eastAsia" w:ascii="宋体" w:hAnsi="宋体" w:eastAsia="宋体" w:cs="宋体"/>
                <w:color w:val="auto"/>
                <w:sz w:val="21"/>
                <w:szCs w:val="21"/>
                <w:highlight w:val="none"/>
                <w:lang w:eastAsia="zh-CN"/>
              </w:rPr>
              <w:t>的扣</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/项，</w:t>
            </w:r>
            <w:r>
              <w:rPr>
                <w:rFonts w:hint="eastAsia" w:ascii="宋体" w:hAnsi="宋体" w:eastAsia="宋体" w:cs="宋体"/>
                <w:b w:val="0"/>
                <w:color w:val="auto"/>
                <w:sz w:val="21"/>
                <w:szCs w:val="21"/>
                <w:highlight w:val="none"/>
                <w:vertAlign w:val="baseline"/>
                <w:lang w:eastAsia="zh-CN"/>
              </w:rPr>
              <w:t>未标注“</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color w:val="auto"/>
                <w:sz w:val="21"/>
                <w:szCs w:val="21"/>
                <w:highlight w:val="none"/>
                <w:vertAlign w:val="baseline"/>
                <w:lang w:eastAsia="zh-CN"/>
              </w:rPr>
              <w:t>”</w:t>
            </w:r>
            <w:r>
              <w:rPr>
                <w:rFonts w:hint="eastAsia" w:ascii="宋体" w:hAnsi="宋体" w:eastAsia="宋体" w:cs="宋体"/>
                <w:b w:val="0"/>
                <w:color w:val="auto"/>
                <w:sz w:val="21"/>
                <w:szCs w:val="21"/>
                <w:highlight w:val="none"/>
                <w:vertAlign w:val="baseline"/>
                <w:lang w:val="en-US" w:eastAsia="zh-CN"/>
              </w:rPr>
              <w:t>的</w:t>
            </w:r>
            <w:r>
              <w:rPr>
                <w:rFonts w:hint="eastAsia" w:ascii="宋体" w:hAnsi="宋体" w:eastAsia="宋体" w:cs="宋体"/>
                <w:b w:val="0"/>
                <w:color w:val="auto"/>
                <w:sz w:val="21"/>
                <w:szCs w:val="21"/>
                <w:highlight w:val="none"/>
                <w:vertAlign w:val="baseline"/>
                <w:lang w:eastAsia="zh-CN"/>
              </w:rPr>
              <w:t>技术参数</w:t>
            </w:r>
            <w:r>
              <w:rPr>
                <w:rFonts w:hint="eastAsia" w:cs="宋体"/>
                <w:b w:val="0"/>
                <w:color w:val="auto"/>
                <w:sz w:val="21"/>
                <w:szCs w:val="21"/>
                <w:highlight w:val="none"/>
                <w:vertAlign w:val="baseline"/>
                <w:lang w:eastAsia="zh-CN"/>
              </w:rPr>
              <w:t>（</w:t>
            </w:r>
            <w:r>
              <w:rPr>
                <w:rFonts w:hint="eastAsia" w:cs="宋体"/>
                <w:b w:val="0"/>
                <w:color w:val="auto"/>
                <w:sz w:val="21"/>
                <w:szCs w:val="21"/>
                <w:highlight w:val="none"/>
                <w:vertAlign w:val="baseline"/>
                <w:lang w:val="en-US" w:eastAsia="zh-CN"/>
              </w:rPr>
              <w:t>除</w:t>
            </w:r>
            <w:r>
              <w:rPr>
                <w:rFonts w:hint="eastAsia" w:cs="宋体"/>
                <w:b w:val="0"/>
                <w:color w:val="auto"/>
                <w:sz w:val="21"/>
                <w:szCs w:val="21"/>
                <w:highlight w:val="none"/>
                <w:vertAlign w:val="baseline"/>
                <w:lang w:val="en-US" w:eastAsia="zh-CN"/>
              </w:rPr>
              <w:fldChar w:fldCharType="begin"/>
            </w:r>
            <w:r>
              <w:rPr>
                <w:rFonts w:hint="eastAsia" w:cs="宋体"/>
                <w:b w:val="0"/>
                <w:color w:val="auto"/>
                <w:sz w:val="21"/>
                <w:szCs w:val="21"/>
                <w:highlight w:val="none"/>
                <w:vertAlign w:val="baseline"/>
                <w:lang w:val="en-US" w:eastAsia="zh-CN"/>
              </w:rPr>
              <w:instrText xml:space="preserve"> = 6 \* GB3 \* MERGEFORMAT </w:instrText>
            </w:r>
            <w:r>
              <w:rPr>
                <w:rFonts w:hint="eastAsia" w:cs="宋体"/>
                <w:b w:val="0"/>
                <w:color w:val="auto"/>
                <w:sz w:val="21"/>
                <w:szCs w:val="21"/>
                <w:highlight w:val="none"/>
                <w:vertAlign w:val="baseline"/>
                <w:lang w:val="en-US" w:eastAsia="zh-CN"/>
              </w:rPr>
              <w:fldChar w:fldCharType="separate"/>
            </w:r>
            <w:r>
              <w:rPr>
                <w:highlight w:val="none"/>
              </w:rPr>
              <w:t>⑥</w:t>
            </w:r>
            <w:r>
              <w:rPr>
                <w:rFonts w:hint="eastAsia" w:cs="宋体"/>
                <w:b w:val="0"/>
                <w:color w:val="auto"/>
                <w:sz w:val="21"/>
                <w:szCs w:val="21"/>
                <w:highlight w:val="none"/>
                <w:vertAlign w:val="baseline"/>
                <w:lang w:val="en-US" w:eastAsia="zh-CN"/>
              </w:rPr>
              <w:fldChar w:fldCharType="end"/>
            </w:r>
            <w:r>
              <w:rPr>
                <w:rFonts w:hint="eastAsia" w:cs="宋体"/>
                <w:b w:val="0"/>
                <w:color w:val="auto"/>
                <w:sz w:val="21"/>
                <w:szCs w:val="21"/>
                <w:highlight w:val="none"/>
                <w:vertAlign w:val="baseline"/>
                <w:lang w:val="en-US" w:eastAsia="zh-CN"/>
              </w:rPr>
              <w:t>外共4项）</w:t>
            </w:r>
            <w:r>
              <w:rPr>
                <w:rFonts w:hint="eastAsia" w:ascii="宋体" w:hAnsi="宋体" w:eastAsia="宋体" w:cs="宋体"/>
                <w:color w:val="auto"/>
                <w:sz w:val="21"/>
                <w:szCs w:val="21"/>
                <w:highlight w:val="none"/>
                <w:lang w:eastAsia="zh-CN"/>
              </w:rPr>
              <w:t>每有一项</w:t>
            </w:r>
            <w:r>
              <w:rPr>
                <w:rFonts w:hint="eastAsia" w:ascii="宋体" w:hAnsi="宋体" w:eastAsia="宋体" w:cs="宋体"/>
                <w:color w:val="auto"/>
                <w:sz w:val="21"/>
                <w:szCs w:val="21"/>
                <w:highlight w:val="none"/>
                <w:lang w:val="en-US" w:eastAsia="zh-CN"/>
              </w:rPr>
              <w:t>不满足的</w:t>
            </w:r>
            <w:r>
              <w:rPr>
                <w:rFonts w:hint="eastAsia" w:ascii="宋体" w:hAnsi="宋体" w:eastAsia="宋体" w:cs="宋体"/>
                <w:color w:val="auto"/>
                <w:sz w:val="21"/>
                <w:szCs w:val="21"/>
                <w:highlight w:val="none"/>
                <w:lang w:eastAsia="zh-CN"/>
              </w:rPr>
              <w:t>扣</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/项</w:t>
            </w:r>
            <w:r>
              <w:rPr>
                <w:rFonts w:hint="eastAsia" w:cs="宋体"/>
                <w:color w:val="auto"/>
                <w:sz w:val="21"/>
                <w:szCs w:val="21"/>
                <w:highlight w:val="none"/>
                <w:lang w:val="en-US" w:eastAsia="zh-CN"/>
              </w:rPr>
              <w:t>。</w:t>
            </w:r>
          </w:p>
          <w:p w14:paraId="78D92E22">
            <w:pPr>
              <w:pStyle w:val="39"/>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rPr>
              <w:t>有</w:t>
            </w:r>
            <w:r>
              <w:rPr>
                <w:rFonts w:hint="eastAsia" w:ascii="宋体" w:hAnsi="宋体" w:eastAsia="宋体" w:cs="宋体"/>
                <w:b/>
                <w:bCs/>
                <w:color w:val="auto"/>
                <w:sz w:val="21"/>
                <w:szCs w:val="21"/>
                <w:highlight w:val="none"/>
              </w:rPr>
              <w:t>效证明</w:t>
            </w:r>
            <w:r>
              <w:rPr>
                <w:rFonts w:hint="eastAsia" w:ascii="宋体" w:hAnsi="宋体" w:eastAsia="宋体" w:cs="宋体"/>
                <w:b/>
                <w:bCs/>
                <w:color w:val="auto"/>
                <w:sz w:val="21"/>
                <w:szCs w:val="21"/>
                <w:highlight w:val="none"/>
                <w:lang w:val="en-US" w:eastAsia="zh-CN"/>
              </w:rPr>
              <w:t>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可提供权威检测机构出具的检测报告复制件或制造商公开发布的宣传手册扫描件或制造商官网截图或加盖制造商公章的技术规格书（白皮书）等其他佐证材料。</w:t>
            </w:r>
          </w:p>
          <w:p w14:paraId="6DCF3FAF">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color w:val="auto"/>
                <w:sz w:val="21"/>
                <w:szCs w:val="21"/>
              </w:rPr>
              <w:t>投标人</w:t>
            </w:r>
            <w:r>
              <w:rPr>
                <w:rFonts w:hint="eastAsia" w:ascii="宋体" w:hAnsi="宋体" w:eastAsia="宋体" w:cs="宋体"/>
                <w:color w:val="auto"/>
                <w:sz w:val="21"/>
                <w:szCs w:val="21"/>
                <w:lang w:eastAsia="zh-CN"/>
              </w:rPr>
              <w:t>应</w:t>
            </w:r>
            <w:r>
              <w:rPr>
                <w:rFonts w:hint="eastAsia" w:ascii="宋体" w:hAnsi="宋体" w:eastAsia="宋体" w:cs="宋体"/>
                <w:color w:val="auto"/>
                <w:sz w:val="21"/>
                <w:szCs w:val="21"/>
                <w:lang w:val="en-US" w:eastAsia="zh-CN"/>
              </w:rPr>
              <w:t>按</w:t>
            </w:r>
            <w:r>
              <w:rPr>
                <w:rFonts w:hint="eastAsia" w:ascii="宋体" w:hAnsi="宋体" w:eastAsia="宋体" w:cs="宋体"/>
                <w:color w:val="auto"/>
                <w:sz w:val="21"/>
                <w:szCs w:val="21"/>
                <w:lang w:eastAsia="zh-CN"/>
              </w:rPr>
              <w:t>技术需求逐一对应填写偏离情况并标明佐证材料对应页码。</w:t>
            </w:r>
            <w:r>
              <w:rPr>
                <w:rFonts w:hint="eastAsia" w:ascii="宋体" w:hAnsi="宋体" w:eastAsia="宋体" w:cs="宋体"/>
                <w:color w:val="auto"/>
                <w:sz w:val="21"/>
                <w:szCs w:val="21"/>
              </w:rPr>
              <w:t>未提供或证明材料不充分的，将被视为负偏离。</w:t>
            </w:r>
          </w:p>
        </w:tc>
        <w:tc>
          <w:tcPr>
            <w:tcW w:w="433" w:type="pct"/>
            <w:gridSpan w:val="2"/>
            <w:shd w:val="clear" w:color="auto" w:fill="auto"/>
            <w:vAlign w:val="center"/>
          </w:tcPr>
          <w:p w14:paraId="07AAFCFF">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12</w:t>
            </w:r>
          </w:p>
        </w:tc>
      </w:tr>
      <w:tr w14:paraId="63B4A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597DA8EC">
            <w:pPr>
              <w:pStyle w:val="39"/>
              <w:keepNext w:val="0"/>
              <w:keepLines w:val="0"/>
              <w:pageBreakBefore w:val="0"/>
              <w:widowControl w:val="0"/>
              <w:numPr>
                <w:ilvl w:val="0"/>
                <w:numId w:val="94"/>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lang w:eastAsia="zh-CN"/>
              </w:rPr>
            </w:pPr>
          </w:p>
        </w:tc>
        <w:tc>
          <w:tcPr>
            <w:tcW w:w="4120" w:type="pct"/>
            <w:shd w:val="clear" w:color="auto" w:fill="auto"/>
            <w:vAlign w:val="center"/>
          </w:tcPr>
          <w:p w14:paraId="77ABBE69">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应用支撑服务</w:t>
            </w:r>
            <w:r>
              <w:rPr>
                <w:rFonts w:hint="eastAsia" w:ascii="宋体" w:hAnsi="宋体" w:eastAsia="宋体" w:cs="宋体"/>
                <w:b/>
                <w:bCs/>
                <w:color w:val="auto"/>
                <w:kern w:val="0"/>
                <w:sz w:val="21"/>
                <w:szCs w:val="21"/>
              </w:rPr>
              <w:t>方案评价</w:t>
            </w:r>
          </w:p>
          <w:p w14:paraId="79F827DF">
            <w:pPr>
              <w:pStyle w:val="39"/>
              <w:keepNext w:val="0"/>
              <w:keepLines w:val="0"/>
              <w:pageBreakBefore w:val="0"/>
              <w:widowControl w:val="0"/>
              <w:numPr>
                <w:ilvl w:val="0"/>
                <w:numId w:val="96"/>
              </w:numPr>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AI+监测预警支撑方案</w:t>
            </w:r>
          </w:p>
          <w:p w14:paraId="41A3D505">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①监测预警智能体建设方案</w:t>
            </w:r>
          </w:p>
          <w:p w14:paraId="7877A6EC">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②大模型通用能力支撑方案</w:t>
            </w:r>
          </w:p>
          <w:p w14:paraId="2814D236">
            <w:pPr>
              <w:pStyle w:val="39"/>
              <w:keepNext w:val="0"/>
              <w:keepLines w:val="0"/>
              <w:pageBreakBefore w:val="0"/>
              <w:widowControl w:val="0"/>
              <w:numPr>
                <w:ilvl w:val="0"/>
                <w:numId w:val="96"/>
              </w:numPr>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三维应用支撑服务方案</w:t>
            </w:r>
          </w:p>
          <w:p w14:paraId="23CF6AED">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①三维模型收集与整理方案</w:t>
            </w:r>
          </w:p>
          <w:p w14:paraId="39E7EA8C">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②三维数据数据仓建库方案</w:t>
            </w:r>
          </w:p>
          <w:p w14:paraId="75BF4E42">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③三维数据服务发布方案</w:t>
            </w:r>
          </w:p>
          <w:p w14:paraId="5511B4C7">
            <w:pPr>
              <w:pStyle w:val="39"/>
              <w:keepNext w:val="0"/>
              <w:keepLines w:val="0"/>
              <w:pageBreakBefore w:val="0"/>
              <w:widowControl w:val="0"/>
              <w:numPr>
                <w:ilvl w:val="0"/>
                <w:numId w:val="96"/>
              </w:numPr>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视频汇聚及算法平台</w:t>
            </w:r>
          </w:p>
          <w:p w14:paraId="72C025B1">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①视频智能分析设备选型及安装部署方案</w:t>
            </w:r>
          </w:p>
          <w:p w14:paraId="589297FF">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②算法建设及接入服务方案</w:t>
            </w:r>
          </w:p>
          <w:p w14:paraId="29CA1902">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技术架构选型</w:t>
            </w:r>
            <w:r>
              <w:rPr>
                <w:rFonts w:hint="eastAsia" w:ascii="宋体" w:hAnsi="宋体" w:eastAsia="宋体" w:cs="宋体"/>
                <w:color w:val="auto"/>
                <w:sz w:val="21"/>
                <w:szCs w:val="21"/>
                <w:lang w:val="en-US" w:eastAsia="zh-CN"/>
              </w:rPr>
              <w:t>合理</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sz w:val="21"/>
                <w:szCs w:val="21"/>
              </w:rPr>
              <w:t>方案清晰完善、贴合实际，充分满足业务需求得2分</w:t>
            </w:r>
            <w:r>
              <w:rPr>
                <w:rFonts w:hint="eastAsia" w:ascii="宋体" w:hAnsi="宋体" w:eastAsia="宋体" w:cs="宋体"/>
                <w:color w:val="auto"/>
                <w:sz w:val="21"/>
                <w:szCs w:val="21"/>
                <w:lang w:val="en-US" w:eastAsia="zh-CN"/>
              </w:rPr>
              <w:t>/项</w:t>
            </w:r>
            <w:r>
              <w:rPr>
                <w:rFonts w:hint="eastAsia" w:ascii="宋体" w:hAnsi="宋体" w:eastAsia="宋体" w:cs="宋体"/>
                <w:color w:val="auto"/>
                <w:sz w:val="21"/>
                <w:szCs w:val="21"/>
              </w:rPr>
              <w:t>，</w:t>
            </w:r>
            <w:r>
              <w:rPr>
                <w:rFonts w:hint="eastAsia" w:ascii="宋体" w:hAnsi="宋体" w:eastAsia="宋体" w:cs="宋体"/>
                <w:color w:val="auto"/>
                <w:sz w:val="21"/>
                <w:szCs w:val="21"/>
                <w:highlight w:val="none"/>
                <w:lang w:val="en-US" w:eastAsia="zh-CN"/>
              </w:rPr>
              <w:t>内容有缺陷或不足的得1分</w:t>
            </w:r>
            <w:r>
              <w:rPr>
                <w:rFonts w:hint="eastAsia" w:ascii="宋体" w:hAnsi="宋体" w:eastAsia="宋体" w:cs="宋体"/>
                <w:color w:val="auto"/>
                <w:sz w:val="21"/>
                <w:szCs w:val="21"/>
                <w:lang w:val="en-US" w:eastAsia="zh-CN"/>
              </w:rPr>
              <w:t>/项</w:t>
            </w:r>
            <w:r>
              <w:rPr>
                <w:rFonts w:hint="eastAsia" w:ascii="宋体" w:hAnsi="宋体" w:eastAsia="宋体" w:cs="宋体"/>
                <w:color w:val="auto"/>
                <w:sz w:val="21"/>
                <w:szCs w:val="21"/>
                <w:highlight w:val="none"/>
                <w:lang w:val="en-US" w:eastAsia="zh-CN"/>
              </w:rPr>
              <w:t>，未提供对应方案或方案完全不匹配的得0分</w:t>
            </w:r>
            <w:r>
              <w:rPr>
                <w:rFonts w:hint="eastAsia" w:ascii="宋体" w:hAnsi="宋体" w:eastAsia="宋体" w:cs="宋体"/>
                <w:color w:val="auto"/>
                <w:sz w:val="21"/>
                <w:szCs w:val="21"/>
                <w:lang w:val="en-US" w:eastAsia="zh-CN"/>
              </w:rPr>
              <w:t>/项</w:t>
            </w:r>
            <w:r>
              <w:rPr>
                <w:rFonts w:hint="eastAsia" w:ascii="宋体" w:hAnsi="宋体" w:eastAsia="宋体" w:cs="宋体"/>
                <w:color w:val="auto"/>
                <w:sz w:val="21"/>
                <w:szCs w:val="21"/>
                <w:highlight w:val="none"/>
                <w:lang w:val="en-US" w:eastAsia="zh-CN"/>
              </w:rPr>
              <w:t>。</w:t>
            </w:r>
          </w:p>
          <w:p w14:paraId="723BECF5">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说明：“有缺陷或不足”是指存在以下任意一种或多种情形：非专门针对本项目；不适用本项目特性；内容不完整或缺少关键节点；不利于项目实施；套用其他项目方案；内容前后矛盾；涉及的规范及标准错误、失效或不适用本项目；仅有框架或标题、内容简单或仅有复制采购要求的内容等。</w:t>
            </w:r>
          </w:p>
        </w:tc>
        <w:tc>
          <w:tcPr>
            <w:tcW w:w="433" w:type="pct"/>
            <w:gridSpan w:val="2"/>
            <w:shd w:val="clear" w:color="auto" w:fill="auto"/>
            <w:vAlign w:val="center"/>
          </w:tcPr>
          <w:p w14:paraId="76F43E0E">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14</w:t>
            </w:r>
          </w:p>
        </w:tc>
      </w:tr>
      <w:tr w14:paraId="1A64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2E2BA742">
            <w:pPr>
              <w:pStyle w:val="39"/>
              <w:keepNext w:val="0"/>
              <w:keepLines w:val="0"/>
              <w:pageBreakBefore w:val="0"/>
              <w:widowControl w:val="0"/>
              <w:numPr>
                <w:ilvl w:val="0"/>
                <w:numId w:val="94"/>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lang w:eastAsia="zh-CN"/>
              </w:rPr>
            </w:pPr>
          </w:p>
        </w:tc>
        <w:tc>
          <w:tcPr>
            <w:tcW w:w="4120" w:type="pct"/>
            <w:vAlign w:val="center"/>
          </w:tcPr>
          <w:p w14:paraId="3D72D8D9">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项目实施</w:t>
            </w:r>
            <w:r>
              <w:rPr>
                <w:rFonts w:hint="eastAsia" w:ascii="宋体" w:hAnsi="宋体" w:eastAsia="宋体" w:cs="宋体"/>
                <w:b/>
                <w:bCs/>
                <w:color w:val="auto"/>
                <w:kern w:val="0"/>
                <w:sz w:val="21"/>
                <w:szCs w:val="21"/>
              </w:rPr>
              <w:t>方案评价</w:t>
            </w:r>
          </w:p>
          <w:p w14:paraId="61FE9F51">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方案需包括（1）项目管理方案、（2）进度管理方案、（3）质量管理方案、（4）售后服务方案、（5）培训方案、（6）运维服务方案、（7）</w:t>
            </w:r>
            <w:r>
              <w:rPr>
                <w:rFonts w:hint="eastAsia" w:ascii="宋体" w:hAnsi="宋体" w:eastAsia="宋体" w:cs="宋体"/>
                <w:b w:val="0"/>
                <w:bCs w:val="0"/>
                <w:color w:val="auto"/>
                <w:kern w:val="0"/>
                <w:sz w:val="21"/>
                <w:szCs w:val="21"/>
              </w:rPr>
              <w:t>数据传输专项保障</w:t>
            </w:r>
            <w:r>
              <w:rPr>
                <w:rFonts w:hint="eastAsia" w:ascii="宋体" w:hAnsi="宋体" w:eastAsia="宋体" w:cs="宋体"/>
                <w:b w:val="0"/>
                <w:bCs w:val="0"/>
                <w:color w:val="auto"/>
                <w:kern w:val="0"/>
                <w:sz w:val="21"/>
                <w:szCs w:val="21"/>
                <w:lang w:val="en-US" w:eastAsia="zh-CN"/>
              </w:rPr>
              <w:t>方案、（8）</w:t>
            </w:r>
            <w:r>
              <w:rPr>
                <w:rFonts w:hint="eastAsia" w:ascii="宋体" w:hAnsi="宋体" w:eastAsia="宋体" w:cs="宋体"/>
                <w:color w:val="auto"/>
                <w:kern w:val="0"/>
                <w:sz w:val="21"/>
                <w:szCs w:val="21"/>
                <w:lang w:val="en-US" w:eastAsia="zh-CN"/>
              </w:rPr>
              <w:t>数据安全管理方案。</w:t>
            </w:r>
          </w:p>
          <w:p w14:paraId="2CAB4C45">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方案完整、措施详尽、针对性强且合理可行的</w:t>
            </w:r>
            <w:r>
              <w:rPr>
                <w:rFonts w:hint="eastAsia" w:ascii="宋体" w:hAnsi="宋体" w:eastAsia="宋体" w:cs="宋体"/>
                <w:color w:val="auto"/>
                <w:kern w:val="0"/>
                <w:sz w:val="21"/>
                <w:szCs w:val="21"/>
              </w:rPr>
              <w:t>得</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分</w:t>
            </w:r>
            <w:r>
              <w:rPr>
                <w:rFonts w:hint="eastAsia" w:ascii="宋体" w:hAnsi="宋体" w:eastAsia="宋体" w:cs="宋体"/>
                <w:color w:val="auto"/>
                <w:kern w:val="0"/>
                <w:sz w:val="21"/>
                <w:szCs w:val="21"/>
                <w:lang w:val="en-US" w:eastAsia="zh-CN"/>
              </w:rPr>
              <w:t>/项</w:t>
            </w:r>
            <w:r>
              <w:rPr>
                <w:rFonts w:hint="eastAsia" w:ascii="宋体" w:hAnsi="宋体" w:eastAsia="宋体" w:cs="宋体"/>
                <w:color w:val="auto"/>
                <w:kern w:val="0"/>
                <w:sz w:val="21"/>
                <w:szCs w:val="21"/>
              </w:rPr>
              <w:t>，</w:t>
            </w:r>
            <w:r>
              <w:rPr>
                <w:rFonts w:hint="eastAsia" w:ascii="宋体" w:hAnsi="宋体" w:eastAsia="宋体" w:cs="宋体"/>
                <w:color w:val="auto"/>
                <w:sz w:val="21"/>
                <w:szCs w:val="21"/>
                <w:highlight w:val="none"/>
                <w:lang w:val="en-US" w:eastAsia="zh-CN"/>
              </w:rPr>
              <w:t>内容有缺陷或不足的得0.5分</w:t>
            </w:r>
            <w:r>
              <w:rPr>
                <w:rFonts w:hint="eastAsia" w:ascii="宋体" w:hAnsi="宋体" w:eastAsia="宋体" w:cs="宋体"/>
                <w:color w:val="auto"/>
                <w:sz w:val="21"/>
                <w:szCs w:val="21"/>
                <w:lang w:val="en-US" w:eastAsia="zh-CN"/>
              </w:rPr>
              <w:t>/项</w:t>
            </w:r>
            <w:r>
              <w:rPr>
                <w:rFonts w:hint="eastAsia" w:ascii="宋体" w:hAnsi="宋体" w:eastAsia="宋体" w:cs="宋体"/>
                <w:color w:val="auto"/>
                <w:sz w:val="21"/>
                <w:szCs w:val="21"/>
                <w:highlight w:val="none"/>
                <w:lang w:val="en-US" w:eastAsia="zh-CN"/>
              </w:rPr>
              <w:t>，未提供对应方案或方案完全不匹配的得0分</w:t>
            </w:r>
            <w:r>
              <w:rPr>
                <w:rFonts w:hint="eastAsia" w:ascii="宋体" w:hAnsi="宋体" w:eastAsia="宋体" w:cs="宋体"/>
                <w:color w:val="auto"/>
                <w:sz w:val="21"/>
                <w:szCs w:val="21"/>
                <w:lang w:val="en-US" w:eastAsia="zh-CN"/>
              </w:rPr>
              <w:t>/项</w:t>
            </w:r>
            <w:r>
              <w:rPr>
                <w:rFonts w:hint="eastAsia" w:ascii="宋体" w:hAnsi="宋体" w:eastAsia="宋体" w:cs="宋体"/>
                <w:color w:val="auto"/>
                <w:sz w:val="21"/>
                <w:szCs w:val="21"/>
                <w:highlight w:val="none"/>
                <w:lang w:val="en-US" w:eastAsia="zh-CN"/>
              </w:rPr>
              <w:t>。</w:t>
            </w:r>
          </w:p>
          <w:p w14:paraId="0B5A379B">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有缺陷或不足”是指存在以下任意一种或多种情形：非专门针对本项目；不适用本项目特性；内容不完整或缺少关键节点；不利于项目实施；套用其他项目方案；内容前后矛盾；涉及的规范及标准错误、失效或不适用本项目；仅有框架或标题、内容简单或仅有复制采购要求的内容等。</w:t>
            </w:r>
          </w:p>
        </w:tc>
        <w:tc>
          <w:tcPr>
            <w:tcW w:w="433" w:type="pct"/>
            <w:gridSpan w:val="2"/>
            <w:vAlign w:val="center"/>
          </w:tcPr>
          <w:p w14:paraId="1D2453A0">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w:t>
            </w:r>
          </w:p>
        </w:tc>
      </w:tr>
      <w:tr w14:paraId="1D2C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5A9C5A56">
            <w:pPr>
              <w:pStyle w:val="39"/>
              <w:keepNext w:val="0"/>
              <w:keepLines w:val="0"/>
              <w:pageBreakBefore w:val="0"/>
              <w:widowControl w:val="0"/>
              <w:numPr>
                <w:ilvl w:val="0"/>
                <w:numId w:val="94"/>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lang w:eastAsia="zh-CN"/>
              </w:rPr>
            </w:pPr>
          </w:p>
        </w:tc>
        <w:tc>
          <w:tcPr>
            <w:tcW w:w="4120" w:type="pct"/>
            <w:vAlign w:val="center"/>
          </w:tcPr>
          <w:p w14:paraId="22A08153">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b/>
                <w:bCs/>
                <w:color w:val="auto"/>
                <w:kern w:val="0"/>
                <w:sz w:val="21"/>
                <w:szCs w:val="21"/>
                <w:lang w:val="en-US"/>
              </w:rPr>
            </w:pPr>
            <w:r>
              <w:rPr>
                <w:rFonts w:hint="eastAsia" w:ascii="宋体" w:hAnsi="宋体" w:eastAsia="宋体" w:cs="宋体"/>
                <w:b/>
                <w:bCs/>
                <w:color w:val="auto"/>
                <w:kern w:val="0"/>
                <w:sz w:val="21"/>
                <w:szCs w:val="21"/>
                <w:lang w:val="en-US"/>
              </w:rPr>
              <w:t>演示评价</w:t>
            </w:r>
          </w:p>
          <w:p w14:paraId="7263857C">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b w:val="0"/>
                <w:bCs w:val="0"/>
                <w:color w:val="auto"/>
                <w:kern w:val="0"/>
                <w:sz w:val="21"/>
                <w:szCs w:val="21"/>
                <w:lang w:val="en-US"/>
              </w:rPr>
            </w:pPr>
            <w:r>
              <w:rPr>
                <w:rFonts w:hint="eastAsia" w:ascii="宋体" w:hAnsi="宋体" w:eastAsia="宋体" w:cs="宋体"/>
                <w:b w:val="0"/>
                <w:bCs w:val="0"/>
                <w:color w:val="auto"/>
                <w:kern w:val="0"/>
                <w:sz w:val="21"/>
                <w:szCs w:val="21"/>
                <w:lang w:val="en-US"/>
              </w:rPr>
              <w:t>根据投标人提供的演示文件，演示时间不超过</w:t>
            </w:r>
            <w:r>
              <w:rPr>
                <w:rFonts w:hint="eastAsia" w:ascii="宋体" w:hAnsi="宋体" w:eastAsia="宋体" w:cs="宋体"/>
                <w:b w:val="0"/>
                <w:bCs w:val="0"/>
                <w:color w:val="auto"/>
                <w:kern w:val="0"/>
                <w:sz w:val="21"/>
                <w:szCs w:val="21"/>
                <w:lang w:val="en-US" w:eastAsia="zh-CN"/>
              </w:rPr>
              <w:t>20</w:t>
            </w:r>
            <w:r>
              <w:rPr>
                <w:rFonts w:hint="eastAsia" w:ascii="宋体" w:hAnsi="宋体" w:eastAsia="宋体" w:cs="宋体"/>
                <w:b w:val="0"/>
                <w:bCs w:val="0"/>
                <w:color w:val="auto"/>
                <w:kern w:val="0"/>
                <w:sz w:val="21"/>
                <w:szCs w:val="21"/>
                <w:lang w:val="en-US"/>
              </w:rPr>
              <w:t>分钟，演示内容如下，就以下功能进行评价：</w:t>
            </w:r>
          </w:p>
          <w:p w14:paraId="5E65CC05">
            <w:pPr>
              <w:pStyle w:val="39"/>
              <w:keepNext w:val="0"/>
              <w:keepLines w:val="0"/>
              <w:pageBreakBefore w:val="0"/>
              <w:widowControl w:val="0"/>
              <w:numPr>
                <w:ilvl w:val="0"/>
                <w:numId w:val="97"/>
              </w:numPr>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b w:val="0"/>
                <w:bCs/>
                <w:color w:val="auto"/>
                <w:kern w:val="2"/>
                <w:sz w:val="21"/>
                <w:szCs w:val="21"/>
                <w:lang w:val="en-US" w:eastAsia="zh-CN"/>
              </w:rPr>
            </w:pPr>
            <w:r>
              <w:rPr>
                <w:rFonts w:hint="eastAsia" w:ascii="宋体" w:hAnsi="宋体" w:eastAsia="宋体" w:cs="宋体"/>
                <w:bCs/>
                <w:color w:val="auto"/>
                <w:kern w:val="2"/>
                <w:sz w:val="21"/>
                <w:szCs w:val="21"/>
                <w:highlight w:val="none"/>
                <w:lang w:val="en-US" w:eastAsia="zh-CN"/>
              </w:rPr>
              <w:t>三大专题（露天矿、地下矿和尾矿库专题）系统</w:t>
            </w:r>
            <w:r>
              <w:rPr>
                <w:rFonts w:hint="eastAsia" w:ascii="宋体" w:hAnsi="宋体" w:eastAsia="宋体" w:cs="宋体"/>
                <w:bCs/>
                <w:color w:val="auto"/>
                <w:kern w:val="2"/>
                <w:sz w:val="21"/>
                <w:szCs w:val="21"/>
                <w:lang w:val="en-US" w:eastAsia="zh-CN"/>
              </w:rPr>
              <w:t>演示。</w:t>
            </w:r>
          </w:p>
          <w:p w14:paraId="1D26AFF8">
            <w:pPr>
              <w:pStyle w:val="39"/>
              <w:keepNext w:val="0"/>
              <w:keepLines w:val="0"/>
              <w:pageBreakBefore w:val="0"/>
              <w:widowControl w:val="0"/>
              <w:numPr>
                <w:ilvl w:val="0"/>
                <w:numId w:val="97"/>
              </w:numPr>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b w:val="0"/>
                <w:bCs/>
                <w:color w:val="auto"/>
                <w:kern w:val="2"/>
                <w:sz w:val="21"/>
                <w:szCs w:val="21"/>
                <w:lang w:val="en-US" w:eastAsia="zh-CN"/>
              </w:rPr>
            </w:pPr>
            <w:r>
              <w:rPr>
                <w:rFonts w:hint="eastAsia" w:ascii="宋体" w:hAnsi="宋体" w:eastAsia="宋体" w:cs="宋体"/>
                <w:color w:val="auto"/>
                <w:kern w:val="0"/>
                <w:sz w:val="21"/>
                <w:szCs w:val="21"/>
                <w:lang w:val="en-US" w:eastAsia="zh-CN"/>
              </w:rPr>
              <w:t>矿山三维模型</w:t>
            </w:r>
            <w:r>
              <w:rPr>
                <w:rFonts w:hint="eastAsia" w:ascii="宋体" w:hAnsi="宋体" w:eastAsia="宋体" w:cs="宋体"/>
                <w:bCs/>
                <w:color w:val="auto"/>
                <w:kern w:val="2"/>
                <w:sz w:val="21"/>
                <w:szCs w:val="21"/>
                <w:lang w:val="en-US" w:eastAsia="zh-CN"/>
              </w:rPr>
              <w:t>演示（分别演示地下矿山和露天矿山）。</w:t>
            </w:r>
          </w:p>
          <w:p w14:paraId="2EF133D5">
            <w:pPr>
              <w:pStyle w:val="39"/>
              <w:keepNext w:val="0"/>
              <w:keepLines w:val="0"/>
              <w:pageBreakBefore w:val="0"/>
              <w:widowControl w:val="0"/>
              <w:numPr>
                <w:ilvl w:val="0"/>
                <w:numId w:val="97"/>
              </w:numPr>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b w:val="0"/>
                <w:bCs/>
                <w:color w:val="auto"/>
                <w:kern w:val="2"/>
                <w:sz w:val="21"/>
                <w:szCs w:val="21"/>
                <w:lang w:val="en-US" w:eastAsia="zh-CN"/>
              </w:rPr>
            </w:pPr>
            <w:r>
              <w:rPr>
                <w:rFonts w:hint="eastAsia" w:ascii="宋体" w:hAnsi="宋体" w:eastAsia="宋体" w:cs="宋体"/>
                <w:color w:val="auto"/>
                <w:kern w:val="0"/>
                <w:sz w:val="21"/>
                <w:szCs w:val="21"/>
                <w:lang w:val="en-US" w:eastAsia="zh-CN"/>
              </w:rPr>
              <w:t>视频算法模型演示</w:t>
            </w:r>
          </w:p>
          <w:p w14:paraId="3092A3F8">
            <w:pPr>
              <w:pStyle w:val="39"/>
              <w:keepNext w:val="0"/>
              <w:keepLines w:val="0"/>
              <w:pageBreakBefore w:val="0"/>
              <w:widowControl w:val="0"/>
              <w:numPr>
                <w:ilvl w:val="1"/>
                <w:numId w:val="97"/>
              </w:numPr>
              <w:kinsoku/>
              <w:wordWrap/>
              <w:overflowPunct/>
              <w:topLinePunct w:val="0"/>
              <w:autoSpaceDE/>
              <w:autoSpaceDN/>
              <w:bidi w:val="0"/>
              <w:adjustRightInd w:val="0"/>
              <w:snapToGrid w:val="0"/>
              <w:spacing w:line="360" w:lineRule="auto"/>
              <w:ind w:left="840" w:hanging="420" w:firstLineChars="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地下矿山竖井提升系统未联锁模型</w:t>
            </w:r>
          </w:p>
          <w:p w14:paraId="66635CA8">
            <w:pPr>
              <w:pStyle w:val="39"/>
              <w:keepNext w:val="0"/>
              <w:keepLines w:val="0"/>
              <w:pageBreakBefore w:val="0"/>
              <w:widowControl w:val="0"/>
              <w:numPr>
                <w:ilvl w:val="1"/>
                <w:numId w:val="97"/>
              </w:numPr>
              <w:kinsoku/>
              <w:wordWrap/>
              <w:overflowPunct/>
              <w:topLinePunct w:val="0"/>
              <w:autoSpaceDE/>
              <w:autoSpaceDN/>
              <w:bidi w:val="0"/>
              <w:adjustRightInd w:val="0"/>
              <w:snapToGrid w:val="0"/>
              <w:spacing w:line="360" w:lineRule="auto"/>
              <w:ind w:left="840" w:hanging="420" w:firstLineChars="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露天矿山卸矿口声光报警设备运行不正常模型</w:t>
            </w:r>
          </w:p>
          <w:p w14:paraId="7A586E6A">
            <w:pPr>
              <w:pStyle w:val="39"/>
              <w:keepNext w:val="0"/>
              <w:keepLines w:val="0"/>
              <w:pageBreakBefore w:val="0"/>
              <w:widowControl w:val="0"/>
              <w:numPr>
                <w:ilvl w:val="1"/>
                <w:numId w:val="97"/>
              </w:numPr>
              <w:kinsoku/>
              <w:wordWrap/>
              <w:overflowPunct/>
              <w:topLinePunct w:val="0"/>
              <w:autoSpaceDE/>
              <w:autoSpaceDN/>
              <w:bidi w:val="0"/>
              <w:adjustRightInd w:val="0"/>
              <w:snapToGrid w:val="0"/>
              <w:spacing w:line="360" w:lineRule="auto"/>
              <w:ind w:left="840" w:hanging="420" w:firstLineChars="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地下矿山斜井“行人不行车、行车不行人”执行不到位模型</w:t>
            </w:r>
          </w:p>
          <w:p w14:paraId="277A2ED6">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b w:val="0"/>
                <w:bCs w:val="0"/>
                <w:color w:val="auto"/>
                <w:kern w:val="0"/>
                <w:sz w:val="21"/>
                <w:szCs w:val="21"/>
                <w:lang w:val="en-US"/>
              </w:rPr>
            </w:pPr>
            <w:r>
              <w:rPr>
                <w:rFonts w:hint="eastAsia" w:ascii="宋体" w:hAnsi="宋体" w:eastAsia="宋体" w:cs="宋体"/>
                <w:b w:val="0"/>
                <w:bCs/>
                <w:color w:val="auto"/>
                <w:sz w:val="21"/>
                <w:szCs w:val="21"/>
                <w:lang w:val="en-US" w:eastAsia="zh-CN"/>
              </w:rPr>
              <w:t>由投标人通过录屏方式演示讲解视频智能分析设备管理平台、算法模型等建设功能。</w:t>
            </w:r>
            <w:r>
              <w:rPr>
                <w:rFonts w:hint="eastAsia" w:ascii="宋体" w:hAnsi="宋体" w:eastAsia="宋体" w:cs="宋体"/>
                <w:b w:val="0"/>
                <w:bCs w:val="0"/>
                <w:color w:val="auto"/>
                <w:kern w:val="0"/>
                <w:sz w:val="21"/>
                <w:szCs w:val="21"/>
                <w:lang w:val="en-US"/>
              </w:rPr>
              <w:t>每项</w:t>
            </w:r>
            <w:r>
              <w:rPr>
                <w:rFonts w:hint="eastAsia" w:ascii="宋体" w:hAnsi="宋体" w:eastAsia="宋体" w:cs="宋体"/>
                <w:b w:val="0"/>
                <w:bCs w:val="0"/>
                <w:color w:val="auto"/>
                <w:kern w:val="0"/>
                <w:sz w:val="21"/>
                <w:szCs w:val="21"/>
                <w:lang w:val="en-US" w:eastAsia="zh-CN"/>
              </w:rPr>
              <w:t>方案</w:t>
            </w:r>
            <w:r>
              <w:rPr>
                <w:rFonts w:hint="eastAsia" w:ascii="宋体" w:hAnsi="宋体" w:eastAsia="宋体" w:cs="宋体"/>
                <w:b w:val="0"/>
                <w:bCs w:val="0"/>
                <w:color w:val="auto"/>
                <w:kern w:val="0"/>
                <w:sz w:val="21"/>
                <w:szCs w:val="21"/>
                <w:lang w:val="en-US"/>
              </w:rPr>
              <w:t>演示均完整且符合采购要求的得</w:t>
            </w: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lang w:val="en-US"/>
              </w:rPr>
              <w:t>分</w:t>
            </w:r>
            <w:r>
              <w:rPr>
                <w:rFonts w:hint="eastAsia" w:ascii="宋体" w:hAnsi="宋体" w:eastAsia="宋体" w:cs="宋体"/>
                <w:b w:val="0"/>
                <w:bCs w:val="0"/>
                <w:color w:val="auto"/>
                <w:kern w:val="0"/>
                <w:sz w:val="21"/>
                <w:szCs w:val="21"/>
                <w:lang w:val="en-US" w:eastAsia="zh-CN"/>
              </w:rPr>
              <w:t>/项</w:t>
            </w:r>
            <w:r>
              <w:rPr>
                <w:rFonts w:hint="eastAsia" w:ascii="宋体" w:hAnsi="宋体" w:eastAsia="宋体" w:cs="宋体"/>
                <w:b w:val="0"/>
                <w:bCs w:val="0"/>
                <w:color w:val="auto"/>
                <w:kern w:val="0"/>
                <w:sz w:val="21"/>
                <w:szCs w:val="21"/>
                <w:lang w:val="en-US"/>
              </w:rPr>
              <w:t>，</w:t>
            </w:r>
            <w:r>
              <w:rPr>
                <w:rFonts w:hint="eastAsia" w:ascii="宋体" w:hAnsi="宋体" w:eastAsia="宋体" w:cs="宋体"/>
                <w:color w:val="auto"/>
                <w:sz w:val="21"/>
                <w:szCs w:val="21"/>
                <w:highlight w:val="none"/>
                <w:lang w:val="en-US" w:eastAsia="zh-CN"/>
              </w:rPr>
              <w:t>内容有缺陷或不足的得1分</w:t>
            </w:r>
            <w:r>
              <w:rPr>
                <w:rFonts w:hint="eastAsia" w:ascii="宋体" w:hAnsi="宋体" w:eastAsia="宋体" w:cs="宋体"/>
                <w:color w:val="auto"/>
                <w:sz w:val="21"/>
                <w:szCs w:val="21"/>
                <w:lang w:val="en-US" w:eastAsia="zh-CN"/>
              </w:rPr>
              <w:t>/项</w:t>
            </w:r>
            <w:r>
              <w:rPr>
                <w:rFonts w:hint="eastAsia" w:ascii="宋体" w:hAnsi="宋体" w:eastAsia="宋体" w:cs="宋体"/>
                <w:b w:val="0"/>
                <w:bCs w:val="0"/>
                <w:color w:val="auto"/>
                <w:kern w:val="0"/>
                <w:sz w:val="21"/>
                <w:szCs w:val="21"/>
                <w:lang w:val="en-US"/>
              </w:rPr>
              <w:t>，未提供或完全不匹配的得</w:t>
            </w:r>
            <w:r>
              <w:rPr>
                <w:rFonts w:hint="eastAsia" w:ascii="宋体" w:hAnsi="宋体" w:eastAsia="宋体" w:cs="宋体"/>
                <w:b w:val="0"/>
                <w:bCs w:val="0"/>
                <w:color w:val="auto"/>
                <w:kern w:val="0"/>
                <w:sz w:val="21"/>
                <w:szCs w:val="21"/>
                <w:lang w:val="en-US" w:eastAsia="zh-CN"/>
              </w:rPr>
              <w:t>0</w:t>
            </w:r>
            <w:r>
              <w:rPr>
                <w:rFonts w:hint="eastAsia" w:ascii="宋体" w:hAnsi="宋体" w:eastAsia="宋体" w:cs="宋体"/>
                <w:b w:val="0"/>
                <w:bCs w:val="0"/>
                <w:color w:val="auto"/>
                <w:kern w:val="0"/>
                <w:sz w:val="21"/>
                <w:szCs w:val="21"/>
                <w:lang w:val="en-US"/>
              </w:rPr>
              <w:t>分</w:t>
            </w:r>
            <w:r>
              <w:rPr>
                <w:rFonts w:hint="eastAsia" w:ascii="宋体" w:hAnsi="宋体" w:eastAsia="宋体" w:cs="宋体"/>
                <w:b w:val="0"/>
                <w:bCs w:val="0"/>
                <w:color w:val="auto"/>
                <w:kern w:val="0"/>
                <w:sz w:val="21"/>
                <w:szCs w:val="21"/>
                <w:lang w:val="en-US" w:eastAsia="zh-CN"/>
              </w:rPr>
              <w:t>/项</w:t>
            </w:r>
            <w:r>
              <w:rPr>
                <w:rFonts w:hint="eastAsia" w:ascii="宋体" w:hAnsi="宋体" w:eastAsia="宋体" w:cs="宋体"/>
                <w:b w:val="0"/>
                <w:bCs w:val="0"/>
                <w:color w:val="auto"/>
                <w:kern w:val="0"/>
                <w:sz w:val="21"/>
                <w:szCs w:val="21"/>
                <w:lang w:val="en-US"/>
              </w:rPr>
              <w:t>。</w:t>
            </w:r>
          </w:p>
          <w:p w14:paraId="0B76F789">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b w:val="0"/>
                <w:bCs w:val="0"/>
                <w:color w:val="auto"/>
                <w:kern w:val="0"/>
                <w:sz w:val="21"/>
                <w:szCs w:val="21"/>
                <w:lang w:val="en-US"/>
              </w:rPr>
            </w:pPr>
            <w:r>
              <w:rPr>
                <w:rFonts w:hint="eastAsia" w:ascii="宋体" w:hAnsi="宋体" w:eastAsia="宋体" w:cs="宋体"/>
                <w:color w:val="auto"/>
                <w:sz w:val="21"/>
                <w:szCs w:val="21"/>
                <w:highlight w:val="none"/>
                <w:lang w:val="en-US" w:eastAsia="zh-CN"/>
              </w:rPr>
              <w:t>说明：“有缺陷或不足”是指存在以下任意一种或多种情形：非专门针对本项目；不适用本项目特性；内容不完整或缺少关键节点；不利于项目实施；套用其他项目方案；内容前后矛盾；涉及的规范及标准错误、失效或不适用本项目；仅有框架或标题、内容简单或仅有复制采购要求的内容等。</w:t>
            </w:r>
          </w:p>
        </w:tc>
        <w:tc>
          <w:tcPr>
            <w:tcW w:w="433" w:type="pct"/>
            <w:gridSpan w:val="2"/>
            <w:vAlign w:val="center"/>
          </w:tcPr>
          <w:p w14:paraId="4E0FF1F1">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w:t>
            </w:r>
          </w:p>
        </w:tc>
      </w:tr>
      <w:tr w14:paraId="289F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4BE039B5">
            <w:pPr>
              <w:pStyle w:val="39"/>
              <w:keepNext w:val="0"/>
              <w:keepLines w:val="0"/>
              <w:pageBreakBefore w:val="0"/>
              <w:widowControl w:val="0"/>
              <w:numPr>
                <w:ilvl w:val="0"/>
                <w:numId w:val="94"/>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lang w:eastAsia="zh-CN"/>
              </w:rPr>
            </w:pPr>
          </w:p>
        </w:tc>
        <w:tc>
          <w:tcPr>
            <w:tcW w:w="4120" w:type="pct"/>
            <w:shd w:val="clear" w:color="auto" w:fill="auto"/>
            <w:vAlign w:val="center"/>
          </w:tcPr>
          <w:p w14:paraId="75513146">
            <w:pPr>
              <w:pStyle w:val="39"/>
              <w:bidi w:val="0"/>
              <w:spacing w:line="360" w:lineRule="auto"/>
              <w:ind w:left="0" w:leftChars="0" w:firstLine="0" w:firstLineChars="0"/>
              <w:rPr>
                <w:rFonts w:hint="eastAsia" w:ascii="宋体" w:hAnsi="宋体" w:eastAsia="宋体" w:cs="宋体"/>
                <w:b/>
                <w:bCs/>
                <w:sz w:val="21"/>
                <w:szCs w:val="21"/>
                <w:lang w:eastAsia="zh-Hans"/>
              </w:rPr>
            </w:pPr>
            <w:r>
              <w:rPr>
                <w:rFonts w:hint="eastAsia" w:ascii="宋体" w:hAnsi="宋体" w:eastAsia="宋体" w:cs="宋体"/>
                <w:b/>
                <w:bCs/>
                <w:sz w:val="21"/>
                <w:szCs w:val="21"/>
                <w:lang w:eastAsia="zh-Hans"/>
              </w:rPr>
              <w:t>服务及质量保证承诺评价</w:t>
            </w:r>
          </w:p>
          <w:p w14:paraId="2E7F0578">
            <w:pPr>
              <w:pStyle w:val="39"/>
              <w:keepNext w:val="0"/>
              <w:keepLines w:val="0"/>
              <w:pageBreakBefore w:val="0"/>
              <w:widowControl w:val="0"/>
              <w:numPr>
                <w:ilvl w:val="0"/>
                <w:numId w:val="98"/>
              </w:numPr>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承诺按要求接入省应急管理厅视频汇聚平台（由省应急管理厅视频汇聚平台提供标准api接口进行对接），由省应急管理厅视频汇聚平台对硬件、算法部署进行统一管理得0.5分；</w:t>
            </w:r>
          </w:p>
          <w:p w14:paraId="6B204C8F">
            <w:pPr>
              <w:pStyle w:val="39"/>
              <w:keepNext w:val="0"/>
              <w:keepLines w:val="0"/>
              <w:pageBreakBefore w:val="0"/>
              <w:widowControl w:val="0"/>
              <w:numPr>
                <w:ilvl w:val="0"/>
                <w:numId w:val="98"/>
              </w:numPr>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承诺智能分析设备</w:t>
            </w:r>
            <w:r>
              <w:rPr>
                <w:rFonts w:hint="eastAsia" w:ascii="宋体" w:hAnsi="宋体" w:eastAsia="宋体" w:cs="宋体"/>
                <w:color w:val="auto"/>
                <w:sz w:val="21"/>
                <w:szCs w:val="21"/>
                <w:lang w:val="en-US" w:eastAsia="zh-CN"/>
              </w:rPr>
              <w:t>性能参数</w:t>
            </w:r>
            <w:r>
              <w:rPr>
                <w:rFonts w:hint="eastAsia" w:ascii="宋体" w:hAnsi="宋体" w:eastAsia="宋体" w:cs="宋体"/>
                <w:color w:val="auto"/>
                <w:kern w:val="0"/>
                <w:sz w:val="21"/>
                <w:szCs w:val="21"/>
                <w:lang w:val="en-US" w:eastAsia="zh-CN"/>
              </w:rPr>
              <w:t>、质保要求满足采购需求得0.5分；</w:t>
            </w:r>
          </w:p>
          <w:p w14:paraId="18825000">
            <w:pPr>
              <w:pStyle w:val="39"/>
              <w:keepNext w:val="0"/>
              <w:keepLines w:val="0"/>
              <w:pageBreakBefore w:val="0"/>
              <w:widowControl w:val="0"/>
              <w:numPr>
                <w:ilvl w:val="0"/>
                <w:numId w:val="98"/>
              </w:numPr>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承诺系统满足信创电脑及非信创电脑的访问使用需求</w:t>
            </w:r>
            <w:r>
              <w:rPr>
                <w:rFonts w:hint="eastAsia" w:ascii="宋体" w:hAnsi="宋体" w:eastAsia="宋体" w:cs="宋体"/>
                <w:color w:val="auto"/>
                <w:kern w:val="0"/>
                <w:sz w:val="21"/>
                <w:szCs w:val="21"/>
                <w:lang w:val="en-US" w:eastAsia="zh-CN"/>
              </w:rPr>
              <w:t>得0.5分</w:t>
            </w:r>
            <w:r>
              <w:rPr>
                <w:rFonts w:hint="eastAsia" w:ascii="宋体" w:hAnsi="宋体" w:eastAsia="宋体" w:cs="宋体"/>
                <w:color w:val="auto"/>
                <w:kern w:val="0"/>
                <w:sz w:val="21"/>
                <w:szCs w:val="21"/>
              </w:rPr>
              <w:t>；</w:t>
            </w:r>
          </w:p>
          <w:p w14:paraId="5FFB343D">
            <w:pPr>
              <w:pStyle w:val="39"/>
              <w:keepNext w:val="0"/>
              <w:keepLines w:val="0"/>
              <w:pageBreakBefore w:val="0"/>
              <w:widowControl w:val="0"/>
              <w:numPr>
                <w:ilvl w:val="0"/>
                <w:numId w:val="98"/>
              </w:numPr>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承诺开发类软件根据等保、密评</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代码审计</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第三方软件测评以及信创符合性报告</w:t>
            </w:r>
            <w:r>
              <w:rPr>
                <w:rFonts w:hint="eastAsia" w:ascii="宋体" w:hAnsi="宋体" w:eastAsia="宋体" w:cs="宋体"/>
                <w:color w:val="auto"/>
                <w:kern w:val="0"/>
                <w:sz w:val="21"/>
                <w:szCs w:val="21"/>
              </w:rPr>
              <w:t>等要求进行系统设计、开发、整改、部署</w:t>
            </w:r>
            <w:r>
              <w:rPr>
                <w:rFonts w:hint="eastAsia" w:ascii="宋体" w:hAnsi="宋体" w:eastAsia="宋体" w:cs="宋体"/>
                <w:color w:val="auto"/>
                <w:kern w:val="0"/>
                <w:sz w:val="21"/>
                <w:szCs w:val="21"/>
                <w:lang w:val="en-US" w:eastAsia="zh-CN"/>
              </w:rPr>
              <w:t>得0.5分</w:t>
            </w:r>
            <w:r>
              <w:rPr>
                <w:rFonts w:hint="eastAsia" w:ascii="宋体" w:hAnsi="宋体" w:eastAsia="宋体" w:cs="宋体"/>
                <w:color w:val="auto"/>
                <w:kern w:val="0"/>
                <w:sz w:val="21"/>
                <w:szCs w:val="21"/>
              </w:rPr>
              <w:t>。</w:t>
            </w:r>
          </w:p>
          <w:p w14:paraId="7FFD0148">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rPr>
              <w:t>有效证明文件：</w:t>
            </w:r>
            <w:r>
              <w:rPr>
                <w:rFonts w:hint="eastAsia" w:ascii="宋体" w:hAnsi="宋体" w:eastAsia="宋体" w:cs="宋体"/>
                <w:color w:val="auto"/>
                <w:kern w:val="0"/>
                <w:sz w:val="21"/>
                <w:szCs w:val="21"/>
              </w:rPr>
              <w:t>承诺书。</w:t>
            </w:r>
          </w:p>
        </w:tc>
        <w:tc>
          <w:tcPr>
            <w:tcW w:w="433" w:type="pct"/>
            <w:gridSpan w:val="2"/>
            <w:shd w:val="clear" w:color="auto" w:fill="auto"/>
            <w:vAlign w:val="center"/>
          </w:tcPr>
          <w:p w14:paraId="53A970DB">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lang w:val="en-US" w:eastAsia="zh-CN"/>
              </w:rPr>
              <w:t>2</w:t>
            </w:r>
          </w:p>
        </w:tc>
      </w:tr>
      <w:tr w14:paraId="78D0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6" w:type="pct"/>
            <w:vAlign w:val="center"/>
          </w:tcPr>
          <w:p w14:paraId="56FD9A43">
            <w:pPr>
              <w:pStyle w:val="39"/>
              <w:keepNext w:val="0"/>
              <w:keepLines w:val="0"/>
              <w:pageBreakBefore w:val="0"/>
              <w:widowControl w:val="0"/>
              <w:numPr>
                <w:ilvl w:val="0"/>
                <w:numId w:val="94"/>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lang w:eastAsia="zh-CN"/>
              </w:rPr>
            </w:pPr>
          </w:p>
        </w:tc>
        <w:tc>
          <w:tcPr>
            <w:tcW w:w="4120" w:type="pct"/>
            <w:vAlign w:val="center"/>
          </w:tcPr>
          <w:p w14:paraId="0B38CCE2">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服务团队负责人能力评价</w:t>
            </w:r>
          </w:p>
          <w:p w14:paraId="72B0C40E">
            <w:pPr>
              <w:pStyle w:val="39"/>
              <w:keepNext w:val="0"/>
              <w:keepLines w:val="0"/>
              <w:pageBreakBefore w:val="0"/>
              <w:widowControl w:val="0"/>
              <w:numPr>
                <w:ilvl w:val="0"/>
                <w:numId w:val="99"/>
              </w:numPr>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本项目负责人具有</w:t>
            </w:r>
            <w:r>
              <w:rPr>
                <w:rFonts w:hint="eastAsia" w:ascii="宋体" w:hAnsi="宋体" w:eastAsia="宋体" w:cs="宋体"/>
                <w:color w:val="auto"/>
                <w:kern w:val="0"/>
                <w:sz w:val="21"/>
                <w:szCs w:val="21"/>
                <w:lang w:val="en-US" w:eastAsia="zh-CN"/>
              </w:rPr>
              <w:t>AI大模型项目经验得1分。</w:t>
            </w:r>
          </w:p>
          <w:p w14:paraId="02E795B6">
            <w:pPr>
              <w:pStyle w:val="39"/>
              <w:keepNext w:val="0"/>
              <w:keepLines w:val="0"/>
              <w:pageBreakBefore w:val="0"/>
              <w:widowControl w:val="0"/>
              <w:numPr>
                <w:ilvl w:val="0"/>
                <w:numId w:val="99"/>
              </w:numPr>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本项目负责人软件开发从业经验</w:t>
            </w:r>
            <w:r>
              <w:rPr>
                <w:rFonts w:hint="eastAsia" w:ascii="宋体" w:hAnsi="宋体" w:eastAsia="宋体" w:cs="宋体"/>
                <w:color w:val="auto"/>
                <w:kern w:val="0"/>
                <w:sz w:val="21"/>
                <w:szCs w:val="21"/>
                <w:lang w:val="en-US" w:eastAsia="zh-CN"/>
              </w:rPr>
              <w:t>具有3</w:t>
            </w:r>
            <w:r>
              <w:rPr>
                <w:rFonts w:hint="eastAsia" w:ascii="宋体" w:hAnsi="宋体" w:eastAsia="宋体" w:cs="宋体"/>
                <w:color w:val="auto"/>
                <w:kern w:val="0"/>
                <w:sz w:val="21"/>
                <w:szCs w:val="21"/>
              </w:rPr>
              <w:t>年及以上的得</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分；具有</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年及以上</w:t>
            </w:r>
            <w:r>
              <w:rPr>
                <w:rFonts w:hint="eastAsia" w:ascii="宋体" w:hAnsi="宋体" w:eastAsia="宋体" w:cs="宋体"/>
                <w:color w:val="auto"/>
                <w:kern w:val="0"/>
                <w:sz w:val="21"/>
                <w:szCs w:val="21"/>
                <w:lang w:val="en-US" w:eastAsia="zh-CN"/>
              </w:rPr>
              <w:t>不足3年</w:t>
            </w:r>
            <w:r>
              <w:rPr>
                <w:rFonts w:hint="eastAsia" w:ascii="宋体" w:hAnsi="宋体" w:eastAsia="宋体" w:cs="宋体"/>
                <w:color w:val="auto"/>
                <w:kern w:val="0"/>
                <w:sz w:val="21"/>
                <w:szCs w:val="21"/>
              </w:rPr>
              <w:t>的得1分。</w:t>
            </w:r>
          </w:p>
          <w:p w14:paraId="30BF867A">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本项目负责人具有</w:t>
            </w:r>
            <w:r>
              <w:rPr>
                <w:rFonts w:hint="eastAsia" w:ascii="宋体" w:hAnsi="宋体" w:eastAsia="宋体" w:cs="宋体"/>
                <w:color w:val="auto"/>
                <w:kern w:val="0"/>
                <w:sz w:val="21"/>
                <w:szCs w:val="21"/>
                <w:lang w:eastAsia="zh-CN"/>
              </w:rPr>
              <w:t>国家人力资源和社会保障部</w:t>
            </w:r>
            <w:r>
              <w:rPr>
                <w:rFonts w:hint="eastAsia" w:ascii="宋体" w:hAnsi="宋体" w:eastAsia="宋体" w:cs="宋体"/>
                <w:color w:val="auto"/>
                <w:kern w:val="0"/>
                <w:sz w:val="21"/>
                <w:szCs w:val="21"/>
                <w:lang w:val="en-US" w:eastAsia="zh-CN"/>
              </w:rPr>
              <w:t>及</w:t>
            </w:r>
            <w:r>
              <w:rPr>
                <w:rFonts w:hint="eastAsia" w:ascii="宋体" w:hAnsi="宋体" w:eastAsia="宋体" w:cs="宋体"/>
                <w:color w:val="auto"/>
                <w:kern w:val="0"/>
                <w:sz w:val="21"/>
                <w:szCs w:val="21"/>
                <w:lang w:eastAsia="zh-CN"/>
              </w:rPr>
              <w:t>工业和信息化部共同</w:t>
            </w:r>
            <w:r>
              <w:rPr>
                <w:rFonts w:hint="eastAsia" w:ascii="宋体" w:hAnsi="宋体" w:eastAsia="宋体" w:cs="宋体"/>
                <w:color w:val="auto"/>
                <w:kern w:val="0"/>
                <w:sz w:val="21"/>
                <w:szCs w:val="21"/>
              </w:rPr>
              <w:t>颁发的“计算机技术与软件专业技术资格”</w:t>
            </w:r>
            <w:r>
              <w:rPr>
                <w:rFonts w:hint="eastAsia" w:ascii="宋体" w:hAnsi="宋体" w:eastAsia="宋体" w:cs="宋体"/>
                <w:color w:val="auto"/>
                <w:kern w:val="0"/>
                <w:sz w:val="21"/>
                <w:szCs w:val="21"/>
                <w:lang w:val="en-US" w:eastAsia="zh-CN"/>
              </w:rPr>
              <w:t>类</w:t>
            </w:r>
            <w:r>
              <w:rPr>
                <w:rFonts w:hint="eastAsia" w:ascii="宋体" w:hAnsi="宋体" w:eastAsia="宋体" w:cs="宋体"/>
                <w:color w:val="auto"/>
                <w:kern w:val="0"/>
                <w:sz w:val="21"/>
                <w:szCs w:val="21"/>
              </w:rPr>
              <w:t>证书，</w:t>
            </w:r>
            <w:r>
              <w:rPr>
                <w:rFonts w:hint="eastAsia" w:ascii="宋体" w:hAnsi="宋体" w:eastAsia="宋体" w:cs="宋体"/>
                <w:color w:val="auto"/>
                <w:kern w:val="0"/>
                <w:sz w:val="21"/>
                <w:szCs w:val="21"/>
                <w:lang w:val="en-US" w:eastAsia="zh-CN"/>
              </w:rPr>
              <w:t>每</w:t>
            </w:r>
            <w:r>
              <w:rPr>
                <w:rFonts w:hint="eastAsia" w:ascii="宋体" w:hAnsi="宋体" w:eastAsia="宋体" w:cs="宋体"/>
                <w:color w:val="auto"/>
                <w:kern w:val="0"/>
                <w:sz w:val="21"/>
                <w:szCs w:val="21"/>
              </w:rPr>
              <w:t>具有</w:t>
            </w:r>
            <w:r>
              <w:rPr>
                <w:rFonts w:hint="eastAsia" w:ascii="宋体" w:hAnsi="宋体" w:eastAsia="宋体" w:cs="宋体"/>
                <w:color w:val="auto"/>
                <w:kern w:val="0"/>
                <w:sz w:val="21"/>
                <w:szCs w:val="21"/>
                <w:lang w:val="en-US" w:eastAsia="zh-CN"/>
              </w:rPr>
              <w:t>一项</w:t>
            </w:r>
            <w:r>
              <w:rPr>
                <w:rFonts w:hint="eastAsia" w:ascii="宋体" w:hAnsi="宋体" w:eastAsia="宋体" w:cs="宋体"/>
                <w:color w:val="auto"/>
                <w:kern w:val="0"/>
                <w:sz w:val="21"/>
                <w:szCs w:val="21"/>
              </w:rPr>
              <w:t>高级资格专业的得</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分</w:t>
            </w:r>
            <w:r>
              <w:rPr>
                <w:rFonts w:hint="eastAsia" w:ascii="宋体" w:hAnsi="宋体" w:eastAsia="宋体" w:cs="宋体"/>
                <w:b w:val="0"/>
                <w:bCs w:val="0"/>
                <w:color w:val="auto"/>
                <w:kern w:val="0"/>
                <w:sz w:val="21"/>
                <w:szCs w:val="21"/>
                <w:lang w:val="en-US" w:eastAsia="zh-CN"/>
              </w:rPr>
              <w:t>/项,</w:t>
            </w:r>
            <w:r>
              <w:rPr>
                <w:rFonts w:hint="eastAsia" w:ascii="宋体" w:hAnsi="宋体" w:eastAsia="宋体" w:cs="宋体"/>
                <w:color w:val="auto"/>
                <w:sz w:val="21"/>
                <w:szCs w:val="21"/>
                <w:lang w:val="en-US" w:eastAsia="zh-Hans"/>
              </w:rPr>
              <w:t>最多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eastAsia="zh-Hans"/>
              </w:rPr>
              <w:t>分</w:t>
            </w:r>
            <w:r>
              <w:rPr>
                <w:rFonts w:hint="eastAsia" w:ascii="宋体" w:hAnsi="宋体" w:eastAsia="宋体" w:cs="宋体"/>
                <w:color w:val="auto"/>
                <w:kern w:val="0"/>
                <w:sz w:val="21"/>
                <w:szCs w:val="21"/>
              </w:rPr>
              <w:t>。</w:t>
            </w:r>
          </w:p>
          <w:p w14:paraId="41F929AB">
            <w:pPr>
              <w:pStyle w:val="39"/>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b/>
                <w:bCs/>
                <w:color w:val="auto"/>
                <w:kern w:val="0"/>
                <w:sz w:val="21"/>
                <w:szCs w:val="21"/>
              </w:rPr>
              <w:t>有效证明文件：</w:t>
            </w:r>
            <w:r>
              <w:rPr>
                <w:rFonts w:hint="eastAsia" w:ascii="宋体" w:hAnsi="宋体" w:eastAsia="宋体" w:cs="宋体"/>
                <w:color w:val="auto"/>
                <w:kern w:val="0"/>
                <w:sz w:val="21"/>
                <w:szCs w:val="21"/>
              </w:rPr>
              <w:t>劳动合同或在本单位的社保缴纳记录等证明其为投标人在职员工的证明材料（社保机构网上打印件与社保机构出具的具有同等效力，</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退休返聘</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“劳务派遣”视为非在职员工。）</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从业经验证明（提供含负责人项目任职的项目合同复制件</w:t>
            </w:r>
            <w:r>
              <w:rPr>
                <w:rFonts w:hint="eastAsia" w:ascii="宋体" w:hAnsi="宋体" w:eastAsia="宋体" w:cs="宋体"/>
                <w:color w:val="auto"/>
                <w:kern w:val="0"/>
                <w:sz w:val="21"/>
                <w:szCs w:val="21"/>
                <w:lang w:val="en-US" w:eastAsia="zh-CN"/>
              </w:rPr>
              <w:t>或其他证明材料（如用户证明等），</w:t>
            </w:r>
            <w:r>
              <w:rPr>
                <w:rFonts w:hint="eastAsia" w:ascii="宋体" w:hAnsi="宋体" w:eastAsia="宋体" w:cs="宋体"/>
                <w:color w:val="auto"/>
                <w:kern w:val="0"/>
                <w:sz w:val="21"/>
                <w:szCs w:val="21"/>
              </w:rPr>
              <w:t>从业经验在投标人在职年限不够可合并累计原单位证明。</w:t>
            </w:r>
            <w:r>
              <w:rPr>
                <w:rFonts w:hint="eastAsia" w:ascii="宋体" w:hAnsi="宋体" w:eastAsia="宋体" w:cs="宋体"/>
                <w:color w:val="auto"/>
                <w:kern w:val="0"/>
                <w:sz w:val="21"/>
                <w:szCs w:val="21"/>
                <w:lang w:val="en-US" w:eastAsia="zh-CN"/>
              </w:rPr>
              <w:t>合同内容或其他证明文件不能体现工作内容或者工作时间的视为无效证明。</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；相关证书复印件（证书须为国家人力资源和社会保障部及工业和信息化部共同颁发，其他培训等机构颁发的无效）。</w:t>
            </w:r>
          </w:p>
        </w:tc>
        <w:tc>
          <w:tcPr>
            <w:tcW w:w="433" w:type="pct"/>
            <w:gridSpan w:val="2"/>
            <w:vAlign w:val="center"/>
          </w:tcPr>
          <w:p w14:paraId="300B27F9">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p>
        </w:tc>
      </w:tr>
      <w:tr w14:paraId="6274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4973B5A5">
            <w:pPr>
              <w:pStyle w:val="39"/>
              <w:keepNext w:val="0"/>
              <w:keepLines w:val="0"/>
              <w:pageBreakBefore w:val="0"/>
              <w:widowControl w:val="0"/>
              <w:numPr>
                <w:ilvl w:val="0"/>
                <w:numId w:val="94"/>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lang w:eastAsia="zh-CN"/>
              </w:rPr>
            </w:pPr>
          </w:p>
        </w:tc>
        <w:tc>
          <w:tcPr>
            <w:tcW w:w="4120" w:type="pct"/>
            <w:vAlign w:val="center"/>
          </w:tcPr>
          <w:p w14:paraId="5D04FE40">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服务团队成员能力评价</w:t>
            </w:r>
          </w:p>
          <w:p w14:paraId="5815E8AD">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投标人拟定的服务团队具有</w:t>
            </w:r>
            <w:r>
              <w:rPr>
                <w:rFonts w:hint="eastAsia" w:ascii="宋体" w:hAnsi="宋体" w:eastAsia="宋体" w:cs="宋体"/>
                <w:color w:val="auto"/>
                <w:kern w:val="0"/>
                <w:sz w:val="21"/>
                <w:szCs w:val="21"/>
                <w:lang w:eastAsia="zh-CN"/>
              </w:rPr>
              <w:t>国家人力资源和社会保障部及工业和信息化部共同</w:t>
            </w:r>
            <w:r>
              <w:rPr>
                <w:rFonts w:hint="eastAsia" w:ascii="宋体" w:hAnsi="宋体" w:eastAsia="宋体" w:cs="宋体"/>
                <w:color w:val="auto"/>
                <w:kern w:val="0"/>
                <w:sz w:val="21"/>
                <w:szCs w:val="21"/>
              </w:rPr>
              <w:t>颁发的“计算机技术与软件专业技术资格”</w:t>
            </w:r>
            <w:r>
              <w:rPr>
                <w:rFonts w:hint="eastAsia" w:ascii="宋体" w:hAnsi="宋体" w:eastAsia="宋体" w:cs="宋体"/>
                <w:color w:val="auto"/>
                <w:kern w:val="0"/>
                <w:sz w:val="21"/>
                <w:szCs w:val="21"/>
                <w:lang w:val="en-US" w:eastAsia="zh-CN"/>
              </w:rPr>
              <w:t>类</w:t>
            </w:r>
            <w:r>
              <w:rPr>
                <w:rFonts w:hint="eastAsia" w:ascii="宋体" w:hAnsi="宋体" w:eastAsia="宋体" w:cs="宋体"/>
                <w:color w:val="auto"/>
                <w:kern w:val="0"/>
                <w:sz w:val="21"/>
                <w:szCs w:val="21"/>
              </w:rPr>
              <w:t>证书，</w:t>
            </w:r>
          </w:p>
          <w:p w14:paraId="78C19848">
            <w:pPr>
              <w:pStyle w:val="39"/>
              <w:keepNext w:val="0"/>
              <w:keepLines w:val="0"/>
              <w:pageBreakBefore w:val="0"/>
              <w:widowControl w:val="0"/>
              <w:numPr>
                <w:ilvl w:val="0"/>
                <w:numId w:val="100"/>
              </w:numPr>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配备的团队成员（不含项目负责人）具有四种及以上高级资格专业的得2分；</w:t>
            </w:r>
          </w:p>
          <w:p w14:paraId="193E87BA">
            <w:pPr>
              <w:pStyle w:val="39"/>
              <w:keepNext w:val="0"/>
              <w:keepLines w:val="0"/>
              <w:pageBreakBefore w:val="0"/>
              <w:widowControl w:val="0"/>
              <w:numPr>
                <w:ilvl w:val="0"/>
                <w:numId w:val="100"/>
              </w:numPr>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除项目负责人外，每</w:t>
            </w:r>
            <w:r>
              <w:rPr>
                <w:rFonts w:hint="eastAsia" w:ascii="宋体" w:hAnsi="宋体" w:eastAsia="宋体" w:cs="宋体"/>
                <w:color w:val="auto"/>
                <w:kern w:val="0"/>
                <w:sz w:val="21"/>
                <w:szCs w:val="21"/>
              </w:rPr>
              <w:t>具有</w:t>
            </w:r>
            <w:r>
              <w:rPr>
                <w:rFonts w:hint="eastAsia" w:ascii="宋体" w:hAnsi="宋体" w:eastAsia="宋体" w:cs="宋体"/>
                <w:color w:val="auto"/>
                <w:kern w:val="0"/>
                <w:sz w:val="21"/>
                <w:szCs w:val="21"/>
                <w:lang w:val="en-US" w:eastAsia="zh-CN"/>
              </w:rPr>
              <w:t>一名</w:t>
            </w:r>
            <w:r>
              <w:rPr>
                <w:rFonts w:hint="eastAsia" w:ascii="宋体" w:hAnsi="宋体" w:eastAsia="宋体" w:cs="宋体"/>
                <w:color w:val="auto"/>
                <w:kern w:val="0"/>
                <w:sz w:val="21"/>
                <w:szCs w:val="21"/>
              </w:rPr>
              <w:t>高级资格专业的得</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分</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2"/>
                <w:sz w:val="21"/>
                <w:szCs w:val="21"/>
                <w:lang w:val="en-US" w:eastAsia="zh-CN" w:bidi="ar-SA"/>
              </w:rPr>
              <w:t>每有一项中级</w:t>
            </w:r>
            <w:r>
              <w:rPr>
                <w:rFonts w:hint="eastAsia" w:ascii="宋体" w:hAnsi="宋体" w:eastAsia="宋体" w:cs="宋体"/>
                <w:color w:val="auto"/>
                <w:kern w:val="0"/>
                <w:sz w:val="21"/>
                <w:szCs w:val="21"/>
              </w:rPr>
              <w:t>资格</w:t>
            </w:r>
            <w:r>
              <w:rPr>
                <w:rFonts w:hint="eastAsia" w:ascii="宋体" w:hAnsi="宋体" w:eastAsia="宋体" w:cs="宋体"/>
                <w:color w:val="auto"/>
                <w:kern w:val="2"/>
                <w:sz w:val="21"/>
                <w:szCs w:val="21"/>
                <w:lang w:val="en-US" w:eastAsia="zh-CN" w:bidi="ar-SA"/>
              </w:rPr>
              <w:t>专业得0.5分，</w:t>
            </w:r>
            <w:r>
              <w:rPr>
                <w:rFonts w:hint="eastAsia" w:ascii="宋体" w:hAnsi="宋体" w:eastAsia="宋体" w:cs="宋体"/>
                <w:color w:val="auto"/>
                <w:kern w:val="0"/>
                <w:sz w:val="21"/>
                <w:szCs w:val="21"/>
              </w:rPr>
              <w:t>本</w:t>
            </w:r>
            <w:r>
              <w:rPr>
                <w:rFonts w:hint="eastAsia" w:ascii="宋体" w:hAnsi="宋体" w:eastAsia="宋体" w:cs="宋体"/>
                <w:color w:val="auto"/>
                <w:kern w:val="0"/>
                <w:sz w:val="21"/>
                <w:szCs w:val="21"/>
                <w:lang w:val="en-US" w:eastAsia="zh-CN"/>
              </w:rPr>
              <w:t>小项</w:t>
            </w:r>
            <w:r>
              <w:rPr>
                <w:rFonts w:hint="eastAsia" w:ascii="宋体" w:hAnsi="宋体" w:eastAsia="宋体" w:cs="宋体"/>
                <w:color w:val="auto"/>
                <w:kern w:val="0"/>
                <w:sz w:val="21"/>
                <w:szCs w:val="21"/>
              </w:rPr>
              <w:t>最高得</w:t>
            </w:r>
            <w:r>
              <w:rPr>
                <w:rFonts w:hint="eastAsia" w:ascii="宋体" w:hAnsi="宋体" w:eastAsia="宋体" w:cs="宋体"/>
                <w:i w:val="0"/>
                <w:iCs w:val="0"/>
                <w:color w:val="auto"/>
                <w:kern w:val="0"/>
                <w:sz w:val="21"/>
                <w:szCs w:val="21"/>
                <w:lang w:val="en-US" w:eastAsia="zh-CN"/>
              </w:rPr>
              <w:t>5</w:t>
            </w:r>
            <w:r>
              <w:rPr>
                <w:rFonts w:hint="eastAsia" w:ascii="宋体" w:hAnsi="宋体" w:eastAsia="宋体" w:cs="宋体"/>
                <w:color w:val="auto"/>
                <w:kern w:val="0"/>
                <w:sz w:val="21"/>
                <w:szCs w:val="21"/>
              </w:rPr>
              <w:t>分</w:t>
            </w:r>
            <w:r>
              <w:rPr>
                <w:rFonts w:hint="eastAsia" w:ascii="宋体" w:hAnsi="宋体" w:eastAsia="宋体" w:cs="宋体"/>
                <w:color w:val="auto"/>
                <w:kern w:val="0"/>
                <w:sz w:val="21"/>
                <w:szCs w:val="21"/>
                <w:lang w:val="en-US" w:eastAsia="zh-CN" w:bidi="ar-SA"/>
              </w:rPr>
              <w:t>（一人持多资格专业的按较高资格计算）</w:t>
            </w:r>
          </w:p>
          <w:p w14:paraId="7229C9D5">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b/>
                <w:bCs/>
                <w:color w:val="auto"/>
                <w:kern w:val="0"/>
                <w:sz w:val="21"/>
                <w:szCs w:val="21"/>
              </w:rPr>
              <w:t>有效证明文件：</w:t>
            </w:r>
            <w:r>
              <w:rPr>
                <w:rFonts w:hint="eastAsia" w:ascii="宋体" w:hAnsi="宋体" w:eastAsia="宋体" w:cs="宋体"/>
                <w:color w:val="auto"/>
                <w:kern w:val="0"/>
                <w:sz w:val="21"/>
                <w:szCs w:val="21"/>
              </w:rPr>
              <w:t>劳动合同或在本单位的社保缴纳记录等证明其为投标人在职员工的证明材料（社保机构网上打印件与社保机构出具的具有同等效力，</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退休返聘</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“劳务派遣”视为非在职员工。）</w:t>
            </w:r>
            <w:r>
              <w:rPr>
                <w:rFonts w:hint="eastAsia" w:ascii="宋体" w:hAnsi="宋体" w:eastAsia="宋体" w:cs="宋体"/>
                <w:color w:val="auto"/>
                <w:kern w:val="0"/>
                <w:sz w:val="21"/>
                <w:szCs w:val="21"/>
                <w:lang w:eastAsia="zh-CN"/>
              </w:rPr>
              <w:t>；相关证书</w:t>
            </w:r>
            <w:r>
              <w:rPr>
                <w:rFonts w:hint="eastAsia" w:ascii="宋体" w:hAnsi="宋体" w:eastAsia="宋体" w:cs="宋体"/>
                <w:color w:val="auto"/>
                <w:kern w:val="0"/>
                <w:sz w:val="21"/>
                <w:szCs w:val="21"/>
                <w:lang w:val="en-US" w:eastAsia="zh-CN"/>
              </w:rPr>
              <w:t>复制</w:t>
            </w:r>
            <w:r>
              <w:rPr>
                <w:rFonts w:hint="eastAsia" w:ascii="宋体" w:hAnsi="宋体" w:eastAsia="宋体" w:cs="宋体"/>
                <w:color w:val="auto"/>
                <w:kern w:val="0"/>
                <w:sz w:val="21"/>
                <w:szCs w:val="21"/>
                <w:lang w:eastAsia="zh-CN"/>
              </w:rPr>
              <w:t>件（证书须为国家人力资源和社会保障部及工业和信息化部共同颁发，其他培训等机构颁发的无效）。</w:t>
            </w:r>
          </w:p>
        </w:tc>
        <w:tc>
          <w:tcPr>
            <w:tcW w:w="433" w:type="pct"/>
            <w:gridSpan w:val="2"/>
            <w:vAlign w:val="center"/>
          </w:tcPr>
          <w:p w14:paraId="3369B916">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w:t>
            </w:r>
          </w:p>
        </w:tc>
      </w:tr>
      <w:tr w14:paraId="26B2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61696AC3">
            <w:pPr>
              <w:pStyle w:val="39"/>
              <w:keepNext w:val="0"/>
              <w:keepLines w:val="0"/>
              <w:pageBreakBefore w:val="0"/>
              <w:widowControl w:val="0"/>
              <w:numPr>
                <w:ilvl w:val="0"/>
                <w:numId w:val="94"/>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lang w:eastAsia="zh-CN"/>
              </w:rPr>
            </w:pPr>
          </w:p>
        </w:tc>
        <w:tc>
          <w:tcPr>
            <w:tcW w:w="4120" w:type="pct"/>
            <w:vAlign w:val="center"/>
          </w:tcPr>
          <w:p w14:paraId="20E2F224">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投标人资质评价</w:t>
            </w:r>
          </w:p>
          <w:p w14:paraId="287C107D">
            <w:pPr>
              <w:pStyle w:val="39"/>
              <w:keepNext w:val="0"/>
              <w:keepLines w:val="0"/>
              <w:pageBreakBefore w:val="0"/>
              <w:widowControl w:val="0"/>
              <w:numPr>
                <w:ilvl w:val="0"/>
                <w:numId w:val="101"/>
              </w:numPr>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bidi="ar"/>
              </w:rPr>
              <w:t>投标人具有ISO9001质量管理体系认证、ISO27001信息安全管理体系认证、ISO20000信息技术服务管理体系认证</w:t>
            </w:r>
            <w:r>
              <w:rPr>
                <w:rFonts w:hint="eastAsia" w:ascii="宋体" w:hAnsi="宋体" w:eastAsia="宋体" w:cs="宋体"/>
                <w:color w:val="auto"/>
                <w:kern w:val="0"/>
                <w:sz w:val="21"/>
                <w:szCs w:val="21"/>
                <w:lang w:eastAsia="zh-CN" w:bidi="ar"/>
              </w:rPr>
              <w:t>、</w:t>
            </w:r>
            <w:r>
              <w:rPr>
                <w:rFonts w:hint="eastAsia" w:ascii="宋体" w:hAnsi="宋体" w:eastAsia="宋体" w:cs="宋体"/>
                <w:color w:val="000000"/>
                <w:kern w:val="0"/>
                <w:sz w:val="21"/>
                <w:szCs w:val="21"/>
                <w:lang w:bidi="ar"/>
              </w:rPr>
              <w:t>ISO22301业务连续性管理体系认证证书</w:t>
            </w:r>
            <w:r>
              <w:rPr>
                <w:rFonts w:hint="eastAsia" w:ascii="宋体" w:hAnsi="宋体" w:eastAsia="宋体" w:cs="宋体"/>
                <w:color w:val="auto"/>
                <w:kern w:val="0"/>
                <w:sz w:val="21"/>
                <w:szCs w:val="21"/>
                <w:lang w:bidi="ar"/>
              </w:rPr>
              <w:t>的。每提供一项得</w:t>
            </w:r>
            <w:r>
              <w:rPr>
                <w:rFonts w:hint="eastAsia"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分，满分</w:t>
            </w:r>
            <w:r>
              <w:rPr>
                <w:rFonts w:hint="eastAsia" w:ascii="宋体" w:hAnsi="宋体" w:eastAsia="宋体" w:cs="宋体"/>
                <w:color w:val="auto"/>
                <w:kern w:val="0"/>
                <w:sz w:val="21"/>
                <w:szCs w:val="21"/>
                <w:lang w:val="en-US" w:eastAsia="zh-CN" w:bidi="ar"/>
              </w:rPr>
              <w:t>4</w:t>
            </w:r>
            <w:r>
              <w:rPr>
                <w:rFonts w:hint="eastAsia" w:ascii="宋体" w:hAnsi="宋体" w:eastAsia="宋体" w:cs="宋体"/>
                <w:color w:val="auto"/>
                <w:kern w:val="0"/>
                <w:sz w:val="21"/>
                <w:szCs w:val="21"/>
                <w:lang w:bidi="ar"/>
              </w:rPr>
              <w:t>分。</w:t>
            </w:r>
          </w:p>
          <w:p w14:paraId="32E84385">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kern w:val="0"/>
                <w:sz w:val="21"/>
                <w:szCs w:val="21"/>
                <w:lang w:val="en-US" w:eastAsia="zh-CN"/>
              </w:rPr>
            </w:pPr>
            <w:r>
              <w:rPr>
                <w:rFonts w:hint="eastAsia" w:ascii="宋体" w:hAnsi="宋体" w:eastAsia="宋体" w:cs="宋体"/>
                <w:b/>
                <w:bCs/>
                <w:color w:val="auto"/>
                <w:kern w:val="0"/>
                <w:sz w:val="21"/>
                <w:szCs w:val="21"/>
              </w:rPr>
              <w:t>有效证明文件：</w:t>
            </w:r>
            <w:r>
              <w:rPr>
                <w:rFonts w:hint="eastAsia" w:ascii="宋体" w:hAnsi="宋体" w:eastAsia="宋体" w:cs="宋体"/>
                <w:color w:val="auto"/>
                <w:sz w:val="21"/>
                <w:szCs w:val="21"/>
                <w:lang w:val="en-US" w:eastAsia="zh-CN"/>
              </w:rPr>
              <w:t>有效期内证书</w:t>
            </w:r>
            <w:r>
              <w:rPr>
                <w:rFonts w:hint="eastAsia" w:ascii="宋体" w:hAnsi="宋体" w:eastAsia="宋体" w:cs="宋体"/>
                <w:color w:val="auto"/>
                <w:sz w:val="21"/>
                <w:szCs w:val="21"/>
              </w:rPr>
              <w:t>复制件</w:t>
            </w:r>
            <w:r>
              <w:rPr>
                <w:rFonts w:hint="eastAsia" w:ascii="宋体" w:hAnsi="宋体" w:eastAsia="宋体" w:cs="宋体"/>
                <w:b w:val="0"/>
                <w:bCs w:val="0"/>
                <w:color w:val="auto"/>
                <w:kern w:val="0"/>
                <w:sz w:val="21"/>
                <w:szCs w:val="21"/>
                <w:lang w:val="en-US" w:eastAsia="zh-CN"/>
              </w:rPr>
              <w:t>。</w:t>
            </w:r>
          </w:p>
        </w:tc>
        <w:tc>
          <w:tcPr>
            <w:tcW w:w="433" w:type="pct"/>
            <w:gridSpan w:val="2"/>
            <w:vAlign w:val="center"/>
          </w:tcPr>
          <w:p w14:paraId="57E7B6FC">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r>
      <w:tr w14:paraId="307A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653AF420">
            <w:pPr>
              <w:pStyle w:val="39"/>
              <w:keepNext w:val="0"/>
              <w:keepLines w:val="0"/>
              <w:pageBreakBefore w:val="0"/>
              <w:widowControl w:val="0"/>
              <w:numPr>
                <w:ilvl w:val="0"/>
                <w:numId w:val="94"/>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lang w:eastAsia="zh-CN"/>
              </w:rPr>
            </w:pPr>
          </w:p>
        </w:tc>
        <w:tc>
          <w:tcPr>
            <w:tcW w:w="4120" w:type="pct"/>
            <w:vAlign w:val="center"/>
          </w:tcPr>
          <w:p w14:paraId="1A39BED2">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b/>
                <w:bCs/>
                <w:color w:val="auto"/>
                <w:sz w:val="21"/>
                <w:szCs w:val="21"/>
                <w:lang w:val="en-US" w:eastAsia="zh-Hans"/>
              </w:rPr>
            </w:pPr>
            <w:r>
              <w:rPr>
                <w:rFonts w:hint="eastAsia" w:ascii="宋体" w:hAnsi="宋体" w:eastAsia="宋体" w:cs="宋体"/>
                <w:b/>
                <w:bCs/>
                <w:color w:val="auto"/>
                <w:sz w:val="21"/>
                <w:szCs w:val="21"/>
                <w:lang w:val="en-US" w:eastAsia="zh-Hans"/>
              </w:rPr>
              <w:t>以往业绩评价</w:t>
            </w:r>
          </w:p>
          <w:p w14:paraId="48429F0A">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lang w:val="en-US" w:eastAsia="zh-Hans"/>
              </w:rPr>
            </w:pPr>
            <w:r>
              <w:rPr>
                <w:rFonts w:hint="eastAsia" w:ascii="宋体" w:hAnsi="宋体" w:eastAsia="宋体" w:cs="宋体"/>
                <w:color w:val="auto"/>
                <w:sz w:val="21"/>
                <w:szCs w:val="21"/>
                <w:lang w:val="en-US" w:eastAsia="zh-Hans"/>
              </w:rPr>
              <w:t>往年具有类似项目成交案例，每提供1个得</w:t>
            </w:r>
            <w:r>
              <w:rPr>
                <w:rFonts w:hint="eastAsia" w:ascii="宋体" w:hAnsi="宋体" w:eastAsia="宋体" w:cs="宋体"/>
                <w:color w:val="auto"/>
                <w:sz w:val="21"/>
                <w:szCs w:val="21"/>
                <w:lang w:eastAsia="zh-Hans"/>
              </w:rPr>
              <w:t>0.5</w:t>
            </w:r>
            <w:r>
              <w:rPr>
                <w:rFonts w:hint="eastAsia" w:ascii="宋体" w:hAnsi="宋体" w:eastAsia="宋体" w:cs="宋体"/>
                <w:color w:val="auto"/>
                <w:sz w:val="21"/>
                <w:szCs w:val="21"/>
                <w:lang w:val="en-US" w:eastAsia="zh-Hans"/>
              </w:rPr>
              <w:t>分，最多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en-US" w:eastAsia="zh-Hans"/>
              </w:rPr>
              <w:t>分。</w:t>
            </w:r>
          </w:p>
          <w:p w14:paraId="498663EA">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lang w:val="en-US" w:eastAsia="zh-Hans"/>
              </w:rPr>
            </w:pPr>
            <w:r>
              <w:rPr>
                <w:rFonts w:hint="eastAsia" w:ascii="宋体" w:hAnsi="宋体" w:eastAsia="宋体" w:cs="宋体"/>
                <w:b/>
                <w:bCs/>
                <w:color w:val="auto"/>
                <w:sz w:val="21"/>
                <w:szCs w:val="21"/>
                <w:lang w:val="en-US" w:eastAsia="zh-Hans"/>
              </w:rPr>
              <w:t>有效证明文件：</w:t>
            </w:r>
            <w:r>
              <w:rPr>
                <w:rFonts w:hint="eastAsia" w:ascii="宋体" w:hAnsi="宋体" w:eastAsia="宋体" w:cs="宋体"/>
                <w:color w:val="auto"/>
                <w:sz w:val="21"/>
                <w:szCs w:val="21"/>
                <w:lang w:val="en-US" w:eastAsia="zh-Hans"/>
              </w:rPr>
              <w:t>合同复制件</w:t>
            </w:r>
          </w:p>
        </w:tc>
        <w:tc>
          <w:tcPr>
            <w:tcW w:w="433" w:type="pct"/>
            <w:gridSpan w:val="2"/>
            <w:vAlign w:val="center"/>
          </w:tcPr>
          <w:p w14:paraId="3C23DF3E">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w:t>
            </w:r>
          </w:p>
        </w:tc>
      </w:tr>
      <w:tr w14:paraId="02AB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18010DB9">
            <w:pPr>
              <w:pStyle w:val="39"/>
              <w:keepNext w:val="0"/>
              <w:keepLines w:val="0"/>
              <w:pageBreakBefore w:val="0"/>
              <w:widowControl w:val="0"/>
              <w:numPr>
                <w:ilvl w:val="0"/>
                <w:numId w:val="94"/>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lang w:eastAsia="zh-CN"/>
              </w:rPr>
            </w:pPr>
          </w:p>
        </w:tc>
        <w:tc>
          <w:tcPr>
            <w:tcW w:w="4120" w:type="pct"/>
            <w:vAlign w:val="center"/>
          </w:tcPr>
          <w:p w14:paraId="35A838D3">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报价评价</w:t>
            </w:r>
          </w:p>
          <w:p w14:paraId="1EAB2C46">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（1）满足招标文件要求的最低评标价为评标基准价，价格分满分为10；</w:t>
            </w:r>
          </w:p>
          <w:p w14:paraId="50DA8920">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（2）报价分统一按照下列公式计算（四舍五入，精确到小数点后二位）：报价得分=（评标基准价／供应商评标价）×10；</w:t>
            </w:r>
          </w:p>
        </w:tc>
        <w:tc>
          <w:tcPr>
            <w:tcW w:w="433" w:type="pct"/>
            <w:gridSpan w:val="2"/>
            <w:vAlign w:val="center"/>
          </w:tcPr>
          <w:p w14:paraId="3801ABDD">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w:t>
            </w:r>
          </w:p>
        </w:tc>
      </w:tr>
      <w:tr w14:paraId="62BF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jc w:val="center"/>
        </w:trPr>
        <w:tc>
          <w:tcPr>
            <w:tcW w:w="4566" w:type="pct"/>
            <w:gridSpan w:val="2"/>
            <w:vAlign w:val="center"/>
          </w:tcPr>
          <w:p w14:paraId="302912B2">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sz w:val="21"/>
                <w:szCs w:val="21"/>
                <w:lang w:val="en-US" w:eastAsia="zh-Hans"/>
              </w:rPr>
            </w:pPr>
            <w:r>
              <w:rPr>
                <w:rFonts w:hint="eastAsia" w:ascii="宋体" w:hAnsi="宋体" w:eastAsia="宋体" w:cs="宋体"/>
                <w:color w:val="auto"/>
                <w:sz w:val="21"/>
                <w:szCs w:val="21"/>
                <w:lang w:val="en-US" w:eastAsia="zh-Hans"/>
              </w:rPr>
              <w:t>合计</w:t>
            </w:r>
          </w:p>
        </w:tc>
        <w:tc>
          <w:tcPr>
            <w:tcW w:w="431" w:type="pct"/>
            <w:vAlign w:val="center"/>
          </w:tcPr>
          <w:p w14:paraId="21ABB0D7">
            <w:pPr>
              <w:pStyle w:val="39"/>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SUM(ABOVE) \* MERGEFORMAT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100</w:t>
            </w:r>
            <w:r>
              <w:rPr>
                <w:rFonts w:hint="eastAsia" w:ascii="宋体" w:hAnsi="宋体" w:eastAsia="宋体" w:cs="宋体"/>
                <w:color w:val="auto"/>
                <w:kern w:val="0"/>
                <w:sz w:val="21"/>
                <w:szCs w:val="21"/>
              </w:rPr>
              <w:fldChar w:fldCharType="end"/>
            </w:r>
          </w:p>
        </w:tc>
      </w:tr>
    </w:tbl>
    <w:p w14:paraId="5508CA06">
      <w:pPr>
        <w:pStyle w:val="43"/>
        <w:keepNext w:val="0"/>
        <w:keepLines w:val="0"/>
        <w:pageBreakBefore w:val="0"/>
        <w:widowControl w:val="0"/>
        <w:numPr>
          <w:ilvl w:val="2"/>
          <w:numId w:val="88"/>
        </w:numPr>
        <w:kinsoku/>
        <w:wordWrap/>
        <w:overflowPunct/>
        <w:topLinePunct w:val="0"/>
        <w:autoSpaceDE/>
        <w:autoSpaceDN/>
        <w:bidi w:val="0"/>
        <w:adjustRightInd w:val="0"/>
        <w:snapToGrid/>
        <w:ind w:left="0" w:firstLine="0" w:firstLineChars="0"/>
        <w:textAlignment w:val="auto"/>
        <w:rPr>
          <w:rFonts w:hint="eastAsia"/>
          <w:b w:val="0"/>
          <w:bCs w:val="0"/>
          <w:color w:val="auto"/>
          <w:u w:val="none"/>
          <w:lang w:val="en-US" w:eastAsia="zh-CN"/>
        </w:rPr>
      </w:pPr>
      <w:bookmarkStart w:id="427" w:name="_Toc312904074"/>
      <w:bookmarkStart w:id="428" w:name="_Toc158787710"/>
      <w:r>
        <w:rPr>
          <w:rFonts w:hint="eastAsia"/>
          <w:lang w:val="en-US" w:eastAsia="zh-CN"/>
        </w:rPr>
        <w:t>标项二适用评分标准</w:t>
      </w:r>
      <w:bookmarkEnd w:id="427"/>
      <w:bookmarkEnd w:id="428"/>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6994"/>
        <w:gridCol w:w="736"/>
      </w:tblGrid>
      <w:tr w14:paraId="37A7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2" w:type="pct"/>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6F52AF2D">
            <w:pPr>
              <w:pStyle w:val="39"/>
              <w:adjustRightInd w:val="0"/>
              <w:snapToGrid w:val="0"/>
              <w:spacing w:line="360" w:lineRule="auto"/>
              <w:ind w:left="0" w:leftChars="0" w:firstLine="0" w:firstLineChars="0"/>
              <w:jc w:val="center"/>
              <w:rPr>
                <w:rFonts w:hint="eastAsia" w:ascii="宋体" w:hAnsi="宋体" w:eastAsia="宋体" w:cs="宋体"/>
                <w:b/>
                <w:bCs/>
                <w:i w:val="0"/>
                <w:color w:val="auto"/>
                <w:kern w:val="0"/>
                <w:sz w:val="21"/>
                <w:szCs w:val="21"/>
              </w:rPr>
            </w:pPr>
            <w:r>
              <w:rPr>
                <w:rFonts w:hint="eastAsia" w:ascii="宋体" w:hAnsi="宋体" w:eastAsia="宋体" w:cs="宋体"/>
                <w:b/>
                <w:bCs/>
                <w:i w:val="0"/>
                <w:color w:val="auto"/>
                <w:kern w:val="0"/>
                <w:sz w:val="21"/>
                <w:szCs w:val="21"/>
                <w:lang w:eastAsia="zh-CN"/>
              </w:rPr>
              <w:t>序号</w:t>
            </w:r>
          </w:p>
        </w:tc>
        <w:tc>
          <w:tcPr>
            <w:tcW w:w="4105"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0A02DB89">
            <w:pPr>
              <w:pStyle w:val="39"/>
              <w:adjustRightInd w:val="0"/>
              <w:snapToGrid w:val="0"/>
              <w:spacing w:line="360" w:lineRule="auto"/>
              <w:ind w:firstLine="0" w:firstLineChars="0"/>
              <w:jc w:val="center"/>
              <w:rPr>
                <w:rFonts w:hint="eastAsia" w:ascii="宋体" w:hAnsi="宋体" w:eastAsia="宋体" w:cs="宋体"/>
                <w:b/>
                <w:bCs/>
                <w:i w:val="0"/>
                <w:color w:val="auto"/>
                <w:kern w:val="0"/>
                <w:sz w:val="21"/>
                <w:szCs w:val="21"/>
              </w:rPr>
            </w:pPr>
            <w:r>
              <w:rPr>
                <w:rFonts w:hint="eastAsia" w:ascii="宋体" w:hAnsi="宋体" w:eastAsia="宋体" w:cs="宋体"/>
                <w:b/>
                <w:bCs/>
                <w:i w:val="0"/>
                <w:color w:val="auto"/>
                <w:kern w:val="0"/>
                <w:sz w:val="21"/>
                <w:szCs w:val="21"/>
              </w:rPr>
              <w:t>评分项</w:t>
            </w:r>
          </w:p>
        </w:tc>
        <w:tc>
          <w:tcPr>
            <w:tcW w:w="432"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19AF3EE7">
            <w:pPr>
              <w:pStyle w:val="39"/>
              <w:adjustRightInd w:val="0"/>
              <w:snapToGrid w:val="0"/>
              <w:spacing w:line="360" w:lineRule="auto"/>
              <w:ind w:firstLine="0" w:firstLineChars="0"/>
              <w:jc w:val="center"/>
              <w:rPr>
                <w:rFonts w:hint="eastAsia" w:ascii="宋体" w:hAnsi="宋体" w:eastAsia="宋体" w:cs="宋体"/>
                <w:b/>
                <w:bCs/>
                <w:i w:val="0"/>
                <w:color w:val="auto"/>
                <w:kern w:val="0"/>
                <w:sz w:val="21"/>
                <w:szCs w:val="21"/>
              </w:rPr>
            </w:pPr>
            <w:r>
              <w:rPr>
                <w:rFonts w:hint="eastAsia" w:ascii="宋体" w:hAnsi="宋体" w:eastAsia="宋体" w:cs="宋体"/>
                <w:b/>
                <w:bCs/>
                <w:i w:val="0"/>
                <w:color w:val="auto"/>
                <w:kern w:val="0"/>
                <w:sz w:val="21"/>
                <w:szCs w:val="21"/>
              </w:rPr>
              <w:t>分值</w:t>
            </w:r>
          </w:p>
        </w:tc>
      </w:tr>
      <w:tr w14:paraId="5702A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752DBE66">
            <w:pPr>
              <w:pStyle w:val="39"/>
              <w:numPr>
                <w:ilvl w:val="0"/>
                <w:numId w:val="102"/>
              </w:numPr>
              <w:adjustRightInd w:val="0"/>
              <w:snapToGrid w:val="0"/>
              <w:spacing w:line="360" w:lineRule="auto"/>
              <w:ind w:left="-415" w:leftChars="0" w:firstLine="0" w:firstLineChars="0"/>
              <w:jc w:val="center"/>
              <w:rPr>
                <w:rFonts w:hint="eastAsia" w:ascii="宋体" w:hAnsi="宋体" w:eastAsia="宋体" w:cs="宋体"/>
                <w:color w:val="auto"/>
                <w:kern w:val="0"/>
                <w:sz w:val="21"/>
                <w:szCs w:val="21"/>
                <w:lang w:eastAsia="zh-CN"/>
              </w:rPr>
            </w:pPr>
          </w:p>
        </w:tc>
        <w:tc>
          <w:tcPr>
            <w:tcW w:w="4105" w:type="pct"/>
            <w:vAlign w:val="center"/>
          </w:tcPr>
          <w:p w14:paraId="18FD0A70">
            <w:pPr>
              <w:pStyle w:val="39"/>
              <w:adjustRightInd w:val="0"/>
              <w:snapToGrid w:val="0"/>
              <w:spacing w:line="360" w:lineRule="auto"/>
              <w:ind w:firstLine="0" w:firstLineChars="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项目需求分析评价</w:t>
            </w:r>
          </w:p>
          <w:p w14:paraId="278CF884">
            <w:pPr>
              <w:pStyle w:val="39"/>
              <w:adjustRightInd w:val="0"/>
              <w:snapToGrid w:val="0"/>
              <w:spacing w:line="360" w:lineRule="auto"/>
              <w:ind w:firstLine="0" w:firstLineChars="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对项目</w:t>
            </w:r>
            <w:r>
              <w:rPr>
                <w:rFonts w:hint="eastAsia" w:ascii="宋体" w:hAnsi="宋体" w:eastAsia="宋体" w:cs="宋体"/>
                <w:color w:val="auto"/>
                <w:sz w:val="21"/>
                <w:szCs w:val="21"/>
                <w:lang w:eastAsia="zh-CN"/>
              </w:rPr>
              <w:t>需求</w:t>
            </w:r>
            <w:r>
              <w:rPr>
                <w:rFonts w:hint="eastAsia" w:ascii="宋体" w:hAnsi="宋体" w:eastAsia="宋体" w:cs="宋体"/>
                <w:color w:val="auto"/>
                <w:sz w:val="21"/>
                <w:szCs w:val="21"/>
              </w:rPr>
              <w:t>的理解</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对本项目背景和现状、相关标准及规范的了解程度，项目目标和总体</w:t>
            </w:r>
            <w:r>
              <w:rPr>
                <w:rFonts w:hint="eastAsia" w:ascii="宋体" w:hAnsi="宋体" w:eastAsia="宋体" w:cs="宋体"/>
                <w:color w:val="auto"/>
                <w:sz w:val="21"/>
                <w:szCs w:val="21"/>
                <w:lang w:val="en-US" w:eastAsia="zh-CN"/>
              </w:rPr>
              <w:t>实施</w:t>
            </w:r>
            <w:r>
              <w:rPr>
                <w:rFonts w:hint="eastAsia" w:ascii="宋体" w:hAnsi="宋体" w:eastAsia="宋体" w:cs="宋体"/>
                <w:color w:val="auto"/>
                <w:sz w:val="21"/>
                <w:szCs w:val="21"/>
              </w:rPr>
              <w:t>路线与</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需求吻合程度。</w:t>
            </w:r>
            <w:r>
              <w:rPr>
                <w:rFonts w:hint="eastAsia" w:ascii="宋体" w:hAnsi="宋体" w:eastAsia="宋体" w:cs="宋体"/>
                <w:color w:val="auto"/>
                <w:sz w:val="21"/>
                <w:szCs w:val="21"/>
                <w:lang w:val="en-US" w:eastAsia="zh-CN"/>
              </w:rPr>
              <w:t>提供监理组织机构及监理组织计划，总体方案</w:t>
            </w:r>
            <w:r>
              <w:rPr>
                <w:rFonts w:hint="eastAsia" w:ascii="宋体" w:hAnsi="宋体" w:eastAsia="宋体" w:cs="宋体"/>
                <w:color w:val="auto"/>
                <w:sz w:val="21"/>
                <w:szCs w:val="21"/>
                <w:lang w:eastAsia="zh-CN"/>
              </w:rPr>
              <w:t>分析</w:t>
            </w:r>
            <w:r>
              <w:rPr>
                <w:rFonts w:hint="eastAsia" w:ascii="宋体" w:hAnsi="宋体" w:eastAsia="宋体" w:cs="宋体"/>
                <w:color w:val="auto"/>
                <w:sz w:val="21"/>
                <w:szCs w:val="21"/>
              </w:rPr>
              <w:t>明确、详尽、业务熟悉、针对性强且</w:t>
            </w:r>
            <w:r>
              <w:rPr>
                <w:rFonts w:hint="eastAsia" w:ascii="宋体" w:hAnsi="宋体" w:eastAsia="宋体" w:cs="宋体"/>
                <w:color w:val="auto"/>
                <w:sz w:val="21"/>
                <w:szCs w:val="21"/>
                <w:lang w:eastAsia="zh-CN"/>
              </w:rPr>
              <w:t>可行性高</w:t>
            </w:r>
            <w:r>
              <w:rPr>
                <w:rFonts w:hint="eastAsia" w:ascii="宋体" w:hAnsi="宋体" w:eastAsia="宋体" w:cs="宋体"/>
                <w:color w:val="auto"/>
                <w:sz w:val="21"/>
                <w:szCs w:val="21"/>
              </w:rPr>
              <w:t>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分；内容有欠缺</w:t>
            </w:r>
            <w:r>
              <w:rPr>
                <w:rFonts w:hint="eastAsia" w:ascii="宋体" w:hAnsi="宋体" w:eastAsia="宋体" w:cs="宋体"/>
                <w:color w:val="auto"/>
                <w:sz w:val="21"/>
                <w:szCs w:val="21"/>
                <w:lang w:eastAsia="zh-CN"/>
              </w:rPr>
              <w:t>或没有针对性但不影响项目实施</w:t>
            </w:r>
            <w:r>
              <w:rPr>
                <w:rFonts w:hint="eastAsia" w:ascii="宋体" w:hAnsi="宋体" w:eastAsia="宋体" w:cs="宋体"/>
                <w:color w:val="auto"/>
                <w:sz w:val="21"/>
                <w:szCs w:val="21"/>
              </w:rPr>
              <w:t>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highlight w:val="none"/>
                <w:lang w:val="en-US" w:eastAsia="zh-CN"/>
              </w:rPr>
              <w:t>缺陷明显且有可能会影响项目实施的得1分，</w:t>
            </w:r>
            <w:r>
              <w:rPr>
                <w:rFonts w:hint="eastAsia" w:ascii="宋体" w:hAnsi="宋体" w:eastAsia="宋体" w:cs="宋体"/>
                <w:color w:val="auto"/>
                <w:sz w:val="21"/>
                <w:szCs w:val="21"/>
                <w:lang w:eastAsia="zh-CN"/>
              </w:rPr>
              <w:t>未提供或完全不符或存在缺陷影响项目实施的不得分。</w:t>
            </w:r>
          </w:p>
          <w:p w14:paraId="1AFCFF05">
            <w:pPr>
              <w:pStyle w:val="39"/>
              <w:adjustRightInd w:val="0"/>
              <w:snapToGrid w:val="0"/>
              <w:spacing w:line="360" w:lineRule="auto"/>
              <w:ind w:firstLine="0" w:firstLineChars="0"/>
              <w:jc w:val="left"/>
              <w:rPr>
                <w:rFonts w:hint="eastAsia" w:ascii="宋体" w:hAnsi="宋体" w:eastAsia="宋体" w:cs="宋体"/>
                <w:color w:val="auto"/>
                <w:sz w:val="21"/>
                <w:szCs w:val="21"/>
                <w:lang w:val="en-US" w:eastAsia="zh-Hans"/>
              </w:rPr>
            </w:pPr>
            <w:r>
              <w:rPr>
                <w:rFonts w:hint="eastAsia" w:ascii="宋体" w:hAnsi="宋体" w:eastAsia="宋体" w:cs="宋体"/>
                <w:sz w:val="21"/>
                <w:szCs w:val="21"/>
                <w:lang w:val="en-US" w:eastAsia="zh-CN"/>
              </w:rPr>
              <w:t>说明：</w:t>
            </w:r>
            <w:r>
              <w:rPr>
                <w:rFonts w:hint="eastAsia" w:ascii="宋体" w:hAnsi="宋体" w:eastAsia="宋体" w:cs="宋体"/>
                <w:sz w:val="21"/>
                <w:szCs w:val="21"/>
              </w:rPr>
              <w:t>内容有欠缺</w:t>
            </w:r>
            <w:r>
              <w:rPr>
                <w:rFonts w:hint="eastAsia" w:ascii="宋体" w:hAnsi="宋体" w:eastAsia="宋体" w:cs="宋体"/>
                <w:sz w:val="21"/>
                <w:szCs w:val="21"/>
                <w:lang w:eastAsia="zh-CN"/>
              </w:rPr>
              <w:t>或没有针对性</w:t>
            </w:r>
            <w:r>
              <w:rPr>
                <w:rFonts w:hint="eastAsia" w:ascii="宋体" w:hAnsi="宋体" w:eastAsia="宋体" w:cs="宋体"/>
                <w:sz w:val="21"/>
                <w:szCs w:val="21"/>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432" w:type="pct"/>
            <w:vAlign w:val="center"/>
          </w:tcPr>
          <w:p w14:paraId="43BC4B19">
            <w:pPr>
              <w:pStyle w:val="39"/>
              <w:adjustRightInd w:val="0"/>
              <w:snapToGrid w:val="0"/>
              <w:spacing w:line="360" w:lineRule="auto"/>
              <w:ind w:firstLine="0" w:firstLineChars="0"/>
              <w:jc w:val="center"/>
              <w:rPr>
                <w:rFonts w:hint="eastAsia" w:ascii="宋体" w:hAnsi="宋体" w:eastAsia="宋体" w:cs="宋体"/>
                <w:color w:val="auto"/>
                <w:kern w:val="0"/>
                <w:sz w:val="21"/>
                <w:szCs w:val="21"/>
                <w:lang w:eastAsia="zh-CN" w:bidi="ar-SA"/>
              </w:rPr>
            </w:pPr>
            <w:r>
              <w:rPr>
                <w:rFonts w:hint="eastAsia" w:ascii="宋体" w:hAnsi="宋体" w:eastAsia="宋体" w:cs="宋体"/>
                <w:color w:val="auto"/>
                <w:kern w:val="0"/>
                <w:sz w:val="21"/>
                <w:szCs w:val="21"/>
                <w:lang w:val="en-US" w:eastAsia="zh-CN"/>
              </w:rPr>
              <w:t>5</w:t>
            </w:r>
          </w:p>
        </w:tc>
      </w:tr>
      <w:tr w14:paraId="1B29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6A856B15">
            <w:pPr>
              <w:pStyle w:val="39"/>
              <w:numPr>
                <w:ilvl w:val="0"/>
                <w:numId w:val="102"/>
              </w:numPr>
              <w:adjustRightInd w:val="0"/>
              <w:snapToGrid w:val="0"/>
              <w:spacing w:line="360" w:lineRule="auto"/>
              <w:ind w:left="-415" w:leftChars="0" w:firstLine="0" w:firstLineChars="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 xml:space="preserve"> </w:t>
            </w:r>
          </w:p>
        </w:tc>
        <w:tc>
          <w:tcPr>
            <w:tcW w:w="4105" w:type="pct"/>
            <w:vAlign w:val="center"/>
          </w:tcPr>
          <w:p w14:paraId="483D1476">
            <w:pPr>
              <w:pStyle w:val="39"/>
              <w:adjustRightInd w:val="0"/>
              <w:snapToGrid w:val="0"/>
              <w:spacing w:line="360" w:lineRule="auto"/>
              <w:ind w:firstLine="0" w:firstLineChars="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重难点分析评价</w:t>
            </w:r>
          </w:p>
          <w:p w14:paraId="0D69105E">
            <w:pPr>
              <w:pStyle w:val="39"/>
              <w:adjustRightInd w:val="0"/>
              <w:snapToGrid w:val="0"/>
              <w:spacing w:line="360" w:lineRule="auto"/>
              <w:ind w:firstLine="0" w:firstLineChars="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供应商对本项目</w:t>
            </w:r>
            <w:r>
              <w:rPr>
                <w:rFonts w:hint="eastAsia" w:ascii="宋体" w:hAnsi="宋体" w:eastAsia="宋体" w:cs="宋体"/>
                <w:color w:val="auto"/>
                <w:sz w:val="21"/>
                <w:szCs w:val="21"/>
                <w:lang w:val="en-US" w:eastAsia="zh-CN"/>
              </w:rPr>
              <w:t>实施</w:t>
            </w:r>
            <w:r>
              <w:rPr>
                <w:rFonts w:hint="eastAsia" w:ascii="宋体" w:hAnsi="宋体" w:eastAsia="宋体" w:cs="宋体"/>
                <w:color w:val="auto"/>
                <w:sz w:val="21"/>
                <w:szCs w:val="21"/>
                <w:lang w:eastAsia="zh-CN"/>
              </w:rPr>
              <w:t>过程中的</w:t>
            </w:r>
            <w:r>
              <w:rPr>
                <w:rFonts w:hint="eastAsia" w:ascii="宋体" w:hAnsi="宋体" w:eastAsia="宋体" w:cs="宋体"/>
                <w:color w:val="auto"/>
                <w:sz w:val="21"/>
                <w:szCs w:val="21"/>
              </w:rPr>
              <w:t>重难点分析清楚准确到位，符合项目实际情况，</w:t>
            </w:r>
            <w:r>
              <w:rPr>
                <w:rFonts w:hint="eastAsia" w:ascii="宋体" w:hAnsi="宋体" w:eastAsia="宋体" w:cs="宋体"/>
                <w:color w:val="auto"/>
                <w:sz w:val="21"/>
                <w:szCs w:val="21"/>
                <w:lang w:val="en-US" w:eastAsia="zh-CN"/>
              </w:rPr>
              <w:t>针对建设项目的监理重点，</w:t>
            </w:r>
            <w:r>
              <w:rPr>
                <w:rFonts w:hint="eastAsia" w:ascii="宋体" w:hAnsi="宋体" w:eastAsia="宋体" w:cs="宋体"/>
                <w:color w:val="auto"/>
                <w:sz w:val="21"/>
                <w:szCs w:val="21"/>
              </w:rPr>
              <w:t>对应的解决方法与措施合理可行，针对性强，具有可操作性的得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分，内容有欠缺</w:t>
            </w:r>
            <w:r>
              <w:rPr>
                <w:rFonts w:hint="eastAsia" w:ascii="宋体" w:hAnsi="宋体" w:eastAsia="宋体" w:cs="宋体"/>
                <w:color w:val="auto"/>
                <w:sz w:val="21"/>
                <w:szCs w:val="21"/>
                <w:lang w:eastAsia="zh-CN"/>
              </w:rPr>
              <w:t>或没有针对性但不影响项目实施</w:t>
            </w:r>
            <w:r>
              <w:rPr>
                <w:rFonts w:hint="eastAsia" w:ascii="宋体" w:hAnsi="宋体" w:eastAsia="宋体" w:cs="宋体"/>
                <w:color w:val="auto"/>
                <w:sz w:val="21"/>
                <w:szCs w:val="21"/>
              </w:rPr>
              <w:t>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highlight w:val="none"/>
                <w:lang w:val="en-US" w:eastAsia="zh-CN"/>
              </w:rPr>
              <w:t>缺陷明显且有可能会影响项目实施的得1分，</w:t>
            </w:r>
            <w:r>
              <w:rPr>
                <w:rFonts w:hint="eastAsia" w:ascii="宋体" w:hAnsi="宋体" w:eastAsia="宋体" w:cs="宋体"/>
                <w:color w:val="auto"/>
                <w:sz w:val="21"/>
                <w:szCs w:val="21"/>
                <w:lang w:eastAsia="zh-CN"/>
              </w:rPr>
              <w:t>未提供或完全不符或存在缺陷影响项目实施的不得分。</w:t>
            </w:r>
          </w:p>
          <w:p w14:paraId="347982B6">
            <w:pPr>
              <w:pStyle w:val="39"/>
              <w:adjustRightInd w:val="0"/>
              <w:snapToGrid w:val="0"/>
              <w:spacing w:line="360" w:lineRule="auto"/>
              <w:ind w:firstLine="0" w:firstLineChars="0"/>
              <w:jc w:val="left"/>
              <w:rPr>
                <w:rFonts w:hint="eastAsia" w:ascii="宋体" w:hAnsi="宋体" w:eastAsia="宋体" w:cs="宋体"/>
                <w:color w:val="auto"/>
                <w:sz w:val="21"/>
                <w:szCs w:val="21"/>
                <w:lang w:val="en-US" w:eastAsia="zh-Hans"/>
              </w:rPr>
            </w:pPr>
            <w:r>
              <w:rPr>
                <w:rFonts w:hint="eastAsia" w:ascii="宋体" w:hAnsi="宋体" w:eastAsia="宋体" w:cs="宋体"/>
                <w:sz w:val="21"/>
                <w:szCs w:val="21"/>
                <w:lang w:val="en-US" w:eastAsia="zh-CN"/>
              </w:rPr>
              <w:t>说明：</w:t>
            </w:r>
            <w:r>
              <w:rPr>
                <w:rFonts w:hint="eastAsia" w:ascii="宋体" w:hAnsi="宋体" w:eastAsia="宋体" w:cs="宋体"/>
                <w:sz w:val="21"/>
                <w:szCs w:val="21"/>
              </w:rPr>
              <w:t>内容有欠缺</w:t>
            </w:r>
            <w:r>
              <w:rPr>
                <w:rFonts w:hint="eastAsia" w:ascii="宋体" w:hAnsi="宋体" w:eastAsia="宋体" w:cs="宋体"/>
                <w:sz w:val="21"/>
                <w:szCs w:val="21"/>
                <w:lang w:eastAsia="zh-CN"/>
              </w:rPr>
              <w:t>或没有针对性</w:t>
            </w:r>
            <w:r>
              <w:rPr>
                <w:rFonts w:hint="eastAsia" w:ascii="宋体" w:hAnsi="宋体" w:eastAsia="宋体" w:cs="宋体"/>
                <w:sz w:val="21"/>
                <w:szCs w:val="21"/>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432" w:type="pct"/>
            <w:vAlign w:val="center"/>
          </w:tcPr>
          <w:p w14:paraId="07F6DAED">
            <w:pPr>
              <w:pStyle w:val="39"/>
              <w:adjustRightInd w:val="0"/>
              <w:snapToGrid w:val="0"/>
              <w:spacing w:line="360" w:lineRule="auto"/>
              <w:ind w:firstLine="0" w:firstLineChars="0"/>
              <w:jc w:val="center"/>
              <w:rPr>
                <w:rFonts w:hint="eastAsia" w:ascii="宋体" w:hAnsi="宋体" w:eastAsia="宋体" w:cs="宋体"/>
                <w:color w:val="auto"/>
                <w:kern w:val="0"/>
                <w:sz w:val="21"/>
                <w:szCs w:val="21"/>
                <w:lang w:eastAsia="zh-CN" w:bidi="ar-SA"/>
              </w:rPr>
            </w:pPr>
            <w:r>
              <w:rPr>
                <w:rFonts w:hint="eastAsia" w:ascii="宋体" w:hAnsi="宋体" w:eastAsia="宋体" w:cs="宋体"/>
                <w:color w:val="auto"/>
                <w:kern w:val="0"/>
                <w:sz w:val="21"/>
                <w:szCs w:val="21"/>
                <w:lang w:val="en-US" w:eastAsia="zh-CN"/>
              </w:rPr>
              <w:t>5</w:t>
            </w:r>
          </w:p>
        </w:tc>
      </w:tr>
      <w:tr w14:paraId="53B3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46918912">
            <w:pPr>
              <w:pStyle w:val="39"/>
              <w:numPr>
                <w:ilvl w:val="0"/>
                <w:numId w:val="102"/>
              </w:numPr>
              <w:adjustRightInd w:val="0"/>
              <w:snapToGrid w:val="0"/>
              <w:spacing w:line="360" w:lineRule="auto"/>
              <w:ind w:left="-415" w:leftChars="0" w:firstLine="0" w:firstLineChars="0"/>
              <w:jc w:val="center"/>
              <w:rPr>
                <w:rFonts w:hint="eastAsia" w:ascii="宋体" w:hAnsi="宋体" w:eastAsia="宋体" w:cs="宋体"/>
                <w:color w:val="auto"/>
                <w:kern w:val="0"/>
                <w:sz w:val="21"/>
                <w:szCs w:val="21"/>
                <w:lang w:eastAsia="zh-CN"/>
              </w:rPr>
            </w:pPr>
          </w:p>
        </w:tc>
        <w:tc>
          <w:tcPr>
            <w:tcW w:w="4105" w:type="pct"/>
            <w:vAlign w:val="center"/>
          </w:tcPr>
          <w:p w14:paraId="4274D486">
            <w:pPr>
              <w:pStyle w:val="39"/>
              <w:adjustRightInd w:val="0"/>
              <w:snapToGrid w:val="0"/>
              <w:spacing w:line="360" w:lineRule="auto"/>
              <w:ind w:firstLine="0" w:firstLineChars="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项目具体实施</w:t>
            </w:r>
            <w:r>
              <w:rPr>
                <w:rFonts w:hint="eastAsia" w:ascii="宋体" w:hAnsi="宋体" w:eastAsia="宋体" w:cs="宋体"/>
                <w:b/>
                <w:bCs/>
                <w:color w:val="auto"/>
                <w:sz w:val="21"/>
                <w:szCs w:val="21"/>
                <w:lang w:eastAsia="zh-CN"/>
              </w:rPr>
              <w:t>方案评价</w:t>
            </w:r>
          </w:p>
          <w:p w14:paraId="7BE0B2E6">
            <w:pPr>
              <w:pStyle w:val="39"/>
              <w:adjustRightInd w:val="0"/>
              <w:snapToGrid w:val="0"/>
              <w:spacing w:line="360" w:lineRule="auto"/>
              <w:ind w:firstLine="0" w:firstLineChars="0"/>
              <w:jc w:val="left"/>
              <w:rPr>
                <w:rFonts w:hint="eastAsia" w:ascii="宋体" w:hAnsi="宋体" w:eastAsia="宋体" w:cs="宋体"/>
                <w:color w:val="auto"/>
                <w:sz w:val="21"/>
                <w:szCs w:val="21"/>
                <w:lang w:eastAsia="zh-CN"/>
              </w:rPr>
            </w:pPr>
            <w:r>
              <w:rPr>
                <w:rFonts w:hint="eastAsia" w:ascii="宋体" w:hAnsi="宋体" w:eastAsia="宋体" w:cs="宋体"/>
                <w:bCs/>
                <w:color w:val="auto"/>
                <w:sz w:val="21"/>
                <w:szCs w:val="21"/>
              </w:rPr>
              <w:t>实施方案应包含目标成果、人员安排和</w:t>
            </w:r>
            <w:r>
              <w:rPr>
                <w:rFonts w:hint="eastAsia" w:ascii="宋体" w:hAnsi="宋体" w:eastAsia="宋体" w:cs="宋体"/>
                <w:bCs/>
                <w:color w:val="auto"/>
                <w:sz w:val="21"/>
                <w:szCs w:val="21"/>
                <w:lang w:val="en-US" w:eastAsia="zh-CN"/>
              </w:rPr>
              <w:t>服务</w:t>
            </w:r>
            <w:r>
              <w:rPr>
                <w:rFonts w:hint="eastAsia" w:ascii="宋体" w:hAnsi="宋体" w:eastAsia="宋体" w:cs="宋体"/>
                <w:bCs/>
                <w:color w:val="auto"/>
                <w:sz w:val="21"/>
                <w:szCs w:val="21"/>
              </w:rPr>
              <w:t>阶段工作计划</w:t>
            </w:r>
            <w:r>
              <w:rPr>
                <w:rFonts w:hint="eastAsia" w:ascii="宋体" w:hAnsi="宋体" w:eastAsia="宋体" w:cs="宋体"/>
                <w:color w:val="auto"/>
                <w:sz w:val="21"/>
                <w:szCs w:val="21"/>
              </w:rPr>
              <w:t>及相应举措</w:t>
            </w:r>
            <w:r>
              <w:rPr>
                <w:rFonts w:hint="eastAsia" w:ascii="宋体" w:hAnsi="宋体" w:eastAsia="宋体" w:cs="宋体"/>
                <w:bCs/>
                <w:color w:val="auto"/>
                <w:sz w:val="21"/>
                <w:szCs w:val="21"/>
              </w:rPr>
              <w:t>等要素且与上述需求分析和技术方案匹配度高，关联性强</w:t>
            </w:r>
            <w:r>
              <w:rPr>
                <w:rFonts w:hint="eastAsia" w:ascii="宋体" w:hAnsi="宋体" w:eastAsia="宋体" w:cs="宋体"/>
                <w:color w:val="auto"/>
                <w:sz w:val="21"/>
                <w:szCs w:val="21"/>
                <w:lang w:eastAsia="zh-CN"/>
              </w:rPr>
              <w:t>；</w:t>
            </w:r>
            <w:r>
              <w:rPr>
                <w:rFonts w:hint="eastAsia" w:ascii="宋体" w:hAnsi="宋体" w:eastAsia="宋体" w:cs="宋体"/>
                <w:bCs/>
                <w:color w:val="auto"/>
                <w:sz w:val="21"/>
                <w:szCs w:val="21"/>
              </w:rPr>
              <w:t>目标成果与采购需求完全匹配；人员数量和职责安排合理；阶段工作规划得当，各阶段实施措施能有效支撑采购需求，最大限度的保证成果质量</w:t>
            </w:r>
            <w:r>
              <w:rPr>
                <w:rFonts w:hint="eastAsia" w:ascii="宋体" w:hAnsi="宋体" w:eastAsia="宋体" w:cs="宋体"/>
                <w:bCs/>
                <w:color w:val="auto"/>
                <w:sz w:val="21"/>
                <w:szCs w:val="21"/>
                <w:lang w:eastAsia="zh-CN"/>
              </w:rPr>
              <w:t>，</w:t>
            </w:r>
            <w:r>
              <w:rPr>
                <w:rFonts w:hint="eastAsia" w:ascii="宋体" w:hAnsi="宋体" w:eastAsia="宋体" w:cs="宋体"/>
                <w:color w:val="auto"/>
                <w:sz w:val="21"/>
                <w:szCs w:val="21"/>
                <w:lang w:eastAsia="zh-CN"/>
              </w:rPr>
              <w:t>方案内容完整、针对性强得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分；</w:t>
            </w:r>
            <w:r>
              <w:rPr>
                <w:rFonts w:hint="eastAsia" w:ascii="宋体" w:hAnsi="宋体" w:eastAsia="宋体" w:cs="宋体"/>
                <w:color w:val="auto"/>
                <w:sz w:val="21"/>
                <w:szCs w:val="21"/>
              </w:rPr>
              <w:t>内容有欠缺</w:t>
            </w:r>
            <w:r>
              <w:rPr>
                <w:rFonts w:hint="eastAsia" w:ascii="宋体" w:hAnsi="宋体" w:eastAsia="宋体" w:cs="宋体"/>
                <w:color w:val="auto"/>
                <w:sz w:val="21"/>
                <w:szCs w:val="21"/>
                <w:lang w:eastAsia="zh-CN"/>
              </w:rPr>
              <w:t>或没有针对性但不影响项目实施</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分；</w:t>
            </w:r>
            <w:r>
              <w:rPr>
                <w:rFonts w:hint="eastAsia" w:ascii="宋体" w:hAnsi="宋体" w:eastAsia="宋体" w:cs="宋体"/>
                <w:color w:val="auto"/>
                <w:sz w:val="21"/>
                <w:szCs w:val="21"/>
                <w:highlight w:val="none"/>
                <w:lang w:val="en-US" w:eastAsia="zh-CN"/>
              </w:rPr>
              <w:t>缺陷明显且有可能会影响项目实施的得1分，</w:t>
            </w:r>
            <w:r>
              <w:rPr>
                <w:rFonts w:hint="eastAsia" w:ascii="宋体" w:hAnsi="宋体" w:eastAsia="宋体" w:cs="宋体"/>
                <w:color w:val="auto"/>
                <w:sz w:val="21"/>
                <w:szCs w:val="21"/>
                <w:lang w:eastAsia="zh-CN"/>
              </w:rPr>
              <w:t>未提供或完全不符或存在缺陷影响项目实施的不得分。</w:t>
            </w:r>
          </w:p>
          <w:p w14:paraId="454A3454">
            <w:pPr>
              <w:pStyle w:val="39"/>
              <w:adjustRightInd w:val="0"/>
              <w:snapToGrid w:val="0"/>
              <w:spacing w:line="360" w:lineRule="auto"/>
              <w:ind w:firstLine="0" w:firstLineChars="0"/>
              <w:jc w:val="left"/>
              <w:rPr>
                <w:rFonts w:hint="eastAsia" w:ascii="宋体" w:hAnsi="宋体" w:eastAsia="宋体" w:cs="宋体"/>
                <w:color w:val="auto"/>
                <w:sz w:val="21"/>
                <w:szCs w:val="21"/>
                <w:lang w:val="en-US" w:eastAsia="zh-Hans"/>
              </w:rPr>
            </w:pPr>
            <w:r>
              <w:rPr>
                <w:rFonts w:hint="eastAsia" w:ascii="宋体" w:hAnsi="宋体" w:eastAsia="宋体" w:cs="宋体"/>
                <w:sz w:val="21"/>
                <w:szCs w:val="21"/>
                <w:lang w:val="en-US" w:eastAsia="zh-CN"/>
              </w:rPr>
              <w:t>说明：</w:t>
            </w:r>
            <w:r>
              <w:rPr>
                <w:rFonts w:hint="eastAsia" w:ascii="宋体" w:hAnsi="宋体" w:eastAsia="宋体" w:cs="宋体"/>
                <w:sz w:val="21"/>
                <w:szCs w:val="21"/>
              </w:rPr>
              <w:t>内容有欠缺</w:t>
            </w:r>
            <w:r>
              <w:rPr>
                <w:rFonts w:hint="eastAsia" w:ascii="宋体" w:hAnsi="宋体" w:eastAsia="宋体" w:cs="宋体"/>
                <w:sz w:val="21"/>
                <w:szCs w:val="21"/>
                <w:lang w:eastAsia="zh-CN"/>
              </w:rPr>
              <w:t>或没有针对性</w:t>
            </w:r>
            <w:r>
              <w:rPr>
                <w:rFonts w:hint="eastAsia" w:ascii="宋体" w:hAnsi="宋体" w:eastAsia="宋体" w:cs="宋体"/>
                <w:sz w:val="21"/>
                <w:szCs w:val="21"/>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432" w:type="pct"/>
            <w:vAlign w:val="center"/>
          </w:tcPr>
          <w:p w14:paraId="3054E250">
            <w:pPr>
              <w:pStyle w:val="39"/>
              <w:adjustRightInd w:val="0"/>
              <w:snapToGrid w:val="0"/>
              <w:spacing w:line="360" w:lineRule="auto"/>
              <w:ind w:firstLine="0" w:firstLineChars="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5</w:t>
            </w:r>
          </w:p>
        </w:tc>
      </w:tr>
      <w:tr w14:paraId="05E0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56372BE8">
            <w:pPr>
              <w:pStyle w:val="39"/>
              <w:numPr>
                <w:ilvl w:val="0"/>
                <w:numId w:val="102"/>
              </w:numPr>
              <w:adjustRightInd w:val="0"/>
              <w:snapToGrid w:val="0"/>
              <w:spacing w:line="360" w:lineRule="auto"/>
              <w:ind w:left="-415" w:leftChars="0" w:firstLine="0" w:firstLineChars="0"/>
              <w:jc w:val="center"/>
              <w:rPr>
                <w:rFonts w:hint="eastAsia" w:ascii="宋体" w:hAnsi="宋体" w:eastAsia="宋体" w:cs="宋体"/>
                <w:color w:val="auto"/>
                <w:kern w:val="0"/>
                <w:sz w:val="21"/>
                <w:szCs w:val="21"/>
                <w:lang w:eastAsia="zh-CN"/>
              </w:rPr>
            </w:pPr>
          </w:p>
        </w:tc>
        <w:tc>
          <w:tcPr>
            <w:tcW w:w="4105" w:type="pct"/>
            <w:vAlign w:val="center"/>
          </w:tcPr>
          <w:p w14:paraId="63B68506">
            <w:pPr>
              <w:pStyle w:val="47"/>
              <w:numPr>
                <w:ilvl w:val="0"/>
                <w:numId w:val="0"/>
              </w:numPr>
              <w:adjustRightInd w:val="0"/>
              <w:snapToGrid w:val="0"/>
              <w:spacing w:line="360" w:lineRule="auto"/>
              <w:ind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监理工作质量控制方案评价</w:t>
            </w:r>
          </w:p>
          <w:p w14:paraId="45F617DC">
            <w:pPr>
              <w:pStyle w:val="39"/>
              <w:bidi w:val="0"/>
              <w:adjustRightInd w:val="0"/>
              <w:snapToGrid w:val="0"/>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方案需包括</w:t>
            </w:r>
          </w:p>
          <w:p w14:paraId="483469D2">
            <w:pPr>
              <w:pStyle w:val="39"/>
              <w:numPr>
                <w:ilvl w:val="0"/>
                <w:numId w:val="103"/>
              </w:numPr>
              <w:bidi w:val="0"/>
              <w:adjustRightInd w:val="0"/>
              <w:snapToGrid w:val="0"/>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需求阶段</w:t>
            </w:r>
          </w:p>
          <w:p w14:paraId="4E14DBA4">
            <w:pPr>
              <w:pStyle w:val="39"/>
              <w:numPr>
                <w:ilvl w:val="0"/>
                <w:numId w:val="103"/>
              </w:numPr>
              <w:bidi w:val="0"/>
              <w:adjustRightInd w:val="0"/>
              <w:snapToGrid w:val="0"/>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设计开发阶段</w:t>
            </w:r>
          </w:p>
          <w:p w14:paraId="2EE402E6">
            <w:pPr>
              <w:pStyle w:val="39"/>
              <w:numPr>
                <w:ilvl w:val="0"/>
                <w:numId w:val="103"/>
              </w:numPr>
              <w:bidi w:val="0"/>
              <w:adjustRightInd w:val="0"/>
              <w:snapToGrid w:val="0"/>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实施阶段</w:t>
            </w:r>
          </w:p>
          <w:p w14:paraId="67AD6D01">
            <w:pPr>
              <w:pStyle w:val="39"/>
              <w:numPr>
                <w:ilvl w:val="0"/>
                <w:numId w:val="103"/>
              </w:numPr>
              <w:bidi w:val="0"/>
              <w:adjustRightInd w:val="0"/>
              <w:snapToGrid w:val="0"/>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试运行阶段</w:t>
            </w:r>
          </w:p>
          <w:p w14:paraId="5CB01520">
            <w:pPr>
              <w:pStyle w:val="39"/>
              <w:numPr>
                <w:ilvl w:val="0"/>
                <w:numId w:val="103"/>
              </w:numPr>
              <w:bidi w:val="0"/>
              <w:adjustRightInd w:val="0"/>
              <w:snapToGrid w:val="0"/>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培训阶段</w:t>
            </w:r>
          </w:p>
          <w:p w14:paraId="471D09CD">
            <w:pPr>
              <w:pStyle w:val="39"/>
              <w:numPr>
                <w:ilvl w:val="0"/>
                <w:numId w:val="103"/>
              </w:numPr>
              <w:bidi w:val="0"/>
              <w:adjustRightInd w:val="0"/>
              <w:snapToGrid w:val="0"/>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验收准备阶段</w:t>
            </w:r>
          </w:p>
          <w:p w14:paraId="70301642">
            <w:pPr>
              <w:pStyle w:val="39"/>
              <w:numPr>
                <w:ilvl w:val="0"/>
                <w:numId w:val="0"/>
              </w:numPr>
              <w:bidi w:val="0"/>
              <w:adjustRightInd w:val="0"/>
              <w:snapToGrid w:val="0"/>
              <w:spacing w:line="360" w:lineRule="auto"/>
              <w:ind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方案完整、措施详尽、针对性强且合理可行的</w:t>
            </w:r>
            <w:r>
              <w:rPr>
                <w:rFonts w:hint="eastAsia" w:ascii="宋体" w:hAnsi="宋体" w:eastAsia="宋体" w:cs="宋体"/>
                <w:sz w:val="21"/>
                <w:szCs w:val="21"/>
              </w:rPr>
              <w:t>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val="en-US" w:eastAsia="zh-CN"/>
              </w:rPr>
              <w:t>/项</w:t>
            </w:r>
            <w:r>
              <w:rPr>
                <w:rFonts w:hint="eastAsia" w:ascii="宋体" w:hAnsi="宋体" w:eastAsia="宋体" w:cs="宋体"/>
                <w:sz w:val="21"/>
                <w:szCs w:val="21"/>
              </w:rPr>
              <w:t>，</w:t>
            </w:r>
            <w:r>
              <w:rPr>
                <w:rFonts w:hint="eastAsia" w:ascii="宋体" w:hAnsi="宋体" w:eastAsia="宋体" w:cs="宋体"/>
                <w:sz w:val="21"/>
                <w:szCs w:val="21"/>
                <w:lang w:val="en-US" w:eastAsia="zh-CN"/>
              </w:rPr>
              <w:t>每有一项不完整或有缺陷或与项目不完全匹配的扣1分，每有一项未提供或完全不匹配的不得分。</w:t>
            </w:r>
          </w:p>
          <w:p w14:paraId="0660045B">
            <w:pPr>
              <w:pStyle w:val="39"/>
              <w:adjustRightInd w:val="0"/>
              <w:snapToGrid w:val="0"/>
              <w:spacing w:line="360" w:lineRule="auto"/>
              <w:ind w:firstLine="0" w:firstLineChars="0"/>
              <w:rPr>
                <w:rFonts w:hint="eastAsia" w:ascii="宋体" w:hAnsi="宋体" w:eastAsia="宋体" w:cs="宋体"/>
                <w:color w:val="auto"/>
                <w:sz w:val="21"/>
                <w:szCs w:val="21"/>
                <w:lang w:eastAsia="zh-CN"/>
              </w:rPr>
            </w:pPr>
            <w:r>
              <w:rPr>
                <w:rFonts w:hint="eastAsia" w:ascii="宋体" w:hAnsi="宋体" w:eastAsia="宋体" w:cs="宋体"/>
                <w:sz w:val="21"/>
                <w:szCs w:val="21"/>
                <w:lang w:val="en-US" w:eastAsia="zh-CN"/>
              </w:rPr>
              <w:t>说明：内容不完整或有缺陷或与项目不完全匹配是指：非专门针对本项目或不适用项目特性的情形、内容不完整或缺少关键节点、套用其他项目方案、内容前后矛盾、涉及的规范及标准错误、不利于项目实施、不可能实现的情形等任意一种情形。</w:t>
            </w:r>
          </w:p>
        </w:tc>
        <w:tc>
          <w:tcPr>
            <w:tcW w:w="432" w:type="pct"/>
            <w:vAlign w:val="center"/>
          </w:tcPr>
          <w:p w14:paraId="3CD32E7B">
            <w:pPr>
              <w:pStyle w:val="39"/>
              <w:adjustRightInd w:val="0"/>
              <w:snapToGrid w:val="0"/>
              <w:spacing w:line="360" w:lineRule="auto"/>
              <w:ind w:firstLine="0" w:firstLine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12</w:t>
            </w:r>
          </w:p>
        </w:tc>
      </w:tr>
      <w:tr w14:paraId="3C8E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4968806E">
            <w:pPr>
              <w:pStyle w:val="39"/>
              <w:numPr>
                <w:ilvl w:val="0"/>
                <w:numId w:val="102"/>
              </w:numPr>
              <w:adjustRightInd w:val="0"/>
              <w:snapToGrid w:val="0"/>
              <w:spacing w:line="360" w:lineRule="auto"/>
              <w:ind w:left="-415" w:leftChars="0" w:firstLine="0" w:firstLineChars="0"/>
              <w:jc w:val="center"/>
              <w:rPr>
                <w:rFonts w:hint="eastAsia" w:ascii="宋体" w:hAnsi="宋体" w:eastAsia="宋体" w:cs="宋体"/>
                <w:color w:val="auto"/>
                <w:kern w:val="0"/>
                <w:sz w:val="21"/>
                <w:szCs w:val="21"/>
                <w:lang w:eastAsia="zh-CN"/>
              </w:rPr>
            </w:pPr>
          </w:p>
        </w:tc>
        <w:tc>
          <w:tcPr>
            <w:tcW w:w="4105" w:type="pct"/>
            <w:vAlign w:val="center"/>
          </w:tcPr>
          <w:p w14:paraId="38E8085D">
            <w:pPr>
              <w:pStyle w:val="47"/>
              <w:numPr>
                <w:ilvl w:val="0"/>
                <w:numId w:val="0"/>
              </w:numPr>
              <w:adjustRightInd w:val="0"/>
              <w:snapToGrid w:val="0"/>
              <w:spacing w:line="360" w:lineRule="auto"/>
              <w:ind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监理工作进度控制方案评价</w:t>
            </w:r>
          </w:p>
          <w:p w14:paraId="48FC325F">
            <w:pPr>
              <w:pStyle w:val="39"/>
              <w:adjustRightInd w:val="0"/>
              <w:snapToGrid w:val="0"/>
              <w:spacing w:line="360" w:lineRule="auto"/>
              <w:ind w:firstLine="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方案内容完整、针对性强得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分；</w:t>
            </w:r>
            <w:r>
              <w:rPr>
                <w:rFonts w:hint="eastAsia" w:ascii="宋体" w:hAnsi="宋体" w:eastAsia="宋体" w:cs="宋体"/>
                <w:color w:val="auto"/>
                <w:sz w:val="21"/>
                <w:szCs w:val="21"/>
              </w:rPr>
              <w:t>内容有欠缺</w:t>
            </w:r>
            <w:r>
              <w:rPr>
                <w:rFonts w:hint="eastAsia" w:ascii="宋体" w:hAnsi="宋体" w:eastAsia="宋体" w:cs="宋体"/>
                <w:color w:val="auto"/>
                <w:sz w:val="21"/>
                <w:szCs w:val="21"/>
                <w:lang w:eastAsia="zh-CN"/>
              </w:rPr>
              <w:t>或没有针对性但不影响项目实施</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分；</w:t>
            </w:r>
            <w:r>
              <w:rPr>
                <w:rFonts w:hint="eastAsia" w:ascii="宋体" w:hAnsi="宋体" w:eastAsia="宋体" w:cs="宋体"/>
                <w:color w:val="auto"/>
                <w:sz w:val="21"/>
                <w:szCs w:val="21"/>
                <w:highlight w:val="none"/>
                <w:lang w:val="en-US" w:eastAsia="zh-CN"/>
              </w:rPr>
              <w:t>缺陷明显且有可能会影响项目实施的得1分，</w:t>
            </w:r>
            <w:r>
              <w:rPr>
                <w:rFonts w:hint="eastAsia" w:ascii="宋体" w:hAnsi="宋体" w:eastAsia="宋体" w:cs="宋体"/>
                <w:color w:val="auto"/>
                <w:sz w:val="21"/>
                <w:szCs w:val="21"/>
                <w:lang w:eastAsia="zh-CN"/>
              </w:rPr>
              <w:t>未提供或完全不符或存在缺陷影响项目实施的不得分。</w:t>
            </w:r>
            <w:r>
              <w:rPr>
                <w:rFonts w:hint="eastAsia" w:ascii="宋体" w:hAnsi="宋体" w:eastAsia="宋体" w:cs="宋体"/>
                <w:sz w:val="21"/>
                <w:szCs w:val="21"/>
                <w:lang w:val="en-US" w:eastAsia="zh-CN"/>
              </w:rPr>
              <w:t>说明：</w:t>
            </w:r>
            <w:r>
              <w:rPr>
                <w:rFonts w:hint="eastAsia" w:ascii="宋体" w:hAnsi="宋体" w:eastAsia="宋体" w:cs="宋体"/>
                <w:sz w:val="21"/>
                <w:szCs w:val="21"/>
              </w:rPr>
              <w:t>内容有欠缺</w:t>
            </w:r>
            <w:r>
              <w:rPr>
                <w:rFonts w:hint="eastAsia" w:ascii="宋体" w:hAnsi="宋体" w:eastAsia="宋体" w:cs="宋体"/>
                <w:sz w:val="21"/>
                <w:szCs w:val="21"/>
                <w:lang w:eastAsia="zh-CN"/>
              </w:rPr>
              <w:t>或没有针对性</w:t>
            </w:r>
            <w:r>
              <w:rPr>
                <w:rFonts w:hint="eastAsia" w:ascii="宋体" w:hAnsi="宋体" w:eastAsia="宋体" w:cs="宋体"/>
                <w:sz w:val="21"/>
                <w:szCs w:val="21"/>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432" w:type="pct"/>
            <w:vAlign w:val="center"/>
          </w:tcPr>
          <w:p w14:paraId="77F541F0">
            <w:pPr>
              <w:pStyle w:val="39"/>
              <w:adjustRightInd w:val="0"/>
              <w:snapToGrid w:val="0"/>
              <w:spacing w:line="360" w:lineRule="auto"/>
              <w:ind w:firstLine="0" w:firstLineChars="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5</w:t>
            </w:r>
          </w:p>
        </w:tc>
      </w:tr>
      <w:tr w14:paraId="3A1F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5FA04847">
            <w:pPr>
              <w:pStyle w:val="39"/>
              <w:numPr>
                <w:ilvl w:val="0"/>
                <w:numId w:val="102"/>
              </w:numPr>
              <w:adjustRightInd w:val="0"/>
              <w:snapToGrid w:val="0"/>
              <w:spacing w:line="360" w:lineRule="auto"/>
              <w:ind w:left="-415" w:leftChars="0" w:firstLine="0" w:firstLineChars="0"/>
              <w:jc w:val="center"/>
              <w:rPr>
                <w:rFonts w:hint="eastAsia" w:ascii="宋体" w:hAnsi="宋体" w:eastAsia="宋体" w:cs="宋体"/>
                <w:color w:val="auto"/>
                <w:kern w:val="0"/>
                <w:sz w:val="21"/>
                <w:szCs w:val="21"/>
                <w:lang w:eastAsia="zh-CN"/>
              </w:rPr>
            </w:pPr>
          </w:p>
        </w:tc>
        <w:tc>
          <w:tcPr>
            <w:tcW w:w="4105" w:type="pct"/>
            <w:vAlign w:val="center"/>
          </w:tcPr>
          <w:p w14:paraId="68E8ACE0">
            <w:pPr>
              <w:pStyle w:val="47"/>
              <w:numPr>
                <w:ilvl w:val="0"/>
                <w:numId w:val="0"/>
              </w:numPr>
              <w:adjustRightInd w:val="0"/>
              <w:snapToGrid w:val="0"/>
              <w:spacing w:line="360" w:lineRule="auto"/>
              <w:ind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监理工作</w:t>
            </w:r>
            <w:r>
              <w:rPr>
                <w:rFonts w:hint="eastAsia" w:ascii="宋体" w:hAnsi="宋体" w:eastAsia="宋体" w:cs="宋体"/>
                <w:b/>
                <w:bCs/>
                <w:color w:val="auto"/>
                <w:sz w:val="21"/>
                <w:szCs w:val="21"/>
                <w:lang w:val="en-US" w:eastAsia="zh-CN"/>
              </w:rPr>
              <w:t>成本</w:t>
            </w:r>
            <w:r>
              <w:rPr>
                <w:rFonts w:hint="eastAsia" w:ascii="宋体" w:hAnsi="宋体" w:eastAsia="宋体" w:cs="宋体"/>
                <w:b/>
                <w:bCs/>
                <w:color w:val="auto"/>
                <w:sz w:val="21"/>
                <w:szCs w:val="21"/>
              </w:rPr>
              <w:t>控制方案评价</w:t>
            </w:r>
          </w:p>
          <w:p w14:paraId="177DC1AE">
            <w:pPr>
              <w:pStyle w:val="39"/>
              <w:adjustRightInd w:val="0"/>
              <w:snapToGrid w:val="0"/>
              <w:spacing w:line="360" w:lineRule="auto"/>
              <w:ind w:firstLine="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方案内容完整、针对性强得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分；</w:t>
            </w:r>
            <w:r>
              <w:rPr>
                <w:rFonts w:hint="eastAsia" w:ascii="宋体" w:hAnsi="宋体" w:eastAsia="宋体" w:cs="宋体"/>
                <w:color w:val="auto"/>
                <w:sz w:val="21"/>
                <w:szCs w:val="21"/>
              </w:rPr>
              <w:t>内容有欠缺</w:t>
            </w:r>
            <w:r>
              <w:rPr>
                <w:rFonts w:hint="eastAsia" w:ascii="宋体" w:hAnsi="宋体" w:eastAsia="宋体" w:cs="宋体"/>
                <w:color w:val="auto"/>
                <w:sz w:val="21"/>
                <w:szCs w:val="21"/>
                <w:lang w:eastAsia="zh-CN"/>
              </w:rPr>
              <w:t>或没有针对性但不影响项目实施</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分；</w:t>
            </w:r>
            <w:r>
              <w:rPr>
                <w:rFonts w:hint="eastAsia" w:ascii="宋体" w:hAnsi="宋体" w:eastAsia="宋体" w:cs="宋体"/>
                <w:color w:val="auto"/>
                <w:sz w:val="21"/>
                <w:szCs w:val="21"/>
                <w:highlight w:val="none"/>
                <w:lang w:val="en-US" w:eastAsia="zh-CN"/>
              </w:rPr>
              <w:t>缺陷明显且有可能会影响项目实施的得1分，</w:t>
            </w:r>
            <w:r>
              <w:rPr>
                <w:rFonts w:hint="eastAsia" w:ascii="宋体" w:hAnsi="宋体" w:eastAsia="宋体" w:cs="宋体"/>
                <w:color w:val="auto"/>
                <w:sz w:val="21"/>
                <w:szCs w:val="21"/>
                <w:lang w:eastAsia="zh-CN"/>
              </w:rPr>
              <w:t>未提供或完全不符或存在缺陷影响项目实施的不得分。</w:t>
            </w:r>
            <w:r>
              <w:rPr>
                <w:rFonts w:hint="eastAsia" w:ascii="宋体" w:hAnsi="宋体" w:eastAsia="宋体" w:cs="宋体"/>
                <w:sz w:val="21"/>
                <w:szCs w:val="21"/>
                <w:lang w:val="en-US" w:eastAsia="zh-CN"/>
              </w:rPr>
              <w:t>说明：</w:t>
            </w:r>
            <w:r>
              <w:rPr>
                <w:rFonts w:hint="eastAsia" w:ascii="宋体" w:hAnsi="宋体" w:eastAsia="宋体" w:cs="宋体"/>
                <w:sz w:val="21"/>
                <w:szCs w:val="21"/>
              </w:rPr>
              <w:t>内容有欠缺</w:t>
            </w:r>
            <w:r>
              <w:rPr>
                <w:rFonts w:hint="eastAsia" w:ascii="宋体" w:hAnsi="宋体" w:eastAsia="宋体" w:cs="宋体"/>
                <w:sz w:val="21"/>
                <w:szCs w:val="21"/>
                <w:lang w:eastAsia="zh-CN"/>
              </w:rPr>
              <w:t>或没有针对性</w:t>
            </w:r>
            <w:r>
              <w:rPr>
                <w:rFonts w:hint="eastAsia" w:ascii="宋体" w:hAnsi="宋体" w:eastAsia="宋体" w:cs="宋体"/>
                <w:sz w:val="21"/>
                <w:szCs w:val="21"/>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432" w:type="pct"/>
            <w:vAlign w:val="center"/>
          </w:tcPr>
          <w:p w14:paraId="1554D317">
            <w:pPr>
              <w:pStyle w:val="39"/>
              <w:adjustRightInd w:val="0"/>
              <w:snapToGrid w:val="0"/>
              <w:spacing w:line="360" w:lineRule="auto"/>
              <w:ind w:firstLine="0" w:firstLine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p>
        </w:tc>
      </w:tr>
      <w:tr w14:paraId="2BCB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022D8901">
            <w:pPr>
              <w:pStyle w:val="39"/>
              <w:numPr>
                <w:ilvl w:val="0"/>
                <w:numId w:val="102"/>
              </w:numPr>
              <w:adjustRightInd w:val="0"/>
              <w:snapToGrid w:val="0"/>
              <w:spacing w:line="360" w:lineRule="auto"/>
              <w:ind w:left="-415" w:leftChars="0" w:firstLine="0" w:firstLineChars="0"/>
              <w:jc w:val="center"/>
              <w:rPr>
                <w:rFonts w:hint="eastAsia" w:ascii="宋体" w:hAnsi="宋体" w:eastAsia="宋体" w:cs="宋体"/>
                <w:color w:val="auto"/>
                <w:kern w:val="0"/>
                <w:sz w:val="21"/>
                <w:szCs w:val="21"/>
                <w:lang w:eastAsia="zh-CN"/>
              </w:rPr>
            </w:pPr>
          </w:p>
        </w:tc>
        <w:tc>
          <w:tcPr>
            <w:tcW w:w="4105" w:type="pct"/>
            <w:vAlign w:val="center"/>
          </w:tcPr>
          <w:p w14:paraId="413EFB4E">
            <w:pPr>
              <w:pStyle w:val="39"/>
              <w:adjustRightInd w:val="0"/>
              <w:snapToGrid w:val="0"/>
              <w:spacing w:line="360" w:lineRule="auto"/>
              <w:ind w:firstLine="0" w:firstLineChars="0"/>
              <w:rPr>
                <w:rFonts w:hint="eastAsia" w:ascii="宋体" w:hAnsi="宋体" w:eastAsia="宋体" w:cs="宋体"/>
                <w:b/>
                <w:bCs/>
                <w:color w:val="auto"/>
                <w:sz w:val="21"/>
                <w:szCs w:val="21"/>
                <w:lang w:val="en-US" w:eastAsia="zh-Hans"/>
              </w:rPr>
            </w:pPr>
            <w:r>
              <w:rPr>
                <w:rFonts w:hint="eastAsia" w:ascii="宋体" w:hAnsi="宋体" w:eastAsia="宋体" w:cs="宋体"/>
                <w:b/>
                <w:bCs/>
                <w:color w:val="auto"/>
                <w:sz w:val="21"/>
                <w:szCs w:val="21"/>
              </w:rPr>
              <w:t>监理工作</w:t>
            </w:r>
            <w:r>
              <w:rPr>
                <w:rFonts w:hint="eastAsia" w:ascii="宋体" w:hAnsi="宋体" w:eastAsia="宋体" w:cs="宋体"/>
                <w:b/>
                <w:bCs/>
                <w:color w:val="auto"/>
                <w:sz w:val="21"/>
                <w:szCs w:val="21"/>
                <w:lang w:val="en-US" w:eastAsia="zh-CN"/>
              </w:rPr>
              <w:t>文档管理</w:t>
            </w:r>
            <w:r>
              <w:rPr>
                <w:rFonts w:hint="eastAsia" w:ascii="宋体" w:hAnsi="宋体" w:eastAsia="宋体" w:cs="宋体"/>
                <w:b/>
                <w:bCs/>
                <w:color w:val="auto"/>
                <w:sz w:val="21"/>
                <w:szCs w:val="21"/>
              </w:rPr>
              <w:t>方案</w:t>
            </w:r>
            <w:r>
              <w:rPr>
                <w:rFonts w:hint="eastAsia" w:ascii="宋体" w:hAnsi="宋体" w:eastAsia="宋体" w:cs="宋体"/>
                <w:b/>
                <w:bCs/>
                <w:color w:val="auto"/>
                <w:sz w:val="21"/>
                <w:szCs w:val="21"/>
                <w:lang w:val="en-US" w:eastAsia="zh-Hans"/>
              </w:rPr>
              <w:t>评价</w:t>
            </w:r>
          </w:p>
          <w:p w14:paraId="298DD124">
            <w:pPr>
              <w:pStyle w:val="39"/>
              <w:adjustRightInd w:val="0"/>
              <w:snapToGrid w:val="0"/>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方案内容完整、针对性强得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分；</w:t>
            </w:r>
            <w:r>
              <w:rPr>
                <w:rFonts w:hint="eastAsia" w:ascii="宋体" w:hAnsi="宋体" w:eastAsia="宋体" w:cs="宋体"/>
                <w:color w:val="auto"/>
                <w:sz w:val="21"/>
                <w:szCs w:val="21"/>
              </w:rPr>
              <w:t>内容有欠缺</w:t>
            </w:r>
            <w:r>
              <w:rPr>
                <w:rFonts w:hint="eastAsia" w:ascii="宋体" w:hAnsi="宋体" w:eastAsia="宋体" w:cs="宋体"/>
                <w:color w:val="auto"/>
                <w:sz w:val="21"/>
                <w:szCs w:val="21"/>
                <w:lang w:eastAsia="zh-CN"/>
              </w:rPr>
              <w:t>或没有针对性但不影响项目实施</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分；</w:t>
            </w:r>
            <w:r>
              <w:rPr>
                <w:rFonts w:hint="eastAsia" w:ascii="宋体" w:hAnsi="宋体" w:eastAsia="宋体" w:cs="宋体"/>
                <w:color w:val="auto"/>
                <w:sz w:val="21"/>
                <w:szCs w:val="21"/>
                <w:highlight w:val="none"/>
                <w:lang w:val="en-US" w:eastAsia="zh-CN"/>
              </w:rPr>
              <w:t>缺陷明显且有可能会影响项目实施的得1分，</w:t>
            </w:r>
            <w:r>
              <w:rPr>
                <w:rFonts w:hint="eastAsia" w:ascii="宋体" w:hAnsi="宋体" w:eastAsia="宋体" w:cs="宋体"/>
                <w:color w:val="auto"/>
                <w:sz w:val="21"/>
                <w:szCs w:val="21"/>
                <w:lang w:eastAsia="zh-CN"/>
              </w:rPr>
              <w:t>未提供或完全不符或存在缺陷影响项目实施的不得分。</w:t>
            </w:r>
            <w:r>
              <w:rPr>
                <w:rFonts w:hint="eastAsia" w:ascii="宋体" w:hAnsi="宋体" w:eastAsia="宋体" w:cs="宋体"/>
                <w:sz w:val="21"/>
                <w:szCs w:val="21"/>
                <w:lang w:val="en-US" w:eastAsia="zh-CN"/>
              </w:rPr>
              <w:t>说明：</w:t>
            </w:r>
            <w:r>
              <w:rPr>
                <w:rFonts w:hint="eastAsia" w:ascii="宋体" w:hAnsi="宋体" w:eastAsia="宋体" w:cs="宋体"/>
                <w:sz w:val="21"/>
                <w:szCs w:val="21"/>
              </w:rPr>
              <w:t>内容有欠缺</w:t>
            </w:r>
            <w:r>
              <w:rPr>
                <w:rFonts w:hint="eastAsia" w:ascii="宋体" w:hAnsi="宋体" w:eastAsia="宋体" w:cs="宋体"/>
                <w:sz w:val="21"/>
                <w:szCs w:val="21"/>
                <w:lang w:eastAsia="zh-CN"/>
              </w:rPr>
              <w:t>或没有针对性</w:t>
            </w:r>
            <w:r>
              <w:rPr>
                <w:rFonts w:hint="eastAsia" w:ascii="宋体" w:hAnsi="宋体" w:eastAsia="宋体" w:cs="宋体"/>
                <w:sz w:val="21"/>
                <w:szCs w:val="21"/>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432" w:type="pct"/>
            <w:vAlign w:val="center"/>
          </w:tcPr>
          <w:p w14:paraId="536DA039">
            <w:pPr>
              <w:pStyle w:val="39"/>
              <w:adjustRightInd w:val="0"/>
              <w:snapToGrid w:val="0"/>
              <w:spacing w:line="360" w:lineRule="auto"/>
              <w:ind w:firstLine="0" w:firstLineChars="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5</w:t>
            </w:r>
          </w:p>
        </w:tc>
      </w:tr>
      <w:tr w14:paraId="15EF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4710E23C">
            <w:pPr>
              <w:pStyle w:val="39"/>
              <w:numPr>
                <w:ilvl w:val="0"/>
                <w:numId w:val="102"/>
              </w:numPr>
              <w:adjustRightInd w:val="0"/>
              <w:snapToGrid w:val="0"/>
              <w:spacing w:line="360" w:lineRule="auto"/>
              <w:ind w:left="-415" w:leftChars="0" w:firstLine="0" w:firstLineChars="0"/>
              <w:jc w:val="center"/>
              <w:rPr>
                <w:rFonts w:hint="eastAsia" w:ascii="宋体" w:hAnsi="宋体" w:eastAsia="宋体" w:cs="宋体"/>
                <w:color w:val="auto"/>
                <w:kern w:val="0"/>
                <w:sz w:val="21"/>
                <w:szCs w:val="21"/>
                <w:lang w:eastAsia="zh-CN"/>
              </w:rPr>
            </w:pPr>
          </w:p>
        </w:tc>
        <w:tc>
          <w:tcPr>
            <w:tcW w:w="4105" w:type="pct"/>
            <w:vAlign w:val="center"/>
          </w:tcPr>
          <w:p w14:paraId="4E16BC75">
            <w:pPr>
              <w:pStyle w:val="47"/>
              <w:numPr>
                <w:ilvl w:val="0"/>
                <w:numId w:val="0"/>
              </w:numPr>
              <w:adjustRightInd w:val="0"/>
              <w:snapToGrid w:val="0"/>
              <w:spacing w:line="360" w:lineRule="auto"/>
              <w:ind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监理工作</w:t>
            </w:r>
            <w:r>
              <w:rPr>
                <w:rFonts w:hint="eastAsia" w:ascii="宋体" w:hAnsi="宋体" w:eastAsia="宋体" w:cs="宋体"/>
                <w:b/>
                <w:bCs/>
                <w:color w:val="auto"/>
                <w:sz w:val="21"/>
                <w:szCs w:val="21"/>
                <w:lang w:val="en-US" w:eastAsia="zh-CN"/>
              </w:rPr>
              <w:t>安全管理</w:t>
            </w:r>
            <w:r>
              <w:rPr>
                <w:rFonts w:hint="eastAsia" w:ascii="宋体" w:hAnsi="宋体" w:eastAsia="宋体" w:cs="宋体"/>
                <w:b/>
                <w:bCs/>
                <w:color w:val="auto"/>
                <w:sz w:val="21"/>
                <w:szCs w:val="21"/>
              </w:rPr>
              <w:t>方案</w:t>
            </w:r>
            <w:r>
              <w:rPr>
                <w:rFonts w:hint="eastAsia" w:ascii="宋体" w:hAnsi="宋体" w:eastAsia="宋体" w:cs="宋体"/>
                <w:b/>
                <w:bCs/>
                <w:color w:val="auto"/>
                <w:sz w:val="21"/>
                <w:szCs w:val="21"/>
                <w:lang w:val="en-US" w:eastAsia="zh-Hans"/>
              </w:rPr>
              <w:t>评价</w:t>
            </w:r>
          </w:p>
          <w:p w14:paraId="0BF17C65">
            <w:pPr>
              <w:pStyle w:val="39"/>
              <w:bidi w:val="0"/>
              <w:adjustRightInd w:val="0"/>
              <w:snapToGrid w:val="0"/>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方案需包括</w:t>
            </w:r>
          </w:p>
          <w:p w14:paraId="4AB81386">
            <w:pPr>
              <w:pStyle w:val="39"/>
              <w:numPr>
                <w:ilvl w:val="0"/>
                <w:numId w:val="104"/>
              </w:numPr>
              <w:bidi w:val="0"/>
              <w:adjustRightInd w:val="0"/>
              <w:snapToGrid w:val="0"/>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政府数据和资料的保护</w:t>
            </w:r>
            <w:r>
              <w:rPr>
                <w:rFonts w:hint="eastAsia" w:ascii="宋体" w:hAnsi="宋体" w:eastAsia="宋体" w:cs="宋体"/>
                <w:sz w:val="21"/>
                <w:szCs w:val="21"/>
                <w:lang w:val="en-US" w:eastAsia="zh-CN"/>
              </w:rPr>
              <w:t>方案</w:t>
            </w:r>
          </w:p>
          <w:p w14:paraId="5D0172F6">
            <w:pPr>
              <w:pStyle w:val="39"/>
              <w:numPr>
                <w:ilvl w:val="0"/>
                <w:numId w:val="104"/>
              </w:numPr>
              <w:bidi w:val="0"/>
              <w:adjustRightInd w:val="0"/>
              <w:snapToGrid w:val="0"/>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网络和数据安全保障方案</w:t>
            </w:r>
          </w:p>
          <w:p w14:paraId="718DEFEF">
            <w:pPr>
              <w:pStyle w:val="39"/>
              <w:numPr>
                <w:ilvl w:val="0"/>
                <w:numId w:val="0"/>
              </w:numPr>
              <w:bidi w:val="0"/>
              <w:adjustRightInd w:val="0"/>
              <w:snapToGrid w:val="0"/>
              <w:spacing w:line="360" w:lineRule="auto"/>
              <w:ind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方案完整、措施详尽、针对性强且合理可行的</w:t>
            </w:r>
            <w:r>
              <w:rPr>
                <w:rFonts w:hint="eastAsia" w:ascii="宋体" w:hAnsi="宋体" w:eastAsia="宋体" w:cs="宋体"/>
                <w:sz w:val="21"/>
                <w:szCs w:val="21"/>
              </w:rPr>
              <w:t>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r>
              <w:rPr>
                <w:rFonts w:hint="eastAsia" w:ascii="宋体" w:hAnsi="宋体" w:eastAsia="宋体" w:cs="宋体"/>
                <w:sz w:val="21"/>
                <w:szCs w:val="21"/>
                <w:lang w:val="en-US" w:eastAsia="zh-CN"/>
              </w:rPr>
              <w:t>/项</w:t>
            </w:r>
            <w:r>
              <w:rPr>
                <w:rFonts w:hint="eastAsia" w:ascii="宋体" w:hAnsi="宋体" w:eastAsia="宋体" w:cs="宋体"/>
                <w:sz w:val="21"/>
                <w:szCs w:val="21"/>
              </w:rPr>
              <w:t>，</w:t>
            </w:r>
            <w:r>
              <w:rPr>
                <w:rFonts w:hint="eastAsia" w:ascii="宋体" w:hAnsi="宋体" w:eastAsia="宋体" w:cs="宋体"/>
                <w:sz w:val="21"/>
                <w:szCs w:val="21"/>
                <w:lang w:val="en-US" w:eastAsia="zh-CN"/>
              </w:rPr>
              <w:t>每有一项不完整或有缺陷或与项目不完全匹配的得2分/项，每有一项未提供或完全不匹配的得0分/项。</w:t>
            </w:r>
          </w:p>
          <w:p w14:paraId="157A10C0">
            <w:pPr>
              <w:pStyle w:val="39"/>
              <w:adjustRightInd w:val="0"/>
              <w:snapToGrid w:val="0"/>
              <w:spacing w:line="360" w:lineRule="auto"/>
              <w:ind w:firstLine="0" w:firstLineChars="0"/>
              <w:rPr>
                <w:rFonts w:hint="eastAsia" w:ascii="宋体" w:hAnsi="宋体" w:eastAsia="宋体" w:cs="宋体"/>
                <w:color w:val="auto"/>
                <w:sz w:val="21"/>
                <w:szCs w:val="21"/>
                <w:lang w:eastAsia="zh-CN"/>
              </w:rPr>
            </w:pPr>
            <w:r>
              <w:rPr>
                <w:rFonts w:hint="eastAsia" w:ascii="宋体" w:hAnsi="宋体" w:eastAsia="宋体" w:cs="宋体"/>
                <w:sz w:val="21"/>
                <w:szCs w:val="21"/>
                <w:lang w:val="en-US" w:eastAsia="zh-CN"/>
              </w:rPr>
              <w:t>说明：内容不完整或有缺陷或与项目不完全匹配是指：非专门针对本项目或不适用项目特性的情形、内容不完整或缺少关键节点、套用其他项目方案、内容前后矛盾、涉及的规范及标准错误、不利于项目实施、不可能实现的情形等任意一种情形。</w:t>
            </w:r>
          </w:p>
        </w:tc>
        <w:tc>
          <w:tcPr>
            <w:tcW w:w="432" w:type="pct"/>
            <w:vAlign w:val="center"/>
          </w:tcPr>
          <w:p w14:paraId="23B68473">
            <w:pPr>
              <w:pStyle w:val="39"/>
              <w:adjustRightInd w:val="0"/>
              <w:snapToGrid w:val="0"/>
              <w:spacing w:line="360" w:lineRule="auto"/>
              <w:ind w:firstLine="0" w:firstLineChars="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8</w:t>
            </w:r>
          </w:p>
        </w:tc>
      </w:tr>
      <w:tr w14:paraId="2095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7AE2FB18">
            <w:pPr>
              <w:pStyle w:val="39"/>
              <w:numPr>
                <w:ilvl w:val="0"/>
                <w:numId w:val="102"/>
              </w:numPr>
              <w:adjustRightInd w:val="0"/>
              <w:snapToGrid w:val="0"/>
              <w:spacing w:line="360" w:lineRule="auto"/>
              <w:ind w:left="-415" w:leftChars="0" w:firstLine="0" w:firstLineChars="0"/>
              <w:jc w:val="center"/>
              <w:rPr>
                <w:rFonts w:hint="eastAsia" w:ascii="宋体" w:hAnsi="宋体" w:eastAsia="宋体" w:cs="宋体"/>
                <w:color w:val="auto"/>
                <w:kern w:val="0"/>
                <w:sz w:val="21"/>
                <w:szCs w:val="21"/>
                <w:lang w:eastAsia="zh-CN"/>
              </w:rPr>
            </w:pPr>
          </w:p>
        </w:tc>
        <w:tc>
          <w:tcPr>
            <w:tcW w:w="4105" w:type="pct"/>
            <w:vAlign w:val="center"/>
          </w:tcPr>
          <w:p w14:paraId="501916D7">
            <w:pPr>
              <w:pStyle w:val="47"/>
              <w:numPr>
                <w:ilvl w:val="0"/>
                <w:numId w:val="0"/>
              </w:numPr>
              <w:adjustRightInd w:val="0"/>
              <w:snapToGrid w:val="0"/>
              <w:spacing w:line="360" w:lineRule="auto"/>
              <w:ind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监理工作</w:t>
            </w:r>
            <w:r>
              <w:rPr>
                <w:rFonts w:hint="eastAsia" w:ascii="宋体" w:hAnsi="宋体" w:eastAsia="宋体" w:cs="宋体"/>
                <w:b/>
                <w:bCs/>
                <w:color w:val="auto"/>
                <w:sz w:val="21"/>
                <w:szCs w:val="21"/>
                <w:lang w:val="en-US" w:eastAsia="zh-CN"/>
              </w:rPr>
              <w:t>组织协调</w:t>
            </w:r>
            <w:r>
              <w:rPr>
                <w:rFonts w:hint="eastAsia" w:ascii="宋体" w:hAnsi="宋体" w:eastAsia="宋体" w:cs="宋体"/>
                <w:b/>
                <w:bCs/>
                <w:color w:val="auto"/>
                <w:sz w:val="21"/>
                <w:szCs w:val="21"/>
              </w:rPr>
              <w:t>方案评价</w:t>
            </w:r>
          </w:p>
          <w:p w14:paraId="2828BD46">
            <w:pPr>
              <w:pStyle w:val="39"/>
              <w:bidi w:val="0"/>
              <w:spacing w:line="360" w:lineRule="auto"/>
              <w:rPr>
                <w:rFonts w:hint="eastAsia" w:ascii="宋体" w:hAnsi="宋体" w:eastAsia="宋体" w:cs="宋体"/>
                <w:color w:val="auto"/>
                <w:sz w:val="21"/>
                <w:szCs w:val="21"/>
              </w:rPr>
            </w:pPr>
            <w:r>
              <w:rPr>
                <w:rFonts w:hint="eastAsia" w:ascii="宋体" w:hAnsi="宋体" w:eastAsia="宋体" w:cs="宋体"/>
                <w:sz w:val="21"/>
                <w:szCs w:val="21"/>
                <w:lang w:eastAsia="zh-CN"/>
              </w:rPr>
              <w:t>方案内容完整、针对性强得</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分；</w:t>
            </w:r>
            <w:r>
              <w:rPr>
                <w:rFonts w:hint="eastAsia" w:ascii="宋体" w:hAnsi="宋体" w:eastAsia="宋体" w:cs="宋体"/>
                <w:sz w:val="21"/>
                <w:szCs w:val="21"/>
              </w:rPr>
              <w:t>内容有欠缺</w:t>
            </w:r>
            <w:r>
              <w:rPr>
                <w:rFonts w:hint="eastAsia" w:ascii="宋体" w:hAnsi="宋体" w:eastAsia="宋体" w:cs="宋体"/>
                <w:sz w:val="21"/>
                <w:szCs w:val="21"/>
                <w:lang w:eastAsia="zh-CN"/>
              </w:rPr>
              <w:t>或没有针对性但不影响项目实施</w:t>
            </w:r>
            <w:r>
              <w:rPr>
                <w:rFonts w:hint="eastAsia" w:ascii="宋体" w:hAnsi="宋体" w:eastAsia="宋体" w:cs="宋体"/>
                <w:sz w:val="21"/>
                <w:szCs w:val="21"/>
              </w:rPr>
              <w:t>的</w:t>
            </w:r>
            <w:r>
              <w:rPr>
                <w:rFonts w:hint="eastAsia" w:ascii="宋体" w:hAnsi="宋体" w:eastAsia="宋体" w:cs="宋体"/>
                <w:sz w:val="21"/>
                <w:szCs w:val="21"/>
                <w:lang w:eastAsia="zh-CN"/>
              </w:rPr>
              <w:t>得</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分；</w:t>
            </w:r>
            <w:r>
              <w:rPr>
                <w:rFonts w:hint="eastAsia" w:ascii="宋体" w:hAnsi="宋体" w:eastAsia="宋体" w:cs="宋体"/>
                <w:sz w:val="21"/>
                <w:szCs w:val="21"/>
                <w:lang w:val="en-US" w:eastAsia="zh-CN"/>
              </w:rPr>
              <w:t>缺陷明显且有可能会影响项目实施的得1分，</w:t>
            </w:r>
            <w:r>
              <w:rPr>
                <w:rFonts w:hint="eastAsia" w:ascii="宋体" w:hAnsi="宋体" w:eastAsia="宋体" w:cs="宋体"/>
                <w:sz w:val="21"/>
                <w:szCs w:val="21"/>
                <w:lang w:eastAsia="zh-CN"/>
              </w:rPr>
              <w:t>未提供或完全不符或存在缺陷影响项目实施的不得分。</w:t>
            </w:r>
            <w:r>
              <w:rPr>
                <w:rFonts w:hint="eastAsia" w:ascii="宋体" w:hAnsi="宋体" w:eastAsia="宋体" w:cs="宋体"/>
                <w:sz w:val="21"/>
                <w:szCs w:val="21"/>
                <w:lang w:val="en-US" w:eastAsia="zh-CN"/>
              </w:rPr>
              <w:t>说明：</w:t>
            </w:r>
            <w:r>
              <w:rPr>
                <w:rFonts w:hint="eastAsia" w:ascii="宋体" w:hAnsi="宋体" w:eastAsia="宋体" w:cs="宋体"/>
                <w:sz w:val="21"/>
                <w:szCs w:val="21"/>
              </w:rPr>
              <w:t>内容有欠缺</w:t>
            </w:r>
            <w:r>
              <w:rPr>
                <w:rFonts w:hint="eastAsia" w:ascii="宋体" w:hAnsi="宋体" w:eastAsia="宋体" w:cs="宋体"/>
                <w:sz w:val="21"/>
                <w:szCs w:val="21"/>
                <w:lang w:eastAsia="zh-CN"/>
              </w:rPr>
              <w:t>或没有针对性</w:t>
            </w:r>
            <w:r>
              <w:rPr>
                <w:rFonts w:hint="eastAsia" w:ascii="宋体" w:hAnsi="宋体" w:eastAsia="宋体" w:cs="宋体"/>
                <w:sz w:val="21"/>
                <w:szCs w:val="21"/>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432" w:type="pct"/>
            <w:vAlign w:val="center"/>
          </w:tcPr>
          <w:p w14:paraId="6317296E">
            <w:pPr>
              <w:pStyle w:val="39"/>
              <w:adjustRightInd w:val="0"/>
              <w:snapToGrid w:val="0"/>
              <w:spacing w:line="360" w:lineRule="auto"/>
              <w:ind w:firstLine="0" w:firstLineChars="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5</w:t>
            </w:r>
          </w:p>
        </w:tc>
      </w:tr>
      <w:tr w14:paraId="463F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3A8E417C">
            <w:pPr>
              <w:pStyle w:val="39"/>
              <w:numPr>
                <w:ilvl w:val="0"/>
                <w:numId w:val="102"/>
              </w:numPr>
              <w:adjustRightInd w:val="0"/>
              <w:snapToGrid w:val="0"/>
              <w:spacing w:line="360" w:lineRule="auto"/>
              <w:ind w:left="-415" w:leftChars="0" w:firstLine="0" w:firstLineChars="0"/>
              <w:jc w:val="center"/>
              <w:rPr>
                <w:rFonts w:hint="eastAsia" w:ascii="宋体" w:hAnsi="宋体" w:eastAsia="宋体" w:cs="宋体"/>
                <w:color w:val="auto"/>
                <w:kern w:val="0"/>
                <w:sz w:val="21"/>
                <w:szCs w:val="21"/>
                <w:lang w:eastAsia="zh-CN"/>
              </w:rPr>
            </w:pPr>
          </w:p>
        </w:tc>
        <w:tc>
          <w:tcPr>
            <w:tcW w:w="4105" w:type="pct"/>
            <w:vAlign w:val="center"/>
          </w:tcPr>
          <w:p w14:paraId="4123B962">
            <w:pPr>
              <w:pStyle w:val="39"/>
              <w:bidi w:val="0"/>
              <w:spacing w:line="360" w:lineRule="auto"/>
              <w:ind w:left="0" w:leftChars="0" w:firstLine="0" w:firstLineChars="0"/>
              <w:rPr>
                <w:rFonts w:hint="eastAsia" w:ascii="宋体" w:hAnsi="宋体" w:eastAsia="宋体" w:cs="宋体"/>
                <w:b/>
                <w:bCs/>
                <w:sz w:val="21"/>
                <w:szCs w:val="21"/>
              </w:rPr>
            </w:pPr>
            <w:r>
              <w:rPr>
                <w:rFonts w:hint="eastAsia" w:ascii="宋体" w:hAnsi="宋体" w:eastAsia="宋体" w:cs="宋体"/>
                <w:b/>
                <w:bCs/>
                <w:sz w:val="21"/>
                <w:szCs w:val="21"/>
              </w:rPr>
              <w:t>应急处理方案</w:t>
            </w:r>
            <w:r>
              <w:rPr>
                <w:rFonts w:hint="eastAsia" w:ascii="宋体" w:hAnsi="宋体" w:eastAsia="宋体" w:cs="宋体"/>
                <w:b/>
                <w:bCs/>
                <w:sz w:val="21"/>
                <w:szCs w:val="21"/>
                <w:lang w:eastAsia="zh-Hans"/>
              </w:rPr>
              <w:t>评价</w:t>
            </w:r>
          </w:p>
          <w:p w14:paraId="7A3BE7E0">
            <w:pPr>
              <w:pStyle w:val="39"/>
              <w:adjustRightInd w:val="0"/>
              <w:snapToGrid w:val="0"/>
              <w:spacing w:line="360" w:lineRule="auto"/>
              <w:ind w:firstLine="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方案内容完整、针对性强得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分；</w:t>
            </w:r>
            <w:r>
              <w:rPr>
                <w:rFonts w:hint="eastAsia" w:ascii="宋体" w:hAnsi="宋体" w:eastAsia="宋体" w:cs="宋体"/>
                <w:color w:val="auto"/>
                <w:sz w:val="21"/>
                <w:szCs w:val="21"/>
              </w:rPr>
              <w:t>内容有欠缺</w:t>
            </w:r>
            <w:r>
              <w:rPr>
                <w:rFonts w:hint="eastAsia" w:ascii="宋体" w:hAnsi="宋体" w:eastAsia="宋体" w:cs="宋体"/>
                <w:color w:val="auto"/>
                <w:sz w:val="21"/>
                <w:szCs w:val="21"/>
                <w:lang w:eastAsia="zh-CN"/>
              </w:rPr>
              <w:t>或没有针对性但不影响项目实施</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分；</w:t>
            </w:r>
            <w:r>
              <w:rPr>
                <w:rFonts w:hint="eastAsia" w:ascii="宋体" w:hAnsi="宋体" w:eastAsia="宋体" w:cs="宋体"/>
                <w:color w:val="auto"/>
                <w:sz w:val="21"/>
                <w:szCs w:val="21"/>
                <w:highlight w:val="none"/>
                <w:lang w:val="en-US" w:eastAsia="zh-CN"/>
              </w:rPr>
              <w:t>缺陷明显且有可能会影响项目实施的得1分，</w:t>
            </w:r>
            <w:r>
              <w:rPr>
                <w:rFonts w:hint="eastAsia" w:ascii="宋体" w:hAnsi="宋体" w:eastAsia="宋体" w:cs="宋体"/>
                <w:color w:val="auto"/>
                <w:sz w:val="21"/>
                <w:szCs w:val="21"/>
                <w:lang w:eastAsia="zh-CN"/>
              </w:rPr>
              <w:t>未提供或完全不符或存在缺陷影响项目实施的不得分。</w:t>
            </w:r>
            <w:r>
              <w:rPr>
                <w:rFonts w:hint="eastAsia" w:ascii="宋体" w:hAnsi="宋体" w:eastAsia="宋体" w:cs="宋体"/>
                <w:sz w:val="21"/>
                <w:szCs w:val="21"/>
                <w:lang w:val="en-US" w:eastAsia="zh-CN"/>
              </w:rPr>
              <w:t>说明：</w:t>
            </w:r>
            <w:r>
              <w:rPr>
                <w:rFonts w:hint="eastAsia" w:ascii="宋体" w:hAnsi="宋体" w:eastAsia="宋体" w:cs="宋体"/>
                <w:sz w:val="21"/>
                <w:szCs w:val="21"/>
              </w:rPr>
              <w:t>内容有欠缺</w:t>
            </w:r>
            <w:r>
              <w:rPr>
                <w:rFonts w:hint="eastAsia" w:ascii="宋体" w:hAnsi="宋体" w:eastAsia="宋体" w:cs="宋体"/>
                <w:sz w:val="21"/>
                <w:szCs w:val="21"/>
                <w:lang w:eastAsia="zh-CN"/>
              </w:rPr>
              <w:t>或没有针对性</w:t>
            </w:r>
            <w:r>
              <w:rPr>
                <w:rFonts w:hint="eastAsia" w:ascii="宋体" w:hAnsi="宋体" w:eastAsia="宋体" w:cs="宋体"/>
                <w:sz w:val="21"/>
                <w:szCs w:val="21"/>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432" w:type="pct"/>
            <w:vAlign w:val="center"/>
          </w:tcPr>
          <w:p w14:paraId="7FF892CE">
            <w:pPr>
              <w:pStyle w:val="39"/>
              <w:adjustRightInd w:val="0"/>
              <w:snapToGrid w:val="0"/>
              <w:spacing w:line="360" w:lineRule="auto"/>
              <w:ind w:firstLine="0" w:firstLineChars="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5</w:t>
            </w:r>
          </w:p>
        </w:tc>
      </w:tr>
      <w:tr w14:paraId="4449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shd w:val="clear" w:color="auto" w:fill="auto"/>
            <w:vAlign w:val="center"/>
          </w:tcPr>
          <w:p w14:paraId="010D6A26">
            <w:pPr>
              <w:pStyle w:val="39"/>
              <w:numPr>
                <w:ilvl w:val="0"/>
                <w:numId w:val="102"/>
              </w:numPr>
              <w:adjustRightInd w:val="0"/>
              <w:snapToGrid w:val="0"/>
              <w:spacing w:line="360" w:lineRule="auto"/>
              <w:ind w:left="-415" w:leftChars="0" w:firstLine="0" w:firstLineChars="0"/>
              <w:jc w:val="center"/>
              <w:rPr>
                <w:rFonts w:hint="eastAsia" w:ascii="宋体" w:hAnsi="宋体" w:eastAsia="宋体" w:cs="宋体"/>
                <w:color w:val="auto"/>
                <w:kern w:val="0"/>
                <w:sz w:val="21"/>
                <w:szCs w:val="21"/>
                <w:lang w:val="en-US" w:eastAsia="zh-CN" w:bidi="ar-SA"/>
              </w:rPr>
            </w:pPr>
          </w:p>
        </w:tc>
        <w:tc>
          <w:tcPr>
            <w:tcW w:w="4105" w:type="pct"/>
            <w:shd w:val="clear" w:color="auto" w:fill="auto"/>
            <w:vAlign w:val="center"/>
          </w:tcPr>
          <w:p w14:paraId="083DABB8">
            <w:pPr>
              <w:pStyle w:val="39"/>
              <w:bidi w:val="0"/>
              <w:spacing w:line="360" w:lineRule="auto"/>
              <w:ind w:left="0" w:leftChars="0"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服务响应能力情况评价</w:t>
            </w:r>
          </w:p>
          <w:p w14:paraId="786B3D2B">
            <w:pPr>
              <w:pStyle w:val="39"/>
              <w:adjustRightInd w:val="0"/>
              <w:snapToGrid w:val="0"/>
              <w:spacing w:line="360" w:lineRule="auto"/>
              <w:ind w:firstLine="0" w:firstLineChars="0"/>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sz w:val="21"/>
                <w:szCs w:val="21"/>
                <w:lang w:eastAsia="zh-CN"/>
              </w:rPr>
              <w:t>方案内容完整、针对性强得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分；内容有欠缺或没有针对性但不影响项目实施的得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分；</w:t>
            </w:r>
            <w:r>
              <w:rPr>
                <w:rFonts w:hint="eastAsia" w:ascii="宋体" w:hAnsi="宋体" w:eastAsia="宋体" w:cs="宋体"/>
                <w:color w:val="auto"/>
                <w:sz w:val="21"/>
                <w:szCs w:val="21"/>
                <w:lang w:val="en-US" w:eastAsia="zh-CN"/>
              </w:rPr>
              <w:t>缺陷明显且有可能会影响项目实施的得1分，</w:t>
            </w:r>
            <w:r>
              <w:rPr>
                <w:rFonts w:hint="eastAsia" w:ascii="宋体" w:hAnsi="宋体" w:eastAsia="宋体" w:cs="宋体"/>
                <w:color w:val="auto"/>
                <w:sz w:val="21"/>
                <w:szCs w:val="21"/>
                <w:lang w:eastAsia="zh-CN"/>
              </w:rPr>
              <w:t>未提供或完全不符或存在缺陷影响项目实施的不得分。</w:t>
            </w:r>
            <w:r>
              <w:rPr>
                <w:rFonts w:hint="eastAsia" w:ascii="宋体" w:hAnsi="宋体" w:eastAsia="宋体" w:cs="宋体"/>
                <w:color w:val="auto"/>
                <w:sz w:val="21"/>
                <w:szCs w:val="21"/>
                <w:lang w:val="en-US" w:eastAsia="zh-CN"/>
              </w:rPr>
              <w:t>说明：</w:t>
            </w:r>
            <w:r>
              <w:rPr>
                <w:rFonts w:hint="eastAsia" w:ascii="宋体" w:hAnsi="宋体" w:eastAsia="宋体" w:cs="宋体"/>
                <w:color w:val="auto"/>
                <w:sz w:val="21"/>
                <w:szCs w:val="21"/>
                <w:lang w:eastAsia="zh-CN"/>
              </w:rPr>
              <w:t>内容有欠缺或没有针对性</w:t>
            </w:r>
            <w:r>
              <w:rPr>
                <w:rFonts w:hint="eastAsia" w:ascii="宋体" w:hAnsi="宋体" w:eastAsia="宋体" w:cs="宋体"/>
                <w:color w:val="auto"/>
                <w:sz w:val="21"/>
                <w:szCs w:val="21"/>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432" w:type="pct"/>
            <w:shd w:val="clear" w:color="auto" w:fill="auto"/>
            <w:vAlign w:val="center"/>
          </w:tcPr>
          <w:p w14:paraId="28513C06">
            <w:pPr>
              <w:pStyle w:val="39"/>
              <w:adjustRightInd w:val="0"/>
              <w:snapToGrid w:val="0"/>
              <w:spacing w:line="360" w:lineRule="auto"/>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5</w:t>
            </w:r>
          </w:p>
        </w:tc>
      </w:tr>
      <w:tr w14:paraId="4501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44EFE9D3">
            <w:pPr>
              <w:pStyle w:val="39"/>
              <w:numPr>
                <w:ilvl w:val="0"/>
                <w:numId w:val="102"/>
              </w:numPr>
              <w:adjustRightInd w:val="0"/>
              <w:snapToGrid w:val="0"/>
              <w:spacing w:line="360" w:lineRule="auto"/>
              <w:ind w:left="-415" w:leftChars="0" w:firstLine="0" w:firstLineChars="0"/>
              <w:jc w:val="center"/>
              <w:rPr>
                <w:rFonts w:hint="eastAsia" w:ascii="宋体" w:hAnsi="宋体" w:eastAsia="宋体" w:cs="宋体"/>
                <w:color w:val="auto"/>
                <w:kern w:val="0"/>
                <w:sz w:val="21"/>
                <w:szCs w:val="21"/>
                <w:lang w:eastAsia="zh-CN"/>
              </w:rPr>
            </w:pPr>
          </w:p>
        </w:tc>
        <w:tc>
          <w:tcPr>
            <w:tcW w:w="4105" w:type="pct"/>
            <w:vAlign w:val="center"/>
          </w:tcPr>
          <w:p w14:paraId="5F553B95">
            <w:pPr>
              <w:pStyle w:val="39"/>
              <w:bidi w:val="0"/>
              <w:spacing w:line="360" w:lineRule="auto"/>
              <w:ind w:left="0" w:leftChars="0"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监理团队成员能力评价</w:t>
            </w:r>
          </w:p>
          <w:p w14:paraId="4FCAC36D">
            <w:pPr>
              <w:pStyle w:val="39"/>
              <w:adjustRightInd w:val="0"/>
              <w:snapToGrid w:val="0"/>
              <w:spacing w:line="360" w:lineRule="auto"/>
              <w:ind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（1）总监理工程师1人，在具有信息系统监理师的基础上具有：</w:t>
            </w:r>
          </w:p>
          <w:p w14:paraId="260E697D">
            <w:pPr>
              <w:pStyle w:val="39"/>
              <w:adjustRightInd w:val="0"/>
              <w:snapToGrid w:val="0"/>
              <w:spacing w:line="360" w:lineRule="auto"/>
              <w:ind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国家人力资源和社会保障部及工业和信息化部共同颁发的“计算机技术与软件专业技术资格”</w:t>
            </w:r>
            <w:r>
              <w:rPr>
                <w:rFonts w:hint="eastAsia" w:ascii="宋体" w:hAnsi="宋体" w:eastAsia="宋体" w:cs="宋体"/>
                <w:color w:val="auto"/>
                <w:kern w:val="0"/>
                <w:sz w:val="21"/>
                <w:szCs w:val="21"/>
                <w:lang w:val="en-US" w:eastAsia="zh-CN"/>
              </w:rPr>
              <w:t>类</w:t>
            </w:r>
            <w:r>
              <w:rPr>
                <w:rFonts w:hint="eastAsia" w:ascii="宋体" w:hAnsi="宋体" w:eastAsia="宋体" w:cs="宋体"/>
                <w:color w:val="auto"/>
                <w:kern w:val="0"/>
                <w:sz w:val="21"/>
                <w:szCs w:val="21"/>
              </w:rPr>
              <w:t>证书</w:t>
            </w:r>
            <w:r>
              <w:rPr>
                <w:rFonts w:hint="eastAsia" w:ascii="宋体" w:hAnsi="宋体" w:eastAsia="宋体" w:cs="宋体"/>
                <w:color w:val="auto"/>
                <w:kern w:val="2"/>
                <w:sz w:val="21"/>
                <w:szCs w:val="21"/>
                <w:lang w:val="en-US" w:eastAsia="zh-CN" w:bidi="ar-SA"/>
              </w:rPr>
              <w:t>，每有一项高级资格专业得2分，每有一项中级资格专业得1分，最高得6分；</w:t>
            </w:r>
          </w:p>
          <w:p w14:paraId="211F312D">
            <w:pPr>
              <w:pStyle w:val="39"/>
              <w:adjustRightInd w:val="0"/>
              <w:snapToGrid w:val="0"/>
              <w:spacing w:line="360" w:lineRule="auto"/>
              <w:ind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（2）总监理工程师代表1人，在具有信息系统监理师的基础上具有：国家人力资源和社会保障部及工业和信息化部共同颁发的“计算机技术与软件专业技术资格”</w:t>
            </w:r>
            <w:r>
              <w:rPr>
                <w:rFonts w:hint="eastAsia" w:ascii="宋体" w:hAnsi="宋体" w:eastAsia="宋体" w:cs="宋体"/>
                <w:color w:val="auto"/>
                <w:kern w:val="0"/>
                <w:sz w:val="21"/>
                <w:szCs w:val="21"/>
                <w:lang w:val="en-US" w:eastAsia="zh-CN"/>
              </w:rPr>
              <w:t>类</w:t>
            </w:r>
            <w:r>
              <w:rPr>
                <w:rFonts w:hint="eastAsia" w:ascii="宋体" w:hAnsi="宋体" w:eastAsia="宋体" w:cs="宋体"/>
                <w:color w:val="auto"/>
                <w:kern w:val="0"/>
                <w:sz w:val="21"/>
                <w:szCs w:val="21"/>
              </w:rPr>
              <w:t>证书</w:t>
            </w:r>
            <w:r>
              <w:rPr>
                <w:rFonts w:hint="eastAsia" w:ascii="宋体" w:hAnsi="宋体" w:eastAsia="宋体" w:cs="宋体"/>
                <w:color w:val="auto"/>
                <w:kern w:val="2"/>
                <w:sz w:val="21"/>
                <w:szCs w:val="21"/>
                <w:lang w:val="en-US" w:eastAsia="zh-CN" w:bidi="ar-SA"/>
              </w:rPr>
              <w:t>，每有一项高级专业得2分，每有一项中级资格专业得1分，最高得6分；</w:t>
            </w:r>
          </w:p>
          <w:p w14:paraId="19875459">
            <w:pPr>
              <w:pStyle w:val="39"/>
              <w:adjustRightInd w:val="0"/>
              <w:snapToGrid w:val="0"/>
              <w:spacing w:line="360" w:lineRule="auto"/>
              <w:ind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（3）除总监理工程师、总监理工程师代表外的监理工程师团队成员，在具有信息系统监理师的基础上具有：国家人力资源和社会保障部及工业和信息化部共同颁发的“计算机技术与软件专业技术资格”</w:t>
            </w:r>
            <w:r>
              <w:rPr>
                <w:rFonts w:hint="eastAsia" w:ascii="宋体" w:hAnsi="宋体" w:eastAsia="宋体" w:cs="宋体"/>
                <w:color w:val="auto"/>
                <w:kern w:val="0"/>
                <w:sz w:val="21"/>
                <w:szCs w:val="21"/>
                <w:lang w:val="en-US" w:eastAsia="zh-CN"/>
              </w:rPr>
              <w:t>类</w:t>
            </w:r>
            <w:r>
              <w:rPr>
                <w:rFonts w:hint="eastAsia" w:ascii="宋体" w:hAnsi="宋体" w:eastAsia="宋体" w:cs="宋体"/>
                <w:color w:val="auto"/>
                <w:kern w:val="0"/>
                <w:sz w:val="21"/>
                <w:szCs w:val="21"/>
              </w:rPr>
              <w:t>证书</w:t>
            </w:r>
            <w:r>
              <w:rPr>
                <w:rFonts w:hint="eastAsia" w:ascii="宋体" w:hAnsi="宋体" w:eastAsia="宋体" w:cs="宋体"/>
                <w:color w:val="auto"/>
                <w:kern w:val="2"/>
                <w:sz w:val="21"/>
                <w:szCs w:val="21"/>
                <w:lang w:val="en-US" w:eastAsia="zh-CN" w:bidi="ar-SA"/>
              </w:rPr>
              <w:t>，每有一项高级资格专业得2分，每有一项中级资格专业得1分，最高得8分（一人持多资格专业的按较高资格计算，同类证书不重复计分）。本小项最高得8分。</w:t>
            </w:r>
          </w:p>
          <w:p w14:paraId="733319AD">
            <w:pPr>
              <w:pStyle w:val="39"/>
              <w:adjustRightInd w:val="0"/>
              <w:snapToGrid w:val="0"/>
              <w:spacing w:line="360" w:lineRule="auto"/>
              <w:ind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有效证明文件：</w:t>
            </w:r>
            <w:r>
              <w:rPr>
                <w:rFonts w:hint="eastAsia" w:ascii="宋体" w:hAnsi="宋体" w:eastAsia="宋体" w:cs="宋体"/>
                <w:color w:val="auto"/>
                <w:kern w:val="0"/>
                <w:sz w:val="21"/>
                <w:szCs w:val="21"/>
                <w:lang w:val="en-US" w:eastAsia="zh-CN" w:bidi="ar-SA"/>
              </w:rPr>
              <w:t>提供上述所有人员劳动合同或在本单位的社保缴纳记录等证明其为投标人在职员工的证明材料（“劳务派遣”不视为“在职员工”）。相关证书复印件（证书须为国家人力资源和社会保障部及工业和信息化部共同颁发，其他培训等机构颁发的无效）。</w:t>
            </w:r>
          </w:p>
        </w:tc>
        <w:tc>
          <w:tcPr>
            <w:tcW w:w="432" w:type="pct"/>
            <w:vAlign w:val="center"/>
          </w:tcPr>
          <w:p w14:paraId="392D7017">
            <w:pPr>
              <w:pStyle w:val="39"/>
              <w:adjustRightInd w:val="0"/>
              <w:snapToGrid w:val="0"/>
              <w:spacing w:line="360" w:lineRule="auto"/>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20</w:t>
            </w:r>
          </w:p>
        </w:tc>
      </w:tr>
      <w:tr w14:paraId="462B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053FAAD1">
            <w:pPr>
              <w:pStyle w:val="39"/>
              <w:numPr>
                <w:ilvl w:val="0"/>
                <w:numId w:val="102"/>
              </w:numPr>
              <w:adjustRightInd w:val="0"/>
              <w:snapToGrid w:val="0"/>
              <w:spacing w:line="360" w:lineRule="auto"/>
              <w:ind w:left="-415" w:leftChars="0" w:firstLine="0" w:firstLineChars="0"/>
              <w:jc w:val="center"/>
              <w:rPr>
                <w:rFonts w:hint="eastAsia" w:ascii="宋体" w:hAnsi="宋体" w:eastAsia="宋体" w:cs="宋体"/>
                <w:color w:val="auto"/>
                <w:kern w:val="0"/>
                <w:sz w:val="21"/>
                <w:szCs w:val="21"/>
                <w:lang w:eastAsia="zh-CN"/>
              </w:rPr>
            </w:pPr>
          </w:p>
        </w:tc>
        <w:tc>
          <w:tcPr>
            <w:tcW w:w="4105" w:type="pct"/>
            <w:vAlign w:val="center"/>
          </w:tcPr>
          <w:p w14:paraId="5CF5A88F">
            <w:pPr>
              <w:pStyle w:val="39"/>
              <w:adjustRightInd w:val="0"/>
              <w:snapToGrid w:val="0"/>
              <w:spacing w:line="360" w:lineRule="auto"/>
              <w:ind w:firstLine="0" w:firstLineChars="0"/>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供应商体系认证情况评价</w:t>
            </w:r>
          </w:p>
          <w:p w14:paraId="7105910E">
            <w:pPr>
              <w:pStyle w:val="39"/>
              <w:keepNext w:val="0"/>
              <w:keepLines w:val="0"/>
              <w:pageBreakBefore w:val="0"/>
              <w:widowControl w:val="0"/>
              <w:numPr>
                <w:ilvl w:val="0"/>
                <w:numId w:val="105"/>
              </w:numPr>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bidi="ar"/>
              </w:rPr>
              <w:t>投标人具有ISO9001质量管理体系认证、ISO27001信息安全管理体系认证、ISO20000信息技术服务管理体系认证</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ISO14001</w:t>
            </w:r>
            <w:r>
              <w:rPr>
                <w:rFonts w:hint="eastAsia" w:ascii="宋体" w:hAnsi="宋体" w:eastAsia="宋体" w:cs="宋体"/>
                <w:b w:val="0"/>
                <w:bCs w:val="0"/>
                <w:color w:val="auto"/>
                <w:kern w:val="0"/>
                <w:sz w:val="21"/>
                <w:szCs w:val="21"/>
                <w:lang w:val="en-US" w:eastAsia="zh-CN" w:bidi="ar"/>
              </w:rPr>
              <w:t>环境管理体系</w:t>
            </w:r>
            <w:r>
              <w:rPr>
                <w:rFonts w:hint="eastAsia" w:ascii="宋体" w:hAnsi="宋体" w:eastAsia="宋体" w:cs="宋体"/>
                <w:color w:val="auto"/>
                <w:kern w:val="0"/>
                <w:sz w:val="21"/>
                <w:szCs w:val="21"/>
                <w:lang w:bidi="ar"/>
              </w:rPr>
              <w:t>的</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每提供一项得</w:t>
            </w:r>
            <w:r>
              <w:rPr>
                <w:rFonts w:hint="eastAsia"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分，满分</w:t>
            </w:r>
            <w:r>
              <w:rPr>
                <w:rFonts w:hint="eastAsia" w:ascii="宋体" w:hAnsi="宋体" w:eastAsia="宋体" w:cs="宋体"/>
                <w:color w:val="auto"/>
                <w:kern w:val="0"/>
                <w:sz w:val="21"/>
                <w:szCs w:val="21"/>
                <w:lang w:val="en-US" w:eastAsia="zh-CN" w:bidi="ar"/>
              </w:rPr>
              <w:t>4</w:t>
            </w:r>
            <w:r>
              <w:rPr>
                <w:rFonts w:hint="eastAsia" w:ascii="宋体" w:hAnsi="宋体" w:eastAsia="宋体" w:cs="宋体"/>
                <w:color w:val="auto"/>
                <w:kern w:val="0"/>
                <w:sz w:val="21"/>
                <w:szCs w:val="21"/>
                <w:lang w:bidi="ar"/>
              </w:rPr>
              <w:t>分。</w:t>
            </w:r>
          </w:p>
          <w:p w14:paraId="430A8828">
            <w:pPr>
              <w:pStyle w:val="39"/>
              <w:adjustRightInd w:val="0"/>
              <w:snapToGrid w:val="0"/>
              <w:spacing w:line="360" w:lineRule="auto"/>
              <w:ind w:firstLine="0" w:firstLineChars="0"/>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rPr>
              <w:t>有效证明文件：</w:t>
            </w:r>
            <w:r>
              <w:rPr>
                <w:rFonts w:hint="eastAsia" w:ascii="宋体" w:hAnsi="宋体" w:eastAsia="宋体" w:cs="宋体"/>
                <w:color w:val="auto"/>
                <w:sz w:val="21"/>
                <w:szCs w:val="21"/>
                <w:lang w:val="en-US" w:eastAsia="zh-CN"/>
              </w:rPr>
              <w:t>有效期内证书</w:t>
            </w:r>
            <w:r>
              <w:rPr>
                <w:rFonts w:hint="eastAsia" w:ascii="宋体" w:hAnsi="宋体" w:eastAsia="宋体" w:cs="宋体"/>
                <w:color w:val="auto"/>
                <w:sz w:val="21"/>
                <w:szCs w:val="21"/>
              </w:rPr>
              <w:t>复制件</w:t>
            </w:r>
          </w:p>
        </w:tc>
        <w:tc>
          <w:tcPr>
            <w:tcW w:w="432" w:type="pct"/>
            <w:vAlign w:val="center"/>
          </w:tcPr>
          <w:p w14:paraId="5F946276">
            <w:pPr>
              <w:pStyle w:val="39"/>
              <w:adjustRightInd w:val="0"/>
              <w:snapToGrid w:val="0"/>
              <w:spacing w:line="360" w:lineRule="auto"/>
              <w:ind w:firstLine="0" w:firstLine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r>
      <w:tr w14:paraId="6121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4143E852">
            <w:pPr>
              <w:pStyle w:val="39"/>
              <w:numPr>
                <w:ilvl w:val="0"/>
                <w:numId w:val="102"/>
              </w:numPr>
              <w:adjustRightInd w:val="0"/>
              <w:snapToGrid w:val="0"/>
              <w:spacing w:line="360" w:lineRule="auto"/>
              <w:ind w:left="-415" w:leftChars="0" w:firstLine="0" w:firstLineChars="0"/>
              <w:jc w:val="center"/>
              <w:rPr>
                <w:rFonts w:hint="eastAsia" w:ascii="宋体" w:hAnsi="宋体" w:eastAsia="宋体" w:cs="宋体"/>
                <w:color w:val="auto"/>
                <w:kern w:val="0"/>
                <w:sz w:val="21"/>
                <w:szCs w:val="21"/>
                <w:lang w:eastAsia="zh-CN"/>
              </w:rPr>
            </w:pPr>
          </w:p>
        </w:tc>
        <w:tc>
          <w:tcPr>
            <w:tcW w:w="4105" w:type="pct"/>
            <w:vAlign w:val="center"/>
          </w:tcPr>
          <w:p w14:paraId="3F272F26">
            <w:pPr>
              <w:pStyle w:val="39"/>
              <w:adjustRightInd w:val="0"/>
              <w:snapToGrid w:val="0"/>
              <w:spacing w:line="360" w:lineRule="auto"/>
              <w:ind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以往业绩评价</w:t>
            </w:r>
          </w:p>
          <w:p w14:paraId="2F56F9F5">
            <w:pPr>
              <w:pStyle w:val="39"/>
              <w:adjustRightInd w:val="0"/>
              <w:snapToGrid w:val="0"/>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往年具有类似项目成交案例供应商提供2022年1月1日以来（以合同签订日期为准）承担的同类项目业绩的，每提供1个得</w:t>
            </w:r>
            <w:r>
              <w:rPr>
                <w:rFonts w:hint="eastAsia" w:ascii="宋体" w:hAnsi="宋体" w:eastAsia="宋体" w:cs="宋体"/>
                <w:color w:val="auto"/>
                <w:sz w:val="21"/>
                <w:szCs w:val="21"/>
                <w:lang w:eastAsia="zh-CN"/>
              </w:rPr>
              <w:t>0.5</w:t>
            </w:r>
            <w:r>
              <w:rPr>
                <w:rFonts w:hint="eastAsia" w:ascii="宋体" w:hAnsi="宋体" w:eastAsia="宋体" w:cs="宋体"/>
                <w:color w:val="auto"/>
                <w:sz w:val="21"/>
                <w:szCs w:val="21"/>
              </w:rPr>
              <w:t>分，最多</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rPr>
              <w:t>分。</w:t>
            </w:r>
          </w:p>
          <w:p w14:paraId="74068DEB">
            <w:pPr>
              <w:pStyle w:val="39"/>
              <w:adjustRightInd w:val="0"/>
              <w:snapToGrid w:val="0"/>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有效证明文件：合同复制件</w:t>
            </w:r>
          </w:p>
        </w:tc>
        <w:tc>
          <w:tcPr>
            <w:tcW w:w="432" w:type="pct"/>
            <w:vAlign w:val="center"/>
          </w:tcPr>
          <w:p w14:paraId="68FA9FE7">
            <w:pPr>
              <w:pStyle w:val="39"/>
              <w:adjustRightInd w:val="0"/>
              <w:snapToGrid w:val="0"/>
              <w:spacing w:line="360" w:lineRule="auto"/>
              <w:ind w:firstLine="0" w:firstLineChars="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w:t>
            </w:r>
          </w:p>
        </w:tc>
      </w:tr>
      <w:tr w14:paraId="405D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3BB72754">
            <w:pPr>
              <w:pStyle w:val="39"/>
              <w:numPr>
                <w:ilvl w:val="0"/>
                <w:numId w:val="102"/>
              </w:numPr>
              <w:adjustRightInd w:val="0"/>
              <w:snapToGrid w:val="0"/>
              <w:spacing w:line="360" w:lineRule="auto"/>
              <w:ind w:left="-415" w:leftChars="0" w:firstLine="0" w:firstLineChars="0"/>
              <w:jc w:val="center"/>
              <w:rPr>
                <w:rFonts w:hint="eastAsia" w:ascii="宋体" w:hAnsi="宋体" w:eastAsia="宋体" w:cs="宋体"/>
                <w:color w:val="auto"/>
                <w:kern w:val="0"/>
                <w:sz w:val="21"/>
                <w:szCs w:val="21"/>
                <w:lang w:eastAsia="zh-CN"/>
              </w:rPr>
            </w:pPr>
          </w:p>
        </w:tc>
        <w:tc>
          <w:tcPr>
            <w:tcW w:w="4105" w:type="pct"/>
            <w:vAlign w:val="center"/>
          </w:tcPr>
          <w:p w14:paraId="5AC7333F">
            <w:pPr>
              <w:pStyle w:val="39"/>
              <w:adjustRightInd w:val="0"/>
              <w:snapToGrid w:val="0"/>
              <w:spacing w:line="360" w:lineRule="auto"/>
              <w:ind w:firstLine="0" w:firstLineChars="0"/>
              <w:jc w:val="left"/>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报价评价</w:t>
            </w:r>
          </w:p>
          <w:p w14:paraId="486C57B6">
            <w:pPr>
              <w:pStyle w:val="39"/>
              <w:adjustRightInd w:val="0"/>
              <w:snapToGrid w:val="0"/>
              <w:spacing w:line="360" w:lineRule="auto"/>
              <w:ind w:firstLine="0" w:firstLineChars="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（1）满足采购文件要求的最低评标价为评标基准价，价格</w:t>
            </w:r>
            <w:r>
              <w:rPr>
                <w:rFonts w:hint="eastAsia" w:ascii="宋体" w:hAnsi="宋体" w:eastAsia="宋体" w:cs="宋体"/>
                <w:color w:val="auto"/>
                <w:sz w:val="21"/>
                <w:szCs w:val="21"/>
                <w:lang w:val="en-US" w:eastAsia="zh-CN"/>
              </w:rPr>
              <w:t>满分为10</w:t>
            </w:r>
            <w:r>
              <w:rPr>
                <w:rFonts w:hint="eastAsia" w:ascii="宋体" w:hAnsi="宋体" w:eastAsia="宋体" w:cs="宋体"/>
                <w:color w:val="auto"/>
                <w:sz w:val="21"/>
                <w:szCs w:val="21"/>
                <w:lang w:eastAsia="zh-CN"/>
              </w:rPr>
              <w:t>；</w:t>
            </w:r>
          </w:p>
          <w:p w14:paraId="2E718C9E">
            <w:pPr>
              <w:pStyle w:val="39"/>
              <w:adjustRightInd w:val="0"/>
              <w:snapToGrid w:val="0"/>
              <w:spacing w:line="360"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（2）报价分统一按照下列公式计算（四舍五入，精确到小数点后二位）：报价得分=（评标基准价／供应商评标价）×</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eastAsia="zh-CN"/>
              </w:rPr>
              <w:t>；</w:t>
            </w:r>
          </w:p>
        </w:tc>
        <w:tc>
          <w:tcPr>
            <w:tcW w:w="432" w:type="pct"/>
            <w:vAlign w:val="center"/>
          </w:tcPr>
          <w:p w14:paraId="54346225">
            <w:pPr>
              <w:pStyle w:val="39"/>
              <w:adjustRightInd w:val="0"/>
              <w:snapToGrid w:val="0"/>
              <w:spacing w:line="360" w:lineRule="auto"/>
              <w:ind w:firstLine="0" w:firstLineChars="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10</w:t>
            </w:r>
          </w:p>
        </w:tc>
      </w:tr>
      <w:tr w14:paraId="4FC8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7" w:type="pct"/>
            <w:gridSpan w:val="2"/>
            <w:vAlign w:val="center"/>
          </w:tcPr>
          <w:p w14:paraId="53E53226">
            <w:pPr>
              <w:pStyle w:val="39"/>
              <w:adjustRightInd w:val="0"/>
              <w:snapToGrid w:val="0"/>
              <w:spacing w:line="360" w:lineRule="auto"/>
              <w:ind w:left="0" w:leftChars="0"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合计</w:t>
            </w:r>
          </w:p>
        </w:tc>
        <w:tc>
          <w:tcPr>
            <w:tcW w:w="432" w:type="pct"/>
            <w:vAlign w:val="center"/>
          </w:tcPr>
          <w:p w14:paraId="1C52F4A6">
            <w:pPr>
              <w:pStyle w:val="39"/>
              <w:adjustRightInd w:val="0"/>
              <w:snapToGrid w:val="0"/>
              <w:spacing w:line="360" w:lineRule="auto"/>
              <w:ind w:firstLine="0" w:firstLineChars="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fldChar w:fldCharType="begin"/>
            </w:r>
            <w:r>
              <w:rPr>
                <w:rFonts w:hint="eastAsia" w:ascii="宋体" w:hAnsi="宋体" w:eastAsia="宋体" w:cs="宋体"/>
                <w:color w:val="auto"/>
                <w:kern w:val="0"/>
                <w:sz w:val="21"/>
                <w:szCs w:val="21"/>
                <w:lang w:eastAsia="zh-CN"/>
              </w:rPr>
              <w:instrText xml:space="preserve"> =SUM(ABOVE) \* MERGEFORMAT </w:instrText>
            </w:r>
            <w:r>
              <w:rPr>
                <w:rFonts w:hint="eastAsia" w:ascii="宋体" w:hAnsi="宋体" w:eastAsia="宋体" w:cs="宋体"/>
                <w:color w:val="auto"/>
                <w:kern w:val="0"/>
                <w:sz w:val="21"/>
                <w:szCs w:val="21"/>
                <w:lang w:eastAsia="zh-CN"/>
              </w:rPr>
              <w:fldChar w:fldCharType="separate"/>
            </w:r>
            <w:r>
              <w:rPr>
                <w:rFonts w:hint="eastAsia" w:ascii="宋体" w:hAnsi="宋体" w:eastAsia="宋体" w:cs="宋体"/>
                <w:color w:val="auto"/>
                <w:kern w:val="0"/>
                <w:sz w:val="21"/>
                <w:szCs w:val="21"/>
                <w:lang w:val="en-US" w:eastAsia="zh-CN"/>
              </w:rPr>
              <w:t>100</w:t>
            </w:r>
            <w:r>
              <w:rPr>
                <w:rFonts w:hint="eastAsia" w:ascii="宋体" w:hAnsi="宋体" w:eastAsia="宋体" w:cs="宋体"/>
                <w:color w:val="auto"/>
                <w:kern w:val="0"/>
                <w:sz w:val="21"/>
                <w:szCs w:val="21"/>
                <w:lang w:eastAsia="zh-CN"/>
              </w:rPr>
              <w:fldChar w:fldCharType="end"/>
            </w:r>
          </w:p>
        </w:tc>
      </w:tr>
    </w:tbl>
    <w:p w14:paraId="38F0247F">
      <w:pPr>
        <w:pStyle w:val="39"/>
        <w:ind w:left="0" w:leftChars="0" w:firstLine="0" w:firstLineChars="0"/>
        <w:rPr>
          <w:rFonts w:hint="eastAsia"/>
          <w:b w:val="0"/>
          <w:bCs w:val="0"/>
          <w:color w:val="auto"/>
          <w:u w:val="none"/>
          <w:lang w:val="en-US" w:eastAsia="zh-CN"/>
        </w:rPr>
      </w:pPr>
    </w:p>
    <w:p w14:paraId="2B7E2E7B">
      <w:pPr>
        <w:pStyle w:val="41"/>
        <w:numPr>
          <w:ilvl w:val="1"/>
          <w:numId w:val="93"/>
        </w:numPr>
        <w:rPr>
          <w:color w:val="000000"/>
        </w:rPr>
      </w:pPr>
      <w:bookmarkStart w:id="429" w:name="_Toc1570352396"/>
      <w:bookmarkStart w:id="430" w:name="_Toc1938803862"/>
      <w:r>
        <w:rPr>
          <w:rFonts w:hint="eastAsia"/>
        </w:rPr>
        <w:t>评审流程及内容</w:t>
      </w:r>
      <w:bookmarkEnd w:id="429"/>
      <w:bookmarkEnd w:id="430"/>
    </w:p>
    <w:p w14:paraId="4CDD116E">
      <w:pPr>
        <w:pStyle w:val="39"/>
        <w:ind w:firstLine="480"/>
      </w:pPr>
      <w:r>
        <w:rPr>
          <w:rFonts w:hint="eastAsia"/>
        </w:rPr>
        <w:t>本项目具体的评审事务由评审委员会负责，评审流程及内容如下：</w:t>
      </w:r>
    </w:p>
    <w:p w14:paraId="2E6A2509">
      <w:pPr>
        <w:pStyle w:val="43"/>
        <w:keepNext w:val="0"/>
        <w:keepLines w:val="0"/>
        <w:pageBreakBefore w:val="0"/>
        <w:widowControl w:val="0"/>
        <w:numPr>
          <w:ilvl w:val="2"/>
          <w:numId w:val="106"/>
        </w:numPr>
        <w:kinsoku/>
        <w:wordWrap/>
        <w:overflowPunct/>
        <w:topLinePunct w:val="0"/>
        <w:autoSpaceDE/>
        <w:autoSpaceDN/>
        <w:bidi w:val="0"/>
        <w:adjustRightInd w:val="0"/>
        <w:snapToGrid/>
        <w:ind w:left="0" w:firstLine="0" w:firstLineChars="0"/>
        <w:textAlignment w:val="auto"/>
        <w:rPr>
          <w:color w:val="000000"/>
        </w:rPr>
      </w:pPr>
      <w:bookmarkStart w:id="431" w:name="_Toc338697942"/>
      <w:bookmarkStart w:id="432" w:name="_Toc1707132703"/>
      <w:r>
        <w:rPr>
          <w:rFonts w:hint="eastAsia"/>
        </w:rPr>
        <w:t>评审前准备</w:t>
      </w:r>
      <w:bookmarkEnd w:id="431"/>
      <w:bookmarkEnd w:id="432"/>
    </w:p>
    <w:p w14:paraId="5E705649">
      <w:pPr>
        <w:pStyle w:val="47"/>
        <w:numPr>
          <w:ilvl w:val="0"/>
          <w:numId w:val="107"/>
        </w:numPr>
        <w:bidi w:val="0"/>
      </w:pPr>
      <w:r>
        <w:t>由评审专家推选评审小组组长，采购人代表不得担任评审小组组长。</w:t>
      </w:r>
    </w:p>
    <w:p w14:paraId="36D2CF7C">
      <w:pPr>
        <w:pStyle w:val="47"/>
        <w:numPr>
          <w:ilvl w:val="0"/>
          <w:numId w:val="107"/>
        </w:numPr>
        <w:bidi w:val="0"/>
      </w:pPr>
      <w:r>
        <w:t>由评审小组组长召集所有评委成员阅读采购文件及相关补充、质疑、答复文件、项目书面说明等材料，熟悉采购项目基本情况、采购需求、合同主要条款、投标文件无效情形、评审办法、评审标准，以及其他与评审有关的内容。</w:t>
      </w:r>
    </w:p>
    <w:p w14:paraId="34EC36E5">
      <w:pPr>
        <w:pStyle w:val="43"/>
        <w:keepNext w:val="0"/>
        <w:keepLines w:val="0"/>
        <w:pageBreakBefore w:val="0"/>
        <w:widowControl w:val="0"/>
        <w:numPr>
          <w:ilvl w:val="2"/>
          <w:numId w:val="106"/>
        </w:numPr>
        <w:kinsoku/>
        <w:wordWrap/>
        <w:overflowPunct/>
        <w:topLinePunct w:val="0"/>
        <w:autoSpaceDE/>
        <w:autoSpaceDN/>
        <w:bidi w:val="0"/>
        <w:adjustRightInd w:val="0"/>
        <w:snapToGrid/>
        <w:ind w:left="0" w:firstLine="0" w:firstLineChars="0"/>
        <w:textAlignment w:val="auto"/>
      </w:pPr>
      <w:bookmarkStart w:id="433" w:name="_Toc1664646644"/>
      <w:bookmarkStart w:id="434" w:name="_Toc1397815401"/>
      <w:r>
        <w:rPr>
          <w:rFonts w:hint="eastAsia"/>
        </w:rPr>
        <w:t>商务技术文件符合性审查</w:t>
      </w:r>
      <w:bookmarkEnd w:id="433"/>
      <w:bookmarkEnd w:id="434"/>
    </w:p>
    <w:p w14:paraId="38FD01A7">
      <w:pPr>
        <w:pStyle w:val="47"/>
        <w:numPr>
          <w:ilvl w:val="0"/>
          <w:numId w:val="108"/>
        </w:numPr>
        <w:bidi w:val="0"/>
      </w:pPr>
      <w:r>
        <w:t>评审委员会首先对通过资格审查的投标人的商务技术文件进行符合性审查，以确定其是否满足招标文件的实质性要求。</w:t>
      </w:r>
    </w:p>
    <w:p w14:paraId="186BBA37">
      <w:pPr>
        <w:pStyle w:val="47"/>
        <w:numPr>
          <w:ilvl w:val="0"/>
          <w:numId w:val="108"/>
        </w:numPr>
        <w:bidi w:val="0"/>
      </w:pPr>
      <w:r>
        <w:t>商务技术文件存在下列情形之一的，经评审委员会认定后作无效标处理：</w:t>
      </w:r>
    </w:p>
    <w:p w14:paraId="3F1583A4">
      <w:pPr>
        <w:pStyle w:val="48"/>
        <w:numPr>
          <w:ilvl w:val="0"/>
          <w:numId w:val="109"/>
        </w:numPr>
        <w:bidi w:val="0"/>
        <w:rPr>
          <w:u w:val="single"/>
        </w:rPr>
      </w:pPr>
      <w:r>
        <w:rPr>
          <w:rFonts w:hint="eastAsia"/>
          <w:u w:val="single"/>
        </w:rPr>
        <w:t>投标文件没有对本采购文件作出实质性响应的，或不满足（不响应）本采购文件中标注“▲”的实质性要求条款的；</w:t>
      </w:r>
    </w:p>
    <w:p w14:paraId="4A0C2127">
      <w:pPr>
        <w:pStyle w:val="48"/>
        <w:numPr>
          <w:ilvl w:val="0"/>
          <w:numId w:val="109"/>
        </w:numPr>
        <w:bidi w:val="0"/>
        <w:rPr>
          <w:u w:val="single"/>
        </w:rPr>
      </w:pPr>
      <w:r>
        <w:rPr>
          <w:rFonts w:hint="eastAsia"/>
          <w:u w:val="single"/>
        </w:rPr>
        <w:t>投标文件存在一个或一个以上备选（替代）</w:t>
      </w:r>
      <w:r>
        <w:rPr>
          <w:rFonts w:hint="eastAsia"/>
          <w:u w:val="single"/>
          <w:lang w:eastAsia="zh-CN"/>
        </w:rPr>
        <w:t>方</w:t>
      </w:r>
      <w:r>
        <w:rPr>
          <w:rFonts w:hint="eastAsia"/>
          <w:u w:val="single"/>
        </w:rPr>
        <w:t>案的；</w:t>
      </w:r>
    </w:p>
    <w:p w14:paraId="3FC656DF">
      <w:pPr>
        <w:pStyle w:val="48"/>
        <w:numPr>
          <w:ilvl w:val="0"/>
          <w:numId w:val="109"/>
        </w:numPr>
        <w:bidi w:val="0"/>
        <w:rPr>
          <w:u w:val="single"/>
        </w:rPr>
      </w:pPr>
      <w:r>
        <w:rPr>
          <w:rFonts w:hint="eastAsia"/>
          <w:u w:val="single"/>
        </w:rPr>
        <w:t>仅提交“备份投标文件”的；</w:t>
      </w:r>
    </w:p>
    <w:p w14:paraId="66FDDEE9">
      <w:pPr>
        <w:pStyle w:val="48"/>
        <w:numPr>
          <w:ilvl w:val="0"/>
          <w:numId w:val="109"/>
        </w:numPr>
        <w:bidi w:val="0"/>
        <w:rPr>
          <w:u w:val="single"/>
          <w:lang w:eastAsia="zh-CN"/>
        </w:rPr>
      </w:pPr>
      <w:r>
        <w:rPr>
          <w:rFonts w:hint="eastAsia"/>
          <w:u w:val="single"/>
        </w:rPr>
        <w:t>投标文件未按本</w:t>
      </w:r>
      <w:r>
        <w:rPr>
          <w:rFonts w:hint="eastAsia"/>
          <w:u w:val="single"/>
          <w:lang w:eastAsia="zh-CN"/>
        </w:rPr>
        <w:t>招标文件</w:t>
      </w:r>
      <w:r>
        <w:rPr>
          <w:rFonts w:hint="eastAsia"/>
          <w:u w:val="single"/>
          <w:lang w:eastAsia="zh-Hans"/>
        </w:rPr>
        <w:t>“</w:t>
      </w:r>
      <w:r>
        <w:rPr>
          <w:rFonts w:hint="eastAsia"/>
          <w:u w:val="single"/>
          <w:lang w:val="en-US" w:eastAsia="zh-Hans"/>
        </w:rPr>
        <w:t>第六章</w:t>
      </w:r>
      <w:r>
        <w:rPr>
          <w:rFonts w:hint="default"/>
          <w:u w:val="single"/>
          <w:lang w:eastAsia="zh-Hans"/>
        </w:rPr>
        <w:t xml:space="preserve"> </w:t>
      </w:r>
      <w:r>
        <w:rPr>
          <w:rFonts w:hint="eastAsia"/>
          <w:u w:val="single"/>
          <w:lang w:val="en-US" w:eastAsia="zh-Hans"/>
        </w:rPr>
        <w:t>投标文件部分</w:t>
      </w:r>
      <w:r>
        <w:rPr>
          <w:rFonts w:hint="eastAsia"/>
          <w:u w:val="single"/>
          <w:lang w:eastAsia="zh-CN"/>
        </w:rPr>
        <w:t>格式文本</w:t>
      </w:r>
      <w:r>
        <w:rPr>
          <w:rFonts w:hint="eastAsia"/>
          <w:u w:val="single"/>
          <w:lang w:eastAsia="zh-Hans"/>
        </w:rPr>
        <w:t>”</w:t>
      </w:r>
      <w:r>
        <w:rPr>
          <w:rFonts w:hint="eastAsia"/>
          <w:u w:val="single"/>
        </w:rPr>
        <w:t>要求进行盖章或签署的；</w:t>
      </w:r>
    </w:p>
    <w:p w14:paraId="7560543C">
      <w:pPr>
        <w:pStyle w:val="48"/>
        <w:numPr>
          <w:ilvl w:val="0"/>
          <w:numId w:val="109"/>
        </w:numPr>
        <w:bidi w:val="0"/>
        <w:rPr>
          <w:u w:val="single"/>
        </w:rPr>
      </w:pPr>
      <w:r>
        <w:rPr>
          <w:rFonts w:hint="eastAsia"/>
          <w:u w:val="single"/>
        </w:rPr>
        <w:t>投标文件组成内容不齐全，本</w:t>
      </w:r>
      <w:r>
        <w:rPr>
          <w:rFonts w:hint="eastAsia"/>
          <w:u w:val="single"/>
          <w:lang w:eastAsia="zh-CN"/>
        </w:rPr>
        <w:t>招标</w:t>
      </w:r>
      <w:r>
        <w:rPr>
          <w:rFonts w:hint="eastAsia"/>
          <w:u w:val="single"/>
        </w:rPr>
        <w:t>文件规定必须提供而未提供的；</w:t>
      </w:r>
    </w:p>
    <w:p w14:paraId="23A1DDBD">
      <w:pPr>
        <w:pStyle w:val="48"/>
        <w:numPr>
          <w:ilvl w:val="0"/>
          <w:numId w:val="109"/>
        </w:numPr>
        <w:bidi w:val="0"/>
        <w:rPr>
          <w:u w:val="single"/>
        </w:rPr>
      </w:pPr>
      <w:r>
        <w:rPr>
          <w:rFonts w:hint="eastAsia"/>
          <w:u w:val="single"/>
        </w:rPr>
        <w:t>投标文件标注的响应或偏离情况与事实不符，或提供了虚假材料的；</w:t>
      </w:r>
    </w:p>
    <w:p w14:paraId="494E94D0">
      <w:pPr>
        <w:pStyle w:val="48"/>
        <w:numPr>
          <w:ilvl w:val="0"/>
          <w:numId w:val="109"/>
        </w:numPr>
        <w:bidi w:val="0"/>
        <w:rPr>
          <w:u w:val="single"/>
        </w:rPr>
      </w:pPr>
      <w:r>
        <w:rPr>
          <w:rFonts w:hint="eastAsia"/>
          <w:u w:val="single"/>
        </w:rPr>
        <w:t>投标文件有效期不符合本采购文件要求的；</w:t>
      </w:r>
    </w:p>
    <w:p w14:paraId="6C638566">
      <w:pPr>
        <w:pStyle w:val="48"/>
        <w:numPr>
          <w:ilvl w:val="0"/>
          <w:numId w:val="109"/>
        </w:numPr>
        <w:bidi w:val="0"/>
        <w:rPr>
          <w:u w:val="single"/>
        </w:rPr>
      </w:pPr>
      <w:r>
        <w:rPr>
          <w:rFonts w:hint="eastAsia"/>
          <w:u w:val="single"/>
        </w:rPr>
        <w:t>不响应或擅自改变本采购文件要求或投标文件含有</w:t>
      </w:r>
      <w:r>
        <w:rPr>
          <w:rFonts w:hint="eastAsia"/>
          <w:u w:val="single"/>
          <w:lang w:eastAsia="zh-CN"/>
        </w:rPr>
        <w:t>招标</w:t>
      </w:r>
      <w:r>
        <w:rPr>
          <w:rFonts w:hint="eastAsia"/>
          <w:u w:val="single"/>
        </w:rPr>
        <w:t>人不能接受的附加条件的；</w:t>
      </w:r>
    </w:p>
    <w:p w14:paraId="49F63605">
      <w:pPr>
        <w:pStyle w:val="48"/>
        <w:numPr>
          <w:ilvl w:val="0"/>
          <w:numId w:val="109"/>
        </w:numPr>
        <w:bidi w:val="0"/>
        <w:rPr>
          <w:u w:val="single"/>
        </w:rPr>
      </w:pPr>
      <w:r>
        <w:rPr>
          <w:rFonts w:hint="eastAsia"/>
          <w:u w:val="single"/>
        </w:rPr>
        <w:t>属于本招标文件明确限制投标的供应商提供的投标文件；</w:t>
      </w:r>
    </w:p>
    <w:p w14:paraId="4CD29103">
      <w:pPr>
        <w:pStyle w:val="48"/>
        <w:numPr>
          <w:ilvl w:val="0"/>
          <w:numId w:val="109"/>
        </w:numPr>
        <w:bidi w:val="0"/>
      </w:pPr>
      <w:r>
        <w:rPr>
          <w:rFonts w:hint="eastAsia"/>
          <w:u w:val="single"/>
        </w:rPr>
        <w:t>未提供有效投标函及投标代表人身份证明的投标文件；</w:t>
      </w:r>
    </w:p>
    <w:p w14:paraId="20C0319B">
      <w:pPr>
        <w:pStyle w:val="48"/>
        <w:numPr>
          <w:ilvl w:val="0"/>
          <w:numId w:val="109"/>
        </w:numPr>
        <w:bidi w:val="0"/>
        <w:rPr>
          <w:u w:val="single"/>
        </w:rPr>
      </w:pPr>
      <w:r>
        <w:rPr>
          <w:rFonts w:hint="eastAsia"/>
          <w:u w:val="single"/>
        </w:rPr>
        <w:t>存在法律、法规和采购文件规定的其他无效情形的。</w:t>
      </w:r>
    </w:p>
    <w:p w14:paraId="56802854">
      <w:pPr>
        <w:pStyle w:val="47"/>
        <w:numPr>
          <w:ilvl w:val="0"/>
          <w:numId w:val="78"/>
        </w:numPr>
        <w:bidi w:val="0"/>
        <w:rPr>
          <w:rFonts w:hint="default"/>
          <w:color w:val="auto"/>
          <w:lang w:val="en-US" w:eastAsia="zh-CN"/>
        </w:rPr>
      </w:pPr>
      <w:r>
        <w:rPr>
          <w:rFonts w:hint="eastAsia"/>
          <w:color w:val="auto"/>
          <w:lang w:val="en-US" w:eastAsia="zh-CN"/>
        </w:rPr>
        <w:t>电子交易活动中，出现以下情形之一的，相关方均作无效投标处理：</w:t>
      </w:r>
    </w:p>
    <w:p w14:paraId="0229A3B8">
      <w:pPr>
        <w:pStyle w:val="48"/>
        <w:numPr>
          <w:ilvl w:val="0"/>
          <w:numId w:val="110"/>
        </w:numPr>
        <w:bidi w:val="0"/>
        <w:rPr>
          <w:rFonts w:hint="eastAsia"/>
          <w:color w:val="auto"/>
          <w:u w:val="single"/>
          <w:lang w:val="en-US" w:eastAsia="zh-CN"/>
        </w:rPr>
      </w:pPr>
      <w:r>
        <w:rPr>
          <w:rFonts w:hint="eastAsia"/>
          <w:color w:val="auto"/>
          <w:u w:val="single"/>
          <w:lang w:val="en-US" w:eastAsia="zh-CN"/>
        </w:rPr>
        <w:t>电子交易平台提示不同投标人IP地址重复的（包括下载IP、上传IP）；</w:t>
      </w:r>
    </w:p>
    <w:p w14:paraId="0D2DC503">
      <w:pPr>
        <w:pStyle w:val="48"/>
        <w:numPr>
          <w:ilvl w:val="0"/>
          <w:numId w:val="110"/>
        </w:numPr>
        <w:bidi w:val="0"/>
        <w:rPr>
          <w:rFonts w:hint="eastAsia"/>
          <w:color w:val="auto"/>
          <w:u w:val="single"/>
          <w:lang w:val="en-US" w:eastAsia="zh-CN"/>
        </w:rPr>
      </w:pPr>
      <w:r>
        <w:rPr>
          <w:rFonts w:hint="eastAsia"/>
          <w:color w:val="auto"/>
          <w:u w:val="single"/>
          <w:lang w:val="en-US" w:eastAsia="zh-CN"/>
        </w:rPr>
        <w:t>电子交易平台提示不同投标人MAC地址重复的；</w:t>
      </w:r>
    </w:p>
    <w:p w14:paraId="537E4400">
      <w:pPr>
        <w:pStyle w:val="48"/>
        <w:numPr>
          <w:ilvl w:val="0"/>
          <w:numId w:val="110"/>
        </w:numPr>
        <w:bidi w:val="0"/>
        <w:rPr>
          <w:rFonts w:hint="eastAsia"/>
          <w:color w:val="auto"/>
          <w:u w:val="single"/>
          <w:lang w:val="en-US" w:eastAsia="zh-CN"/>
        </w:rPr>
      </w:pPr>
      <w:r>
        <w:rPr>
          <w:rFonts w:hint="eastAsia"/>
          <w:color w:val="auto"/>
          <w:u w:val="single"/>
          <w:lang w:val="en-US" w:eastAsia="zh-CN"/>
        </w:rPr>
        <w:t>电子交易平台提示不同投标人硬件号重复的（包括硬盘号、主板号）；</w:t>
      </w:r>
    </w:p>
    <w:p w14:paraId="3DBD4E57">
      <w:pPr>
        <w:pStyle w:val="48"/>
        <w:numPr>
          <w:ilvl w:val="0"/>
          <w:numId w:val="110"/>
        </w:numPr>
        <w:bidi w:val="0"/>
        <w:rPr>
          <w:rFonts w:hint="default"/>
          <w:color w:val="auto"/>
          <w:u w:val="single"/>
          <w:lang w:val="en-US" w:eastAsia="zh-CN"/>
        </w:rPr>
      </w:pPr>
      <w:r>
        <w:rPr>
          <w:rFonts w:hint="eastAsia"/>
          <w:color w:val="auto"/>
          <w:u w:val="single"/>
          <w:lang w:val="en-US" w:eastAsia="zh-CN"/>
        </w:rPr>
        <w:t>电子交易平台提示不同投标人其他设备或电子文档属性信息重复的。</w:t>
      </w:r>
    </w:p>
    <w:p w14:paraId="0EF5C0BC">
      <w:pPr>
        <w:pStyle w:val="43"/>
        <w:keepNext w:val="0"/>
        <w:keepLines w:val="0"/>
        <w:pageBreakBefore w:val="0"/>
        <w:widowControl w:val="0"/>
        <w:numPr>
          <w:ilvl w:val="2"/>
          <w:numId w:val="106"/>
        </w:numPr>
        <w:kinsoku/>
        <w:wordWrap/>
        <w:overflowPunct/>
        <w:topLinePunct w:val="0"/>
        <w:autoSpaceDE/>
        <w:autoSpaceDN/>
        <w:bidi w:val="0"/>
        <w:adjustRightInd w:val="0"/>
        <w:snapToGrid/>
        <w:ind w:left="0" w:firstLine="0" w:firstLineChars="0"/>
        <w:textAlignment w:val="auto"/>
      </w:pPr>
      <w:bookmarkStart w:id="435" w:name="_Toc1759830074"/>
      <w:bookmarkStart w:id="436" w:name="_Toc299192592"/>
      <w:r>
        <w:rPr>
          <w:rFonts w:hint="eastAsia"/>
        </w:rPr>
        <w:t>商务技术文件评分</w:t>
      </w:r>
      <w:bookmarkEnd w:id="435"/>
      <w:bookmarkEnd w:id="436"/>
    </w:p>
    <w:p w14:paraId="2614F92B">
      <w:pPr>
        <w:pStyle w:val="39"/>
        <w:ind w:firstLine="480"/>
        <w:rPr>
          <w:rFonts w:cs="Arial"/>
          <w:kern w:val="0"/>
        </w:rPr>
      </w:pPr>
      <w:r>
        <w:rPr>
          <w:rFonts w:hint="eastAsia"/>
        </w:rPr>
        <w:t>评审委员会首先对</w:t>
      </w:r>
      <w:r>
        <w:rPr>
          <w:rFonts w:hint="eastAsia"/>
          <w:lang w:eastAsia="zh-CN"/>
        </w:rPr>
        <w:t>通过资格审查且通过商务技术文件符合性审查</w:t>
      </w:r>
      <w:r>
        <w:rPr>
          <w:rFonts w:hint="eastAsia"/>
        </w:rPr>
        <w:t>的投标</w:t>
      </w:r>
      <w:r>
        <w:rPr>
          <w:rFonts w:hint="eastAsia"/>
          <w:lang w:eastAsia="zh-CN"/>
        </w:rPr>
        <w:t>人</w:t>
      </w:r>
      <w:r>
        <w:rPr>
          <w:rFonts w:hint="eastAsia"/>
        </w:rPr>
        <w:t>的</w:t>
      </w:r>
      <w:r>
        <w:rPr>
          <w:rFonts w:hint="eastAsia"/>
          <w:lang w:eastAsia="zh-CN"/>
        </w:rPr>
        <w:t>商务技术</w:t>
      </w:r>
      <w:r>
        <w:rPr>
          <w:rFonts w:hint="eastAsia"/>
        </w:rPr>
        <w:t>文件</w:t>
      </w:r>
      <w:r>
        <w:rPr>
          <w:rFonts w:hint="eastAsia"/>
          <w:lang w:val="en-US" w:eastAsia="zh-CN"/>
        </w:rPr>
        <w:t>依照“评分标准”</w:t>
      </w:r>
      <w:r>
        <w:rPr>
          <w:rFonts w:hint="eastAsia"/>
        </w:rPr>
        <w:t>进行</w:t>
      </w:r>
      <w:r>
        <w:rPr>
          <w:rFonts w:hint="eastAsia"/>
          <w:lang w:eastAsia="zh-CN"/>
        </w:rPr>
        <w:t>详细</w:t>
      </w:r>
      <w:r>
        <w:rPr>
          <w:rFonts w:hint="eastAsia"/>
          <w:lang w:val="en-US" w:eastAsia="zh-CN"/>
        </w:rPr>
        <w:t>评价。</w:t>
      </w:r>
    </w:p>
    <w:p w14:paraId="39D48229">
      <w:pPr>
        <w:pStyle w:val="43"/>
        <w:keepNext w:val="0"/>
        <w:keepLines w:val="0"/>
        <w:pageBreakBefore w:val="0"/>
        <w:widowControl w:val="0"/>
        <w:numPr>
          <w:ilvl w:val="2"/>
          <w:numId w:val="106"/>
        </w:numPr>
        <w:kinsoku/>
        <w:wordWrap/>
        <w:overflowPunct/>
        <w:topLinePunct w:val="0"/>
        <w:autoSpaceDE/>
        <w:autoSpaceDN/>
        <w:bidi w:val="0"/>
        <w:adjustRightInd w:val="0"/>
        <w:snapToGrid/>
        <w:ind w:left="0" w:firstLine="0" w:firstLineChars="0"/>
        <w:textAlignment w:val="auto"/>
        <w:rPr>
          <w:rFonts w:ascii="华文中宋" w:hAnsi="华文中宋" w:eastAsia="华文中宋" w:cs="Times New Roman"/>
          <w:b/>
          <w:color w:val="000000"/>
          <w:kern w:val="0"/>
          <w:sz w:val="30"/>
          <w:szCs w:val="30"/>
        </w:rPr>
      </w:pPr>
      <w:bookmarkStart w:id="437" w:name="_Toc1270676117"/>
      <w:bookmarkStart w:id="438" w:name="_Toc171783587"/>
      <w:r>
        <w:rPr>
          <w:rFonts w:hint="eastAsia"/>
          <w:lang w:eastAsia="zh-CN"/>
        </w:rPr>
        <w:t>报价文件</w:t>
      </w:r>
      <w:r>
        <w:rPr>
          <w:rFonts w:hint="eastAsia"/>
        </w:rPr>
        <w:t>符合性审查</w:t>
      </w:r>
      <w:bookmarkEnd w:id="437"/>
      <w:bookmarkEnd w:id="438"/>
    </w:p>
    <w:p w14:paraId="42A20EE6">
      <w:pPr>
        <w:pStyle w:val="47"/>
        <w:numPr>
          <w:ilvl w:val="0"/>
          <w:numId w:val="111"/>
        </w:numPr>
        <w:bidi w:val="0"/>
      </w:pPr>
      <w:r>
        <w:t>评审委员会对通过资格审查且通过商务技术符合性审查的投标人的报价文件进行符合性审查，以确定其是否满足招标文件的实质性要求。</w:t>
      </w:r>
    </w:p>
    <w:p w14:paraId="4D2067E7">
      <w:pPr>
        <w:pStyle w:val="47"/>
        <w:numPr>
          <w:ilvl w:val="0"/>
          <w:numId w:val="111"/>
        </w:numPr>
        <w:bidi w:val="0"/>
        <w:rPr>
          <w:rFonts w:cs="Arial"/>
          <w:kern w:val="0"/>
        </w:rPr>
      </w:pPr>
      <w:r>
        <w:t>报价文件存在下列情形之一的，经评审委员会认定后作无效标处理：</w:t>
      </w:r>
    </w:p>
    <w:p w14:paraId="2B08F5AE">
      <w:pPr>
        <w:pStyle w:val="48"/>
        <w:numPr>
          <w:ilvl w:val="0"/>
          <w:numId w:val="112"/>
        </w:numPr>
        <w:bidi w:val="0"/>
        <w:rPr>
          <w:u w:val="single"/>
        </w:rPr>
      </w:pPr>
      <w:r>
        <w:rPr>
          <w:rFonts w:hint="eastAsia"/>
          <w:u w:val="single"/>
        </w:rPr>
        <w:t>投标文件没有对本采购文件作出实质性响应的，或不满足（不响应）本采购文件中标注“▲”的实质性要求条款的；</w:t>
      </w:r>
    </w:p>
    <w:p w14:paraId="31AFD67E">
      <w:pPr>
        <w:pStyle w:val="48"/>
        <w:numPr>
          <w:ilvl w:val="0"/>
          <w:numId w:val="112"/>
        </w:numPr>
        <w:bidi w:val="0"/>
        <w:rPr>
          <w:u w:val="single"/>
        </w:rPr>
      </w:pPr>
      <w:r>
        <w:rPr>
          <w:rFonts w:hint="eastAsia"/>
          <w:u w:val="single"/>
        </w:rPr>
        <w:t>投标文件存在一个或一个以上备选（替代）</w:t>
      </w:r>
      <w:r>
        <w:rPr>
          <w:rFonts w:hint="eastAsia"/>
          <w:u w:val="single"/>
          <w:lang w:eastAsia="zh-CN"/>
        </w:rPr>
        <w:t>方</w:t>
      </w:r>
      <w:r>
        <w:rPr>
          <w:rFonts w:hint="eastAsia"/>
          <w:u w:val="single"/>
        </w:rPr>
        <w:t>案的；</w:t>
      </w:r>
    </w:p>
    <w:p w14:paraId="32AC20D6">
      <w:pPr>
        <w:pStyle w:val="48"/>
        <w:numPr>
          <w:ilvl w:val="0"/>
          <w:numId w:val="112"/>
        </w:numPr>
        <w:bidi w:val="0"/>
        <w:rPr>
          <w:u w:val="single"/>
        </w:rPr>
      </w:pPr>
      <w:r>
        <w:rPr>
          <w:rFonts w:hint="eastAsia"/>
          <w:u w:val="single"/>
        </w:rPr>
        <w:t>未按照采购文件标明的币种报价的，或者投标报价涵盖的内容不符合</w:t>
      </w:r>
      <w:r>
        <w:rPr>
          <w:rFonts w:hint="eastAsia"/>
          <w:u w:val="single"/>
          <w:lang w:eastAsia="zh-CN"/>
        </w:rPr>
        <w:t>招标</w:t>
      </w:r>
      <w:r>
        <w:rPr>
          <w:rFonts w:hint="eastAsia"/>
          <w:u w:val="single"/>
        </w:rPr>
        <w:t>文件要求的；</w:t>
      </w:r>
    </w:p>
    <w:p w14:paraId="5EDD9143">
      <w:pPr>
        <w:pStyle w:val="48"/>
        <w:numPr>
          <w:ilvl w:val="0"/>
          <w:numId w:val="112"/>
        </w:numPr>
        <w:bidi w:val="0"/>
        <w:rPr>
          <w:u w:val="single"/>
        </w:rPr>
      </w:pPr>
      <w:r>
        <w:rPr>
          <w:rFonts w:hint="eastAsia"/>
          <w:u w:val="single"/>
        </w:rPr>
        <w:t>报价出现前后不一致时拒绝按照</w:t>
      </w:r>
      <w:r>
        <w:rPr>
          <w:rFonts w:hint="eastAsia"/>
          <w:u w:val="single"/>
          <w:lang w:eastAsia="zh-CN"/>
        </w:rPr>
        <w:t>招标</w:t>
      </w:r>
      <w:r>
        <w:rPr>
          <w:rFonts w:hint="eastAsia"/>
          <w:u w:val="single"/>
        </w:rPr>
        <w:t>文件规定的错误修正原则进行修正的；</w:t>
      </w:r>
    </w:p>
    <w:p w14:paraId="632941FB">
      <w:pPr>
        <w:pStyle w:val="48"/>
        <w:numPr>
          <w:ilvl w:val="0"/>
          <w:numId w:val="112"/>
        </w:numPr>
        <w:bidi w:val="0"/>
        <w:rPr>
          <w:u w:val="single"/>
        </w:rPr>
      </w:pPr>
      <w:r>
        <w:rPr>
          <w:rFonts w:hint="eastAsia"/>
          <w:u w:val="single"/>
        </w:rPr>
        <w:t>投标报价具有选择性，开标记录载明的报价与投标文件承诺价格不一致且拒绝按照采购文件规定的原则进行修订的；</w:t>
      </w:r>
    </w:p>
    <w:p w14:paraId="0E80E051">
      <w:pPr>
        <w:pStyle w:val="48"/>
        <w:numPr>
          <w:ilvl w:val="0"/>
          <w:numId w:val="112"/>
        </w:numPr>
        <w:bidi w:val="0"/>
        <w:rPr>
          <w:u w:val="single"/>
        </w:rPr>
      </w:pPr>
      <w:r>
        <w:rPr>
          <w:rFonts w:hint="eastAsia"/>
          <w:u w:val="single"/>
        </w:rPr>
        <w:t>报价超过采购文件中规定的预算金额或者最高限价的；</w:t>
      </w:r>
    </w:p>
    <w:p w14:paraId="31198AEC">
      <w:pPr>
        <w:pStyle w:val="48"/>
        <w:numPr>
          <w:ilvl w:val="0"/>
          <w:numId w:val="112"/>
        </w:numPr>
        <w:bidi w:val="0"/>
        <w:rPr>
          <w:u w:val="single"/>
        </w:rPr>
      </w:pPr>
      <w:r>
        <w:rPr>
          <w:rFonts w:hint="eastAsia"/>
          <w:u w:val="single"/>
        </w:rPr>
        <w:t>投标文件未按本</w:t>
      </w:r>
      <w:r>
        <w:rPr>
          <w:rFonts w:hint="eastAsia"/>
          <w:u w:val="single"/>
          <w:lang w:eastAsia="zh-CN"/>
        </w:rPr>
        <w:t>招标文件格式文本要求</w:t>
      </w:r>
      <w:r>
        <w:rPr>
          <w:rFonts w:hint="eastAsia"/>
          <w:u w:val="single"/>
        </w:rPr>
        <w:t>要求进行盖章或签署的；</w:t>
      </w:r>
    </w:p>
    <w:p w14:paraId="26BFBB11">
      <w:pPr>
        <w:pStyle w:val="48"/>
        <w:numPr>
          <w:ilvl w:val="0"/>
          <w:numId w:val="112"/>
        </w:numPr>
        <w:bidi w:val="0"/>
        <w:rPr>
          <w:u w:val="single"/>
        </w:rPr>
      </w:pPr>
      <w:r>
        <w:rPr>
          <w:rFonts w:hint="eastAsia"/>
          <w:u w:val="single"/>
        </w:rPr>
        <w:t>投标文件组成内容不齐全，本</w:t>
      </w:r>
      <w:r>
        <w:rPr>
          <w:rFonts w:hint="eastAsia"/>
          <w:u w:val="single"/>
          <w:lang w:eastAsia="zh-CN"/>
        </w:rPr>
        <w:t>招标</w:t>
      </w:r>
      <w:r>
        <w:rPr>
          <w:rFonts w:hint="eastAsia"/>
          <w:u w:val="single"/>
        </w:rPr>
        <w:t>文件规定必须提供而未提供的；</w:t>
      </w:r>
    </w:p>
    <w:p w14:paraId="59EB5631">
      <w:pPr>
        <w:pStyle w:val="48"/>
        <w:numPr>
          <w:ilvl w:val="0"/>
          <w:numId w:val="112"/>
        </w:numPr>
        <w:bidi w:val="0"/>
        <w:rPr>
          <w:u w:val="single"/>
        </w:rPr>
      </w:pPr>
      <w:r>
        <w:rPr>
          <w:rFonts w:hint="eastAsia"/>
          <w:u w:val="single"/>
        </w:rPr>
        <w:t>评审委员会认为投标</w:t>
      </w:r>
      <w:r>
        <w:rPr>
          <w:rFonts w:hint="eastAsia"/>
          <w:u w:val="single"/>
          <w:lang w:eastAsia="zh-CN"/>
        </w:rPr>
        <w:t>人</w:t>
      </w:r>
      <w:r>
        <w:rPr>
          <w:rFonts w:hint="eastAsia"/>
          <w:u w:val="single"/>
        </w:rPr>
        <w:t>的报价明显低于其他通过符合性审查的投标人的报价有可能影响产品质量或者不能诚信履约时，投标人不能在规定的时间证明其报价合理性的；</w:t>
      </w:r>
    </w:p>
    <w:p w14:paraId="6119F32A">
      <w:pPr>
        <w:pStyle w:val="48"/>
        <w:numPr>
          <w:ilvl w:val="0"/>
          <w:numId w:val="112"/>
        </w:numPr>
        <w:bidi w:val="0"/>
        <w:rPr>
          <w:u w:val="single"/>
        </w:rPr>
      </w:pPr>
      <w:r>
        <w:rPr>
          <w:rFonts w:hint="eastAsia"/>
          <w:u w:val="single"/>
        </w:rPr>
        <w:t>不响应或擅自改变本采购文件要求或投标文件含有</w:t>
      </w:r>
      <w:r>
        <w:rPr>
          <w:rFonts w:hint="eastAsia"/>
          <w:u w:val="single"/>
          <w:lang w:eastAsia="zh-CN"/>
        </w:rPr>
        <w:t>招标</w:t>
      </w:r>
      <w:r>
        <w:rPr>
          <w:rFonts w:hint="eastAsia"/>
          <w:u w:val="single"/>
        </w:rPr>
        <w:t>人不能接受的附加条件的；</w:t>
      </w:r>
    </w:p>
    <w:p w14:paraId="2B251CF5">
      <w:pPr>
        <w:pStyle w:val="48"/>
        <w:numPr>
          <w:ilvl w:val="0"/>
          <w:numId w:val="112"/>
        </w:numPr>
        <w:bidi w:val="0"/>
      </w:pPr>
      <w:r>
        <w:rPr>
          <w:rFonts w:hint="eastAsia"/>
          <w:u w:val="single"/>
        </w:rPr>
        <w:t>存在法律、法规和采购文件规定的其他无效情形的。</w:t>
      </w:r>
    </w:p>
    <w:p w14:paraId="3945F0D2">
      <w:pPr>
        <w:pStyle w:val="47"/>
        <w:numPr>
          <w:ilvl w:val="0"/>
          <w:numId w:val="78"/>
        </w:numPr>
        <w:bidi w:val="0"/>
        <w:rPr>
          <w:rFonts w:hint="default"/>
          <w:color w:val="auto"/>
          <w:lang w:val="en-US" w:eastAsia="zh-CN"/>
        </w:rPr>
      </w:pPr>
      <w:r>
        <w:rPr>
          <w:rFonts w:hint="eastAsia"/>
          <w:color w:val="auto"/>
          <w:lang w:val="en-US" w:eastAsia="zh-CN"/>
        </w:rPr>
        <w:t>电子交易活动中，出现以下情形之一的，相关方均作无效投标处理：</w:t>
      </w:r>
    </w:p>
    <w:p w14:paraId="707F439D">
      <w:pPr>
        <w:pStyle w:val="48"/>
        <w:numPr>
          <w:ilvl w:val="0"/>
          <w:numId w:val="113"/>
        </w:numPr>
        <w:bidi w:val="0"/>
        <w:rPr>
          <w:rFonts w:hint="eastAsia"/>
          <w:color w:val="auto"/>
          <w:u w:val="single"/>
          <w:lang w:val="en-US" w:eastAsia="zh-CN"/>
        </w:rPr>
      </w:pPr>
      <w:r>
        <w:rPr>
          <w:rFonts w:hint="eastAsia"/>
          <w:color w:val="auto"/>
          <w:u w:val="single"/>
          <w:lang w:val="en-US" w:eastAsia="zh-CN"/>
        </w:rPr>
        <w:t>电子交易平台提示不同投标人IP地址重复的（包括下载IP、上传IP）；</w:t>
      </w:r>
    </w:p>
    <w:p w14:paraId="6A864909">
      <w:pPr>
        <w:pStyle w:val="48"/>
        <w:numPr>
          <w:ilvl w:val="0"/>
          <w:numId w:val="113"/>
        </w:numPr>
        <w:bidi w:val="0"/>
        <w:rPr>
          <w:rFonts w:hint="eastAsia"/>
          <w:color w:val="auto"/>
          <w:u w:val="single"/>
          <w:lang w:val="en-US" w:eastAsia="zh-CN"/>
        </w:rPr>
      </w:pPr>
      <w:r>
        <w:rPr>
          <w:rFonts w:hint="eastAsia"/>
          <w:color w:val="auto"/>
          <w:u w:val="single"/>
          <w:lang w:val="en-US" w:eastAsia="zh-CN"/>
        </w:rPr>
        <w:t>电子交易平台提示不同投标人MAC地址重复的；</w:t>
      </w:r>
    </w:p>
    <w:p w14:paraId="115C4A38">
      <w:pPr>
        <w:pStyle w:val="48"/>
        <w:numPr>
          <w:ilvl w:val="0"/>
          <w:numId w:val="113"/>
        </w:numPr>
        <w:bidi w:val="0"/>
        <w:rPr>
          <w:rFonts w:hint="eastAsia"/>
          <w:color w:val="auto"/>
          <w:u w:val="single"/>
          <w:lang w:val="en-US" w:eastAsia="zh-CN"/>
        </w:rPr>
      </w:pPr>
      <w:r>
        <w:rPr>
          <w:rFonts w:hint="eastAsia"/>
          <w:color w:val="auto"/>
          <w:u w:val="single"/>
          <w:lang w:val="en-US" w:eastAsia="zh-CN"/>
        </w:rPr>
        <w:t>电子交易平台提示不同投标人硬件号重复的（包括硬盘号、主板号）；</w:t>
      </w:r>
    </w:p>
    <w:p w14:paraId="21AB5576">
      <w:pPr>
        <w:pStyle w:val="48"/>
        <w:numPr>
          <w:ilvl w:val="0"/>
          <w:numId w:val="113"/>
        </w:numPr>
        <w:bidi w:val="0"/>
        <w:rPr>
          <w:color w:val="auto"/>
        </w:rPr>
      </w:pPr>
      <w:r>
        <w:rPr>
          <w:rFonts w:hint="eastAsia"/>
          <w:color w:val="auto"/>
          <w:u w:val="single"/>
          <w:lang w:val="en-US" w:eastAsia="zh-CN"/>
        </w:rPr>
        <w:t>电子交易平台提示不同投标人其他设备或电子文档属性信息重复的。</w:t>
      </w:r>
    </w:p>
    <w:p w14:paraId="194199BE">
      <w:pPr>
        <w:pStyle w:val="43"/>
        <w:keepNext w:val="0"/>
        <w:keepLines w:val="0"/>
        <w:pageBreakBefore w:val="0"/>
        <w:widowControl w:val="0"/>
        <w:numPr>
          <w:ilvl w:val="2"/>
          <w:numId w:val="106"/>
        </w:numPr>
        <w:kinsoku/>
        <w:wordWrap/>
        <w:overflowPunct/>
        <w:topLinePunct w:val="0"/>
        <w:autoSpaceDE/>
        <w:autoSpaceDN/>
        <w:bidi w:val="0"/>
        <w:adjustRightInd w:val="0"/>
        <w:snapToGrid/>
        <w:ind w:left="0" w:firstLine="0" w:firstLineChars="0"/>
        <w:textAlignment w:val="auto"/>
      </w:pPr>
      <w:bookmarkStart w:id="439" w:name="_Toc1676112651"/>
      <w:bookmarkStart w:id="440" w:name="_Toc948725141"/>
      <w:r>
        <w:rPr>
          <w:rFonts w:hint="eastAsia"/>
          <w:lang w:eastAsia="zh-CN"/>
        </w:rPr>
        <w:t>报价</w:t>
      </w:r>
      <w:r>
        <w:rPr>
          <w:rFonts w:hint="eastAsia"/>
        </w:rPr>
        <w:t>文件评分</w:t>
      </w:r>
      <w:bookmarkEnd w:id="439"/>
      <w:bookmarkEnd w:id="440"/>
    </w:p>
    <w:p w14:paraId="15FA48C4">
      <w:pPr>
        <w:pStyle w:val="39"/>
        <w:ind w:firstLine="480"/>
        <w:rPr>
          <w:rFonts w:cs="Arial"/>
          <w:kern w:val="0"/>
        </w:rPr>
      </w:pPr>
      <w:r>
        <w:rPr>
          <w:rFonts w:hint="eastAsia"/>
        </w:rPr>
        <w:t>评审委员会首先对</w:t>
      </w:r>
      <w:r>
        <w:rPr>
          <w:rFonts w:hint="eastAsia"/>
          <w:lang w:eastAsia="zh-CN"/>
        </w:rPr>
        <w:t>通过资格审查且通过符合性审查</w:t>
      </w:r>
      <w:r>
        <w:rPr>
          <w:rFonts w:hint="eastAsia"/>
        </w:rPr>
        <w:t>的投标</w:t>
      </w:r>
      <w:r>
        <w:rPr>
          <w:rFonts w:hint="eastAsia"/>
          <w:lang w:eastAsia="zh-CN"/>
        </w:rPr>
        <w:t>人</w:t>
      </w:r>
      <w:r>
        <w:rPr>
          <w:rFonts w:hint="eastAsia"/>
        </w:rPr>
        <w:t>的</w:t>
      </w:r>
      <w:r>
        <w:rPr>
          <w:rFonts w:hint="eastAsia"/>
          <w:lang w:eastAsia="zh-CN"/>
        </w:rPr>
        <w:t>报价</w:t>
      </w:r>
      <w:r>
        <w:rPr>
          <w:rFonts w:hint="eastAsia"/>
        </w:rPr>
        <w:t>文件</w:t>
      </w:r>
      <w:r>
        <w:rPr>
          <w:rFonts w:hint="eastAsia"/>
          <w:lang w:val="en-US" w:eastAsia="zh-CN"/>
        </w:rPr>
        <w:t>依照“评分标准”</w:t>
      </w:r>
      <w:r>
        <w:rPr>
          <w:rFonts w:hint="eastAsia"/>
        </w:rPr>
        <w:t>进行</w:t>
      </w:r>
      <w:r>
        <w:rPr>
          <w:rFonts w:hint="eastAsia"/>
          <w:lang w:eastAsia="zh-CN"/>
        </w:rPr>
        <w:t>详细</w:t>
      </w:r>
      <w:r>
        <w:rPr>
          <w:rFonts w:hint="eastAsia"/>
          <w:lang w:val="en-US" w:eastAsia="zh-CN"/>
        </w:rPr>
        <w:t>评价。</w:t>
      </w:r>
    </w:p>
    <w:p w14:paraId="0F37389F">
      <w:pPr>
        <w:pStyle w:val="38"/>
        <w:keepNext w:val="0"/>
        <w:keepLines w:val="0"/>
        <w:pageBreakBefore w:val="0"/>
        <w:widowControl w:val="0"/>
        <w:numPr>
          <w:ilvl w:val="3"/>
          <w:numId w:val="106"/>
        </w:numPr>
        <w:kinsoku/>
        <w:wordWrap/>
        <w:overflowPunct/>
        <w:topLinePunct w:val="0"/>
        <w:autoSpaceDE/>
        <w:autoSpaceDN/>
        <w:bidi w:val="0"/>
        <w:adjustRightInd w:val="0"/>
        <w:snapToGrid/>
        <w:ind w:left="0" w:firstLine="482" w:firstLineChars="200"/>
        <w:textAlignment w:val="auto"/>
      </w:pPr>
      <w:bookmarkStart w:id="441" w:name="_Toc157365812"/>
      <w:r>
        <w:t>投标价格的合理性审查</w:t>
      </w:r>
      <w:bookmarkEnd w:id="441"/>
    </w:p>
    <w:p w14:paraId="383F4B38">
      <w:pPr>
        <w:pStyle w:val="47"/>
        <w:numPr>
          <w:ilvl w:val="0"/>
          <w:numId w:val="114"/>
        </w:numPr>
        <w:bidi w:val="0"/>
      </w:pPr>
      <w:r>
        <w:t>分析投标价格是否合理，投标价格范围是否完整，有否重大错漏项；</w:t>
      </w:r>
    </w:p>
    <w:p w14:paraId="3048892E">
      <w:pPr>
        <w:pStyle w:val="47"/>
        <w:numPr>
          <w:ilvl w:val="0"/>
          <w:numId w:val="114"/>
        </w:numPr>
        <w:bidi w:val="0"/>
      </w:pPr>
      <w:r>
        <w:t>为防止恶意竞标的行为，评审委员会认为投标人的报价明显低于其他通过符合性审查的投标人的报价，有可能影响产品质量或者不能诚信履约的，将要求投标人在评审现场30分钟内提供书面说明，</w:t>
      </w:r>
      <w:r>
        <w:rPr>
          <w:rFonts w:hint="eastAsia"/>
          <w:color w:val="auto"/>
          <w:lang w:val="en-US" w:eastAsia="zh-CN"/>
        </w:rPr>
        <w:t>内容应当按照国家财务会计制度的规定要求，逐项就供应商提供的货物、工程和服务的主营业务成本（应根据供应商企业类型予以区别）、税金及附加、销售费用、管理费用、财务费用等成本构成事项详细陈述，</w:t>
      </w:r>
      <w:r>
        <w:rPr>
          <w:color w:val="auto"/>
        </w:rPr>
        <w:t>必要时提交相关证明材料；投标人不能证明其报价合理性的，评审委员会将对其作为无效投标处理。</w:t>
      </w:r>
    </w:p>
    <w:p w14:paraId="4D1F2630">
      <w:pPr>
        <w:pStyle w:val="38"/>
        <w:keepNext w:val="0"/>
        <w:keepLines w:val="0"/>
        <w:pageBreakBefore w:val="0"/>
        <w:widowControl w:val="0"/>
        <w:numPr>
          <w:ilvl w:val="3"/>
          <w:numId w:val="106"/>
        </w:numPr>
        <w:kinsoku/>
        <w:wordWrap/>
        <w:overflowPunct/>
        <w:topLinePunct w:val="0"/>
        <w:autoSpaceDE/>
        <w:autoSpaceDN/>
        <w:bidi w:val="0"/>
        <w:adjustRightInd w:val="0"/>
        <w:snapToGrid/>
        <w:ind w:left="0" w:firstLine="482" w:firstLineChars="200"/>
        <w:textAlignment w:val="auto"/>
      </w:pPr>
      <w:bookmarkStart w:id="442" w:name="_Toc1294832827"/>
      <w:r>
        <w:t>报价分计算方法</w:t>
      </w:r>
      <w:bookmarkEnd w:id="442"/>
    </w:p>
    <w:p w14:paraId="6970AED3">
      <w:pPr>
        <w:pStyle w:val="47"/>
        <w:numPr>
          <w:ilvl w:val="0"/>
          <w:numId w:val="115"/>
        </w:numPr>
        <w:bidi w:val="0"/>
        <w:rPr>
          <w:rFonts w:hint="eastAsia"/>
          <w:lang w:eastAsia="zh-Hans"/>
        </w:rPr>
      </w:pPr>
      <w:r>
        <w:t>满足采购文件要求的最低评标价为评标基准价，价格权值</w:t>
      </w:r>
      <w:r>
        <w:rPr>
          <w:rFonts w:hint="eastAsia"/>
          <w:lang w:val="en-US" w:eastAsia="zh-CN"/>
        </w:rPr>
        <w:t>见“评分标准”</w:t>
      </w:r>
      <w:r>
        <w:rPr>
          <w:rFonts w:hint="eastAsia"/>
          <w:lang w:eastAsia="zh-Hans"/>
        </w:rPr>
        <w:t>；</w:t>
      </w:r>
    </w:p>
    <w:p w14:paraId="56B5FF04">
      <w:pPr>
        <w:pStyle w:val="47"/>
        <w:numPr>
          <w:ilvl w:val="0"/>
          <w:numId w:val="115"/>
        </w:numPr>
        <w:bidi w:val="0"/>
        <w:rPr>
          <w:rFonts w:hint="eastAsia"/>
          <w:lang w:eastAsia="zh-Hans"/>
        </w:rPr>
      </w:pPr>
      <w:r>
        <w:t>投标人的报价分</w:t>
      </w:r>
      <w:r>
        <w:rPr>
          <w:rFonts w:hint="eastAsia"/>
          <w:lang w:val="en-US" w:eastAsia="zh-CN"/>
        </w:rPr>
        <w:t>计分方式见“评分标准”</w:t>
      </w:r>
      <w:r>
        <w:rPr>
          <w:rFonts w:hint="eastAsia"/>
          <w:lang w:eastAsia="zh-Hans"/>
        </w:rPr>
        <w:t>；</w:t>
      </w:r>
    </w:p>
    <w:p w14:paraId="02F7BD2C">
      <w:pPr>
        <w:pStyle w:val="47"/>
        <w:numPr>
          <w:ilvl w:val="0"/>
          <w:numId w:val="78"/>
        </w:numPr>
        <w:bidi w:val="0"/>
      </w:pPr>
      <w:r>
        <w:t>小微企业价格扣除政策</w:t>
      </w:r>
    </w:p>
    <w:p w14:paraId="55C58088">
      <w:pPr>
        <w:pStyle w:val="48"/>
        <w:numPr>
          <w:ilvl w:val="0"/>
          <w:numId w:val="116"/>
        </w:numPr>
        <w:bidi w:val="0"/>
      </w:pPr>
      <w:r>
        <w:t>预留份额专门面向中小企业的项目不再执行小微企业价格扣除政策；</w:t>
      </w:r>
    </w:p>
    <w:p w14:paraId="5DA0C0FA">
      <w:pPr>
        <w:pStyle w:val="48"/>
        <w:numPr>
          <w:ilvl w:val="0"/>
          <w:numId w:val="116"/>
        </w:numPr>
        <w:bidi w:val="0"/>
      </w:pPr>
      <w:r>
        <w:t>对于未预留份额专门面向中小企业的政府采购货物或服务项目，以及预留份额政府采购货物或服务项目中的非预留部分标项，对小型和微型企业的投标报价给予【</w:t>
      </w:r>
      <w:r>
        <w:rPr>
          <w:rFonts w:hint="eastAsia"/>
          <w:lang w:val="en-US" w:eastAsia="zh-CN"/>
        </w:rPr>
        <w:t>10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lang w:val="en-US" w:eastAsia="zh-CN"/>
        </w:rPr>
        <w:t>4</w:t>
      </w:r>
      <w:r>
        <w:t>%】的扣除，用扣除后的价格参加评审。组成联合体或者接受分包的小微企业与联合体内其他企业、分包企业之间存在直接控股、管理关系的，不享受价格扣除优惠政策。</w:t>
      </w:r>
    </w:p>
    <w:p w14:paraId="558193A9">
      <w:pPr>
        <w:pStyle w:val="38"/>
        <w:keepNext w:val="0"/>
        <w:keepLines w:val="0"/>
        <w:pageBreakBefore w:val="0"/>
        <w:widowControl w:val="0"/>
        <w:numPr>
          <w:ilvl w:val="3"/>
          <w:numId w:val="106"/>
        </w:numPr>
        <w:kinsoku/>
        <w:wordWrap/>
        <w:overflowPunct/>
        <w:topLinePunct w:val="0"/>
        <w:autoSpaceDE/>
        <w:autoSpaceDN/>
        <w:bidi w:val="0"/>
        <w:adjustRightInd w:val="0"/>
        <w:snapToGrid/>
        <w:ind w:left="0" w:firstLine="482" w:firstLineChars="200"/>
        <w:textAlignment w:val="auto"/>
      </w:pPr>
      <w:bookmarkStart w:id="443" w:name="_Toc1803528338"/>
      <w:r>
        <w:rPr>
          <w:rFonts w:hint="eastAsia"/>
        </w:rPr>
        <w:t>报价文件的错误修正</w:t>
      </w:r>
      <w:bookmarkEnd w:id="443"/>
    </w:p>
    <w:p w14:paraId="55C37B0B">
      <w:pPr>
        <w:pStyle w:val="39"/>
        <w:ind w:firstLine="480"/>
        <w:rPr>
          <w:rFonts w:cs="Arial"/>
          <w:kern w:val="0"/>
          <w:u w:val="single"/>
        </w:rPr>
      </w:pPr>
      <w:r>
        <w:rPr>
          <w:rFonts w:hint="eastAsia" w:cs="Arial"/>
          <w:kern w:val="0"/>
          <w:u w:val="single"/>
        </w:rPr>
        <w:t>投标文件报价出现前后不一致的，按照下列规定修正</w:t>
      </w:r>
      <w:r>
        <w:rPr>
          <w:rFonts w:hint="eastAsia" w:cs="Arial"/>
          <w:kern w:val="0"/>
        </w:rPr>
        <w:t>：</w:t>
      </w:r>
    </w:p>
    <w:p w14:paraId="437A7F5F">
      <w:pPr>
        <w:pStyle w:val="47"/>
        <w:numPr>
          <w:ilvl w:val="0"/>
          <w:numId w:val="117"/>
        </w:numPr>
        <w:bidi w:val="0"/>
      </w:pPr>
      <w:r>
        <w:rPr>
          <w:rFonts w:hint="eastAsia"/>
        </w:rPr>
        <w:t>投标文件中开标一览表内容与投标文件中相应内容不一致的，以开标一览表为准（完工期/交货期/服务期/质保期除外，开标一览表中所列的完工期/交货期/服务期/质保期与商务技术文件中商务响应表所列的对应内容不一致时，以商务技术文件中商务响应表所列内容为准进行修正）；</w:t>
      </w:r>
    </w:p>
    <w:p w14:paraId="708D6CE3">
      <w:pPr>
        <w:pStyle w:val="47"/>
        <w:numPr>
          <w:ilvl w:val="0"/>
          <w:numId w:val="117"/>
        </w:numPr>
        <w:bidi w:val="0"/>
      </w:pPr>
      <w:r>
        <w:rPr>
          <w:rFonts w:hint="eastAsia"/>
        </w:rPr>
        <w:t>大写金额和小写金额不一致的，以大写金额为准；</w:t>
      </w:r>
    </w:p>
    <w:p w14:paraId="78009072">
      <w:pPr>
        <w:pStyle w:val="47"/>
        <w:numPr>
          <w:ilvl w:val="0"/>
          <w:numId w:val="117"/>
        </w:numPr>
        <w:bidi w:val="0"/>
      </w:pPr>
      <w:r>
        <w:rPr>
          <w:rFonts w:hint="eastAsia"/>
        </w:rPr>
        <w:t>单价金额小数点或者百分比有明显错位的，应以开标一览表（报价表）的总价为准，并修改单价；</w:t>
      </w:r>
    </w:p>
    <w:p w14:paraId="7427CF8C">
      <w:pPr>
        <w:pStyle w:val="47"/>
        <w:numPr>
          <w:ilvl w:val="0"/>
          <w:numId w:val="117"/>
        </w:numPr>
        <w:bidi w:val="0"/>
      </w:pPr>
      <w:r>
        <w:rPr>
          <w:rFonts w:hint="eastAsia"/>
        </w:rPr>
        <w:t>总价金额与按单价汇总金额不一致的，以单价金额计算结果为准。</w:t>
      </w:r>
    </w:p>
    <w:p w14:paraId="146C0386">
      <w:pPr>
        <w:pStyle w:val="47"/>
        <w:numPr>
          <w:ilvl w:val="0"/>
          <w:numId w:val="117"/>
        </w:numPr>
        <w:bidi w:val="0"/>
        <w:rPr>
          <w:rFonts w:cs="Arial"/>
          <w:kern w:val="0"/>
          <w:lang w:eastAsia="zh-CN"/>
        </w:rPr>
      </w:pPr>
      <w:r>
        <w:rPr>
          <w:rFonts w:hint="eastAsia"/>
        </w:rPr>
        <w:t>供应商在“政府采购云平台”进行标书关联时，在“政府采购云平台”上单独填报的开标一览表内容与加密的报价文件中提交的开标一览表内容不一致时，以加密的报价文件中提交的开标一览表为准进行修正</w:t>
      </w:r>
      <w:r>
        <w:rPr>
          <w:rFonts w:hint="eastAsia"/>
          <w:lang w:eastAsia="zh-CN"/>
        </w:rPr>
        <w:t>。</w:t>
      </w:r>
    </w:p>
    <w:p w14:paraId="4B1395FC">
      <w:pPr>
        <w:pStyle w:val="39"/>
        <w:ind w:firstLine="480"/>
        <w:rPr>
          <w:rFonts w:cs="Arial"/>
          <w:kern w:val="0"/>
        </w:rPr>
      </w:pPr>
      <w:r>
        <w:rPr>
          <w:rFonts w:hint="eastAsia" w:cs="Arial"/>
          <w:b/>
          <w:bCs/>
          <w:kern w:val="0"/>
        </w:rPr>
        <w:t>同时出现两种以上不一致的，按照前款规定的顺序修正。修正后的报价经投标人确认后产生约束力，投标人不确认的，其投标无效。</w:t>
      </w:r>
    </w:p>
    <w:p w14:paraId="26FE4769">
      <w:pPr>
        <w:pStyle w:val="43"/>
        <w:keepNext w:val="0"/>
        <w:keepLines w:val="0"/>
        <w:pageBreakBefore w:val="0"/>
        <w:widowControl w:val="0"/>
        <w:numPr>
          <w:ilvl w:val="2"/>
          <w:numId w:val="106"/>
        </w:numPr>
        <w:kinsoku/>
        <w:wordWrap/>
        <w:overflowPunct/>
        <w:topLinePunct w:val="0"/>
        <w:autoSpaceDE/>
        <w:autoSpaceDN/>
        <w:bidi w:val="0"/>
        <w:adjustRightInd w:val="0"/>
        <w:snapToGrid/>
        <w:ind w:left="0" w:firstLine="0" w:firstLineChars="0"/>
        <w:textAlignment w:val="auto"/>
      </w:pPr>
      <w:bookmarkStart w:id="444" w:name="_Toc1882327658"/>
      <w:bookmarkStart w:id="445" w:name="_Toc169099361"/>
      <w:r>
        <w:rPr>
          <w:rFonts w:hint="eastAsia"/>
        </w:rPr>
        <w:t>推荐中标候选供应商</w:t>
      </w:r>
      <w:bookmarkEnd w:id="444"/>
      <w:bookmarkEnd w:id="445"/>
    </w:p>
    <w:p w14:paraId="17C37FF9">
      <w:pPr>
        <w:pStyle w:val="39"/>
        <w:ind w:firstLine="480"/>
      </w:pPr>
      <w:r>
        <w:rPr>
          <w:rFonts w:hint="eastAsia"/>
        </w:rPr>
        <w:t>评标委员会各成员独立对每个投标供应商的投标文件进行评价，并汇总每个投标供应商的得分</w:t>
      </w:r>
      <w:r>
        <w:rPr>
          <w:rFonts w:hint="eastAsia"/>
          <w:lang w:eastAsia="zh-CN"/>
        </w:rPr>
        <w:t>，最后</w:t>
      </w:r>
      <w:r>
        <w:rPr>
          <w:rFonts w:hint="eastAsia"/>
        </w:rPr>
        <w:t>对</w:t>
      </w:r>
      <w:r>
        <w:rPr>
          <w:rFonts w:hint="eastAsia"/>
          <w:lang w:eastAsia="zh-CN"/>
        </w:rPr>
        <w:t>招标</w:t>
      </w:r>
      <w:r>
        <w:rPr>
          <w:rFonts w:hint="eastAsia"/>
        </w:rPr>
        <w:t>组织机构工作人员汇总的评审结果进行确认。</w:t>
      </w:r>
    </w:p>
    <w:p w14:paraId="786619A9">
      <w:pPr>
        <w:pStyle w:val="39"/>
        <w:ind w:firstLine="480"/>
      </w:pPr>
      <w:r>
        <w:rPr>
          <w:rFonts w:hint="eastAsia"/>
        </w:rPr>
        <w:t>如发现分值汇总计算错误、分项评分超出评分标准范围、客观评分不一致以及存在畸高、畸低</w:t>
      </w:r>
      <w:r>
        <w:rPr>
          <w:rFonts w:hint="eastAsia"/>
          <w:color w:val="auto"/>
        </w:rPr>
        <w:t>（</w:t>
      </w:r>
      <w:r>
        <w:rPr>
          <w:rFonts w:hint="eastAsia"/>
          <w:color w:val="auto"/>
          <w:lang w:val="en-US" w:eastAsia="zh-CN"/>
        </w:rPr>
        <w:t>评标委员会</w:t>
      </w:r>
      <w:r>
        <w:rPr>
          <w:rFonts w:hint="eastAsia"/>
          <w:color w:val="auto"/>
        </w:rPr>
        <w:t>成员个人主观打分偏离所有</w:t>
      </w:r>
      <w:r>
        <w:rPr>
          <w:rFonts w:hint="eastAsia"/>
          <w:color w:val="auto"/>
          <w:lang w:val="en-US" w:eastAsia="zh-CN"/>
        </w:rPr>
        <w:t>评标委员会</w:t>
      </w:r>
      <w:r>
        <w:rPr>
          <w:rFonts w:hint="eastAsia"/>
          <w:color w:val="auto"/>
        </w:rPr>
        <w:t>成员主观打分平均值30%以上的）</w:t>
      </w:r>
      <w:r>
        <w:rPr>
          <w:rFonts w:hint="eastAsia"/>
        </w:rPr>
        <w:t>情形的，</w:t>
      </w:r>
      <w:r>
        <w:rPr>
          <w:rFonts w:hint="eastAsia"/>
          <w:lang w:val="en-US" w:eastAsia="zh-CN"/>
        </w:rPr>
        <w:t>评标委员会</w:t>
      </w:r>
      <w:r>
        <w:rPr>
          <w:rFonts w:hint="eastAsia"/>
        </w:rPr>
        <w:t>组长应提醒相关评审人员当场改正或书面说明理由，拒不改正又不作书面说明的，由现场监督员如实记载后存入项目档案资料。</w:t>
      </w:r>
    </w:p>
    <w:p w14:paraId="03AA53A7">
      <w:pPr>
        <w:pStyle w:val="39"/>
        <w:ind w:firstLine="480"/>
      </w:pPr>
      <w:r>
        <w:rPr>
          <w:rFonts w:hint="eastAsia" w:cs="Arial"/>
        </w:rPr>
        <w:t>评标结果汇总完毕后，</w:t>
      </w:r>
      <w:r>
        <w:t>评</w:t>
      </w:r>
      <w:r>
        <w:rPr>
          <w:rFonts w:hint="eastAsia"/>
          <w:lang w:eastAsia="zh-CN"/>
        </w:rPr>
        <w:t>审</w:t>
      </w:r>
      <w:r>
        <w:t>委员会将</w:t>
      </w:r>
      <w:r>
        <w:rPr>
          <w:rFonts w:hint="eastAsia"/>
          <w:lang w:eastAsia="zh-CN"/>
        </w:rPr>
        <w:t>按</w:t>
      </w:r>
      <w:r>
        <w:t>投标文件满足</w:t>
      </w:r>
      <w:r>
        <w:rPr>
          <w:rFonts w:hint="eastAsia"/>
          <w:lang w:eastAsia="zh-CN"/>
        </w:rPr>
        <w:t>招标</w:t>
      </w:r>
      <w:r>
        <w:t>文件全部实质性要求且按照评审因素的量化指标评审得分</w:t>
      </w:r>
      <w:r>
        <w:rPr>
          <w:rFonts w:hint="eastAsia"/>
          <w:lang w:eastAsia="zh-CN"/>
        </w:rPr>
        <w:t>从高到低</w:t>
      </w:r>
      <w:r>
        <w:t>的</w:t>
      </w:r>
      <w:r>
        <w:rPr>
          <w:rFonts w:hint="eastAsia"/>
          <w:lang w:eastAsia="zh-CN"/>
        </w:rPr>
        <w:t>顺序向招标人推荐投标人为</w:t>
      </w:r>
      <w:r>
        <w:t>中标候选</w:t>
      </w:r>
      <w:r>
        <w:rPr>
          <w:rFonts w:hint="eastAsia"/>
          <w:lang w:eastAsia="zh-CN"/>
        </w:rPr>
        <w:t>人</w:t>
      </w:r>
      <w:r>
        <w:t>。</w:t>
      </w:r>
    </w:p>
    <w:p w14:paraId="44AE958C">
      <w:pPr>
        <w:pStyle w:val="39"/>
        <w:ind w:firstLine="480"/>
        <w:rPr>
          <w:rFonts w:hint="eastAsia"/>
          <w:b/>
          <w:bCs/>
          <w:color w:val="auto"/>
          <w:u w:val="single"/>
          <w:lang w:val="en-US" w:eastAsia="zh-Hans"/>
        </w:rPr>
      </w:pPr>
      <w:r>
        <w:rPr>
          <w:rFonts w:hint="eastAsia"/>
          <w:b/>
          <w:bCs/>
          <w:color w:val="auto"/>
          <w:u w:val="single"/>
          <w:lang w:val="en-US" w:eastAsia="zh-Hans"/>
        </w:rPr>
        <w:t>本项目如存在多个标项且招标文件“第二章</w:t>
      </w:r>
      <w:r>
        <w:rPr>
          <w:rFonts w:hint="default"/>
          <w:b/>
          <w:bCs/>
          <w:color w:val="auto"/>
          <w:u w:val="single"/>
          <w:lang w:eastAsia="zh-Hans"/>
        </w:rPr>
        <w:t xml:space="preserve"> </w:t>
      </w:r>
      <w:r>
        <w:rPr>
          <w:rFonts w:hint="eastAsia"/>
          <w:b/>
          <w:bCs/>
          <w:color w:val="auto"/>
          <w:u w:val="single"/>
          <w:lang w:val="en-US" w:eastAsia="zh-Hans"/>
        </w:rPr>
        <w:t>投标人须知</w:t>
      </w:r>
      <w:r>
        <w:rPr>
          <w:rFonts w:hint="default"/>
          <w:b/>
          <w:bCs/>
          <w:color w:val="auto"/>
          <w:u w:val="single"/>
          <w:lang w:eastAsia="zh-Hans"/>
        </w:rPr>
        <w:t xml:space="preserve"> </w:t>
      </w:r>
      <w:r>
        <w:rPr>
          <w:rFonts w:hint="eastAsia"/>
          <w:b/>
          <w:bCs/>
          <w:color w:val="auto"/>
          <w:u w:val="single"/>
          <w:lang w:val="en-US" w:eastAsia="zh-Hans"/>
        </w:rPr>
        <w:t>前附表”规定“兼投不兼中”的，表明本项目因实施时间较长，实施团队人员配置要求较高，服务内容较多且程序复杂等原因，单个供应商无法按时保质保量完成本项目的服务工作，故投标人可以选择一个或者多个标项投报，但仅能获得一个标项的中标候选人资格，评审顺序按标项序号顺序进行，即标项一排名第一的中标候选人，将不再作为后续标项的中标候选人，后续标项同此操作。</w:t>
      </w:r>
    </w:p>
    <w:p w14:paraId="18310910">
      <w:pPr>
        <w:pStyle w:val="43"/>
        <w:keepNext w:val="0"/>
        <w:keepLines w:val="0"/>
        <w:pageBreakBefore w:val="0"/>
        <w:widowControl w:val="0"/>
        <w:numPr>
          <w:ilvl w:val="2"/>
          <w:numId w:val="106"/>
        </w:numPr>
        <w:kinsoku/>
        <w:wordWrap/>
        <w:overflowPunct/>
        <w:topLinePunct w:val="0"/>
        <w:autoSpaceDE/>
        <w:autoSpaceDN/>
        <w:bidi w:val="0"/>
        <w:adjustRightInd w:val="0"/>
        <w:snapToGrid/>
        <w:ind w:left="0" w:firstLine="0" w:firstLineChars="0"/>
        <w:textAlignment w:val="auto"/>
      </w:pPr>
      <w:bookmarkStart w:id="446" w:name="_Toc932095346"/>
      <w:bookmarkStart w:id="447" w:name="_Toc1699344049"/>
      <w:r>
        <w:rPr>
          <w:rFonts w:hint="eastAsia"/>
        </w:rPr>
        <w:t>评标结果修改</w:t>
      </w:r>
      <w:bookmarkEnd w:id="446"/>
      <w:bookmarkEnd w:id="447"/>
    </w:p>
    <w:p w14:paraId="5271C4D0">
      <w:pPr>
        <w:pStyle w:val="39"/>
        <w:ind w:firstLine="480"/>
      </w:pPr>
      <w:r>
        <w:rPr>
          <w:rFonts w:hint="eastAsia"/>
        </w:rPr>
        <w:t>评标报告签署前，评标结果经复核发现存在以下情形之一的，评审委员会将当场修改评标结果，并在评标报告中记载：</w:t>
      </w:r>
    </w:p>
    <w:p w14:paraId="6D7D649F">
      <w:pPr>
        <w:pStyle w:val="47"/>
        <w:numPr>
          <w:ilvl w:val="0"/>
          <w:numId w:val="118"/>
        </w:numPr>
        <w:bidi w:val="0"/>
      </w:pPr>
      <w:r>
        <w:rPr>
          <w:rFonts w:hint="eastAsia"/>
        </w:rPr>
        <w:t>分值汇总计算错误的；</w:t>
      </w:r>
    </w:p>
    <w:p w14:paraId="106936F5">
      <w:pPr>
        <w:pStyle w:val="47"/>
        <w:numPr>
          <w:ilvl w:val="0"/>
          <w:numId w:val="118"/>
        </w:numPr>
        <w:bidi w:val="0"/>
      </w:pPr>
      <w:r>
        <w:rPr>
          <w:rFonts w:hint="eastAsia"/>
        </w:rPr>
        <w:t>分项评分超出评分标准范围的；</w:t>
      </w:r>
    </w:p>
    <w:p w14:paraId="6D324009">
      <w:pPr>
        <w:pStyle w:val="47"/>
        <w:numPr>
          <w:ilvl w:val="0"/>
          <w:numId w:val="118"/>
        </w:numPr>
        <w:bidi w:val="0"/>
      </w:pPr>
      <w:r>
        <w:rPr>
          <w:rFonts w:hint="eastAsia"/>
        </w:rPr>
        <w:t>评审委员会成员对客观评审因素评分不一致的；</w:t>
      </w:r>
    </w:p>
    <w:p w14:paraId="7EF859C7">
      <w:pPr>
        <w:pStyle w:val="47"/>
        <w:numPr>
          <w:ilvl w:val="0"/>
          <w:numId w:val="118"/>
        </w:numPr>
        <w:bidi w:val="0"/>
      </w:pPr>
      <w:r>
        <w:rPr>
          <w:rFonts w:hint="eastAsia"/>
        </w:rPr>
        <w:t>经评审委员会认定评分畸高、畸低的。</w:t>
      </w:r>
    </w:p>
    <w:p w14:paraId="73DF51BA">
      <w:pPr>
        <w:pStyle w:val="39"/>
        <w:ind w:firstLine="480"/>
      </w:pPr>
      <w:r>
        <w:rPr>
          <w:rFonts w:hint="eastAsia"/>
        </w:rPr>
        <w:t>除上述情形外，任何人不得修改评标结果。</w:t>
      </w:r>
    </w:p>
    <w:p w14:paraId="4D944CEF">
      <w:pPr>
        <w:pStyle w:val="43"/>
        <w:keepNext w:val="0"/>
        <w:keepLines w:val="0"/>
        <w:pageBreakBefore w:val="0"/>
        <w:widowControl w:val="0"/>
        <w:numPr>
          <w:ilvl w:val="2"/>
          <w:numId w:val="106"/>
        </w:numPr>
        <w:kinsoku/>
        <w:wordWrap/>
        <w:overflowPunct/>
        <w:topLinePunct w:val="0"/>
        <w:autoSpaceDE/>
        <w:autoSpaceDN/>
        <w:bidi w:val="0"/>
        <w:adjustRightInd w:val="0"/>
        <w:snapToGrid/>
        <w:ind w:left="0" w:firstLine="0" w:firstLineChars="0"/>
        <w:textAlignment w:val="auto"/>
      </w:pPr>
      <w:bookmarkStart w:id="448" w:name="_Toc1980759004"/>
      <w:bookmarkStart w:id="449" w:name="_Toc1490410090"/>
      <w:r>
        <w:rPr>
          <w:rFonts w:hint="eastAsia"/>
        </w:rPr>
        <w:t>起草、签署评标报告</w:t>
      </w:r>
      <w:bookmarkEnd w:id="448"/>
      <w:bookmarkEnd w:id="449"/>
    </w:p>
    <w:p w14:paraId="31DE470D">
      <w:pPr>
        <w:pStyle w:val="39"/>
        <w:ind w:firstLine="480"/>
      </w:pPr>
      <w:r>
        <w:rPr>
          <w:rFonts w:hint="eastAsia" w:cs="Arial"/>
        </w:rPr>
        <w:t>评审结束后，评审委员会将通过“政府采购云平台”起草评标报告，</w:t>
      </w:r>
      <w:r>
        <w:rPr>
          <w:rFonts w:hint="eastAsia"/>
        </w:rPr>
        <w:t>评审委员会成员应当在评标报告上签字（或加注电子签章），对自己的评审意见承担法律责任。对评标报告有异议的，应当在评标报告上签署不同意见，并说明理由，否则视为同意评标报告。</w:t>
      </w:r>
    </w:p>
    <w:p w14:paraId="5FC94BFC">
      <w:pPr>
        <w:pStyle w:val="39"/>
        <w:ind w:firstLine="0" w:firstLineChars="0"/>
      </w:pPr>
    </w:p>
    <w:p w14:paraId="699E9038">
      <w:pPr>
        <w:pStyle w:val="41"/>
        <w:numPr>
          <w:ilvl w:val="1"/>
          <w:numId w:val="93"/>
        </w:numPr>
        <w:rPr>
          <w:rFonts w:ascii="华文中宋" w:hAnsi="华文中宋" w:eastAsia="华文中宋"/>
          <w:kern w:val="0"/>
          <w:sz w:val="30"/>
          <w:szCs w:val="30"/>
        </w:rPr>
      </w:pPr>
      <w:bookmarkStart w:id="450" w:name="_Toc325084434"/>
      <w:bookmarkStart w:id="451" w:name="_Toc1073124022"/>
      <w:r>
        <w:rPr>
          <w:rFonts w:hint="eastAsia"/>
        </w:rPr>
        <w:t>投标文件的澄清、说明</w:t>
      </w:r>
      <w:bookmarkEnd w:id="450"/>
      <w:bookmarkEnd w:id="451"/>
    </w:p>
    <w:p w14:paraId="1E336511">
      <w:pPr>
        <w:pStyle w:val="47"/>
        <w:numPr>
          <w:ilvl w:val="0"/>
          <w:numId w:val="119"/>
        </w:numPr>
        <w:bidi w:val="0"/>
      </w:pPr>
      <w:r>
        <w:rPr>
          <w:rFonts w:hint="eastAsia"/>
        </w:rPr>
        <w:t>对于投标文件中含义不明确、同类问题表述不一致或者有明显文字和计算错误的内容，评审委员会将通过“政府采购云平台”在线询标的方式要求投标人在规定的时间内作出必要的澄清、说明，投标人澄清、说明时间</w:t>
      </w:r>
      <w:r>
        <w:rPr>
          <w:rFonts w:hint="eastAsia"/>
          <w:lang w:eastAsia="zh-CN"/>
        </w:rPr>
        <w:t>不超过</w:t>
      </w:r>
      <w:r>
        <w:rPr>
          <w:rFonts w:hint="eastAsia"/>
        </w:rPr>
        <w:t>30分钟。</w:t>
      </w:r>
    </w:p>
    <w:p w14:paraId="00BEE474">
      <w:pPr>
        <w:pStyle w:val="47"/>
        <w:numPr>
          <w:ilvl w:val="0"/>
          <w:numId w:val="119"/>
        </w:numPr>
        <w:bidi w:val="0"/>
      </w:pPr>
      <w:r>
        <w:rPr>
          <w:rFonts w:hint="eastAsia"/>
        </w:rPr>
        <w:t>投标人的澄清、说明应当通过“政府采购云平台”在线答复的方式提交，并加盖公章</w:t>
      </w:r>
      <w:r>
        <w:rPr>
          <w:rFonts w:hint="eastAsia"/>
          <w:lang w:eastAsia="zh-Hans"/>
        </w:rPr>
        <w:t>（</w:t>
      </w:r>
      <w:r>
        <w:rPr>
          <w:rFonts w:hint="eastAsia"/>
          <w:lang w:val="en-US" w:eastAsia="zh-Hans"/>
        </w:rPr>
        <w:t>或电子签章</w:t>
      </w:r>
      <w:r>
        <w:rPr>
          <w:rFonts w:hint="eastAsia"/>
          <w:lang w:eastAsia="zh-Hans"/>
        </w:rPr>
        <w:t>）</w:t>
      </w:r>
      <w:r>
        <w:rPr>
          <w:rFonts w:hint="eastAsia"/>
        </w:rPr>
        <w:t>，或者由法定代表人或其授权的代表签字。投标人的澄清、说明不得超出投标文件的范围或者改变投标文件的实质性内容。</w:t>
      </w:r>
    </w:p>
    <w:p w14:paraId="1FE858B8">
      <w:pPr>
        <w:pStyle w:val="47"/>
        <w:numPr>
          <w:ilvl w:val="0"/>
          <w:numId w:val="119"/>
        </w:numPr>
        <w:bidi w:val="0"/>
      </w:pPr>
      <w:r>
        <w:t>对不同文字文本投标文件的解释发生异议的，以中文文本为准。</w:t>
      </w:r>
    </w:p>
    <w:p w14:paraId="6A57FEC1">
      <w:pPr>
        <w:pStyle w:val="47"/>
        <w:numPr>
          <w:ilvl w:val="0"/>
          <w:numId w:val="119"/>
        </w:numPr>
        <w:bidi w:val="0"/>
      </w:pPr>
      <w:r>
        <w:t>投标文件要求提供正、副本时，正、副本内容不一致的，以正本为准。</w:t>
      </w:r>
    </w:p>
    <w:p w14:paraId="7158C5A8">
      <w:pPr>
        <w:pStyle w:val="47"/>
        <w:numPr>
          <w:ilvl w:val="0"/>
          <w:numId w:val="119"/>
        </w:numPr>
        <w:bidi w:val="0"/>
        <w:rPr>
          <w:rFonts w:cs="Arial"/>
          <w:kern w:val="0"/>
        </w:rPr>
      </w:pPr>
      <w:r>
        <w:rPr>
          <w:rFonts w:hint="eastAsia"/>
        </w:rPr>
        <w:t>上述询标、澄清、说明工作如因客观原因无法通过“政府采购云平台”在线进行的，将采用书面（含邮件）形式进行。</w:t>
      </w:r>
    </w:p>
    <w:p w14:paraId="24CB7939">
      <w:pPr>
        <w:pStyle w:val="39"/>
        <w:ind w:firstLine="480"/>
      </w:pPr>
    </w:p>
    <w:p w14:paraId="7CF38C08">
      <w:pPr>
        <w:pStyle w:val="41"/>
        <w:numPr>
          <w:ilvl w:val="1"/>
          <w:numId w:val="93"/>
        </w:numPr>
      </w:pPr>
      <w:bookmarkStart w:id="452" w:name="_Toc1427770248"/>
      <w:bookmarkStart w:id="453" w:name="_Toc495684270"/>
      <w:r>
        <w:rPr>
          <w:rFonts w:hint="eastAsia"/>
        </w:rPr>
        <w:t>重新评审</w:t>
      </w:r>
      <w:bookmarkEnd w:id="452"/>
      <w:bookmarkEnd w:id="453"/>
    </w:p>
    <w:p w14:paraId="42F8DA9E">
      <w:pPr>
        <w:pStyle w:val="39"/>
        <w:ind w:firstLine="480"/>
      </w:pPr>
      <w:r>
        <w:rPr>
          <w:rFonts w:hint="eastAsia"/>
        </w:rPr>
        <w:t>评标报告签署后，</w:t>
      </w:r>
      <w:r>
        <w:rPr>
          <w:rFonts w:hint="eastAsia"/>
          <w:lang w:eastAsia="zh-CN"/>
        </w:rPr>
        <w:t>招标</w:t>
      </w:r>
      <w:r>
        <w:rPr>
          <w:rFonts w:hint="eastAsia"/>
        </w:rPr>
        <w:t>人或者</w:t>
      </w:r>
      <w:r>
        <w:rPr>
          <w:rFonts w:hint="eastAsia"/>
          <w:lang w:eastAsia="zh-CN"/>
        </w:rPr>
        <w:t>招标</w:t>
      </w:r>
      <w:r>
        <w:rPr>
          <w:rFonts w:hint="eastAsia"/>
        </w:rPr>
        <w:t>代理机构发现存在下列情形之一的，将组织原评审委员会进行重新评审，重新评审改变评标结果的，将书面报告同级财政监督管理部门：</w:t>
      </w:r>
    </w:p>
    <w:p w14:paraId="3D2AD970">
      <w:pPr>
        <w:pStyle w:val="47"/>
        <w:numPr>
          <w:ilvl w:val="0"/>
          <w:numId w:val="120"/>
        </w:numPr>
        <w:bidi w:val="0"/>
      </w:pPr>
      <w:r>
        <w:rPr>
          <w:rFonts w:hint="eastAsia"/>
        </w:rPr>
        <w:t>分值汇总计算错误的；</w:t>
      </w:r>
    </w:p>
    <w:p w14:paraId="12B25B27">
      <w:pPr>
        <w:pStyle w:val="47"/>
        <w:numPr>
          <w:ilvl w:val="0"/>
          <w:numId w:val="120"/>
        </w:numPr>
        <w:bidi w:val="0"/>
      </w:pPr>
      <w:r>
        <w:rPr>
          <w:rFonts w:hint="eastAsia"/>
        </w:rPr>
        <w:t>分项评分超出评分标准范围的；</w:t>
      </w:r>
    </w:p>
    <w:p w14:paraId="6DF5A066">
      <w:pPr>
        <w:pStyle w:val="47"/>
        <w:numPr>
          <w:ilvl w:val="0"/>
          <w:numId w:val="120"/>
        </w:numPr>
        <w:bidi w:val="0"/>
      </w:pPr>
      <w:r>
        <w:rPr>
          <w:rFonts w:hint="eastAsia"/>
        </w:rPr>
        <w:t>评审委员会成员对客观评审因素评分不一致的；</w:t>
      </w:r>
    </w:p>
    <w:p w14:paraId="30F58391">
      <w:pPr>
        <w:pStyle w:val="47"/>
        <w:numPr>
          <w:ilvl w:val="0"/>
          <w:numId w:val="120"/>
        </w:numPr>
        <w:bidi w:val="0"/>
      </w:pPr>
      <w:r>
        <w:rPr>
          <w:rFonts w:hint="eastAsia"/>
        </w:rPr>
        <w:t>经评审委员会认定评分畸高、畸低的。</w:t>
      </w:r>
    </w:p>
    <w:p w14:paraId="6084CFD3">
      <w:pPr>
        <w:pStyle w:val="39"/>
        <w:ind w:firstLine="480"/>
      </w:pPr>
    </w:p>
    <w:p w14:paraId="605CB1A3">
      <w:pPr>
        <w:pStyle w:val="41"/>
        <w:numPr>
          <w:ilvl w:val="1"/>
          <w:numId w:val="93"/>
        </w:numPr>
      </w:pPr>
      <w:bookmarkStart w:id="454" w:name="_Toc552286558"/>
      <w:bookmarkStart w:id="455" w:name="_Toc876459177"/>
      <w:r>
        <w:rPr>
          <w:rFonts w:hint="eastAsia"/>
        </w:rPr>
        <w:t>评审</w:t>
      </w:r>
      <w:r>
        <w:rPr>
          <w:rFonts w:hint="eastAsia"/>
          <w:lang w:val="en-US" w:eastAsia="zh-Hans"/>
        </w:rPr>
        <w:t>过程中的特别</w:t>
      </w:r>
      <w:r>
        <w:rPr>
          <w:rFonts w:hint="eastAsia"/>
        </w:rPr>
        <w:t>规定</w:t>
      </w:r>
      <w:bookmarkEnd w:id="454"/>
      <w:bookmarkEnd w:id="455"/>
    </w:p>
    <w:p w14:paraId="2E57AFDC">
      <w:pPr>
        <w:pStyle w:val="43"/>
        <w:keepNext w:val="0"/>
        <w:keepLines w:val="0"/>
        <w:pageBreakBefore w:val="0"/>
        <w:widowControl w:val="0"/>
        <w:numPr>
          <w:ilvl w:val="2"/>
          <w:numId w:val="121"/>
        </w:numPr>
        <w:kinsoku/>
        <w:wordWrap/>
        <w:overflowPunct/>
        <w:topLinePunct w:val="0"/>
        <w:autoSpaceDE/>
        <w:autoSpaceDN/>
        <w:bidi w:val="0"/>
        <w:adjustRightInd w:val="0"/>
        <w:snapToGrid/>
        <w:ind w:left="0" w:firstLine="0" w:firstLineChars="0"/>
        <w:textAlignment w:val="auto"/>
      </w:pPr>
      <w:bookmarkStart w:id="456" w:name="_Toc1059053066"/>
      <w:bookmarkStart w:id="457" w:name="_Toc855857972"/>
      <w:r>
        <w:rPr>
          <w:rFonts w:hint="eastAsia"/>
        </w:rPr>
        <w:t>串通投标的认定</w:t>
      </w:r>
      <w:bookmarkEnd w:id="456"/>
      <w:bookmarkEnd w:id="457"/>
    </w:p>
    <w:p w14:paraId="1E0C52F3">
      <w:pPr>
        <w:pStyle w:val="39"/>
        <w:ind w:firstLine="480"/>
      </w:pPr>
      <w:r>
        <w:rPr>
          <w:rFonts w:hint="eastAsia"/>
        </w:rPr>
        <w:t>在评审过程中发现以下情形，被视为串通投标的：</w:t>
      </w:r>
    </w:p>
    <w:p w14:paraId="691511DD">
      <w:pPr>
        <w:pStyle w:val="47"/>
        <w:numPr>
          <w:ilvl w:val="0"/>
          <w:numId w:val="122"/>
        </w:numPr>
        <w:bidi w:val="0"/>
      </w:pPr>
      <w:r>
        <w:rPr>
          <w:rFonts w:hint="eastAsia"/>
        </w:rPr>
        <w:t>不同投标人的投标文件由同一单位或个人编制；</w:t>
      </w:r>
    </w:p>
    <w:p w14:paraId="2E05BAF3">
      <w:pPr>
        <w:pStyle w:val="47"/>
        <w:numPr>
          <w:ilvl w:val="0"/>
          <w:numId w:val="122"/>
        </w:numPr>
        <w:bidi w:val="0"/>
      </w:pPr>
      <w:r>
        <w:rPr>
          <w:rFonts w:hint="eastAsia"/>
        </w:rPr>
        <w:t>不同投标人委托同一单位或个人办理投标事宜；</w:t>
      </w:r>
    </w:p>
    <w:p w14:paraId="08A07E50">
      <w:pPr>
        <w:pStyle w:val="47"/>
        <w:numPr>
          <w:ilvl w:val="0"/>
          <w:numId w:val="122"/>
        </w:numPr>
        <w:bidi w:val="0"/>
      </w:pPr>
      <w:r>
        <w:rPr>
          <w:rFonts w:hint="eastAsia"/>
        </w:rPr>
        <w:t>不同投标人的投标文件载明的项目管理成员或联系人员为同一人；</w:t>
      </w:r>
    </w:p>
    <w:p w14:paraId="5A5F4CAE">
      <w:pPr>
        <w:pStyle w:val="47"/>
        <w:numPr>
          <w:ilvl w:val="0"/>
          <w:numId w:val="122"/>
        </w:numPr>
        <w:bidi w:val="0"/>
      </w:pPr>
      <w:r>
        <w:rPr>
          <w:rFonts w:hint="eastAsia"/>
        </w:rPr>
        <w:t>不同投标人的投标文件异常一致或者投标报价呈规律性差异；</w:t>
      </w:r>
    </w:p>
    <w:p w14:paraId="0DFB0B9A">
      <w:pPr>
        <w:pStyle w:val="47"/>
        <w:numPr>
          <w:ilvl w:val="0"/>
          <w:numId w:val="122"/>
        </w:numPr>
        <w:bidi w:val="0"/>
      </w:pPr>
      <w:r>
        <w:rPr>
          <w:rFonts w:hint="eastAsia"/>
        </w:rPr>
        <w:t>不同投标人的投标文件互相混装。</w:t>
      </w:r>
    </w:p>
    <w:p w14:paraId="67F53AB9">
      <w:pPr>
        <w:pStyle w:val="39"/>
        <w:ind w:firstLine="480"/>
      </w:pPr>
      <w:r>
        <w:rPr>
          <w:rFonts w:hint="eastAsia"/>
        </w:rPr>
        <w:t>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14:paraId="2950DC56">
      <w:pPr>
        <w:pStyle w:val="43"/>
        <w:keepNext w:val="0"/>
        <w:keepLines w:val="0"/>
        <w:pageBreakBefore w:val="0"/>
        <w:widowControl w:val="0"/>
        <w:numPr>
          <w:ilvl w:val="2"/>
          <w:numId w:val="106"/>
        </w:numPr>
        <w:kinsoku/>
        <w:wordWrap/>
        <w:overflowPunct/>
        <w:topLinePunct w:val="0"/>
        <w:autoSpaceDE/>
        <w:autoSpaceDN/>
        <w:bidi w:val="0"/>
        <w:adjustRightInd w:val="0"/>
        <w:snapToGrid/>
        <w:ind w:left="0" w:firstLine="0" w:firstLineChars="0"/>
        <w:textAlignment w:val="auto"/>
      </w:pPr>
      <w:bookmarkStart w:id="458" w:name="_Toc559467798"/>
      <w:bookmarkStart w:id="459" w:name="_Toc1160413926"/>
      <w:r>
        <w:rPr>
          <w:rFonts w:hint="eastAsia"/>
        </w:rPr>
        <w:t>投标人违法等重大事项的处理</w:t>
      </w:r>
      <w:bookmarkEnd w:id="458"/>
      <w:bookmarkEnd w:id="459"/>
    </w:p>
    <w:p w14:paraId="3905CC7A">
      <w:pPr>
        <w:pStyle w:val="39"/>
        <w:ind w:firstLine="480"/>
      </w:pPr>
      <w:r>
        <w:rPr>
          <w:rFonts w:hint="eastAsia"/>
        </w:rPr>
        <w:t>投标人有下列情形之一的，投标无效且将投标文件、询标记录等报同级政府采购监管部门或有关职能部门查处：</w:t>
      </w:r>
    </w:p>
    <w:p w14:paraId="3B045411">
      <w:pPr>
        <w:pStyle w:val="47"/>
        <w:numPr>
          <w:ilvl w:val="0"/>
          <w:numId w:val="123"/>
        </w:numPr>
        <w:bidi w:val="0"/>
      </w:pPr>
      <w:r>
        <w:rPr>
          <w:rFonts w:hint="eastAsia"/>
        </w:rPr>
        <w:t>未如实提供债权债务、重大违法记录、利害关系等信息，影响或者可能影响中标结果的；</w:t>
      </w:r>
    </w:p>
    <w:p w14:paraId="557D03E9">
      <w:pPr>
        <w:pStyle w:val="47"/>
        <w:numPr>
          <w:ilvl w:val="0"/>
          <w:numId w:val="123"/>
        </w:numPr>
        <w:bidi w:val="0"/>
      </w:pPr>
      <w:r>
        <w:rPr>
          <w:rFonts w:hint="eastAsia"/>
        </w:rPr>
        <w:t>不遵循公平竞争原则、恶意串通、妨碍其他投标人的竞争、损害采购人或其他投标人合法权益的；</w:t>
      </w:r>
    </w:p>
    <w:p w14:paraId="7D1B2718">
      <w:pPr>
        <w:pStyle w:val="47"/>
        <w:numPr>
          <w:ilvl w:val="0"/>
          <w:numId w:val="123"/>
        </w:numPr>
        <w:bidi w:val="0"/>
      </w:pPr>
      <w:r>
        <w:rPr>
          <w:rFonts w:hint="eastAsia"/>
        </w:rPr>
        <w:t>政府采购活动中存在违法行为的；</w:t>
      </w:r>
    </w:p>
    <w:p w14:paraId="6BF47FE9">
      <w:pPr>
        <w:pStyle w:val="47"/>
        <w:numPr>
          <w:ilvl w:val="0"/>
          <w:numId w:val="123"/>
        </w:numPr>
        <w:bidi w:val="0"/>
      </w:pPr>
      <w:r>
        <w:rPr>
          <w:rFonts w:hint="eastAsia"/>
        </w:rPr>
        <w:t>其他严重干扰招投标秩序的行为的。</w:t>
      </w:r>
    </w:p>
    <w:p w14:paraId="15A846AD">
      <w:pPr>
        <w:pStyle w:val="43"/>
        <w:keepNext w:val="0"/>
        <w:keepLines w:val="0"/>
        <w:pageBreakBefore w:val="0"/>
        <w:widowControl w:val="0"/>
        <w:numPr>
          <w:ilvl w:val="2"/>
          <w:numId w:val="106"/>
        </w:numPr>
        <w:kinsoku/>
        <w:wordWrap/>
        <w:overflowPunct/>
        <w:topLinePunct w:val="0"/>
        <w:autoSpaceDE/>
        <w:autoSpaceDN/>
        <w:bidi w:val="0"/>
        <w:adjustRightInd w:val="0"/>
        <w:snapToGrid/>
        <w:ind w:left="0" w:firstLine="0" w:firstLineChars="0"/>
        <w:textAlignment w:val="auto"/>
        <w:rPr>
          <w:rFonts w:ascii="华文中宋" w:hAnsi="华文中宋" w:eastAsia="华文中宋"/>
          <w:color w:val="000000"/>
          <w:kern w:val="0"/>
          <w:sz w:val="30"/>
          <w:szCs w:val="30"/>
        </w:rPr>
      </w:pPr>
      <w:bookmarkStart w:id="460" w:name="_Toc1777855875"/>
      <w:bookmarkStart w:id="461" w:name="_Toc1291874420"/>
      <w:r>
        <w:rPr>
          <w:rFonts w:hint="eastAsia"/>
        </w:rPr>
        <w:t>评审中合格投标人不足法定数量的处理</w:t>
      </w:r>
      <w:bookmarkEnd w:id="460"/>
      <w:bookmarkEnd w:id="461"/>
    </w:p>
    <w:p w14:paraId="3DCBFEA2">
      <w:pPr>
        <w:pStyle w:val="39"/>
        <w:ind w:firstLine="480"/>
      </w:pPr>
      <w:r>
        <w:rPr>
          <w:rFonts w:hint="eastAsia"/>
        </w:rPr>
        <w:t>若在评审过程中出现有效投标人不足三家的情况，除采购任务取消情形外，招标人有权选择以下方式之一处理：</w:t>
      </w:r>
    </w:p>
    <w:p w14:paraId="5297EBF7">
      <w:pPr>
        <w:pStyle w:val="47"/>
        <w:numPr>
          <w:ilvl w:val="0"/>
          <w:numId w:val="124"/>
        </w:numPr>
        <w:bidi w:val="0"/>
      </w:pPr>
      <w:r>
        <w:rPr>
          <w:rFonts w:hint="eastAsia"/>
        </w:rPr>
        <w:t>将本标项作废标处理，重新组织采购；</w:t>
      </w:r>
    </w:p>
    <w:p w14:paraId="4DCBDF01">
      <w:pPr>
        <w:pStyle w:val="47"/>
        <w:numPr>
          <w:ilvl w:val="0"/>
          <w:numId w:val="124"/>
        </w:numPr>
        <w:bidi w:val="0"/>
      </w:pPr>
      <w:r>
        <w:rPr>
          <w:rFonts w:hint="eastAsia"/>
        </w:rPr>
        <w:t>按同级政府采购监督管理部门的审批意见采用其他采购方式组织采购。</w:t>
      </w:r>
    </w:p>
    <w:p w14:paraId="214C4CBA">
      <w:pPr>
        <w:pStyle w:val="43"/>
        <w:keepNext w:val="0"/>
        <w:keepLines w:val="0"/>
        <w:pageBreakBefore w:val="0"/>
        <w:widowControl w:val="0"/>
        <w:numPr>
          <w:ilvl w:val="2"/>
          <w:numId w:val="106"/>
        </w:numPr>
        <w:kinsoku/>
        <w:wordWrap/>
        <w:overflowPunct/>
        <w:topLinePunct w:val="0"/>
        <w:autoSpaceDE/>
        <w:autoSpaceDN/>
        <w:bidi w:val="0"/>
        <w:adjustRightInd w:val="0"/>
        <w:snapToGrid/>
        <w:ind w:left="0" w:firstLine="0" w:firstLineChars="0"/>
        <w:textAlignment w:val="auto"/>
        <w:rPr>
          <w:rFonts w:ascii="华文中宋" w:hAnsi="华文中宋" w:eastAsia="华文中宋"/>
          <w:color w:val="000000"/>
          <w:sz w:val="30"/>
          <w:szCs w:val="30"/>
        </w:rPr>
      </w:pPr>
      <w:bookmarkStart w:id="462" w:name="_Toc336226767"/>
      <w:bookmarkStart w:id="463" w:name="_Toc1473705770"/>
      <w:r>
        <w:rPr>
          <w:rFonts w:hint="eastAsia"/>
        </w:rPr>
        <w:t>废标适用情形</w:t>
      </w:r>
      <w:bookmarkEnd w:id="462"/>
      <w:bookmarkEnd w:id="463"/>
    </w:p>
    <w:p w14:paraId="000479A6">
      <w:pPr>
        <w:pStyle w:val="39"/>
        <w:ind w:firstLine="480"/>
      </w:pPr>
      <w:r>
        <w:rPr>
          <w:rFonts w:hint="eastAsia"/>
        </w:rPr>
        <w:t>在招标采购中，出现下列情形之一的，项目将予以废标：</w:t>
      </w:r>
    </w:p>
    <w:p w14:paraId="1DEE0392">
      <w:pPr>
        <w:pStyle w:val="39"/>
        <w:ind w:firstLine="480"/>
        <w:rPr>
          <w:kern w:val="0"/>
        </w:rPr>
      </w:pPr>
      <w:r>
        <w:rPr>
          <w:rFonts w:hint="eastAsia"/>
          <w:kern w:val="0"/>
        </w:rPr>
        <w:t>（1）符合专业条件的供应商或者对招标文件作实质响应的供应商不足三家的；</w:t>
      </w:r>
    </w:p>
    <w:p w14:paraId="2FB90F9D">
      <w:pPr>
        <w:pStyle w:val="39"/>
        <w:ind w:firstLine="480"/>
        <w:rPr>
          <w:kern w:val="0"/>
        </w:rPr>
      </w:pPr>
      <w:r>
        <w:rPr>
          <w:rFonts w:hint="eastAsia"/>
          <w:kern w:val="0"/>
        </w:rPr>
        <w:t>（2）出现影响采购公正的违法、违规行为的；</w:t>
      </w:r>
    </w:p>
    <w:p w14:paraId="1E43F2B4">
      <w:pPr>
        <w:pStyle w:val="39"/>
        <w:ind w:firstLine="480"/>
        <w:rPr>
          <w:kern w:val="0"/>
        </w:rPr>
      </w:pPr>
      <w:r>
        <w:rPr>
          <w:rFonts w:hint="eastAsia"/>
          <w:kern w:val="0"/>
        </w:rPr>
        <w:t>（3）投标人的报价均超过了采购预算，采购人不能支付的；</w:t>
      </w:r>
    </w:p>
    <w:p w14:paraId="18EDE3FF">
      <w:pPr>
        <w:pStyle w:val="39"/>
        <w:ind w:firstLine="480"/>
        <w:rPr>
          <w:kern w:val="0"/>
          <w:sz w:val="28"/>
          <w:szCs w:val="28"/>
        </w:rPr>
      </w:pPr>
      <w:r>
        <w:rPr>
          <w:rFonts w:hint="eastAsia"/>
          <w:kern w:val="0"/>
        </w:rPr>
        <w:t>（4）因重大变故，采购任务取消的。</w:t>
      </w:r>
    </w:p>
    <w:p w14:paraId="45051978">
      <w:pPr>
        <w:pStyle w:val="43"/>
        <w:keepNext w:val="0"/>
        <w:keepLines w:val="0"/>
        <w:pageBreakBefore w:val="0"/>
        <w:widowControl w:val="0"/>
        <w:numPr>
          <w:ilvl w:val="2"/>
          <w:numId w:val="106"/>
        </w:numPr>
        <w:kinsoku/>
        <w:wordWrap/>
        <w:overflowPunct/>
        <w:topLinePunct w:val="0"/>
        <w:autoSpaceDE/>
        <w:autoSpaceDN/>
        <w:bidi w:val="0"/>
        <w:adjustRightInd w:val="0"/>
        <w:snapToGrid/>
        <w:ind w:left="0" w:firstLine="0" w:firstLineChars="0"/>
        <w:textAlignment w:val="auto"/>
      </w:pPr>
      <w:bookmarkStart w:id="464" w:name="_Toc1643975539"/>
      <w:bookmarkStart w:id="465" w:name="_Toc933797712"/>
      <w:r>
        <w:rPr>
          <w:rFonts w:hint="eastAsia"/>
        </w:rPr>
        <w:t>可中止电子交易活动的情形</w:t>
      </w:r>
      <w:bookmarkEnd w:id="464"/>
      <w:bookmarkEnd w:id="465"/>
    </w:p>
    <w:p w14:paraId="58657C79">
      <w:pPr>
        <w:pStyle w:val="39"/>
        <w:ind w:firstLine="480"/>
      </w:pPr>
      <w:r>
        <w:rPr>
          <w:rFonts w:hint="eastAsia"/>
        </w:rPr>
        <w:t>采购过程中出现以下情形，导致电子交易平台无法正常运行，或者无法保证电子交易的公平、公正和安全时，采购组织机构可中止电子交易活动：</w:t>
      </w:r>
    </w:p>
    <w:p w14:paraId="461F99E5">
      <w:pPr>
        <w:pStyle w:val="47"/>
        <w:numPr>
          <w:ilvl w:val="0"/>
          <w:numId w:val="125"/>
        </w:numPr>
        <w:bidi w:val="0"/>
      </w:pPr>
      <w:r>
        <w:rPr>
          <w:rFonts w:hint="eastAsia"/>
        </w:rPr>
        <w:t>电子交易平台发生故障而无法登录访问的；</w:t>
      </w:r>
    </w:p>
    <w:p w14:paraId="45919C3C">
      <w:pPr>
        <w:pStyle w:val="47"/>
        <w:numPr>
          <w:ilvl w:val="0"/>
          <w:numId w:val="125"/>
        </w:numPr>
        <w:bidi w:val="0"/>
      </w:pPr>
      <w:r>
        <w:rPr>
          <w:rFonts w:hint="eastAsia"/>
        </w:rPr>
        <w:t>电子交易平台应用或数据库出现错误，不能进行正常操作的；</w:t>
      </w:r>
    </w:p>
    <w:p w14:paraId="35B49F39">
      <w:pPr>
        <w:pStyle w:val="47"/>
        <w:numPr>
          <w:ilvl w:val="0"/>
          <w:numId w:val="125"/>
        </w:numPr>
        <w:bidi w:val="0"/>
      </w:pPr>
      <w:r>
        <w:rPr>
          <w:rFonts w:hint="eastAsia"/>
        </w:rPr>
        <w:t>电子交易平台发现严重安全漏洞，有潜在泄密危险的；</w:t>
      </w:r>
    </w:p>
    <w:p w14:paraId="4F3A7101">
      <w:pPr>
        <w:pStyle w:val="47"/>
        <w:numPr>
          <w:ilvl w:val="0"/>
          <w:numId w:val="125"/>
        </w:numPr>
        <w:bidi w:val="0"/>
      </w:pPr>
      <w:r>
        <w:rPr>
          <w:rFonts w:hint="eastAsia"/>
        </w:rPr>
        <w:t>病毒发作导致不能进行正常操作的；</w:t>
      </w:r>
    </w:p>
    <w:p w14:paraId="266C05E1">
      <w:pPr>
        <w:pStyle w:val="47"/>
        <w:numPr>
          <w:ilvl w:val="0"/>
          <w:numId w:val="125"/>
        </w:numPr>
        <w:bidi w:val="0"/>
      </w:pPr>
      <w:r>
        <w:rPr>
          <w:rFonts w:hint="eastAsia"/>
        </w:rPr>
        <w:t>其他无法保证电子交易的公平、公正和安全的情况。</w:t>
      </w:r>
    </w:p>
    <w:p w14:paraId="77E63BF8">
      <w:pPr>
        <w:pStyle w:val="39"/>
        <w:bidi w:val="0"/>
      </w:pPr>
      <w:r>
        <w:rPr>
          <w:rFonts w:hint="eastAsia"/>
        </w:rPr>
        <w:t>出现前款规定情形，不影响采购公平、公正性的，采购组织机构可以待上述情形消除后继续组织电子交易活动，也可以决定某些环节以纸质形式进行；影响或可能影响采购公平、公正性的，将重新采购。</w:t>
      </w:r>
    </w:p>
    <w:p w14:paraId="45016ED9">
      <w:pPr>
        <w:pStyle w:val="39"/>
        <w:bidi w:val="0"/>
        <w:rPr>
          <w:lang w:eastAsia="zh-Hans"/>
        </w:rPr>
      </w:pPr>
      <w:r>
        <w:br w:type="page"/>
      </w:r>
    </w:p>
    <w:p w14:paraId="2CA0CE1F">
      <w:pPr>
        <w:pStyle w:val="42"/>
      </w:pPr>
      <w:bookmarkStart w:id="466" w:name="_Toc119296595"/>
      <w:bookmarkStart w:id="467" w:name="_Toc527653308"/>
      <w:bookmarkStart w:id="468" w:name="_Toc772281671"/>
      <w:r>
        <w:rPr>
          <w:rFonts w:hint="eastAsia"/>
          <w:lang w:eastAsia="zh-CN"/>
        </w:rPr>
        <w:t>投标文件部分格式文本</w:t>
      </w:r>
      <w:bookmarkEnd w:id="466"/>
      <w:bookmarkEnd w:id="467"/>
      <w:bookmarkEnd w:id="468"/>
    </w:p>
    <w:p w14:paraId="3B9CD4DB">
      <w:pPr>
        <w:pStyle w:val="41"/>
        <w:numPr>
          <w:ilvl w:val="1"/>
          <w:numId w:val="126"/>
        </w:numPr>
        <w:adjustRightInd/>
      </w:pPr>
      <w:bookmarkStart w:id="469" w:name="_Toc1309169093"/>
      <w:bookmarkStart w:id="470" w:name="_Toc346882029"/>
      <w:r>
        <w:rPr>
          <w:rFonts w:hint="eastAsia"/>
        </w:rPr>
        <w:t>格式文本使用说明</w:t>
      </w:r>
      <w:bookmarkEnd w:id="469"/>
      <w:bookmarkEnd w:id="470"/>
    </w:p>
    <w:p w14:paraId="654E72C8">
      <w:pPr>
        <w:pStyle w:val="47"/>
        <w:numPr>
          <w:ilvl w:val="0"/>
          <w:numId w:val="127"/>
        </w:numPr>
        <w:bidi w:val="0"/>
        <w:rPr>
          <w:lang w:eastAsia="zh-CN"/>
        </w:rPr>
      </w:pPr>
      <w:r>
        <w:rPr>
          <w:rFonts w:hint="eastAsia"/>
          <w:lang w:eastAsia="zh-CN"/>
        </w:rPr>
        <w:t>投标人应当认真阅读格式文本的所有内容，因误读、漏读等投标人原因导致填写错误影响资格或符合性审查结果的，视为投标人弄虚作假谋取中标；</w:t>
      </w:r>
    </w:p>
    <w:p w14:paraId="48E72C0D">
      <w:pPr>
        <w:pStyle w:val="47"/>
        <w:numPr>
          <w:ilvl w:val="0"/>
          <w:numId w:val="127"/>
        </w:numPr>
        <w:bidi w:val="0"/>
      </w:pPr>
      <w:r>
        <w:rPr>
          <w:rFonts w:hint="eastAsia"/>
        </w:rPr>
        <w:t>本章有提供格式文本的，投标人编制投标文件应按格式编制和签署，除另有说明外不得改变格式文本内容，否则该项文件视为无效文件；</w:t>
      </w:r>
    </w:p>
    <w:p w14:paraId="1A7315A9">
      <w:pPr>
        <w:pStyle w:val="47"/>
        <w:numPr>
          <w:ilvl w:val="0"/>
          <w:numId w:val="127"/>
        </w:numPr>
        <w:bidi w:val="0"/>
      </w:pPr>
      <w:r>
        <w:rPr>
          <w:rFonts w:hint="eastAsia"/>
        </w:rPr>
        <w:t>本章未提供格式文本的，投标人可自行拟定格式，并参照格式文本签署；</w:t>
      </w:r>
    </w:p>
    <w:p w14:paraId="5EC1B717">
      <w:pPr>
        <w:pStyle w:val="47"/>
        <w:numPr>
          <w:ilvl w:val="0"/>
          <w:numId w:val="127"/>
        </w:numPr>
        <w:bidi w:val="0"/>
      </w:pPr>
      <w:r>
        <w:rPr>
          <w:rFonts w:hint="eastAsia"/>
        </w:rPr>
        <w:t>格式文本要求提供材料证明的，投标人应当随文本附上响应证明材料并加盖公章或者电子签章</w:t>
      </w:r>
      <w:r>
        <w:rPr>
          <w:rFonts w:hint="eastAsia"/>
          <w:lang w:eastAsia="zh-Hans"/>
        </w:rPr>
        <w:t>；</w:t>
      </w:r>
    </w:p>
    <w:p w14:paraId="0118FBE5">
      <w:pPr>
        <w:pStyle w:val="47"/>
        <w:numPr>
          <w:ilvl w:val="0"/>
          <w:numId w:val="127"/>
        </w:numPr>
        <w:bidi w:val="0"/>
      </w:pPr>
      <w:r>
        <w:rPr>
          <w:rFonts w:hint="eastAsia"/>
          <w:lang w:eastAsia="zh-CN"/>
        </w:rPr>
        <w:t>本章格式文本标题前的序号仅代表其在本章</w:t>
      </w:r>
      <w:r>
        <w:rPr>
          <w:rFonts w:hint="eastAsia"/>
          <w:lang w:val="en-US" w:eastAsia="zh-CN"/>
        </w:rPr>
        <w:t>节</w:t>
      </w:r>
      <w:r>
        <w:rPr>
          <w:rFonts w:hint="eastAsia"/>
          <w:lang w:eastAsia="zh-CN"/>
        </w:rPr>
        <w:t>的序号，投标人编制时应替换为投标文件中的序号</w:t>
      </w:r>
      <w:r>
        <w:rPr>
          <w:rFonts w:hint="eastAsia"/>
          <w:lang w:eastAsia="zh-Hans"/>
        </w:rPr>
        <w:t>；</w:t>
      </w:r>
    </w:p>
    <w:p w14:paraId="3A2422E4">
      <w:pPr>
        <w:pStyle w:val="47"/>
        <w:numPr>
          <w:ilvl w:val="0"/>
          <w:numId w:val="127"/>
        </w:numPr>
        <w:bidi w:val="0"/>
      </w:pPr>
      <w:r>
        <w:rPr>
          <w:rFonts w:hint="eastAsia"/>
        </w:rPr>
        <w:t>“【</w:t>
      </w:r>
      <w:r>
        <w:t>】”</w:t>
      </w:r>
      <w:r>
        <w:rPr>
          <w:rFonts w:hint="eastAsia"/>
        </w:rPr>
        <w:t>符号内容属于说明内容，编制时应当删除（连同符号</w:t>
      </w:r>
      <w:r>
        <w:rPr>
          <w:rFonts w:hint="eastAsia"/>
          <w:lang w:eastAsia="zh-Hans"/>
        </w:rPr>
        <w:t>“</w:t>
      </w:r>
      <w:r>
        <w:rPr>
          <w:rFonts w:hint="eastAsia"/>
        </w:rPr>
        <w:t>【】</w:t>
      </w:r>
      <w:r>
        <w:rPr>
          <w:rFonts w:hint="eastAsia"/>
          <w:lang w:eastAsia="zh-Hans"/>
        </w:rPr>
        <w:t>”</w:t>
      </w:r>
      <w:r>
        <w:rPr>
          <w:rFonts w:hint="eastAsia"/>
        </w:rPr>
        <w:t>）</w:t>
      </w:r>
      <w:r>
        <w:rPr>
          <w:rFonts w:hint="eastAsia"/>
          <w:lang w:eastAsia="zh-Hans"/>
        </w:rPr>
        <w:t>；</w:t>
      </w:r>
    </w:p>
    <w:p w14:paraId="67970767">
      <w:pPr>
        <w:pStyle w:val="47"/>
        <w:numPr>
          <w:ilvl w:val="0"/>
          <w:numId w:val="127"/>
        </w:numPr>
        <w:bidi w:val="0"/>
        <w:rPr>
          <w:rFonts w:hint="eastAsia" w:eastAsia="宋体"/>
          <w:lang w:val="en-US" w:eastAsia="zh-Hans"/>
        </w:rPr>
      </w:pPr>
      <w:r>
        <w:rPr>
          <w:rFonts w:hint="eastAsia"/>
        </w:rPr>
        <w:t>斜体字部分属于提醒或示例内容，编制时应当删除，</w:t>
      </w:r>
      <w:r>
        <w:rPr>
          <w:rFonts w:hint="eastAsia"/>
          <w:lang w:eastAsia="zh-CN"/>
        </w:rPr>
        <w:t>斜体字外如有“（）”应当一并删除，</w:t>
      </w:r>
      <w:r>
        <w:rPr>
          <w:rFonts w:hint="eastAsia"/>
        </w:rPr>
        <w:t>投标人填写应当使用正体填写实际内容</w:t>
      </w:r>
      <w:r>
        <w:rPr>
          <w:rFonts w:hint="eastAsia"/>
          <w:lang w:eastAsia="zh-Hans"/>
        </w:rPr>
        <w:t>；</w:t>
      </w:r>
    </w:p>
    <w:p w14:paraId="32807FC1">
      <w:pPr>
        <w:pStyle w:val="47"/>
        <w:numPr>
          <w:ilvl w:val="0"/>
          <w:numId w:val="127"/>
        </w:numPr>
        <w:bidi w:val="0"/>
        <w:rPr>
          <w:rFonts w:hint="eastAsia" w:eastAsia="宋体"/>
          <w:lang w:val="en-US" w:eastAsia="zh-Hans"/>
        </w:rPr>
      </w:pPr>
      <w:r>
        <w:rPr>
          <w:rFonts w:hint="eastAsia"/>
          <w:lang w:val="en-US" w:eastAsia="zh-Hans"/>
        </w:rPr>
        <w:t>项目若有多个标项的，投标人应当在项目名称后标注具体标项序号及标项名称。单一标项项目“标项序号：”及“标项名称：”可删除。</w:t>
      </w:r>
    </w:p>
    <w:p w14:paraId="3040A546">
      <w:pPr>
        <w:pStyle w:val="39"/>
        <w:ind w:firstLine="480"/>
        <w:rPr>
          <w:rFonts w:hint="eastAsia"/>
        </w:rPr>
      </w:pPr>
    </w:p>
    <w:p w14:paraId="21EF3AB3">
      <w:pPr>
        <w:pStyle w:val="39"/>
        <w:bidi w:val="0"/>
        <w:rPr>
          <w:lang w:eastAsia="zh-Hans"/>
        </w:rPr>
      </w:pPr>
      <w:r>
        <w:br w:type="page"/>
      </w:r>
    </w:p>
    <w:p w14:paraId="67E12C83">
      <w:pPr>
        <w:pStyle w:val="41"/>
        <w:numPr>
          <w:ilvl w:val="1"/>
          <w:numId w:val="126"/>
        </w:numPr>
        <w:adjustRightInd/>
      </w:pPr>
      <w:bookmarkStart w:id="471" w:name="_Toc1775643445"/>
      <w:bookmarkStart w:id="472" w:name="_Toc87498889"/>
      <w:bookmarkStart w:id="473" w:name="_Toc119296596"/>
      <w:r>
        <w:rPr>
          <w:rFonts w:hint="eastAsia"/>
        </w:rPr>
        <w:t>符合参加政府采购活动应当具备的一般条件的承诺函</w:t>
      </w:r>
      <w:bookmarkEnd w:id="471"/>
      <w:bookmarkEnd w:id="472"/>
    </w:p>
    <w:p w14:paraId="664908A2">
      <w:pPr>
        <w:pStyle w:val="39"/>
        <w:ind w:firstLine="0" w:firstLineChars="0"/>
      </w:pPr>
      <w:r>
        <w:rPr>
          <w:rFonts w:hint="eastAsia"/>
          <w:color w:val="000000" w:themeColor="text1"/>
          <w:lang w:eastAsia="zh-CN"/>
          <w14:textFill>
            <w14:solidFill>
              <w14:schemeClr w14:val="tx1"/>
            </w14:solidFill>
          </w14:textFill>
        </w:rPr>
        <w:t>浙江省应急管理厅</w:t>
      </w:r>
      <w:r>
        <w:rPr>
          <w:rFonts w:hint="eastAsia"/>
        </w:rPr>
        <w:t>、浙江中勤招标代理有限公司：</w:t>
      </w:r>
    </w:p>
    <w:p w14:paraId="48B354DB">
      <w:pPr>
        <w:pStyle w:val="39"/>
        <w:ind w:firstLine="480"/>
      </w:pPr>
      <w:r>
        <w:rPr>
          <w:rFonts w:hint="eastAsia"/>
        </w:rPr>
        <w:t>我方参与</w:t>
      </w:r>
      <w:r>
        <w:rPr>
          <w:rFonts w:hint="eastAsia"/>
          <w:color w:val="000000" w:themeColor="text1"/>
          <w:u w:val="single"/>
          <w:lang w:eastAsia="zh-CN"/>
          <w14:textFill>
            <w14:solidFill>
              <w14:schemeClr w14:val="tx1"/>
            </w14:solidFill>
          </w14:textFill>
        </w:rPr>
        <w:t>浙江省应急管理厅</w:t>
      </w:r>
      <w:r>
        <w:rPr>
          <w:rFonts w:hint="eastAsia"/>
          <w:color w:val="auto"/>
          <w:u w:val="single"/>
          <w:lang w:eastAsia="zh-CN"/>
        </w:rPr>
        <w:t>省级矿山智慧监管平台建设</w:t>
      </w:r>
      <w:r>
        <w:rPr>
          <w:rFonts w:hint="eastAsia"/>
          <w:u w:val="single"/>
        </w:rPr>
        <w:t>项目（项目编号：</w:t>
      </w:r>
      <w:r>
        <w:rPr>
          <w:rFonts w:hint="eastAsia"/>
          <w:color w:val="auto"/>
          <w:u w:val="single"/>
          <w:lang w:eastAsia="zh-CN"/>
        </w:rPr>
        <w:t>ZQ250607ZG</w:t>
      </w:r>
      <w:r>
        <w:rPr>
          <w:rFonts w:hint="eastAsia"/>
          <w:u w:val="single"/>
        </w:rPr>
        <w:t>）</w:t>
      </w:r>
      <w:r>
        <w:rPr>
          <w:rFonts w:hint="eastAsia"/>
          <w:i/>
          <w:iCs/>
          <w:u w:val="single"/>
          <w:lang w:val="en-US" w:eastAsia="zh-Hans"/>
        </w:rPr>
        <w:t>标项序号：…标项名称：…</w:t>
      </w:r>
      <w:r>
        <w:rPr>
          <w:rFonts w:hint="eastAsia"/>
        </w:rPr>
        <w:t>政府采购活动，郑重承诺：</w:t>
      </w:r>
    </w:p>
    <w:p w14:paraId="319E071A">
      <w:pPr>
        <w:pStyle w:val="39"/>
        <w:ind w:firstLine="480"/>
      </w:pPr>
      <w:r>
        <w:rPr>
          <w:rFonts w:hint="eastAsia"/>
        </w:rPr>
        <w:t>（一）具备《中华人民共和国政府采购法》第二十二条第一款规定的条件：</w:t>
      </w:r>
    </w:p>
    <w:p w14:paraId="29524CDC">
      <w:pPr>
        <w:pStyle w:val="39"/>
        <w:ind w:firstLine="480"/>
      </w:pPr>
      <w:r>
        <w:rPr>
          <w:rFonts w:hint="eastAsia"/>
        </w:rPr>
        <w:t>1、具有独立承担民事责任的能力；</w:t>
      </w:r>
    </w:p>
    <w:p w14:paraId="2F0A95F4">
      <w:pPr>
        <w:pStyle w:val="39"/>
        <w:ind w:firstLine="480"/>
      </w:pPr>
      <w:r>
        <w:rPr>
          <w:rFonts w:hint="eastAsia"/>
        </w:rPr>
        <w:t xml:space="preserve">2、具有良好的商业信誉和健全的财务会计制度； </w:t>
      </w:r>
    </w:p>
    <w:p w14:paraId="61BAA0C0">
      <w:pPr>
        <w:pStyle w:val="39"/>
        <w:ind w:firstLine="480"/>
      </w:pPr>
      <w:r>
        <w:rPr>
          <w:rFonts w:hint="eastAsia"/>
        </w:rPr>
        <w:t>3、具有履行合同所必需的设备和专业技术能力；</w:t>
      </w:r>
    </w:p>
    <w:p w14:paraId="62D9C067">
      <w:pPr>
        <w:pStyle w:val="39"/>
        <w:ind w:firstLine="480"/>
      </w:pPr>
      <w:r>
        <w:rPr>
          <w:rFonts w:hint="eastAsia"/>
        </w:rPr>
        <w:t>4、有依法缴纳税收和社会保障资金的良好记录；</w:t>
      </w:r>
    </w:p>
    <w:p w14:paraId="18816AEE">
      <w:pPr>
        <w:pStyle w:val="39"/>
        <w:ind w:firstLine="480"/>
      </w:pPr>
      <w:r>
        <w:rPr>
          <w:rFonts w:hint="eastAsia"/>
        </w:rPr>
        <w:t>5、参加政府采购活动前三年内，在经营活动中没有重大违法记录；</w:t>
      </w:r>
    </w:p>
    <w:p w14:paraId="1CFBD2CF">
      <w:pPr>
        <w:pStyle w:val="39"/>
        <w:ind w:firstLine="480"/>
      </w:pPr>
      <w:r>
        <w:rPr>
          <w:rFonts w:hint="eastAsia"/>
        </w:rPr>
        <w:t>6、具有法律、行政法规规定的其他条件。</w:t>
      </w:r>
    </w:p>
    <w:p w14:paraId="15013C83">
      <w:pPr>
        <w:pStyle w:val="39"/>
        <w:ind w:firstLine="480"/>
      </w:pPr>
      <w:r>
        <w:rPr>
          <w:rFonts w:hint="eastAsia"/>
        </w:rPr>
        <w:t>（二）未被信用中国（www.creditchina.gov.cn)、中国政府采购网（www.ccgp.gov.cn）列入失信被执行人、重大税收违法案件当事人名单、政府采购严重违法失信行为记录名单。</w:t>
      </w:r>
    </w:p>
    <w:p w14:paraId="53140A8B">
      <w:pPr>
        <w:pStyle w:val="39"/>
        <w:ind w:firstLine="480"/>
        <w:rPr>
          <w:color w:val="FF0000"/>
        </w:rPr>
      </w:pPr>
    </w:p>
    <w:p w14:paraId="67C76A8D">
      <w:pPr>
        <w:pStyle w:val="39"/>
        <w:ind w:firstLine="480"/>
        <w:rPr>
          <w:color w:val="FF0000"/>
        </w:rPr>
      </w:pPr>
    </w:p>
    <w:p w14:paraId="79848DAF">
      <w:pPr>
        <w:pStyle w:val="39"/>
        <w:ind w:firstLine="480"/>
        <w:rPr>
          <w:kern w:val="0"/>
        </w:rPr>
      </w:pPr>
      <w:r>
        <w:rPr>
          <w:rFonts w:hint="eastAsia"/>
          <w:kern w:val="0"/>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78748601">
      <w:pPr>
        <w:pStyle w:val="39"/>
        <w:ind w:firstLine="480"/>
        <w:rPr>
          <w:kern w:val="0"/>
        </w:rPr>
      </w:pPr>
      <w:r>
        <w:rPr>
          <w:rFonts w:hint="eastAsia"/>
          <w:kern w:val="0"/>
        </w:rPr>
        <w:t>日期：  年  月   日</w:t>
      </w:r>
    </w:p>
    <w:p w14:paraId="302118ED">
      <w:pPr>
        <w:pStyle w:val="39"/>
        <w:ind w:firstLine="480"/>
        <w:rPr>
          <w:kern w:val="0"/>
        </w:rPr>
      </w:pPr>
    </w:p>
    <w:p w14:paraId="57078A0B">
      <w:pPr>
        <w:pStyle w:val="39"/>
        <w:ind w:firstLine="0" w:firstLineChars="0"/>
        <w:rPr>
          <w:kern w:val="0"/>
          <w:lang w:eastAsia="zh-CN"/>
        </w:rPr>
      </w:pPr>
      <w:r>
        <w:rPr>
          <w:rFonts w:hint="eastAsia"/>
          <w:kern w:val="0"/>
          <w:lang w:eastAsia="zh-CN"/>
        </w:rPr>
        <w:t>【说明：如为联合体投标，联合体双方均应具备参加政府采购活动的一般资格条件，文首“我方”应改为“我方与（供应商全称）”】</w:t>
      </w:r>
    </w:p>
    <w:p w14:paraId="72A12F45">
      <w:pPr>
        <w:pStyle w:val="39"/>
        <w:bidi w:val="0"/>
      </w:pPr>
      <w:r>
        <w:br w:type="page"/>
      </w:r>
    </w:p>
    <w:p w14:paraId="09C5CC83">
      <w:pPr>
        <w:pStyle w:val="41"/>
        <w:numPr>
          <w:ilvl w:val="1"/>
          <w:numId w:val="126"/>
        </w:numPr>
        <w:adjustRightInd/>
        <w:rPr>
          <w:rFonts w:eastAsia="宋体"/>
        </w:rPr>
      </w:pPr>
      <w:bookmarkStart w:id="474" w:name="_Toc1715012875"/>
      <w:bookmarkStart w:id="475" w:name="_Toc1806621403"/>
      <w:r>
        <w:rPr>
          <w:rFonts w:hint="eastAsia"/>
        </w:rPr>
        <w:t>投标函</w:t>
      </w:r>
      <w:bookmarkEnd w:id="474"/>
      <w:bookmarkEnd w:id="475"/>
    </w:p>
    <w:p w14:paraId="50F36993">
      <w:pPr>
        <w:pStyle w:val="39"/>
        <w:ind w:firstLine="0" w:firstLineChars="0"/>
      </w:pPr>
      <w:r>
        <w:rPr>
          <w:rFonts w:hint="eastAsia"/>
          <w:color w:val="000000" w:themeColor="text1"/>
          <w:lang w:eastAsia="zh-CN"/>
          <w14:textFill>
            <w14:solidFill>
              <w14:schemeClr w14:val="tx1"/>
            </w14:solidFill>
          </w14:textFill>
        </w:rPr>
        <w:t>浙江省应急管理厅</w:t>
      </w:r>
      <w:r>
        <w:rPr>
          <w:rFonts w:hint="eastAsia"/>
        </w:rPr>
        <w:t>、浙江中勤招标代理有限公司：</w:t>
      </w:r>
    </w:p>
    <w:p w14:paraId="735EC6EB">
      <w:pPr>
        <w:pStyle w:val="39"/>
        <w:ind w:firstLine="480"/>
      </w:pPr>
      <w:r>
        <w:rPr>
          <w:rFonts w:hint="eastAsia"/>
        </w:rPr>
        <w:t>我方参与</w:t>
      </w:r>
      <w:r>
        <w:rPr>
          <w:rFonts w:hint="eastAsia"/>
          <w:color w:val="000000" w:themeColor="text1"/>
          <w:u w:val="single"/>
          <w:lang w:eastAsia="zh-CN"/>
          <w14:textFill>
            <w14:solidFill>
              <w14:schemeClr w14:val="tx1"/>
            </w14:solidFill>
          </w14:textFill>
        </w:rPr>
        <w:t>浙江省应急管理厅</w:t>
      </w:r>
      <w:r>
        <w:rPr>
          <w:rFonts w:hint="eastAsia"/>
          <w:color w:val="auto"/>
          <w:u w:val="single"/>
          <w:lang w:eastAsia="zh-CN"/>
        </w:rPr>
        <w:t>省级矿山智慧监管平台建设</w:t>
      </w:r>
      <w:r>
        <w:rPr>
          <w:rFonts w:hint="eastAsia"/>
          <w:u w:val="single"/>
        </w:rPr>
        <w:t>项目（项目编号：</w:t>
      </w:r>
      <w:r>
        <w:rPr>
          <w:rFonts w:hint="eastAsia"/>
          <w:color w:val="auto"/>
          <w:u w:val="single"/>
          <w:lang w:eastAsia="zh-CN"/>
        </w:rPr>
        <w:t>ZQ250607ZG</w:t>
      </w:r>
      <w:r>
        <w:rPr>
          <w:rFonts w:hint="eastAsia"/>
          <w:u w:val="single"/>
        </w:rPr>
        <w:t>）</w:t>
      </w:r>
      <w:r>
        <w:rPr>
          <w:rFonts w:hint="eastAsia"/>
          <w:i/>
          <w:iCs/>
          <w:u w:val="single"/>
          <w:lang w:val="en-US" w:eastAsia="zh-Hans"/>
        </w:rPr>
        <w:t>标项序号：…标项名称：…</w:t>
      </w:r>
      <w:r>
        <w:rPr>
          <w:rFonts w:hint="eastAsia"/>
        </w:rPr>
        <w:t>政府采购活动，为此：</w:t>
      </w:r>
    </w:p>
    <w:p w14:paraId="60A83CA0">
      <w:pPr>
        <w:pStyle w:val="39"/>
        <w:ind w:firstLine="480"/>
      </w:pPr>
      <w:r>
        <w:t>1.</w:t>
      </w:r>
      <w:r>
        <w:rPr>
          <w:rFonts w:hint="eastAsia"/>
        </w:rPr>
        <w:t>我方承诺投标有效期从提交投标文件的截止之日起</w:t>
      </w:r>
      <w:r>
        <w:rPr>
          <w:rFonts w:hint="eastAsia"/>
          <w:u w:val="single"/>
        </w:rPr>
        <w:t xml:space="preserve"> </w:t>
      </w:r>
      <w:r>
        <w:rPr>
          <w:rFonts w:hint="eastAsia"/>
          <w:i/>
          <w:iCs/>
          <w:u w:val="single"/>
        </w:rPr>
        <w:t>不少于9</w:t>
      </w:r>
      <w:r>
        <w:rPr>
          <w:i/>
          <w:iCs/>
          <w:u w:val="single"/>
        </w:rPr>
        <w:t>0</w:t>
      </w:r>
      <w:r>
        <w:rPr>
          <w:rFonts w:hint="eastAsia"/>
          <w:i/>
          <w:iCs/>
          <w:u w:val="single"/>
        </w:rPr>
        <w:t>，填确切数字</w:t>
      </w:r>
      <w:r>
        <w:rPr>
          <w:rFonts w:hint="eastAsia"/>
          <w:u w:val="single"/>
        </w:rPr>
        <w:t xml:space="preserve"> </w:t>
      </w:r>
      <w:r>
        <w:rPr>
          <w:rFonts w:hint="eastAsia"/>
        </w:rPr>
        <w:t>天，本投标文件在投标有效期满之前均具有约束力。</w:t>
      </w:r>
    </w:p>
    <w:p w14:paraId="6B3D8365">
      <w:pPr>
        <w:pStyle w:val="39"/>
        <w:ind w:firstLine="480"/>
      </w:pPr>
      <w:r>
        <w:t>2.</w:t>
      </w:r>
      <w:r>
        <w:rPr>
          <w:rFonts w:hint="eastAsia"/>
        </w:rPr>
        <w:t>我方的投标文件包括以下内容：</w:t>
      </w:r>
    </w:p>
    <w:p w14:paraId="25ED62E6">
      <w:pPr>
        <w:pStyle w:val="39"/>
        <w:ind w:firstLine="480"/>
      </w:pPr>
      <w:r>
        <w:rPr>
          <w:rFonts w:hint="eastAsia"/>
        </w:rPr>
        <w:t>2.1资格文件：</w:t>
      </w:r>
    </w:p>
    <w:p w14:paraId="5600CE48">
      <w:pPr>
        <w:pStyle w:val="39"/>
        <w:ind w:firstLine="480"/>
        <w:rPr>
          <w:i/>
          <w:iCs/>
          <w:lang w:eastAsia="zh-CN"/>
        </w:rPr>
      </w:pPr>
    </w:p>
    <w:p w14:paraId="2700414E">
      <w:pPr>
        <w:pStyle w:val="39"/>
        <w:ind w:firstLine="480"/>
        <w:rPr>
          <w:i/>
          <w:iCs/>
          <w:u w:val="single"/>
        </w:rPr>
      </w:pPr>
      <w:r>
        <w:rPr>
          <w:rFonts w:hint="eastAsia"/>
          <w:i/>
          <w:iCs/>
          <w:u w:val="single"/>
          <w:lang w:eastAsia="zh-CN"/>
        </w:rPr>
        <w:t>根据资格文件目录内容如实填写</w:t>
      </w:r>
    </w:p>
    <w:p w14:paraId="1926534F">
      <w:pPr>
        <w:pStyle w:val="39"/>
        <w:ind w:firstLine="480"/>
      </w:pPr>
    </w:p>
    <w:p w14:paraId="60B47EEA">
      <w:pPr>
        <w:pStyle w:val="39"/>
        <w:ind w:firstLine="480"/>
      </w:pPr>
      <w:r>
        <w:rPr>
          <w:rFonts w:hint="eastAsia"/>
        </w:rPr>
        <w:t>2.2 商务技术文件：</w:t>
      </w:r>
    </w:p>
    <w:p w14:paraId="31E30CE2">
      <w:pPr>
        <w:pStyle w:val="39"/>
        <w:ind w:firstLine="480"/>
        <w:rPr>
          <w:i/>
          <w:iCs/>
          <w:lang w:eastAsia="zh-CN"/>
        </w:rPr>
      </w:pPr>
    </w:p>
    <w:p w14:paraId="7A34DA89">
      <w:pPr>
        <w:pStyle w:val="39"/>
        <w:ind w:firstLine="480"/>
        <w:rPr>
          <w:i/>
          <w:iCs/>
          <w:u w:val="single"/>
        </w:rPr>
      </w:pPr>
      <w:r>
        <w:rPr>
          <w:rFonts w:hint="eastAsia"/>
          <w:i/>
          <w:iCs/>
          <w:u w:val="single"/>
          <w:lang w:eastAsia="zh-CN"/>
        </w:rPr>
        <w:t>根据商务技术文件目录内容如实填写</w:t>
      </w:r>
    </w:p>
    <w:p w14:paraId="3B83C92A">
      <w:pPr>
        <w:pStyle w:val="39"/>
        <w:ind w:firstLine="480"/>
      </w:pPr>
    </w:p>
    <w:p w14:paraId="348127D4">
      <w:pPr>
        <w:pStyle w:val="39"/>
        <w:ind w:firstLine="480"/>
      </w:pPr>
      <w:r>
        <w:rPr>
          <w:rFonts w:hint="eastAsia"/>
        </w:rPr>
        <w:t>2.3报价文件</w:t>
      </w:r>
    </w:p>
    <w:p w14:paraId="6275A20F">
      <w:pPr>
        <w:pStyle w:val="39"/>
        <w:ind w:firstLine="480"/>
        <w:rPr>
          <w:i/>
          <w:iCs/>
          <w:lang w:eastAsia="zh-CN"/>
        </w:rPr>
      </w:pPr>
    </w:p>
    <w:p w14:paraId="0AD03030">
      <w:pPr>
        <w:pStyle w:val="39"/>
        <w:ind w:firstLine="480"/>
        <w:rPr>
          <w:i/>
          <w:iCs/>
          <w:u w:val="single"/>
        </w:rPr>
      </w:pPr>
      <w:r>
        <w:rPr>
          <w:rFonts w:hint="eastAsia"/>
          <w:i/>
          <w:iCs/>
          <w:u w:val="single"/>
          <w:lang w:eastAsia="zh-CN"/>
        </w:rPr>
        <w:t>根据报价文件目录内容如实填写</w:t>
      </w:r>
    </w:p>
    <w:p w14:paraId="34BA8058">
      <w:pPr>
        <w:pStyle w:val="39"/>
        <w:numPr>
          <w:ilvl w:val="0"/>
          <w:numId w:val="0"/>
        </w:numPr>
        <w:bidi w:val="0"/>
        <w:rPr>
          <w:rFonts w:hint="eastAsia"/>
          <w:lang w:val="en-US" w:eastAsia="zh-CN"/>
        </w:rPr>
      </w:pPr>
    </w:p>
    <w:p w14:paraId="20E29663">
      <w:pPr>
        <w:pStyle w:val="39"/>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textAlignment w:val="auto"/>
        <w:rPr>
          <w:rFonts w:hint="eastAsia"/>
          <w:lang w:eastAsia="zh-Hans"/>
        </w:rPr>
      </w:pPr>
      <w:r>
        <w:rPr>
          <w:rFonts w:hint="eastAsia"/>
          <w:lang w:val="en-US" w:eastAsia="zh-CN"/>
        </w:rPr>
        <w:t>3.</w:t>
      </w:r>
      <w:r>
        <w:rPr>
          <w:rFonts w:hint="eastAsia"/>
        </w:rPr>
        <w:t>我方承诺除商务技术偏离表列出的偏离外，我方响应招标文件的全部要求</w:t>
      </w:r>
      <w:r>
        <w:rPr>
          <w:rFonts w:hint="eastAsia"/>
          <w:lang w:eastAsia="zh-Hans"/>
        </w:rPr>
        <w:t>；</w:t>
      </w:r>
    </w:p>
    <w:p w14:paraId="74823996">
      <w:pPr>
        <w:pStyle w:val="39"/>
        <w:ind w:firstLine="480"/>
      </w:pPr>
      <w:r>
        <w:rPr>
          <w:rFonts w:hint="eastAsia"/>
          <w:lang w:val="en-US" w:eastAsia="zh-CN"/>
        </w:rPr>
        <w:t>4</w:t>
      </w:r>
      <w:r>
        <w:t>.</w:t>
      </w:r>
      <w:r>
        <w:rPr>
          <w:rFonts w:hint="eastAsia"/>
        </w:rPr>
        <w:t>如我方中标，我方承诺：</w:t>
      </w:r>
    </w:p>
    <w:p w14:paraId="6D0C0FF3">
      <w:pPr>
        <w:pStyle w:val="39"/>
        <w:ind w:firstLine="480"/>
      </w:pPr>
      <w:r>
        <w:rPr>
          <w:rFonts w:hint="eastAsia"/>
          <w:lang w:val="en-US" w:eastAsia="zh-CN"/>
        </w:rPr>
        <w:t>4</w:t>
      </w:r>
      <w:r>
        <w:rPr>
          <w:rFonts w:hint="eastAsia"/>
        </w:rPr>
        <w:t>.1在收到中标通知书后，</w:t>
      </w:r>
      <w:r>
        <w:rPr>
          <w:rFonts w:hint="eastAsia"/>
          <w:lang w:eastAsia="zh-CN"/>
        </w:rPr>
        <w:t>及时与招标代理机构办理采购代理服务费结算手续，并</w:t>
      </w:r>
      <w:r>
        <w:rPr>
          <w:rFonts w:hint="eastAsia"/>
        </w:rPr>
        <w:t>在中标通知书规定的期限内与</w:t>
      </w:r>
      <w:r>
        <w:rPr>
          <w:rFonts w:hint="eastAsia"/>
          <w:lang w:eastAsia="zh-CN"/>
        </w:rPr>
        <w:t>招标人</w:t>
      </w:r>
      <w:r>
        <w:rPr>
          <w:rFonts w:hint="eastAsia"/>
        </w:rPr>
        <w:t xml:space="preserve">签订合同； </w:t>
      </w:r>
    </w:p>
    <w:p w14:paraId="64FED3FB">
      <w:pPr>
        <w:pStyle w:val="39"/>
        <w:ind w:firstLine="480"/>
      </w:pPr>
      <w:r>
        <w:rPr>
          <w:rFonts w:hint="eastAsia"/>
          <w:lang w:val="en-US" w:eastAsia="zh-CN"/>
        </w:rPr>
        <w:t>4</w:t>
      </w:r>
      <w:r>
        <w:rPr>
          <w:rFonts w:hint="eastAsia"/>
        </w:rPr>
        <w:t>.2在签订合同时不向</w:t>
      </w:r>
      <w:r>
        <w:rPr>
          <w:rFonts w:hint="eastAsia"/>
          <w:lang w:eastAsia="zh-CN"/>
        </w:rPr>
        <w:t>招标人</w:t>
      </w:r>
      <w:r>
        <w:rPr>
          <w:rFonts w:hint="eastAsia"/>
        </w:rPr>
        <w:t xml:space="preserve">提出附加条件； </w:t>
      </w:r>
    </w:p>
    <w:p w14:paraId="46F9A839">
      <w:pPr>
        <w:pStyle w:val="39"/>
        <w:ind w:firstLine="480"/>
      </w:pPr>
      <w:r>
        <w:rPr>
          <w:rFonts w:hint="eastAsia"/>
          <w:lang w:val="en-US" w:eastAsia="zh-CN"/>
        </w:rPr>
        <w:t>4</w:t>
      </w:r>
      <w:r>
        <w:rPr>
          <w:rFonts w:hint="eastAsia"/>
        </w:rPr>
        <w:t xml:space="preserve">.3按照招标文件要求提交履约保证金； </w:t>
      </w:r>
    </w:p>
    <w:p w14:paraId="09A9C7FC">
      <w:pPr>
        <w:pStyle w:val="39"/>
        <w:ind w:firstLine="480"/>
      </w:pPr>
      <w:r>
        <w:rPr>
          <w:rFonts w:hint="eastAsia"/>
          <w:lang w:val="en-US" w:eastAsia="zh-CN"/>
        </w:rPr>
        <w:t>4</w:t>
      </w:r>
      <w:r>
        <w:rPr>
          <w:rFonts w:hint="eastAsia"/>
        </w:rPr>
        <w:t xml:space="preserve">.4在合同约定的期限内完成合同规定的全部义务。 </w:t>
      </w:r>
    </w:p>
    <w:p w14:paraId="3F9615CF">
      <w:pPr>
        <w:pStyle w:val="39"/>
        <w:ind w:firstLine="480"/>
        <w:rPr>
          <w:rFonts w:hint="eastAsia"/>
        </w:rPr>
      </w:pPr>
      <w:r>
        <w:rPr>
          <w:rFonts w:hint="eastAsia"/>
          <w:lang w:val="en-US" w:eastAsia="zh-CN"/>
        </w:rPr>
        <w:t>5</w:t>
      </w:r>
      <w:r>
        <w:rPr>
          <w:lang w:eastAsia="zh-CN"/>
        </w:rPr>
        <w:t>.</w:t>
      </w:r>
      <w:r>
        <w:rPr>
          <w:rFonts w:hint="eastAsia"/>
          <w:lang w:val="en-US" w:eastAsia="zh-Hans"/>
        </w:rPr>
        <w:t>与</w:t>
      </w:r>
      <w:r>
        <w:rPr>
          <w:rFonts w:hint="eastAsia"/>
          <w:lang w:eastAsia="zh-CN"/>
        </w:rPr>
        <w:t>我方存在</w:t>
      </w:r>
      <w:r>
        <w:rPr>
          <w:rFonts w:hint="eastAsia"/>
        </w:rPr>
        <w:t>单位负责人为同一人或者存在直接控股、管理关系的</w:t>
      </w:r>
      <w:r>
        <w:rPr>
          <w:rFonts w:hint="eastAsia"/>
          <w:lang w:eastAsia="zh-CN"/>
        </w:rPr>
        <w:t>其他</w:t>
      </w:r>
      <w:r>
        <w:rPr>
          <w:rFonts w:hint="eastAsia"/>
          <w:lang w:val="en-US" w:eastAsia="zh-Hans"/>
        </w:rPr>
        <w:t>企业有：</w:t>
      </w:r>
      <w:r>
        <w:rPr>
          <w:rFonts w:hint="eastAsia"/>
          <w:i/>
          <w:iCs/>
          <w:u w:val="single"/>
          <w:lang w:val="en-US" w:eastAsia="zh-Hans"/>
        </w:rPr>
        <w:t>如存在上述关联关系的企业在此处逐一罗列填写（不论是否知晓其参与本项目），否则填“无”</w:t>
      </w:r>
      <w:r>
        <w:rPr>
          <w:rFonts w:hint="default"/>
          <w:i/>
          <w:iCs/>
          <w:u w:val="single"/>
          <w:lang w:eastAsia="zh-Hans"/>
        </w:rPr>
        <w:t xml:space="preserve">                                                   </w:t>
      </w:r>
      <w:r>
        <w:rPr>
          <w:rFonts w:hint="eastAsia"/>
        </w:rPr>
        <w:t>；</w:t>
      </w:r>
    </w:p>
    <w:p w14:paraId="1543CB98">
      <w:pPr>
        <w:pStyle w:val="39"/>
        <w:ind w:firstLine="480"/>
        <w:rPr>
          <w:lang w:eastAsia="zh-CN"/>
        </w:rPr>
      </w:pPr>
      <w:r>
        <w:rPr>
          <w:rFonts w:hint="eastAsia"/>
          <w:lang w:val="en-US" w:eastAsia="zh-CN"/>
        </w:rPr>
        <w:t>6</w:t>
      </w:r>
      <w:r>
        <w:t>.</w:t>
      </w:r>
      <w:r>
        <w:rPr>
          <w:rFonts w:hint="eastAsia"/>
          <w:lang w:eastAsia="zh-CN"/>
        </w:rPr>
        <w:t>我方不存在</w:t>
      </w:r>
      <w:r>
        <w:rPr>
          <w:rFonts w:hint="eastAsia"/>
        </w:rPr>
        <w:t>为本项目提供整体设计、规范编制或者项目管理、监理、检测等服务后再参加该项目的其他类型采购活动的</w:t>
      </w:r>
      <w:r>
        <w:rPr>
          <w:rFonts w:hint="eastAsia"/>
          <w:lang w:eastAsia="zh-CN"/>
        </w:rPr>
        <w:t>情形；</w:t>
      </w:r>
    </w:p>
    <w:p w14:paraId="7B0630ED">
      <w:pPr>
        <w:pStyle w:val="39"/>
        <w:ind w:firstLine="480"/>
        <w:rPr>
          <w:lang w:eastAsia="zh-CN"/>
        </w:rPr>
      </w:pPr>
      <w:r>
        <w:rPr>
          <w:rFonts w:hint="eastAsia"/>
          <w:lang w:val="en-US" w:eastAsia="zh-CN"/>
        </w:rPr>
        <w:t>7</w:t>
      </w:r>
      <w:r>
        <w:rPr>
          <w:lang w:eastAsia="zh-CN"/>
        </w:rPr>
        <w:t>.</w:t>
      </w:r>
      <w:r>
        <w:rPr>
          <w:rFonts w:hint="eastAsia"/>
          <w:i/>
          <w:iCs/>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u w:val="single"/>
        </w:rPr>
        <w:t>；</w:t>
      </w:r>
    </w:p>
    <w:p w14:paraId="0F0D60AD">
      <w:pPr>
        <w:pStyle w:val="39"/>
        <w:ind w:firstLine="480"/>
      </w:pPr>
      <w:r>
        <w:rPr>
          <w:rFonts w:hint="eastAsia"/>
          <w:lang w:val="en-US" w:eastAsia="zh-CN"/>
        </w:rPr>
        <w:t>8</w:t>
      </w:r>
      <w:r>
        <w:rPr>
          <w:lang w:eastAsia="zh-CN"/>
        </w:rPr>
        <w:t>.</w:t>
      </w:r>
      <w:r>
        <w:rPr>
          <w:rFonts w:hint="eastAsia"/>
          <w:lang w:eastAsia="zh-CN"/>
        </w:rPr>
        <w:t>我方非</w:t>
      </w:r>
      <w:r>
        <w:rPr>
          <w:rFonts w:hint="eastAsia"/>
        </w:rPr>
        <w:t>公益一类事业单位、使用事业编制且由财政拨款保障的群团组织【</w:t>
      </w:r>
      <w:r>
        <w:rPr>
          <w:rFonts w:hint="eastAsia"/>
          <w:lang w:eastAsia="zh-CN"/>
        </w:rPr>
        <w:t>“</w:t>
      </w:r>
      <w:r>
        <w:rPr>
          <w:rFonts w:hint="eastAsia"/>
          <w:lang w:val="en-US" w:eastAsia="zh-CN"/>
        </w:rPr>
        <w:t>前附表</w:t>
      </w:r>
      <w:r>
        <w:rPr>
          <w:rFonts w:hint="eastAsia"/>
          <w:lang w:eastAsia="zh-CN"/>
        </w:rPr>
        <w:t>”</w:t>
      </w:r>
      <w:r>
        <w:rPr>
          <w:rFonts w:hint="eastAsia"/>
          <w:lang w:val="en-US" w:eastAsia="zh-CN"/>
        </w:rPr>
        <w:t>明确本项目为“政府购买服务项目”的保留，</w:t>
      </w:r>
      <w:r>
        <w:rPr>
          <w:rFonts w:hint="eastAsia"/>
        </w:rPr>
        <w:t>否则删除</w:t>
      </w:r>
      <w:r>
        <w:rPr>
          <w:rFonts w:hint="eastAsia"/>
          <w:lang w:val="en-US" w:eastAsia="zh-CN"/>
        </w:rPr>
        <w:t>本条</w:t>
      </w:r>
      <w:r>
        <w:rPr>
          <w:rFonts w:hint="eastAsia"/>
        </w:rPr>
        <w:t>】</w:t>
      </w:r>
      <w:r>
        <w:rPr>
          <w:rFonts w:hint="eastAsia"/>
          <w:lang w:eastAsia="zh-CN"/>
        </w:rPr>
        <w:t>；</w:t>
      </w:r>
    </w:p>
    <w:p w14:paraId="77335FD5">
      <w:pPr>
        <w:pStyle w:val="39"/>
        <w:ind w:firstLine="480"/>
        <w:jc w:val="left"/>
      </w:pPr>
      <w:r>
        <w:t>9.</w:t>
      </w:r>
      <w:r>
        <w:rPr>
          <w:rFonts w:hint="eastAsia"/>
        </w:rPr>
        <w:t>其他补充说明:</w:t>
      </w:r>
      <w:r>
        <w:rPr>
          <w:rFonts w:hint="default"/>
          <w:i/>
          <w:iCs/>
          <w:u w:val="single"/>
          <w:lang w:eastAsia="zh-Hans"/>
        </w:rPr>
        <w:t xml:space="preserve">                            </w:t>
      </w:r>
      <w:r>
        <w:rPr>
          <w:rFonts w:hint="eastAsia"/>
          <w:i w:val="0"/>
          <w:iCs w:val="0"/>
          <w:u w:val="none"/>
          <w:lang w:eastAsia="zh-CN"/>
        </w:rPr>
        <w:t>【如有其他可能影响合同履行的情形在此处填写，否则</w:t>
      </w:r>
      <w:r>
        <w:rPr>
          <w:rFonts w:hint="eastAsia"/>
          <w:i w:val="0"/>
          <w:iCs w:val="0"/>
          <w:u w:val="none"/>
          <w:lang w:val="en-US" w:eastAsia="zh-CN"/>
        </w:rPr>
        <w:t>删除本条</w:t>
      </w:r>
      <w:r>
        <w:rPr>
          <w:rFonts w:hint="eastAsia"/>
          <w:i w:val="0"/>
          <w:iCs w:val="0"/>
          <w:u w:val="none"/>
          <w:lang w:eastAsia="zh-CN"/>
        </w:rPr>
        <w:t>】</w:t>
      </w:r>
      <w:r>
        <w:rPr>
          <w:rFonts w:hint="eastAsia"/>
        </w:rPr>
        <w:t>。</w:t>
      </w:r>
    </w:p>
    <w:p w14:paraId="6261A911">
      <w:pPr>
        <w:pStyle w:val="39"/>
        <w:ind w:firstLine="480"/>
      </w:pPr>
    </w:p>
    <w:p w14:paraId="26B436C5">
      <w:pPr>
        <w:pStyle w:val="39"/>
        <w:ind w:firstLine="480"/>
      </w:pPr>
    </w:p>
    <w:p w14:paraId="5A13FBD0">
      <w:pPr>
        <w:pStyle w:val="39"/>
        <w:ind w:firstLine="480"/>
        <w:rPr>
          <w:lang w:eastAsia="zh-CN"/>
        </w:rPr>
      </w:pPr>
      <w:r>
        <w:rPr>
          <w:rFonts w:hint="eastAsia"/>
          <w:lang w:eastAsia="zh-CN"/>
        </w:rPr>
        <w:t>我方联系方式：</w:t>
      </w:r>
    </w:p>
    <w:p w14:paraId="17349254">
      <w:pPr>
        <w:pStyle w:val="39"/>
        <w:ind w:firstLine="480"/>
        <w:rPr>
          <w:lang w:eastAsia="zh-CN"/>
        </w:rPr>
      </w:pPr>
      <w:r>
        <w:rPr>
          <w:rFonts w:hint="eastAsia"/>
          <w:lang w:eastAsia="zh-CN"/>
        </w:rPr>
        <w:t>项目联系人：</w:t>
      </w:r>
      <w:r>
        <w:rPr>
          <w:u w:val="single"/>
          <w:lang w:eastAsia="zh-CN"/>
        </w:rPr>
        <w:t xml:space="preserve">                          </w:t>
      </w:r>
    </w:p>
    <w:p w14:paraId="429184F4">
      <w:pPr>
        <w:pStyle w:val="39"/>
        <w:ind w:firstLine="480"/>
        <w:rPr>
          <w:lang w:eastAsia="zh-CN"/>
        </w:rPr>
      </w:pPr>
      <w:r>
        <w:rPr>
          <w:rFonts w:hint="eastAsia"/>
          <w:lang w:eastAsia="zh-CN"/>
        </w:rPr>
        <w:t>联系电话（手机）：</w:t>
      </w:r>
      <w:r>
        <w:rPr>
          <w:u w:val="single"/>
          <w:lang w:eastAsia="zh-CN"/>
        </w:rPr>
        <w:t xml:space="preserve">                    </w:t>
      </w:r>
    </w:p>
    <w:p w14:paraId="2C98A504">
      <w:pPr>
        <w:pStyle w:val="39"/>
        <w:ind w:firstLine="480"/>
        <w:rPr>
          <w:lang w:eastAsia="zh-CN"/>
        </w:rPr>
      </w:pPr>
      <w:r>
        <w:rPr>
          <w:rFonts w:hint="eastAsia"/>
          <w:lang w:eastAsia="zh-CN"/>
        </w:rPr>
        <w:t>联系邮箱：</w:t>
      </w:r>
      <w:r>
        <w:rPr>
          <w:u w:val="single"/>
          <w:lang w:eastAsia="zh-CN"/>
        </w:rPr>
        <w:t xml:space="preserve">                            </w:t>
      </w:r>
    </w:p>
    <w:p w14:paraId="0C0346BC">
      <w:pPr>
        <w:pStyle w:val="39"/>
        <w:ind w:firstLine="480"/>
        <w:rPr>
          <w:lang w:eastAsia="zh-CN"/>
        </w:rPr>
      </w:pPr>
      <w:r>
        <w:rPr>
          <w:rFonts w:hint="eastAsia"/>
          <w:lang w:eastAsia="zh-CN"/>
        </w:rPr>
        <w:t>联系地址：</w:t>
      </w:r>
      <w:r>
        <w:rPr>
          <w:u w:val="single"/>
          <w:lang w:eastAsia="zh-CN"/>
        </w:rPr>
        <w:t xml:space="preserve">                            </w:t>
      </w:r>
    </w:p>
    <w:p w14:paraId="70D53AD4">
      <w:pPr>
        <w:pStyle w:val="39"/>
        <w:ind w:firstLine="480"/>
      </w:pPr>
    </w:p>
    <w:p w14:paraId="18AA50BA">
      <w:pPr>
        <w:pStyle w:val="39"/>
        <w:ind w:firstLine="480"/>
        <w:rPr>
          <w:kern w:val="0"/>
        </w:rPr>
      </w:pPr>
      <w:r>
        <w:rPr>
          <w:rFonts w:hint="eastAsia"/>
          <w:kern w:val="0"/>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0544471F">
      <w:pPr>
        <w:pStyle w:val="39"/>
        <w:ind w:firstLine="480"/>
        <w:rPr>
          <w:kern w:val="0"/>
        </w:rPr>
      </w:pPr>
      <w:r>
        <w:rPr>
          <w:rFonts w:hint="eastAsia"/>
          <w:kern w:val="0"/>
          <w:lang w:eastAsia="zh-CN"/>
        </w:rPr>
        <w:t>法定代表人或授权代表人（</w:t>
      </w:r>
      <w:r>
        <w:rPr>
          <w:rFonts w:hint="eastAsia"/>
        </w:rPr>
        <w:t>电子签名</w:t>
      </w:r>
      <w:r>
        <w:rPr>
          <w:rFonts w:hint="default"/>
        </w:rPr>
        <w:t>/</w:t>
      </w:r>
      <w:r>
        <w:rPr>
          <w:rFonts w:hint="eastAsia"/>
          <w:kern w:val="0"/>
          <w:lang w:eastAsia="zh-CN"/>
        </w:rPr>
        <w:t>签字）</w:t>
      </w:r>
    </w:p>
    <w:p w14:paraId="42BA49D2">
      <w:pPr>
        <w:pStyle w:val="39"/>
        <w:ind w:firstLine="480"/>
        <w:rPr>
          <w:kern w:val="0"/>
        </w:rPr>
      </w:pPr>
      <w:r>
        <w:rPr>
          <w:rFonts w:hint="eastAsia"/>
          <w:kern w:val="0"/>
        </w:rPr>
        <w:t>日期：  年  月   日</w:t>
      </w:r>
    </w:p>
    <w:p w14:paraId="5657ADD6">
      <w:pPr>
        <w:pStyle w:val="39"/>
        <w:bidi w:val="0"/>
      </w:pPr>
      <w:r>
        <w:t xml:space="preserve"> </w:t>
      </w:r>
    </w:p>
    <w:p w14:paraId="6BCE6EB9">
      <w:pPr>
        <w:pStyle w:val="39"/>
        <w:bidi w:val="0"/>
      </w:pPr>
      <w:r>
        <w:br w:type="page"/>
      </w:r>
    </w:p>
    <w:p w14:paraId="6F89ACF1">
      <w:pPr>
        <w:pStyle w:val="41"/>
        <w:numPr>
          <w:ilvl w:val="1"/>
          <w:numId w:val="126"/>
        </w:numPr>
        <w:adjustRightInd/>
        <w:rPr>
          <w:rFonts w:eastAsia="宋体"/>
        </w:rPr>
      </w:pPr>
      <w:bookmarkStart w:id="476" w:name="_Toc695880091"/>
      <w:bookmarkStart w:id="477" w:name="_Toc614635288"/>
      <w:r>
        <w:rPr>
          <w:rFonts w:hint="eastAsia"/>
        </w:rPr>
        <w:t>政府采购供应商廉洁自律承诺书</w:t>
      </w:r>
      <w:bookmarkEnd w:id="476"/>
      <w:bookmarkEnd w:id="477"/>
    </w:p>
    <w:p w14:paraId="5EFC237F">
      <w:pPr>
        <w:pStyle w:val="39"/>
        <w:ind w:firstLine="0" w:firstLineChars="0"/>
      </w:pPr>
      <w:r>
        <w:rPr>
          <w:rFonts w:hint="eastAsia"/>
          <w:color w:val="000000" w:themeColor="text1"/>
          <w:lang w:eastAsia="zh-CN"/>
          <w14:textFill>
            <w14:solidFill>
              <w14:schemeClr w14:val="tx1"/>
            </w14:solidFill>
          </w14:textFill>
        </w:rPr>
        <w:t>浙江省应急管理厅</w:t>
      </w:r>
      <w:r>
        <w:rPr>
          <w:rFonts w:hint="eastAsia"/>
        </w:rPr>
        <w:t>、浙江中勤招标代理有限公司：</w:t>
      </w:r>
    </w:p>
    <w:p w14:paraId="59EAF9D3">
      <w:pPr>
        <w:pStyle w:val="39"/>
        <w:ind w:firstLine="480"/>
      </w:pPr>
      <w:r>
        <w:rPr>
          <w:rFonts w:hint="eastAsia"/>
        </w:rPr>
        <w:t>我单位响应你单位项目招标要求参加投标。在这次投标过程中和中标后，我们将严格遵守国家法律法规要求，并郑重承诺：</w:t>
      </w:r>
    </w:p>
    <w:p w14:paraId="2DFC1A2F">
      <w:pPr>
        <w:pStyle w:val="39"/>
        <w:ind w:firstLine="480"/>
      </w:pPr>
      <w:r>
        <w:rPr>
          <w:rFonts w:hint="eastAsia"/>
        </w:rPr>
        <w:t xml:space="preserve">一、不向项目有关人员及部门赠送礼金礼物、有价证券、回扣以及中介费、介绍费、咨询费等好处费； </w:t>
      </w:r>
    </w:p>
    <w:p w14:paraId="3D027D74">
      <w:pPr>
        <w:pStyle w:val="39"/>
        <w:ind w:firstLine="480"/>
      </w:pPr>
      <w:r>
        <w:rPr>
          <w:rFonts w:hint="eastAsia"/>
        </w:rPr>
        <w:t xml:space="preserve">二、不为项目有关人员及部门报销应由你方单位或个人支付的费用； </w:t>
      </w:r>
    </w:p>
    <w:p w14:paraId="4FABA9D7">
      <w:pPr>
        <w:pStyle w:val="39"/>
        <w:ind w:firstLine="480"/>
      </w:pPr>
      <w:r>
        <w:rPr>
          <w:rFonts w:hint="eastAsia"/>
        </w:rPr>
        <w:t>三</w:t>
      </w:r>
      <w:r>
        <w:rPr>
          <w:rFonts w:hint="eastAsia"/>
          <w:lang w:eastAsia="zh-CN"/>
        </w:rPr>
        <w:t>、</w:t>
      </w:r>
      <w:r>
        <w:rPr>
          <w:rFonts w:hint="eastAsia"/>
        </w:rPr>
        <w:t xml:space="preserve">不向项目有关人员及部门提供有可能影响公正的宴请和健身娱乐等活动； </w:t>
      </w:r>
    </w:p>
    <w:p w14:paraId="26C1A16A">
      <w:pPr>
        <w:pStyle w:val="39"/>
        <w:ind w:firstLine="480"/>
      </w:pPr>
      <w:r>
        <w:rPr>
          <w:rFonts w:hint="eastAsia"/>
        </w:rPr>
        <w:t>四、不为项目有关人员及部门出国（境）、旅游等提供方便；</w:t>
      </w:r>
    </w:p>
    <w:p w14:paraId="0CF89A7A">
      <w:pPr>
        <w:pStyle w:val="39"/>
        <w:ind w:firstLine="480"/>
      </w:pPr>
      <w:r>
        <w:rPr>
          <w:rFonts w:hint="eastAsia"/>
        </w:rPr>
        <w:t>五、不为项目有关人员个人装修住房、婚丧嫁娶、配偶子女工作安排等提供</w:t>
      </w:r>
    </w:p>
    <w:p w14:paraId="27B3156B">
      <w:pPr>
        <w:pStyle w:val="39"/>
        <w:ind w:firstLine="480"/>
      </w:pPr>
      <w:r>
        <w:rPr>
          <w:rFonts w:hint="eastAsia"/>
        </w:rPr>
        <w:t>好处；</w:t>
      </w:r>
    </w:p>
    <w:p w14:paraId="13CEC48D">
      <w:pPr>
        <w:pStyle w:val="39"/>
        <w:ind w:firstLine="480"/>
      </w:pPr>
      <w:r>
        <w:rPr>
          <w:rFonts w:hint="eastAsia"/>
        </w:rPr>
        <w:t xml:space="preserve">六、严格遵守《中华人民共和国政府采购法》《中华人民共和国招标投标法》《中华人民共和国民法典》等法律法规，诚实守信，合法经营，坚决抵制各种违法违纪行为。 </w:t>
      </w:r>
    </w:p>
    <w:p w14:paraId="13C39886">
      <w:pPr>
        <w:pStyle w:val="39"/>
        <w:ind w:firstLine="480"/>
      </w:pPr>
      <w:r>
        <w:rPr>
          <w:rFonts w:hint="eastAsia"/>
        </w:rPr>
        <w:t>如违反上述承诺，你单位有权立即取消我单位投标、中标或在建项目的建设资格，有权拒绝我单位在一定时期内进入你单位进行项目建设或其他经营活动，并通报</w:t>
      </w:r>
      <w:r>
        <w:rPr>
          <w:rFonts w:hint="eastAsia"/>
          <w:lang w:val="en-US" w:eastAsia="zh-Hans"/>
        </w:rPr>
        <w:t>参政监管部门</w:t>
      </w:r>
      <w:r>
        <w:rPr>
          <w:rFonts w:hint="eastAsia"/>
        </w:rPr>
        <w:t>。由此引起的相应损失均由我单位承担。</w:t>
      </w:r>
    </w:p>
    <w:p w14:paraId="646E451C">
      <w:pPr>
        <w:pStyle w:val="39"/>
        <w:ind w:firstLine="480"/>
      </w:pPr>
      <w:r>
        <w:rPr>
          <w:rFonts w:hint="eastAsia"/>
        </w:rPr>
        <w:t xml:space="preserve"> </w:t>
      </w:r>
    </w:p>
    <w:p w14:paraId="7484B3E9">
      <w:pPr>
        <w:pStyle w:val="39"/>
        <w:ind w:firstLine="480"/>
      </w:pPr>
      <w:r>
        <w:rPr>
          <w:rFonts w:hint="eastAsia"/>
        </w:rPr>
        <w:t xml:space="preserve"> </w:t>
      </w:r>
    </w:p>
    <w:p w14:paraId="4D0E4723">
      <w:pPr>
        <w:pStyle w:val="39"/>
        <w:ind w:firstLine="480"/>
      </w:pPr>
      <w:r>
        <w:rPr>
          <w:rFonts w:hint="eastAsia"/>
        </w:rPr>
        <w:t xml:space="preserve"> </w:t>
      </w:r>
    </w:p>
    <w:p w14:paraId="5A9FDB57">
      <w:pPr>
        <w:pStyle w:val="39"/>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2C68EE3C">
      <w:pPr>
        <w:pStyle w:val="39"/>
        <w:ind w:firstLine="480"/>
      </w:pPr>
      <w:r>
        <w:rPr>
          <w:rFonts w:hint="eastAsia"/>
        </w:rPr>
        <w:t>日期：   年   月   日</w:t>
      </w:r>
    </w:p>
    <w:p w14:paraId="175AF427">
      <w:pPr>
        <w:pStyle w:val="39"/>
        <w:bidi w:val="0"/>
      </w:pPr>
      <w:r>
        <w:br w:type="page"/>
      </w:r>
    </w:p>
    <w:p w14:paraId="013B4613">
      <w:pPr>
        <w:pStyle w:val="41"/>
        <w:numPr>
          <w:ilvl w:val="1"/>
          <w:numId w:val="126"/>
        </w:numPr>
        <w:adjustRightInd/>
        <w:rPr>
          <w:sz w:val="30"/>
          <w:szCs w:val="30"/>
        </w:rPr>
      </w:pPr>
      <w:bookmarkStart w:id="478" w:name="_Toc460747875"/>
      <w:bookmarkStart w:id="479" w:name="_Toc778943346"/>
      <w:r>
        <w:rPr>
          <w:rFonts w:hint="eastAsia"/>
        </w:rPr>
        <w:t>法定代表人</w:t>
      </w:r>
      <w:r>
        <w:rPr>
          <w:rFonts w:hint="eastAsia"/>
          <w:sz w:val="30"/>
          <w:szCs w:val="30"/>
        </w:rPr>
        <w:t>身份证明</w:t>
      </w:r>
      <w:bookmarkEnd w:id="478"/>
      <w:bookmarkEnd w:id="479"/>
    </w:p>
    <w:p w14:paraId="556C5226">
      <w:pPr>
        <w:pStyle w:val="39"/>
        <w:ind w:firstLine="0" w:firstLineChars="0"/>
      </w:pPr>
      <w:r>
        <w:rPr>
          <w:rFonts w:hint="eastAsia"/>
          <w:color w:val="000000" w:themeColor="text1"/>
          <w:lang w:eastAsia="zh-CN"/>
          <w14:textFill>
            <w14:solidFill>
              <w14:schemeClr w14:val="tx1"/>
            </w14:solidFill>
          </w14:textFill>
        </w:rPr>
        <w:t>浙江省应急管理厅</w:t>
      </w:r>
      <w:r>
        <w:rPr>
          <w:rFonts w:hint="eastAsia"/>
        </w:rPr>
        <w:t>、浙江中勤招标代理有限公司：</w:t>
      </w:r>
    </w:p>
    <w:p w14:paraId="5B2CEA52">
      <w:pPr>
        <w:pStyle w:val="39"/>
        <w:ind w:firstLine="480"/>
      </w:pPr>
      <w:r>
        <w:rPr>
          <w:rFonts w:hint="eastAsia"/>
          <w:i/>
          <w:iCs/>
          <w:u w:val="single"/>
        </w:rPr>
        <w:t>（姓名）</w:t>
      </w:r>
      <w:r>
        <w:rPr>
          <w:rFonts w:hint="eastAsia"/>
        </w:rPr>
        <w:t>为我方</w:t>
      </w:r>
      <w:r>
        <w:rPr>
          <w:rFonts w:hint="eastAsia"/>
          <w:lang w:eastAsia="zh-CN"/>
        </w:rPr>
        <w:t>法定代表人</w:t>
      </w:r>
      <w:r>
        <w:rPr>
          <w:rFonts w:hint="eastAsia"/>
        </w:rPr>
        <w:t>（身份证号码：</w:t>
      </w:r>
      <w:r>
        <w:rPr>
          <w:rFonts w:hint="eastAsia"/>
          <w:u w:val="single"/>
        </w:rPr>
        <w:t xml:space="preserve">         </w:t>
      </w:r>
      <w:r>
        <w:rPr>
          <w:rFonts w:hint="eastAsia"/>
        </w:rPr>
        <w:t xml:space="preserve"> ，手机：</w:t>
      </w:r>
      <w:r>
        <w:rPr>
          <w:rFonts w:hint="eastAsia"/>
          <w:u w:val="single"/>
        </w:rPr>
        <w:t xml:space="preserve">          </w:t>
      </w:r>
      <w:r>
        <w:rPr>
          <w:rFonts w:hint="eastAsia"/>
        </w:rPr>
        <w:t>）。</w:t>
      </w:r>
    </w:p>
    <w:p w14:paraId="7B9E0D65">
      <w:pPr>
        <w:pStyle w:val="39"/>
        <w:ind w:firstLine="480"/>
      </w:pPr>
      <w:r>
        <w:rPr>
          <w:rFonts w:hint="eastAsia"/>
        </w:rPr>
        <w:t>特此</w:t>
      </w:r>
      <w:r>
        <w:rPr>
          <w:rFonts w:hint="eastAsia"/>
          <w:lang w:eastAsia="zh-CN"/>
        </w:rPr>
        <w:t>证明</w:t>
      </w:r>
      <w:r>
        <w:rPr>
          <w:rFonts w:hint="eastAsia"/>
        </w:rPr>
        <w:t>。</w:t>
      </w:r>
    </w:p>
    <w:p w14:paraId="664C4FF5">
      <w:pPr>
        <w:pStyle w:val="39"/>
        <w:ind w:firstLine="480"/>
      </w:pPr>
    </w:p>
    <w:p w14:paraId="4F8EF80C">
      <w:pPr>
        <w:pStyle w:val="39"/>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33BF16B1">
      <w:pPr>
        <w:pStyle w:val="39"/>
        <w:ind w:firstLine="480"/>
      </w:pPr>
      <w:r>
        <w:rPr>
          <w:rFonts w:hint="eastAsia"/>
        </w:rPr>
        <w:t>日期：  年   月   日</w:t>
      </w:r>
    </w:p>
    <w:p w14:paraId="72E681AE">
      <w:pPr>
        <w:pStyle w:val="39"/>
        <w:ind w:firstLine="480"/>
      </w:pPr>
    </w:p>
    <w:p w14:paraId="7F37D74E">
      <w:pPr>
        <w:pStyle w:val="39"/>
        <w:ind w:firstLine="480"/>
      </w:pPr>
    </w:p>
    <w:p w14:paraId="3E022FE8">
      <w:pPr>
        <w:pStyle w:val="39"/>
        <w:ind w:firstLine="480"/>
        <w:rPr>
          <w:lang w:eastAsia="zh-CN"/>
        </w:rPr>
      </w:pPr>
      <w:r>
        <w:rPr>
          <w:rFonts w:hint="eastAsia"/>
          <w:lang w:eastAsia="zh-CN"/>
        </w:rPr>
        <w:t>附：</w:t>
      </w:r>
    </w:p>
    <w:p w14:paraId="05222F08">
      <w:pPr>
        <w:pStyle w:val="39"/>
        <w:ind w:firstLine="480"/>
        <w:rPr>
          <w:lang w:eastAsia="zh-CN"/>
        </w:rPr>
      </w:pPr>
      <w:r>
        <w:rPr>
          <w:lang w:eastAsia="zh-CN"/>
        </w:rPr>
        <w:t>1.</w:t>
      </w:r>
      <w:r>
        <w:rPr>
          <w:rFonts w:hint="eastAsia"/>
          <w:lang w:eastAsia="zh-CN"/>
        </w:rPr>
        <w:t>法定代表人身份证（正反面）；</w:t>
      </w:r>
    </w:p>
    <w:p w14:paraId="2159287D">
      <w:pPr>
        <w:pStyle w:val="39"/>
        <w:ind w:firstLine="480"/>
      </w:pPr>
    </w:p>
    <w:p w14:paraId="0C7E640D">
      <w:pPr>
        <w:pStyle w:val="39"/>
        <w:ind w:firstLine="480"/>
      </w:pPr>
    </w:p>
    <w:p w14:paraId="54703050">
      <w:pPr>
        <w:pStyle w:val="39"/>
        <w:ind w:firstLine="480"/>
      </w:pPr>
    </w:p>
    <w:p w14:paraId="2EAE1B61">
      <w:pPr>
        <w:pStyle w:val="39"/>
        <w:ind w:firstLine="480"/>
      </w:pPr>
    </w:p>
    <w:p w14:paraId="0B74ACBA">
      <w:pPr>
        <w:pStyle w:val="39"/>
        <w:ind w:firstLine="0" w:firstLineChars="0"/>
      </w:pPr>
      <w:r>
        <w:rPr>
          <w:rFonts w:hint="eastAsia"/>
        </w:rPr>
        <w:t>【</w:t>
      </w:r>
      <w:r>
        <w:rPr>
          <w:rFonts w:hint="eastAsia"/>
          <w:lang w:eastAsia="zh-CN"/>
        </w:rPr>
        <w:t>本格式文本</w:t>
      </w:r>
      <w:r>
        <w:rPr>
          <w:rFonts w:hint="eastAsia"/>
        </w:rPr>
        <w:t>适用于法定代表人、单位负责人或者自然人本人代表投标人参加投标】</w:t>
      </w:r>
      <w:r>
        <w:br w:type="page"/>
      </w:r>
    </w:p>
    <w:p w14:paraId="68A5EAC6">
      <w:pPr>
        <w:pStyle w:val="41"/>
        <w:numPr>
          <w:ilvl w:val="1"/>
          <w:numId w:val="126"/>
        </w:numPr>
        <w:adjustRightInd/>
        <w:rPr>
          <w:sz w:val="21"/>
          <w:szCs w:val="21"/>
        </w:rPr>
      </w:pPr>
      <w:bookmarkStart w:id="480" w:name="_Toc640504110"/>
      <w:bookmarkStart w:id="481" w:name="_Toc2110987690"/>
      <w:r>
        <w:rPr>
          <w:rFonts w:hint="eastAsia"/>
        </w:rPr>
        <w:t>授权委托书</w:t>
      </w:r>
      <w:bookmarkEnd w:id="480"/>
      <w:bookmarkEnd w:id="481"/>
      <w:r>
        <w:rPr>
          <w:rFonts w:hint="eastAsia"/>
        </w:rPr>
        <w:t xml:space="preserve"> </w:t>
      </w:r>
    </w:p>
    <w:p w14:paraId="68FFB61D">
      <w:pPr>
        <w:pStyle w:val="39"/>
        <w:ind w:firstLine="0" w:firstLineChars="0"/>
      </w:pPr>
      <w:r>
        <w:rPr>
          <w:rFonts w:hint="eastAsia"/>
          <w:color w:val="000000" w:themeColor="text1"/>
          <w:lang w:eastAsia="zh-CN"/>
          <w14:textFill>
            <w14:solidFill>
              <w14:schemeClr w14:val="tx1"/>
            </w14:solidFill>
          </w14:textFill>
        </w:rPr>
        <w:t>浙江省应急管理厅</w:t>
      </w:r>
      <w:r>
        <w:rPr>
          <w:rFonts w:hint="eastAsia"/>
        </w:rPr>
        <w:t>、浙江中勤招标代理有限公司：</w:t>
      </w:r>
    </w:p>
    <w:p w14:paraId="01A518A9">
      <w:pPr>
        <w:pStyle w:val="39"/>
        <w:ind w:firstLine="480"/>
      </w:pPr>
      <w:r>
        <w:rPr>
          <w:rFonts w:hint="eastAsia"/>
        </w:rPr>
        <w:t>现委托</w:t>
      </w:r>
      <w:r>
        <w:rPr>
          <w:rFonts w:hint="eastAsia"/>
          <w:i/>
          <w:iCs/>
          <w:u w:val="single"/>
        </w:rPr>
        <w:t>（姓名）</w:t>
      </w:r>
      <w:r>
        <w:rPr>
          <w:rFonts w:hint="eastAsia"/>
        </w:rPr>
        <w:t>为我方代理人（身份证号码：</w:t>
      </w:r>
      <w:r>
        <w:rPr>
          <w:rFonts w:hint="eastAsia"/>
          <w:u w:val="single"/>
        </w:rPr>
        <w:t xml:space="preserve">         </w:t>
      </w:r>
      <w:r>
        <w:rPr>
          <w:rFonts w:hint="eastAsia"/>
        </w:rPr>
        <w:t xml:space="preserve"> ，手机：</w:t>
      </w:r>
      <w:r>
        <w:rPr>
          <w:rFonts w:hint="eastAsia"/>
          <w:u w:val="single"/>
        </w:rPr>
        <w:t xml:space="preserve">          </w:t>
      </w:r>
      <w:r>
        <w:rPr>
          <w:rFonts w:hint="eastAsia"/>
        </w:rPr>
        <w:t>），以我方名义处理</w:t>
      </w:r>
      <w:r>
        <w:rPr>
          <w:rFonts w:hint="eastAsia"/>
          <w:color w:val="000000" w:themeColor="text1"/>
          <w:u w:val="single"/>
          <w:lang w:eastAsia="zh-CN"/>
          <w14:textFill>
            <w14:solidFill>
              <w14:schemeClr w14:val="tx1"/>
            </w14:solidFill>
          </w14:textFill>
        </w:rPr>
        <w:t>浙江省应急管理厅</w:t>
      </w:r>
      <w:r>
        <w:rPr>
          <w:rFonts w:hint="eastAsia"/>
          <w:color w:val="auto"/>
          <w:u w:val="single"/>
          <w:lang w:eastAsia="zh-CN"/>
        </w:rPr>
        <w:t>省级矿山智慧监管平台建设</w:t>
      </w:r>
      <w:r>
        <w:rPr>
          <w:rFonts w:hint="eastAsia"/>
          <w:u w:val="single"/>
        </w:rPr>
        <w:t>项目（项目编号：</w:t>
      </w:r>
      <w:r>
        <w:rPr>
          <w:rFonts w:hint="eastAsia"/>
          <w:color w:val="auto"/>
          <w:u w:val="single"/>
          <w:lang w:eastAsia="zh-CN"/>
        </w:rPr>
        <w:t>ZQ250607ZG</w:t>
      </w:r>
      <w:r>
        <w:rPr>
          <w:rFonts w:hint="eastAsia"/>
          <w:u w:val="single"/>
        </w:rPr>
        <w:t>）</w:t>
      </w:r>
      <w:r>
        <w:rPr>
          <w:rFonts w:hint="eastAsia"/>
          <w:i/>
          <w:iCs/>
          <w:u w:val="single"/>
          <w:lang w:val="en-US" w:eastAsia="zh-Hans"/>
        </w:rPr>
        <w:t>标项序号：…标项名称：…</w:t>
      </w:r>
      <w:r>
        <w:rPr>
          <w:rFonts w:hint="eastAsia"/>
        </w:rPr>
        <w:t>政府采购投标的一切事项，其法律后果由我方承担。</w:t>
      </w:r>
    </w:p>
    <w:p w14:paraId="56507ADA">
      <w:pPr>
        <w:pStyle w:val="39"/>
        <w:ind w:firstLine="480"/>
      </w:pPr>
      <w:r>
        <w:rPr>
          <w:rFonts w:hint="eastAsia"/>
        </w:rPr>
        <w:t>委托期限：自   年 月  日起至  年  月  日止。</w:t>
      </w:r>
    </w:p>
    <w:p w14:paraId="57544F8A">
      <w:pPr>
        <w:pStyle w:val="39"/>
        <w:ind w:firstLine="480"/>
      </w:pPr>
      <w:r>
        <w:rPr>
          <w:rFonts w:hint="eastAsia"/>
        </w:rPr>
        <w:t>特此告知。</w:t>
      </w:r>
    </w:p>
    <w:p w14:paraId="328F3772">
      <w:pPr>
        <w:pStyle w:val="39"/>
        <w:ind w:firstLine="480"/>
      </w:pPr>
    </w:p>
    <w:p w14:paraId="1EC7D403">
      <w:pPr>
        <w:pStyle w:val="39"/>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39DFAD7E">
      <w:pPr>
        <w:pStyle w:val="39"/>
        <w:ind w:firstLine="480"/>
      </w:pP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013809EB">
      <w:pPr>
        <w:pStyle w:val="39"/>
        <w:ind w:firstLine="480"/>
      </w:pPr>
      <w:r>
        <w:rPr>
          <w:rFonts w:hint="eastAsia"/>
        </w:rPr>
        <w:t xml:space="preserve">                          </w:t>
      </w:r>
    </w:p>
    <w:p w14:paraId="7AD6B546">
      <w:pPr>
        <w:pStyle w:val="39"/>
        <w:ind w:firstLine="480"/>
      </w:pPr>
      <w:r>
        <w:rPr>
          <w:rFonts w:hint="eastAsia"/>
        </w:rPr>
        <w:t>日期：  年   月   日</w:t>
      </w:r>
    </w:p>
    <w:p w14:paraId="7B509BCC">
      <w:pPr>
        <w:pStyle w:val="39"/>
        <w:ind w:firstLine="480"/>
      </w:pPr>
    </w:p>
    <w:p w14:paraId="721847B0">
      <w:pPr>
        <w:pStyle w:val="39"/>
        <w:ind w:firstLine="480"/>
        <w:rPr>
          <w:lang w:eastAsia="zh-CN"/>
        </w:rPr>
      </w:pPr>
      <w:r>
        <w:rPr>
          <w:rFonts w:hint="eastAsia"/>
          <w:lang w:eastAsia="zh-CN"/>
        </w:rPr>
        <w:t>附：</w:t>
      </w:r>
    </w:p>
    <w:p w14:paraId="19408278">
      <w:pPr>
        <w:pStyle w:val="39"/>
        <w:ind w:firstLine="480"/>
        <w:rPr>
          <w:lang w:eastAsia="zh-CN"/>
        </w:rPr>
      </w:pPr>
      <w:r>
        <w:rPr>
          <w:lang w:eastAsia="zh-CN"/>
        </w:rPr>
        <w:t>1.</w:t>
      </w:r>
      <w:r>
        <w:rPr>
          <w:rFonts w:hint="eastAsia"/>
          <w:lang w:eastAsia="zh-CN"/>
        </w:rPr>
        <w:t>法定代表人身份证（正反面）；</w:t>
      </w:r>
    </w:p>
    <w:p w14:paraId="7679AE47">
      <w:pPr>
        <w:pStyle w:val="39"/>
        <w:ind w:firstLine="480"/>
        <w:rPr>
          <w:lang w:eastAsia="zh-CN"/>
        </w:rPr>
      </w:pPr>
      <w:r>
        <w:rPr>
          <w:lang w:eastAsia="zh-CN"/>
        </w:rPr>
        <w:t>2.</w:t>
      </w:r>
      <w:r>
        <w:rPr>
          <w:rFonts w:hint="eastAsia"/>
          <w:lang w:eastAsia="zh-CN"/>
        </w:rPr>
        <w:t>授权代表身份证（正反面）。</w:t>
      </w:r>
    </w:p>
    <w:p w14:paraId="04144FFC">
      <w:pPr>
        <w:pStyle w:val="39"/>
        <w:ind w:firstLine="480"/>
      </w:pPr>
    </w:p>
    <w:p w14:paraId="68BAD937">
      <w:pPr>
        <w:pStyle w:val="39"/>
        <w:ind w:firstLine="480"/>
      </w:pPr>
      <w:r>
        <w:rPr>
          <w:rFonts w:hint="eastAsia"/>
        </w:rPr>
        <w:t>【联合体</w:t>
      </w:r>
      <w:r>
        <w:rPr>
          <w:rFonts w:hint="eastAsia"/>
          <w:lang w:eastAsia="zh-CN"/>
        </w:rPr>
        <w:t>投标使用以下落款，并附联合体成员各方法定代表人身份证明（身份证正反面），否则删除下例落款】</w:t>
      </w:r>
    </w:p>
    <w:p w14:paraId="087DA541">
      <w:pPr>
        <w:pStyle w:val="39"/>
        <w:ind w:firstLine="480"/>
      </w:pPr>
      <w:r>
        <w:rPr>
          <w:rFonts w:hint="eastAsia"/>
        </w:rPr>
        <w:t>联合体成员</w:t>
      </w:r>
      <w:r>
        <w:rPr>
          <w:rFonts w:hint="eastAsia"/>
          <w:lang w:eastAsia="zh-CN"/>
        </w:rPr>
        <w:t>1</w:t>
      </w:r>
      <w:r>
        <w:rPr>
          <w:rFonts w:hint="eastAsia"/>
        </w:rPr>
        <w:t>名称(电子签</w:t>
      </w:r>
      <w:r>
        <w:rPr>
          <w:rFonts w:hint="eastAsia"/>
          <w:lang w:eastAsia="zh-CN"/>
        </w:rPr>
        <w:t>章</w:t>
      </w:r>
      <w:r>
        <w:rPr>
          <w:rFonts w:hint="eastAsia"/>
        </w:rPr>
        <w:t>/公章)：</w:t>
      </w:r>
    </w:p>
    <w:p w14:paraId="09D7C65D">
      <w:pPr>
        <w:pStyle w:val="39"/>
        <w:ind w:firstLine="480"/>
      </w:pPr>
      <w:r>
        <w:rPr>
          <w:rFonts w:hint="eastAsia"/>
          <w:lang w:eastAsia="zh-CN"/>
        </w:rPr>
        <w:t>联合体成员1法定代表人（</w:t>
      </w:r>
      <w:r>
        <w:rPr>
          <w:rFonts w:hint="eastAsia"/>
        </w:rPr>
        <w:t>电子签</w:t>
      </w:r>
      <w:r>
        <w:rPr>
          <w:rFonts w:hint="eastAsia"/>
          <w:lang w:val="en-US" w:eastAsia="zh-Hans"/>
        </w:rPr>
        <w:t>名</w:t>
      </w:r>
      <w:r>
        <w:rPr>
          <w:rFonts w:hint="eastAsia"/>
        </w:rPr>
        <w:t>/</w:t>
      </w:r>
      <w:r>
        <w:rPr>
          <w:rFonts w:hint="eastAsia"/>
          <w:lang w:eastAsia="zh-CN"/>
        </w:rPr>
        <w:t>签名）：</w:t>
      </w:r>
    </w:p>
    <w:p w14:paraId="0E0A32E6">
      <w:pPr>
        <w:pStyle w:val="39"/>
        <w:ind w:firstLine="480"/>
      </w:pPr>
      <w:r>
        <w:rPr>
          <w:rFonts w:hint="eastAsia"/>
        </w:rPr>
        <w:t>联合体成员</w:t>
      </w:r>
      <w:r>
        <w:rPr>
          <w:rFonts w:hint="eastAsia"/>
          <w:lang w:eastAsia="zh-CN"/>
        </w:rPr>
        <w:t>2</w:t>
      </w:r>
      <w:r>
        <w:rPr>
          <w:rFonts w:hint="eastAsia"/>
        </w:rPr>
        <w:t>名称(电子签</w:t>
      </w:r>
      <w:r>
        <w:rPr>
          <w:rFonts w:hint="eastAsia"/>
          <w:lang w:eastAsia="zh-CN"/>
        </w:rPr>
        <w:t>章</w:t>
      </w:r>
      <w:r>
        <w:rPr>
          <w:rFonts w:hint="eastAsia"/>
        </w:rPr>
        <w:t>/公章)：</w:t>
      </w:r>
    </w:p>
    <w:p w14:paraId="2377E9AD">
      <w:pPr>
        <w:pStyle w:val="39"/>
        <w:ind w:firstLine="480"/>
        <w:rPr>
          <w:lang w:eastAsia="zh-CN"/>
        </w:rPr>
      </w:pPr>
      <w:r>
        <w:rPr>
          <w:rFonts w:hint="eastAsia"/>
          <w:lang w:eastAsia="zh-CN"/>
        </w:rPr>
        <w:t>联合体成员</w:t>
      </w:r>
      <w:r>
        <w:rPr>
          <w:lang w:eastAsia="zh-CN"/>
        </w:rPr>
        <w:t>2</w:t>
      </w: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20A95FC9">
      <w:pPr>
        <w:pStyle w:val="39"/>
        <w:ind w:firstLine="480"/>
      </w:pPr>
      <w:r>
        <w:rPr>
          <w:rFonts w:hint="eastAsia"/>
          <w:lang w:eastAsia="zh-CN"/>
        </w:rPr>
        <w:t>……</w:t>
      </w:r>
    </w:p>
    <w:p w14:paraId="159A022E">
      <w:pPr>
        <w:pStyle w:val="39"/>
        <w:ind w:firstLine="480"/>
      </w:pPr>
      <w:r>
        <w:rPr>
          <w:rFonts w:hint="eastAsia"/>
        </w:rPr>
        <w:t>日期：  年  月   日</w:t>
      </w:r>
    </w:p>
    <w:p w14:paraId="79CD513A">
      <w:pPr>
        <w:pStyle w:val="39"/>
        <w:ind w:firstLine="0" w:firstLineChars="0"/>
      </w:pPr>
    </w:p>
    <w:p w14:paraId="75839784">
      <w:pPr>
        <w:pStyle w:val="39"/>
        <w:ind w:firstLine="0" w:firstLineChars="0"/>
      </w:pPr>
      <w:r>
        <w:rPr>
          <w:rFonts w:hint="eastAsia"/>
          <w:lang w:eastAsia="zh-CN"/>
        </w:rPr>
        <w:t>【本格式文本适用于由授权代表代表投标人投标，法定代表人、单位负责人或者自然人本人代表投标人参加投标的无需提供】</w:t>
      </w:r>
      <w:r>
        <w:br w:type="page"/>
      </w:r>
    </w:p>
    <w:p w14:paraId="269FA999">
      <w:pPr>
        <w:pStyle w:val="41"/>
        <w:numPr>
          <w:ilvl w:val="1"/>
          <w:numId w:val="126"/>
        </w:numPr>
        <w:adjustRightInd/>
        <w:rPr>
          <w:rFonts w:eastAsia="宋体"/>
        </w:rPr>
      </w:pPr>
      <w:bookmarkStart w:id="482" w:name="_Toc1764538006"/>
      <w:bookmarkStart w:id="483" w:name="_Toc792773743"/>
      <w:r>
        <w:rPr>
          <w:rFonts w:hint="eastAsia"/>
        </w:rPr>
        <w:t>联合协议</w:t>
      </w:r>
      <w:bookmarkEnd w:id="482"/>
      <w:bookmarkEnd w:id="483"/>
    </w:p>
    <w:p w14:paraId="05FBF59C">
      <w:pPr>
        <w:pStyle w:val="39"/>
        <w:bidi w:val="0"/>
      </w:pPr>
      <w:r>
        <w:rPr>
          <w:rFonts w:hint="eastAsia"/>
        </w:rPr>
        <w:t>（联合体所有成员名称）自愿组成一个联合体，以一个投标人的身份参加</w:t>
      </w:r>
      <w:r>
        <w:rPr>
          <w:rFonts w:hint="eastAsia"/>
          <w:lang w:eastAsia="zh-CN"/>
        </w:rPr>
        <w:t>浙江省应急管理厅省级矿山智慧监管平台建设</w:t>
      </w:r>
      <w:r>
        <w:rPr>
          <w:rFonts w:hint="eastAsia"/>
        </w:rPr>
        <w:t>项目（项目编号：</w:t>
      </w:r>
      <w:r>
        <w:rPr>
          <w:rFonts w:hint="eastAsia"/>
          <w:lang w:eastAsia="zh-CN"/>
        </w:rPr>
        <w:t>ZQ250607ZG</w:t>
      </w:r>
      <w:r>
        <w:rPr>
          <w:rFonts w:hint="eastAsia"/>
        </w:rPr>
        <w:t>）</w:t>
      </w:r>
      <w:r>
        <w:rPr>
          <w:rFonts w:hint="eastAsia"/>
          <w:lang w:val="en-US" w:eastAsia="zh-Hans"/>
        </w:rPr>
        <w:t>标项序号：…标项名称：…</w:t>
      </w:r>
      <w:r>
        <w:rPr>
          <w:rFonts w:hint="eastAsia"/>
        </w:rPr>
        <w:t>投标</w:t>
      </w:r>
      <w:r>
        <w:rPr>
          <w:rFonts w:hint="eastAsia"/>
          <w:lang w:eastAsia="zh-Hans"/>
        </w:rPr>
        <w:t>：</w:t>
      </w:r>
      <w:r>
        <w:rPr>
          <w:rFonts w:hint="eastAsia"/>
        </w:rPr>
        <w:t xml:space="preserve"> </w:t>
      </w:r>
    </w:p>
    <w:p w14:paraId="652EE3B0">
      <w:pPr>
        <w:pStyle w:val="39"/>
        <w:bidi w:val="0"/>
      </w:pPr>
      <w:r>
        <w:rPr>
          <w:rFonts w:hint="eastAsia"/>
        </w:rPr>
        <w:t>一、各方一致决定，（某联合体成员名称）为联合体牵头人，代表所有联合体成员负责投标和合同实施阶段的主办、协调工作。</w:t>
      </w:r>
    </w:p>
    <w:p w14:paraId="3F1E9397">
      <w:pPr>
        <w:pStyle w:val="39"/>
        <w:bidi w:val="0"/>
      </w:pPr>
      <w:r>
        <w:rPr>
          <w:rFonts w:hint="eastAsia"/>
        </w:rPr>
        <w:t>二、所有联合体成员各方签署授权书，授权书载明的授权代表根据招标文件规定及投标内容而对采购人、采购机构所作的任何合法承诺，包括书面澄清及相应等均对联合投标各方产生约束力。</w:t>
      </w:r>
    </w:p>
    <w:p w14:paraId="4C38F913">
      <w:pPr>
        <w:pStyle w:val="39"/>
        <w:bidi w:val="0"/>
      </w:pPr>
      <w:r>
        <w:rPr>
          <w:rFonts w:hint="eastAsia"/>
        </w:rPr>
        <w:t>三、本次联合投标中，分工如下：</w:t>
      </w:r>
    </w:p>
    <w:p w14:paraId="1BE7D92E">
      <w:pPr>
        <w:pStyle w:val="39"/>
        <w:bidi w:val="0"/>
      </w:pPr>
      <w:r>
        <w:rPr>
          <w:rFonts w:hint="eastAsia"/>
        </w:rPr>
        <w:t>（联合体成员1）承担的工作和义务为：             ；</w:t>
      </w:r>
    </w:p>
    <w:p w14:paraId="28E420B0">
      <w:pPr>
        <w:pStyle w:val="39"/>
        <w:bidi w:val="0"/>
      </w:pPr>
      <w:r>
        <w:rPr>
          <w:rFonts w:hint="eastAsia"/>
        </w:rPr>
        <w:t>（联合体成员2）承担的工作和义务为：             ；</w:t>
      </w:r>
    </w:p>
    <w:p w14:paraId="1FB54676">
      <w:pPr>
        <w:pStyle w:val="39"/>
        <w:bidi w:val="0"/>
      </w:pPr>
      <w:r>
        <w:rPr>
          <w:rFonts w:hint="eastAsia"/>
        </w:rPr>
        <w:t>……</w:t>
      </w:r>
    </w:p>
    <w:p w14:paraId="029F4113">
      <w:pPr>
        <w:pStyle w:val="39"/>
        <w:bidi w:val="0"/>
      </w:pPr>
      <w:r>
        <w:rPr>
          <w:rFonts w:hint="eastAsia"/>
        </w:rPr>
        <w:t>四、联合体成员中小企业合同份额。</w:t>
      </w:r>
    </w:p>
    <w:p w14:paraId="2C500EC8">
      <w:pPr>
        <w:pStyle w:val="39"/>
        <w:bidi w:val="0"/>
      </w:pPr>
      <w:r>
        <w:rPr>
          <w:rFonts w:hint="eastAsia"/>
        </w:rPr>
        <w:t>1、（联合体成员</w:t>
      </w:r>
      <w:r>
        <w:rPr>
          <w:rFonts w:hint="default"/>
        </w:rPr>
        <w:t>1</w:t>
      </w:r>
      <w:r>
        <w:rPr>
          <w:rFonts w:hint="eastAsia"/>
        </w:rPr>
        <w:t>,……）提供的</w:t>
      </w:r>
      <w:r>
        <w:rPr>
          <w:rFonts w:hint="eastAsia"/>
          <w:lang w:val="en-US" w:eastAsia="zh-CN"/>
        </w:rPr>
        <w:t>服务</w:t>
      </w:r>
      <w:r>
        <w:rPr>
          <w:rFonts w:hint="eastAsia"/>
        </w:rPr>
        <w:t>全部由小微企业</w:t>
      </w:r>
      <w:r>
        <w:rPr>
          <w:rFonts w:hint="eastAsia"/>
          <w:lang w:val="en-US" w:eastAsia="zh-CN"/>
        </w:rPr>
        <w:t>承接</w:t>
      </w:r>
      <w:r>
        <w:rPr>
          <w:rFonts w:hint="eastAsia"/>
        </w:rPr>
        <w:t>，其合同份额占到合同总金额     %；……。</w:t>
      </w:r>
    </w:p>
    <w:p w14:paraId="1BAC4DEB">
      <w:pPr>
        <w:pStyle w:val="39"/>
        <w:bidi w:val="0"/>
        <w:rPr>
          <w:rFonts w:hint="eastAsia"/>
        </w:rPr>
      </w:pPr>
      <w:r>
        <w:rPr>
          <w:rFonts w:hint="eastAsia"/>
        </w:rPr>
        <w:t>2、中小企业合同金额达到  %，小微企业合同金额达到 %。</w:t>
      </w:r>
    </w:p>
    <w:p w14:paraId="7E3CF512">
      <w:pPr>
        <w:pStyle w:val="39"/>
        <w:bidi w:val="0"/>
      </w:pPr>
      <w:r>
        <w:rPr>
          <w:rFonts w:hint="eastAsia"/>
        </w:rPr>
        <w:t>五、如果中标，联合体各成员方共同与采购人签订合同，并就采购合同约定的事项对采购人承担连带责任。</w:t>
      </w:r>
    </w:p>
    <w:p w14:paraId="0CE49B3E">
      <w:pPr>
        <w:pStyle w:val="39"/>
        <w:bidi w:val="0"/>
      </w:pPr>
      <w:r>
        <w:rPr>
          <w:rFonts w:hint="eastAsia"/>
        </w:rPr>
        <w:t>六、有关本次联合投标的其他事宜：</w:t>
      </w:r>
    </w:p>
    <w:p w14:paraId="5DA4E0A0">
      <w:pPr>
        <w:pStyle w:val="39"/>
        <w:bidi w:val="0"/>
      </w:pPr>
      <w:r>
        <w:rPr>
          <w:rFonts w:hint="eastAsia"/>
        </w:rPr>
        <w:t>1、联合体各方不再单独参加或者与其他供应商另外组成联合体参加同一合同项下的政府采购活动。</w:t>
      </w:r>
    </w:p>
    <w:p w14:paraId="41A761E2">
      <w:pPr>
        <w:pStyle w:val="39"/>
        <w:bidi w:val="0"/>
      </w:pPr>
      <w:r>
        <w:rPr>
          <w:rFonts w:hint="eastAsia"/>
        </w:rPr>
        <w:t>2、联合体中有同类资质的各方按照联合体分工承担相同工作的，按照资质等级较低的供应商确定资质等级。</w:t>
      </w:r>
    </w:p>
    <w:p w14:paraId="2CD141BE">
      <w:pPr>
        <w:pStyle w:val="39"/>
        <w:bidi w:val="0"/>
      </w:pPr>
      <w:r>
        <w:rPr>
          <w:rFonts w:hint="eastAsia"/>
        </w:rPr>
        <w:t>3、本协议提交采购人、采购机构后，联合体各方不得以任何形式对上述内容进行修改或撤销。</w:t>
      </w:r>
    </w:p>
    <w:p w14:paraId="32218E6C">
      <w:pPr>
        <w:pStyle w:val="39"/>
        <w:bidi w:val="0"/>
      </w:pPr>
    </w:p>
    <w:p w14:paraId="45E03231">
      <w:pPr>
        <w:pStyle w:val="39"/>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1</w:t>
      </w:r>
      <w:r>
        <w:rPr>
          <w:rFonts w:hint="eastAsia"/>
          <w:sz w:val="24"/>
          <w:szCs w:val="24"/>
        </w:rPr>
        <w:t>名称(电子签</w:t>
      </w:r>
      <w:r>
        <w:rPr>
          <w:rFonts w:hint="eastAsia"/>
          <w:sz w:val="24"/>
          <w:szCs w:val="24"/>
          <w:lang w:eastAsia="zh-CN"/>
        </w:rPr>
        <w:t>章</w:t>
      </w:r>
      <w:r>
        <w:rPr>
          <w:rFonts w:hint="eastAsia"/>
          <w:sz w:val="24"/>
          <w:szCs w:val="24"/>
        </w:rPr>
        <w:t>/公章)：</w:t>
      </w:r>
    </w:p>
    <w:p w14:paraId="5D1D32C9">
      <w:pPr>
        <w:pStyle w:val="39"/>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2</w:t>
      </w:r>
      <w:r>
        <w:rPr>
          <w:rFonts w:hint="eastAsia"/>
          <w:sz w:val="24"/>
          <w:szCs w:val="24"/>
        </w:rPr>
        <w:t>名称(电子签</w:t>
      </w:r>
      <w:r>
        <w:rPr>
          <w:rFonts w:hint="eastAsia"/>
          <w:sz w:val="24"/>
          <w:szCs w:val="24"/>
          <w:lang w:eastAsia="zh-CN"/>
        </w:rPr>
        <w:t>章</w:t>
      </w:r>
      <w:r>
        <w:rPr>
          <w:rFonts w:hint="eastAsia"/>
          <w:sz w:val="24"/>
          <w:szCs w:val="24"/>
        </w:rPr>
        <w:t>/公章)：</w:t>
      </w:r>
    </w:p>
    <w:p w14:paraId="237BF11E">
      <w:pPr>
        <w:pStyle w:val="39"/>
        <w:ind w:firstLine="480"/>
      </w:pPr>
      <w:r>
        <w:rPr>
          <w:rFonts w:hint="eastAsia"/>
          <w:lang w:eastAsia="zh-CN"/>
        </w:rPr>
        <w:t>……</w:t>
      </w:r>
    </w:p>
    <w:p w14:paraId="6ED9F542">
      <w:pPr>
        <w:pStyle w:val="39"/>
        <w:ind w:firstLine="480"/>
      </w:pPr>
      <w:r>
        <w:rPr>
          <w:rFonts w:hint="eastAsia"/>
        </w:rPr>
        <w:t>日期：  年  月   日</w:t>
      </w:r>
    </w:p>
    <w:p w14:paraId="66B20059">
      <w:pPr>
        <w:pStyle w:val="39"/>
        <w:bidi w:val="0"/>
      </w:pPr>
    </w:p>
    <w:p w14:paraId="6872849B">
      <w:pPr>
        <w:pStyle w:val="39"/>
        <w:bidi w:val="0"/>
      </w:pPr>
      <w:r>
        <w:rPr>
          <w:rFonts w:hint="eastAsia"/>
        </w:rPr>
        <w:t>【以联合体形式投标的，提供联合协议；本项目不接受联合体投标或者投标人不以联合体形式投标的，则不需要提供】</w:t>
      </w:r>
    </w:p>
    <w:p w14:paraId="07833D8B">
      <w:pPr>
        <w:pStyle w:val="39"/>
        <w:bidi w:val="0"/>
      </w:pPr>
      <w:r>
        <w:br w:type="page"/>
      </w:r>
    </w:p>
    <w:p w14:paraId="7A7CAF2D">
      <w:pPr>
        <w:pStyle w:val="41"/>
        <w:numPr>
          <w:ilvl w:val="1"/>
          <w:numId w:val="126"/>
        </w:numPr>
        <w:adjustRightInd/>
        <w:rPr>
          <w:kern w:val="0"/>
        </w:rPr>
      </w:pPr>
      <w:bookmarkStart w:id="484" w:name="_Toc1159752613"/>
      <w:bookmarkStart w:id="485" w:name="_Toc1988585419"/>
      <w:r>
        <w:rPr>
          <w:rFonts w:hint="eastAsia"/>
          <w:kern w:val="0"/>
        </w:rPr>
        <w:t>分包意向协议</w:t>
      </w:r>
      <w:bookmarkEnd w:id="484"/>
      <w:bookmarkEnd w:id="485"/>
    </w:p>
    <w:p w14:paraId="32133CC2">
      <w:pPr>
        <w:pStyle w:val="39"/>
        <w:ind w:firstLine="480"/>
      </w:pPr>
      <w:r>
        <w:rPr>
          <w:rFonts w:hint="eastAsia"/>
          <w:i/>
          <w:iCs/>
          <w:u w:val="single"/>
        </w:rPr>
        <w:t>（投标人名称）</w:t>
      </w:r>
      <w:r>
        <w:rPr>
          <w:rFonts w:hint="eastAsia"/>
        </w:rPr>
        <w:t>若成为</w:t>
      </w:r>
      <w:r>
        <w:rPr>
          <w:rFonts w:hint="eastAsia"/>
          <w:color w:val="000000" w:themeColor="text1"/>
          <w:u w:val="single"/>
          <w:lang w:eastAsia="zh-CN"/>
          <w14:textFill>
            <w14:solidFill>
              <w14:schemeClr w14:val="tx1"/>
            </w14:solidFill>
          </w14:textFill>
        </w:rPr>
        <w:t>浙江省应急管理厅</w:t>
      </w:r>
      <w:r>
        <w:rPr>
          <w:rFonts w:hint="eastAsia"/>
          <w:color w:val="auto"/>
          <w:u w:val="single"/>
          <w:lang w:eastAsia="zh-CN"/>
        </w:rPr>
        <w:t>省级矿山智慧监管平台建设</w:t>
      </w:r>
      <w:r>
        <w:rPr>
          <w:rFonts w:hint="eastAsia"/>
          <w:u w:val="single"/>
        </w:rPr>
        <w:t>项目（项目编号：</w:t>
      </w:r>
      <w:r>
        <w:rPr>
          <w:rFonts w:hint="eastAsia"/>
          <w:color w:val="auto"/>
          <w:u w:val="single"/>
          <w:lang w:eastAsia="zh-CN"/>
        </w:rPr>
        <w:t>ZQ250607ZG</w:t>
      </w:r>
      <w:r>
        <w:rPr>
          <w:rFonts w:hint="eastAsia"/>
          <w:u w:val="single"/>
        </w:rPr>
        <w:t>）</w:t>
      </w:r>
      <w:r>
        <w:rPr>
          <w:rFonts w:hint="eastAsia"/>
          <w:i/>
          <w:iCs/>
          <w:u w:val="single"/>
          <w:lang w:val="en-US" w:eastAsia="zh-Hans"/>
        </w:rPr>
        <w:t>标项序号：…标项名称：…</w:t>
      </w:r>
      <w:r>
        <w:rPr>
          <w:rFonts w:hint="eastAsia"/>
        </w:rPr>
        <w:t>的中标供应商，将依法采取分包方式履行合同。</w:t>
      </w:r>
      <w:r>
        <w:rPr>
          <w:rFonts w:hint="eastAsia"/>
          <w:i/>
          <w:iCs/>
          <w:u w:val="single"/>
        </w:rPr>
        <w:t>（投标人名称）</w:t>
      </w:r>
      <w:r>
        <w:rPr>
          <w:rFonts w:hint="eastAsia"/>
        </w:rPr>
        <w:t>与</w:t>
      </w:r>
      <w:r>
        <w:rPr>
          <w:rFonts w:hint="eastAsia"/>
          <w:i/>
          <w:iCs/>
          <w:u w:val="single"/>
        </w:rPr>
        <w:t>（所有分包供应商名称）</w:t>
      </w:r>
      <w:r>
        <w:rPr>
          <w:rFonts w:hint="eastAsia"/>
        </w:rPr>
        <w:t xml:space="preserve">达成分包意向协议。 </w:t>
      </w:r>
    </w:p>
    <w:p w14:paraId="0DC0A53B">
      <w:pPr>
        <w:pStyle w:val="39"/>
        <w:ind w:firstLine="480"/>
      </w:pPr>
      <w:r>
        <w:rPr>
          <w:rFonts w:hint="eastAsia"/>
        </w:rPr>
        <w:t>一、分包标的及数量</w:t>
      </w:r>
    </w:p>
    <w:p w14:paraId="5BFF9F7D">
      <w:pPr>
        <w:pStyle w:val="39"/>
        <w:ind w:firstLine="480"/>
      </w:pPr>
      <w:r>
        <w:rPr>
          <w:rFonts w:hint="eastAsia"/>
          <w:i/>
          <w:iCs/>
          <w:u w:val="single"/>
        </w:rPr>
        <w:t>（投标人名称）</w:t>
      </w:r>
      <w:r>
        <w:rPr>
          <w:rFonts w:hint="eastAsia"/>
        </w:rPr>
        <w:t>将</w:t>
      </w:r>
      <w:r>
        <w:rPr>
          <w:rFonts w:hint="eastAsia"/>
          <w:i/>
          <w:iCs/>
          <w:u w:val="single"/>
        </w:rPr>
        <w:t xml:space="preserve">   工作内容   </w:t>
      </w:r>
      <w:r>
        <w:rPr>
          <w:rFonts w:hint="eastAsia"/>
        </w:rPr>
        <w:t>分包给</w:t>
      </w:r>
      <w:r>
        <w:rPr>
          <w:rFonts w:hint="eastAsia"/>
          <w:i/>
          <w:iCs/>
          <w:u w:val="single"/>
        </w:rPr>
        <w:t>（分包供应商1名称）</w:t>
      </w:r>
      <w:r>
        <w:rPr>
          <w:rFonts w:hint="eastAsia"/>
        </w:rPr>
        <w:t>，</w:t>
      </w:r>
      <w:r>
        <w:rPr>
          <w:rFonts w:hint="eastAsia"/>
          <w:i/>
          <w:iCs/>
          <w:u w:val="single"/>
        </w:rPr>
        <w:t>（分包供应商1名称）</w:t>
      </w:r>
      <w:r>
        <w:rPr>
          <w:rFonts w:hint="eastAsia"/>
        </w:rPr>
        <w:t>，</w:t>
      </w:r>
      <w:r>
        <w:rPr>
          <w:rFonts w:hint="eastAsia"/>
          <w:lang w:val="en-US" w:eastAsia="zh-Hans"/>
        </w:rPr>
        <w:t>该供应商</w:t>
      </w:r>
      <w:r>
        <w:rPr>
          <w:rFonts w:hint="eastAsia"/>
        </w:rPr>
        <w:t>具备承担XX工作内容相应资质条件且</w:t>
      </w:r>
      <w:r>
        <w:rPr>
          <w:rFonts w:hint="eastAsia"/>
          <w:lang w:eastAsia="zh-CN"/>
        </w:rPr>
        <w:t>承诺</w:t>
      </w:r>
      <w:r>
        <w:rPr>
          <w:rFonts w:hint="eastAsia"/>
          <w:lang w:val="en-US" w:eastAsia="zh-Hans"/>
        </w:rPr>
        <w:t>不</w:t>
      </w:r>
      <w:r>
        <w:rPr>
          <w:rFonts w:hint="eastAsia"/>
        </w:rPr>
        <w:t>再次分包；</w:t>
      </w:r>
    </w:p>
    <w:p w14:paraId="383BAEEB">
      <w:pPr>
        <w:pStyle w:val="39"/>
        <w:ind w:firstLine="480"/>
      </w:pPr>
      <w:r>
        <w:rPr>
          <w:rFonts w:hint="eastAsia"/>
        </w:rPr>
        <w:t>……</w:t>
      </w:r>
    </w:p>
    <w:p w14:paraId="3CF418B7">
      <w:pPr>
        <w:pStyle w:val="39"/>
        <w:ind w:firstLine="480"/>
      </w:pPr>
      <w:r>
        <w:rPr>
          <w:rFonts w:hint="eastAsia"/>
        </w:rPr>
        <w:t>二、分包供应商中小企业合同份额</w:t>
      </w:r>
    </w:p>
    <w:p w14:paraId="6730C0C0">
      <w:pPr>
        <w:pStyle w:val="39"/>
        <w:ind w:firstLine="480"/>
      </w:pPr>
      <w:r>
        <w:rPr>
          <w:rFonts w:hint="eastAsia"/>
        </w:rPr>
        <w:t>1、</w:t>
      </w:r>
      <w:r>
        <w:rPr>
          <w:rFonts w:hint="eastAsia"/>
          <w:i/>
          <w:iCs/>
          <w:u w:val="single"/>
        </w:rPr>
        <w:t>（分包供应商</w:t>
      </w:r>
      <w:r>
        <w:rPr>
          <w:rFonts w:hint="default"/>
          <w:i/>
          <w:iCs/>
          <w:u w:val="single"/>
        </w:rPr>
        <w:t>1</w:t>
      </w:r>
      <w:r>
        <w:rPr>
          <w:rFonts w:hint="eastAsia"/>
          <w:i/>
          <w:iCs/>
          <w:u w:val="single"/>
        </w:rPr>
        <w:t>,……）</w:t>
      </w:r>
      <w:r>
        <w:rPr>
          <w:rFonts w:hint="eastAsia"/>
        </w:rPr>
        <w:t>提供的</w:t>
      </w:r>
      <w:r>
        <w:rPr>
          <w:rFonts w:hint="eastAsia"/>
          <w:lang w:val="en-US" w:eastAsia="zh-CN"/>
        </w:rPr>
        <w:t>服务</w:t>
      </w:r>
      <w:r>
        <w:rPr>
          <w:rFonts w:hint="eastAsia"/>
        </w:rPr>
        <w:t>全部由小微企业</w:t>
      </w:r>
      <w:r>
        <w:rPr>
          <w:rFonts w:hint="eastAsia"/>
          <w:lang w:val="en-US" w:eastAsia="zh-CN"/>
        </w:rPr>
        <w:t>承接</w:t>
      </w:r>
      <w:r>
        <w:rPr>
          <w:rFonts w:hint="eastAsia"/>
        </w:rPr>
        <w:t>，其合同份额占到合同总金额     %。</w:t>
      </w:r>
    </w:p>
    <w:p w14:paraId="58ACB0D1">
      <w:pPr>
        <w:pStyle w:val="39"/>
        <w:ind w:firstLine="480"/>
        <w:rPr>
          <w:rFonts w:hint="eastAsia"/>
        </w:rPr>
      </w:pPr>
      <w:r>
        <w:rPr>
          <w:rFonts w:hint="eastAsia"/>
        </w:rPr>
        <w:t>2、中小企业合同金额达到  %，小微企业合同金额达到 %。</w:t>
      </w:r>
    </w:p>
    <w:p w14:paraId="10F67CF0">
      <w:pPr>
        <w:pStyle w:val="39"/>
        <w:ind w:firstLine="480"/>
      </w:pPr>
      <w:r>
        <w:rPr>
          <w:rFonts w:hint="eastAsia"/>
        </w:rPr>
        <w:t>三、分包工作履行期限、地点、方式</w:t>
      </w:r>
    </w:p>
    <w:p w14:paraId="337CDEAC">
      <w:pPr>
        <w:pStyle w:val="39"/>
        <w:ind w:firstLine="480"/>
        <w:rPr>
          <w:rFonts w:hint="eastAsia" w:eastAsia="宋体"/>
          <w:lang w:eastAsia="zh-Hans"/>
        </w:rPr>
      </w:pPr>
      <w:r>
        <w:rPr>
          <w:rFonts w:hint="eastAsia"/>
          <w:lang w:eastAsia="zh-Hans"/>
        </w:rPr>
        <w:t>……</w:t>
      </w:r>
    </w:p>
    <w:p w14:paraId="5E721CF6">
      <w:pPr>
        <w:pStyle w:val="39"/>
        <w:ind w:firstLine="480"/>
      </w:pPr>
      <w:r>
        <w:rPr>
          <w:rFonts w:hint="eastAsia"/>
        </w:rPr>
        <w:t>四、质量</w:t>
      </w:r>
    </w:p>
    <w:p w14:paraId="6EA1A3C1">
      <w:pPr>
        <w:pStyle w:val="39"/>
        <w:ind w:firstLine="480"/>
      </w:pPr>
      <w:r>
        <w:rPr>
          <w:rFonts w:hint="eastAsia"/>
          <w:lang w:eastAsia="zh-Hans"/>
        </w:rPr>
        <w:t>……</w:t>
      </w:r>
    </w:p>
    <w:p w14:paraId="57880766">
      <w:pPr>
        <w:pStyle w:val="39"/>
        <w:ind w:firstLine="480"/>
      </w:pPr>
      <w:r>
        <w:rPr>
          <w:rFonts w:hint="eastAsia"/>
        </w:rPr>
        <w:t>五、价款或者报酬</w:t>
      </w:r>
    </w:p>
    <w:p w14:paraId="56CBFA31">
      <w:pPr>
        <w:pStyle w:val="39"/>
        <w:ind w:firstLine="480"/>
        <w:rPr>
          <w:rFonts w:hint="eastAsia" w:eastAsia="宋体"/>
          <w:lang w:eastAsia="zh-Hans"/>
        </w:rPr>
      </w:pPr>
      <w:r>
        <w:rPr>
          <w:rFonts w:hint="eastAsia"/>
          <w:lang w:eastAsia="zh-Hans"/>
        </w:rPr>
        <w:t>……</w:t>
      </w:r>
    </w:p>
    <w:p w14:paraId="45DA2C1F">
      <w:pPr>
        <w:pStyle w:val="39"/>
        <w:ind w:firstLine="480"/>
      </w:pPr>
      <w:r>
        <w:rPr>
          <w:rFonts w:hint="eastAsia"/>
        </w:rPr>
        <w:t>六、违约责任</w:t>
      </w:r>
    </w:p>
    <w:p w14:paraId="41BE2954">
      <w:pPr>
        <w:pStyle w:val="39"/>
        <w:ind w:firstLine="480"/>
        <w:rPr>
          <w:rFonts w:hint="eastAsia"/>
          <w:lang w:eastAsia="zh-Hans"/>
        </w:rPr>
      </w:pPr>
      <w:r>
        <w:rPr>
          <w:rFonts w:hint="eastAsia"/>
          <w:lang w:eastAsia="zh-Hans"/>
        </w:rPr>
        <w:t>……</w:t>
      </w:r>
    </w:p>
    <w:p w14:paraId="5A7C2E84">
      <w:pPr>
        <w:pStyle w:val="39"/>
        <w:ind w:firstLine="480"/>
      </w:pPr>
      <w:r>
        <w:rPr>
          <w:rFonts w:hint="eastAsia"/>
        </w:rPr>
        <w:t>七、争议解决的办法</w:t>
      </w:r>
    </w:p>
    <w:p w14:paraId="1E8DDBD7">
      <w:pPr>
        <w:pStyle w:val="39"/>
        <w:ind w:firstLine="480"/>
        <w:rPr>
          <w:rFonts w:hint="eastAsia"/>
          <w:lang w:eastAsia="zh-Hans"/>
        </w:rPr>
      </w:pPr>
      <w:r>
        <w:rPr>
          <w:rFonts w:hint="eastAsia"/>
          <w:lang w:eastAsia="zh-Hans"/>
        </w:rPr>
        <w:t>……</w:t>
      </w:r>
    </w:p>
    <w:p w14:paraId="7B7B9D17">
      <w:pPr>
        <w:pStyle w:val="39"/>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6BD83B08">
      <w:pPr>
        <w:pStyle w:val="39"/>
        <w:ind w:firstLine="480"/>
      </w:pPr>
      <w:r>
        <w:rPr>
          <w:rFonts w:hint="eastAsia"/>
        </w:rPr>
        <w:t>分包供应商名称（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0E5D9CEC">
      <w:pPr>
        <w:pStyle w:val="39"/>
        <w:ind w:firstLine="480"/>
      </w:pPr>
      <w:r>
        <w:rPr>
          <w:rFonts w:hint="eastAsia"/>
        </w:rPr>
        <w:t>……</w:t>
      </w:r>
    </w:p>
    <w:p w14:paraId="3D4F5AEE">
      <w:pPr>
        <w:pStyle w:val="39"/>
        <w:ind w:firstLine="480"/>
      </w:pPr>
      <w:r>
        <w:rPr>
          <w:rFonts w:hint="eastAsia"/>
        </w:rPr>
        <w:t>日期：  年  月   日</w:t>
      </w:r>
    </w:p>
    <w:p w14:paraId="5A285B7F">
      <w:pPr>
        <w:pStyle w:val="39"/>
        <w:ind w:firstLine="0" w:firstLineChars="0"/>
      </w:pPr>
    </w:p>
    <w:p w14:paraId="3B63E7F0">
      <w:pPr>
        <w:pStyle w:val="39"/>
        <w:ind w:firstLine="0" w:firstLineChars="0"/>
      </w:pPr>
    </w:p>
    <w:p w14:paraId="32F9EDA5">
      <w:pPr>
        <w:pStyle w:val="39"/>
        <w:ind w:firstLine="0" w:firstLineChars="0"/>
      </w:pPr>
      <w:r>
        <w:rPr>
          <w:rFonts w:hint="eastAsia"/>
          <w:lang w:eastAsia="zh-CN"/>
        </w:rPr>
        <w:t>【</w:t>
      </w:r>
      <w:r>
        <w:rPr>
          <w:rFonts w:hint="eastAsia"/>
        </w:rPr>
        <w:t>中标后以分包方式履行合同的，提供分包意向协议；</w:t>
      </w:r>
      <w:r>
        <w:rPr>
          <w:rFonts w:hint="eastAsia"/>
          <w:lang w:val="en-US" w:eastAsia="zh-Hans"/>
        </w:rPr>
        <w:t>招标</w:t>
      </w:r>
      <w:r>
        <w:rPr>
          <w:rFonts w:hint="eastAsia"/>
        </w:rPr>
        <w:t>人不同意分包或者投标人中标后不以分包方式履行合同的，则不需要提供。</w:t>
      </w:r>
      <w:r>
        <w:rPr>
          <w:rFonts w:hint="eastAsia"/>
          <w:lang w:eastAsia="zh-CN"/>
        </w:rPr>
        <w:t>】</w:t>
      </w:r>
    </w:p>
    <w:p w14:paraId="4E270FCA">
      <w:pPr>
        <w:pStyle w:val="39"/>
        <w:bidi w:val="0"/>
      </w:pPr>
    </w:p>
    <w:p w14:paraId="55EE282F">
      <w:pPr>
        <w:pStyle w:val="39"/>
        <w:bidi w:val="0"/>
        <w:rPr>
          <w:lang w:eastAsia="zh-Hans"/>
        </w:rPr>
      </w:pPr>
      <w:r>
        <w:br w:type="page"/>
      </w:r>
    </w:p>
    <w:p w14:paraId="50DC105D">
      <w:pPr>
        <w:pStyle w:val="41"/>
        <w:numPr>
          <w:ilvl w:val="1"/>
          <w:numId w:val="126"/>
        </w:numPr>
        <w:adjustRightInd/>
        <w:rPr>
          <w:highlight w:val="none"/>
        </w:rPr>
      </w:pPr>
      <w:bookmarkStart w:id="486" w:name="_Toc1400586519"/>
      <w:bookmarkStart w:id="487" w:name="_Toc867138872"/>
      <w:r>
        <w:rPr>
          <w:rFonts w:hint="eastAsia"/>
          <w:highlight w:val="none"/>
        </w:rPr>
        <w:t>开标一览表（报价表）</w:t>
      </w:r>
      <w:bookmarkEnd w:id="486"/>
      <w:bookmarkEnd w:id="487"/>
    </w:p>
    <w:p w14:paraId="6C25C9F6">
      <w:pPr>
        <w:pStyle w:val="39"/>
        <w:ind w:firstLine="0" w:firstLineChars="0"/>
      </w:pPr>
      <w:r>
        <w:rPr>
          <w:rFonts w:hint="eastAsia"/>
          <w:color w:val="000000" w:themeColor="text1"/>
          <w:lang w:eastAsia="zh-CN"/>
          <w14:textFill>
            <w14:solidFill>
              <w14:schemeClr w14:val="tx1"/>
            </w14:solidFill>
          </w14:textFill>
        </w:rPr>
        <w:t>浙江省应急管理厅</w:t>
      </w:r>
      <w:r>
        <w:rPr>
          <w:rFonts w:hint="eastAsia"/>
        </w:rPr>
        <w:t>、浙江中勤招标代理有限公司：</w:t>
      </w:r>
    </w:p>
    <w:p w14:paraId="1A67B62C">
      <w:pPr>
        <w:pStyle w:val="39"/>
        <w:ind w:firstLine="480"/>
      </w:pPr>
      <w:r>
        <w:rPr>
          <w:rFonts w:hint="eastAsia"/>
        </w:rPr>
        <w:t>按你方招标文件要求，我们，本投标文件签字方，谨此向你方发出要约如下：如你方接受本投标，我方承诺按照如下开标一览表（报价表）的价格完成</w:t>
      </w:r>
      <w:r>
        <w:rPr>
          <w:rFonts w:hint="eastAsia"/>
          <w:color w:val="000000" w:themeColor="text1"/>
          <w:u w:val="single"/>
          <w:lang w:eastAsia="zh-CN"/>
          <w14:textFill>
            <w14:solidFill>
              <w14:schemeClr w14:val="tx1"/>
            </w14:solidFill>
          </w14:textFill>
        </w:rPr>
        <w:t>浙江省应急管理厅</w:t>
      </w:r>
      <w:r>
        <w:rPr>
          <w:rFonts w:hint="eastAsia"/>
          <w:color w:val="auto"/>
          <w:u w:val="single"/>
          <w:lang w:eastAsia="zh-CN"/>
        </w:rPr>
        <w:t>省级矿山智慧监管平台建设</w:t>
      </w:r>
      <w:r>
        <w:rPr>
          <w:rFonts w:hint="eastAsia"/>
          <w:u w:val="single"/>
        </w:rPr>
        <w:t>项目（项目编号：</w:t>
      </w:r>
      <w:r>
        <w:rPr>
          <w:rFonts w:hint="eastAsia"/>
          <w:color w:val="auto"/>
          <w:u w:val="single"/>
          <w:lang w:eastAsia="zh-CN"/>
        </w:rPr>
        <w:t>ZQ250607ZG</w:t>
      </w:r>
      <w:r>
        <w:rPr>
          <w:rFonts w:hint="eastAsia"/>
          <w:u w:val="single"/>
        </w:rPr>
        <w:t>）</w:t>
      </w:r>
      <w:r>
        <w:rPr>
          <w:rFonts w:hint="eastAsia"/>
          <w:i/>
          <w:iCs/>
          <w:u w:val="single"/>
          <w:lang w:val="en-US" w:eastAsia="zh-Hans"/>
        </w:rPr>
        <w:t>标项序号：…标项名称：…</w:t>
      </w:r>
      <w:r>
        <w:rPr>
          <w:rFonts w:hint="eastAsia"/>
        </w:rPr>
        <w:t>的实施。</w:t>
      </w:r>
    </w:p>
    <w:p w14:paraId="016EF625">
      <w:pPr>
        <w:pStyle w:val="39"/>
        <w:bidi w:val="0"/>
      </w:pPr>
      <w:r>
        <w:rPr>
          <w:rFonts w:hint="eastAsia"/>
        </w:rPr>
        <w:t>开标一览表（报价表）(单位均为人民币元)</w:t>
      </w:r>
    </w:p>
    <w:tbl>
      <w:tblPr>
        <w:tblStyle w:val="28"/>
        <w:tblW w:w="5000" w:type="pct"/>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836"/>
        <w:gridCol w:w="6686"/>
      </w:tblGrid>
      <w:tr w14:paraId="3659DEE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8" w:space="0"/>
              <w:left w:val="single" w:color="000000" w:sz="8" w:space="0"/>
              <w:bottom w:val="single" w:color="000000" w:sz="6" w:space="0"/>
              <w:right w:val="single" w:color="000000" w:sz="6" w:space="0"/>
            </w:tcBorders>
            <w:vAlign w:val="center"/>
          </w:tcPr>
          <w:p w14:paraId="2D983F38">
            <w:pPr>
              <w:pStyle w:val="39"/>
              <w:ind w:firstLine="0" w:firstLineChars="0"/>
            </w:pPr>
            <w:r>
              <w:rPr>
                <w:rFonts w:hint="eastAsia"/>
              </w:rPr>
              <w:t>项目名称</w:t>
            </w:r>
          </w:p>
        </w:tc>
        <w:tc>
          <w:tcPr>
            <w:tcW w:w="3923" w:type="pct"/>
            <w:tcBorders>
              <w:top w:val="single" w:color="000000" w:sz="8" w:space="0"/>
              <w:left w:val="single" w:color="000000" w:sz="6" w:space="0"/>
              <w:bottom w:val="single" w:color="000000" w:sz="6" w:space="0"/>
              <w:right w:val="single" w:color="000000" w:sz="8" w:space="0"/>
            </w:tcBorders>
            <w:vAlign w:val="center"/>
          </w:tcPr>
          <w:p w14:paraId="017ED4CD">
            <w:pPr>
              <w:pStyle w:val="39"/>
              <w:ind w:firstLine="0" w:firstLineChars="0"/>
            </w:pPr>
            <w:r>
              <w:rPr>
                <w:rFonts w:hint="eastAsia"/>
                <w:color w:val="000000" w:themeColor="text1"/>
                <w:lang w:eastAsia="zh-CN"/>
                <w14:textFill>
                  <w14:solidFill>
                    <w14:schemeClr w14:val="tx1"/>
                  </w14:solidFill>
                </w14:textFill>
              </w:rPr>
              <w:t>浙江省应急管理厅</w:t>
            </w:r>
            <w:r>
              <w:rPr>
                <w:rFonts w:hint="eastAsia"/>
                <w:color w:val="auto"/>
                <w:lang w:eastAsia="zh-CN"/>
              </w:rPr>
              <w:t>省级矿山智慧监管平台建设</w:t>
            </w:r>
            <w:r>
              <w:rPr>
                <w:rFonts w:hint="eastAsia"/>
              </w:rPr>
              <w:t>项目</w:t>
            </w:r>
          </w:p>
        </w:tc>
      </w:tr>
      <w:tr w14:paraId="7C8AB25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8" w:space="0"/>
              <w:left w:val="single" w:color="000000" w:sz="8" w:space="0"/>
              <w:bottom w:val="single" w:color="000000" w:sz="6" w:space="0"/>
              <w:right w:val="single" w:color="000000" w:sz="6" w:space="0"/>
            </w:tcBorders>
            <w:vAlign w:val="center"/>
          </w:tcPr>
          <w:p w14:paraId="44FB52E2">
            <w:pPr>
              <w:pStyle w:val="39"/>
              <w:ind w:firstLine="0" w:firstLineChars="0"/>
              <w:rPr>
                <w:rFonts w:hint="default" w:eastAsia="宋体"/>
                <w:lang w:val="en-US" w:eastAsia="zh-CN"/>
              </w:rPr>
            </w:pPr>
            <w:r>
              <w:rPr>
                <w:rFonts w:hint="eastAsia"/>
                <w:lang w:val="en-US" w:eastAsia="zh-CN"/>
              </w:rPr>
              <w:t>标项名称：</w:t>
            </w:r>
          </w:p>
        </w:tc>
        <w:tc>
          <w:tcPr>
            <w:tcW w:w="3923" w:type="pct"/>
            <w:tcBorders>
              <w:top w:val="single" w:color="000000" w:sz="8" w:space="0"/>
              <w:left w:val="single" w:color="000000" w:sz="6" w:space="0"/>
              <w:bottom w:val="single" w:color="000000" w:sz="6" w:space="0"/>
              <w:right w:val="single" w:color="000000" w:sz="8" w:space="0"/>
            </w:tcBorders>
            <w:vAlign w:val="center"/>
          </w:tcPr>
          <w:p w14:paraId="5958E6B6">
            <w:pPr>
              <w:pStyle w:val="39"/>
              <w:ind w:firstLine="0" w:firstLineChars="0"/>
              <w:rPr>
                <w:rFonts w:hint="eastAsia"/>
                <w:color w:val="000000" w:themeColor="text1"/>
                <w:lang w:eastAsia="zh-CN"/>
                <w14:textFill>
                  <w14:solidFill>
                    <w14:schemeClr w14:val="tx1"/>
                  </w14:solidFill>
                </w14:textFill>
              </w:rPr>
            </w:pPr>
          </w:p>
        </w:tc>
      </w:tr>
      <w:tr w14:paraId="1174B14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restart"/>
            <w:tcBorders>
              <w:top w:val="single" w:color="000000" w:sz="6" w:space="0"/>
              <w:left w:val="single" w:color="000000" w:sz="8" w:space="0"/>
              <w:bottom w:val="single" w:color="000000" w:sz="6" w:space="0"/>
              <w:right w:val="single" w:color="000000" w:sz="6" w:space="0"/>
            </w:tcBorders>
            <w:vAlign w:val="center"/>
          </w:tcPr>
          <w:p w14:paraId="1C7F9638">
            <w:pPr>
              <w:pStyle w:val="39"/>
              <w:ind w:firstLine="0" w:firstLineChars="0"/>
            </w:pPr>
            <w:r>
              <w:rPr>
                <w:rFonts w:hint="eastAsia"/>
              </w:rPr>
              <w:t>投标报价</w:t>
            </w:r>
          </w:p>
          <w:p w14:paraId="56B03F63">
            <w:pPr>
              <w:pStyle w:val="39"/>
              <w:ind w:firstLine="0" w:firstLineChars="0"/>
            </w:pPr>
            <w:r>
              <w:rPr>
                <w:rFonts w:hint="eastAsia"/>
              </w:rPr>
              <w:t>（总价，元）</w:t>
            </w:r>
          </w:p>
        </w:tc>
        <w:tc>
          <w:tcPr>
            <w:tcW w:w="3923" w:type="pct"/>
            <w:tcBorders>
              <w:top w:val="single" w:color="000000" w:sz="6" w:space="0"/>
              <w:left w:val="single" w:color="000000" w:sz="6" w:space="0"/>
              <w:bottom w:val="single" w:color="000000" w:sz="6" w:space="0"/>
              <w:right w:val="single" w:color="000000" w:sz="8" w:space="0"/>
            </w:tcBorders>
            <w:vAlign w:val="center"/>
          </w:tcPr>
          <w:p w14:paraId="10BBA36C">
            <w:pPr>
              <w:pStyle w:val="39"/>
              <w:ind w:firstLine="0" w:firstLineChars="0"/>
            </w:pPr>
            <w:r>
              <w:rPr>
                <w:rFonts w:hint="eastAsia"/>
              </w:rPr>
              <w:t>（人民币，小写）：</w:t>
            </w:r>
          </w:p>
        </w:tc>
      </w:tr>
      <w:tr w14:paraId="6CA8EA4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continue"/>
            <w:tcBorders>
              <w:top w:val="single" w:color="000000" w:sz="6" w:space="0"/>
              <w:left w:val="single" w:color="000000" w:sz="8" w:space="0"/>
              <w:bottom w:val="single" w:color="000000" w:sz="6" w:space="0"/>
              <w:right w:val="single" w:color="000000" w:sz="6" w:space="0"/>
            </w:tcBorders>
            <w:vAlign w:val="center"/>
          </w:tcPr>
          <w:p w14:paraId="6103A2FB">
            <w:pPr>
              <w:pStyle w:val="39"/>
              <w:ind w:firstLine="0" w:firstLineChars="0"/>
            </w:pPr>
          </w:p>
        </w:tc>
        <w:tc>
          <w:tcPr>
            <w:tcW w:w="3923" w:type="pct"/>
            <w:tcBorders>
              <w:top w:val="single" w:color="000000" w:sz="6" w:space="0"/>
              <w:left w:val="single" w:color="000000" w:sz="6" w:space="0"/>
              <w:bottom w:val="single" w:color="000000" w:sz="6" w:space="0"/>
              <w:right w:val="single" w:color="000000" w:sz="8" w:space="0"/>
            </w:tcBorders>
            <w:vAlign w:val="center"/>
          </w:tcPr>
          <w:p w14:paraId="1414D8F5">
            <w:pPr>
              <w:pStyle w:val="39"/>
              <w:ind w:firstLine="0" w:firstLineChars="0"/>
            </w:pPr>
            <w:r>
              <w:rPr>
                <w:rFonts w:hint="eastAsia"/>
              </w:rPr>
              <w:t>（人民币，大写）：</w:t>
            </w:r>
          </w:p>
        </w:tc>
      </w:tr>
      <w:tr w14:paraId="59D7780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6" w:space="0"/>
              <w:left w:val="single" w:color="000000" w:sz="8" w:space="0"/>
              <w:bottom w:val="single" w:color="000000" w:sz="8" w:space="0"/>
              <w:right w:val="single" w:color="000000" w:sz="6" w:space="0"/>
            </w:tcBorders>
            <w:vAlign w:val="center"/>
          </w:tcPr>
          <w:p w14:paraId="47273B13">
            <w:pPr>
              <w:pStyle w:val="39"/>
              <w:ind w:firstLine="0" w:firstLineChars="0"/>
            </w:pPr>
            <w:r>
              <w:rPr>
                <w:rFonts w:hint="eastAsia"/>
              </w:rPr>
              <w:t>备注</w:t>
            </w:r>
          </w:p>
        </w:tc>
        <w:tc>
          <w:tcPr>
            <w:tcW w:w="3923" w:type="pct"/>
            <w:tcBorders>
              <w:top w:val="single" w:color="000000" w:sz="6" w:space="0"/>
              <w:left w:val="single" w:color="000000" w:sz="6" w:space="0"/>
              <w:bottom w:val="single" w:color="000000" w:sz="8" w:space="0"/>
              <w:right w:val="single" w:color="000000" w:sz="8" w:space="0"/>
            </w:tcBorders>
            <w:vAlign w:val="center"/>
          </w:tcPr>
          <w:p w14:paraId="52B495A2">
            <w:pPr>
              <w:pStyle w:val="39"/>
              <w:ind w:firstLine="0" w:firstLineChars="0"/>
              <w:rPr>
                <w:i/>
                <w:u w:val="single"/>
              </w:rPr>
            </w:pPr>
            <w:r>
              <w:rPr>
                <w:rFonts w:hint="eastAsia"/>
                <w:i/>
                <w:u w:val="single"/>
              </w:rPr>
              <w:t>没有可不填</w:t>
            </w:r>
          </w:p>
        </w:tc>
      </w:tr>
    </w:tbl>
    <w:p w14:paraId="3F1874F6">
      <w:pPr>
        <w:pStyle w:val="39"/>
        <w:ind w:firstLine="480"/>
      </w:pPr>
    </w:p>
    <w:p w14:paraId="4B3BB378">
      <w:pPr>
        <w:pStyle w:val="39"/>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1FC20133">
      <w:pPr>
        <w:pStyle w:val="39"/>
        <w:ind w:firstLine="480"/>
      </w:pPr>
      <w:r>
        <w:rPr>
          <w:rFonts w:hint="eastAsia"/>
        </w:rPr>
        <w:t>日期：  年   月   日</w:t>
      </w:r>
    </w:p>
    <w:p w14:paraId="1A131273">
      <w:pPr>
        <w:pStyle w:val="39"/>
        <w:ind w:firstLine="480"/>
      </w:pPr>
    </w:p>
    <w:p w14:paraId="374369FD">
      <w:pPr>
        <w:pStyle w:val="39"/>
        <w:ind w:left="0" w:leftChars="0" w:firstLine="0" w:firstLineChars="0"/>
        <w:rPr>
          <w:lang w:eastAsia="zh-CN"/>
        </w:rPr>
      </w:pPr>
      <w:r>
        <w:rPr>
          <w:rFonts w:hint="eastAsia"/>
          <w:lang w:eastAsia="zh-Hans"/>
        </w:rPr>
        <w:t>【</w:t>
      </w:r>
      <w:r>
        <w:rPr>
          <w:rFonts w:hint="eastAsia"/>
        </w:rPr>
        <w:t>注：</w:t>
      </w:r>
    </w:p>
    <w:p w14:paraId="06B7EF21">
      <w:pPr>
        <w:pStyle w:val="39"/>
        <w:numPr>
          <w:ilvl w:val="0"/>
          <w:numId w:val="128"/>
        </w:numPr>
        <w:ind w:firstLine="480"/>
        <w:rPr>
          <w:rFonts w:hint="eastAsia"/>
        </w:rPr>
      </w:pPr>
      <w:r>
        <w:rPr>
          <w:rFonts w:hint="eastAsia"/>
        </w:rPr>
        <w:t>投标人需按本表格式填写，否则视为投标文件含有采购人不能接受的附加条件，投标无效。</w:t>
      </w:r>
    </w:p>
    <w:p w14:paraId="3388AE97">
      <w:pPr>
        <w:pStyle w:val="39"/>
        <w:numPr>
          <w:ilvl w:val="0"/>
          <w:numId w:val="128"/>
        </w:numPr>
        <w:ind w:firstLine="480"/>
        <w:rPr>
          <w:rFonts w:hint="eastAsia"/>
        </w:rPr>
      </w:pPr>
      <w:r>
        <w:rPr>
          <w:rFonts w:hint="eastAsia"/>
          <w:lang w:val="en-US" w:eastAsia="zh-Hans"/>
        </w:rPr>
        <w:t>投报多个标项的应当按对应标项分别编制本表。</w:t>
      </w:r>
    </w:p>
    <w:p w14:paraId="7AAA900B">
      <w:pPr>
        <w:pStyle w:val="39"/>
        <w:ind w:firstLine="480"/>
      </w:pPr>
      <w:r>
        <w:rPr>
          <w:rFonts w:hint="default"/>
        </w:rPr>
        <w:t>3</w:t>
      </w:r>
      <w:r>
        <w:rPr>
          <w:rFonts w:hint="eastAsia"/>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72569584">
      <w:pPr>
        <w:pStyle w:val="39"/>
        <w:ind w:firstLine="480"/>
        <w:rPr>
          <w:rFonts w:ascii="黑体" w:hAnsi="黑体" w:eastAsia="黑体" w:cs="黑体"/>
          <w:bCs/>
          <w:sz w:val="32"/>
          <w:szCs w:val="32"/>
        </w:rPr>
      </w:pPr>
      <w:r>
        <w:rPr>
          <w:rFonts w:hint="default"/>
        </w:rPr>
        <w:t>4</w:t>
      </w:r>
      <w:r>
        <w:rPr>
          <w:rFonts w:hint="eastAsia"/>
        </w:rPr>
        <w:t>、特别提示：采购机构将对项目名称和项目编号，中标供应商名称、地址和中标金额，主要中标标的名称、品牌（如果有）、规格型号、数量、单价等予以公示。</w:t>
      </w:r>
      <w:r>
        <w:rPr>
          <w:rFonts w:hint="eastAsia"/>
          <w:lang w:eastAsia="zh-Hans"/>
        </w:rPr>
        <w:t>】</w:t>
      </w:r>
      <w:r>
        <w:br w:type="page"/>
      </w:r>
    </w:p>
    <w:p w14:paraId="6DA29C8B">
      <w:pPr>
        <w:pStyle w:val="41"/>
        <w:numPr>
          <w:ilvl w:val="1"/>
          <w:numId w:val="126"/>
        </w:numPr>
        <w:adjustRightInd/>
        <w:rPr>
          <w:highlight w:val="none"/>
        </w:rPr>
      </w:pPr>
      <w:bookmarkStart w:id="488" w:name="_Toc1089370066"/>
      <w:bookmarkStart w:id="489" w:name="_Toc1178993162"/>
      <w:r>
        <w:rPr>
          <w:rFonts w:hint="eastAsia"/>
          <w:highlight w:val="none"/>
        </w:rPr>
        <w:t>投标报价明细表</w:t>
      </w:r>
      <w:bookmarkEnd w:id="488"/>
      <w:bookmarkEnd w:id="489"/>
    </w:p>
    <w:p w14:paraId="17D4E701">
      <w:pPr>
        <w:pStyle w:val="39"/>
        <w:ind w:firstLine="0" w:firstLineChars="0"/>
      </w:pPr>
      <w:r>
        <w:rPr>
          <w:rFonts w:hint="eastAsia"/>
        </w:rPr>
        <w:t>项目名称：</w:t>
      </w:r>
      <w:r>
        <w:rPr>
          <w:rFonts w:hint="eastAsia"/>
          <w:color w:val="000000" w:themeColor="text1"/>
          <w:lang w:eastAsia="zh-CN"/>
          <w14:textFill>
            <w14:solidFill>
              <w14:schemeClr w14:val="tx1"/>
            </w14:solidFill>
          </w14:textFill>
        </w:rPr>
        <w:t>浙江省应急管理厅</w:t>
      </w:r>
      <w:r>
        <w:rPr>
          <w:rFonts w:hint="eastAsia"/>
          <w:color w:val="auto"/>
          <w:lang w:eastAsia="zh-CN"/>
        </w:rPr>
        <w:t>省级矿山智慧监管平台建设</w:t>
      </w:r>
      <w:r>
        <w:rPr>
          <w:rFonts w:hint="eastAsia"/>
        </w:rPr>
        <w:t>项目</w:t>
      </w:r>
    </w:p>
    <w:p w14:paraId="31174636">
      <w:pPr>
        <w:pStyle w:val="39"/>
        <w:ind w:firstLine="0" w:firstLineChars="0"/>
        <w:rPr>
          <w:rFonts w:hint="eastAsia" w:eastAsia="宋体"/>
          <w:color w:val="00B050"/>
          <w:lang w:eastAsia="zh-CN"/>
        </w:rPr>
      </w:pPr>
      <w:r>
        <w:rPr>
          <w:rFonts w:hint="eastAsia"/>
        </w:rPr>
        <w:t>项目编号：</w:t>
      </w:r>
      <w:r>
        <w:rPr>
          <w:rFonts w:hint="eastAsia"/>
          <w:color w:val="auto"/>
          <w:lang w:eastAsia="zh-CN"/>
        </w:rPr>
        <w:t>ZQ250607ZG</w:t>
      </w:r>
    </w:p>
    <w:p w14:paraId="695EB7D1">
      <w:pPr>
        <w:pStyle w:val="39"/>
        <w:ind w:firstLine="0" w:firstLineChars="0"/>
        <w:rPr>
          <w:rFonts w:hint="eastAsia" w:eastAsia="宋体"/>
          <w:b/>
          <w:bCs/>
          <w:i w:val="0"/>
          <w:iCs w:val="0"/>
          <w:u w:val="none"/>
          <w:lang w:val="en-US" w:eastAsia="zh-CN"/>
        </w:rPr>
      </w:pPr>
      <w:r>
        <w:rPr>
          <w:rFonts w:hint="eastAsia"/>
          <w:b/>
          <w:bCs/>
          <w:i w:val="0"/>
          <w:iCs w:val="0"/>
          <w:u w:val="none"/>
          <w:lang w:val="en-US" w:eastAsia="zh-Hans"/>
        </w:rPr>
        <w:t>标段一：省级矿山智慧监管平台建设项目</w:t>
      </w:r>
    </w:p>
    <w:p w14:paraId="578BF279">
      <w:pPr>
        <w:pStyle w:val="39"/>
        <w:ind w:firstLine="0" w:firstLineChars="0"/>
        <w:jc w:val="right"/>
        <w:rPr>
          <w:rFonts w:hint="default" w:eastAsia="宋体"/>
          <w:i w:val="0"/>
          <w:iCs w:val="0"/>
          <w:u w:val="none"/>
          <w:lang w:val="en-US" w:eastAsia="zh-CN"/>
        </w:rPr>
      </w:pPr>
      <w:r>
        <w:rPr>
          <w:rFonts w:hint="eastAsia"/>
          <w:i w:val="0"/>
          <w:iCs w:val="0"/>
          <w:u w:val="none"/>
          <w:lang w:val="en-US" w:eastAsia="zh-CN"/>
        </w:rPr>
        <w:t>报价单位：元</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680"/>
        <w:gridCol w:w="1002"/>
        <w:gridCol w:w="866"/>
        <w:gridCol w:w="1119"/>
        <w:gridCol w:w="709"/>
        <w:gridCol w:w="702"/>
        <w:gridCol w:w="816"/>
        <w:gridCol w:w="973"/>
      </w:tblGrid>
      <w:tr w14:paraId="6718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83" w:type="pct"/>
            <w:shd w:val="clear" w:color="auto" w:fill="auto"/>
            <w:noWrap w:val="0"/>
            <w:vAlign w:val="center"/>
          </w:tcPr>
          <w:p w14:paraId="3A98077A">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序号</w:t>
            </w:r>
          </w:p>
        </w:tc>
        <w:tc>
          <w:tcPr>
            <w:tcW w:w="2739" w:type="pct"/>
            <w:gridSpan w:val="4"/>
            <w:shd w:val="clear" w:color="auto" w:fill="auto"/>
            <w:noWrap w:val="0"/>
            <w:vAlign w:val="center"/>
          </w:tcPr>
          <w:p w14:paraId="72075122">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内容</w:t>
            </w:r>
          </w:p>
        </w:tc>
        <w:tc>
          <w:tcPr>
            <w:tcW w:w="416" w:type="pct"/>
            <w:shd w:val="clear" w:color="auto" w:fill="auto"/>
            <w:noWrap w:val="0"/>
            <w:vAlign w:val="center"/>
          </w:tcPr>
          <w:p w14:paraId="501C0E81">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数量</w:t>
            </w:r>
          </w:p>
        </w:tc>
        <w:tc>
          <w:tcPr>
            <w:tcW w:w="412" w:type="pct"/>
            <w:shd w:val="clear" w:color="auto" w:fill="auto"/>
            <w:noWrap w:val="0"/>
            <w:vAlign w:val="center"/>
          </w:tcPr>
          <w:p w14:paraId="22381765">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单位</w:t>
            </w:r>
          </w:p>
        </w:tc>
        <w:tc>
          <w:tcPr>
            <w:tcW w:w="478" w:type="pct"/>
            <w:shd w:val="clear" w:color="auto" w:fill="auto"/>
            <w:noWrap w:val="0"/>
            <w:vAlign w:val="center"/>
          </w:tcPr>
          <w:p w14:paraId="6D96B64E">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单价</w:t>
            </w:r>
          </w:p>
        </w:tc>
        <w:tc>
          <w:tcPr>
            <w:tcW w:w="571" w:type="pct"/>
            <w:shd w:val="clear" w:color="auto" w:fill="auto"/>
            <w:noWrap w:val="0"/>
            <w:vAlign w:val="center"/>
          </w:tcPr>
          <w:p w14:paraId="4F0795A2">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小计</w:t>
            </w:r>
          </w:p>
        </w:tc>
      </w:tr>
      <w:tr w14:paraId="3BAA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83" w:type="pct"/>
            <w:shd w:val="clear" w:color="auto" w:fill="auto"/>
            <w:noWrap w:val="0"/>
            <w:vAlign w:val="center"/>
          </w:tcPr>
          <w:p w14:paraId="747EE175">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2739" w:type="pct"/>
            <w:gridSpan w:val="4"/>
            <w:shd w:val="clear" w:color="auto" w:fill="auto"/>
            <w:noWrap w:val="0"/>
            <w:vAlign w:val="center"/>
          </w:tcPr>
          <w:p w14:paraId="644C94B7">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三大专题子系统（露天矿山、地下矿山、尾矿库）</w:t>
            </w:r>
          </w:p>
        </w:tc>
        <w:tc>
          <w:tcPr>
            <w:tcW w:w="416" w:type="pct"/>
            <w:shd w:val="clear" w:color="auto" w:fill="auto"/>
            <w:noWrap w:val="0"/>
            <w:vAlign w:val="center"/>
          </w:tcPr>
          <w:p w14:paraId="062B1AFF">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b w:val="0"/>
                <w:bCs w:val="0"/>
                <w:i w:val="0"/>
                <w:iCs w:val="0"/>
                <w:kern w:val="2"/>
                <w:sz w:val="24"/>
                <w:szCs w:val="24"/>
                <w:u w:val="none"/>
                <w:lang w:val="en-US" w:eastAsia="zh-CN" w:bidi="ar"/>
              </w:rPr>
            </w:pPr>
            <w:r>
              <w:rPr>
                <w:rFonts w:hint="eastAsia" w:ascii="宋体" w:hAnsi="宋体" w:eastAsia="宋体" w:cs="宋体"/>
                <w:b w:val="0"/>
                <w:bCs w:val="0"/>
                <w:i w:val="0"/>
                <w:iCs w:val="0"/>
                <w:kern w:val="2"/>
                <w:sz w:val="24"/>
                <w:szCs w:val="24"/>
                <w:u w:val="none"/>
                <w:lang w:val="en-US" w:eastAsia="zh-CN" w:bidi="ar"/>
              </w:rPr>
              <w:t>1</w:t>
            </w:r>
          </w:p>
        </w:tc>
        <w:tc>
          <w:tcPr>
            <w:tcW w:w="412" w:type="pct"/>
            <w:shd w:val="clear" w:color="auto" w:fill="auto"/>
            <w:noWrap w:val="0"/>
            <w:vAlign w:val="center"/>
          </w:tcPr>
          <w:p w14:paraId="535BACED">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b w:val="0"/>
                <w:bCs w:val="0"/>
                <w:i w:val="0"/>
                <w:iCs w:val="0"/>
                <w:kern w:val="2"/>
                <w:sz w:val="24"/>
                <w:szCs w:val="24"/>
                <w:u w:val="none"/>
                <w:lang w:val="en-US" w:eastAsia="zh-CN" w:bidi="ar"/>
              </w:rPr>
            </w:pPr>
            <w:r>
              <w:rPr>
                <w:rFonts w:hint="eastAsia" w:ascii="宋体" w:hAnsi="宋体" w:eastAsia="宋体" w:cs="宋体"/>
                <w:b w:val="0"/>
                <w:bCs w:val="0"/>
                <w:i w:val="0"/>
                <w:iCs w:val="0"/>
                <w:kern w:val="2"/>
                <w:sz w:val="24"/>
                <w:szCs w:val="24"/>
                <w:u w:val="none"/>
                <w:lang w:val="en-US" w:eastAsia="zh-CN" w:bidi="ar"/>
              </w:rPr>
              <w:t>套</w:t>
            </w:r>
          </w:p>
        </w:tc>
        <w:tc>
          <w:tcPr>
            <w:tcW w:w="478" w:type="pct"/>
            <w:shd w:val="clear" w:color="auto" w:fill="auto"/>
            <w:noWrap w:val="0"/>
            <w:vAlign w:val="center"/>
          </w:tcPr>
          <w:p w14:paraId="1FD6EF59">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iCs w:val="0"/>
                <w:kern w:val="2"/>
                <w:sz w:val="24"/>
                <w:szCs w:val="24"/>
                <w:u w:val="none"/>
                <w:lang w:val="en-US" w:eastAsia="zh-CN" w:bidi="ar"/>
              </w:rPr>
            </w:pPr>
          </w:p>
        </w:tc>
        <w:tc>
          <w:tcPr>
            <w:tcW w:w="571" w:type="pct"/>
            <w:shd w:val="clear" w:color="auto" w:fill="auto"/>
            <w:noWrap w:val="0"/>
            <w:vAlign w:val="center"/>
          </w:tcPr>
          <w:p w14:paraId="6F408B7A">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iCs w:val="0"/>
                <w:kern w:val="2"/>
                <w:sz w:val="24"/>
                <w:szCs w:val="24"/>
                <w:u w:val="none"/>
                <w:lang w:val="en-US" w:eastAsia="zh-CN" w:bidi="ar"/>
              </w:rPr>
            </w:pPr>
          </w:p>
        </w:tc>
      </w:tr>
      <w:tr w14:paraId="64C8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83" w:type="pct"/>
            <w:shd w:val="clear" w:color="auto" w:fill="auto"/>
            <w:noWrap w:val="0"/>
            <w:vAlign w:val="center"/>
          </w:tcPr>
          <w:p w14:paraId="33C16611">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w:t>
            </w:r>
          </w:p>
        </w:tc>
        <w:tc>
          <w:tcPr>
            <w:tcW w:w="2739" w:type="pct"/>
            <w:gridSpan w:val="4"/>
            <w:shd w:val="clear" w:color="auto" w:fill="auto"/>
            <w:noWrap w:val="0"/>
            <w:vAlign w:val="center"/>
          </w:tcPr>
          <w:p w14:paraId="4826AD9A">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eastAsia="zh-CN" w:bidi="ar"/>
              </w:rPr>
              <w:t>采掘施工专题子系统</w:t>
            </w:r>
          </w:p>
        </w:tc>
        <w:tc>
          <w:tcPr>
            <w:tcW w:w="416" w:type="pct"/>
            <w:shd w:val="clear" w:color="auto" w:fill="auto"/>
            <w:noWrap w:val="0"/>
            <w:vAlign w:val="center"/>
          </w:tcPr>
          <w:p w14:paraId="5ACA5F39">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1</w:t>
            </w:r>
          </w:p>
        </w:tc>
        <w:tc>
          <w:tcPr>
            <w:tcW w:w="412" w:type="pct"/>
            <w:shd w:val="clear" w:color="auto" w:fill="auto"/>
            <w:noWrap w:val="0"/>
            <w:vAlign w:val="center"/>
          </w:tcPr>
          <w:p w14:paraId="208F2D3A">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套</w:t>
            </w:r>
          </w:p>
        </w:tc>
        <w:tc>
          <w:tcPr>
            <w:tcW w:w="478" w:type="pct"/>
            <w:shd w:val="clear" w:color="auto" w:fill="auto"/>
            <w:noWrap w:val="0"/>
            <w:vAlign w:val="center"/>
          </w:tcPr>
          <w:p w14:paraId="2A06304E">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color w:val="auto"/>
                <w:kern w:val="2"/>
                <w:sz w:val="24"/>
                <w:szCs w:val="24"/>
                <w:vertAlign w:val="baseline"/>
                <w:lang w:val="en-US" w:eastAsia="zh-CN" w:bidi="ar-SA"/>
              </w:rPr>
            </w:pPr>
          </w:p>
        </w:tc>
        <w:tc>
          <w:tcPr>
            <w:tcW w:w="571" w:type="pct"/>
            <w:shd w:val="clear" w:color="auto" w:fill="auto"/>
            <w:noWrap w:val="0"/>
            <w:vAlign w:val="center"/>
          </w:tcPr>
          <w:p w14:paraId="6C36C0AE">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kern w:val="2"/>
                <w:sz w:val="24"/>
                <w:szCs w:val="24"/>
                <w:vertAlign w:val="baseline"/>
                <w:lang w:val="en-US" w:eastAsia="zh-CN" w:bidi="ar-SA"/>
              </w:rPr>
            </w:pPr>
          </w:p>
        </w:tc>
      </w:tr>
      <w:tr w14:paraId="0F90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83" w:type="pct"/>
            <w:shd w:val="clear" w:color="auto" w:fill="auto"/>
            <w:noWrap w:val="0"/>
            <w:vAlign w:val="center"/>
          </w:tcPr>
          <w:p w14:paraId="5A9747B3">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w:t>
            </w:r>
          </w:p>
        </w:tc>
        <w:tc>
          <w:tcPr>
            <w:tcW w:w="2739" w:type="pct"/>
            <w:gridSpan w:val="4"/>
            <w:shd w:val="clear" w:color="auto" w:fill="auto"/>
            <w:noWrap w:val="0"/>
            <w:vAlign w:val="center"/>
          </w:tcPr>
          <w:p w14:paraId="24B6D58E">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政企工作台</w:t>
            </w:r>
          </w:p>
        </w:tc>
        <w:tc>
          <w:tcPr>
            <w:tcW w:w="416" w:type="pct"/>
            <w:shd w:val="clear" w:color="auto" w:fill="auto"/>
            <w:noWrap w:val="0"/>
            <w:vAlign w:val="center"/>
          </w:tcPr>
          <w:p w14:paraId="59DBECC4">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1</w:t>
            </w:r>
          </w:p>
        </w:tc>
        <w:tc>
          <w:tcPr>
            <w:tcW w:w="412" w:type="pct"/>
            <w:shd w:val="clear" w:color="auto" w:fill="auto"/>
            <w:noWrap w:val="0"/>
            <w:vAlign w:val="center"/>
          </w:tcPr>
          <w:p w14:paraId="7A481B52">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套</w:t>
            </w:r>
          </w:p>
        </w:tc>
        <w:tc>
          <w:tcPr>
            <w:tcW w:w="478" w:type="pct"/>
            <w:shd w:val="clear" w:color="auto" w:fill="auto"/>
            <w:noWrap w:val="0"/>
            <w:vAlign w:val="center"/>
          </w:tcPr>
          <w:p w14:paraId="4E3F732A">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color w:val="auto"/>
                <w:kern w:val="2"/>
                <w:sz w:val="24"/>
                <w:szCs w:val="24"/>
                <w:vertAlign w:val="baseline"/>
                <w:lang w:val="en-US" w:eastAsia="zh-CN" w:bidi="ar-SA"/>
              </w:rPr>
            </w:pPr>
          </w:p>
        </w:tc>
        <w:tc>
          <w:tcPr>
            <w:tcW w:w="571" w:type="pct"/>
            <w:shd w:val="clear" w:color="auto" w:fill="auto"/>
            <w:noWrap w:val="0"/>
            <w:vAlign w:val="center"/>
          </w:tcPr>
          <w:p w14:paraId="017982B3">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kern w:val="2"/>
                <w:sz w:val="24"/>
                <w:szCs w:val="24"/>
                <w:vertAlign w:val="baseline"/>
                <w:lang w:val="en-US" w:eastAsia="zh-CN" w:bidi="ar-SA"/>
              </w:rPr>
            </w:pPr>
          </w:p>
        </w:tc>
      </w:tr>
      <w:tr w14:paraId="530F4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83" w:type="pct"/>
            <w:noWrap w:val="0"/>
            <w:vAlign w:val="center"/>
          </w:tcPr>
          <w:p w14:paraId="30BBD425">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w:t>
            </w:r>
          </w:p>
        </w:tc>
        <w:tc>
          <w:tcPr>
            <w:tcW w:w="2739" w:type="pct"/>
            <w:gridSpan w:val="4"/>
            <w:shd w:val="clear" w:color="auto" w:fill="auto"/>
            <w:noWrap w:val="0"/>
            <w:vAlign w:val="center"/>
          </w:tcPr>
          <w:p w14:paraId="53DF6BCB">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AI+监测预警支撑（包含监测预警智能体及大模型通用能力建设）</w:t>
            </w:r>
          </w:p>
        </w:tc>
        <w:tc>
          <w:tcPr>
            <w:tcW w:w="416" w:type="pct"/>
            <w:shd w:val="clear" w:color="auto" w:fill="auto"/>
            <w:noWrap w:val="0"/>
            <w:vAlign w:val="center"/>
          </w:tcPr>
          <w:p w14:paraId="2C63D03C">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1</w:t>
            </w:r>
          </w:p>
        </w:tc>
        <w:tc>
          <w:tcPr>
            <w:tcW w:w="412" w:type="pct"/>
            <w:shd w:val="clear" w:color="auto" w:fill="auto"/>
            <w:noWrap w:val="0"/>
            <w:vAlign w:val="center"/>
          </w:tcPr>
          <w:p w14:paraId="0E9DC2FE">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项</w:t>
            </w:r>
          </w:p>
        </w:tc>
        <w:tc>
          <w:tcPr>
            <w:tcW w:w="478" w:type="pct"/>
            <w:shd w:val="clear" w:color="auto" w:fill="auto"/>
            <w:noWrap w:val="0"/>
            <w:vAlign w:val="center"/>
          </w:tcPr>
          <w:p w14:paraId="5D674417">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color w:val="auto"/>
                <w:kern w:val="2"/>
                <w:sz w:val="24"/>
                <w:szCs w:val="24"/>
                <w:vertAlign w:val="baseline"/>
                <w:lang w:val="en-US" w:eastAsia="zh-CN" w:bidi="ar-SA"/>
              </w:rPr>
            </w:pPr>
          </w:p>
        </w:tc>
        <w:tc>
          <w:tcPr>
            <w:tcW w:w="571" w:type="pct"/>
            <w:shd w:val="clear" w:color="auto" w:fill="auto"/>
            <w:noWrap w:val="0"/>
            <w:vAlign w:val="center"/>
          </w:tcPr>
          <w:p w14:paraId="4D818451">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kern w:val="2"/>
                <w:sz w:val="24"/>
                <w:szCs w:val="24"/>
                <w:vertAlign w:val="baseline"/>
                <w:lang w:val="en-US" w:eastAsia="zh-CN" w:bidi="ar-SA"/>
              </w:rPr>
            </w:pPr>
          </w:p>
        </w:tc>
      </w:tr>
      <w:tr w14:paraId="7392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83" w:type="pct"/>
            <w:noWrap w:val="0"/>
            <w:vAlign w:val="center"/>
          </w:tcPr>
          <w:p w14:paraId="65E184EC">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w:t>
            </w:r>
          </w:p>
        </w:tc>
        <w:tc>
          <w:tcPr>
            <w:tcW w:w="2739" w:type="pct"/>
            <w:gridSpan w:val="4"/>
            <w:shd w:val="clear" w:color="auto" w:fill="auto"/>
            <w:noWrap w:val="0"/>
            <w:vAlign w:val="center"/>
          </w:tcPr>
          <w:p w14:paraId="0BBB8B90">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三维应用支撑</w:t>
            </w:r>
          </w:p>
        </w:tc>
        <w:tc>
          <w:tcPr>
            <w:tcW w:w="416" w:type="pct"/>
            <w:shd w:val="clear" w:color="auto" w:fill="auto"/>
            <w:noWrap w:val="0"/>
            <w:vAlign w:val="center"/>
          </w:tcPr>
          <w:p w14:paraId="6EB4E6C6">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b w:val="0"/>
                <w:bCs w:val="0"/>
                <w:i w:val="0"/>
                <w:iCs w:val="0"/>
                <w:color w:val="auto"/>
                <w:kern w:val="2"/>
                <w:sz w:val="24"/>
                <w:szCs w:val="24"/>
                <w:u w:val="none"/>
                <w:lang w:val="en-US" w:eastAsia="zh-CN" w:bidi="ar"/>
              </w:rPr>
            </w:pPr>
            <w:r>
              <w:rPr>
                <w:rFonts w:hint="eastAsia" w:ascii="宋体" w:hAnsi="宋体" w:eastAsia="宋体" w:cs="宋体"/>
                <w:b w:val="0"/>
                <w:bCs w:val="0"/>
                <w:i w:val="0"/>
                <w:iCs w:val="0"/>
                <w:color w:val="auto"/>
                <w:kern w:val="2"/>
                <w:sz w:val="24"/>
                <w:szCs w:val="24"/>
                <w:u w:val="none"/>
                <w:lang w:val="en-US" w:eastAsia="zh-CN" w:bidi="ar"/>
              </w:rPr>
              <w:t>1</w:t>
            </w:r>
          </w:p>
        </w:tc>
        <w:tc>
          <w:tcPr>
            <w:tcW w:w="412" w:type="pct"/>
            <w:shd w:val="clear" w:color="auto" w:fill="auto"/>
            <w:noWrap w:val="0"/>
            <w:vAlign w:val="center"/>
          </w:tcPr>
          <w:p w14:paraId="6BD832B5">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b w:val="0"/>
                <w:bCs w:val="0"/>
                <w:i w:val="0"/>
                <w:iCs w:val="0"/>
                <w:color w:val="auto"/>
                <w:kern w:val="2"/>
                <w:sz w:val="24"/>
                <w:szCs w:val="24"/>
                <w:u w:val="none"/>
                <w:lang w:val="en-US" w:eastAsia="zh-CN" w:bidi="ar"/>
              </w:rPr>
            </w:pPr>
            <w:r>
              <w:rPr>
                <w:rFonts w:hint="eastAsia" w:ascii="宋体" w:hAnsi="宋体" w:eastAsia="宋体" w:cs="宋体"/>
                <w:b w:val="0"/>
                <w:bCs w:val="0"/>
                <w:i w:val="0"/>
                <w:iCs w:val="0"/>
                <w:color w:val="auto"/>
                <w:kern w:val="2"/>
                <w:sz w:val="24"/>
                <w:szCs w:val="24"/>
                <w:u w:val="none"/>
                <w:lang w:val="en-US" w:eastAsia="zh-CN" w:bidi="ar"/>
              </w:rPr>
              <w:t>套</w:t>
            </w:r>
          </w:p>
        </w:tc>
        <w:tc>
          <w:tcPr>
            <w:tcW w:w="478" w:type="pct"/>
            <w:shd w:val="clear" w:color="auto" w:fill="auto"/>
            <w:noWrap w:val="0"/>
            <w:vAlign w:val="center"/>
          </w:tcPr>
          <w:p w14:paraId="73AEF7D7">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iCs w:val="0"/>
                <w:color w:val="auto"/>
                <w:kern w:val="2"/>
                <w:sz w:val="24"/>
                <w:szCs w:val="24"/>
                <w:u w:val="none"/>
                <w:lang w:val="en-US" w:eastAsia="zh-CN" w:bidi="ar"/>
              </w:rPr>
            </w:pPr>
          </w:p>
        </w:tc>
        <w:tc>
          <w:tcPr>
            <w:tcW w:w="571" w:type="pct"/>
            <w:shd w:val="clear" w:color="auto" w:fill="auto"/>
            <w:noWrap w:val="0"/>
            <w:vAlign w:val="center"/>
          </w:tcPr>
          <w:p w14:paraId="314F6D02">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iCs w:val="0"/>
                <w:kern w:val="2"/>
                <w:sz w:val="24"/>
                <w:szCs w:val="24"/>
                <w:u w:val="none"/>
                <w:lang w:val="en-US" w:eastAsia="zh-CN" w:bidi="ar"/>
              </w:rPr>
            </w:pPr>
          </w:p>
        </w:tc>
      </w:tr>
      <w:tr w14:paraId="2542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83" w:type="pct"/>
            <w:noWrap w:val="0"/>
            <w:vAlign w:val="center"/>
          </w:tcPr>
          <w:p w14:paraId="022E76B4">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w:t>
            </w:r>
          </w:p>
        </w:tc>
        <w:tc>
          <w:tcPr>
            <w:tcW w:w="2739" w:type="pct"/>
            <w:gridSpan w:val="4"/>
            <w:shd w:val="clear" w:color="auto" w:fill="auto"/>
            <w:noWrap w:val="0"/>
            <w:vAlign w:val="center"/>
          </w:tcPr>
          <w:p w14:paraId="1E40885F">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视频汇聚及算法平台支撑-视频算法模型</w:t>
            </w:r>
          </w:p>
        </w:tc>
        <w:tc>
          <w:tcPr>
            <w:tcW w:w="416" w:type="pct"/>
            <w:shd w:val="clear" w:color="auto" w:fill="auto"/>
            <w:noWrap w:val="0"/>
            <w:vAlign w:val="center"/>
          </w:tcPr>
          <w:p w14:paraId="7C871AEE">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b w:val="0"/>
                <w:bCs w:val="0"/>
                <w:i w:val="0"/>
                <w:iCs w:val="0"/>
                <w:color w:val="auto"/>
                <w:kern w:val="2"/>
                <w:sz w:val="24"/>
                <w:szCs w:val="24"/>
                <w:u w:val="none"/>
                <w:lang w:val="en-US" w:eastAsia="zh-CN" w:bidi="ar"/>
              </w:rPr>
            </w:pPr>
            <w:r>
              <w:rPr>
                <w:rFonts w:hint="eastAsia" w:ascii="宋体" w:hAnsi="宋体" w:eastAsia="宋体" w:cs="宋体"/>
                <w:b w:val="0"/>
                <w:bCs w:val="0"/>
                <w:i w:val="0"/>
                <w:iCs w:val="0"/>
                <w:color w:val="auto"/>
                <w:kern w:val="2"/>
                <w:sz w:val="24"/>
                <w:szCs w:val="24"/>
                <w:u w:val="none"/>
                <w:lang w:val="en-US" w:eastAsia="zh-CN" w:bidi="ar"/>
              </w:rPr>
              <w:t>23</w:t>
            </w:r>
          </w:p>
        </w:tc>
        <w:tc>
          <w:tcPr>
            <w:tcW w:w="412" w:type="pct"/>
            <w:shd w:val="clear" w:color="auto" w:fill="auto"/>
            <w:noWrap w:val="0"/>
            <w:vAlign w:val="center"/>
          </w:tcPr>
          <w:p w14:paraId="01F135EE">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b w:val="0"/>
                <w:bCs w:val="0"/>
                <w:i w:val="0"/>
                <w:iCs w:val="0"/>
                <w:color w:val="auto"/>
                <w:kern w:val="2"/>
                <w:sz w:val="24"/>
                <w:szCs w:val="24"/>
                <w:u w:val="none"/>
                <w:lang w:val="en-US" w:eastAsia="zh-CN" w:bidi="ar"/>
              </w:rPr>
            </w:pPr>
            <w:r>
              <w:rPr>
                <w:rFonts w:hint="eastAsia" w:ascii="宋体" w:hAnsi="宋体" w:eastAsia="宋体" w:cs="宋体"/>
                <w:b w:val="0"/>
                <w:bCs w:val="0"/>
                <w:i w:val="0"/>
                <w:iCs w:val="0"/>
                <w:color w:val="auto"/>
                <w:kern w:val="2"/>
                <w:sz w:val="24"/>
                <w:szCs w:val="24"/>
                <w:u w:val="none"/>
                <w:lang w:val="en-US" w:eastAsia="zh-CN" w:bidi="ar"/>
              </w:rPr>
              <w:t>套</w:t>
            </w:r>
          </w:p>
        </w:tc>
        <w:tc>
          <w:tcPr>
            <w:tcW w:w="478" w:type="pct"/>
            <w:shd w:val="clear" w:color="auto" w:fill="auto"/>
            <w:noWrap w:val="0"/>
            <w:vAlign w:val="center"/>
          </w:tcPr>
          <w:p w14:paraId="18603A88">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iCs w:val="0"/>
                <w:color w:val="auto"/>
                <w:kern w:val="2"/>
                <w:sz w:val="24"/>
                <w:szCs w:val="24"/>
                <w:u w:val="none"/>
                <w:lang w:val="en-US" w:eastAsia="zh-CN" w:bidi="ar"/>
              </w:rPr>
            </w:pPr>
          </w:p>
        </w:tc>
        <w:tc>
          <w:tcPr>
            <w:tcW w:w="571" w:type="pct"/>
            <w:shd w:val="clear" w:color="auto" w:fill="auto"/>
            <w:noWrap w:val="0"/>
            <w:vAlign w:val="center"/>
          </w:tcPr>
          <w:p w14:paraId="473B847A">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iCs w:val="0"/>
                <w:kern w:val="2"/>
                <w:sz w:val="24"/>
                <w:szCs w:val="24"/>
                <w:u w:val="none"/>
                <w:lang w:val="en-US" w:eastAsia="zh-CN" w:bidi="ar"/>
              </w:rPr>
            </w:pPr>
          </w:p>
        </w:tc>
      </w:tr>
      <w:tr w14:paraId="713C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83" w:type="pct"/>
            <w:noWrap w:val="0"/>
            <w:vAlign w:val="center"/>
          </w:tcPr>
          <w:p w14:paraId="6C35738B">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w:t>
            </w:r>
          </w:p>
        </w:tc>
        <w:tc>
          <w:tcPr>
            <w:tcW w:w="2739" w:type="pct"/>
            <w:gridSpan w:val="4"/>
            <w:shd w:val="clear" w:color="auto" w:fill="auto"/>
            <w:noWrap w:val="0"/>
            <w:vAlign w:val="center"/>
          </w:tcPr>
          <w:p w14:paraId="4E78E14C">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系统安全防护建设</w:t>
            </w:r>
          </w:p>
        </w:tc>
        <w:tc>
          <w:tcPr>
            <w:tcW w:w="416" w:type="pct"/>
            <w:shd w:val="clear" w:color="auto" w:fill="auto"/>
            <w:noWrap w:val="0"/>
            <w:vAlign w:val="center"/>
          </w:tcPr>
          <w:p w14:paraId="5400B820">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b w:val="0"/>
                <w:bCs w:val="0"/>
                <w:i w:val="0"/>
                <w:iCs w:val="0"/>
                <w:color w:val="auto"/>
                <w:kern w:val="2"/>
                <w:sz w:val="24"/>
                <w:szCs w:val="24"/>
                <w:u w:val="none"/>
                <w:lang w:val="en-US" w:eastAsia="zh-CN" w:bidi="ar"/>
              </w:rPr>
            </w:pPr>
            <w:r>
              <w:rPr>
                <w:rFonts w:hint="eastAsia" w:ascii="宋体" w:hAnsi="宋体" w:eastAsia="宋体" w:cs="宋体"/>
                <w:b w:val="0"/>
                <w:bCs w:val="0"/>
                <w:i w:val="0"/>
                <w:iCs w:val="0"/>
                <w:color w:val="auto"/>
                <w:kern w:val="2"/>
                <w:sz w:val="24"/>
                <w:szCs w:val="24"/>
                <w:u w:val="none"/>
                <w:lang w:val="en-US" w:eastAsia="zh-CN" w:bidi="ar"/>
              </w:rPr>
              <w:t>1</w:t>
            </w:r>
          </w:p>
        </w:tc>
        <w:tc>
          <w:tcPr>
            <w:tcW w:w="412" w:type="pct"/>
            <w:shd w:val="clear" w:color="auto" w:fill="auto"/>
            <w:noWrap w:val="0"/>
            <w:vAlign w:val="center"/>
          </w:tcPr>
          <w:p w14:paraId="563C7FD0">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b w:val="0"/>
                <w:bCs w:val="0"/>
                <w:i w:val="0"/>
                <w:iCs w:val="0"/>
                <w:color w:val="auto"/>
                <w:kern w:val="2"/>
                <w:sz w:val="24"/>
                <w:szCs w:val="24"/>
                <w:u w:val="none"/>
                <w:lang w:val="en-US" w:eastAsia="zh-CN" w:bidi="ar"/>
              </w:rPr>
            </w:pPr>
            <w:r>
              <w:rPr>
                <w:rFonts w:hint="eastAsia" w:ascii="宋体" w:hAnsi="宋体" w:eastAsia="宋体" w:cs="宋体"/>
                <w:b w:val="0"/>
                <w:bCs w:val="0"/>
                <w:i w:val="0"/>
                <w:iCs w:val="0"/>
                <w:color w:val="auto"/>
                <w:kern w:val="2"/>
                <w:sz w:val="24"/>
                <w:szCs w:val="24"/>
                <w:u w:val="none"/>
                <w:lang w:val="en-US" w:eastAsia="zh-CN" w:bidi="ar"/>
              </w:rPr>
              <w:t>项</w:t>
            </w:r>
          </w:p>
        </w:tc>
        <w:tc>
          <w:tcPr>
            <w:tcW w:w="478" w:type="pct"/>
            <w:shd w:val="clear" w:color="auto" w:fill="auto"/>
            <w:noWrap w:val="0"/>
            <w:vAlign w:val="center"/>
          </w:tcPr>
          <w:p w14:paraId="2EE72C97">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iCs w:val="0"/>
                <w:color w:val="auto"/>
                <w:kern w:val="2"/>
                <w:sz w:val="24"/>
                <w:szCs w:val="24"/>
                <w:u w:val="none"/>
                <w:lang w:val="en-US" w:eastAsia="zh-CN" w:bidi="ar"/>
              </w:rPr>
            </w:pPr>
          </w:p>
        </w:tc>
        <w:tc>
          <w:tcPr>
            <w:tcW w:w="571" w:type="pct"/>
            <w:shd w:val="clear" w:color="auto" w:fill="auto"/>
            <w:noWrap w:val="0"/>
            <w:vAlign w:val="center"/>
          </w:tcPr>
          <w:p w14:paraId="72E96AAE">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iCs w:val="0"/>
                <w:kern w:val="2"/>
                <w:sz w:val="24"/>
                <w:szCs w:val="24"/>
                <w:u w:val="none"/>
                <w:lang w:val="en-US" w:eastAsia="zh-CN" w:bidi="ar"/>
              </w:rPr>
            </w:pPr>
          </w:p>
        </w:tc>
      </w:tr>
      <w:tr w14:paraId="21E2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83" w:type="pct"/>
            <w:noWrap w:val="0"/>
            <w:vAlign w:val="center"/>
          </w:tcPr>
          <w:p w14:paraId="62A0241B">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w:t>
            </w:r>
          </w:p>
        </w:tc>
        <w:tc>
          <w:tcPr>
            <w:tcW w:w="2739" w:type="pct"/>
            <w:gridSpan w:val="4"/>
            <w:shd w:val="clear" w:color="auto" w:fill="auto"/>
            <w:noWrap w:val="0"/>
            <w:vAlign w:val="center"/>
          </w:tcPr>
          <w:p w14:paraId="5152BBFF">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等保、密评、第三方软件测评、代码审计、信创符合性报告</w:t>
            </w:r>
          </w:p>
        </w:tc>
        <w:tc>
          <w:tcPr>
            <w:tcW w:w="416" w:type="pct"/>
            <w:shd w:val="clear" w:color="auto" w:fill="auto"/>
            <w:noWrap w:val="0"/>
            <w:vAlign w:val="center"/>
          </w:tcPr>
          <w:p w14:paraId="580A0543">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b w:val="0"/>
                <w:bCs w:val="0"/>
                <w:i w:val="0"/>
                <w:iCs w:val="0"/>
                <w:color w:val="auto"/>
                <w:kern w:val="2"/>
                <w:sz w:val="24"/>
                <w:szCs w:val="24"/>
                <w:u w:val="none"/>
                <w:lang w:val="en-US" w:eastAsia="zh-CN" w:bidi="ar"/>
              </w:rPr>
            </w:pPr>
            <w:r>
              <w:rPr>
                <w:rFonts w:hint="eastAsia" w:ascii="宋体" w:hAnsi="宋体" w:eastAsia="宋体" w:cs="宋体"/>
                <w:b w:val="0"/>
                <w:bCs w:val="0"/>
                <w:i w:val="0"/>
                <w:iCs w:val="0"/>
                <w:color w:val="auto"/>
                <w:kern w:val="2"/>
                <w:sz w:val="24"/>
                <w:szCs w:val="24"/>
                <w:u w:val="none"/>
                <w:lang w:val="en-US" w:eastAsia="zh-CN" w:bidi="ar"/>
              </w:rPr>
              <w:t>1</w:t>
            </w:r>
          </w:p>
        </w:tc>
        <w:tc>
          <w:tcPr>
            <w:tcW w:w="412" w:type="pct"/>
            <w:shd w:val="clear" w:color="auto" w:fill="auto"/>
            <w:noWrap w:val="0"/>
            <w:vAlign w:val="center"/>
          </w:tcPr>
          <w:p w14:paraId="38C67A07">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b w:val="0"/>
                <w:bCs w:val="0"/>
                <w:i w:val="0"/>
                <w:iCs w:val="0"/>
                <w:color w:val="auto"/>
                <w:kern w:val="2"/>
                <w:sz w:val="24"/>
                <w:szCs w:val="24"/>
                <w:u w:val="none"/>
                <w:lang w:val="en-US" w:eastAsia="zh-CN" w:bidi="ar"/>
              </w:rPr>
            </w:pPr>
            <w:r>
              <w:rPr>
                <w:rFonts w:hint="eastAsia" w:ascii="宋体" w:hAnsi="宋体" w:cs="宋体"/>
                <w:b w:val="0"/>
                <w:bCs w:val="0"/>
                <w:i w:val="0"/>
                <w:iCs w:val="0"/>
                <w:color w:val="auto"/>
                <w:kern w:val="2"/>
                <w:sz w:val="24"/>
                <w:szCs w:val="24"/>
                <w:u w:val="none"/>
                <w:lang w:val="en-US" w:eastAsia="zh-CN" w:bidi="ar"/>
              </w:rPr>
              <w:t>套</w:t>
            </w:r>
          </w:p>
        </w:tc>
        <w:tc>
          <w:tcPr>
            <w:tcW w:w="478" w:type="pct"/>
            <w:shd w:val="clear" w:color="auto" w:fill="auto"/>
            <w:noWrap w:val="0"/>
            <w:vAlign w:val="center"/>
          </w:tcPr>
          <w:p w14:paraId="1C8BCAFD">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iCs w:val="0"/>
                <w:color w:val="auto"/>
                <w:kern w:val="2"/>
                <w:sz w:val="24"/>
                <w:szCs w:val="24"/>
                <w:u w:val="none"/>
                <w:lang w:val="en-US" w:eastAsia="zh-CN" w:bidi="ar"/>
              </w:rPr>
            </w:pPr>
          </w:p>
        </w:tc>
        <w:tc>
          <w:tcPr>
            <w:tcW w:w="571" w:type="pct"/>
            <w:shd w:val="clear" w:color="auto" w:fill="auto"/>
            <w:noWrap w:val="0"/>
            <w:vAlign w:val="center"/>
          </w:tcPr>
          <w:p w14:paraId="2FC50E48">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iCs w:val="0"/>
                <w:kern w:val="2"/>
                <w:sz w:val="24"/>
                <w:szCs w:val="24"/>
                <w:u w:val="none"/>
                <w:lang w:val="en-US" w:eastAsia="zh-CN" w:bidi="ar"/>
              </w:rPr>
            </w:pPr>
          </w:p>
        </w:tc>
      </w:tr>
      <w:tr w14:paraId="6613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83" w:type="pct"/>
            <w:vMerge w:val="restart"/>
            <w:noWrap w:val="0"/>
            <w:vAlign w:val="center"/>
          </w:tcPr>
          <w:p w14:paraId="2DB011D9">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w:t>
            </w:r>
          </w:p>
        </w:tc>
        <w:tc>
          <w:tcPr>
            <w:tcW w:w="986" w:type="pct"/>
            <w:vMerge w:val="restart"/>
            <w:shd w:val="clear" w:color="auto" w:fill="auto"/>
            <w:noWrap w:val="0"/>
            <w:vAlign w:val="center"/>
          </w:tcPr>
          <w:p w14:paraId="4AB41BF3">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视频汇聚及算法平台支撑-智能分析设备</w:t>
            </w:r>
          </w:p>
        </w:tc>
        <w:tc>
          <w:tcPr>
            <w:tcW w:w="588" w:type="pct"/>
            <w:shd w:val="clear" w:color="auto" w:fill="auto"/>
            <w:noWrap w:val="0"/>
            <w:vAlign w:val="center"/>
          </w:tcPr>
          <w:p w14:paraId="0EE4809F">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both"/>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品牌</w:t>
            </w:r>
          </w:p>
        </w:tc>
        <w:tc>
          <w:tcPr>
            <w:tcW w:w="508" w:type="pct"/>
            <w:shd w:val="clear" w:color="auto" w:fill="auto"/>
            <w:noWrap w:val="0"/>
            <w:vAlign w:val="center"/>
          </w:tcPr>
          <w:p w14:paraId="71877951">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both"/>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型号</w:t>
            </w:r>
          </w:p>
        </w:tc>
        <w:tc>
          <w:tcPr>
            <w:tcW w:w="656" w:type="pct"/>
            <w:shd w:val="clear" w:color="auto" w:fill="auto"/>
            <w:noWrap w:val="0"/>
            <w:vAlign w:val="center"/>
          </w:tcPr>
          <w:p w14:paraId="56C2DC6D">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both"/>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制造商</w:t>
            </w:r>
          </w:p>
        </w:tc>
        <w:tc>
          <w:tcPr>
            <w:tcW w:w="416" w:type="pct"/>
            <w:shd w:val="clear" w:color="auto" w:fill="auto"/>
            <w:noWrap w:val="0"/>
            <w:vAlign w:val="center"/>
          </w:tcPr>
          <w:p w14:paraId="76B6B755">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b w:val="0"/>
                <w:bCs w:val="0"/>
                <w:i w:val="0"/>
                <w:iCs w:val="0"/>
                <w:color w:val="auto"/>
                <w:kern w:val="2"/>
                <w:sz w:val="24"/>
                <w:szCs w:val="24"/>
                <w:u w:val="none"/>
                <w:lang w:val="en-US" w:eastAsia="zh-CN" w:bidi="ar"/>
              </w:rPr>
            </w:pPr>
            <w:r>
              <w:rPr>
                <w:rFonts w:hint="eastAsia" w:ascii="宋体" w:hAnsi="宋体" w:eastAsia="宋体" w:cs="宋体"/>
                <w:b w:val="0"/>
                <w:bCs w:val="0"/>
                <w:i w:val="0"/>
                <w:iCs w:val="0"/>
                <w:color w:val="auto"/>
                <w:kern w:val="2"/>
                <w:sz w:val="24"/>
                <w:szCs w:val="24"/>
                <w:u w:val="none"/>
                <w:lang w:val="en-US" w:eastAsia="zh-CN" w:bidi="ar"/>
              </w:rPr>
              <w:t>数量</w:t>
            </w:r>
          </w:p>
        </w:tc>
        <w:tc>
          <w:tcPr>
            <w:tcW w:w="412" w:type="pct"/>
            <w:shd w:val="clear" w:color="auto" w:fill="auto"/>
            <w:noWrap w:val="0"/>
            <w:vAlign w:val="center"/>
          </w:tcPr>
          <w:p w14:paraId="408A2F62">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b w:val="0"/>
                <w:bCs w:val="0"/>
                <w:i w:val="0"/>
                <w:iCs w:val="0"/>
                <w:color w:val="auto"/>
                <w:kern w:val="2"/>
                <w:sz w:val="24"/>
                <w:szCs w:val="24"/>
                <w:u w:val="none"/>
                <w:lang w:val="en-US" w:eastAsia="zh-CN" w:bidi="ar"/>
              </w:rPr>
            </w:pPr>
            <w:r>
              <w:rPr>
                <w:rFonts w:hint="eastAsia" w:ascii="宋体" w:hAnsi="宋体" w:eastAsia="宋体" w:cs="宋体"/>
                <w:b w:val="0"/>
                <w:bCs w:val="0"/>
                <w:i w:val="0"/>
                <w:iCs w:val="0"/>
                <w:color w:val="auto"/>
                <w:kern w:val="2"/>
                <w:sz w:val="24"/>
                <w:szCs w:val="24"/>
                <w:u w:val="none"/>
                <w:lang w:val="en-US" w:eastAsia="zh-CN" w:bidi="ar"/>
              </w:rPr>
              <w:t>单位</w:t>
            </w:r>
          </w:p>
        </w:tc>
        <w:tc>
          <w:tcPr>
            <w:tcW w:w="478" w:type="pct"/>
            <w:shd w:val="clear" w:color="auto" w:fill="auto"/>
            <w:noWrap w:val="0"/>
            <w:vAlign w:val="center"/>
          </w:tcPr>
          <w:p w14:paraId="718B5CC0">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b w:val="0"/>
                <w:bCs w:val="0"/>
                <w:i w:val="0"/>
                <w:iCs w:val="0"/>
                <w:color w:val="auto"/>
                <w:kern w:val="2"/>
                <w:sz w:val="24"/>
                <w:szCs w:val="24"/>
                <w:u w:val="none"/>
                <w:lang w:val="en-US" w:eastAsia="zh-CN" w:bidi="ar"/>
              </w:rPr>
            </w:pPr>
            <w:r>
              <w:rPr>
                <w:rFonts w:hint="eastAsia" w:ascii="宋体" w:hAnsi="宋体" w:eastAsia="宋体" w:cs="宋体"/>
                <w:b w:val="0"/>
                <w:bCs w:val="0"/>
                <w:i w:val="0"/>
                <w:iCs w:val="0"/>
                <w:color w:val="auto"/>
                <w:kern w:val="2"/>
                <w:sz w:val="24"/>
                <w:szCs w:val="24"/>
                <w:u w:val="none"/>
                <w:lang w:val="en-US" w:eastAsia="zh-CN" w:bidi="ar"/>
              </w:rPr>
              <w:t>单价</w:t>
            </w:r>
          </w:p>
        </w:tc>
        <w:tc>
          <w:tcPr>
            <w:tcW w:w="571" w:type="pct"/>
            <w:shd w:val="clear" w:color="auto" w:fill="auto"/>
            <w:noWrap w:val="0"/>
            <w:vAlign w:val="center"/>
          </w:tcPr>
          <w:p w14:paraId="652C78CA">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b w:val="0"/>
                <w:bCs w:val="0"/>
                <w:i w:val="0"/>
                <w:iCs w:val="0"/>
                <w:kern w:val="2"/>
                <w:sz w:val="24"/>
                <w:szCs w:val="24"/>
                <w:u w:val="none"/>
                <w:lang w:val="en-US" w:eastAsia="zh-CN" w:bidi="ar"/>
              </w:rPr>
            </w:pPr>
            <w:r>
              <w:rPr>
                <w:rFonts w:hint="eastAsia" w:ascii="宋体" w:hAnsi="宋体" w:eastAsia="宋体" w:cs="宋体"/>
                <w:b w:val="0"/>
                <w:bCs w:val="0"/>
                <w:i w:val="0"/>
                <w:iCs w:val="0"/>
                <w:kern w:val="2"/>
                <w:sz w:val="24"/>
                <w:szCs w:val="24"/>
                <w:u w:val="none"/>
                <w:lang w:val="en-US" w:eastAsia="zh-CN" w:bidi="ar"/>
              </w:rPr>
              <w:t>小计</w:t>
            </w:r>
          </w:p>
        </w:tc>
      </w:tr>
      <w:tr w14:paraId="1922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83" w:type="pct"/>
            <w:vMerge w:val="continue"/>
            <w:noWrap w:val="0"/>
            <w:vAlign w:val="center"/>
          </w:tcPr>
          <w:p w14:paraId="73E87538">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986" w:type="pct"/>
            <w:vMerge w:val="continue"/>
            <w:shd w:val="clear" w:color="auto" w:fill="auto"/>
            <w:noWrap w:val="0"/>
            <w:vAlign w:val="center"/>
          </w:tcPr>
          <w:p w14:paraId="46C02183">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588" w:type="pct"/>
            <w:shd w:val="clear" w:color="auto" w:fill="auto"/>
            <w:noWrap w:val="0"/>
            <w:vAlign w:val="center"/>
          </w:tcPr>
          <w:p w14:paraId="318EE652">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508" w:type="pct"/>
            <w:shd w:val="clear" w:color="auto" w:fill="auto"/>
            <w:noWrap w:val="0"/>
            <w:vAlign w:val="center"/>
          </w:tcPr>
          <w:p w14:paraId="1F3DE5BA">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656" w:type="pct"/>
            <w:shd w:val="clear" w:color="auto" w:fill="auto"/>
            <w:noWrap w:val="0"/>
            <w:vAlign w:val="center"/>
          </w:tcPr>
          <w:p w14:paraId="105AC685">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both"/>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416" w:type="pct"/>
            <w:shd w:val="clear" w:color="auto" w:fill="auto"/>
            <w:noWrap w:val="0"/>
            <w:vAlign w:val="center"/>
          </w:tcPr>
          <w:p w14:paraId="5093D98A">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iCs w:val="0"/>
                <w:color w:val="auto"/>
                <w:kern w:val="2"/>
                <w:sz w:val="24"/>
                <w:szCs w:val="24"/>
                <w:u w:val="none"/>
                <w:lang w:val="en-US" w:eastAsia="zh-CN" w:bidi="ar"/>
              </w:rPr>
            </w:pPr>
            <w:r>
              <w:rPr>
                <w:rFonts w:hint="eastAsia" w:ascii="宋体" w:hAnsi="宋体" w:eastAsia="宋体" w:cs="宋体"/>
                <w:b w:val="0"/>
                <w:bCs w:val="0"/>
                <w:i w:val="0"/>
                <w:iCs w:val="0"/>
                <w:color w:val="auto"/>
                <w:kern w:val="2"/>
                <w:sz w:val="24"/>
                <w:szCs w:val="24"/>
                <w:u w:val="none"/>
                <w:lang w:val="en-US" w:eastAsia="zh-CN" w:bidi="ar"/>
              </w:rPr>
              <w:t>14</w:t>
            </w:r>
          </w:p>
        </w:tc>
        <w:tc>
          <w:tcPr>
            <w:tcW w:w="412" w:type="pct"/>
            <w:shd w:val="clear" w:color="auto" w:fill="auto"/>
            <w:noWrap w:val="0"/>
            <w:vAlign w:val="center"/>
          </w:tcPr>
          <w:p w14:paraId="57D94CC2">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iCs w:val="0"/>
                <w:color w:val="auto"/>
                <w:kern w:val="2"/>
                <w:sz w:val="24"/>
                <w:szCs w:val="24"/>
                <w:u w:val="none"/>
                <w:lang w:val="en-US" w:eastAsia="zh-CN" w:bidi="ar"/>
              </w:rPr>
            </w:pPr>
            <w:r>
              <w:rPr>
                <w:rFonts w:hint="eastAsia" w:ascii="宋体" w:hAnsi="宋体" w:eastAsia="宋体" w:cs="宋体"/>
                <w:b w:val="0"/>
                <w:bCs w:val="0"/>
                <w:i w:val="0"/>
                <w:iCs w:val="0"/>
                <w:color w:val="auto"/>
                <w:kern w:val="2"/>
                <w:sz w:val="24"/>
                <w:szCs w:val="24"/>
                <w:u w:val="none"/>
                <w:lang w:val="en-US" w:eastAsia="zh-CN" w:bidi="ar"/>
              </w:rPr>
              <w:t>台</w:t>
            </w:r>
          </w:p>
        </w:tc>
        <w:tc>
          <w:tcPr>
            <w:tcW w:w="478" w:type="pct"/>
            <w:shd w:val="clear" w:color="auto" w:fill="auto"/>
            <w:noWrap w:val="0"/>
            <w:vAlign w:val="center"/>
          </w:tcPr>
          <w:p w14:paraId="08F5F855">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iCs w:val="0"/>
                <w:color w:val="auto"/>
                <w:kern w:val="2"/>
                <w:sz w:val="24"/>
                <w:szCs w:val="24"/>
                <w:u w:val="none"/>
                <w:lang w:val="en-US" w:eastAsia="zh-CN" w:bidi="ar"/>
              </w:rPr>
            </w:pPr>
          </w:p>
        </w:tc>
        <w:tc>
          <w:tcPr>
            <w:tcW w:w="571" w:type="pct"/>
            <w:shd w:val="clear" w:color="auto" w:fill="auto"/>
            <w:noWrap w:val="0"/>
            <w:vAlign w:val="center"/>
          </w:tcPr>
          <w:p w14:paraId="30F64B72">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iCs w:val="0"/>
                <w:kern w:val="2"/>
                <w:sz w:val="24"/>
                <w:szCs w:val="24"/>
                <w:u w:val="none"/>
                <w:lang w:val="en-US" w:eastAsia="zh-CN" w:bidi="ar"/>
              </w:rPr>
            </w:pPr>
          </w:p>
        </w:tc>
      </w:tr>
      <w:tr w14:paraId="4E8E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428" w:type="pct"/>
            <w:gridSpan w:val="8"/>
            <w:noWrap w:val="0"/>
            <w:vAlign w:val="center"/>
          </w:tcPr>
          <w:p w14:paraId="128E7366">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b w:val="0"/>
                <w:bCs w:val="0"/>
                <w:i w:val="0"/>
                <w:iCs w:val="0"/>
                <w:kern w:val="2"/>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总计</w:t>
            </w:r>
          </w:p>
        </w:tc>
        <w:tc>
          <w:tcPr>
            <w:tcW w:w="571" w:type="pct"/>
            <w:shd w:val="clear" w:color="auto" w:fill="auto"/>
            <w:noWrap w:val="0"/>
            <w:vAlign w:val="center"/>
          </w:tcPr>
          <w:p w14:paraId="54307F69">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iCs w:val="0"/>
                <w:kern w:val="2"/>
                <w:sz w:val="24"/>
                <w:szCs w:val="24"/>
                <w:u w:val="none"/>
                <w:lang w:val="en-US" w:eastAsia="zh-CN" w:bidi="ar"/>
              </w:rPr>
            </w:pPr>
          </w:p>
        </w:tc>
      </w:tr>
    </w:tbl>
    <w:p w14:paraId="1795A773">
      <w:pPr>
        <w:pStyle w:val="39"/>
        <w:ind w:firstLine="0" w:firstLineChars="0"/>
        <w:rPr>
          <w:rFonts w:hint="eastAsia"/>
          <w:i/>
          <w:iCs/>
          <w:u w:val="single"/>
          <w:lang w:val="en-US" w:eastAsia="zh-Hans"/>
        </w:rPr>
      </w:pPr>
    </w:p>
    <w:p w14:paraId="6EECA4BE">
      <w:pPr>
        <w:pStyle w:val="39"/>
        <w:ind w:firstLine="0" w:firstLineChars="0"/>
        <w:rPr>
          <w:rFonts w:hint="eastAsia"/>
          <w:i/>
          <w:iCs/>
          <w:u w:val="single"/>
          <w:lang w:val="en-US" w:eastAsia="zh-Hans"/>
        </w:rPr>
      </w:pPr>
      <w:r>
        <w:rPr>
          <w:rFonts w:hint="eastAsia" w:ascii="宋体" w:hAnsi="宋体" w:eastAsia="宋体" w:cs="宋体"/>
          <w:b w:val="0"/>
          <w:bCs w:val="0"/>
          <w:i w:val="0"/>
          <w:iCs w:val="0"/>
          <w:color w:val="auto"/>
          <w:kern w:val="0"/>
          <w:sz w:val="24"/>
          <w:szCs w:val="24"/>
          <w:u w:val="none"/>
          <w:lang w:val="en-US" w:eastAsia="zh-CN" w:bidi="ar"/>
        </w:rPr>
        <w:t>标段二：“省级矿山智慧监管平台建设项目”监理服务项目</w:t>
      </w:r>
    </w:p>
    <w:p w14:paraId="5E3A2DDD">
      <w:pPr>
        <w:pStyle w:val="39"/>
        <w:ind w:firstLine="0" w:firstLineChars="0"/>
        <w:jc w:val="right"/>
        <w:rPr>
          <w:rFonts w:hint="default" w:eastAsia="宋体"/>
          <w:i w:val="0"/>
          <w:iCs w:val="0"/>
          <w:u w:val="none"/>
          <w:lang w:val="en-US" w:eastAsia="zh-CN"/>
        </w:rPr>
      </w:pPr>
      <w:r>
        <w:rPr>
          <w:rFonts w:hint="eastAsia"/>
          <w:i w:val="0"/>
          <w:iCs w:val="0"/>
          <w:u w:val="none"/>
          <w:lang w:val="en-US" w:eastAsia="zh-CN"/>
        </w:rPr>
        <w:t>报价单位：元</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4324"/>
        <w:gridCol w:w="721"/>
        <w:gridCol w:w="741"/>
        <w:gridCol w:w="994"/>
        <w:gridCol w:w="975"/>
      </w:tblGrid>
      <w:tr w14:paraId="5FCD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49" w:type="pct"/>
            <w:shd w:val="clear" w:color="auto" w:fill="auto"/>
            <w:noWrap w:val="0"/>
            <w:vAlign w:val="center"/>
          </w:tcPr>
          <w:p w14:paraId="430D747B">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序号</w:t>
            </w:r>
          </w:p>
        </w:tc>
        <w:tc>
          <w:tcPr>
            <w:tcW w:w="2537" w:type="pct"/>
            <w:shd w:val="clear" w:color="auto" w:fill="auto"/>
            <w:noWrap w:val="0"/>
            <w:vAlign w:val="center"/>
          </w:tcPr>
          <w:p w14:paraId="03CCFE46">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内容</w:t>
            </w:r>
          </w:p>
        </w:tc>
        <w:tc>
          <w:tcPr>
            <w:tcW w:w="423" w:type="pct"/>
            <w:shd w:val="clear" w:color="auto" w:fill="auto"/>
            <w:noWrap w:val="0"/>
            <w:vAlign w:val="center"/>
          </w:tcPr>
          <w:p w14:paraId="47004B06">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数量</w:t>
            </w:r>
          </w:p>
        </w:tc>
        <w:tc>
          <w:tcPr>
            <w:tcW w:w="435" w:type="pct"/>
            <w:shd w:val="clear" w:color="auto" w:fill="auto"/>
            <w:noWrap w:val="0"/>
            <w:vAlign w:val="center"/>
          </w:tcPr>
          <w:p w14:paraId="11C40F45">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单位</w:t>
            </w:r>
          </w:p>
        </w:tc>
        <w:tc>
          <w:tcPr>
            <w:tcW w:w="581" w:type="pct"/>
            <w:shd w:val="clear" w:color="auto" w:fill="auto"/>
            <w:noWrap w:val="0"/>
            <w:vAlign w:val="center"/>
          </w:tcPr>
          <w:p w14:paraId="1DA041D3">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单价</w:t>
            </w:r>
          </w:p>
        </w:tc>
        <w:tc>
          <w:tcPr>
            <w:tcW w:w="572" w:type="pct"/>
            <w:shd w:val="clear" w:color="auto" w:fill="auto"/>
            <w:noWrap w:val="0"/>
            <w:vAlign w:val="center"/>
          </w:tcPr>
          <w:p w14:paraId="5F86C145">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小计</w:t>
            </w:r>
          </w:p>
        </w:tc>
      </w:tr>
      <w:tr w14:paraId="5A58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449" w:type="pct"/>
            <w:shd w:val="clear" w:color="auto" w:fill="auto"/>
            <w:noWrap w:val="0"/>
            <w:vAlign w:val="center"/>
          </w:tcPr>
          <w:p w14:paraId="45B6D661">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2537" w:type="pct"/>
            <w:shd w:val="clear" w:color="auto" w:fill="auto"/>
            <w:noWrap w:val="0"/>
            <w:vAlign w:val="center"/>
          </w:tcPr>
          <w:p w14:paraId="6694F0C9">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省级矿山智慧监管平台建设项目”监理服务</w:t>
            </w:r>
          </w:p>
        </w:tc>
        <w:tc>
          <w:tcPr>
            <w:tcW w:w="423" w:type="pct"/>
            <w:shd w:val="clear" w:color="auto" w:fill="auto"/>
            <w:noWrap w:val="0"/>
            <w:vAlign w:val="center"/>
          </w:tcPr>
          <w:p w14:paraId="34B8F284">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b w:val="0"/>
                <w:bCs w:val="0"/>
                <w:i w:val="0"/>
                <w:iCs w:val="0"/>
                <w:kern w:val="2"/>
                <w:sz w:val="24"/>
                <w:szCs w:val="24"/>
                <w:u w:val="none"/>
                <w:lang w:val="en-US" w:eastAsia="zh-CN" w:bidi="ar"/>
              </w:rPr>
            </w:pPr>
            <w:r>
              <w:rPr>
                <w:rFonts w:hint="eastAsia" w:ascii="宋体" w:hAnsi="宋体" w:eastAsia="宋体" w:cs="宋体"/>
                <w:b w:val="0"/>
                <w:bCs w:val="0"/>
                <w:i w:val="0"/>
                <w:iCs w:val="0"/>
                <w:kern w:val="2"/>
                <w:sz w:val="24"/>
                <w:szCs w:val="24"/>
                <w:u w:val="none"/>
                <w:lang w:val="en-US" w:eastAsia="zh-CN" w:bidi="ar"/>
              </w:rPr>
              <w:t>1</w:t>
            </w:r>
          </w:p>
        </w:tc>
        <w:tc>
          <w:tcPr>
            <w:tcW w:w="435" w:type="pct"/>
            <w:shd w:val="clear" w:color="auto" w:fill="auto"/>
            <w:noWrap w:val="0"/>
            <w:vAlign w:val="center"/>
          </w:tcPr>
          <w:p w14:paraId="621B5F12">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b w:val="0"/>
                <w:bCs w:val="0"/>
                <w:i w:val="0"/>
                <w:iCs w:val="0"/>
                <w:kern w:val="2"/>
                <w:sz w:val="24"/>
                <w:szCs w:val="24"/>
                <w:u w:val="none"/>
                <w:lang w:val="en-US" w:eastAsia="zh-CN" w:bidi="ar"/>
              </w:rPr>
            </w:pPr>
            <w:r>
              <w:rPr>
                <w:rFonts w:hint="eastAsia" w:ascii="宋体" w:hAnsi="宋体" w:eastAsia="宋体" w:cs="宋体"/>
                <w:b w:val="0"/>
                <w:bCs w:val="0"/>
                <w:i w:val="0"/>
                <w:iCs w:val="0"/>
                <w:kern w:val="2"/>
                <w:sz w:val="24"/>
                <w:szCs w:val="24"/>
                <w:u w:val="none"/>
                <w:lang w:val="en-US" w:eastAsia="zh-CN" w:bidi="ar"/>
              </w:rPr>
              <w:t>项</w:t>
            </w:r>
          </w:p>
        </w:tc>
        <w:tc>
          <w:tcPr>
            <w:tcW w:w="581" w:type="pct"/>
            <w:shd w:val="clear" w:color="auto" w:fill="auto"/>
            <w:noWrap w:val="0"/>
            <w:vAlign w:val="center"/>
          </w:tcPr>
          <w:p w14:paraId="2C3419B1">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iCs w:val="0"/>
                <w:kern w:val="2"/>
                <w:sz w:val="24"/>
                <w:szCs w:val="24"/>
                <w:u w:val="none"/>
                <w:lang w:val="en-US" w:eastAsia="zh-CN" w:bidi="ar"/>
              </w:rPr>
            </w:pPr>
          </w:p>
        </w:tc>
        <w:tc>
          <w:tcPr>
            <w:tcW w:w="572" w:type="pct"/>
            <w:shd w:val="clear" w:color="auto" w:fill="auto"/>
            <w:noWrap w:val="0"/>
            <w:vAlign w:val="center"/>
          </w:tcPr>
          <w:p w14:paraId="36EB1FDA">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iCs w:val="0"/>
                <w:kern w:val="2"/>
                <w:sz w:val="24"/>
                <w:szCs w:val="24"/>
                <w:u w:val="none"/>
                <w:lang w:val="en-US" w:eastAsia="zh-CN" w:bidi="ar"/>
              </w:rPr>
            </w:pPr>
          </w:p>
        </w:tc>
      </w:tr>
      <w:tr w14:paraId="64CD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427" w:type="pct"/>
            <w:gridSpan w:val="5"/>
            <w:noWrap w:val="0"/>
            <w:vAlign w:val="center"/>
          </w:tcPr>
          <w:p w14:paraId="7BCF6F7F">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b w:val="0"/>
                <w:bCs w:val="0"/>
                <w:i w:val="0"/>
                <w:iCs w:val="0"/>
                <w:kern w:val="2"/>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总计</w:t>
            </w:r>
          </w:p>
        </w:tc>
        <w:tc>
          <w:tcPr>
            <w:tcW w:w="572" w:type="pct"/>
            <w:shd w:val="clear" w:color="auto" w:fill="auto"/>
            <w:noWrap w:val="0"/>
            <w:vAlign w:val="center"/>
          </w:tcPr>
          <w:p w14:paraId="67FF9CB1">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eastAsia="宋体" w:cs="宋体"/>
                <w:b w:val="0"/>
                <w:bCs w:val="0"/>
                <w:i w:val="0"/>
                <w:iCs w:val="0"/>
                <w:kern w:val="2"/>
                <w:sz w:val="24"/>
                <w:szCs w:val="24"/>
                <w:u w:val="none"/>
                <w:lang w:val="en-US" w:eastAsia="zh-CN" w:bidi="ar"/>
              </w:rPr>
            </w:pPr>
          </w:p>
        </w:tc>
      </w:tr>
    </w:tbl>
    <w:p w14:paraId="6C53C8A9">
      <w:pPr>
        <w:pStyle w:val="39"/>
        <w:ind w:firstLine="0" w:firstLineChars="0"/>
        <w:rPr>
          <w:rFonts w:hint="eastAsia"/>
          <w:color w:val="00B050"/>
        </w:rPr>
      </w:pPr>
    </w:p>
    <w:p w14:paraId="48E133FB">
      <w:pPr>
        <w:pStyle w:val="39"/>
        <w:ind w:firstLine="480"/>
      </w:pPr>
    </w:p>
    <w:p w14:paraId="49611579">
      <w:pPr>
        <w:pStyle w:val="39"/>
        <w:ind w:firstLine="480"/>
      </w:pPr>
    </w:p>
    <w:p w14:paraId="707D9B12">
      <w:pPr>
        <w:pStyle w:val="39"/>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1E8B7313">
      <w:pPr>
        <w:pStyle w:val="39"/>
        <w:ind w:firstLine="480"/>
      </w:pPr>
      <w:r>
        <w:rPr>
          <w:rFonts w:hint="eastAsia"/>
        </w:rPr>
        <w:t>日期：  年   月   日</w:t>
      </w:r>
    </w:p>
    <w:p w14:paraId="4E11994E">
      <w:pPr>
        <w:pStyle w:val="39"/>
        <w:ind w:firstLine="480"/>
        <w:rPr>
          <w:rFonts w:cs="Arial"/>
          <w:lang w:eastAsia="zh-CN"/>
        </w:rPr>
      </w:pPr>
    </w:p>
    <w:p w14:paraId="2EF2976A">
      <w:pPr>
        <w:pStyle w:val="39"/>
        <w:ind w:left="0" w:leftChars="0" w:firstLine="0" w:firstLineChars="0"/>
        <w:rPr>
          <w:lang w:eastAsia="zh-CN"/>
        </w:rPr>
      </w:pPr>
      <w:r>
        <w:rPr>
          <w:rFonts w:hint="eastAsia"/>
          <w:lang w:eastAsia="zh-Hans"/>
        </w:rPr>
        <w:t>【</w:t>
      </w:r>
      <w:r>
        <w:rPr>
          <w:rFonts w:hint="eastAsia"/>
        </w:rPr>
        <w:t>注：</w:t>
      </w:r>
    </w:p>
    <w:p w14:paraId="784E4DF6">
      <w:pPr>
        <w:pStyle w:val="39"/>
        <w:numPr>
          <w:ilvl w:val="0"/>
          <w:numId w:val="129"/>
        </w:numPr>
        <w:ind w:firstLine="480"/>
        <w:rPr>
          <w:rFonts w:hint="eastAsia" w:cs="Arial"/>
          <w:iCs/>
        </w:rPr>
      </w:pPr>
      <w:r>
        <w:rPr>
          <w:rFonts w:hint="eastAsia" w:cs="Arial"/>
        </w:rPr>
        <w:t>表格可自行延展，但内容不可缺失</w:t>
      </w:r>
      <w:r>
        <w:rPr>
          <w:rFonts w:hint="eastAsia" w:cs="Arial"/>
          <w:lang w:eastAsia="zh-Hans"/>
        </w:rPr>
        <w:t>。</w:t>
      </w:r>
    </w:p>
    <w:p w14:paraId="6EC6AB59">
      <w:pPr>
        <w:pStyle w:val="39"/>
        <w:numPr>
          <w:ilvl w:val="0"/>
          <w:numId w:val="129"/>
        </w:numPr>
        <w:ind w:firstLine="480"/>
        <w:rPr>
          <w:rFonts w:hint="eastAsia" w:cs="Arial"/>
          <w:iCs/>
        </w:rPr>
      </w:pPr>
      <w:r>
        <w:rPr>
          <w:rFonts w:hint="eastAsia"/>
          <w:lang w:val="en-US" w:eastAsia="zh-Hans"/>
        </w:rPr>
        <w:t>投报多个标项的应当按对应标项分别</w:t>
      </w:r>
      <w:r>
        <w:rPr>
          <w:rFonts w:hint="eastAsia"/>
          <w:lang w:val="en-US" w:eastAsia="zh-CN"/>
        </w:rPr>
        <w:t>填写</w:t>
      </w:r>
      <w:r>
        <w:rPr>
          <w:rFonts w:hint="eastAsia"/>
          <w:lang w:val="en-US" w:eastAsia="zh-Hans"/>
        </w:rPr>
        <w:t>本表</w:t>
      </w:r>
      <w:r>
        <w:rPr>
          <w:rFonts w:hint="eastAsia"/>
          <w:lang w:val="en-US" w:eastAsia="zh-CN"/>
        </w:rPr>
        <w:t>，填报一个标项的可删除多余标项明细表</w:t>
      </w:r>
      <w:r>
        <w:rPr>
          <w:rFonts w:hint="eastAsia"/>
          <w:lang w:val="en-US" w:eastAsia="zh-Hans"/>
        </w:rPr>
        <w:t>。</w:t>
      </w:r>
    </w:p>
    <w:p w14:paraId="1E90D319">
      <w:pPr>
        <w:pStyle w:val="39"/>
        <w:ind w:firstLine="480"/>
        <w:rPr>
          <w:rFonts w:hint="eastAsia" w:eastAsia="宋体"/>
          <w:lang w:eastAsia="zh-Hans"/>
        </w:rPr>
      </w:pPr>
      <w:r>
        <w:rPr>
          <w:rFonts w:hint="default"/>
        </w:rPr>
        <w:t>3</w:t>
      </w:r>
      <w:r>
        <w:rPr>
          <w:rFonts w:hint="eastAsia"/>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w:t>
      </w:r>
      <w:r>
        <w:rPr>
          <w:rFonts w:hint="eastAsia"/>
          <w:lang w:eastAsia="zh-Hans"/>
        </w:rPr>
        <w:t>。</w:t>
      </w:r>
    </w:p>
    <w:p w14:paraId="213B1D8E">
      <w:pPr>
        <w:pStyle w:val="39"/>
        <w:ind w:firstLine="480"/>
        <w:rPr>
          <w:rFonts w:hint="eastAsia" w:eastAsia="宋体"/>
          <w:u w:val="single"/>
          <w:lang w:eastAsia="zh-Hans"/>
        </w:rPr>
      </w:pPr>
      <w:r>
        <w:rPr>
          <w:rFonts w:hint="default"/>
        </w:rPr>
        <w:t>4</w:t>
      </w:r>
      <w:r>
        <w:rPr>
          <w:rFonts w:hint="eastAsia"/>
        </w:rPr>
        <w:t>、特别提示：采购机构将对项目名称和项目编号，中标供应商名称、地址和中标金额，主要中标标的名称、品牌（如果有）、规格型号、数量、单价等予以公示。</w:t>
      </w:r>
      <w:r>
        <w:rPr>
          <w:rFonts w:hint="eastAsia"/>
          <w:lang w:eastAsia="zh-Hans"/>
        </w:rPr>
        <w:t>】</w:t>
      </w:r>
    </w:p>
    <w:p w14:paraId="0A773711">
      <w:pPr>
        <w:pStyle w:val="39"/>
        <w:bidi w:val="0"/>
        <w:rPr>
          <w:lang w:eastAsia="zh-Hans"/>
        </w:rPr>
      </w:pPr>
      <w:r>
        <w:br w:type="page"/>
      </w:r>
    </w:p>
    <w:p w14:paraId="13FCACE3">
      <w:pPr>
        <w:pStyle w:val="41"/>
        <w:numPr>
          <w:ilvl w:val="1"/>
          <w:numId w:val="126"/>
        </w:numPr>
        <w:adjustRightInd/>
      </w:pPr>
      <w:bookmarkStart w:id="490" w:name="_Toc506462865"/>
      <w:bookmarkStart w:id="491" w:name="_Toc1744608587"/>
      <w:r>
        <w:rPr>
          <w:rFonts w:hint="eastAsia"/>
        </w:rPr>
        <w:t>中小企业声明函（</w:t>
      </w:r>
      <w:r>
        <w:rPr>
          <w:rFonts w:hint="eastAsia"/>
          <w:lang w:val="en-US" w:eastAsia="zh-Hans"/>
        </w:rPr>
        <w:t>服务</w:t>
      </w:r>
      <w:r>
        <w:rPr>
          <w:rFonts w:hint="eastAsia"/>
        </w:rPr>
        <w:t>）</w:t>
      </w:r>
      <w:bookmarkEnd w:id="490"/>
      <w:bookmarkEnd w:id="491"/>
    </w:p>
    <w:p w14:paraId="50A82B61">
      <w:pPr>
        <w:pStyle w:val="39"/>
        <w:ind w:left="0" w:leftChars="0" w:firstLine="0" w:firstLineChars="0"/>
        <w:jc w:val="center"/>
        <w:rPr>
          <w:rFonts w:hint="eastAsia"/>
        </w:rPr>
      </w:pPr>
      <w:r>
        <w:rPr>
          <w:rFonts w:hint="eastAsia"/>
          <w:lang w:eastAsia="zh-Hans"/>
        </w:rPr>
        <w:t>【</w:t>
      </w:r>
      <w:r>
        <w:rPr>
          <w:rFonts w:hint="eastAsia"/>
          <w:lang w:val="en-US" w:eastAsia="zh-CN"/>
        </w:rPr>
        <w:t>标项一</w:t>
      </w:r>
      <w:r>
        <w:rPr>
          <w:rFonts w:hint="eastAsia"/>
          <w:i w:val="0"/>
          <w:iCs w:val="0"/>
          <w:lang w:val="en-US" w:eastAsia="zh-Hans"/>
        </w:rPr>
        <w:t>】</w:t>
      </w:r>
    </w:p>
    <w:p w14:paraId="158F2059">
      <w:pPr>
        <w:pStyle w:val="39"/>
        <w:ind w:firstLine="480"/>
      </w:pPr>
      <w:r>
        <w:rPr>
          <w:rFonts w:hint="eastAsia"/>
        </w:rPr>
        <w:t>本公司（联合体）郑重声明，根据《政府采购促进中小企业发展管理办法》（财库﹝2020﹞46 号）的规定，本公司（联合体）参加</w:t>
      </w:r>
      <w:r>
        <w:rPr>
          <w:rFonts w:hint="eastAsia"/>
          <w:b w:val="0"/>
          <w:bCs w:val="0"/>
        </w:rPr>
        <w:t xml:space="preserve"> </w:t>
      </w:r>
      <w:r>
        <w:rPr>
          <w:rFonts w:hint="eastAsia"/>
          <w:b w:val="0"/>
          <w:bCs w:val="0"/>
          <w:color w:val="000000" w:themeColor="text1"/>
          <w:u w:val="single"/>
          <w:lang w:eastAsia="zh-CN"/>
          <w14:textFill>
            <w14:solidFill>
              <w14:schemeClr w14:val="tx1"/>
            </w14:solidFill>
          </w14:textFill>
        </w:rPr>
        <w:t>浙江省应急管理厅</w:t>
      </w:r>
      <w:r>
        <w:rPr>
          <w:rFonts w:hint="eastAsia"/>
          <w:b w:val="0"/>
          <w:bCs w:val="0"/>
          <w:color w:val="auto"/>
          <w:u w:val="single"/>
          <w:lang w:eastAsia="zh-CN"/>
        </w:rPr>
        <w:t>省级矿山智慧监管平台建设</w:t>
      </w:r>
      <w:r>
        <w:rPr>
          <w:rFonts w:hint="eastAsia"/>
          <w:b w:val="0"/>
          <w:bCs w:val="0"/>
          <w:u w:val="single"/>
        </w:rPr>
        <w:t>项目（项目编号：</w:t>
      </w:r>
      <w:r>
        <w:rPr>
          <w:rFonts w:hint="eastAsia"/>
          <w:b w:val="0"/>
          <w:bCs w:val="0"/>
          <w:color w:val="auto"/>
          <w:u w:val="single"/>
          <w:lang w:eastAsia="zh-CN"/>
        </w:rPr>
        <w:t>ZQ250607ZG</w:t>
      </w:r>
      <w:r>
        <w:rPr>
          <w:rFonts w:hint="eastAsia"/>
          <w:b w:val="0"/>
          <w:bCs w:val="0"/>
          <w:u w:val="single"/>
        </w:rPr>
        <w:t>）</w:t>
      </w:r>
      <w:r>
        <w:rPr>
          <w:rFonts w:hint="eastAsia"/>
          <w:i/>
          <w:iCs/>
          <w:u w:val="single"/>
          <w:lang w:val="en-US" w:eastAsia="zh-Hans"/>
        </w:rPr>
        <w:t>标项序号：…标项名称：…</w:t>
      </w:r>
      <w:r>
        <w:rPr>
          <w:rFonts w:hint="eastAsia"/>
        </w:rPr>
        <w:t>采购活动，</w:t>
      </w:r>
      <w:r>
        <w:rPr>
          <w:rFonts w:hint="eastAsia" w:ascii="宋体" w:hAnsi="宋体" w:eastAsia="宋体" w:cs="仿宋"/>
        </w:rPr>
        <w:t>服务全部由符合政策要求的中小企业承接</w:t>
      </w:r>
      <w:r>
        <w:rPr>
          <w:rFonts w:hint="eastAsia"/>
        </w:rPr>
        <w:t>。相关企业（含联合体中的中小企业、签订分包意向协议的中小企业）的具体情况如下：</w:t>
      </w:r>
    </w:p>
    <w:p w14:paraId="483B08F1">
      <w:pPr>
        <w:pStyle w:val="39"/>
        <w:ind w:firstLine="480"/>
        <w:rPr>
          <w:rFonts w:hint="eastAsia"/>
        </w:rPr>
      </w:pPr>
      <w:r>
        <w:rPr>
          <w:rFonts w:hint="eastAsia"/>
        </w:rPr>
        <w:t xml:space="preserve">1. </w:t>
      </w:r>
      <w:r>
        <w:rPr>
          <w:rFonts w:hint="eastAsia"/>
          <w:b w:val="0"/>
          <w:bCs w:val="0"/>
          <w:color w:val="auto"/>
          <w:u w:val="single"/>
          <w:lang w:eastAsia="zh-CN"/>
        </w:rPr>
        <w:t>省级矿山智慧监管平台建设</w:t>
      </w:r>
      <w:r>
        <w:rPr>
          <w:rFonts w:hint="eastAsia"/>
          <w:b w:val="0"/>
          <w:bCs w:val="0"/>
          <w:color w:val="auto"/>
          <w:u w:val="single"/>
          <w:lang w:val="en-US" w:eastAsia="zh-CN"/>
        </w:rPr>
        <w:t>服务</w:t>
      </w:r>
      <w:r>
        <w:rPr>
          <w:rFonts w:hint="eastAsia"/>
        </w:rPr>
        <w:t xml:space="preserve"> ，属于</w:t>
      </w:r>
      <w:r>
        <w:rPr>
          <w:rFonts w:hint="eastAsia"/>
          <w:b w:val="0"/>
          <w:bCs w:val="0"/>
          <w:u w:val="single"/>
        </w:rPr>
        <w:t xml:space="preserve"> </w:t>
      </w:r>
      <w:r>
        <w:rPr>
          <w:rFonts w:hint="eastAsia"/>
          <w:b w:val="0"/>
          <w:bCs w:val="0"/>
          <w:color w:val="auto"/>
          <w:u w:val="single"/>
          <w:lang w:eastAsia="zh-CN"/>
        </w:rPr>
        <w:t>软件和信息技术服务业</w:t>
      </w:r>
      <w:r>
        <w:rPr>
          <w:rFonts w:hint="eastAsia"/>
        </w:rPr>
        <w:t>行业 ；</w:t>
      </w:r>
      <w:r>
        <w:rPr>
          <w:rFonts w:hint="eastAsia" w:ascii="Arial" w:hAnsi="Arial" w:cs="Arial"/>
        </w:rPr>
        <w:t>承建（承接）企业</w:t>
      </w:r>
      <w:r>
        <w:rPr>
          <w:rFonts w:hint="eastAsia"/>
        </w:rPr>
        <w:t>为</w:t>
      </w:r>
      <w:r>
        <w:rPr>
          <w:rFonts w:hint="eastAsia"/>
          <w:u w:val="single"/>
        </w:rPr>
        <w:t xml:space="preserve"> </w:t>
      </w:r>
      <w:r>
        <w:rPr>
          <w:rFonts w:hint="eastAsia"/>
          <w:i/>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i/>
          <w:iCs/>
          <w:u w:val="single"/>
        </w:rPr>
        <w:t xml:space="preserve"> （中型企业、小型企业、微型企业）</w:t>
      </w:r>
      <w:r>
        <w:rPr>
          <w:rFonts w:hint="eastAsia"/>
        </w:rPr>
        <w:t xml:space="preserve"> ；</w:t>
      </w:r>
    </w:p>
    <w:p w14:paraId="2D77BD9D">
      <w:pPr>
        <w:pStyle w:val="39"/>
        <w:ind w:firstLine="480"/>
        <w:rPr>
          <w:rFonts w:hint="eastAsia"/>
        </w:rPr>
      </w:pPr>
    </w:p>
    <w:p w14:paraId="365B829A">
      <w:pPr>
        <w:pStyle w:val="39"/>
        <w:ind w:left="0" w:leftChars="0" w:firstLine="0" w:firstLineChars="0"/>
        <w:jc w:val="center"/>
        <w:rPr>
          <w:rFonts w:hint="eastAsia"/>
        </w:rPr>
      </w:pPr>
      <w:r>
        <w:rPr>
          <w:rFonts w:hint="eastAsia"/>
          <w:lang w:eastAsia="zh-Hans"/>
        </w:rPr>
        <w:t>【</w:t>
      </w:r>
      <w:r>
        <w:rPr>
          <w:rFonts w:hint="eastAsia"/>
          <w:lang w:val="en-US" w:eastAsia="zh-CN"/>
        </w:rPr>
        <w:t>标项二</w:t>
      </w:r>
      <w:r>
        <w:rPr>
          <w:rFonts w:hint="eastAsia"/>
          <w:i w:val="0"/>
          <w:iCs w:val="0"/>
          <w:lang w:val="en-US" w:eastAsia="zh-Hans"/>
        </w:rPr>
        <w:t>】</w:t>
      </w:r>
    </w:p>
    <w:p w14:paraId="442D5F9C">
      <w:pPr>
        <w:pStyle w:val="39"/>
        <w:ind w:firstLine="480"/>
      </w:pPr>
      <w:r>
        <w:rPr>
          <w:rFonts w:hint="eastAsia"/>
        </w:rPr>
        <w:t>本公司（联合体）郑重声明，根据《政府采购促进中小企业发展管理办法》（财库﹝2020﹞46 号）的规定，本公司（联合体）参加</w:t>
      </w:r>
      <w:r>
        <w:rPr>
          <w:rFonts w:hint="eastAsia"/>
          <w:b w:val="0"/>
          <w:bCs w:val="0"/>
        </w:rPr>
        <w:t xml:space="preserve"> </w:t>
      </w:r>
      <w:r>
        <w:rPr>
          <w:rFonts w:hint="eastAsia"/>
          <w:b w:val="0"/>
          <w:bCs w:val="0"/>
          <w:color w:val="000000" w:themeColor="text1"/>
          <w:u w:val="single"/>
          <w:lang w:eastAsia="zh-CN"/>
          <w14:textFill>
            <w14:solidFill>
              <w14:schemeClr w14:val="tx1"/>
            </w14:solidFill>
          </w14:textFill>
        </w:rPr>
        <w:t>浙江省应急管理厅</w:t>
      </w:r>
      <w:r>
        <w:rPr>
          <w:rFonts w:hint="eastAsia"/>
          <w:b w:val="0"/>
          <w:bCs w:val="0"/>
          <w:color w:val="auto"/>
          <w:u w:val="single"/>
          <w:lang w:eastAsia="zh-CN"/>
        </w:rPr>
        <w:t>省级矿山智慧监管平台建设</w:t>
      </w:r>
      <w:r>
        <w:rPr>
          <w:rFonts w:hint="eastAsia"/>
          <w:b w:val="0"/>
          <w:bCs w:val="0"/>
          <w:u w:val="single"/>
        </w:rPr>
        <w:t>项目（项目编号：</w:t>
      </w:r>
      <w:r>
        <w:rPr>
          <w:rFonts w:hint="eastAsia"/>
          <w:b w:val="0"/>
          <w:bCs w:val="0"/>
          <w:color w:val="auto"/>
          <w:u w:val="single"/>
          <w:lang w:eastAsia="zh-CN"/>
        </w:rPr>
        <w:t>ZQ250607ZG</w:t>
      </w:r>
      <w:r>
        <w:rPr>
          <w:rFonts w:hint="eastAsia"/>
          <w:b w:val="0"/>
          <w:bCs w:val="0"/>
          <w:u w:val="single"/>
        </w:rPr>
        <w:t>）</w:t>
      </w:r>
      <w:r>
        <w:rPr>
          <w:rFonts w:hint="eastAsia"/>
          <w:i/>
          <w:iCs/>
          <w:u w:val="single"/>
          <w:lang w:val="en-US" w:eastAsia="zh-Hans"/>
        </w:rPr>
        <w:t>标项序号：…标项名称：…</w:t>
      </w:r>
      <w:r>
        <w:rPr>
          <w:rFonts w:hint="eastAsia"/>
        </w:rPr>
        <w:t>采购活动，</w:t>
      </w:r>
      <w:r>
        <w:rPr>
          <w:rFonts w:hint="eastAsia" w:ascii="宋体" w:hAnsi="宋体" w:eastAsia="宋体" w:cs="仿宋"/>
        </w:rPr>
        <w:t>服务全部由符合政策要求的中小企业承接</w:t>
      </w:r>
      <w:r>
        <w:rPr>
          <w:rFonts w:hint="eastAsia"/>
        </w:rPr>
        <w:t>。相关企业（含联合体中的中小企业、签订分包意向协议的中小企业）的具体情况如下：</w:t>
      </w:r>
    </w:p>
    <w:p w14:paraId="7DA48A7C">
      <w:pPr>
        <w:pStyle w:val="39"/>
        <w:ind w:firstLine="480"/>
      </w:pPr>
      <w:r>
        <w:rPr>
          <w:rFonts w:hint="eastAsia"/>
        </w:rPr>
        <w:t xml:space="preserve">1. </w:t>
      </w:r>
      <w:r>
        <w:rPr>
          <w:rFonts w:hint="eastAsia"/>
          <w:lang w:eastAsia="zh-CN"/>
        </w:rPr>
        <w:t>“</w:t>
      </w:r>
      <w:r>
        <w:rPr>
          <w:rFonts w:hint="eastAsia"/>
          <w:b w:val="0"/>
          <w:bCs w:val="0"/>
          <w:color w:val="auto"/>
          <w:u w:val="single"/>
          <w:lang w:eastAsia="zh-CN"/>
        </w:rPr>
        <w:t>省级矿山智慧监管平台建设</w:t>
      </w:r>
      <w:r>
        <w:rPr>
          <w:rFonts w:hint="eastAsia"/>
          <w:b w:val="0"/>
          <w:bCs w:val="0"/>
          <w:color w:val="auto"/>
          <w:u w:val="single"/>
          <w:lang w:val="en-US" w:eastAsia="zh-CN"/>
        </w:rPr>
        <w:t>项目”监理服务</w:t>
      </w:r>
      <w:r>
        <w:rPr>
          <w:rFonts w:hint="eastAsia"/>
        </w:rPr>
        <w:t xml:space="preserve"> ，属于</w:t>
      </w:r>
      <w:r>
        <w:rPr>
          <w:rFonts w:hint="eastAsia"/>
          <w:b w:val="0"/>
          <w:bCs w:val="0"/>
          <w:u w:val="single"/>
        </w:rPr>
        <w:t xml:space="preserve"> </w:t>
      </w:r>
      <w:r>
        <w:rPr>
          <w:rFonts w:hint="eastAsia"/>
          <w:b w:val="0"/>
          <w:bCs w:val="0"/>
          <w:color w:val="auto"/>
          <w:u w:val="single"/>
          <w:lang w:eastAsia="zh-CN"/>
        </w:rPr>
        <w:t>软件和信息技术服务业</w:t>
      </w:r>
      <w:r>
        <w:rPr>
          <w:rFonts w:hint="eastAsia"/>
        </w:rPr>
        <w:t>行业 ；</w:t>
      </w:r>
      <w:r>
        <w:rPr>
          <w:rFonts w:hint="eastAsia" w:ascii="Arial" w:hAnsi="Arial" w:cs="Arial"/>
        </w:rPr>
        <w:t>承建（承接）企业</w:t>
      </w:r>
      <w:r>
        <w:rPr>
          <w:rFonts w:hint="eastAsia"/>
        </w:rPr>
        <w:t>为</w:t>
      </w:r>
      <w:r>
        <w:rPr>
          <w:rFonts w:hint="eastAsia"/>
          <w:u w:val="single"/>
        </w:rPr>
        <w:t xml:space="preserve"> </w:t>
      </w:r>
      <w:r>
        <w:rPr>
          <w:rFonts w:hint="eastAsia"/>
          <w:i/>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i/>
          <w:iCs/>
          <w:u w:val="single"/>
        </w:rPr>
        <w:t xml:space="preserve"> （中型企业、小型企业、微型企业）</w:t>
      </w:r>
      <w:r>
        <w:rPr>
          <w:rFonts w:hint="eastAsia"/>
        </w:rPr>
        <w:t xml:space="preserve"> ；</w:t>
      </w:r>
    </w:p>
    <w:p w14:paraId="1F781C72">
      <w:pPr>
        <w:pStyle w:val="39"/>
        <w:ind w:firstLine="480"/>
        <w:rPr>
          <w:rFonts w:hint="eastAsia" w:eastAsia="宋体"/>
          <w:i w:val="0"/>
          <w:iCs w:val="0"/>
          <w:lang w:eastAsia="zh-Hans"/>
        </w:rPr>
      </w:pPr>
    </w:p>
    <w:p w14:paraId="604EC316">
      <w:pPr>
        <w:pStyle w:val="39"/>
        <w:ind w:firstLine="480"/>
        <w:rPr>
          <w:rFonts w:hint="eastAsia"/>
        </w:rPr>
      </w:pPr>
    </w:p>
    <w:p w14:paraId="057F655C">
      <w:pPr>
        <w:pStyle w:val="39"/>
        <w:ind w:firstLine="480"/>
      </w:pPr>
      <w:r>
        <w:rPr>
          <w:rFonts w:hint="eastAsia"/>
        </w:rPr>
        <w:t>以上企业，不属于大企业的分支机构，不存在控股股东为大企业的情形，也不存在与大企业的负责人为同一人的情形。</w:t>
      </w:r>
    </w:p>
    <w:p w14:paraId="6836C2B9">
      <w:pPr>
        <w:pStyle w:val="39"/>
        <w:ind w:firstLine="480"/>
      </w:pPr>
      <w:r>
        <w:rPr>
          <w:rFonts w:hint="eastAsia"/>
        </w:rPr>
        <w:t>本企业对上述声明内容的真实性负责。如有虚假，将依法承担相应责任。</w:t>
      </w:r>
    </w:p>
    <w:p w14:paraId="3DCE0B3B">
      <w:pPr>
        <w:pStyle w:val="39"/>
        <w:ind w:firstLine="480"/>
      </w:pPr>
    </w:p>
    <w:p w14:paraId="0302CB3F">
      <w:pPr>
        <w:pStyle w:val="39"/>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3C776D89">
      <w:pPr>
        <w:pStyle w:val="39"/>
        <w:ind w:firstLine="480"/>
      </w:pPr>
      <w:r>
        <w:rPr>
          <w:rFonts w:hint="eastAsia"/>
        </w:rPr>
        <w:t>日期：  年   月   日</w:t>
      </w:r>
    </w:p>
    <w:p w14:paraId="2BF02D9F">
      <w:pPr>
        <w:pStyle w:val="39"/>
        <w:ind w:firstLine="0" w:firstLineChars="0"/>
        <w:rPr>
          <w:rFonts w:hint="eastAsia" w:cs="宋体"/>
          <w:b/>
          <w:lang w:eastAsia="zh-CN"/>
        </w:rPr>
      </w:pPr>
    </w:p>
    <w:p w14:paraId="10979673">
      <w:pPr>
        <w:pStyle w:val="39"/>
        <w:ind w:firstLine="0" w:firstLineChars="0"/>
        <w:rPr>
          <w:rFonts w:cs="宋体"/>
          <w:bCs/>
        </w:rPr>
      </w:pPr>
      <w:r>
        <w:rPr>
          <w:rFonts w:hint="eastAsia" w:cs="宋体"/>
          <w:b/>
          <w:lang w:eastAsia="zh-CN"/>
        </w:rPr>
        <w:t>【</w:t>
      </w:r>
      <w:r>
        <w:rPr>
          <w:rFonts w:hint="eastAsia" w:cs="宋体"/>
          <w:bCs/>
        </w:rPr>
        <w:t>提示：</w:t>
      </w:r>
    </w:p>
    <w:p w14:paraId="073D3D4B">
      <w:pPr>
        <w:pStyle w:val="48"/>
        <w:numPr>
          <w:ilvl w:val="0"/>
          <w:numId w:val="130"/>
        </w:numPr>
        <w:ind w:firstLine="480"/>
      </w:pPr>
      <w:r>
        <w:rPr>
          <w:rFonts w:hint="eastAsia"/>
        </w:rPr>
        <w:t>投标供应商应实事求是填写并提供本表，不属于中小企业的可不提供；</w:t>
      </w:r>
    </w:p>
    <w:p w14:paraId="720D1D17">
      <w:pPr>
        <w:pStyle w:val="48"/>
        <w:numPr>
          <w:ilvl w:val="0"/>
          <w:numId w:val="130"/>
        </w:numPr>
        <w:ind w:firstLine="480"/>
      </w:pPr>
      <w:r>
        <w:rPr>
          <w:rFonts w:hint="eastAsia"/>
        </w:rPr>
        <w:t>从业人员、营业收入、资产总额填报上一年度数据，无上一年度数据的新成立企业可不填报；</w:t>
      </w:r>
    </w:p>
    <w:p w14:paraId="08893CA0">
      <w:pPr>
        <w:pStyle w:val="48"/>
        <w:numPr>
          <w:ilvl w:val="0"/>
          <w:numId w:val="130"/>
        </w:numPr>
        <w:ind w:firstLine="480"/>
        <w:rPr>
          <w:rFonts w:ascii="黑体" w:hAnsi="黑体" w:eastAsia="黑体" w:cs="黑体"/>
          <w:sz w:val="32"/>
          <w:szCs w:val="32"/>
        </w:rPr>
      </w:pPr>
      <w:r>
        <w:rPr>
          <w:rFonts w:hint="eastAsia"/>
        </w:rPr>
        <w:t>中小型企业划型标准：详见《工业和信息化部、国家统计局、国家发展和改革委员会、财政部关于印发中小企业划型标准规定的通知（工信部联企业[2011]300号）》，</w:t>
      </w:r>
      <w:r>
        <w:rPr>
          <w:rFonts w:hint="eastAsia"/>
          <w:b/>
          <w:u w:val="single"/>
        </w:rPr>
        <w:t>不论投标人属于何种行业，均按照招标文件列明的“标的物”的所属行业标准划分。】</w:t>
      </w:r>
      <w:r>
        <w:br w:type="page"/>
      </w:r>
    </w:p>
    <w:p w14:paraId="3B515077">
      <w:pPr>
        <w:pStyle w:val="41"/>
        <w:numPr>
          <w:ilvl w:val="1"/>
          <w:numId w:val="126"/>
        </w:numPr>
        <w:adjustRightInd/>
      </w:pPr>
      <w:bookmarkStart w:id="492" w:name="_Toc2042289218"/>
      <w:bookmarkStart w:id="493" w:name="_Toc1643678994"/>
      <w:r>
        <w:rPr>
          <w:rFonts w:hint="eastAsia"/>
        </w:rPr>
        <w:t>残疾人福利性单位声明函</w:t>
      </w:r>
      <w:bookmarkEnd w:id="492"/>
      <w:bookmarkEnd w:id="493"/>
    </w:p>
    <w:p w14:paraId="56A647D0">
      <w:pPr>
        <w:pStyle w:val="39"/>
        <w:ind w:firstLine="480"/>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eastAsia"/>
          <w:color w:val="000000" w:themeColor="text1"/>
          <w:u w:val="single"/>
          <w:lang w:eastAsia="zh-CN"/>
          <w14:textFill>
            <w14:solidFill>
              <w14:schemeClr w14:val="tx1"/>
            </w14:solidFill>
          </w14:textFill>
        </w:rPr>
        <w:t>浙江省应急管理厅</w:t>
      </w:r>
      <w:r>
        <w:rPr>
          <w:rFonts w:hint="eastAsia"/>
        </w:rPr>
        <w:t>单位的</w:t>
      </w:r>
      <w:r>
        <w:rPr>
          <w:rFonts w:hint="eastAsia"/>
          <w:color w:val="auto"/>
          <w:u w:val="single"/>
          <w:lang w:eastAsia="zh-CN"/>
        </w:rPr>
        <w:t>省级矿山智慧监管平台建设</w:t>
      </w:r>
      <w:r>
        <w:rPr>
          <w:rFonts w:hint="eastAsia"/>
        </w:rPr>
        <w:t>项目</w:t>
      </w:r>
      <w:r>
        <w:rPr>
          <w:rFonts w:hint="eastAsia"/>
          <w:i/>
          <w:iCs/>
          <w:u w:val="single"/>
          <w:lang w:val="en-US" w:eastAsia="zh-Hans"/>
        </w:rPr>
        <w:t>标项序号：…标项名称：…</w:t>
      </w:r>
      <w:r>
        <w:rPr>
          <w:rFonts w:hint="eastAsia"/>
        </w:rPr>
        <w:t>采购活动提供本单位</w:t>
      </w:r>
      <w:r>
        <w:rPr>
          <w:rFonts w:hint="eastAsia"/>
          <w:lang w:val="en-US" w:eastAsia="zh-CN"/>
        </w:rPr>
        <w:t>提供的服务</w:t>
      </w:r>
      <w:r>
        <w:t>，或者提供其他残疾人福利性单位</w:t>
      </w:r>
      <w:r>
        <w:rPr>
          <w:rFonts w:hint="eastAsia"/>
          <w:lang w:val="en-US" w:eastAsia="zh-CN"/>
        </w:rPr>
        <w:t>的服务</w:t>
      </w:r>
      <w:r>
        <w:rPr>
          <w:rFonts w:hint="eastAsia"/>
        </w:rPr>
        <w:t>。</w:t>
      </w:r>
    </w:p>
    <w:p w14:paraId="5DE7D527">
      <w:pPr>
        <w:pStyle w:val="39"/>
        <w:ind w:firstLine="480"/>
      </w:pPr>
      <w:r>
        <w:rPr>
          <w:rFonts w:hint="eastAsia"/>
        </w:rPr>
        <w:t>本单位对上述声明的真实性负责。如有虚假，将依法承担相应责任。</w:t>
      </w:r>
    </w:p>
    <w:p w14:paraId="127F6694">
      <w:pPr>
        <w:pStyle w:val="39"/>
        <w:ind w:firstLine="480"/>
      </w:pPr>
      <w:r>
        <w:rPr>
          <w:rFonts w:hint="eastAsia"/>
        </w:rPr>
        <w:t xml:space="preserve"> </w:t>
      </w:r>
    </w:p>
    <w:p w14:paraId="665F60E4">
      <w:pPr>
        <w:pStyle w:val="39"/>
        <w:ind w:firstLine="480"/>
      </w:pPr>
      <w:r>
        <w:rPr>
          <w:rFonts w:hint="eastAsia"/>
        </w:rPr>
        <w:t xml:space="preserve"> </w:t>
      </w:r>
    </w:p>
    <w:p w14:paraId="3FD16A92">
      <w:pPr>
        <w:pStyle w:val="39"/>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4C9D750C">
      <w:pPr>
        <w:pStyle w:val="39"/>
        <w:ind w:firstLine="480"/>
      </w:pPr>
      <w:r>
        <w:rPr>
          <w:rFonts w:hint="eastAsia"/>
        </w:rPr>
        <w:t>日期：  年   月   日</w:t>
      </w:r>
    </w:p>
    <w:p w14:paraId="0441E02B">
      <w:pPr>
        <w:pStyle w:val="39"/>
        <w:ind w:firstLine="0" w:firstLineChars="0"/>
      </w:pPr>
    </w:p>
    <w:p w14:paraId="6E6C4C37">
      <w:pPr>
        <w:pStyle w:val="39"/>
        <w:ind w:firstLine="0" w:firstLineChars="0"/>
        <w:rPr>
          <w:lang w:eastAsia="zh-CN"/>
        </w:rPr>
      </w:pPr>
      <w:r>
        <w:rPr>
          <w:rFonts w:hint="eastAsia"/>
          <w:lang w:eastAsia="zh-CN"/>
        </w:rPr>
        <w:t>【本格式文本仅限</w:t>
      </w:r>
      <w:r>
        <w:rPr>
          <w:rFonts w:hint="eastAsia"/>
        </w:rPr>
        <w:t>残疾人福利性单位</w:t>
      </w:r>
      <w:r>
        <w:rPr>
          <w:rFonts w:hint="eastAsia"/>
          <w:lang w:eastAsia="zh-CN"/>
        </w:rPr>
        <w:t>填写】</w:t>
      </w:r>
    </w:p>
    <w:p w14:paraId="6F3BB024">
      <w:pPr>
        <w:pStyle w:val="39"/>
        <w:bidi w:val="0"/>
        <w:rPr>
          <w:lang w:eastAsia="zh-Hans"/>
        </w:rPr>
      </w:pPr>
      <w:r>
        <w:br w:type="page"/>
      </w:r>
    </w:p>
    <w:bookmarkEnd w:id="473"/>
    <w:p w14:paraId="7383B408">
      <w:pPr>
        <w:pStyle w:val="41"/>
        <w:numPr>
          <w:ilvl w:val="1"/>
          <w:numId w:val="126"/>
        </w:numPr>
        <w:rPr>
          <w:sz w:val="36"/>
          <w:szCs w:val="44"/>
        </w:rPr>
      </w:pPr>
      <w:bookmarkStart w:id="494" w:name="_Toc83217150"/>
      <w:bookmarkStart w:id="495" w:name="_Toc1523756925"/>
      <w:r>
        <w:t>商务</w:t>
      </w:r>
      <w:r>
        <w:rPr>
          <w:rFonts w:hint="eastAsia"/>
        </w:rPr>
        <w:t>及</w:t>
      </w:r>
      <w:r>
        <w:t>技术偏离表</w:t>
      </w:r>
      <w:bookmarkEnd w:id="494"/>
      <w:bookmarkEnd w:id="495"/>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192"/>
        <w:gridCol w:w="3192"/>
        <w:gridCol w:w="1335"/>
      </w:tblGrid>
      <w:tr w14:paraId="5B83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1" w:type="pct"/>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03EFB919">
            <w:pPr>
              <w:pStyle w:val="39"/>
              <w:ind w:firstLine="0" w:firstLineChars="0"/>
              <w:rPr>
                <w:b/>
                <w:i w:val="0"/>
              </w:rPr>
            </w:pPr>
            <w:r>
              <w:rPr>
                <w:rFonts w:hint="eastAsia"/>
                <w:b/>
                <w:i w:val="0"/>
              </w:rPr>
              <w:t>序号</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2CB635E4">
            <w:pPr>
              <w:pStyle w:val="39"/>
              <w:ind w:firstLine="0" w:firstLineChars="0"/>
              <w:rPr>
                <w:b/>
                <w:i w:val="0"/>
              </w:rPr>
            </w:pPr>
            <w:r>
              <w:rPr>
                <w:rFonts w:hint="eastAsia"/>
                <w:b/>
                <w:i w:val="0"/>
              </w:rPr>
              <w:t>招标文件章节及具体内容</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08FC5591">
            <w:pPr>
              <w:pStyle w:val="39"/>
              <w:ind w:firstLine="0" w:firstLineChars="0"/>
              <w:rPr>
                <w:b/>
                <w:i w:val="0"/>
              </w:rPr>
            </w:pPr>
            <w:r>
              <w:rPr>
                <w:rFonts w:hint="eastAsia"/>
                <w:b/>
                <w:i w:val="0"/>
              </w:rPr>
              <w:t>投标文件章节及具体内容</w:t>
            </w:r>
          </w:p>
        </w:tc>
        <w:tc>
          <w:tcPr>
            <w:tcW w:w="783" w:type="pct"/>
            <w:tcBorders>
              <w:top w:val="single" w:color="auto" w:sz="4" w:space="0"/>
              <w:bottom w:val="single" w:color="auto" w:sz="4" w:space="0"/>
              <w:right w:val="single" w:color="auto" w:sz="4" w:space="0"/>
              <w:insideH w:val="single" w:sz="4" w:space="0"/>
              <w:insideV w:val="single" w:sz="4" w:space="0"/>
            </w:tcBorders>
            <w:vAlign w:val="center"/>
          </w:tcPr>
          <w:p w14:paraId="08C1F4E9">
            <w:pPr>
              <w:pStyle w:val="39"/>
              <w:ind w:firstLine="0" w:firstLineChars="0"/>
              <w:rPr>
                <w:b/>
                <w:i w:val="0"/>
              </w:rPr>
            </w:pPr>
            <w:r>
              <w:rPr>
                <w:rFonts w:hint="eastAsia"/>
                <w:b/>
                <w:i w:val="0"/>
              </w:rPr>
              <w:t>偏离说明</w:t>
            </w:r>
          </w:p>
        </w:tc>
      </w:tr>
      <w:tr w14:paraId="495B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23596B32">
            <w:pPr>
              <w:pStyle w:val="39"/>
              <w:ind w:firstLine="0" w:firstLineChars="0"/>
              <w:rPr>
                <w:kern w:val="0"/>
              </w:rPr>
            </w:pPr>
            <w:r>
              <w:rPr>
                <w:rFonts w:hint="eastAsia"/>
                <w:kern w:val="0"/>
              </w:rPr>
              <w:t>1</w:t>
            </w:r>
          </w:p>
        </w:tc>
        <w:tc>
          <w:tcPr>
            <w:tcW w:w="1873" w:type="pct"/>
            <w:tcBorders>
              <w:top w:val="single" w:color="auto" w:sz="4" w:space="0"/>
              <w:left w:val="single" w:color="auto" w:sz="4" w:space="0"/>
              <w:bottom w:val="single" w:color="auto" w:sz="4" w:space="0"/>
              <w:right w:val="single" w:color="auto" w:sz="4" w:space="0"/>
            </w:tcBorders>
            <w:vAlign w:val="center"/>
          </w:tcPr>
          <w:p w14:paraId="1EE3DEE1">
            <w:pPr>
              <w:pStyle w:val="39"/>
              <w:ind w:firstLine="0" w:firstLineChars="0"/>
              <w:rPr>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6C7BCAEA">
            <w:pPr>
              <w:pStyle w:val="39"/>
              <w:ind w:firstLine="0" w:firstLineChars="0"/>
              <w:rPr>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48017D9B">
            <w:pPr>
              <w:pStyle w:val="39"/>
              <w:ind w:firstLine="0" w:firstLineChars="0"/>
              <w:rPr>
                <w:b/>
                <w:kern w:val="0"/>
                <w:sz w:val="32"/>
                <w:szCs w:val="32"/>
              </w:rPr>
            </w:pPr>
          </w:p>
        </w:tc>
      </w:tr>
      <w:tr w14:paraId="1000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0C22EA96">
            <w:pPr>
              <w:pStyle w:val="39"/>
              <w:ind w:firstLine="0" w:firstLineChars="0"/>
              <w:rPr>
                <w:kern w:val="0"/>
              </w:rPr>
            </w:pPr>
            <w:r>
              <w:rPr>
                <w:rFonts w:hint="eastAsia"/>
                <w:kern w:val="0"/>
              </w:rPr>
              <w:t>2</w:t>
            </w:r>
          </w:p>
        </w:tc>
        <w:tc>
          <w:tcPr>
            <w:tcW w:w="1873" w:type="pct"/>
            <w:tcBorders>
              <w:top w:val="single" w:color="auto" w:sz="4" w:space="0"/>
              <w:left w:val="single" w:color="auto" w:sz="4" w:space="0"/>
              <w:bottom w:val="single" w:color="auto" w:sz="4" w:space="0"/>
              <w:right w:val="single" w:color="auto" w:sz="4" w:space="0"/>
            </w:tcBorders>
            <w:vAlign w:val="center"/>
          </w:tcPr>
          <w:p w14:paraId="12E50D0A">
            <w:pPr>
              <w:pStyle w:val="39"/>
              <w:ind w:firstLine="0" w:firstLineChars="0"/>
              <w:rPr>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0547036A">
            <w:pPr>
              <w:pStyle w:val="39"/>
              <w:ind w:firstLine="0" w:firstLineChars="0"/>
              <w:rPr>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03B156B7">
            <w:pPr>
              <w:pStyle w:val="39"/>
              <w:ind w:firstLine="0" w:firstLineChars="0"/>
              <w:rPr>
                <w:b/>
                <w:kern w:val="0"/>
                <w:sz w:val="32"/>
                <w:szCs w:val="32"/>
              </w:rPr>
            </w:pPr>
          </w:p>
        </w:tc>
      </w:tr>
      <w:tr w14:paraId="61A6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38A34BAF">
            <w:pPr>
              <w:pStyle w:val="39"/>
              <w:ind w:firstLine="0" w:firstLineChars="0"/>
              <w:rPr>
                <w:kern w:val="0"/>
              </w:rPr>
            </w:pPr>
            <w:r>
              <w:rPr>
                <w:rFonts w:hint="eastAsia"/>
                <w:kern w:val="0"/>
              </w:rPr>
              <w:t>……</w:t>
            </w:r>
          </w:p>
        </w:tc>
        <w:tc>
          <w:tcPr>
            <w:tcW w:w="1873" w:type="pct"/>
            <w:tcBorders>
              <w:top w:val="single" w:color="auto" w:sz="4" w:space="0"/>
              <w:left w:val="single" w:color="auto" w:sz="4" w:space="0"/>
              <w:bottom w:val="single" w:color="auto" w:sz="4" w:space="0"/>
              <w:right w:val="single" w:color="auto" w:sz="4" w:space="0"/>
            </w:tcBorders>
            <w:vAlign w:val="center"/>
          </w:tcPr>
          <w:p w14:paraId="0D405CAA">
            <w:pPr>
              <w:pStyle w:val="39"/>
              <w:ind w:firstLine="0" w:firstLineChars="0"/>
              <w:rPr>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38884D1F">
            <w:pPr>
              <w:pStyle w:val="39"/>
              <w:ind w:firstLine="0" w:firstLineChars="0"/>
              <w:rPr>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03591E18">
            <w:pPr>
              <w:pStyle w:val="39"/>
              <w:ind w:firstLine="0" w:firstLineChars="0"/>
              <w:rPr>
                <w:b/>
                <w:kern w:val="0"/>
                <w:sz w:val="32"/>
                <w:szCs w:val="32"/>
              </w:rPr>
            </w:pPr>
          </w:p>
        </w:tc>
      </w:tr>
    </w:tbl>
    <w:p w14:paraId="01EF666B">
      <w:pPr>
        <w:pStyle w:val="39"/>
        <w:bidi w:val="0"/>
      </w:pPr>
      <w:r>
        <w:rPr>
          <w:rFonts w:hint="eastAsia"/>
        </w:rPr>
        <w:t>投标人保证：除商务技术偏离表列出的偏离外，投标人响应招标文件的全部要求</w:t>
      </w:r>
    </w:p>
    <w:p w14:paraId="6FDBE055">
      <w:pPr>
        <w:pStyle w:val="39"/>
        <w:ind w:firstLine="0" w:firstLineChars="0"/>
      </w:pPr>
    </w:p>
    <w:p w14:paraId="11459E77">
      <w:pPr>
        <w:pStyle w:val="39"/>
        <w:ind w:firstLine="0" w:firstLineChars="0"/>
      </w:pPr>
    </w:p>
    <w:p w14:paraId="62F83637">
      <w:pPr>
        <w:pStyle w:val="39"/>
        <w:ind w:firstLine="0" w:firstLineChars="0"/>
        <w:rPr>
          <w:lang w:eastAsia="zh-CN"/>
        </w:rPr>
      </w:pPr>
    </w:p>
    <w:p w14:paraId="64396712">
      <w:pPr>
        <w:pStyle w:val="39"/>
        <w:ind w:firstLine="0" w:firstLineChars="0"/>
      </w:pPr>
    </w:p>
    <w:p w14:paraId="79088E53">
      <w:pPr>
        <w:pStyle w:val="39"/>
        <w:ind w:firstLine="0" w:firstLineChars="0"/>
      </w:pPr>
    </w:p>
    <w:p w14:paraId="5CDA8D22">
      <w:pPr>
        <w:pStyle w:val="39"/>
        <w:ind w:firstLine="0" w:firstLineChars="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22D64770">
      <w:pPr>
        <w:pStyle w:val="39"/>
        <w:ind w:firstLine="0" w:firstLineChars="0"/>
      </w:pPr>
    </w:p>
    <w:p w14:paraId="1CAB525A">
      <w:pPr>
        <w:pStyle w:val="39"/>
        <w:ind w:firstLine="0" w:firstLineChars="0"/>
      </w:pPr>
      <w:r>
        <w:rPr>
          <w:rFonts w:hint="eastAsia"/>
        </w:rPr>
        <w:t>日期：   年   月   日</w:t>
      </w:r>
    </w:p>
    <w:p w14:paraId="7C3E8779">
      <w:pPr>
        <w:pStyle w:val="39"/>
        <w:ind w:firstLine="0" w:firstLineChars="0"/>
      </w:pPr>
    </w:p>
    <w:sectPr>
      <w:footerReference r:id="rId12"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20B0604020202020204"/>
    <w:charset w:val="86"/>
    <w:family w:val="roman"/>
    <w:pitch w:val="default"/>
    <w:sig w:usb0="00000000" w:usb1="00000000" w:usb2="00000000" w:usb3="00000000" w:csb0="00000000" w:csb1="00000000"/>
  </w:font>
  <w:font w:name="Helvetica">
    <w:altName w:val="Arial"/>
    <w:panose1 w:val="00000000000000000000"/>
    <w:charset w:val="00"/>
    <w:family w:val="swiss"/>
    <w:pitch w:val="default"/>
    <w:sig w:usb0="00000000" w:usb1="00000000" w:usb2="00000000" w:usb3="00000000" w:csb0="2000019F" w:csb1="4F010000"/>
  </w:font>
  <w:font w:name="SimSong">
    <w:altName w:val="宋体"/>
    <w:panose1 w:val="02020300000000000000"/>
    <w:charset w:val="86"/>
    <w:family w:val="auto"/>
    <w:pitch w:val="default"/>
    <w:sig w:usb0="00000000" w:usb1="00000000" w:usb2="00000016" w:usb3="00000000" w:csb0="0004000D"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B0604020202020204"/>
    <w:charset w:val="86"/>
    <w:family w:val="modern"/>
    <w:pitch w:val="default"/>
    <w:sig w:usb0="00000000" w:usb1="00000000" w:usb2="00000010" w:usb3="00000000" w:csb0="000401F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AdobeFangsongStd-Regular">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CA4D1">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3"/>
      </w:rPr>
      <w:id w:val="1946884916"/>
    </w:sdtPr>
    <w:sdtEndPr>
      <w:rPr>
        <w:rStyle w:val="33"/>
      </w:rPr>
    </w:sdtEndPr>
    <w:sdtContent>
      <w:p w14:paraId="16C7309D">
        <w:pPr>
          <w:pStyle w:val="20"/>
          <w:framePr w:wrap="auto" w:vAnchor="text" w:hAnchor="margin" w:xAlign="center" w:y="1"/>
          <w:ind w:firstLine="360"/>
          <w:rPr>
            <w:rStyle w:val="33"/>
          </w:rPr>
        </w:pPr>
        <w:r>
          <w:rPr>
            <w:rStyle w:val="33"/>
          </w:rPr>
          <w:fldChar w:fldCharType="begin"/>
        </w:r>
        <w:r>
          <w:rPr>
            <w:rStyle w:val="33"/>
          </w:rPr>
          <w:instrText xml:space="preserve"> PAGE </w:instrText>
        </w:r>
        <w:r>
          <w:rPr>
            <w:rStyle w:val="33"/>
          </w:rPr>
          <w:fldChar w:fldCharType="end"/>
        </w:r>
      </w:p>
    </w:sdtContent>
  </w:sdt>
  <w:sdt>
    <w:sdtPr>
      <w:rPr>
        <w:rStyle w:val="33"/>
      </w:rPr>
      <w:id w:val="-1"/>
    </w:sdtPr>
    <w:sdtEndPr>
      <w:rPr>
        <w:rStyle w:val="33"/>
      </w:rPr>
    </w:sdtEndPr>
    <w:sdtContent>
      <w:p w14:paraId="34EDFC23">
        <w:pPr>
          <w:pStyle w:val="20"/>
          <w:framePr w:wrap="auto" w:vAnchor="text" w:hAnchor="margin" w:xAlign="center" w:y="1"/>
          <w:ind w:firstLine="360"/>
          <w:rPr>
            <w:rStyle w:val="33"/>
          </w:rPr>
        </w:pPr>
        <w:r>
          <w:rPr>
            <w:rStyle w:val="33"/>
          </w:rPr>
          <w:fldChar w:fldCharType="begin"/>
        </w:r>
        <w:r>
          <w:rPr>
            <w:rStyle w:val="33"/>
          </w:rPr>
          <w:instrText xml:space="preserve"> PAGE </w:instrText>
        </w:r>
        <w:r>
          <w:rPr>
            <w:rStyle w:val="33"/>
          </w:rPr>
          <w:fldChar w:fldCharType="end"/>
        </w:r>
      </w:p>
    </w:sdtContent>
  </w:sdt>
  <w:sdt>
    <w:sdtPr>
      <w:rPr>
        <w:rStyle w:val="33"/>
      </w:rPr>
      <w:id w:val="1796788937"/>
    </w:sdtPr>
    <w:sdtEndPr>
      <w:rPr>
        <w:rStyle w:val="33"/>
      </w:rPr>
    </w:sdtEndPr>
    <w:sdtContent>
      <w:p w14:paraId="6DEDD08E">
        <w:pPr>
          <w:pStyle w:val="20"/>
          <w:framePr w:wrap="auto" w:vAnchor="text" w:hAnchor="margin" w:xAlign="center" w:y="1"/>
          <w:ind w:firstLine="360"/>
          <w:rPr>
            <w:rStyle w:val="33"/>
          </w:rPr>
        </w:pPr>
        <w:r>
          <w:rPr>
            <w:rStyle w:val="33"/>
          </w:rPr>
          <w:fldChar w:fldCharType="begin"/>
        </w:r>
        <w:r>
          <w:rPr>
            <w:rStyle w:val="33"/>
          </w:rPr>
          <w:instrText xml:space="preserve"> PAGE </w:instrText>
        </w:r>
        <w:r>
          <w:rPr>
            <w:rStyle w:val="33"/>
          </w:rPr>
          <w:fldChar w:fldCharType="end"/>
        </w:r>
      </w:p>
    </w:sdtContent>
  </w:sdt>
  <w:p w14:paraId="20621407">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B9CE1">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3"/>
      </w:rPr>
      <w:id w:val="1174761748"/>
    </w:sdtPr>
    <w:sdtEndPr>
      <w:rPr>
        <w:rStyle w:val="33"/>
        <w:sz w:val="24"/>
        <w:szCs w:val="24"/>
      </w:rPr>
    </w:sdtEndPr>
    <w:sdtContent>
      <w:p w14:paraId="309C0B4D">
        <w:pPr>
          <w:pStyle w:val="20"/>
          <w:framePr w:wrap="auto" w:vAnchor="text" w:hAnchor="margin" w:xAlign="center" w:y="1"/>
          <w:ind w:firstLine="360"/>
          <w:rPr>
            <w:rStyle w:val="33"/>
            <w:sz w:val="24"/>
            <w:szCs w:val="24"/>
          </w:rPr>
        </w:pPr>
        <w:r>
          <w:rPr>
            <w:rStyle w:val="33"/>
            <w:sz w:val="24"/>
            <w:szCs w:val="24"/>
          </w:rPr>
          <w:fldChar w:fldCharType="begin"/>
        </w:r>
        <w:r>
          <w:rPr>
            <w:rStyle w:val="33"/>
            <w:sz w:val="24"/>
            <w:szCs w:val="24"/>
          </w:rPr>
          <w:instrText xml:space="preserve"> PAGE </w:instrText>
        </w:r>
        <w:r>
          <w:rPr>
            <w:rStyle w:val="33"/>
            <w:sz w:val="24"/>
            <w:szCs w:val="24"/>
          </w:rPr>
          <w:fldChar w:fldCharType="separate"/>
        </w:r>
        <w:r>
          <w:rPr>
            <w:rStyle w:val="33"/>
            <w:sz w:val="24"/>
            <w:szCs w:val="24"/>
          </w:rPr>
          <w:t>I</w:t>
        </w:r>
        <w:r>
          <w:rPr>
            <w:rStyle w:val="33"/>
            <w:sz w:val="24"/>
            <w:szCs w:val="24"/>
          </w:rPr>
          <w:fldChar w:fldCharType="end"/>
        </w:r>
      </w:p>
    </w:sdtContent>
  </w:sdt>
  <w:p w14:paraId="7905CDA7">
    <w:pPr>
      <w:pStyle w:val="20"/>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78633">
    <w:pPr>
      <w:pStyle w:val="20"/>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F952A">
                          <w:pPr>
                            <w:pStyle w:val="2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FF952A">
                    <w:pPr>
                      <w:pStyle w:val="2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3"/>
        <w:sz w:val="24"/>
        <w:szCs w:val="24"/>
      </w:rPr>
      <w:id w:val="73878355"/>
    </w:sdtPr>
    <w:sdtEndPr>
      <w:rPr>
        <w:rStyle w:val="33"/>
        <w:sz w:val="24"/>
        <w:szCs w:val="24"/>
      </w:rPr>
    </w:sdtEndPr>
    <w:sdtContent>
      <w:p w14:paraId="5B8B96B4">
        <w:pPr>
          <w:pStyle w:val="20"/>
          <w:framePr w:wrap="auto" w:vAnchor="text" w:hAnchor="margin" w:xAlign="center" w:y="1"/>
          <w:rPr>
            <w:rStyle w:val="33"/>
            <w:sz w:val="24"/>
            <w:szCs w:val="24"/>
          </w:rPr>
        </w:pPr>
        <w:r>
          <w:rPr>
            <w:rStyle w:val="33"/>
            <w:sz w:val="24"/>
            <w:szCs w:val="24"/>
          </w:rPr>
          <w:fldChar w:fldCharType="begin"/>
        </w:r>
        <w:r>
          <w:rPr>
            <w:rStyle w:val="33"/>
            <w:sz w:val="24"/>
            <w:szCs w:val="24"/>
          </w:rPr>
          <w:instrText xml:space="preserve"> PAGE </w:instrText>
        </w:r>
        <w:r>
          <w:rPr>
            <w:rStyle w:val="33"/>
            <w:sz w:val="24"/>
            <w:szCs w:val="24"/>
          </w:rPr>
          <w:fldChar w:fldCharType="separate"/>
        </w:r>
        <w:r>
          <w:rPr>
            <w:rStyle w:val="33"/>
            <w:sz w:val="24"/>
            <w:szCs w:val="24"/>
          </w:rPr>
          <w:t>1</w:t>
        </w:r>
        <w:r>
          <w:rPr>
            <w:rStyle w:val="33"/>
            <w:sz w:val="24"/>
            <w:szCs w:val="24"/>
          </w:rPr>
          <w:fldChar w:fldCharType="end"/>
        </w:r>
      </w:p>
    </w:sdtContent>
  </w:sdt>
  <w:p w14:paraId="1CB274E6">
    <w:pPr>
      <w:pStyle w:val="20"/>
      <w:rPr>
        <w:sz w:val="24"/>
        <w:szCs w:val="24"/>
      </w:rPr>
    </w:pPr>
  </w:p>
  <w:p w14:paraId="3B5E339A">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ED5C5">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1A891">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0A321">
    <w:pPr>
      <w:pStyle w:val="2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D70DF">
    <w:pPr>
      <w:ind w:firstLine="420"/>
      <w:jc w:val="right"/>
    </w:pPr>
    <w:r>
      <w:rPr>
        <w:rFonts w:hint="eastAsia" w:ascii="宋体" w:hAnsi="宋体"/>
        <w:color w:val="000000" w:themeColor="text1"/>
        <w:lang w:eastAsia="zh-CN"/>
        <w14:textFill>
          <w14:solidFill>
            <w14:schemeClr w14:val="tx1"/>
          </w14:solidFill>
        </w14:textFill>
      </w:rPr>
      <w:t>浙江省应急管理厅</w:t>
    </w:r>
    <w:r>
      <w:rPr>
        <w:rFonts w:hint="eastAsia" w:ascii="宋体" w:hAnsi="宋体"/>
        <w:lang w:eastAsia="zh-CN"/>
      </w:rPr>
      <w:t>省级矿山智慧监管平台建设</w:t>
    </w:r>
    <w:r>
      <w:rPr>
        <w:rFonts w:hint="eastAsia" w:ascii="宋体" w:hAnsi="宋体"/>
      </w:rPr>
      <w:t>项目</w:t>
    </w: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8DD73"/>
    <w:multiLevelType w:val="singleLevel"/>
    <w:tmpl w:val="8468DD73"/>
    <w:lvl w:ilvl="0" w:tentative="0">
      <w:start w:val="1"/>
      <w:numFmt w:val="decimal"/>
      <w:suff w:val="nothing"/>
      <w:lvlText w:val="（%1）"/>
      <w:lvlJc w:val="left"/>
    </w:lvl>
  </w:abstractNum>
  <w:abstractNum w:abstractNumId="1">
    <w:nsid w:val="954A84D0"/>
    <w:multiLevelType w:val="singleLevel"/>
    <w:tmpl w:val="954A84D0"/>
    <w:lvl w:ilvl="0" w:tentative="0">
      <w:start w:val="1"/>
      <w:numFmt w:val="decimal"/>
      <w:suff w:val="nothing"/>
      <w:lvlText w:val="%1)"/>
      <w:lvlJc w:val="left"/>
      <w:pPr>
        <w:ind w:left="425" w:hanging="425"/>
      </w:pPr>
      <w:rPr>
        <w:rFonts w:hint="default" w:ascii="宋体" w:hAnsi="宋体" w:eastAsia="宋体" w:cs="宋体"/>
        <w:sz w:val="24"/>
        <w:szCs w:val="24"/>
      </w:rPr>
    </w:lvl>
  </w:abstractNum>
  <w:abstractNum w:abstractNumId="2">
    <w:nsid w:val="9F766825"/>
    <w:multiLevelType w:val="singleLevel"/>
    <w:tmpl w:val="9F766825"/>
    <w:lvl w:ilvl="0" w:tentative="0">
      <w:start w:val="1"/>
      <w:numFmt w:val="decimalEnclosedCircleChinese"/>
      <w:pStyle w:val="48"/>
      <w:suff w:val="nothing"/>
      <w:lvlText w:val="%1　"/>
      <w:lvlJc w:val="left"/>
      <w:pPr>
        <w:ind w:left="0" w:firstLine="0"/>
      </w:pPr>
      <w:rPr>
        <w:rFonts w:hint="eastAsia" w:ascii="宋体" w:hAnsi="宋体"/>
        <w:b w:val="0"/>
        <w:bCs w:val="0"/>
        <w:sz w:val="24"/>
      </w:rPr>
    </w:lvl>
  </w:abstractNum>
  <w:abstractNum w:abstractNumId="3">
    <w:nsid w:val="AE86EDB7"/>
    <w:multiLevelType w:val="singleLevel"/>
    <w:tmpl w:val="AE86EDB7"/>
    <w:lvl w:ilvl="0" w:tentative="0">
      <w:start w:val="1"/>
      <w:numFmt w:val="decimal"/>
      <w:suff w:val="nothing"/>
      <w:lvlText w:val="（%1）"/>
      <w:lvlJc w:val="left"/>
    </w:lvl>
  </w:abstractNum>
  <w:abstractNum w:abstractNumId="4">
    <w:nsid w:val="B55DFEB2"/>
    <w:multiLevelType w:val="singleLevel"/>
    <w:tmpl w:val="B55DFEB2"/>
    <w:lvl w:ilvl="0" w:tentative="0">
      <w:start w:val="1"/>
      <w:numFmt w:val="decimal"/>
      <w:suff w:val="nothing"/>
      <w:lvlText w:val="%1)"/>
      <w:lvlJc w:val="left"/>
      <w:pPr>
        <w:ind w:left="425" w:hanging="425"/>
      </w:pPr>
      <w:rPr>
        <w:rFonts w:hint="default" w:ascii="宋体" w:hAnsi="宋体" w:eastAsia="宋体" w:cs="宋体"/>
        <w:sz w:val="24"/>
        <w:szCs w:val="24"/>
      </w:rPr>
    </w:lvl>
  </w:abstractNum>
  <w:abstractNum w:abstractNumId="5">
    <w:nsid w:val="B74B918E"/>
    <w:multiLevelType w:val="singleLevel"/>
    <w:tmpl w:val="B74B918E"/>
    <w:lvl w:ilvl="0" w:tentative="0">
      <w:start w:val="1"/>
      <w:numFmt w:val="decimal"/>
      <w:suff w:val="nothing"/>
      <w:lvlText w:val="%1、"/>
      <w:lvlJc w:val="left"/>
    </w:lvl>
  </w:abstractNum>
  <w:abstractNum w:abstractNumId="6">
    <w:nsid w:val="BFEE366F"/>
    <w:multiLevelType w:val="singleLevel"/>
    <w:tmpl w:val="BFEE366F"/>
    <w:lvl w:ilvl="0" w:tentative="0">
      <w:start w:val="1"/>
      <w:numFmt w:val="decimal"/>
      <w:suff w:val="nothing"/>
      <w:lvlText w:val="（%1）"/>
      <w:lvlJc w:val="left"/>
    </w:lvl>
  </w:abstractNum>
  <w:abstractNum w:abstractNumId="7">
    <w:nsid w:val="D5B7D315"/>
    <w:multiLevelType w:val="singleLevel"/>
    <w:tmpl w:val="D5B7D315"/>
    <w:lvl w:ilvl="0" w:tentative="0">
      <w:start w:val="1"/>
      <w:numFmt w:val="decimal"/>
      <w:suff w:val="nothing"/>
      <w:lvlText w:val="（%1）"/>
      <w:lvlJc w:val="left"/>
    </w:lvl>
  </w:abstractNum>
  <w:abstractNum w:abstractNumId="8">
    <w:nsid w:val="D972E44D"/>
    <w:multiLevelType w:val="multilevel"/>
    <w:tmpl w:val="D972E44D"/>
    <w:lvl w:ilvl="0" w:tentative="0">
      <w:start w:val="1"/>
      <w:numFmt w:val="chineseCountingThousand"/>
      <w:pStyle w:val="42"/>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44"/>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ind w:left="200" w:firstLine="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9">
    <w:nsid w:val="E29A0ACD"/>
    <w:multiLevelType w:val="singleLevel"/>
    <w:tmpl w:val="E29A0ACD"/>
    <w:lvl w:ilvl="0" w:tentative="0">
      <w:start w:val="1"/>
      <w:numFmt w:val="decimal"/>
      <w:suff w:val="nothing"/>
      <w:lvlText w:val="%1)"/>
      <w:lvlJc w:val="left"/>
      <w:pPr>
        <w:ind w:left="425" w:hanging="425"/>
      </w:pPr>
      <w:rPr>
        <w:rFonts w:hint="default" w:ascii="仿宋" w:hAnsi="仿宋" w:eastAsia="仿宋" w:cs="仿宋"/>
        <w:sz w:val="24"/>
        <w:szCs w:val="24"/>
      </w:rPr>
    </w:lvl>
  </w:abstractNum>
  <w:abstractNum w:abstractNumId="10">
    <w:nsid w:val="E485A6E2"/>
    <w:multiLevelType w:val="singleLevel"/>
    <w:tmpl w:val="E485A6E2"/>
    <w:lvl w:ilvl="0" w:tentative="0">
      <w:start w:val="1"/>
      <w:numFmt w:val="decimal"/>
      <w:suff w:val="nothing"/>
      <w:lvlText w:val="%1)"/>
      <w:lvlJc w:val="left"/>
      <w:pPr>
        <w:ind w:left="425" w:hanging="425"/>
      </w:pPr>
      <w:rPr>
        <w:rFonts w:hint="default" w:ascii="仿宋" w:hAnsi="仿宋" w:eastAsia="仿宋" w:cs="仿宋"/>
        <w:sz w:val="24"/>
        <w:szCs w:val="24"/>
      </w:rPr>
    </w:lvl>
  </w:abstractNum>
  <w:abstractNum w:abstractNumId="11">
    <w:nsid w:val="EEF6C03B"/>
    <w:multiLevelType w:val="singleLevel"/>
    <w:tmpl w:val="EEF6C03B"/>
    <w:lvl w:ilvl="0" w:tentative="0">
      <w:start w:val="1"/>
      <w:numFmt w:val="decimal"/>
      <w:suff w:val="nothing"/>
      <w:lvlText w:val="（%1）"/>
      <w:lvlJc w:val="left"/>
    </w:lvl>
  </w:abstractNum>
  <w:abstractNum w:abstractNumId="12">
    <w:nsid w:val="EFA3453A"/>
    <w:multiLevelType w:val="singleLevel"/>
    <w:tmpl w:val="EFA3453A"/>
    <w:lvl w:ilvl="0" w:tentative="0">
      <w:start w:val="1"/>
      <w:numFmt w:val="decimal"/>
      <w:suff w:val="nothing"/>
      <w:lvlText w:val="（%1）"/>
      <w:lvlJc w:val="left"/>
    </w:lvl>
  </w:abstractNum>
  <w:abstractNum w:abstractNumId="13">
    <w:nsid w:val="F7BC88F7"/>
    <w:multiLevelType w:val="singleLevel"/>
    <w:tmpl w:val="F7BC88F7"/>
    <w:lvl w:ilvl="0" w:tentative="0">
      <w:start w:val="1"/>
      <w:numFmt w:val="decimal"/>
      <w:pStyle w:val="47"/>
      <w:lvlText w:val="（%1）"/>
      <w:lvlJc w:val="left"/>
      <w:pPr>
        <w:ind w:left="0" w:firstLine="0"/>
      </w:pPr>
      <w:rPr>
        <w:rFonts w:hint="eastAsia" w:ascii="宋体" w:hAnsi="宋体" w:eastAsia="宋体"/>
        <w:sz w:val="24"/>
      </w:rPr>
    </w:lvl>
  </w:abstractNum>
  <w:abstractNum w:abstractNumId="14">
    <w:nsid w:val="FB7A1B30"/>
    <w:multiLevelType w:val="singleLevel"/>
    <w:tmpl w:val="FB7A1B30"/>
    <w:lvl w:ilvl="0" w:tentative="0">
      <w:start w:val="1"/>
      <w:numFmt w:val="decimal"/>
      <w:suff w:val="nothing"/>
      <w:lvlText w:val="%1、"/>
      <w:lvlJc w:val="left"/>
    </w:lvl>
  </w:abstractNum>
  <w:abstractNum w:abstractNumId="15">
    <w:nsid w:val="FFF73AF8"/>
    <w:multiLevelType w:val="singleLevel"/>
    <w:tmpl w:val="FFF73AF8"/>
    <w:lvl w:ilvl="0" w:tentative="0">
      <w:start w:val="1"/>
      <w:numFmt w:val="decimal"/>
      <w:suff w:val="nothing"/>
      <w:lvlText w:val="（%1）"/>
      <w:lvlJc w:val="left"/>
    </w:lvl>
  </w:abstractNum>
  <w:abstractNum w:abstractNumId="16">
    <w:nsid w:val="05C1E72D"/>
    <w:multiLevelType w:val="singleLevel"/>
    <w:tmpl w:val="05C1E72D"/>
    <w:lvl w:ilvl="0" w:tentative="0">
      <w:start w:val="1"/>
      <w:numFmt w:val="decimal"/>
      <w:suff w:val="nothing"/>
      <w:lvlText w:val="%1)"/>
      <w:lvlJc w:val="left"/>
      <w:pPr>
        <w:ind w:left="425" w:hanging="425"/>
      </w:pPr>
      <w:rPr>
        <w:rFonts w:hint="default" w:ascii="宋体" w:hAnsi="宋体" w:eastAsia="宋体" w:cs="宋体"/>
        <w:sz w:val="24"/>
        <w:szCs w:val="24"/>
      </w:rPr>
    </w:lvl>
  </w:abstractNum>
  <w:abstractNum w:abstractNumId="17">
    <w:nsid w:val="0806B9AC"/>
    <w:multiLevelType w:val="singleLevel"/>
    <w:tmpl w:val="0806B9AC"/>
    <w:lvl w:ilvl="0" w:tentative="0">
      <w:start w:val="1"/>
      <w:numFmt w:val="decimal"/>
      <w:suff w:val="nothing"/>
      <w:lvlText w:val="（%1）"/>
      <w:lvlJc w:val="left"/>
    </w:lvl>
  </w:abstractNum>
  <w:abstractNum w:abstractNumId="18">
    <w:nsid w:val="0A06FFD2"/>
    <w:multiLevelType w:val="singleLevel"/>
    <w:tmpl w:val="0A06FFD2"/>
    <w:lvl w:ilvl="0" w:tentative="0">
      <w:start w:val="1"/>
      <w:numFmt w:val="decimal"/>
      <w:suff w:val="nothing"/>
      <w:lvlText w:val="%1)"/>
      <w:lvlJc w:val="left"/>
      <w:pPr>
        <w:ind w:left="425" w:hanging="425"/>
      </w:pPr>
      <w:rPr>
        <w:rFonts w:hint="default" w:ascii="宋体" w:hAnsi="宋体" w:eastAsia="宋体" w:cs="宋体"/>
        <w:sz w:val="24"/>
        <w:szCs w:val="24"/>
      </w:rPr>
    </w:lvl>
  </w:abstractNum>
  <w:abstractNum w:abstractNumId="19">
    <w:nsid w:val="0BEC339B"/>
    <w:multiLevelType w:val="singleLevel"/>
    <w:tmpl w:val="0BEC339B"/>
    <w:lvl w:ilvl="0" w:tentative="0">
      <w:start w:val="1"/>
      <w:numFmt w:val="decimal"/>
      <w:suff w:val="nothing"/>
      <w:lvlText w:val="%1)"/>
      <w:lvlJc w:val="left"/>
      <w:pPr>
        <w:ind w:left="425" w:hanging="425"/>
      </w:pPr>
      <w:rPr>
        <w:rFonts w:hint="default" w:ascii="仿宋" w:hAnsi="仿宋" w:eastAsia="仿宋" w:cs="仿宋"/>
        <w:sz w:val="24"/>
        <w:szCs w:val="24"/>
      </w:rPr>
    </w:lvl>
  </w:abstractNum>
  <w:abstractNum w:abstractNumId="20">
    <w:nsid w:val="0CA72976"/>
    <w:multiLevelType w:val="singleLevel"/>
    <w:tmpl w:val="0CA72976"/>
    <w:lvl w:ilvl="0" w:tentative="0">
      <w:start w:val="1"/>
      <w:numFmt w:val="decimal"/>
      <w:suff w:val="nothing"/>
      <w:lvlText w:val="（%1）"/>
      <w:lvlJc w:val="left"/>
    </w:lvl>
  </w:abstractNum>
  <w:abstractNum w:abstractNumId="21">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22">
    <w:nsid w:val="107CA260"/>
    <w:multiLevelType w:val="singleLevel"/>
    <w:tmpl w:val="107CA260"/>
    <w:lvl w:ilvl="0" w:tentative="0">
      <w:start w:val="1"/>
      <w:numFmt w:val="decimal"/>
      <w:suff w:val="nothing"/>
      <w:lvlText w:val="%1)"/>
      <w:lvlJc w:val="left"/>
      <w:pPr>
        <w:ind w:left="425" w:hanging="425"/>
      </w:pPr>
      <w:rPr>
        <w:rFonts w:hint="default" w:ascii="仿宋" w:hAnsi="仿宋" w:eastAsia="仿宋" w:cs="仿宋"/>
        <w:sz w:val="24"/>
        <w:szCs w:val="24"/>
      </w:rPr>
    </w:lvl>
  </w:abstractNum>
  <w:abstractNum w:abstractNumId="23">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24">
    <w:nsid w:val="141787F8"/>
    <w:multiLevelType w:val="singleLevel"/>
    <w:tmpl w:val="141787F8"/>
    <w:lvl w:ilvl="0" w:tentative="0">
      <w:start w:val="1"/>
      <w:numFmt w:val="decimal"/>
      <w:suff w:val="nothing"/>
      <w:lvlText w:val="%1)"/>
      <w:lvlJc w:val="left"/>
      <w:pPr>
        <w:ind w:left="425" w:hanging="425"/>
      </w:pPr>
      <w:rPr>
        <w:rFonts w:hint="default" w:ascii="仿宋" w:hAnsi="仿宋" w:eastAsia="仿宋" w:cs="仿宋"/>
        <w:sz w:val="32"/>
        <w:szCs w:val="32"/>
      </w:rPr>
    </w:lvl>
  </w:abstractNum>
  <w:abstractNum w:abstractNumId="25">
    <w:nsid w:val="164643A9"/>
    <w:multiLevelType w:val="multilevel"/>
    <w:tmpl w:val="164643A9"/>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default" w:ascii="仿宋" w:hAnsi="仿宋" w:eastAsia="仿宋" w:cs="仿宋"/>
        <w:sz w:val="32"/>
        <w:szCs w:val="32"/>
      </w:rPr>
    </w:lvl>
    <w:lvl w:ilvl="3" w:tentative="0">
      <w:start w:val="1"/>
      <w:numFmt w:val="decimal"/>
      <w:suff w:val="nothing"/>
      <w:lvlText w:val="（%4）"/>
      <w:lvlJc w:val="left"/>
      <w:pPr>
        <w:ind w:left="0" w:firstLine="402"/>
      </w:pPr>
      <w:rPr>
        <w:rFonts w:hint="default"/>
        <w:b w:val="0"/>
        <w:bCs w:val="0"/>
        <w:sz w:val="32"/>
        <w:szCs w:val="32"/>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default" w:ascii="仿宋_GB2312" w:hAnsi="仿宋_GB2312" w:eastAsia="仿宋_GB2312" w:cs="仿宋_GB2312"/>
        <w:sz w:val="24"/>
        <w:szCs w:val="24"/>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6">
    <w:nsid w:val="1CA4AEAC"/>
    <w:multiLevelType w:val="singleLevel"/>
    <w:tmpl w:val="1CA4AEAC"/>
    <w:lvl w:ilvl="0" w:tentative="0">
      <w:start w:val="1"/>
      <w:numFmt w:val="decimal"/>
      <w:suff w:val="nothing"/>
      <w:lvlText w:val="%1"/>
      <w:lvlJc w:val="left"/>
      <w:pPr>
        <w:tabs>
          <w:tab w:val="left" w:pos="420"/>
        </w:tabs>
        <w:ind w:left="425" w:leftChars="0" w:hanging="425" w:firstLineChars="0"/>
      </w:pPr>
      <w:rPr>
        <w:rFonts w:hint="default"/>
        <w:sz w:val="24"/>
      </w:rPr>
    </w:lvl>
  </w:abstractNum>
  <w:abstractNum w:abstractNumId="27">
    <w:nsid w:val="1D7F2660"/>
    <w:multiLevelType w:val="singleLevel"/>
    <w:tmpl w:val="1D7F2660"/>
    <w:lvl w:ilvl="0" w:tentative="0">
      <w:start w:val="1"/>
      <w:numFmt w:val="decimal"/>
      <w:suff w:val="nothing"/>
      <w:lvlText w:val="%1)"/>
      <w:lvlJc w:val="left"/>
      <w:pPr>
        <w:ind w:left="425" w:hanging="425"/>
      </w:pPr>
      <w:rPr>
        <w:rFonts w:hint="default" w:ascii="仿宋" w:hAnsi="仿宋" w:eastAsia="仿宋" w:cs="仿宋"/>
        <w:sz w:val="24"/>
        <w:szCs w:val="24"/>
      </w:rPr>
    </w:lvl>
  </w:abstractNum>
  <w:abstractNum w:abstractNumId="28">
    <w:nsid w:val="1FFDECC1"/>
    <w:multiLevelType w:val="singleLevel"/>
    <w:tmpl w:val="1FFDECC1"/>
    <w:lvl w:ilvl="0" w:tentative="0">
      <w:start w:val="1"/>
      <w:numFmt w:val="decimal"/>
      <w:suff w:val="nothing"/>
      <w:lvlText w:val="%1"/>
      <w:lvlJc w:val="left"/>
      <w:pPr>
        <w:tabs>
          <w:tab w:val="left" w:pos="420"/>
        </w:tabs>
        <w:ind w:left="425" w:leftChars="0" w:hanging="425" w:firstLineChars="0"/>
      </w:pPr>
      <w:rPr>
        <w:rFonts w:hint="default"/>
        <w:sz w:val="24"/>
      </w:rPr>
    </w:lvl>
  </w:abstractNum>
  <w:abstractNum w:abstractNumId="29">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30">
    <w:nsid w:val="5CDFBC64"/>
    <w:multiLevelType w:val="singleLevel"/>
    <w:tmpl w:val="5CDFBC64"/>
    <w:lvl w:ilvl="0" w:tentative="0">
      <w:start w:val="1"/>
      <w:numFmt w:val="decimal"/>
      <w:suff w:val="nothing"/>
      <w:lvlText w:val="%1)"/>
      <w:lvlJc w:val="left"/>
      <w:pPr>
        <w:ind w:left="425" w:hanging="425"/>
      </w:pPr>
      <w:rPr>
        <w:rFonts w:hint="default" w:ascii="仿宋" w:hAnsi="仿宋" w:eastAsia="仿宋" w:cs="仿宋"/>
        <w:sz w:val="24"/>
        <w:szCs w:val="24"/>
      </w:rPr>
    </w:lvl>
  </w:abstractNum>
  <w:abstractNum w:abstractNumId="31">
    <w:nsid w:val="5EE75099"/>
    <w:multiLevelType w:val="multilevel"/>
    <w:tmpl w:val="5EE75099"/>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41"/>
      <w:suff w:val="nothing"/>
      <w:lvlText w:val="%2、"/>
      <w:lvlJc w:val="left"/>
      <w:pPr>
        <w:ind w:left="200" w:firstLine="0"/>
      </w:pPr>
      <w:rPr>
        <w:rFonts w:hint="eastAsia" w:ascii="黑体" w:hAnsi="黑体" w:eastAsia="黑体" w:cs="宋体"/>
        <w:b w:val="0"/>
        <w:i w:val="0"/>
        <w:sz w:val="32"/>
      </w:rPr>
    </w:lvl>
    <w:lvl w:ilvl="2" w:tentative="0">
      <w:start w:val="1"/>
      <w:numFmt w:val="decimal"/>
      <w:pStyle w:val="43"/>
      <w:suff w:val="nothing"/>
      <w:lvlText w:val="%3."/>
      <w:lvlJc w:val="left"/>
      <w:pPr>
        <w:ind w:left="200" w:firstLine="0"/>
      </w:pPr>
      <w:rPr>
        <w:rFonts w:hint="eastAsia" w:ascii="黑体" w:hAnsi="黑体" w:eastAsia="黑体" w:cs="宋体"/>
        <w:b w:val="0"/>
        <w:i w:val="0"/>
        <w:sz w:val="28"/>
      </w:rPr>
    </w:lvl>
    <w:lvl w:ilvl="3" w:tentative="0">
      <w:start w:val="1"/>
      <w:numFmt w:val="decimal"/>
      <w:pStyle w:val="38"/>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37"/>
      <w:suff w:val="nothing"/>
      <w:lvlText w:val="%3.%4.%5 "/>
      <w:lvlJc w:val="left"/>
      <w:pPr>
        <w:tabs>
          <w:tab w:val="left" w:pos="0"/>
        </w:tabs>
        <w:ind w:left="0" w:leftChars="0" w:firstLine="0" w:firstLineChars="0"/>
      </w:pPr>
      <w:rPr>
        <w:rFonts w:hint="eastAsia" w:ascii="宋体" w:hAnsi="宋体" w:eastAsia="宋体" w:cs="宋体"/>
        <w:b/>
      </w:rPr>
    </w:lvl>
    <w:lvl w:ilvl="5" w:tentative="0">
      <w:start w:val="1"/>
      <w:numFmt w:val="decimal"/>
      <w:pStyle w:val="36"/>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32">
    <w:nsid w:val="66D01AF1"/>
    <w:multiLevelType w:val="multilevel"/>
    <w:tmpl w:val="66D01AF1"/>
    <w:lvl w:ilvl="0" w:tentative="0">
      <w:start w:val="1"/>
      <w:numFmt w:val="decimal"/>
      <w:suff w:val="nothing"/>
      <w:lvlText w:val="（%1）"/>
      <w:lvlJc w:val="left"/>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3">
    <w:nsid w:val="70135676"/>
    <w:multiLevelType w:val="multilevel"/>
    <w:tmpl w:val="70135676"/>
    <w:lvl w:ilvl="0" w:tentative="0">
      <w:start w:val="1"/>
      <w:numFmt w:val="bullet"/>
      <w:pStyle w:val="49"/>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4">
    <w:nsid w:val="70A7389A"/>
    <w:multiLevelType w:val="singleLevel"/>
    <w:tmpl w:val="70A7389A"/>
    <w:lvl w:ilvl="0" w:tentative="0">
      <w:start w:val="1"/>
      <w:numFmt w:val="decimal"/>
      <w:suff w:val="nothing"/>
      <w:lvlText w:val="%1)"/>
      <w:lvlJc w:val="left"/>
      <w:pPr>
        <w:ind w:left="425" w:hanging="425"/>
      </w:pPr>
      <w:rPr>
        <w:rFonts w:hint="default" w:ascii="仿宋" w:hAnsi="仿宋" w:eastAsia="仿宋" w:cs="仿宋"/>
        <w:sz w:val="24"/>
        <w:szCs w:val="24"/>
      </w:rPr>
    </w:lvl>
  </w:abstractNum>
  <w:abstractNum w:abstractNumId="35">
    <w:nsid w:val="76D67717"/>
    <w:multiLevelType w:val="singleLevel"/>
    <w:tmpl w:val="76D67717"/>
    <w:lvl w:ilvl="0" w:tentative="0">
      <w:start w:val="1"/>
      <w:numFmt w:val="decimal"/>
      <w:suff w:val="nothing"/>
      <w:lvlText w:val="（%1）"/>
      <w:lvlJc w:val="left"/>
    </w:lvl>
  </w:abstractNum>
  <w:abstractNum w:abstractNumId="36">
    <w:nsid w:val="7E02F7DC"/>
    <w:multiLevelType w:val="singleLevel"/>
    <w:tmpl w:val="7E02F7DC"/>
    <w:lvl w:ilvl="0" w:tentative="0">
      <w:start w:val="1"/>
      <w:numFmt w:val="decimal"/>
      <w:suff w:val="nothing"/>
      <w:lvlText w:val="%1)"/>
      <w:lvlJc w:val="left"/>
      <w:pPr>
        <w:ind w:left="425" w:hanging="425"/>
      </w:pPr>
      <w:rPr>
        <w:rFonts w:hint="default" w:ascii="仿宋" w:hAnsi="仿宋" w:eastAsia="仿宋" w:cs="仿宋"/>
        <w:sz w:val="24"/>
        <w:szCs w:val="24"/>
      </w:rPr>
    </w:lvl>
  </w:abstractNum>
  <w:num w:numId="1">
    <w:abstractNumId w:val="23"/>
  </w:num>
  <w:num w:numId="2">
    <w:abstractNumId w:val="31"/>
  </w:num>
  <w:num w:numId="3">
    <w:abstractNumId w:val="8"/>
  </w:num>
  <w:num w:numId="4">
    <w:abstractNumId w:val="13"/>
  </w:num>
  <w:num w:numId="5">
    <w:abstractNumId w:val="2"/>
  </w:num>
  <w:num w:numId="6">
    <w:abstractNumId w:val="33"/>
  </w:num>
  <w:num w:numId="7">
    <w:abstractNumId w:val="13"/>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2"/>
    <w:lvlOverride w:ilvl="0">
      <w:startOverride w:val="1"/>
    </w:lvlOverride>
  </w:num>
  <w:num w:numId="13">
    <w:abstractNumId w:val="13"/>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2"/>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13"/>
    <w:lvlOverride w:ilvl="0">
      <w:startOverride w:val="1"/>
    </w:lvlOverride>
  </w:num>
  <w:num w:numId="34">
    <w:abstractNumId w:val="2"/>
    <w:lvlOverride w:ilvl="0">
      <w:startOverride w:val="1"/>
    </w:lvlOverride>
  </w:num>
  <w:num w:numId="35">
    <w:abstractNumId w:val="13"/>
    <w:lvlOverride w:ilvl="0">
      <w:startOverride w:val="1"/>
    </w:lvlOverride>
  </w:num>
  <w:num w:numId="36">
    <w:abstractNumId w:val="13"/>
    <w:lvlOverride w:ilvl="0">
      <w:startOverride w:val="1"/>
    </w:lvlOverride>
  </w:num>
  <w:num w:numId="37">
    <w:abstractNumId w:val="2"/>
    <w:lvlOverride w:ilvl="0">
      <w:startOverride w:val="1"/>
    </w:lvlOverride>
  </w:num>
  <w:num w:numId="38">
    <w:abstractNumId w:val="13"/>
    <w:lvlOverride w:ilvl="0">
      <w:startOverride w:val="1"/>
    </w:lvlOverride>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lvlOverride w:ilvl="0">
      <w:startOverride w:val="1"/>
    </w:lvlOverride>
  </w:num>
  <w:num w:numId="43">
    <w:abstractNumId w:val="13"/>
    <w:lvlOverride w:ilvl="0">
      <w:startOverride w:val="1"/>
    </w:lvlOverride>
  </w:num>
  <w:num w:numId="44">
    <w:abstractNumId w:val="13"/>
    <w:lvlOverride w:ilvl="0">
      <w:startOverride w:val="1"/>
    </w:lvlOverride>
  </w:num>
  <w:num w:numId="45">
    <w:abstractNumId w:val="2"/>
    <w:lvlOverride w:ilvl="0">
      <w:startOverride w:val="1"/>
    </w:lvlOverride>
  </w:num>
  <w:num w:numId="46">
    <w:abstractNumId w:val="13"/>
    <w:lvlOverride w:ilvl="0">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num>
  <w:num w:numId="49">
    <w:abstractNumId w:val="18"/>
  </w:num>
  <w:num w:numId="50">
    <w:abstractNumId w:val="2"/>
    <w:lvlOverride w:ilvl="0">
      <w:startOverride w:val="1"/>
    </w:lvlOverride>
  </w:num>
  <w:num w:numId="51">
    <w:abstractNumId w:val="4"/>
  </w:num>
  <w:num w:numId="52">
    <w:abstractNumId w:val="2"/>
    <w:lvlOverride w:ilvl="0">
      <w:startOverride w:val="1"/>
    </w:lvlOverride>
  </w:num>
  <w:num w:numId="53">
    <w:abstractNumId w:val="24"/>
  </w:num>
  <w:num w:numId="54">
    <w:abstractNumId w:val="13"/>
    <w:lvlOverride w:ilvl="0">
      <w:startOverride w:val="1"/>
    </w:lvlOverride>
  </w:num>
  <w:num w:numId="55">
    <w:abstractNumId w:val="1"/>
  </w:num>
  <w:num w:numId="56">
    <w:abstractNumId w:val="16"/>
  </w:num>
  <w:num w:numId="57">
    <w:abstractNumId w:val="13"/>
    <w:lvlOverride w:ilvl="0">
      <w:startOverride w:val="1"/>
    </w:lvlOverride>
  </w:num>
  <w:num w:numId="58">
    <w:abstractNumId w:val="13"/>
    <w:lvlOverride w:ilvl="0">
      <w:startOverride w:val="1"/>
    </w:lvlOverride>
  </w:num>
  <w:num w:numId="59">
    <w:abstractNumId w:val="27"/>
  </w:num>
  <w:num w:numId="60">
    <w:abstractNumId w:val="34"/>
  </w:num>
  <w:num w:numId="61">
    <w:abstractNumId w:val="9"/>
  </w:num>
  <w:num w:numId="62">
    <w:abstractNumId w:val="13"/>
    <w:lvlOverride w:ilvl="0">
      <w:startOverride w:val="1"/>
    </w:lvlOverride>
  </w:num>
  <w:num w:numId="63">
    <w:abstractNumId w:val="10"/>
  </w:num>
  <w:num w:numId="64">
    <w:abstractNumId w:val="30"/>
  </w:num>
  <w:num w:numId="65">
    <w:abstractNumId w:val="13"/>
    <w:lvlOverride w:ilvl="0">
      <w:startOverride w:val="1"/>
    </w:lvlOverride>
  </w:num>
  <w:num w:numId="66">
    <w:abstractNumId w:val="13"/>
    <w:lvlOverride w:ilvl="0">
      <w:startOverride w:val="1"/>
    </w:lvlOverride>
  </w:num>
  <w:num w:numId="67">
    <w:abstractNumId w:val="13"/>
    <w:lvlOverride w:ilvl="0">
      <w:startOverride w:val="1"/>
    </w:lvlOverride>
  </w:num>
  <w:num w:numId="68">
    <w:abstractNumId w:val="13"/>
    <w:lvlOverride w:ilvl="0">
      <w:startOverride w:val="1"/>
    </w:lvlOverride>
  </w:num>
  <w:num w:numId="69">
    <w:abstractNumId w:val="13"/>
    <w:lvlOverride w:ilvl="0">
      <w:startOverride w:val="1"/>
    </w:lvlOverride>
  </w:num>
  <w:num w:numId="70">
    <w:abstractNumId w:val="13"/>
    <w:lvlOverride w:ilvl="0">
      <w:startOverride w:val="1"/>
    </w:lvlOverride>
  </w:num>
  <w:num w:numId="71">
    <w:abstractNumId w:val="22"/>
  </w:num>
  <w:num w:numId="72">
    <w:abstractNumId w:val="19"/>
  </w:num>
  <w:num w:numId="73">
    <w:abstractNumId w:val="13"/>
    <w:lvlOverride w:ilvl="0">
      <w:startOverride w:val="1"/>
    </w:lvlOverride>
  </w:num>
  <w:num w:numId="74">
    <w:abstractNumId w:val="36"/>
  </w:num>
  <w:num w:numId="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num>
  <w:num w:numId="77">
    <w:abstractNumId w:val="2"/>
    <w:lvlOverride w:ilvl="0">
      <w:startOverride w:val="1"/>
    </w:lvlOverride>
  </w:num>
  <w:num w:numId="78">
    <w:abstractNumId w:val="13"/>
    <w:lvlOverride w:ilvl="0">
      <w:startOverride w:val="1"/>
    </w:lvlOverride>
  </w:num>
  <w:num w:numId="79">
    <w:abstractNumId w:val="2"/>
    <w:lvlOverride w:ilvl="0">
      <w:startOverride w:val="1"/>
    </w:lvlOverride>
  </w:num>
  <w:num w:numId="80">
    <w:abstractNumId w:val="2"/>
    <w:lvlOverride w:ilvl="0">
      <w:startOverride w:val="1"/>
    </w:lvlOverride>
  </w:num>
  <w:num w:numId="81">
    <w:abstractNumId w:val="2"/>
    <w:lvlOverride w:ilvl="0">
      <w:startOverride w:val="1"/>
    </w:lvlOverride>
  </w:num>
  <w:num w:numId="82">
    <w:abstractNumId w:val="2"/>
    <w:lvlOverride w:ilvl="0">
      <w:startOverride w:val="1"/>
    </w:lvlOverride>
  </w:num>
  <w:num w:numId="83">
    <w:abstractNumId w:val="13"/>
    <w:lvlOverride w:ilvl="0">
      <w:startOverride w:val="1"/>
    </w:lvlOverride>
  </w:num>
  <w:num w:numId="84">
    <w:abstractNumId w:val="13"/>
    <w:lvlOverride w:ilvl="0">
      <w:startOverride w:val="1"/>
    </w:lvlOverride>
  </w:num>
  <w:num w:numId="85">
    <w:abstractNumId w:val="13"/>
    <w:lvlOverride w:ilvl="0">
      <w:startOverride w:val="1"/>
    </w:lvlOverride>
  </w:num>
  <w:num w:numId="86">
    <w:abstractNumId w:val="13"/>
    <w:lvlOverride w:ilvl="0">
      <w:startOverride w:val="1"/>
    </w:lvlOverride>
  </w:num>
  <w:num w:numId="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7"/>
  </w:num>
  <w:num w:numId="90">
    <w:abstractNumId w:val="2"/>
    <w:lvlOverride w:ilvl="0">
      <w:startOverride w:val="1"/>
    </w:lvlOverride>
  </w:num>
  <w:num w:numId="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
    <w:lvlOverride w:ilvl="0">
      <w:startOverride w:val="1"/>
    </w:lvlOverride>
  </w:num>
  <w:num w:numId="93">
    <w:abstractNumId w:val="21"/>
  </w:num>
  <w:num w:numId="94">
    <w:abstractNumId w:val="28"/>
  </w:num>
  <w:num w:numId="95">
    <w:abstractNumId w:val="6"/>
  </w:num>
  <w:num w:numId="96">
    <w:abstractNumId w:val="3"/>
  </w:num>
  <w:num w:numId="97">
    <w:abstractNumId w:val="32"/>
  </w:num>
  <w:num w:numId="98">
    <w:abstractNumId w:val="35"/>
  </w:num>
  <w:num w:numId="99">
    <w:abstractNumId w:val="20"/>
  </w:num>
  <w:num w:numId="100">
    <w:abstractNumId w:val="12"/>
  </w:num>
  <w:num w:numId="101">
    <w:abstractNumId w:val="7"/>
  </w:num>
  <w:num w:numId="102">
    <w:abstractNumId w:val="26"/>
  </w:num>
  <w:num w:numId="103">
    <w:abstractNumId w:val="11"/>
  </w:num>
  <w:num w:numId="104">
    <w:abstractNumId w:val="15"/>
  </w:num>
  <w:num w:numId="105">
    <w:abstractNumId w:val="0"/>
  </w:num>
  <w:num w:numId="1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
    <w:lvlOverride w:ilvl="0">
      <w:startOverride w:val="1"/>
    </w:lvlOverride>
  </w:num>
  <w:num w:numId="108">
    <w:abstractNumId w:val="13"/>
    <w:lvlOverride w:ilvl="0">
      <w:startOverride w:val="1"/>
    </w:lvlOverride>
  </w:num>
  <w:num w:numId="109">
    <w:abstractNumId w:val="2"/>
    <w:lvlOverride w:ilvl="0">
      <w:startOverride w:val="1"/>
    </w:lvlOverride>
  </w:num>
  <w:num w:numId="110">
    <w:abstractNumId w:val="2"/>
    <w:lvlOverride w:ilvl="0">
      <w:startOverride w:val="1"/>
    </w:lvlOverride>
  </w:num>
  <w:num w:numId="111">
    <w:abstractNumId w:val="13"/>
    <w:lvlOverride w:ilvl="0">
      <w:startOverride w:val="1"/>
    </w:lvlOverride>
  </w:num>
  <w:num w:numId="112">
    <w:abstractNumId w:val="2"/>
    <w:lvlOverride w:ilvl="0">
      <w:startOverride w:val="1"/>
    </w:lvlOverride>
  </w:num>
  <w:num w:numId="113">
    <w:abstractNumId w:val="2"/>
    <w:lvlOverride w:ilvl="0">
      <w:startOverride w:val="1"/>
    </w:lvlOverride>
  </w:num>
  <w:num w:numId="114">
    <w:abstractNumId w:val="13"/>
    <w:lvlOverride w:ilvl="0">
      <w:startOverride w:val="1"/>
    </w:lvlOverride>
  </w:num>
  <w:num w:numId="115">
    <w:abstractNumId w:val="13"/>
    <w:lvlOverride w:ilvl="0">
      <w:startOverride w:val="1"/>
    </w:lvlOverride>
  </w:num>
  <w:num w:numId="116">
    <w:abstractNumId w:val="2"/>
    <w:lvlOverride w:ilvl="0">
      <w:startOverride w:val="1"/>
    </w:lvlOverride>
  </w:num>
  <w:num w:numId="117">
    <w:abstractNumId w:val="13"/>
    <w:lvlOverride w:ilvl="0">
      <w:startOverride w:val="1"/>
    </w:lvlOverride>
  </w:num>
  <w:num w:numId="118">
    <w:abstractNumId w:val="13"/>
    <w:lvlOverride w:ilvl="0">
      <w:startOverride w:val="1"/>
    </w:lvlOverride>
  </w:num>
  <w:num w:numId="119">
    <w:abstractNumId w:val="13"/>
    <w:lvlOverride w:ilvl="0">
      <w:startOverride w:val="1"/>
    </w:lvlOverride>
  </w:num>
  <w:num w:numId="120">
    <w:abstractNumId w:val="13"/>
    <w:lvlOverride w:ilvl="0">
      <w:startOverride w:val="1"/>
    </w:lvlOverride>
  </w:num>
  <w:num w:numId="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3"/>
    <w:lvlOverride w:ilvl="0">
      <w:startOverride w:val="1"/>
    </w:lvlOverride>
  </w:num>
  <w:num w:numId="123">
    <w:abstractNumId w:val="13"/>
    <w:lvlOverride w:ilvl="0">
      <w:startOverride w:val="1"/>
    </w:lvlOverride>
  </w:num>
  <w:num w:numId="124">
    <w:abstractNumId w:val="13"/>
    <w:lvlOverride w:ilvl="0">
      <w:startOverride w:val="1"/>
    </w:lvlOverride>
  </w:num>
  <w:num w:numId="125">
    <w:abstractNumId w:val="13"/>
    <w:lvlOverride w:ilvl="0">
      <w:startOverride w:val="1"/>
    </w:lvlOverride>
  </w:num>
  <w:num w:numId="126">
    <w:abstractNumId w:val="29"/>
  </w:num>
  <w:num w:numId="127">
    <w:abstractNumId w:val="13"/>
    <w:lvlOverride w:ilvl="0">
      <w:startOverride w:val="1"/>
    </w:lvlOverride>
  </w:num>
  <w:num w:numId="128">
    <w:abstractNumId w:val="5"/>
  </w:num>
  <w:num w:numId="129">
    <w:abstractNumId w:val="14"/>
  </w:num>
  <w:num w:numId="13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0" w:hash="qVf6Exzxe+8LTt5ldYrj2K2Tpa0=" w:salt="jYxI3kPDA31Y6A0QwQSNKQ=="/>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17583D7"/>
    <w:rsid w:val="00000433"/>
    <w:rsid w:val="00000624"/>
    <w:rsid w:val="0000155F"/>
    <w:rsid w:val="000016C1"/>
    <w:rsid w:val="0001050E"/>
    <w:rsid w:val="000174CD"/>
    <w:rsid w:val="00030A1B"/>
    <w:rsid w:val="00030E43"/>
    <w:rsid w:val="000335F9"/>
    <w:rsid w:val="00035FF6"/>
    <w:rsid w:val="00040E82"/>
    <w:rsid w:val="00041DF1"/>
    <w:rsid w:val="000443FD"/>
    <w:rsid w:val="000476C1"/>
    <w:rsid w:val="00051257"/>
    <w:rsid w:val="0005212A"/>
    <w:rsid w:val="000542A6"/>
    <w:rsid w:val="000571FA"/>
    <w:rsid w:val="0006004C"/>
    <w:rsid w:val="00060647"/>
    <w:rsid w:val="00065737"/>
    <w:rsid w:val="00070201"/>
    <w:rsid w:val="00072503"/>
    <w:rsid w:val="000813AB"/>
    <w:rsid w:val="00081D18"/>
    <w:rsid w:val="00087636"/>
    <w:rsid w:val="0009289C"/>
    <w:rsid w:val="00093DDB"/>
    <w:rsid w:val="0009673C"/>
    <w:rsid w:val="00097622"/>
    <w:rsid w:val="000A3F7B"/>
    <w:rsid w:val="000B02B6"/>
    <w:rsid w:val="000B270D"/>
    <w:rsid w:val="000B4527"/>
    <w:rsid w:val="000B74DE"/>
    <w:rsid w:val="000B7826"/>
    <w:rsid w:val="000C1BC9"/>
    <w:rsid w:val="000C26A2"/>
    <w:rsid w:val="000C5207"/>
    <w:rsid w:val="000C6027"/>
    <w:rsid w:val="000D1E7E"/>
    <w:rsid w:val="000D3967"/>
    <w:rsid w:val="000E2C27"/>
    <w:rsid w:val="000E61C2"/>
    <w:rsid w:val="000F10F8"/>
    <w:rsid w:val="000F34E2"/>
    <w:rsid w:val="000F4876"/>
    <w:rsid w:val="000F5D77"/>
    <w:rsid w:val="0010242E"/>
    <w:rsid w:val="00103F1E"/>
    <w:rsid w:val="00106B5C"/>
    <w:rsid w:val="00107BBC"/>
    <w:rsid w:val="00111B56"/>
    <w:rsid w:val="00113172"/>
    <w:rsid w:val="0011414B"/>
    <w:rsid w:val="001242DF"/>
    <w:rsid w:val="0012613E"/>
    <w:rsid w:val="0012767E"/>
    <w:rsid w:val="00131917"/>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6959"/>
    <w:rsid w:val="00190698"/>
    <w:rsid w:val="001917A1"/>
    <w:rsid w:val="001961A1"/>
    <w:rsid w:val="001B00C7"/>
    <w:rsid w:val="001B15BC"/>
    <w:rsid w:val="001B16EA"/>
    <w:rsid w:val="001B419C"/>
    <w:rsid w:val="001C00C6"/>
    <w:rsid w:val="001D15FA"/>
    <w:rsid w:val="001D58A2"/>
    <w:rsid w:val="001E3AF8"/>
    <w:rsid w:val="001E5B0A"/>
    <w:rsid w:val="001E6153"/>
    <w:rsid w:val="00201AC6"/>
    <w:rsid w:val="00204064"/>
    <w:rsid w:val="00207959"/>
    <w:rsid w:val="002170DE"/>
    <w:rsid w:val="002216FB"/>
    <w:rsid w:val="002354AA"/>
    <w:rsid w:val="00241B7E"/>
    <w:rsid w:val="002432D2"/>
    <w:rsid w:val="002433EB"/>
    <w:rsid w:val="0025046B"/>
    <w:rsid w:val="0025790C"/>
    <w:rsid w:val="00257A89"/>
    <w:rsid w:val="00263E9B"/>
    <w:rsid w:val="00264441"/>
    <w:rsid w:val="00264900"/>
    <w:rsid w:val="0026677D"/>
    <w:rsid w:val="00267379"/>
    <w:rsid w:val="00277C29"/>
    <w:rsid w:val="00280148"/>
    <w:rsid w:val="002845B6"/>
    <w:rsid w:val="00286803"/>
    <w:rsid w:val="0029637E"/>
    <w:rsid w:val="0029639B"/>
    <w:rsid w:val="002A2F98"/>
    <w:rsid w:val="002A5D53"/>
    <w:rsid w:val="002A7309"/>
    <w:rsid w:val="002B3EF7"/>
    <w:rsid w:val="002C4F07"/>
    <w:rsid w:val="002D460B"/>
    <w:rsid w:val="002D5A59"/>
    <w:rsid w:val="002E07BD"/>
    <w:rsid w:val="002E1EC2"/>
    <w:rsid w:val="002E5583"/>
    <w:rsid w:val="002F0FEE"/>
    <w:rsid w:val="002F5C63"/>
    <w:rsid w:val="002F6240"/>
    <w:rsid w:val="003113DE"/>
    <w:rsid w:val="00312195"/>
    <w:rsid w:val="00313E0D"/>
    <w:rsid w:val="00314917"/>
    <w:rsid w:val="00315CF3"/>
    <w:rsid w:val="003162FD"/>
    <w:rsid w:val="00326A6A"/>
    <w:rsid w:val="00331BAD"/>
    <w:rsid w:val="00341EFC"/>
    <w:rsid w:val="00344CC0"/>
    <w:rsid w:val="0036321D"/>
    <w:rsid w:val="0036668A"/>
    <w:rsid w:val="00366F42"/>
    <w:rsid w:val="0036743B"/>
    <w:rsid w:val="003774DD"/>
    <w:rsid w:val="003813CD"/>
    <w:rsid w:val="0038592E"/>
    <w:rsid w:val="00386D70"/>
    <w:rsid w:val="003A1D24"/>
    <w:rsid w:val="003A35B3"/>
    <w:rsid w:val="003A37B7"/>
    <w:rsid w:val="003A3AF2"/>
    <w:rsid w:val="003A3D61"/>
    <w:rsid w:val="003A760B"/>
    <w:rsid w:val="003A7CCD"/>
    <w:rsid w:val="003B5D55"/>
    <w:rsid w:val="003E1E64"/>
    <w:rsid w:val="003E5B90"/>
    <w:rsid w:val="003E61E2"/>
    <w:rsid w:val="003F06EF"/>
    <w:rsid w:val="003F1D32"/>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5273"/>
    <w:rsid w:val="004B66DB"/>
    <w:rsid w:val="004C1C25"/>
    <w:rsid w:val="004C266E"/>
    <w:rsid w:val="004C5138"/>
    <w:rsid w:val="004C6545"/>
    <w:rsid w:val="004C7FD2"/>
    <w:rsid w:val="004D03BD"/>
    <w:rsid w:val="004D2701"/>
    <w:rsid w:val="004D3EA0"/>
    <w:rsid w:val="004D6956"/>
    <w:rsid w:val="004F0AEC"/>
    <w:rsid w:val="004F547C"/>
    <w:rsid w:val="004F66A1"/>
    <w:rsid w:val="0050158E"/>
    <w:rsid w:val="0050426A"/>
    <w:rsid w:val="0050451D"/>
    <w:rsid w:val="00510CF7"/>
    <w:rsid w:val="005146F9"/>
    <w:rsid w:val="00524355"/>
    <w:rsid w:val="005309DC"/>
    <w:rsid w:val="0053778B"/>
    <w:rsid w:val="00542EBE"/>
    <w:rsid w:val="005460E3"/>
    <w:rsid w:val="00553FAC"/>
    <w:rsid w:val="00555C03"/>
    <w:rsid w:val="0055700A"/>
    <w:rsid w:val="005609A8"/>
    <w:rsid w:val="0056377E"/>
    <w:rsid w:val="00565849"/>
    <w:rsid w:val="00565E63"/>
    <w:rsid w:val="0057204E"/>
    <w:rsid w:val="00574565"/>
    <w:rsid w:val="00595D75"/>
    <w:rsid w:val="00596453"/>
    <w:rsid w:val="0059788E"/>
    <w:rsid w:val="005A1A2A"/>
    <w:rsid w:val="005A3A41"/>
    <w:rsid w:val="005B085D"/>
    <w:rsid w:val="005B0A74"/>
    <w:rsid w:val="005B24AB"/>
    <w:rsid w:val="005C1C76"/>
    <w:rsid w:val="005C1CDA"/>
    <w:rsid w:val="005C452B"/>
    <w:rsid w:val="005C5C92"/>
    <w:rsid w:val="005C7CBF"/>
    <w:rsid w:val="005D42A9"/>
    <w:rsid w:val="005D4AA3"/>
    <w:rsid w:val="005D625E"/>
    <w:rsid w:val="005D7C68"/>
    <w:rsid w:val="005E14C6"/>
    <w:rsid w:val="005E1CBA"/>
    <w:rsid w:val="005E4743"/>
    <w:rsid w:val="005E68B5"/>
    <w:rsid w:val="005F7154"/>
    <w:rsid w:val="006039BD"/>
    <w:rsid w:val="00606AB2"/>
    <w:rsid w:val="00615539"/>
    <w:rsid w:val="0061797F"/>
    <w:rsid w:val="00625A96"/>
    <w:rsid w:val="00625AA7"/>
    <w:rsid w:val="00625C4B"/>
    <w:rsid w:val="00636FDD"/>
    <w:rsid w:val="00644450"/>
    <w:rsid w:val="0064633D"/>
    <w:rsid w:val="00646AA1"/>
    <w:rsid w:val="006479B4"/>
    <w:rsid w:val="0065157D"/>
    <w:rsid w:val="00655565"/>
    <w:rsid w:val="00655619"/>
    <w:rsid w:val="006653E7"/>
    <w:rsid w:val="0067007C"/>
    <w:rsid w:val="006733CF"/>
    <w:rsid w:val="00673B61"/>
    <w:rsid w:val="0068124E"/>
    <w:rsid w:val="0068149D"/>
    <w:rsid w:val="006858E3"/>
    <w:rsid w:val="006865E9"/>
    <w:rsid w:val="00692853"/>
    <w:rsid w:val="006A5DC7"/>
    <w:rsid w:val="006A7B6C"/>
    <w:rsid w:val="006B694E"/>
    <w:rsid w:val="006C1920"/>
    <w:rsid w:val="006C2519"/>
    <w:rsid w:val="006D1038"/>
    <w:rsid w:val="006D2EF3"/>
    <w:rsid w:val="006D3794"/>
    <w:rsid w:val="006D63BC"/>
    <w:rsid w:val="006E5AE2"/>
    <w:rsid w:val="006F716B"/>
    <w:rsid w:val="006F71B8"/>
    <w:rsid w:val="006F7E13"/>
    <w:rsid w:val="00701691"/>
    <w:rsid w:val="00705CF8"/>
    <w:rsid w:val="0071174C"/>
    <w:rsid w:val="00712B80"/>
    <w:rsid w:val="0072250B"/>
    <w:rsid w:val="007309B2"/>
    <w:rsid w:val="00730C9B"/>
    <w:rsid w:val="007343CB"/>
    <w:rsid w:val="0074018A"/>
    <w:rsid w:val="007465BD"/>
    <w:rsid w:val="00753806"/>
    <w:rsid w:val="00761874"/>
    <w:rsid w:val="00763781"/>
    <w:rsid w:val="00767C46"/>
    <w:rsid w:val="00780808"/>
    <w:rsid w:val="007846DC"/>
    <w:rsid w:val="00785922"/>
    <w:rsid w:val="00794F0C"/>
    <w:rsid w:val="007956AE"/>
    <w:rsid w:val="00795958"/>
    <w:rsid w:val="007959CE"/>
    <w:rsid w:val="007A219B"/>
    <w:rsid w:val="007A40FD"/>
    <w:rsid w:val="007A6893"/>
    <w:rsid w:val="007B0C2F"/>
    <w:rsid w:val="007B1668"/>
    <w:rsid w:val="007C3D21"/>
    <w:rsid w:val="007C4CF2"/>
    <w:rsid w:val="007D72B5"/>
    <w:rsid w:val="007E0BF3"/>
    <w:rsid w:val="007E749B"/>
    <w:rsid w:val="007F1A86"/>
    <w:rsid w:val="007F1D93"/>
    <w:rsid w:val="007F4556"/>
    <w:rsid w:val="007F5900"/>
    <w:rsid w:val="008051AF"/>
    <w:rsid w:val="00813194"/>
    <w:rsid w:val="00813D50"/>
    <w:rsid w:val="00814792"/>
    <w:rsid w:val="008148B2"/>
    <w:rsid w:val="008258FA"/>
    <w:rsid w:val="0083275B"/>
    <w:rsid w:val="00845042"/>
    <w:rsid w:val="00851602"/>
    <w:rsid w:val="00861881"/>
    <w:rsid w:val="00861CD5"/>
    <w:rsid w:val="00861DFD"/>
    <w:rsid w:val="00863992"/>
    <w:rsid w:val="00875AE4"/>
    <w:rsid w:val="00876882"/>
    <w:rsid w:val="008824C4"/>
    <w:rsid w:val="00883456"/>
    <w:rsid w:val="00893E3C"/>
    <w:rsid w:val="00897361"/>
    <w:rsid w:val="008B0A14"/>
    <w:rsid w:val="008B3CAF"/>
    <w:rsid w:val="008B41D4"/>
    <w:rsid w:val="008B4648"/>
    <w:rsid w:val="008B5006"/>
    <w:rsid w:val="008B6A3A"/>
    <w:rsid w:val="008C0EEB"/>
    <w:rsid w:val="008D090C"/>
    <w:rsid w:val="008D0DC9"/>
    <w:rsid w:val="008D1E4E"/>
    <w:rsid w:val="008D327B"/>
    <w:rsid w:val="008D6F76"/>
    <w:rsid w:val="008E74C8"/>
    <w:rsid w:val="008F1299"/>
    <w:rsid w:val="00905C72"/>
    <w:rsid w:val="00906B80"/>
    <w:rsid w:val="00912A61"/>
    <w:rsid w:val="0091686A"/>
    <w:rsid w:val="00916979"/>
    <w:rsid w:val="00916B64"/>
    <w:rsid w:val="00921C76"/>
    <w:rsid w:val="00925E45"/>
    <w:rsid w:val="00926FA4"/>
    <w:rsid w:val="009359CE"/>
    <w:rsid w:val="0093679F"/>
    <w:rsid w:val="00937D9F"/>
    <w:rsid w:val="00950D2A"/>
    <w:rsid w:val="00952E74"/>
    <w:rsid w:val="00952F23"/>
    <w:rsid w:val="00960AB1"/>
    <w:rsid w:val="00963B29"/>
    <w:rsid w:val="00970EC2"/>
    <w:rsid w:val="0097389D"/>
    <w:rsid w:val="00976654"/>
    <w:rsid w:val="00977541"/>
    <w:rsid w:val="009817AA"/>
    <w:rsid w:val="0098194A"/>
    <w:rsid w:val="00981C6C"/>
    <w:rsid w:val="009835D4"/>
    <w:rsid w:val="009844C6"/>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F0B92"/>
    <w:rsid w:val="009F35B7"/>
    <w:rsid w:val="00A0042A"/>
    <w:rsid w:val="00A029AD"/>
    <w:rsid w:val="00A12589"/>
    <w:rsid w:val="00A12CE6"/>
    <w:rsid w:val="00A14592"/>
    <w:rsid w:val="00A21C09"/>
    <w:rsid w:val="00A23D75"/>
    <w:rsid w:val="00A253D1"/>
    <w:rsid w:val="00A25C14"/>
    <w:rsid w:val="00A27863"/>
    <w:rsid w:val="00A27956"/>
    <w:rsid w:val="00A322FB"/>
    <w:rsid w:val="00A34B8F"/>
    <w:rsid w:val="00A35821"/>
    <w:rsid w:val="00A365B2"/>
    <w:rsid w:val="00A3731B"/>
    <w:rsid w:val="00A40416"/>
    <w:rsid w:val="00A541BF"/>
    <w:rsid w:val="00A5544C"/>
    <w:rsid w:val="00A55BC8"/>
    <w:rsid w:val="00A64FC1"/>
    <w:rsid w:val="00A66D00"/>
    <w:rsid w:val="00A75784"/>
    <w:rsid w:val="00A75E8F"/>
    <w:rsid w:val="00A80B6A"/>
    <w:rsid w:val="00A868F9"/>
    <w:rsid w:val="00AA6195"/>
    <w:rsid w:val="00AB1DD0"/>
    <w:rsid w:val="00AB1F84"/>
    <w:rsid w:val="00AB5F72"/>
    <w:rsid w:val="00AC1D28"/>
    <w:rsid w:val="00AC28AF"/>
    <w:rsid w:val="00AC31D1"/>
    <w:rsid w:val="00AD02F9"/>
    <w:rsid w:val="00AD0D69"/>
    <w:rsid w:val="00AD4022"/>
    <w:rsid w:val="00AF0290"/>
    <w:rsid w:val="00AF11F9"/>
    <w:rsid w:val="00AF1B2B"/>
    <w:rsid w:val="00AF35A5"/>
    <w:rsid w:val="00AF4163"/>
    <w:rsid w:val="00B041E9"/>
    <w:rsid w:val="00B04DFE"/>
    <w:rsid w:val="00B056F0"/>
    <w:rsid w:val="00B058A0"/>
    <w:rsid w:val="00B114CD"/>
    <w:rsid w:val="00B132F2"/>
    <w:rsid w:val="00B176FA"/>
    <w:rsid w:val="00B2170E"/>
    <w:rsid w:val="00B30140"/>
    <w:rsid w:val="00B30BA9"/>
    <w:rsid w:val="00B30FA8"/>
    <w:rsid w:val="00B33C91"/>
    <w:rsid w:val="00B35496"/>
    <w:rsid w:val="00B361F7"/>
    <w:rsid w:val="00B40B4A"/>
    <w:rsid w:val="00B43A2F"/>
    <w:rsid w:val="00B51146"/>
    <w:rsid w:val="00B70207"/>
    <w:rsid w:val="00B740F0"/>
    <w:rsid w:val="00B75E42"/>
    <w:rsid w:val="00B77AC0"/>
    <w:rsid w:val="00B838EE"/>
    <w:rsid w:val="00B84DC5"/>
    <w:rsid w:val="00B855FB"/>
    <w:rsid w:val="00B9698F"/>
    <w:rsid w:val="00B97E3B"/>
    <w:rsid w:val="00BA1000"/>
    <w:rsid w:val="00BA39E9"/>
    <w:rsid w:val="00BB0DE6"/>
    <w:rsid w:val="00BB23C7"/>
    <w:rsid w:val="00BB592E"/>
    <w:rsid w:val="00BB5BC2"/>
    <w:rsid w:val="00BC1EF6"/>
    <w:rsid w:val="00BC6B77"/>
    <w:rsid w:val="00BD06A7"/>
    <w:rsid w:val="00BD14D0"/>
    <w:rsid w:val="00BD56DA"/>
    <w:rsid w:val="00BD5CD9"/>
    <w:rsid w:val="00BD602E"/>
    <w:rsid w:val="00BE15FF"/>
    <w:rsid w:val="00BE68CD"/>
    <w:rsid w:val="00BF4DA1"/>
    <w:rsid w:val="00C02DA5"/>
    <w:rsid w:val="00C06152"/>
    <w:rsid w:val="00C118BB"/>
    <w:rsid w:val="00C16728"/>
    <w:rsid w:val="00C178B9"/>
    <w:rsid w:val="00C23C63"/>
    <w:rsid w:val="00C321FE"/>
    <w:rsid w:val="00C3575D"/>
    <w:rsid w:val="00C410D5"/>
    <w:rsid w:val="00C45560"/>
    <w:rsid w:val="00C47896"/>
    <w:rsid w:val="00C642DB"/>
    <w:rsid w:val="00C70F17"/>
    <w:rsid w:val="00C77DCE"/>
    <w:rsid w:val="00C81945"/>
    <w:rsid w:val="00C82944"/>
    <w:rsid w:val="00C84D3A"/>
    <w:rsid w:val="00C91DB3"/>
    <w:rsid w:val="00C96F20"/>
    <w:rsid w:val="00CA7592"/>
    <w:rsid w:val="00CB134D"/>
    <w:rsid w:val="00CB1962"/>
    <w:rsid w:val="00CB3DB1"/>
    <w:rsid w:val="00CB5704"/>
    <w:rsid w:val="00CB784E"/>
    <w:rsid w:val="00CC1C45"/>
    <w:rsid w:val="00CC27D8"/>
    <w:rsid w:val="00CC3276"/>
    <w:rsid w:val="00CC3F99"/>
    <w:rsid w:val="00CC5892"/>
    <w:rsid w:val="00CC5DFD"/>
    <w:rsid w:val="00CC71A7"/>
    <w:rsid w:val="00CD2CD5"/>
    <w:rsid w:val="00CD79D4"/>
    <w:rsid w:val="00CE085D"/>
    <w:rsid w:val="00CE125A"/>
    <w:rsid w:val="00CE4DFA"/>
    <w:rsid w:val="00D01240"/>
    <w:rsid w:val="00D06483"/>
    <w:rsid w:val="00D07D2C"/>
    <w:rsid w:val="00D07FDC"/>
    <w:rsid w:val="00D2105C"/>
    <w:rsid w:val="00D2657F"/>
    <w:rsid w:val="00D27D2F"/>
    <w:rsid w:val="00D31063"/>
    <w:rsid w:val="00D31086"/>
    <w:rsid w:val="00D33967"/>
    <w:rsid w:val="00D36933"/>
    <w:rsid w:val="00D36D8D"/>
    <w:rsid w:val="00D40A30"/>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B0382"/>
    <w:rsid w:val="00DB0A7D"/>
    <w:rsid w:val="00DB5A7C"/>
    <w:rsid w:val="00DC1A19"/>
    <w:rsid w:val="00DC2C42"/>
    <w:rsid w:val="00DD1B09"/>
    <w:rsid w:val="00DD2FD2"/>
    <w:rsid w:val="00DD517E"/>
    <w:rsid w:val="00DD7B23"/>
    <w:rsid w:val="00DE54DA"/>
    <w:rsid w:val="00DE555F"/>
    <w:rsid w:val="00DE657C"/>
    <w:rsid w:val="00DE7138"/>
    <w:rsid w:val="00DE77F1"/>
    <w:rsid w:val="00DF0580"/>
    <w:rsid w:val="00DF2FD6"/>
    <w:rsid w:val="00DF374B"/>
    <w:rsid w:val="00DF7A04"/>
    <w:rsid w:val="00E0181C"/>
    <w:rsid w:val="00E06F86"/>
    <w:rsid w:val="00E103A5"/>
    <w:rsid w:val="00E112EF"/>
    <w:rsid w:val="00E124DE"/>
    <w:rsid w:val="00E1483F"/>
    <w:rsid w:val="00E23A1A"/>
    <w:rsid w:val="00E270C9"/>
    <w:rsid w:val="00E3264A"/>
    <w:rsid w:val="00E37956"/>
    <w:rsid w:val="00E40BAE"/>
    <w:rsid w:val="00E4133E"/>
    <w:rsid w:val="00E42BAD"/>
    <w:rsid w:val="00E448C2"/>
    <w:rsid w:val="00E46A3F"/>
    <w:rsid w:val="00E5632E"/>
    <w:rsid w:val="00E5691E"/>
    <w:rsid w:val="00E6149A"/>
    <w:rsid w:val="00E63258"/>
    <w:rsid w:val="00E63271"/>
    <w:rsid w:val="00E6523F"/>
    <w:rsid w:val="00E65CA3"/>
    <w:rsid w:val="00E65E29"/>
    <w:rsid w:val="00E73F9B"/>
    <w:rsid w:val="00E7402C"/>
    <w:rsid w:val="00E75CFA"/>
    <w:rsid w:val="00E77863"/>
    <w:rsid w:val="00E850B1"/>
    <w:rsid w:val="00E87BC4"/>
    <w:rsid w:val="00EA3BE1"/>
    <w:rsid w:val="00EA4F48"/>
    <w:rsid w:val="00EA515E"/>
    <w:rsid w:val="00EB62DF"/>
    <w:rsid w:val="00EB6AED"/>
    <w:rsid w:val="00EC0540"/>
    <w:rsid w:val="00ED1EAB"/>
    <w:rsid w:val="00ED6D6C"/>
    <w:rsid w:val="00EE1FB4"/>
    <w:rsid w:val="00EE1FCF"/>
    <w:rsid w:val="00EE2423"/>
    <w:rsid w:val="00EE406F"/>
    <w:rsid w:val="00EE514F"/>
    <w:rsid w:val="00EE5AB7"/>
    <w:rsid w:val="00EF63C7"/>
    <w:rsid w:val="00EF7A16"/>
    <w:rsid w:val="00F0054E"/>
    <w:rsid w:val="00F047CF"/>
    <w:rsid w:val="00F06061"/>
    <w:rsid w:val="00F07A53"/>
    <w:rsid w:val="00F1566E"/>
    <w:rsid w:val="00F1770B"/>
    <w:rsid w:val="00F206AD"/>
    <w:rsid w:val="00F2167E"/>
    <w:rsid w:val="00F31130"/>
    <w:rsid w:val="00F31905"/>
    <w:rsid w:val="00F34CAF"/>
    <w:rsid w:val="00F379D6"/>
    <w:rsid w:val="00F42720"/>
    <w:rsid w:val="00F46E8F"/>
    <w:rsid w:val="00F516D3"/>
    <w:rsid w:val="00F70574"/>
    <w:rsid w:val="00F73451"/>
    <w:rsid w:val="00F74991"/>
    <w:rsid w:val="00F74D51"/>
    <w:rsid w:val="00F75C49"/>
    <w:rsid w:val="00F83548"/>
    <w:rsid w:val="00F91F60"/>
    <w:rsid w:val="00F93E65"/>
    <w:rsid w:val="00FA13FC"/>
    <w:rsid w:val="00FB0E79"/>
    <w:rsid w:val="00FC1452"/>
    <w:rsid w:val="00FC524A"/>
    <w:rsid w:val="00FC7BC3"/>
    <w:rsid w:val="00FD24AA"/>
    <w:rsid w:val="00FD4DAE"/>
    <w:rsid w:val="00FD4F34"/>
    <w:rsid w:val="00FE017D"/>
    <w:rsid w:val="00FE0CC5"/>
    <w:rsid w:val="00FE5C98"/>
    <w:rsid w:val="00FE5F47"/>
    <w:rsid w:val="00FF4ABE"/>
    <w:rsid w:val="06FDD837"/>
    <w:rsid w:val="070E2AFA"/>
    <w:rsid w:val="071D041C"/>
    <w:rsid w:val="072F516A"/>
    <w:rsid w:val="0796D3FB"/>
    <w:rsid w:val="07FF854F"/>
    <w:rsid w:val="0BEBB73D"/>
    <w:rsid w:val="0DE353F9"/>
    <w:rsid w:val="0FFD05C9"/>
    <w:rsid w:val="11777438"/>
    <w:rsid w:val="149F1EE5"/>
    <w:rsid w:val="14C33176"/>
    <w:rsid w:val="175C6F6A"/>
    <w:rsid w:val="17BB1B1D"/>
    <w:rsid w:val="19F5C854"/>
    <w:rsid w:val="19FC4C6F"/>
    <w:rsid w:val="1D6BC6DA"/>
    <w:rsid w:val="1D7BF350"/>
    <w:rsid w:val="1E764C06"/>
    <w:rsid w:val="1EE3B8A4"/>
    <w:rsid w:val="1EFD5E64"/>
    <w:rsid w:val="1FDE9620"/>
    <w:rsid w:val="211B39F2"/>
    <w:rsid w:val="215A0EEB"/>
    <w:rsid w:val="221D3307"/>
    <w:rsid w:val="22FB7BCE"/>
    <w:rsid w:val="27133AE9"/>
    <w:rsid w:val="27FDD23F"/>
    <w:rsid w:val="27FEC50A"/>
    <w:rsid w:val="2CFF5B0A"/>
    <w:rsid w:val="2CFF951F"/>
    <w:rsid w:val="2EDE9B0B"/>
    <w:rsid w:val="2F8D8B6B"/>
    <w:rsid w:val="2F8DD552"/>
    <w:rsid w:val="2F9A551E"/>
    <w:rsid w:val="2FAFF84F"/>
    <w:rsid w:val="327F21CD"/>
    <w:rsid w:val="33DF9337"/>
    <w:rsid w:val="343FBDFC"/>
    <w:rsid w:val="37DFBDF1"/>
    <w:rsid w:val="37E56D0C"/>
    <w:rsid w:val="37F53F17"/>
    <w:rsid w:val="38E87C94"/>
    <w:rsid w:val="39E734D3"/>
    <w:rsid w:val="3A77CAB5"/>
    <w:rsid w:val="3B4F8481"/>
    <w:rsid w:val="3B714E2B"/>
    <w:rsid w:val="3BB347E9"/>
    <w:rsid w:val="3BDB0304"/>
    <w:rsid w:val="3BFE0614"/>
    <w:rsid w:val="3CB5C02A"/>
    <w:rsid w:val="3CBED392"/>
    <w:rsid w:val="3CFF71C5"/>
    <w:rsid w:val="3DF96DFA"/>
    <w:rsid w:val="3DFFB5C3"/>
    <w:rsid w:val="3E7F1016"/>
    <w:rsid w:val="3ECE1E48"/>
    <w:rsid w:val="3EE321B1"/>
    <w:rsid w:val="3EECA659"/>
    <w:rsid w:val="3F2F42E2"/>
    <w:rsid w:val="3F5B7E1E"/>
    <w:rsid w:val="3F5D2F9E"/>
    <w:rsid w:val="3F7FFECC"/>
    <w:rsid w:val="3FB5AC1B"/>
    <w:rsid w:val="3FBD7177"/>
    <w:rsid w:val="3FC79D77"/>
    <w:rsid w:val="3FEEC14F"/>
    <w:rsid w:val="3FFBC6F9"/>
    <w:rsid w:val="3FFEB24E"/>
    <w:rsid w:val="3FFF167F"/>
    <w:rsid w:val="3FFF9203"/>
    <w:rsid w:val="42F00D2B"/>
    <w:rsid w:val="43BD6E5F"/>
    <w:rsid w:val="47B74BD0"/>
    <w:rsid w:val="47E77020"/>
    <w:rsid w:val="47EF2FF8"/>
    <w:rsid w:val="4815C42B"/>
    <w:rsid w:val="4A452BE2"/>
    <w:rsid w:val="4AFF5D99"/>
    <w:rsid w:val="4B5FBB05"/>
    <w:rsid w:val="4BEFB432"/>
    <w:rsid w:val="4D337DBA"/>
    <w:rsid w:val="4D8E085A"/>
    <w:rsid w:val="4DA649B2"/>
    <w:rsid w:val="4DBE9BF2"/>
    <w:rsid w:val="4EBFDDAC"/>
    <w:rsid w:val="4FD73BDD"/>
    <w:rsid w:val="4FDF906D"/>
    <w:rsid w:val="4FFB19E6"/>
    <w:rsid w:val="51BFB8B8"/>
    <w:rsid w:val="537FCE90"/>
    <w:rsid w:val="53FF43C0"/>
    <w:rsid w:val="56974B04"/>
    <w:rsid w:val="56CD35B2"/>
    <w:rsid w:val="57BD5274"/>
    <w:rsid w:val="57EBF8F3"/>
    <w:rsid w:val="59F94692"/>
    <w:rsid w:val="5A5F25C6"/>
    <w:rsid w:val="5AE4C5ED"/>
    <w:rsid w:val="5AF50835"/>
    <w:rsid w:val="5AFF017B"/>
    <w:rsid w:val="5BB7B9E7"/>
    <w:rsid w:val="5BEF6AB8"/>
    <w:rsid w:val="5C560494"/>
    <w:rsid w:val="5CEDC3D3"/>
    <w:rsid w:val="5DAEA7C8"/>
    <w:rsid w:val="5F1DD9AE"/>
    <w:rsid w:val="5F342895"/>
    <w:rsid w:val="5F759657"/>
    <w:rsid w:val="5F7F97C6"/>
    <w:rsid w:val="5FAD1355"/>
    <w:rsid w:val="5FBF9A3E"/>
    <w:rsid w:val="5FDE3172"/>
    <w:rsid w:val="5FDFC41D"/>
    <w:rsid w:val="5FDFFC9F"/>
    <w:rsid w:val="5FE79FDF"/>
    <w:rsid w:val="5FE7AF0C"/>
    <w:rsid w:val="5FEE6F22"/>
    <w:rsid w:val="5FF33F52"/>
    <w:rsid w:val="5FFA5473"/>
    <w:rsid w:val="5FFBA56E"/>
    <w:rsid w:val="5FFF036A"/>
    <w:rsid w:val="5FFFE3C3"/>
    <w:rsid w:val="5FFFFA52"/>
    <w:rsid w:val="61B7013F"/>
    <w:rsid w:val="62347E94"/>
    <w:rsid w:val="62BFA792"/>
    <w:rsid w:val="62FCAC37"/>
    <w:rsid w:val="63F149E0"/>
    <w:rsid w:val="67DE2109"/>
    <w:rsid w:val="67EF3138"/>
    <w:rsid w:val="68F12DAE"/>
    <w:rsid w:val="697EF400"/>
    <w:rsid w:val="6B8F6781"/>
    <w:rsid w:val="6B9ABF87"/>
    <w:rsid w:val="6BF43D61"/>
    <w:rsid w:val="6CF87521"/>
    <w:rsid w:val="6D3D887E"/>
    <w:rsid w:val="6DF6A74B"/>
    <w:rsid w:val="6DFB0400"/>
    <w:rsid w:val="6DFCB159"/>
    <w:rsid w:val="6E5B64D3"/>
    <w:rsid w:val="6E778CB3"/>
    <w:rsid w:val="6EBF3836"/>
    <w:rsid w:val="6EFCAADA"/>
    <w:rsid w:val="6EFE3687"/>
    <w:rsid w:val="6F7D893D"/>
    <w:rsid w:val="6F8E7013"/>
    <w:rsid w:val="6FAFB84E"/>
    <w:rsid w:val="6FBD116D"/>
    <w:rsid w:val="6FBE3B17"/>
    <w:rsid w:val="6FBFCF91"/>
    <w:rsid w:val="6FCF54C7"/>
    <w:rsid w:val="6FDB13D9"/>
    <w:rsid w:val="6FDF8B38"/>
    <w:rsid w:val="6FE5EF43"/>
    <w:rsid w:val="6FFD7753"/>
    <w:rsid w:val="6FFF1C1A"/>
    <w:rsid w:val="6FFF5FE0"/>
    <w:rsid w:val="6FFFA2D3"/>
    <w:rsid w:val="6FFFE22A"/>
    <w:rsid w:val="709F18D4"/>
    <w:rsid w:val="718030F6"/>
    <w:rsid w:val="71FF0800"/>
    <w:rsid w:val="735BF0D6"/>
    <w:rsid w:val="737691C2"/>
    <w:rsid w:val="73795419"/>
    <w:rsid w:val="73BAE62B"/>
    <w:rsid w:val="73D980D6"/>
    <w:rsid w:val="73DBECD7"/>
    <w:rsid w:val="73DE35DD"/>
    <w:rsid w:val="73DF2463"/>
    <w:rsid w:val="73F7CC43"/>
    <w:rsid w:val="74AC7D5E"/>
    <w:rsid w:val="74DD616A"/>
    <w:rsid w:val="75D7C189"/>
    <w:rsid w:val="75ED4E7F"/>
    <w:rsid w:val="763A6779"/>
    <w:rsid w:val="766FDE46"/>
    <w:rsid w:val="76EFAB40"/>
    <w:rsid w:val="7756DB3F"/>
    <w:rsid w:val="779E6C78"/>
    <w:rsid w:val="77B8F39F"/>
    <w:rsid w:val="77BDF20E"/>
    <w:rsid w:val="77BF40F4"/>
    <w:rsid w:val="77D38E54"/>
    <w:rsid w:val="77DACF8E"/>
    <w:rsid w:val="77DFCE77"/>
    <w:rsid w:val="77E77C3E"/>
    <w:rsid w:val="77ED0B87"/>
    <w:rsid w:val="77EF5A0D"/>
    <w:rsid w:val="77FB8CA4"/>
    <w:rsid w:val="77FE0D68"/>
    <w:rsid w:val="77FF5330"/>
    <w:rsid w:val="77FF967F"/>
    <w:rsid w:val="783B66FD"/>
    <w:rsid w:val="78DE3941"/>
    <w:rsid w:val="78FF59B8"/>
    <w:rsid w:val="79102FB2"/>
    <w:rsid w:val="79579149"/>
    <w:rsid w:val="79A100AE"/>
    <w:rsid w:val="79AF9382"/>
    <w:rsid w:val="79EFF248"/>
    <w:rsid w:val="7A4A7A44"/>
    <w:rsid w:val="7B6EF84B"/>
    <w:rsid w:val="7B6FD08A"/>
    <w:rsid w:val="7B75923D"/>
    <w:rsid w:val="7B9F7BD3"/>
    <w:rsid w:val="7BB71FCE"/>
    <w:rsid w:val="7BBFBB09"/>
    <w:rsid w:val="7BED7A96"/>
    <w:rsid w:val="7BEF461D"/>
    <w:rsid w:val="7BEF4A56"/>
    <w:rsid w:val="7BF7888A"/>
    <w:rsid w:val="7BFF7340"/>
    <w:rsid w:val="7CBE0B6D"/>
    <w:rsid w:val="7CFA2B51"/>
    <w:rsid w:val="7D1F2D93"/>
    <w:rsid w:val="7D2363DD"/>
    <w:rsid w:val="7D344D95"/>
    <w:rsid w:val="7D7E866D"/>
    <w:rsid w:val="7D7F5B00"/>
    <w:rsid w:val="7DBD9416"/>
    <w:rsid w:val="7DE98BF3"/>
    <w:rsid w:val="7DED4D94"/>
    <w:rsid w:val="7DED514F"/>
    <w:rsid w:val="7DEEBEE0"/>
    <w:rsid w:val="7DEF709D"/>
    <w:rsid w:val="7DFB2E2F"/>
    <w:rsid w:val="7DFEA12B"/>
    <w:rsid w:val="7DFF57E7"/>
    <w:rsid w:val="7E3B5F9D"/>
    <w:rsid w:val="7E3D4CF4"/>
    <w:rsid w:val="7E47A669"/>
    <w:rsid w:val="7E7DA57B"/>
    <w:rsid w:val="7E7FCB42"/>
    <w:rsid w:val="7E931BEB"/>
    <w:rsid w:val="7EB2FEE9"/>
    <w:rsid w:val="7EC747EA"/>
    <w:rsid w:val="7ECF43A1"/>
    <w:rsid w:val="7ED7F4C3"/>
    <w:rsid w:val="7EDD6B40"/>
    <w:rsid w:val="7EEFF3D8"/>
    <w:rsid w:val="7EF39F82"/>
    <w:rsid w:val="7EF509DB"/>
    <w:rsid w:val="7EFB7483"/>
    <w:rsid w:val="7EFC4EB4"/>
    <w:rsid w:val="7EFF13A8"/>
    <w:rsid w:val="7EFFBE46"/>
    <w:rsid w:val="7F3EC118"/>
    <w:rsid w:val="7F3FFA65"/>
    <w:rsid w:val="7F577C2B"/>
    <w:rsid w:val="7F764FAA"/>
    <w:rsid w:val="7F8B6CC2"/>
    <w:rsid w:val="7F9DEE33"/>
    <w:rsid w:val="7FADCB74"/>
    <w:rsid w:val="7FB126CD"/>
    <w:rsid w:val="7FB5C0A0"/>
    <w:rsid w:val="7FCF8D05"/>
    <w:rsid w:val="7FDDFE87"/>
    <w:rsid w:val="7FDE1BCD"/>
    <w:rsid w:val="7FDFBE82"/>
    <w:rsid w:val="7FE70695"/>
    <w:rsid w:val="7FE90E8C"/>
    <w:rsid w:val="7FE91AAD"/>
    <w:rsid w:val="7FEF6E20"/>
    <w:rsid w:val="7FF3D3A2"/>
    <w:rsid w:val="7FF70807"/>
    <w:rsid w:val="7FFABEA4"/>
    <w:rsid w:val="7FFBEB5A"/>
    <w:rsid w:val="7FFDB050"/>
    <w:rsid w:val="7FFE17A1"/>
    <w:rsid w:val="7FFF4BB5"/>
    <w:rsid w:val="7FFFC32B"/>
    <w:rsid w:val="7FFFC44F"/>
    <w:rsid w:val="8AFFE2D3"/>
    <w:rsid w:val="8B6F2F59"/>
    <w:rsid w:val="8DEB351F"/>
    <w:rsid w:val="8F6F3630"/>
    <w:rsid w:val="95DF177F"/>
    <w:rsid w:val="97BF7935"/>
    <w:rsid w:val="97EFC523"/>
    <w:rsid w:val="9B7B6C10"/>
    <w:rsid w:val="9DF72364"/>
    <w:rsid w:val="9EBD9FC2"/>
    <w:rsid w:val="9EDFFCE3"/>
    <w:rsid w:val="9EE7F689"/>
    <w:rsid w:val="9FDDD8BA"/>
    <w:rsid w:val="9FDFE765"/>
    <w:rsid w:val="A35E25E8"/>
    <w:rsid w:val="A5C5B003"/>
    <w:rsid w:val="A9EFEE5B"/>
    <w:rsid w:val="AB394EED"/>
    <w:rsid w:val="ABDDDFDB"/>
    <w:rsid w:val="ABFC234D"/>
    <w:rsid w:val="AC9A1827"/>
    <w:rsid w:val="AE4731E8"/>
    <w:rsid w:val="AE5BB332"/>
    <w:rsid w:val="AE689322"/>
    <w:rsid w:val="AE9B18E9"/>
    <w:rsid w:val="AEBC8E78"/>
    <w:rsid w:val="AF072E1D"/>
    <w:rsid w:val="AF1F9809"/>
    <w:rsid w:val="B2BF29F9"/>
    <w:rsid w:val="B3FF60FD"/>
    <w:rsid w:val="B5FFDC8D"/>
    <w:rsid w:val="B6BFED37"/>
    <w:rsid w:val="B6F5465D"/>
    <w:rsid w:val="B75B6D63"/>
    <w:rsid w:val="BAFB8288"/>
    <w:rsid w:val="BB3CC977"/>
    <w:rsid w:val="BB77706F"/>
    <w:rsid w:val="BBBD60E6"/>
    <w:rsid w:val="BBFBF7EB"/>
    <w:rsid w:val="BC8F0635"/>
    <w:rsid w:val="BCEB7A00"/>
    <w:rsid w:val="BD7B6342"/>
    <w:rsid w:val="BD7FD5E5"/>
    <w:rsid w:val="BDE76AD4"/>
    <w:rsid w:val="BDFE3C48"/>
    <w:rsid w:val="BE9F1DC5"/>
    <w:rsid w:val="BEBA5523"/>
    <w:rsid w:val="BEDD19AD"/>
    <w:rsid w:val="BEEFCC92"/>
    <w:rsid w:val="BF06342A"/>
    <w:rsid w:val="BF273281"/>
    <w:rsid w:val="BF6DDE3D"/>
    <w:rsid w:val="BF7B0F3A"/>
    <w:rsid w:val="BFBBA44C"/>
    <w:rsid w:val="BFC3C852"/>
    <w:rsid w:val="BFE6F22D"/>
    <w:rsid w:val="BFEFA8BB"/>
    <w:rsid w:val="BFF7053C"/>
    <w:rsid w:val="BFF7D7E0"/>
    <w:rsid w:val="BFFF7641"/>
    <w:rsid w:val="C5B62DEE"/>
    <w:rsid w:val="C7F62B82"/>
    <w:rsid w:val="CDFF3E09"/>
    <w:rsid w:val="CF6F87F0"/>
    <w:rsid w:val="CF7F0451"/>
    <w:rsid w:val="CFEFCD2F"/>
    <w:rsid w:val="CFF52798"/>
    <w:rsid w:val="CFF7E35C"/>
    <w:rsid w:val="CFFF2B7E"/>
    <w:rsid w:val="D17583D7"/>
    <w:rsid w:val="D3FF09E4"/>
    <w:rsid w:val="D47F540F"/>
    <w:rsid w:val="D6BB27EF"/>
    <w:rsid w:val="D6EF82AE"/>
    <w:rsid w:val="D6FF32F1"/>
    <w:rsid w:val="D72D25C4"/>
    <w:rsid w:val="D77D5A1E"/>
    <w:rsid w:val="D7CB05DB"/>
    <w:rsid w:val="D96379D6"/>
    <w:rsid w:val="D9CF8920"/>
    <w:rsid w:val="D9FDAE32"/>
    <w:rsid w:val="DBDBC196"/>
    <w:rsid w:val="DBFB3D52"/>
    <w:rsid w:val="DCAF77F6"/>
    <w:rsid w:val="DDB6AB8C"/>
    <w:rsid w:val="DDD911CC"/>
    <w:rsid w:val="DDEB0D6E"/>
    <w:rsid w:val="DDFF1FE3"/>
    <w:rsid w:val="DDFF9554"/>
    <w:rsid w:val="DE9F5E86"/>
    <w:rsid w:val="DEEFEC93"/>
    <w:rsid w:val="DEF77D13"/>
    <w:rsid w:val="DF3F4111"/>
    <w:rsid w:val="DF3F546D"/>
    <w:rsid w:val="DF7D0533"/>
    <w:rsid w:val="DF7F4886"/>
    <w:rsid w:val="DF7FDCDF"/>
    <w:rsid w:val="DFD93DDA"/>
    <w:rsid w:val="DFDEC520"/>
    <w:rsid w:val="DFDFE5A4"/>
    <w:rsid w:val="DFEDD676"/>
    <w:rsid w:val="DFEEB31E"/>
    <w:rsid w:val="DFEFEC13"/>
    <w:rsid w:val="DFF7C695"/>
    <w:rsid w:val="DFFBF7FC"/>
    <w:rsid w:val="DFFC161D"/>
    <w:rsid w:val="DFFF41DC"/>
    <w:rsid w:val="DFFFC173"/>
    <w:rsid w:val="E5AF69DE"/>
    <w:rsid w:val="E5DB6448"/>
    <w:rsid w:val="E715ED36"/>
    <w:rsid w:val="E736CA49"/>
    <w:rsid w:val="E79F3002"/>
    <w:rsid w:val="E7A7F51E"/>
    <w:rsid w:val="E7FF28F4"/>
    <w:rsid w:val="E9FF5500"/>
    <w:rsid w:val="EAD57D07"/>
    <w:rsid w:val="EBA60636"/>
    <w:rsid w:val="EBE79659"/>
    <w:rsid w:val="EBFB4D41"/>
    <w:rsid w:val="EC7E57ED"/>
    <w:rsid w:val="ED3F9145"/>
    <w:rsid w:val="ED5E799F"/>
    <w:rsid w:val="EDBF37ED"/>
    <w:rsid w:val="EDEFE030"/>
    <w:rsid w:val="EDFC4F69"/>
    <w:rsid w:val="EDFF6A31"/>
    <w:rsid w:val="EEBFD9C3"/>
    <w:rsid w:val="EEDAF36E"/>
    <w:rsid w:val="EF2F9D9A"/>
    <w:rsid w:val="EF4DF637"/>
    <w:rsid w:val="EFAEFCD8"/>
    <w:rsid w:val="EFBF225F"/>
    <w:rsid w:val="EFC37A10"/>
    <w:rsid w:val="EFF451D6"/>
    <w:rsid w:val="EFF8284C"/>
    <w:rsid w:val="EFFB11AA"/>
    <w:rsid w:val="EFFEA4F7"/>
    <w:rsid w:val="EFFEF376"/>
    <w:rsid w:val="F2E7D4AD"/>
    <w:rsid w:val="F2FF0CCF"/>
    <w:rsid w:val="F35C6053"/>
    <w:rsid w:val="F35FA86E"/>
    <w:rsid w:val="F3BF94C0"/>
    <w:rsid w:val="F3C32B17"/>
    <w:rsid w:val="F3F7A4C9"/>
    <w:rsid w:val="F3FD3FD5"/>
    <w:rsid w:val="F4BDD86D"/>
    <w:rsid w:val="F4EA0763"/>
    <w:rsid w:val="F537DE22"/>
    <w:rsid w:val="F57F3736"/>
    <w:rsid w:val="F57F7F46"/>
    <w:rsid w:val="F5BF3A6C"/>
    <w:rsid w:val="F5EF4ECE"/>
    <w:rsid w:val="F5F5E43E"/>
    <w:rsid w:val="F65D6CE4"/>
    <w:rsid w:val="F6BD6ABA"/>
    <w:rsid w:val="F6BF2A9C"/>
    <w:rsid w:val="F73E2C78"/>
    <w:rsid w:val="F7BFBB61"/>
    <w:rsid w:val="F7C70680"/>
    <w:rsid w:val="F7ECD733"/>
    <w:rsid w:val="F7EF3E0D"/>
    <w:rsid w:val="F7F0BE48"/>
    <w:rsid w:val="F7F354F0"/>
    <w:rsid w:val="F7F7AC8B"/>
    <w:rsid w:val="F7F988D2"/>
    <w:rsid w:val="F8370272"/>
    <w:rsid w:val="F9773501"/>
    <w:rsid w:val="F97BBC89"/>
    <w:rsid w:val="F9BD83EF"/>
    <w:rsid w:val="FAEBC48B"/>
    <w:rsid w:val="FAFFC8A0"/>
    <w:rsid w:val="FB3CEC5C"/>
    <w:rsid w:val="FB6D02C1"/>
    <w:rsid w:val="FB769C7C"/>
    <w:rsid w:val="FB7B0993"/>
    <w:rsid w:val="FB7FBFE2"/>
    <w:rsid w:val="FB9B0E44"/>
    <w:rsid w:val="FBBF4767"/>
    <w:rsid w:val="FBC7BE32"/>
    <w:rsid w:val="FBEF3E11"/>
    <w:rsid w:val="FBF020C9"/>
    <w:rsid w:val="FBFB8B8D"/>
    <w:rsid w:val="FC7F5F55"/>
    <w:rsid w:val="FCB64CF3"/>
    <w:rsid w:val="FCBEB9B4"/>
    <w:rsid w:val="FCBF8E7E"/>
    <w:rsid w:val="FD767759"/>
    <w:rsid w:val="FD7FB604"/>
    <w:rsid w:val="FDB1651A"/>
    <w:rsid w:val="FDDE39EF"/>
    <w:rsid w:val="FDFD757F"/>
    <w:rsid w:val="FDFEBC1A"/>
    <w:rsid w:val="FDFFEADF"/>
    <w:rsid w:val="FE7F1FC9"/>
    <w:rsid w:val="FE7FF82B"/>
    <w:rsid w:val="FEAF7179"/>
    <w:rsid w:val="FEBC5DB0"/>
    <w:rsid w:val="FEBD1FA9"/>
    <w:rsid w:val="FEBE0E6C"/>
    <w:rsid w:val="FEEF91B8"/>
    <w:rsid w:val="FEF1E25F"/>
    <w:rsid w:val="FEF780B8"/>
    <w:rsid w:val="FEFA53F1"/>
    <w:rsid w:val="FF1FBC84"/>
    <w:rsid w:val="FF3E5C8C"/>
    <w:rsid w:val="FF4BA184"/>
    <w:rsid w:val="FF4ED624"/>
    <w:rsid w:val="FF4FAC77"/>
    <w:rsid w:val="FF65A386"/>
    <w:rsid w:val="FF6C0E6C"/>
    <w:rsid w:val="FF7E56E8"/>
    <w:rsid w:val="FF7F7D11"/>
    <w:rsid w:val="FF7FEBC0"/>
    <w:rsid w:val="FFB6985C"/>
    <w:rsid w:val="FFBB4AA5"/>
    <w:rsid w:val="FFBCEC29"/>
    <w:rsid w:val="FFC47ED1"/>
    <w:rsid w:val="FFD93DB3"/>
    <w:rsid w:val="FFDC388C"/>
    <w:rsid w:val="FFDF3631"/>
    <w:rsid w:val="FFDF44DF"/>
    <w:rsid w:val="FFDF5D28"/>
    <w:rsid w:val="FFDFA609"/>
    <w:rsid w:val="FFDFB58B"/>
    <w:rsid w:val="FFE789BD"/>
    <w:rsid w:val="FFE972B9"/>
    <w:rsid w:val="FFEC2FC2"/>
    <w:rsid w:val="FFEE8040"/>
    <w:rsid w:val="FFEF8C8B"/>
    <w:rsid w:val="FFF273A1"/>
    <w:rsid w:val="FFF337E4"/>
    <w:rsid w:val="FFF35C60"/>
    <w:rsid w:val="FFF391FA"/>
    <w:rsid w:val="FFF5C63C"/>
    <w:rsid w:val="FFF667D5"/>
    <w:rsid w:val="FFF78A7B"/>
    <w:rsid w:val="FFFA398F"/>
    <w:rsid w:val="FFFB8A93"/>
    <w:rsid w:val="FFFB8D4C"/>
    <w:rsid w:val="FFFBE174"/>
    <w:rsid w:val="FFFD41FE"/>
    <w:rsid w:val="FFFDC03C"/>
    <w:rsid w:val="FFFE7D2F"/>
    <w:rsid w:val="FFFF29AB"/>
    <w:rsid w:val="FFFFCF0E"/>
    <w:rsid w:val="FFFFF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3"/>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54"/>
    <w:semiHidden/>
    <w:unhideWhenUsed/>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3"/>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5"/>
    <w:link w:val="64"/>
    <w:semiHidden/>
    <w:unhideWhenUsed/>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5"/>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9">
    <w:name w:val="heading 7"/>
    <w:basedOn w:val="1"/>
    <w:next w:val="1"/>
    <w:link w:val="66"/>
    <w:semiHidden/>
    <w:unhideWhenUsed/>
    <w:qFormat/>
    <w:uiPriority w:val="0"/>
    <w:pPr>
      <w:keepNext/>
      <w:keepLines/>
      <w:numPr>
        <w:ilvl w:val="6"/>
        <w:numId w:val="1"/>
      </w:numPr>
      <w:spacing w:before="240" w:after="64" w:line="320" w:lineRule="auto"/>
      <w:outlineLvl w:val="6"/>
    </w:pPr>
    <w:rPr>
      <w:b/>
      <w:bCs/>
    </w:rPr>
  </w:style>
  <w:style w:type="paragraph" w:styleId="10">
    <w:name w:val="heading 8"/>
    <w:basedOn w:val="1"/>
    <w:next w:val="1"/>
    <w:link w:val="67"/>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1">
    <w:name w:val="heading 9"/>
    <w:basedOn w:val="1"/>
    <w:next w:val="1"/>
    <w:link w:val="68"/>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31">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5">
    <w:name w:val="*正文"/>
    <w:basedOn w:val="1"/>
    <w:autoRedefine/>
    <w:qFormat/>
    <w:uiPriority w:val="0"/>
    <w:pPr>
      <w:ind w:firstLine="200" w:firstLineChars="200"/>
    </w:pPr>
    <w:rPr>
      <w:rFonts w:cs="Times New Roman"/>
    </w:rPr>
  </w:style>
  <w:style w:type="paragraph" w:styleId="12">
    <w:name w:val="Normal Indent"/>
    <w:basedOn w:val="1"/>
    <w:next w:val="13"/>
    <w:unhideWhenUsed/>
    <w:qFormat/>
    <w:uiPriority w:val="99"/>
    <w:pPr>
      <w:widowControl/>
      <w:spacing w:line="480" w:lineRule="exact"/>
      <w:ind w:firstLine="567"/>
    </w:pPr>
    <w:rPr>
      <w:rFonts w:ascii="宋体"/>
      <w:color w:val="000000"/>
      <w:kern w:val="28"/>
      <w:sz w:val="28"/>
      <w:szCs w:val="28"/>
    </w:rPr>
  </w:style>
  <w:style w:type="paragraph" w:styleId="13">
    <w:name w:val="Body Text Indent"/>
    <w:basedOn w:val="1"/>
    <w:next w:val="1"/>
    <w:link w:val="82"/>
    <w:unhideWhenUsed/>
    <w:qFormat/>
    <w:uiPriority w:val="99"/>
    <w:pPr>
      <w:spacing w:line="480" w:lineRule="atLeast"/>
      <w:ind w:firstLine="570"/>
    </w:pPr>
    <w:rPr>
      <w:rFonts w:ascii="黑体" w:hAnsi="黑体" w:eastAsia="黑体" w:cs="宋体"/>
    </w:rPr>
  </w:style>
  <w:style w:type="paragraph" w:styleId="14">
    <w:name w:val="Body Text"/>
    <w:basedOn w:val="1"/>
    <w:next w:val="15"/>
    <w:link w:val="83"/>
    <w:unhideWhenUsed/>
    <w:qFormat/>
    <w:uiPriority w:val="99"/>
  </w:style>
  <w:style w:type="paragraph" w:styleId="15">
    <w:name w:val="Body Text First Indent"/>
    <w:basedOn w:val="14"/>
    <w:next w:val="1"/>
    <w:qFormat/>
    <w:uiPriority w:val="0"/>
    <w:pPr>
      <w:snapToGrid w:val="0"/>
      <w:spacing w:after="120" w:afterLines="0" w:line="288" w:lineRule="auto"/>
      <w:ind w:firstLine="420" w:firstLineChars="100"/>
      <w:jc w:val="both"/>
      <w:textAlignment w:val="auto"/>
    </w:pPr>
    <w:rPr>
      <w:rFonts w:ascii="Calibri" w:eastAsia="宋体"/>
      <w:kern w:val="2"/>
      <w:sz w:val="21"/>
    </w:rPr>
  </w:style>
  <w:style w:type="paragraph" w:styleId="16">
    <w:name w:val="toc 5"/>
    <w:basedOn w:val="1"/>
    <w:next w:val="1"/>
    <w:qFormat/>
    <w:uiPriority w:val="0"/>
    <w:pPr>
      <w:ind w:left="1680" w:leftChars="800"/>
    </w:pPr>
  </w:style>
  <w:style w:type="paragraph" w:styleId="17">
    <w:name w:val="toc 3"/>
    <w:basedOn w:val="1"/>
    <w:next w:val="1"/>
    <w:uiPriority w:val="0"/>
    <w:pPr>
      <w:ind w:left="840" w:leftChars="400"/>
    </w:pPr>
  </w:style>
  <w:style w:type="paragraph" w:styleId="18">
    <w:name w:val="Plain Text"/>
    <w:basedOn w:val="1"/>
    <w:link w:val="80"/>
    <w:unhideWhenUsed/>
    <w:qFormat/>
    <w:uiPriority w:val="99"/>
    <w:pPr>
      <w:ind w:firstLine="425" w:firstLineChars="177"/>
    </w:pPr>
    <w:rPr>
      <w:rFonts w:ascii="仿宋" w:hAnsi="仿宋" w:eastAsia="仿宋"/>
    </w:rPr>
  </w:style>
  <w:style w:type="paragraph" w:styleId="19">
    <w:name w:val="Date"/>
    <w:basedOn w:val="1"/>
    <w:next w:val="1"/>
    <w:link w:val="87"/>
    <w:qFormat/>
    <w:uiPriority w:val="0"/>
    <w:pPr>
      <w:ind w:left="100" w:leftChars="2500"/>
    </w:pPr>
  </w:style>
  <w:style w:type="paragraph" w:styleId="20">
    <w:name w:val="footer"/>
    <w:basedOn w:val="1"/>
    <w:link w:val="79"/>
    <w:qFormat/>
    <w:uiPriority w:val="0"/>
    <w:pPr>
      <w:tabs>
        <w:tab w:val="center" w:pos="4153"/>
        <w:tab w:val="right" w:pos="8306"/>
      </w:tabs>
      <w:jc w:val="left"/>
    </w:pPr>
    <w:rPr>
      <w:sz w:val="18"/>
      <w:szCs w:val="18"/>
    </w:rPr>
  </w:style>
  <w:style w:type="paragraph" w:styleId="21">
    <w:name w:val="header"/>
    <w:basedOn w:val="1"/>
    <w:link w:val="77"/>
    <w:qFormat/>
    <w:uiPriority w:val="0"/>
    <w:pPr>
      <w:pBdr>
        <w:bottom w:val="single" w:color="auto" w:sz="6" w:space="1"/>
      </w:pBdr>
      <w:tabs>
        <w:tab w:val="center" w:pos="4153"/>
        <w:tab w:val="right" w:pos="8306"/>
      </w:tabs>
      <w:jc w:val="center"/>
    </w:pPr>
    <w:rPr>
      <w:sz w:val="18"/>
      <w:szCs w:val="18"/>
    </w:rPr>
  </w:style>
  <w:style w:type="paragraph" w:styleId="22">
    <w:name w:val="toc 1"/>
    <w:basedOn w:val="1"/>
    <w:next w:val="1"/>
    <w:qFormat/>
    <w:uiPriority w:val="0"/>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toc 2"/>
    <w:basedOn w:val="1"/>
    <w:next w:val="1"/>
    <w:qFormat/>
    <w:uiPriority w:val="0"/>
    <w:pPr>
      <w:ind w:left="420" w:leftChars="200"/>
    </w:pPr>
  </w:style>
  <w:style w:type="paragraph" w:styleId="2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7">
    <w:name w:val="Title"/>
    <w:basedOn w:val="1"/>
    <w:next w:val="18"/>
    <w:link w:val="90"/>
    <w:qFormat/>
    <w:uiPriority w:val="99"/>
    <w:pPr>
      <w:adjustRightInd/>
      <w:spacing w:before="360" w:after="180"/>
      <w:jc w:val="center"/>
      <w:outlineLvl w:val="0"/>
    </w:pPr>
    <w:rPr>
      <w:rFonts w:ascii="Cambria" w:hAnsi="Cambria" w:eastAsia="华文中宋"/>
      <w:b/>
      <w:bCs/>
      <w:sz w:val="44"/>
      <w:szCs w:val="44"/>
    </w:rPr>
  </w:style>
  <w:style w:type="table" w:styleId="29">
    <w:name w:val="Table Grid"/>
    <w:basedOn w:val="30"/>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30">
    <w:name w:val="表格样式@中勤招标"/>
    <w:basedOn w:val="28"/>
    <w:qFormat/>
    <w:uiPriority w:val="99"/>
    <w:pPr>
      <w:jc w:val="both"/>
    </w:pPr>
    <w:rPr>
      <w:rFonts w:ascii="宋体" w:eastAsia="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32">
    <w:name w:val="Strong"/>
    <w:basedOn w:val="31"/>
    <w:qFormat/>
    <w:uiPriority w:val="22"/>
    <w:rPr>
      <w:b/>
      <w:bCs/>
    </w:rPr>
  </w:style>
  <w:style w:type="character" w:styleId="33">
    <w:name w:val="page number"/>
    <w:basedOn w:val="31"/>
    <w:qFormat/>
    <w:uiPriority w:val="0"/>
  </w:style>
  <w:style w:type="character" w:styleId="34">
    <w:name w:val="FollowedHyperlink"/>
    <w:basedOn w:val="31"/>
    <w:qFormat/>
    <w:uiPriority w:val="0"/>
    <w:rPr>
      <w:color w:val="954F72" w:themeColor="followedHyperlink"/>
      <w:u w:val="single"/>
      <w14:textFill>
        <w14:solidFill>
          <w14:schemeClr w14:val="folHlink"/>
        </w14:solidFill>
      </w14:textFill>
    </w:rPr>
  </w:style>
  <w:style w:type="character" w:styleId="35">
    <w:name w:val="Hyperlink"/>
    <w:basedOn w:val="31"/>
    <w:unhideWhenUsed/>
    <w:qFormat/>
    <w:uiPriority w:val="99"/>
    <w:rPr>
      <w:color w:val="0000FF"/>
      <w:u w:val="single"/>
    </w:rPr>
  </w:style>
  <w:style w:type="paragraph" w:customStyle="1" w:styleId="36">
    <w:name w:val="标题6@中勤招标"/>
    <w:basedOn w:val="37"/>
    <w:next w:val="39"/>
    <w:link w:val="40"/>
    <w:qFormat/>
    <w:uiPriority w:val="0"/>
    <w:pPr>
      <w:numPr>
        <w:ilvl w:val="5"/>
        <w:numId w:val="2"/>
      </w:numPr>
      <w:ind w:firstLine="0" w:firstLineChars="0"/>
      <w:outlineLvl w:val="9"/>
    </w:pPr>
    <w:rPr>
      <w:b w:val="0"/>
      <w:u w:val="single"/>
    </w:rPr>
  </w:style>
  <w:style w:type="paragraph" w:customStyle="1" w:styleId="37">
    <w:name w:val="标题5@中勤招标"/>
    <w:basedOn w:val="38"/>
    <w:next w:val="39"/>
    <w:link w:val="50"/>
    <w:qFormat/>
    <w:uiPriority w:val="0"/>
    <w:pPr>
      <w:numPr>
        <w:ilvl w:val="4"/>
        <w:numId w:val="2"/>
      </w:numPr>
      <w:ind w:left="0" w:firstLine="720" w:firstLineChars="200"/>
      <w:outlineLvl w:val="4"/>
    </w:pPr>
  </w:style>
  <w:style w:type="paragraph" w:customStyle="1" w:styleId="38">
    <w:name w:val="标题4@中勤招标"/>
    <w:basedOn w:val="39"/>
    <w:next w:val="39"/>
    <w:qFormat/>
    <w:uiPriority w:val="0"/>
    <w:pPr>
      <w:numPr>
        <w:ilvl w:val="3"/>
        <w:numId w:val="2"/>
      </w:numPr>
      <w:ind w:left="0" w:firstLine="720" w:firstLineChars="200"/>
      <w:outlineLvl w:val="3"/>
    </w:pPr>
    <w:rPr>
      <w:rFonts w:ascii="宋体" w:hAnsi="宋体" w:eastAsia="宋体"/>
      <w:b/>
      <w:bCs/>
      <w:lang w:eastAsia="zh-CN"/>
    </w:rPr>
  </w:style>
  <w:style w:type="paragraph" w:customStyle="1" w:styleId="39">
    <w:name w:val="正文@中勤招标"/>
    <w:basedOn w:val="1"/>
    <w:link w:val="97"/>
    <w:qFormat/>
    <w:uiPriority w:val="0"/>
    <w:pPr>
      <w:spacing w:line="360" w:lineRule="auto"/>
      <w:ind w:firstLine="200" w:firstLineChars="200"/>
    </w:pPr>
    <w:rPr>
      <w:rFonts w:ascii="宋体" w:hAnsi="宋体"/>
      <w:sz w:val="24"/>
      <w:lang w:eastAsia="zh-Hans"/>
    </w:rPr>
  </w:style>
  <w:style w:type="character" w:customStyle="1" w:styleId="40">
    <w:name w:val="标题6@中勤招标 Char"/>
    <w:link w:val="36"/>
    <w:qFormat/>
    <w:uiPriority w:val="0"/>
    <w:rPr>
      <w:rFonts w:ascii="宋体" w:hAnsi="宋体" w:eastAsia="宋体" w:cs="Times New Roman"/>
      <w:bCs/>
      <w:kern w:val="2"/>
      <w:sz w:val="24"/>
      <w:szCs w:val="21"/>
      <w:u w:val="single"/>
    </w:rPr>
  </w:style>
  <w:style w:type="paragraph" w:customStyle="1" w:styleId="41">
    <w:name w:val="标题2@中勤招标"/>
    <w:basedOn w:val="42"/>
    <w:next w:val="39"/>
    <w:link w:val="93"/>
    <w:qFormat/>
    <w:uiPriority w:val="0"/>
    <w:pPr>
      <w:numPr>
        <w:ilvl w:val="1"/>
        <w:numId w:val="2"/>
      </w:numPr>
      <w:tabs>
        <w:tab w:val="left" w:pos="0"/>
      </w:tabs>
      <w:outlineLvl w:val="1"/>
    </w:pPr>
    <w:rPr>
      <w:sz w:val="32"/>
      <w:szCs w:val="32"/>
    </w:rPr>
  </w:style>
  <w:style w:type="paragraph" w:customStyle="1" w:styleId="42">
    <w:name w:val="标题1@中勤招标"/>
    <w:basedOn w:val="39"/>
    <w:next w:val="39"/>
    <w:link w:val="94"/>
    <w:qFormat/>
    <w:uiPriority w:val="0"/>
    <w:pPr>
      <w:numPr>
        <w:ilvl w:val="0"/>
        <w:numId w:val="3"/>
      </w:numPr>
      <w:tabs>
        <w:tab w:val="left" w:pos="0"/>
      </w:tabs>
      <w:ind w:firstLineChars="0"/>
      <w:jc w:val="center"/>
      <w:outlineLvl w:val="0"/>
    </w:pPr>
    <w:rPr>
      <w:rFonts w:ascii="黑体" w:hAnsi="黑体" w:eastAsia="黑体" w:cs="黑体"/>
      <w:bCs/>
      <w:sz w:val="36"/>
      <w:szCs w:val="44"/>
    </w:rPr>
  </w:style>
  <w:style w:type="paragraph" w:customStyle="1" w:styleId="43">
    <w:name w:val="标题3@中勤招标"/>
    <w:basedOn w:val="41"/>
    <w:next w:val="39"/>
    <w:qFormat/>
    <w:uiPriority w:val="0"/>
    <w:pPr>
      <w:numPr>
        <w:ilvl w:val="2"/>
      </w:numPr>
      <w:ind w:left="0"/>
      <w:jc w:val="both"/>
      <w:outlineLvl w:val="2"/>
    </w:pPr>
    <w:rPr>
      <w:sz w:val="28"/>
      <w:szCs w:val="28"/>
    </w:rPr>
  </w:style>
  <w:style w:type="paragraph" w:customStyle="1" w:styleId="44">
    <w:name w:val="同标题4序号的正文@中勤招标"/>
    <w:basedOn w:val="38"/>
    <w:next w:val="39"/>
    <w:qFormat/>
    <w:uiPriority w:val="0"/>
    <w:pPr>
      <w:numPr>
        <w:numId w:val="3"/>
      </w:numPr>
      <w:outlineLvl w:val="9"/>
    </w:pPr>
    <w:rPr>
      <w:rFonts w:hint="eastAsia" w:ascii="宋体" w:hAnsi="宋体" w:eastAsia="宋体"/>
      <w:b w:val="0"/>
    </w:rPr>
  </w:style>
  <w:style w:type="paragraph" w:customStyle="1" w:styleId="45">
    <w:name w:val="同标题5序号的正文@中勤招标"/>
    <w:basedOn w:val="37"/>
    <w:next w:val="39"/>
    <w:qFormat/>
    <w:uiPriority w:val="0"/>
    <w:pPr>
      <w:ind w:left="0" w:firstLine="480"/>
      <w:outlineLvl w:val="9"/>
    </w:pPr>
    <w:rPr>
      <w:rFonts w:hint="eastAsia"/>
      <w:b w:val="0"/>
    </w:rPr>
  </w:style>
  <w:style w:type="character" w:customStyle="1" w:styleId="46">
    <w:name w:val="标题 3 字符"/>
    <w:basedOn w:val="31"/>
    <w:semiHidden/>
    <w:qFormat/>
    <w:uiPriority w:val="0"/>
    <w:rPr>
      <w:b/>
      <w:bCs/>
      <w:kern w:val="2"/>
      <w:sz w:val="32"/>
      <w:szCs w:val="32"/>
    </w:rPr>
  </w:style>
  <w:style w:type="paragraph" w:customStyle="1" w:styleId="47">
    <w:name w:val="序号1@中勤招标"/>
    <w:basedOn w:val="48"/>
    <w:next w:val="39"/>
    <w:qFormat/>
    <w:uiPriority w:val="0"/>
    <w:pPr>
      <w:numPr>
        <w:ilvl w:val="0"/>
        <w:numId w:val="4"/>
      </w:numPr>
      <w:tabs>
        <w:tab w:val="left" w:pos="0"/>
      </w:tabs>
      <w:ind w:firstLine="480"/>
    </w:pPr>
  </w:style>
  <w:style w:type="paragraph" w:customStyle="1" w:styleId="48">
    <w:name w:val="序号2@中勤招标"/>
    <w:basedOn w:val="49"/>
    <w:next w:val="39"/>
    <w:qFormat/>
    <w:uiPriority w:val="0"/>
    <w:pPr>
      <w:numPr>
        <w:ilvl w:val="0"/>
        <w:numId w:val="5"/>
      </w:numPr>
      <w:ind w:firstLine="200"/>
    </w:pPr>
  </w:style>
  <w:style w:type="paragraph" w:customStyle="1" w:styleId="49">
    <w:name w:val="符号@中勤招标"/>
    <w:basedOn w:val="39"/>
    <w:next w:val="39"/>
    <w:qFormat/>
    <w:uiPriority w:val="0"/>
    <w:pPr>
      <w:numPr>
        <w:ilvl w:val="0"/>
        <w:numId w:val="6"/>
      </w:numPr>
      <w:ind w:firstLine="200"/>
    </w:pPr>
    <w:rPr>
      <w:lang w:eastAsia="zh-CN"/>
    </w:rPr>
  </w:style>
  <w:style w:type="character" w:customStyle="1" w:styleId="50">
    <w:name w:val="标题5@中勤招标 Char"/>
    <w:link w:val="37"/>
    <w:qFormat/>
    <w:uiPriority w:val="0"/>
    <w:rPr>
      <w:rFonts w:eastAsia="宋体"/>
    </w:rPr>
  </w:style>
  <w:style w:type="paragraph" w:customStyle="1" w:styleId="5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52">
    <w:name w:val="标题 1 字符1"/>
    <w:basedOn w:val="31"/>
    <w:link w:val="2"/>
    <w:qFormat/>
    <w:uiPriority w:val="0"/>
    <w:rPr>
      <w:b/>
      <w:bCs/>
      <w:kern w:val="44"/>
      <w:sz w:val="44"/>
      <w:szCs w:val="44"/>
    </w:rPr>
  </w:style>
  <w:style w:type="character" w:customStyle="1" w:styleId="53">
    <w:name w:val="标题 2 字符1"/>
    <w:basedOn w:val="31"/>
    <w:link w:val="3"/>
    <w:semiHidden/>
    <w:qFormat/>
    <w:uiPriority w:val="0"/>
    <w:rPr>
      <w:rFonts w:asciiTheme="majorHAnsi" w:hAnsiTheme="majorHAnsi" w:eastAsiaTheme="majorEastAsia" w:cstheme="majorBidi"/>
      <w:b/>
      <w:bCs/>
      <w:kern w:val="2"/>
      <w:sz w:val="32"/>
      <w:szCs w:val="32"/>
    </w:rPr>
  </w:style>
  <w:style w:type="character" w:customStyle="1" w:styleId="54">
    <w:name w:val="标题 3 字符1"/>
    <w:basedOn w:val="31"/>
    <w:link w:val="4"/>
    <w:semiHidden/>
    <w:qFormat/>
    <w:uiPriority w:val="0"/>
    <w:rPr>
      <w:b/>
      <w:bCs/>
      <w:kern w:val="2"/>
      <w:sz w:val="32"/>
      <w:szCs w:val="32"/>
    </w:rPr>
  </w:style>
  <w:style w:type="character" w:customStyle="1" w:styleId="55">
    <w:name w:val="标题 1 字符"/>
    <w:basedOn w:val="31"/>
    <w:qFormat/>
    <w:uiPriority w:val="0"/>
    <w:rPr>
      <w:b/>
      <w:bCs/>
      <w:kern w:val="44"/>
      <w:sz w:val="44"/>
      <w:szCs w:val="44"/>
    </w:rPr>
  </w:style>
  <w:style w:type="character" w:customStyle="1" w:styleId="56">
    <w:name w:val="标题 2 字符"/>
    <w:basedOn w:val="31"/>
    <w:qFormat/>
    <w:uiPriority w:val="99"/>
    <w:rPr>
      <w:rFonts w:asciiTheme="majorHAnsi" w:hAnsiTheme="majorHAnsi" w:eastAsiaTheme="majorEastAsia" w:cstheme="majorBidi"/>
      <w:b/>
      <w:bCs/>
      <w:kern w:val="2"/>
      <w:sz w:val="32"/>
      <w:szCs w:val="32"/>
    </w:rPr>
  </w:style>
  <w:style w:type="character" w:customStyle="1" w:styleId="57">
    <w:name w:val="标题 4 字符"/>
    <w:basedOn w:val="31"/>
    <w:semiHidden/>
    <w:qFormat/>
    <w:uiPriority w:val="0"/>
    <w:rPr>
      <w:rFonts w:asciiTheme="majorHAnsi" w:hAnsiTheme="majorHAnsi" w:eastAsiaTheme="majorEastAsia" w:cstheme="majorBidi"/>
      <w:b/>
      <w:bCs/>
      <w:kern w:val="2"/>
      <w:sz w:val="28"/>
      <w:szCs w:val="28"/>
    </w:rPr>
  </w:style>
  <w:style w:type="character" w:customStyle="1" w:styleId="58">
    <w:name w:val="标题 5 字符"/>
    <w:basedOn w:val="31"/>
    <w:semiHidden/>
    <w:qFormat/>
    <w:uiPriority w:val="0"/>
    <w:rPr>
      <w:b/>
      <w:bCs/>
      <w:kern w:val="2"/>
      <w:sz w:val="28"/>
      <w:szCs w:val="28"/>
    </w:rPr>
  </w:style>
  <w:style w:type="character" w:customStyle="1" w:styleId="59">
    <w:name w:val="标题 6 字符"/>
    <w:basedOn w:val="31"/>
    <w:semiHidden/>
    <w:qFormat/>
    <w:uiPriority w:val="0"/>
    <w:rPr>
      <w:rFonts w:asciiTheme="majorHAnsi" w:hAnsiTheme="majorHAnsi" w:eastAsiaTheme="majorEastAsia" w:cstheme="majorBidi"/>
      <w:b/>
      <w:bCs/>
      <w:kern w:val="2"/>
      <w:sz w:val="24"/>
      <w:szCs w:val="24"/>
    </w:rPr>
  </w:style>
  <w:style w:type="character" w:customStyle="1" w:styleId="60">
    <w:name w:val="标题 7 字符"/>
    <w:basedOn w:val="31"/>
    <w:semiHidden/>
    <w:qFormat/>
    <w:uiPriority w:val="0"/>
    <w:rPr>
      <w:b/>
      <w:bCs/>
      <w:kern w:val="2"/>
      <w:sz w:val="24"/>
      <w:szCs w:val="24"/>
    </w:rPr>
  </w:style>
  <w:style w:type="character" w:customStyle="1" w:styleId="61">
    <w:name w:val="标题 8 字符"/>
    <w:basedOn w:val="31"/>
    <w:semiHidden/>
    <w:qFormat/>
    <w:uiPriority w:val="0"/>
    <w:rPr>
      <w:rFonts w:asciiTheme="majorHAnsi" w:hAnsiTheme="majorHAnsi" w:eastAsiaTheme="majorEastAsia" w:cstheme="majorBidi"/>
      <w:kern w:val="2"/>
      <w:sz w:val="24"/>
      <w:szCs w:val="24"/>
    </w:rPr>
  </w:style>
  <w:style w:type="character" w:customStyle="1" w:styleId="62">
    <w:name w:val="标题 9 字符"/>
    <w:basedOn w:val="31"/>
    <w:semiHidden/>
    <w:qFormat/>
    <w:uiPriority w:val="0"/>
    <w:rPr>
      <w:rFonts w:asciiTheme="majorHAnsi" w:hAnsiTheme="majorHAnsi" w:eastAsiaTheme="majorEastAsia" w:cstheme="majorBidi"/>
      <w:kern w:val="2"/>
      <w:sz w:val="21"/>
      <w:szCs w:val="21"/>
    </w:rPr>
  </w:style>
  <w:style w:type="character" w:customStyle="1" w:styleId="63">
    <w:name w:val="标题 4 字符1"/>
    <w:basedOn w:val="31"/>
    <w:link w:val="6"/>
    <w:semiHidden/>
    <w:qFormat/>
    <w:uiPriority w:val="0"/>
    <w:rPr>
      <w:rFonts w:asciiTheme="majorHAnsi" w:hAnsiTheme="majorHAnsi" w:eastAsiaTheme="majorEastAsia" w:cstheme="majorBidi"/>
      <w:b/>
      <w:bCs/>
      <w:kern w:val="2"/>
      <w:sz w:val="28"/>
      <w:szCs w:val="28"/>
    </w:rPr>
  </w:style>
  <w:style w:type="character" w:customStyle="1" w:styleId="64">
    <w:name w:val="标题 5 字符1"/>
    <w:basedOn w:val="31"/>
    <w:link w:val="7"/>
    <w:semiHidden/>
    <w:qFormat/>
    <w:uiPriority w:val="0"/>
    <w:rPr>
      <w:b/>
      <w:bCs/>
      <w:kern w:val="2"/>
      <w:sz w:val="28"/>
      <w:szCs w:val="28"/>
    </w:rPr>
  </w:style>
  <w:style w:type="character" w:customStyle="1" w:styleId="65">
    <w:name w:val="标题 6 字符1"/>
    <w:basedOn w:val="31"/>
    <w:link w:val="8"/>
    <w:semiHidden/>
    <w:qFormat/>
    <w:uiPriority w:val="0"/>
    <w:rPr>
      <w:rFonts w:asciiTheme="majorHAnsi" w:hAnsiTheme="majorHAnsi" w:eastAsiaTheme="majorEastAsia" w:cstheme="majorBidi"/>
      <w:b/>
      <w:bCs/>
      <w:kern w:val="2"/>
      <w:sz w:val="24"/>
      <w:szCs w:val="24"/>
    </w:rPr>
  </w:style>
  <w:style w:type="character" w:customStyle="1" w:styleId="66">
    <w:name w:val="标题 7 字符1"/>
    <w:basedOn w:val="31"/>
    <w:link w:val="9"/>
    <w:semiHidden/>
    <w:qFormat/>
    <w:uiPriority w:val="0"/>
    <w:rPr>
      <w:b/>
      <w:bCs/>
      <w:kern w:val="2"/>
      <w:sz w:val="24"/>
      <w:szCs w:val="24"/>
    </w:rPr>
  </w:style>
  <w:style w:type="character" w:customStyle="1" w:styleId="67">
    <w:name w:val="标题 8 字符1"/>
    <w:basedOn w:val="31"/>
    <w:link w:val="10"/>
    <w:semiHidden/>
    <w:qFormat/>
    <w:uiPriority w:val="0"/>
    <w:rPr>
      <w:rFonts w:asciiTheme="majorHAnsi" w:hAnsiTheme="majorHAnsi" w:eastAsiaTheme="majorEastAsia" w:cstheme="majorBidi"/>
      <w:kern w:val="2"/>
      <w:sz w:val="24"/>
      <w:szCs w:val="24"/>
    </w:rPr>
  </w:style>
  <w:style w:type="character" w:customStyle="1" w:styleId="68">
    <w:name w:val="标题 9 字符1"/>
    <w:basedOn w:val="31"/>
    <w:link w:val="11"/>
    <w:semiHidden/>
    <w:qFormat/>
    <w:uiPriority w:val="0"/>
    <w:rPr>
      <w:rFonts w:asciiTheme="majorHAnsi" w:hAnsiTheme="majorHAnsi" w:eastAsiaTheme="majorEastAsia" w:cstheme="majorBidi"/>
      <w:kern w:val="2"/>
      <w:sz w:val="21"/>
      <w:szCs w:val="21"/>
    </w:rPr>
  </w:style>
  <w:style w:type="table" w:customStyle="1" w:styleId="69">
    <w:name w:val="无格式表格 21"/>
    <w:basedOn w:val="2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70">
    <w:name w:val="无格式表格 11"/>
    <w:basedOn w:val="2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72">
    <w:name w:val="网格表 1 浅色1"/>
    <w:basedOn w:val="2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3">
    <w:name w:val="样式1"/>
    <w:basedOn w:val="28"/>
    <w:qFormat/>
    <w:uiPriority w:val="99"/>
  </w:style>
  <w:style w:type="table" w:customStyle="1" w:styleId="74">
    <w:name w:val="无格式表格 31"/>
    <w:basedOn w:val="2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5">
    <w:name w:val="网格表 21"/>
    <w:basedOn w:val="2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6">
    <w:name w:val="网格表 2 - 着色 11"/>
    <w:basedOn w:val="2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7">
    <w:name w:val="页眉 字符"/>
    <w:basedOn w:val="31"/>
    <w:link w:val="21"/>
    <w:qFormat/>
    <w:uiPriority w:val="0"/>
    <w:rPr>
      <w:kern w:val="2"/>
      <w:sz w:val="18"/>
      <w:szCs w:val="18"/>
    </w:rPr>
  </w:style>
  <w:style w:type="table" w:customStyle="1" w:styleId="78">
    <w:name w:val="样式2"/>
    <w:basedOn w:val="28"/>
    <w:qFormat/>
    <w:uiPriority w:val="99"/>
  </w:style>
  <w:style w:type="character" w:customStyle="1" w:styleId="79">
    <w:name w:val="页脚 字符"/>
    <w:basedOn w:val="31"/>
    <w:link w:val="20"/>
    <w:qFormat/>
    <w:uiPriority w:val="0"/>
    <w:rPr>
      <w:kern w:val="2"/>
      <w:sz w:val="18"/>
      <w:szCs w:val="18"/>
    </w:rPr>
  </w:style>
  <w:style w:type="character" w:customStyle="1" w:styleId="80">
    <w:name w:val="纯文本 字符"/>
    <w:basedOn w:val="31"/>
    <w:link w:val="18"/>
    <w:qFormat/>
    <w:uiPriority w:val="99"/>
    <w:rPr>
      <w:rFonts w:ascii="仿宋" w:hAnsi="仿宋" w:eastAsia="仿宋" w:cs="Times New Roman"/>
      <w:kern w:val="2"/>
      <w:sz w:val="24"/>
      <w:szCs w:val="24"/>
    </w:rPr>
  </w:style>
  <w:style w:type="character" w:customStyle="1" w:styleId="81">
    <w:name w:val="未处理的提及1"/>
    <w:basedOn w:val="31"/>
    <w:semiHidden/>
    <w:unhideWhenUsed/>
    <w:qFormat/>
    <w:uiPriority w:val="99"/>
    <w:rPr>
      <w:color w:val="605E5C"/>
      <w:shd w:val="clear" w:color="auto" w:fill="E1DFDD"/>
    </w:rPr>
  </w:style>
  <w:style w:type="character" w:customStyle="1" w:styleId="82">
    <w:name w:val="正文文本缩进 字符"/>
    <w:basedOn w:val="31"/>
    <w:link w:val="13"/>
    <w:qFormat/>
    <w:uiPriority w:val="99"/>
    <w:rPr>
      <w:rFonts w:ascii="黑体" w:hAnsi="黑体" w:eastAsia="黑体" w:cs="宋体"/>
      <w:kern w:val="2"/>
      <w:sz w:val="28"/>
      <w:szCs w:val="28"/>
    </w:rPr>
  </w:style>
  <w:style w:type="character" w:customStyle="1" w:styleId="83">
    <w:name w:val="正文文本 字符"/>
    <w:basedOn w:val="31"/>
    <w:link w:val="14"/>
    <w:qFormat/>
    <w:uiPriority w:val="99"/>
    <w:rPr>
      <w:rFonts w:ascii="Times New Roman" w:hAnsi="Times New Roman" w:eastAsia="宋体" w:cs="Times New Roman"/>
      <w:kern w:val="2"/>
      <w:sz w:val="24"/>
      <w:szCs w:val="24"/>
    </w:rPr>
  </w:style>
  <w:style w:type="paragraph" w:customStyle="1" w:styleId="84">
    <w:name w:val="正文2"/>
    <w:basedOn w:val="1"/>
    <w:qFormat/>
    <w:uiPriority w:val="0"/>
    <w:pPr>
      <w:spacing w:after="100" w:afterAutospacing="1"/>
      <w:ind w:firstLine="510"/>
    </w:pPr>
  </w:style>
  <w:style w:type="paragraph" w:customStyle="1" w:styleId="85">
    <w:name w:val="af17cgridlangnp1033langf"/>
    <w:basedOn w:val="1"/>
    <w:qFormat/>
    <w:uiPriority w:val="0"/>
    <w:pPr>
      <w:autoSpaceDE w:val="0"/>
      <w:autoSpaceDN w:val="0"/>
      <w:spacing w:before="156" w:after="100" w:afterAutospacing="1" w:line="360" w:lineRule="atLeast"/>
      <w:ind w:left="567" w:firstLine="510"/>
    </w:pPr>
    <w:rPr>
      <w:kern w:val="0"/>
    </w:rPr>
  </w:style>
  <w:style w:type="character" w:customStyle="1" w:styleId="86">
    <w:name w:val="16"/>
    <w:basedOn w:val="31"/>
    <w:qFormat/>
    <w:uiPriority w:val="0"/>
    <w:rPr>
      <w:rFonts w:hint="default" w:ascii="Times New Roman" w:hAnsi="Times New Roman" w:cs="Times New Roman"/>
      <w:color w:val="0000FF"/>
      <w:u w:val="single"/>
    </w:rPr>
  </w:style>
  <w:style w:type="character" w:customStyle="1" w:styleId="87">
    <w:name w:val="日期 字符"/>
    <w:basedOn w:val="31"/>
    <w:link w:val="19"/>
    <w:qFormat/>
    <w:uiPriority w:val="0"/>
    <w:rPr>
      <w:rFonts w:ascii="SimSong" w:hAnsi="SimSong" w:eastAsia="SimSong" w:cs="Times New Roman"/>
      <w:kern w:val="2"/>
      <w:sz w:val="24"/>
      <w:szCs w:val="24"/>
    </w:rPr>
  </w:style>
  <w:style w:type="paragraph" w:customStyle="1" w:styleId="88">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9">
    <w:name w:val="未处理的提及2"/>
    <w:basedOn w:val="31"/>
    <w:semiHidden/>
    <w:unhideWhenUsed/>
    <w:qFormat/>
    <w:uiPriority w:val="99"/>
    <w:rPr>
      <w:color w:val="605E5C"/>
      <w:shd w:val="clear" w:color="auto" w:fill="E1DFDD"/>
    </w:rPr>
  </w:style>
  <w:style w:type="character" w:customStyle="1" w:styleId="90">
    <w:name w:val="标题 字符"/>
    <w:basedOn w:val="31"/>
    <w:link w:val="27"/>
    <w:qFormat/>
    <w:uiPriority w:val="99"/>
    <w:rPr>
      <w:rFonts w:ascii="Cambria" w:hAnsi="Cambria" w:eastAsia="华文中宋" w:cs="Times New Roman"/>
      <w:b/>
      <w:bCs/>
      <w:kern w:val="2"/>
      <w:sz w:val="44"/>
      <w:szCs w:val="44"/>
    </w:rPr>
  </w:style>
  <w:style w:type="character" w:customStyle="1" w:styleId="91">
    <w:name w:val="未处理的提及3"/>
    <w:basedOn w:val="31"/>
    <w:semiHidden/>
    <w:unhideWhenUsed/>
    <w:qFormat/>
    <w:uiPriority w:val="99"/>
    <w:rPr>
      <w:color w:val="605E5C"/>
      <w:shd w:val="clear" w:color="auto" w:fill="E1DFDD"/>
    </w:rPr>
  </w:style>
  <w:style w:type="character" w:customStyle="1" w:styleId="92">
    <w:name w:val="未处理的提及4"/>
    <w:basedOn w:val="31"/>
    <w:semiHidden/>
    <w:unhideWhenUsed/>
    <w:qFormat/>
    <w:uiPriority w:val="99"/>
    <w:rPr>
      <w:color w:val="605E5C"/>
      <w:shd w:val="clear" w:color="auto" w:fill="E1DFDD"/>
    </w:rPr>
  </w:style>
  <w:style w:type="character" w:customStyle="1" w:styleId="93">
    <w:name w:val="标题2@中勤招标 Char"/>
    <w:link w:val="41"/>
    <w:qFormat/>
    <w:uiPriority w:val="0"/>
    <w:rPr>
      <w:sz w:val="32"/>
      <w:szCs w:val="32"/>
    </w:rPr>
  </w:style>
  <w:style w:type="character" w:customStyle="1" w:styleId="94">
    <w:name w:val="标题1@中勤招标 Char"/>
    <w:link w:val="42"/>
    <w:qFormat/>
    <w:uiPriority w:val="0"/>
    <w:rPr>
      <w:rFonts w:ascii="黑体" w:hAnsi="黑体" w:eastAsia="黑体" w:cs="黑体"/>
      <w:bCs/>
      <w:sz w:val="36"/>
      <w:szCs w:val="44"/>
    </w:rPr>
  </w:style>
  <w:style w:type="paragraph" w:customStyle="1" w:styleId="95">
    <w:name w:val="_Style 26"/>
    <w:basedOn w:val="1"/>
    <w:next w:val="96"/>
    <w:qFormat/>
    <w:uiPriority w:val="34"/>
    <w:pPr>
      <w:ind w:firstLine="420" w:firstLineChars="200"/>
    </w:pPr>
    <w:rPr>
      <w:rFonts w:ascii="等线" w:hAnsi="等线" w:eastAsia="等线"/>
    </w:rPr>
  </w:style>
  <w:style w:type="paragraph" w:customStyle="1" w:styleId="96">
    <w:name w:val="列出段落123"/>
    <w:basedOn w:val="1"/>
    <w:qFormat/>
    <w:uiPriority w:val="0"/>
    <w:pPr>
      <w:ind w:firstLine="420" w:firstLineChars="200"/>
    </w:pPr>
  </w:style>
  <w:style w:type="character" w:customStyle="1" w:styleId="97">
    <w:name w:val="正文@中勤招标 Char"/>
    <w:link w:val="39"/>
    <w:qFormat/>
    <w:uiPriority w:val="0"/>
    <w:rPr>
      <w:rFonts w:ascii="宋体" w:hAnsi="宋体"/>
      <w:sz w:val="24"/>
      <w:lang w:eastAsia="zh-Hans"/>
    </w:rPr>
  </w:style>
  <w:style w:type="paragraph" w:customStyle="1" w:styleId="98">
    <w:name w:val="正文文字缩进 2"/>
    <w:basedOn w:val="1"/>
    <w:qFormat/>
    <w:uiPriority w:val="0"/>
    <w:pPr>
      <w:widowControl/>
      <w:spacing w:line="351" w:lineRule="atLeast"/>
      <w:ind w:firstLine="481"/>
      <w:textAlignment w:val="baseline"/>
    </w:pPr>
    <w:rPr>
      <w:rFonts w:ascii="仿宋_GB2312" w:hAnsi="Times New Roman" w:eastAsia="仿宋_GB2312"/>
      <w:color w:val="000000"/>
      <w:kern w:val="0"/>
      <w:sz w:val="24"/>
      <w:szCs w:val="20"/>
      <w:u w:color="00000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浙江中勤招标有限公司</Company>
  <Pages>150</Pages>
  <Words>1941</Words>
  <Characters>2460</Characters>
  <Lines>363</Lines>
  <Paragraphs>102</Paragraphs>
  <TotalTime>63</TotalTime>
  <ScaleCrop>false</ScaleCrop>
  <LinksUpToDate>false</LinksUpToDate>
  <CharactersWithSpaces>2952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2022-09-09T11:12:00Z</dcterms:created>
  <dc:creator>中勤招标</dc:creator>
  <cp:lastModifiedBy>企鹅</cp:lastModifiedBy>
  <cp:lastPrinted>2022-11-21T17:04:00Z</cp:lastPrinted>
  <dcterms:modified xsi:type="dcterms:W3CDTF">2025-06-26T05:35:30Z</dcterms:modified>
  <cp:revision>572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39EBACD43704A3FBD05F44688108DD7F_43</vt:lpwstr>
  </property>
  <property fmtid="{D5CDD505-2E9C-101B-9397-08002B2CF9AE}" pid="4" name="KSOTemplateDocerSaveRecord">
    <vt:lpwstr>eyJoZGlkIjoiOWFhZmUyZWYwMjIxNjI2MjlkMGYyNDdjMGRlOGM1YTYiLCJ1c2VySWQiOiIzNzk1NzY0MTAifQ==</vt:lpwstr>
  </property>
</Properties>
</file>