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drawing>
          <wp:anchor distT="0" distB="0" distL="0" distR="0" simplePos="0" relativeHeight="251659264" behindDoc="1" locked="0" layoutInCell="1" allowOverlap="1">
            <wp:simplePos x="0" y="0"/>
            <wp:positionH relativeFrom="page">
              <wp:posOffset>1683385</wp:posOffset>
            </wp:positionH>
            <wp:positionV relativeFrom="page">
              <wp:posOffset>1191260</wp:posOffset>
            </wp:positionV>
            <wp:extent cx="2971800" cy="2091690"/>
            <wp:effectExtent l="0" t="0" r="0" b="0"/>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1"/>
                    <pic:cNvPicPr>
                      <a:picLocks noChangeAspect="1"/>
                    </pic:cNvPicPr>
                  </pic:nvPicPr>
                  <pic:blipFill>
                    <a:blip r:embed="rId6" cstate="print">
                      <a:lum contrast="12000"/>
                    </a:blip>
                    <a:srcRect/>
                    <a:stretch>
                      <a:fillRect/>
                    </a:stretch>
                  </pic:blipFill>
                  <pic:spPr>
                    <a:xfrm>
                      <a:off x="0" y="0"/>
                      <a:ext cx="2971800" cy="2091689"/>
                    </a:xfrm>
                    <a:prstGeom prst="rect">
                      <a:avLst/>
                    </a:prstGeom>
                    <a:ln>
                      <a:noFill/>
                    </a:ln>
                  </pic:spPr>
                </pic:pic>
              </a:graphicData>
            </a:graphic>
          </wp:anchor>
        </w:drawing>
      </w:r>
    </w:p>
    <w:p>
      <w:pPr>
        <w:shd w:val="clear"/>
        <w:spacing w:line="360" w:lineRule="auto"/>
        <w:rPr>
          <w:rFonts w:ascii="宋体" w:hAnsi="宋体" w:cs="宋体"/>
          <w:color w:val="auto"/>
          <w:sz w:val="28"/>
          <w:szCs w:val="28"/>
          <w:highlight w:val="none"/>
        </w:rPr>
      </w:pPr>
    </w:p>
    <w:p>
      <w:pPr>
        <w:shd w:val="clear"/>
        <w:spacing w:line="360" w:lineRule="auto"/>
        <w:rPr>
          <w:rFonts w:ascii="宋体" w:hAnsi="宋体" w:cs="宋体"/>
          <w:color w:val="auto"/>
          <w:sz w:val="28"/>
          <w:szCs w:val="28"/>
          <w:highlight w:val="none"/>
        </w:rPr>
      </w:pPr>
    </w:p>
    <w:p>
      <w:pPr>
        <w:shd w:val="clear"/>
        <w:spacing w:line="360" w:lineRule="auto"/>
        <w:rPr>
          <w:rFonts w:ascii="宋体" w:hAnsi="宋体" w:cs="宋体"/>
          <w:color w:val="auto"/>
          <w:sz w:val="28"/>
          <w:szCs w:val="28"/>
          <w:highlight w:val="none"/>
        </w:rPr>
      </w:pPr>
    </w:p>
    <w:p>
      <w:pPr>
        <w:shd w:val="clear"/>
        <w:jc w:val="center"/>
        <w:outlineLvl w:val="0"/>
        <w:rPr>
          <w:rFonts w:ascii="宋体" w:hAnsi="宋体" w:cs="宋体"/>
          <w:color w:val="auto"/>
          <w:sz w:val="72"/>
          <w:szCs w:val="72"/>
          <w:highlight w:val="none"/>
        </w:rPr>
      </w:pPr>
      <w:r>
        <w:rPr>
          <w:rFonts w:hint="eastAsia" w:ascii="宋体" w:hAnsi="宋体" w:cs="宋体"/>
          <w:color w:val="auto"/>
          <w:sz w:val="72"/>
          <w:szCs w:val="72"/>
          <w:highlight w:val="none"/>
        </w:rPr>
        <w:t xml:space="preserve">         F-STONE</w:t>
      </w:r>
    </w:p>
    <w:p>
      <w:pPr>
        <w:shd w:val="clear"/>
        <w:spacing w:line="360" w:lineRule="auto"/>
        <w:rPr>
          <w:rFonts w:ascii="宋体" w:hAnsi="宋体" w:cs="宋体"/>
          <w:color w:val="auto"/>
          <w:sz w:val="28"/>
          <w:szCs w:val="28"/>
          <w:highlight w:val="none"/>
        </w:rPr>
      </w:pPr>
    </w:p>
    <w:p>
      <w:pPr>
        <w:shd w:val="clear"/>
        <w:spacing w:line="360" w:lineRule="auto"/>
        <w:rPr>
          <w:rFonts w:ascii="宋体" w:hAnsi="宋体" w:cs="宋体"/>
          <w:color w:val="auto"/>
          <w:sz w:val="28"/>
          <w:szCs w:val="28"/>
          <w:highlight w:val="none"/>
        </w:rPr>
      </w:pPr>
    </w:p>
    <w:p>
      <w:pPr>
        <w:shd w:val="clear"/>
        <w:spacing w:line="360" w:lineRule="auto"/>
        <w:rPr>
          <w:rFonts w:ascii="宋体" w:hAnsi="宋体" w:cs="宋体"/>
          <w:color w:val="auto"/>
          <w:sz w:val="28"/>
          <w:szCs w:val="28"/>
          <w:highlight w:val="none"/>
        </w:rPr>
      </w:pPr>
    </w:p>
    <w:p>
      <w:pPr>
        <w:shd w:val="clear"/>
        <w:spacing w:line="360" w:lineRule="auto"/>
        <w:jc w:val="center"/>
        <w:textAlignment w:val="bottom"/>
        <w:rPr>
          <w:rFonts w:ascii="宋体" w:hAnsi="宋体" w:cs="宋体"/>
          <w:b/>
          <w:bCs/>
          <w:color w:val="auto"/>
          <w:kern w:val="0"/>
          <w:sz w:val="52"/>
          <w:szCs w:val="52"/>
          <w:highlight w:val="none"/>
        </w:rPr>
      </w:pPr>
      <w:r>
        <w:rPr>
          <w:rFonts w:hint="eastAsia" w:ascii="宋体" w:hAnsi="宋体" w:cs="宋体"/>
          <w:b/>
          <w:bCs/>
          <w:color w:val="auto"/>
          <w:kern w:val="0"/>
          <w:sz w:val="52"/>
          <w:szCs w:val="52"/>
          <w:highlight w:val="none"/>
        </w:rPr>
        <w:t>政府采购电子招标文件</w:t>
      </w:r>
    </w:p>
    <w:p>
      <w:pPr>
        <w:shd w:val="clear"/>
        <w:spacing w:line="360" w:lineRule="auto"/>
        <w:rPr>
          <w:rFonts w:ascii="宋体" w:hAnsi="宋体" w:cs="宋体"/>
          <w:color w:val="auto"/>
          <w:sz w:val="28"/>
          <w:szCs w:val="28"/>
          <w:highlight w:val="none"/>
        </w:rPr>
      </w:pPr>
    </w:p>
    <w:p>
      <w:pPr>
        <w:shd w:val="clear"/>
        <w:spacing w:line="360" w:lineRule="auto"/>
        <w:rPr>
          <w:rFonts w:ascii="宋体" w:hAnsi="宋体" w:cs="宋体"/>
          <w:color w:val="auto"/>
          <w:sz w:val="28"/>
          <w:szCs w:val="28"/>
          <w:highlight w:val="none"/>
        </w:rPr>
      </w:pPr>
    </w:p>
    <w:p>
      <w:pPr>
        <w:shd w:val="clear"/>
        <w:spacing w:line="360" w:lineRule="auto"/>
        <w:jc w:val="center"/>
        <w:textAlignment w:val="bottom"/>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rPr>
        <w:t>项目编号：</w:t>
      </w:r>
      <w:r>
        <w:rPr>
          <w:rFonts w:hint="eastAsia" w:ascii="宋体" w:hAnsi="宋体" w:cs="宋体"/>
          <w:color w:val="auto"/>
          <w:sz w:val="28"/>
          <w:szCs w:val="28"/>
          <w:highlight w:val="none"/>
          <w:lang w:eastAsia="zh-CN"/>
        </w:rPr>
        <w:t>ZJWS2024-HYSCJDJ01</w:t>
      </w:r>
    </w:p>
    <w:p>
      <w:pPr>
        <w:shd w:val="clear"/>
        <w:spacing w:line="360" w:lineRule="auto"/>
        <w:rPr>
          <w:rFonts w:ascii="宋体" w:hAnsi="宋体" w:cs="宋体"/>
          <w:color w:val="auto"/>
          <w:sz w:val="28"/>
          <w:szCs w:val="28"/>
          <w:highlight w:val="none"/>
        </w:rPr>
      </w:pPr>
    </w:p>
    <w:p>
      <w:pPr>
        <w:shd w:val="clear"/>
        <w:spacing w:line="360" w:lineRule="auto"/>
        <w:rPr>
          <w:rFonts w:ascii="宋体" w:hAnsi="宋体" w:cs="宋体"/>
          <w:color w:val="auto"/>
          <w:sz w:val="28"/>
          <w:szCs w:val="28"/>
          <w:highlight w:val="none"/>
        </w:rPr>
      </w:pPr>
    </w:p>
    <w:p>
      <w:pPr>
        <w:shd w:val="clear"/>
        <w:autoSpaceDE w:val="0"/>
        <w:autoSpaceDN w:val="0"/>
        <w:adjustRightInd w:val="0"/>
        <w:spacing w:line="360" w:lineRule="auto"/>
        <w:ind w:firstLine="1120" w:firstLineChars="400"/>
        <w:jc w:val="center"/>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rPr>
        <w:t>采购项目：</w:t>
      </w:r>
      <w:r>
        <w:rPr>
          <w:rFonts w:hint="eastAsia" w:ascii="宋体" w:hAnsi="宋体" w:cs="宋体"/>
          <w:color w:val="auto"/>
          <w:kern w:val="0"/>
          <w:sz w:val="28"/>
          <w:szCs w:val="28"/>
          <w:highlight w:val="none"/>
          <w:lang w:eastAsia="zh-CN"/>
        </w:rPr>
        <w:t>快速维权中心二期建设项目（机房及展厅建设）——智能化及配套设备采购项目</w:t>
      </w:r>
    </w:p>
    <w:p>
      <w:pPr>
        <w:shd w:val="clear"/>
        <w:autoSpaceDE w:val="0"/>
        <w:autoSpaceDN w:val="0"/>
        <w:adjustRightInd w:val="0"/>
        <w:spacing w:line="360" w:lineRule="auto"/>
        <w:ind w:firstLine="1120" w:firstLineChars="400"/>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rPr>
        <w:t>采购单位：</w:t>
      </w:r>
      <w:r>
        <w:rPr>
          <w:rFonts w:hint="eastAsia" w:ascii="宋体" w:hAnsi="宋体" w:cs="宋体"/>
          <w:color w:val="auto"/>
          <w:kern w:val="0"/>
          <w:sz w:val="28"/>
          <w:szCs w:val="28"/>
          <w:highlight w:val="none"/>
          <w:lang w:eastAsia="zh-CN"/>
        </w:rPr>
        <w:t>台州市黄岩区市场监督管理局</w:t>
      </w:r>
    </w:p>
    <w:p>
      <w:pPr>
        <w:shd w:val="clear"/>
        <w:spacing w:line="360" w:lineRule="auto"/>
        <w:rPr>
          <w:rFonts w:ascii="宋体" w:hAnsi="宋体" w:cs="宋体"/>
          <w:color w:val="auto"/>
          <w:sz w:val="28"/>
          <w:szCs w:val="28"/>
          <w:highlight w:val="none"/>
        </w:rPr>
      </w:pPr>
    </w:p>
    <w:p>
      <w:pPr>
        <w:shd w:val="clear"/>
        <w:autoSpaceDE w:val="0"/>
        <w:autoSpaceDN w:val="0"/>
        <w:adjustRightInd w:val="0"/>
        <w:spacing w:line="360" w:lineRule="auto"/>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采购代理机构：浙江五石中正工程咨询有限公司</w:t>
      </w:r>
    </w:p>
    <w:p>
      <w:pPr>
        <w:shd w:val="clear"/>
        <w:autoSpaceDE w:val="0"/>
        <w:autoSpaceDN w:val="0"/>
        <w:adjustRightInd w:val="0"/>
        <w:spacing w:line="360" w:lineRule="auto"/>
        <w:jc w:val="center"/>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lang w:eastAsia="zh-CN"/>
        </w:rPr>
        <w:t>2024年4月</w:t>
      </w:r>
    </w:p>
    <w:p>
      <w:pPr>
        <w:shd w:val="clear"/>
        <w:spacing w:line="360" w:lineRule="auto"/>
        <w:rPr>
          <w:rFonts w:ascii="宋体" w:hAnsi="宋体" w:cs="宋体"/>
          <w:color w:val="auto"/>
          <w:sz w:val="28"/>
          <w:szCs w:val="28"/>
          <w:highlight w:val="none"/>
        </w:rPr>
      </w:pPr>
    </w:p>
    <w:p>
      <w:pPr>
        <w:shd w:val="clea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  录</w:t>
      </w: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第一章 公开招标采购公告</w:t>
      </w:r>
    </w:p>
    <w:p>
      <w:pPr>
        <w:shd w:val="clear"/>
        <w:spacing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第二章 投标人须知</w:t>
      </w:r>
    </w:p>
    <w:p>
      <w:pPr>
        <w:shd w:val="clear"/>
        <w:spacing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第三章 评标办法及评分标准</w:t>
      </w:r>
    </w:p>
    <w:p>
      <w:pPr>
        <w:shd w:val="clear"/>
        <w:spacing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第四章 公开招标需求</w:t>
      </w:r>
    </w:p>
    <w:p>
      <w:pPr>
        <w:shd w:val="clear"/>
        <w:spacing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第五章 政府采购合同主要条款指引</w:t>
      </w:r>
    </w:p>
    <w:p>
      <w:pPr>
        <w:shd w:val="clear"/>
        <w:spacing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第六章 投标文件格式附件</w:t>
      </w: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jc w:val="center"/>
        <w:rPr>
          <w:rFonts w:ascii="宋体" w:hAnsi="宋体" w:cs="宋体"/>
          <w:b/>
          <w:bCs/>
          <w:color w:val="auto"/>
          <w:sz w:val="36"/>
          <w:szCs w:val="36"/>
          <w:highlight w:val="none"/>
        </w:rPr>
      </w:pPr>
      <w:bookmarkStart w:id="0" w:name="_GoBack"/>
      <w:bookmarkEnd w:id="0"/>
      <w:r>
        <w:rPr>
          <w:rFonts w:hint="eastAsia" w:ascii="宋体" w:hAnsi="宋体" w:cs="宋体"/>
          <w:b/>
          <w:bCs/>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-281305</wp:posOffset>
                </wp:positionH>
                <wp:positionV relativeFrom="page">
                  <wp:posOffset>1320800</wp:posOffset>
                </wp:positionV>
                <wp:extent cx="5833745" cy="1286510"/>
                <wp:effectExtent l="7620" t="8255" r="26035" b="19685"/>
                <wp:wrapTopAndBottom/>
                <wp:docPr id="1" name="1027"/>
                <wp:cNvGraphicFramePr/>
                <a:graphic xmlns:a="http://schemas.openxmlformats.org/drawingml/2006/main">
                  <a:graphicData uri="http://schemas.microsoft.com/office/word/2010/wordprocessingShape">
                    <wps:wsp>
                      <wps:cNvSpPr txBox="1"/>
                      <wps:spPr>
                        <a:xfrm>
                          <a:off x="0" y="0"/>
                          <a:ext cx="5833745" cy="128651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spacing w:line="360" w:lineRule="auto"/>
                              <w:rPr>
                                <w:rFonts w:ascii="宋体" w:hAnsi="宋体" w:cs="宋体"/>
                                <w:sz w:val="24"/>
                                <w:szCs w:val="24"/>
                              </w:rPr>
                            </w:pPr>
                            <w:r>
                              <w:rPr>
                                <w:rFonts w:hint="eastAsia" w:ascii="宋体" w:hAnsi="宋体" w:cs="宋体"/>
                                <w:sz w:val="24"/>
                                <w:szCs w:val="24"/>
                              </w:rPr>
                              <w:t>项目概况</w:t>
                            </w:r>
                          </w:p>
                          <w:p>
                            <w:pPr>
                              <w:spacing w:line="360" w:lineRule="auto"/>
                              <w:ind w:firstLine="480" w:firstLineChars="200"/>
                              <w:rPr>
                                <w:rFonts w:ascii="宋体" w:hAnsi="宋体" w:cs="宋体"/>
                                <w:sz w:val="24"/>
                                <w:szCs w:val="24"/>
                              </w:rPr>
                            </w:pPr>
                            <w:r>
                              <w:rPr>
                                <w:rFonts w:hint="eastAsia" w:ascii="宋体" w:hAnsi="宋体" w:cs="宋体"/>
                                <w:sz w:val="24"/>
                                <w:szCs w:val="24"/>
                                <w:lang w:eastAsia="zh-CN"/>
                              </w:rPr>
                              <w:t>快速维权中心二期建设项目（机房及展厅建设）——智能化及配套设备采购项目</w:t>
                            </w:r>
                            <w:r>
                              <w:rPr>
                                <w:rFonts w:hint="eastAsia" w:ascii="宋体" w:hAnsi="宋体" w:cs="宋体"/>
                                <w:sz w:val="24"/>
                                <w:szCs w:val="24"/>
                              </w:rPr>
                              <w:t>招标项目的潜在投标人应在政采云平台（http</w:t>
                            </w:r>
                            <w:r>
                              <w:rPr>
                                <w:rFonts w:hint="eastAsia" w:ascii="宋体" w:hAnsi="宋体" w:cs="宋体"/>
                                <w:sz w:val="24"/>
                                <w:szCs w:val="24"/>
                                <w:lang w:val="en-US" w:eastAsia="zh-CN"/>
                              </w:rPr>
                              <w:t>:</w:t>
                            </w:r>
                            <w:r>
                              <w:rPr>
                                <w:rFonts w:hint="eastAsia" w:ascii="宋体" w:hAnsi="宋体" w:cs="宋体"/>
                                <w:sz w:val="24"/>
                                <w:szCs w:val="24"/>
                              </w:rPr>
                              <w:t>//zfcg.czt.zj.gov.cn）获取（下载）招标文件，</w:t>
                            </w:r>
                            <w:r>
                              <w:rPr>
                                <w:rFonts w:hint="eastAsia" w:ascii="宋体" w:hAnsi="宋体" w:cs="宋体"/>
                                <w:color w:val="auto"/>
                                <w:sz w:val="24"/>
                                <w:szCs w:val="24"/>
                              </w:rPr>
                              <w:t>并于</w:t>
                            </w:r>
                            <w:r>
                              <w:rPr>
                                <w:rFonts w:hint="eastAsia" w:ascii="宋体" w:hAnsi="宋体" w:cs="宋体"/>
                                <w:color w:val="auto"/>
                                <w:sz w:val="24"/>
                                <w:szCs w:val="24"/>
                                <w:lang w:eastAsia="zh-CN"/>
                              </w:rPr>
                              <w:t>2024年4月23日</w:t>
                            </w:r>
                            <w:r>
                              <w:rPr>
                                <w:rFonts w:hint="eastAsia" w:ascii="宋体" w:hAnsi="宋体" w:cs="宋体"/>
                                <w:color w:val="auto"/>
                                <w:sz w:val="24"/>
                                <w:szCs w:val="24"/>
                              </w:rPr>
                              <w:t xml:space="preserve">  </w:t>
                            </w:r>
                            <w:r>
                              <w:rPr>
                                <w:rFonts w:hint="eastAsia" w:ascii="宋体" w:hAnsi="宋体" w:cs="宋体"/>
                                <w:sz w:val="24"/>
                                <w:szCs w:val="24"/>
                                <w:lang w:eastAsia="zh-CN"/>
                              </w:rPr>
                              <w:t>09：30</w:t>
                            </w:r>
                            <w:r>
                              <w:rPr>
                                <w:rFonts w:hint="eastAsia" w:ascii="宋体" w:hAnsi="宋体" w:cs="宋体"/>
                                <w:sz w:val="24"/>
                                <w:szCs w:val="24"/>
                              </w:rPr>
                              <w:t>（北京时间）前递交（上传）投标文件。</w:t>
                            </w:r>
                          </w:p>
                        </w:txbxContent>
                      </wps:txbx>
                      <wps:bodyPr upright="1"/>
                    </wps:wsp>
                  </a:graphicData>
                </a:graphic>
              </wp:anchor>
            </w:drawing>
          </mc:Choice>
          <mc:Fallback>
            <w:pict>
              <v:shape id="1027" o:spid="_x0000_s1026" o:spt="202" type="#_x0000_t202" style="position:absolute;left:0pt;margin-left:-22.15pt;margin-top:104pt;height:101.3pt;width:459.35pt;mso-position-vertical-relative:page;mso-wrap-distance-bottom:0pt;mso-wrap-distance-top:0pt;z-index:251660288;mso-width-relative:page;mso-height-relative:page;" fillcolor="#FFFFFF" filled="t" stroked="t" coordsize="21600,21600" o:gfxdata="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MsUaXZAAAACwEAAA8AAAAAAAAAAQAgAAAAIgAAAGRycy9kb3ducmV2&#10;LnhtbFBLAQIUABQAAAAIAIdO4kD2QXN7NAIAALgEAAAOAAAAAAAAAAEAIAAAACgBAABkcnMvZTJv&#10;RG9jLnhtbFBLBQYAAAAABgAGAFkBAADOBQAAAAA=&#10;">
                <v:fill type="gradient" on="t" color2="#FFFFFF" angle="90" focus="100%" focussize="0,0">
                  <o:fill type="gradientUnscaled" v:ext="backwardCompatible"/>
                </v:fill>
                <v:stroke weight="1.25pt" color="#000000" joinstyle="miter"/>
                <v:imagedata o:title=""/>
                <o:lock v:ext="edit" aspectratio="f"/>
                <v:textbox>
                  <w:txbxContent>
                    <w:p>
                      <w:pPr>
                        <w:spacing w:line="360" w:lineRule="auto"/>
                        <w:rPr>
                          <w:rFonts w:ascii="宋体" w:hAnsi="宋体" w:cs="宋体"/>
                          <w:sz w:val="24"/>
                          <w:szCs w:val="24"/>
                        </w:rPr>
                      </w:pPr>
                      <w:r>
                        <w:rPr>
                          <w:rFonts w:hint="eastAsia" w:ascii="宋体" w:hAnsi="宋体" w:cs="宋体"/>
                          <w:sz w:val="24"/>
                          <w:szCs w:val="24"/>
                        </w:rPr>
                        <w:t>项目概况</w:t>
                      </w:r>
                    </w:p>
                    <w:p>
                      <w:pPr>
                        <w:spacing w:line="360" w:lineRule="auto"/>
                        <w:ind w:firstLine="480" w:firstLineChars="200"/>
                        <w:rPr>
                          <w:rFonts w:ascii="宋体" w:hAnsi="宋体" w:cs="宋体"/>
                          <w:sz w:val="24"/>
                          <w:szCs w:val="24"/>
                        </w:rPr>
                      </w:pPr>
                      <w:r>
                        <w:rPr>
                          <w:rFonts w:hint="eastAsia" w:ascii="宋体" w:hAnsi="宋体" w:cs="宋体"/>
                          <w:sz w:val="24"/>
                          <w:szCs w:val="24"/>
                          <w:lang w:eastAsia="zh-CN"/>
                        </w:rPr>
                        <w:t>快速维权中心二期建设项目（机房及展厅建设）——智能化及配套设备采购项目</w:t>
                      </w:r>
                      <w:r>
                        <w:rPr>
                          <w:rFonts w:hint="eastAsia" w:ascii="宋体" w:hAnsi="宋体" w:cs="宋体"/>
                          <w:sz w:val="24"/>
                          <w:szCs w:val="24"/>
                        </w:rPr>
                        <w:t>招标项目的潜在投标人应在政采云平台（http</w:t>
                      </w:r>
                      <w:r>
                        <w:rPr>
                          <w:rFonts w:hint="eastAsia" w:ascii="宋体" w:hAnsi="宋体" w:cs="宋体"/>
                          <w:sz w:val="24"/>
                          <w:szCs w:val="24"/>
                          <w:lang w:val="en-US" w:eastAsia="zh-CN"/>
                        </w:rPr>
                        <w:t>:</w:t>
                      </w:r>
                      <w:r>
                        <w:rPr>
                          <w:rFonts w:hint="eastAsia" w:ascii="宋体" w:hAnsi="宋体" w:cs="宋体"/>
                          <w:sz w:val="24"/>
                          <w:szCs w:val="24"/>
                        </w:rPr>
                        <w:t>//zfcg.czt.zj.gov.cn）获取（下载）招标文件，</w:t>
                      </w:r>
                      <w:r>
                        <w:rPr>
                          <w:rFonts w:hint="eastAsia" w:ascii="宋体" w:hAnsi="宋体" w:cs="宋体"/>
                          <w:color w:val="auto"/>
                          <w:sz w:val="24"/>
                          <w:szCs w:val="24"/>
                        </w:rPr>
                        <w:t>并于</w:t>
                      </w:r>
                      <w:r>
                        <w:rPr>
                          <w:rFonts w:hint="eastAsia" w:ascii="宋体" w:hAnsi="宋体" w:cs="宋体"/>
                          <w:color w:val="auto"/>
                          <w:sz w:val="24"/>
                          <w:szCs w:val="24"/>
                          <w:lang w:eastAsia="zh-CN"/>
                        </w:rPr>
                        <w:t>2024年4月23日</w:t>
                      </w:r>
                      <w:r>
                        <w:rPr>
                          <w:rFonts w:hint="eastAsia" w:ascii="宋体" w:hAnsi="宋体" w:cs="宋体"/>
                          <w:color w:val="auto"/>
                          <w:sz w:val="24"/>
                          <w:szCs w:val="24"/>
                        </w:rPr>
                        <w:t xml:space="preserve">  </w:t>
                      </w:r>
                      <w:r>
                        <w:rPr>
                          <w:rFonts w:hint="eastAsia" w:ascii="宋体" w:hAnsi="宋体" w:cs="宋体"/>
                          <w:sz w:val="24"/>
                          <w:szCs w:val="24"/>
                          <w:lang w:eastAsia="zh-CN"/>
                        </w:rPr>
                        <w:t>09：30</w:t>
                      </w:r>
                      <w:r>
                        <w:rPr>
                          <w:rFonts w:hint="eastAsia" w:ascii="宋体" w:hAnsi="宋体" w:cs="宋体"/>
                          <w:sz w:val="24"/>
                          <w:szCs w:val="24"/>
                        </w:rPr>
                        <w:t>（北京时间）前递交（上传）投标文件。</w:t>
                      </w:r>
                    </w:p>
                  </w:txbxContent>
                </v:textbox>
                <w10:wrap type="topAndBottom"/>
              </v:shape>
            </w:pict>
          </mc:Fallback>
        </mc:AlternateContent>
      </w:r>
      <w:r>
        <w:rPr>
          <w:rFonts w:hint="eastAsia" w:ascii="宋体" w:hAnsi="宋体" w:cs="宋体"/>
          <w:b/>
          <w:bCs/>
          <w:color w:val="auto"/>
          <w:sz w:val="36"/>
          <w:szCs w:val="36"/>
          <w:highlight w:val="none"/>
        </w:rPr>
        <w:t>第一章 公开招标采购公告</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一、项目基本情况</w:t>
      </w:r>
    </w:p>
    <w:p>
      <w:pPr>
        <w:shd w:val="clea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项目编号：</w:t>
      </w:r>
      <w:r>
        <w:rPr>
          <w:rFonts w:hint="eastAsia" w:ascii="宋体" w:hAnsi="宋体" w:cs="宋体"/>
          <w:color w:val="auto"/>
          <w:sz w:val="24"/>
          <w:szCs w:val="24"/>
          <w:highlight w:val="none"/>
          <w:lang w:eastAsia="zh-CN"/>
        </w:rPr>
        <w:t>ZJWS2024-HYSCJDJ01</w:t>
      </w:r>
    </w:p>
    <w:p>
      <w:pPr>
        <w:shd w:val="clea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项目名称：</w:t>
      </w:r>
      <w:r>
        <w:rPr>
          <w:rFonts w:hint="eastAsia" w:ascii="宋体" w:hAnsi="宋体" w:cs="宋体"/>
          <w:color w:val="auto"/>
          <w:sz w:val="24"/>
          <w:szCs w:val="24"/>
          <w:highlight w:val="none"/>
          <w:lang w:eastAsia="zh-CN"/>
        </w:rPr>
        <w:t>快速维权中心二期建设项目（机房及展厅建设）——智能化及配套设备采购项目</w:t>
      </w:r>
    </w:p>
    <w:p>
      <w:pPr>
        <w:shd w:val="clea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预算金额（元）：</w:t>
      </w:r>
      <w:r>
        <w:rPr>
          <w:rFonts w:hint="eastAsia" w:ascii="宋体" w:hAnsi="宋体" w:cs="宋体"/>
          <w:color w:val="auto"/>
          <w:sz w:val="24"/>
          <w:szCs w:val="24"/>
          <w:highlight w:val="none"/>
          <w:lang w:eastAsia="zh-CN"/>
        </w:rPr>
        <w:t>1000000</w:t>
      </w:r>
    </w:p>
    <w:p>
      <w:pPr>
        <w:shd w:val="clea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最高限价（元）：</w:t>
      </w:r>
      <w:r>
        <w:rPr>
          <w:rFonts w:hint="eastAsia" w:ascii="宋体" w:hAnsi="宋体" w:cs="宋体"/>
          <w:color w:val="auto"/>
          <w:sz w:val="24"/>
          <w:szCs w:val="24"/>
          <w:highlight w:val="none"/>
          <w:lang w:eastAsia="zh-CN"/>
        </w:rPr>
        <w:t>1000000</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采购需求：</w:t>
      </w:r>
    </w:p>
    <w:p>
      <w:pPr>
        <w:shd w:val="clear"/>
        <w:spacing w:line="360" w:lineRule="auto"/>
        <w:ind w:firstLine="480" w:firstLineChars="200"/>
        <w:rPr>
          <w:rFonts w:ascii="宋体" w:hAnsi="宋体" w:cs="宋体"/>
          <w:color w:val="auto"/>
          <w:sz w:val="24"/>
          <w:szCs w:val="24"/>
          <w:highlight w:val="none"/>
        </w:rPr>
      </w:pPr>
    </w:p>
    <w:p>
      <w:pPr>
        <w:shd w:val="clear"/>
        <w:spacing w:line="360" w:lineRule="auto"/>
        <w:ind w:firstLine="720" w:firstLineChars="3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标项名称：</w:t>
      </w:r>
      <w:r>
        <w:rPr>
          <w:rFonts w:hint="eastAsia" w:ascii="宋体" w:hAnsi="宋体" w:cs="宋体"/>
          <w:color w:val="auto"/>
          <w:sz w:val="24"/>
          <w:szCs w:val="24"/>
          <w:highlight w:val="none"/>
          <w:lang w:eastAsia="zh-CN"/>
        </w:rPr>
        <w:t>快速维权中心二期建设项目（机房及展厅建设）——智能化及配套设备采购项目</w:t>
      </w:r>
    </w:p>
    <w:p>
      <w:pPr>
        <w:shd w:val="clear"/>
        <w:spacing w:line="360" w:lineRule="auto"/>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数量：1项</w:t>
      </w:r>
    </w:p>
    <w:p>
      <w:pPr>
        <w:shd w:val="clear"/>
        <w:spacing w:line="360" w:lineRule="auto"/>
        <w:ind w:firstLine="720" w:firstLineChars="3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预算金额（元）：</w:t>
      </w:r>
      <w:r>
        <w:rPr>
          <w:rFonts w:hint="eastAsia" w:ascii="宋体" w:hAnsi="宋体" w:cs="宋体"/>
          <w:color w:val="auto"/>
          <w:sz w:val="24"/>
          <w:szCs w:val="24"/>
          <w:highlight w:val="none"/>
          <w:lang w:eastAsia="zh-CN"/>
        </w:rPr>
        <w:t>1000000</w:t>
      </w:r>
    </w:p>
    <w:p>
      <w:pPr>
        <w:shd w:val="clear"/>
        <w:spacing w:line="360" w:lineRule="auto"/>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简要规格描述或项目基本概况介绍、用途：具体详见招标需求</w:t>
      </w:r>
    </w:p>
    <w:p>
      <w:pPr>
        <w:shd w:val="clear"/>
        <w:spacing w:line="360" w:lineRule="auto"/>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备注：无。</w:t>
      </w:r>
    </w:p>
    <w:p>
      <w:pPr>
        <w:shd w:val="clear"/>
        <w:spacing w:line="360" w:lineRule="auto"/>
        <w:rPr>
          <w:rFonts w:ascii="宋体" w:hAnsi="宋体" w:cs="宋体"/>
          <w:color w:val="auto"/>
          <w:sz w:val="24"/>
          <w:szCs w:val="24"/>
          <w:highlight w:val="none"/>
        </w:rPr>
      </w:pP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合同履约期限：标项 1，工期：合同签订后</w:t>
      </w:r>
      <w:r>
        <w:rPr>
          <w:rFonts w:hint="eastAsia" w:ascii="宋体" w:hAnsi="宋体" w:cs="宋体"/>
          <w:color w:val="auto"/>
          <w:sz w:val="24"/>
          <w:szCs w:val="24"/>
          <w:highlight w:val="none"/>
          <w:lang w:eastAsia="zh-CN"/>
        </w:rPr>
        <w:t>30天内</w:t>
      </w:r>
      <w:r>
        <w:rPr>
          <w:rFonts w:hint="eastAsia" w:ascii="宋体" w:hAnsi="宋体" w:cs="宋体"/>
          <w:color w:val="auto"/>
          <w:sz w:val="24"/>
          <w:szCs w:val="24"/>
          <w:highlight w:val="none"/>
        </w:rPr>
        <w:t>完成供货安装。</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本项目（否）接受联合体投标。</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二、申请人的资格要求：</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满足《中华人民共和国政府采购法》第二十二条规定；未被“信用中国”（www.creditchina.gov.cn）、中国政府采购网（www.ccgp.gov.cn）列入失信被执行人、重大税收违法失信主体、政府采购严重违法失信行为记录名单。</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2.落实政府采购政策需满足的资格要求：标项1：无。</w:t>
      </w:r>
    </w:p>
    <w:p>
      <w:pPr>
        <w:shd w:val="clea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szCs w:val="24"/>
          <w:highlight w:val="none"/>
        </w:rPr>
        <w:t>3.本项目的特定资格要求：无。</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三、获取招标文件</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时间：/至</w:t>
      </w:r>
      <w:r>
        <w:rPr>
          <w:rFonts w:hint="eastAsia" w:ascii="宋体" w:hAnsi="宋体" w:cs="宋体"/>
          <w:color w:val="auto"/>
          <w:sz w:val="24"/>
          <w:szCs w:val="24"/>
          <w:highlight w:val="none"/>
          <w:lang w:eastAsia="zh-CN"/>
        </w:rPr>
        <w:t>2024年4月23日</w:t>
      </w:r>
      <w:r>
        <w:rPr>
          <w:rFonts w:hint="eastAsia" w:ascii="宋体" w:hAnsi="宋体" w:cs="宋体"/>
          <w:color w:val="auto"/>
          <w:sz w:val="24"/>
          <w:szCs w:val="24"/>
          <w:highlight w:val="none"/>
        </w:rPr>
        <w:t>，每天上午00:00至12:00，下午12:00至23:59（北京时间，线上获取法定节假日均可，线下获取文件法定节假日除外）</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地点（网址）：政采云平台（http://zfcg.czt.zj.gov.cn）</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方式：供应商登录政采云平台https://www.zcygov.cn/在线申请获取采购文件（进入“项目采购”应用，在获取采购文件菜单中选择项目，申请获取采购文件）</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售价（元）：0</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四、提交投标文件截止时间、开标时间和地点</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提交投标文件截止时间：</w:t>
      </w:r>
      <w:r>
        <w:rPr>
          <w:rFonts w:hint="eastAsia" w:ascii="宋体" w:hAnsi="宋体" w:cs="宋体"/>
          <w:color w:val="auto"/>
          <w:sz w:val="24"/>
          <w:szCs w:val="24"/>
          <w:highlight w:val="none"/>
          <w:lang w:eastAsia="zh-CN"/>
        </w:rPr>
        <w:t>2024年4月23日</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09：30</w:t>
      </w:r>
      <w:r>
        <w:rPr>
          <w:rFonts w:hint="eastAsia" w:ascii="宋体" w:hAnsi="宋体" w:cs="宋体"/>
          <w:color w:val="auto"/>
          <w:sz w:val="24"/>
          <w:szCs w:val="24"/>
          <w:highlight w:val="none"/>
        </w:rPr>
        <w:t>（北京时间）</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投标地点（网址）：电子加密投标文件上传至：政府采购云平台（www.zcygov.cn）</w:t>
      </w:r>
    </w:p>
    <w:p>
      <w:pPr>
        <w:shd w:val="clea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开标时间：</w:t>
      </w:r>
      <w:r>
        <w:rPr>
          <w:rFonts w:hint="eastAsia" w:ascii="宋体" w:hAnsi="宋体" w:cs="宋体"/>
          <w:color w:val="auto"/>
          <w:sz w:val="24"/>
          <w:szCs w:val="24"/>
          <w:highlight w:val="none"/>
          <w:lang w:eastAsia="zh-CN"/>
        </w:rPr>
        <w:t>2024年4月23日</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09：30</w:t>
      </w:r>
    </w:p>
    <w:p>
      <w:pPr>
        <w:shd w:val="clea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开标地点（网址）：</w:t>
      </w:r>
      <w:r>
        <w:rPr>
          <w:rFonts w:hint="eastAsia" w:ascii="宋体" w:hAnsi="宋体" w:cs="宋体"/>
          <w:bCs/>
          <w:color w:val="auto"/>
          <w:kern w:val="0"/>
          <w:sz w:val="24"/>
          <w:highlight w:val="none"/>
        </w:rPr>
        <w:t>浙江省台州市黄岩区劳动南路281号（应急管理局大楼5楼）黄岩区采购中心513开标室</w:t>
      </w:r>
      <w:r>
        <w:rPr>
          <w:rFonts w:hint="eastAsia" w:ascii="宋体" w:hAnsi="宋体" w:cs="宋体"/>
          <w:bCs/>
          <w:color w:val="auto"/>
          <w:kern w:val="0"/>
          <w:sz w:val="24"/>
          <w:highlight w:val="none"/>
          <w:lang w:val="en-US" w:eastAsia="zh-CN"/>
        </w:rPr>
        <w:t>1</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五、公告期限</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自本公告发布之日起5个工作日。</w:t>
      </w:r>
    </w:p>
    <w:p>
      <w:pPr>
        <w:shd w:val="clear"/>
        <w:spacing w:line="360" w:lineRule="auto"/>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六、其他补充事宜</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4.其他事项：</w:t>
      </w:r>
    </w:p>
    <w:p>
      <w:pPr>
        <w:shd w:val="clear"/>
        <w:spacing w:line="360" w:lineRule="auto"/>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4.1本项目实行电子投标，投标人应按照本项目招标文件和政采云平台的要求编制、加密并递交投标文件。投标人在使用系统进行投标的过程中遇到涉及平台使用的任何问题，可致电政采云平台技术支持热线咨询，联系方式：95763。</w:t>
      </w:r>
    </w:p>
    <w:p>
      <w:pPr>
        <w:shd w:val="clear"/>
        <w:spacing w:line="360" w:lineRule="auto"/>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4.2投标人通过政采云平台电子投标工具制作投标文件，电子投标工具请供应商自行前往浙江政府采购网下载并安装（下载网址：https://zfcg.czt.zj.gov.cn/luban/detail?parentId=600030&amp;articleId=ZoGATzO%2FwUdM7eXAIXLAyg%3D%3D&amp;utm=luban.luban-PC-37000.979-pc-websitegroup-zhejiang-secondPage-front.1.58e482b00f1311eea8dfcb72d7241801）。</w:t>
      </w:r>
    </w:p>
    <w:p>
      <w:pPr>
        <w:shd w:val="clear"/>
        <w:spacing w:line="360" w:lineRule="auto"/>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4.3投标人应在开标前完成CA数字证书办理（办理流程详见https://zfcg.czt.zj.gov.cn/luban/detail?parentId=600030&amp;articleId=8usMobfHBXp2GJnjOIZ0EA%3D%3D&amp;utm=luban.luban-PC-37000.979-pc-websitegroup-zhejiang-secondPage-front.3.b52770000f1311eeb3d92762a180ef93，完成CA数字证书办理预计一周左右，请各投标人自行把握时间）。</w:t>
      </w:r>
    </w:p>
    <w:p>
      <w:pPr>
        <w:shd w:val="clear"/>
        <w:spacing w:line="360" w:lineRule="auto"/>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七、对本次采购提出询问、质疑、投诉，请按以下方式联系</w:t>
      </w:r>
    </w:p>
    <w:p>
      <w:pPr>
        <w:shd w:val="clear"/>
        <w:spacing w:line="360" w:lineRule="auto"/>
        <w:ind w:firstLine="480" w:firstLineChars="200"/>
        <w:outlineLvl w:val="2"/>
        <w:rPr>
          <w:rFonts w:ascii="宋体" w:hAnsi="宋体" w:cs="宋体"/>
          <w:color w:val="auto"/>
          <w:sz w:val="24"/>
          <w:szCs w:val="24"/>
          <w:highlight w:val="none"/>
        </w:rPr>
      </w:pPr>
      <w:r>
        <w:rPr>
          <w:rFonts w:hint="eastAsia" w:ascii="宋体" w:hAnsi="宋体" w:cs="宋体"/>
          <w:color w:val="auto"/>
          <w:sz w:val="24"/>
          <w:szCs w:val="24"/>
          <w:highlight w:val="none"/>
        </w:rPr>
        <w:t>1.采购人信息</w:t>
      </w:r>
    </w:p>
    <w:p>
      <w:pPr>
        <w:shd w:val="clear"/>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名    称：台州市黄岩区市场监督管理局</w:t>
      </w:r>
    </w:p>
    <w:p>
      <w:pPr>
        <w:shd w:val="clear"/>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地    址：浙江省台州市黄岩区小东门路99号</w:t>
      </w:r>
    </w:p>
    <w:p>
      <w:pPr>
        <w:shd w:val="clear"/>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传    真：/</w:t>
      </w:r>
    </w:p>
    <w:p>
      <w:pPr>
        <w:shd w:val="clear"/>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项目联系人（询问）：</w:t>
      </w:r>
      <w:r>
        <w:rPr>
          <w:rFonts w:hint="eastAsia" w:ascii="宋体" w:hAnsi="宋体" w:cs="宋体"/>
          <w:color w:val="auto"/>
          <w:sz w:val="24"/>
          <w:szCs w:val="24"/>
          <w:highlight w:val="none"/>
          <w:lang w:val="en-US" w:eastAsia="zh-CN"/>
        </w:rPr>
        <w:t>郑</w:t>
      </w:r>
      <w:r>
        <w:rPr>
          <w:rFonts w:hint="eastAsia" w:ascii="宋体" w:hAnsi="宋体" w:cs="宋体"/>
          <w:color w:val="auto"/>
          <w:sz w:val="24"/>
          <w:szCs w:val="24"/>
          <w:highlight w:val="none"/>
          <w:lang w:eastAsia="zh-CN"/>
        </w:rPr>
        <w:t>先生</w:t>
      </w:r>
    </w:p>
    <w:p>
      <w:pPr>
        <w:shd w:val="clear"/>
        <w:spacing w:line="360" w:lineRule="auto"/>
        <w:ind w:firstLine="480" w:firstLineChars="20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项目联系方式（询问）：0576-84291066</w:t>
      </w:r>
    </w:p>
    <w:p>
      <w:pPr>
        <w:shd w:val="clear"/>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质疑联系人：</w:t>
      </w:r>
      <w:r>
        <w:rPr>
          <w:rFonts w:hint="eastAsia" w:ascii="宋体" w:hAnsi="宋体" w:cs="宋体"/>
          <w:color w:val="auto"/>
          <w:sz w:val="24"/>
          <w:szCs w:val="24"/>
          <w:highlight w:val="none"/>
          <w:lang w:val="en-US" w:eastAsia="zh-CN"/>
        </w:rPr>
        <w:t>杨女士</w:t>
      </w:r>
    </w:p>
    <w:p>
      <w:pPr>
        <w:shd w:val="clea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质疑联系方式：0576-84291092</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2.采购代理机构信息</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名称：浙江五石中正工程咨询有限公司</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地址：杭州市拱墅区白石路318号中国（杭州）人力资源服务产业园北楼512室</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传真：0571-85342190</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项目联系人（询问）：周丽、</w:t>
      </w:r>
      <w:r>
        <w:rPr>
          <w:rFonts w:hint="eastAsia" w:ascii="宋体" w:hAnsi="宋体" w:cs="宋体"/>
          <w:color w:val="auto"/>
          <w:sz w:val="24"/>
          <w:szCs w:val="24"/>
          <w:highlight w:val="none"/>
          <w:shd w:val="clear" w:color="auto" w:fill="FFFFFF"/>
          <w:lang w:val="en-US" w:eastAsia="zh-CN"/>
        </w:rPr>
        <w:t>黄思波</w:t>
      </w:r>
      <w:r>
        <w:rPr>
          <w:rFonts w:hint="eastAsia" w:ascii="宋体" w:hAnsi="宋体" w:cs="宋体"/>
          <w:color w:val="auto"/>
          <w:sz w:val="24"/>
          <w:szCs w:val="24"/>
          <w:highlight w:val="none"/>
          <w:shd w:val="clear" w:color="auto" w:fill="FFFFFF"/>
        </w:rPr>
        <w:t>、石晓林、高琳</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项目联系方式（询问）：0576-88781913</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质疑联系人：徐少媚</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质疑联系方式：0576-88785265</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3.同级政府采购监督管理部门</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名称：台州市黄岩区财政局政府采购监管科</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地址：台州市黄岩区劳动南路289号</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联系人：宋先生</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监督投诉电话：0576-84222959</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八、其余事项：</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中标人如有融资需求，可使用以下银行的政采贷服务。</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1"/>
        <w:gridCol w:w="1571"/>
        <w:gridCol w:w="1351"/>
        <w:gridCol w:w="2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银行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贷款年利率</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联系人</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中国工商银行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3.8%起</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卢嘉诚</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13867658508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中国农业银行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3.8%起</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龚盛</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中国建设银行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3.8%起</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梅晶晶</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中国银行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3.75%起</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王海</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13857677798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浦发银行台州分行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4.05%起</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王渊</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浦发银行椒江分行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4.05%起</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孙瑞华</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交通银行台州分行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3.75%起</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周翔宇</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招商银行台州分行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4.32%起</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王海玲</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浙商银行台州分行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5.01%起</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章涉漪</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中信银行台州分行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4.15%起</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陈金园</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华夏银行台州分行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4.5%起</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邱明达</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泰隆银行开发区支行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5.6%起</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梁宛莉</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民泰银行椒江支行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5.8%起</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陈慧珠</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绍兴银行台州分行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5.1%起</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郭庭斌</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温州银行台州分行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4.55%起</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王晓波</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平安银行台州分行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6.53%起</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李俊丽</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宁波银行台州分行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4.35%起</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戴莉丽</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金华银行台州分行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4.05%起</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金雪婷</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台州银行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5.6%起</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洪婷</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邮储银行台州分行</w:t>
            </w:r>
          </w:p>
        </w:tc>
        <w:tc>
          <w:tcPr>
            <w:tcW w:w="922"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3.85%起</w:t>
            </w:r>
          </w:p>
        </w:tc>
        <w:tc>
          <w:tcPr>
            <w:tcW w:w="79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董庆</w:t>
            </w:r>
          </w:p>
        </w:tc>
        <w:tc>
          <w:tcPr>
            <w:tcW w:w="1733"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81888982/18957683735</w:t>
            </w:r>
          </w:p>
        </w:tc>
      </w:tr>
    </w:tbl>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合同履约保函联系方式</w:t>
      </w:r>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735"/>
        <w:gridCol w:w="2260"/>
        <w:gridCol w:w="984"/>
        <w:gridCol w:w="1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3739"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保险公司名称</w:t>
            </w:r>
          </w:p>
        </w:tc>
        <w:tc>
          <w:tcPr>
            <w:tcW w:w="2262"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保费率</w:t>
            </w:r>
          </w:p>
        </w:tc>
        <w:tc>
          <w:tcPr>
            <w:tcW w:w="98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联系人</w:t>
            </w:r>
          </w:p>
        </w:tc>
        <w:tc>
          <w:tcPr>
            <w:tcW w:w="1536"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中国人寿财产保险股份有限公司台州中心支公司</w:t>
            </w:r>
          </w:p>
        </w:tc>
        <w:tc>
          <w:tcPr>
            <w:tcW w:w="2262"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年费率1%，最低保费500元</w:t>
            </w:r>
          </w:p>
        </w:tc>
        <w:tc>
          <w:tcPr>
            <w:tcW w:w="98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徐凌</w:t>
            </w:r>
          </w:p>
        </w:tc>
        <w:tc>
          <w:tcPr>
            <w:tcW w:w="1536"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永诚财产保险股份有限公司台州分公司</w:t>
            </w:r>
          </w:p>
        </w:tc>
        <w:tc>
          <w:tcPr>
            <w:tcW w:w="2262"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年费率1%，最低保费1000元</w:t>
            </w:r>
          </w:p>
        </w:tc>
        <w:tc>
          <w:tcPr>
            <w:tcW w:w="98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尹刚强</w:t>
            </w:r>
          </w:p>
        </w:tc>
        <w:tc>
          <w:tcPr>
            <w:tcW w:w="1536"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13750668184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华泰财产保险有限公司台州中心支公司</w:t>
            </w:r>
          </w:p>
        </w:tc>
        <w:tc>
          <w:tcPr>
            <w:tcW w:w="2262"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年费率0.5%，最低保费1000元</w:t>
            </w:r>
          </w:p>
        </w:tc>
        <w:tc>
          <w:tcPr>
            <w:tcW w:w="98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王灵芳</w:t>
            </w:r>
          </w:p>
        </w:tc>
        <w:tc>
          <w:tcPr>
            <w:tcW w:w="1536"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88869818 13586123199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中国大地财产保险股份有限公司台州中心支公司</w:t>
            </w:r>
          </w:p>
        </w:tc>
        <w:tc>
          <w:tcPr>
            <w:tcW w:w="2262"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年费率1.5%，最低保费1000元</w:t>
            </w:r>
          </w:p>
        </w:tc>
        <w:tc>
          <w:tcPr>
            <w:tcW w:w="98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徐小明</w:t>
            </w:r>
          </w:p>
        </w:tc>
        <w:tc>
          <w:tcPr>
            <w:tcW w:w="1536"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88552788      13968603112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阳光保险台州中心支公司</w:t>
            </w:r>
          </w:p>
        </w:tc>
        <w:tc>
          <w:tcPr>
            <w:tcW w:w="2262"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年费率1%，最低保费500元</w:t>
            </w:r>
          </w:p>
        </w:tc>
        <w:tc>
          <w:tcPr>
            <w:tcW w:w="98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林高明</w:t>
            </w:r>
          </w:p>
        </w:tc>
        <w:tc>
          <w:tcPr>
            <w:tcW w:w="1536"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中华联合财产保险股份有限公司台州中心支公司</w:t>
            </w:r>
          </w:p>
        </w:tc>
        <w:tc>
          <w:tcPr>
            <w:tcW w:w="2262"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年费率2%，最低保费500元</w:t>
            </w:r>
          </w:p>
        </w:tc>
        <w:tc>
          <w:tcPr>
            <w:tcW w:w="98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王仙高</w:t>
            </w:r>
          </w:p>
        </w:tc>
        <w:tc>
          <w:tcPr>
            <w:tcW w:w="1536"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13858600221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中国人民财产保险股份有限公司台州中心支公司</w:t>
            </w:r>
          </w:p>
        </w:tc>
        <w:tc>
          <w:tcPr>
            <w:tcW w:w="2262"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年费率0.3%，最低保费1000元</w:t>
            </w:r>
          </w:p>
        </w:tc>
        <w:tc>
          <w:tcPr>
            <w:tcW w:w="98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王仙春</w:t>
            </w:r>
          </w:p>
        </w:tc>
        <w:tc>
          <w:tcPr>
            <w:tcW w:w="1536"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13515769179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永安财产保险股份有限公司台州中心支公司</w:t>
            </w:r>
          </w:p>
        </w:tc>
        <w:tc>
          <w:tcPr>
            <w:tcW w:w="2262"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年费率0.3%，最低保费1000</w:t>
            </w:r>
          </w:p>
        </w:tc>
        <w:tc>
          <w:tcPr>
            <w:tcW w:w="98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王春宇</w:t>
            </w:r>
          </w:p>
        </w:tc>
        <w:tc>
          <w:tcPr>
            <w:tcW w:w="1536"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13676675331</w:t>
            </w:r>
          </w:p>
        </w:tc>
      </w:tr>
    </w:tbl>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预付款保函联系方式</w:t>
      </w:r>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723"/>
        <w:gridCol w:w="2273"/>
        <w:gridCol w:w="984"/>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3727"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保险公司名称</w:t>
            </w:r>
          </w:p>
        </w:tc>
        <w:tc>
          <w:tcPr>
            <w:tcW w:w="2274"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保费率</w:t>
            </w:r>
          </w:p>
        </w:tc>
        <w:tc>
          <w:tcPr>
            <w:tcW w:w="98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联系人</w:t>
            </w:r>
          </w:p>
        </w:tc>
        <w:tc>
          <w:tcPr>
            <w:tcW w:w="1536"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7"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中国人寿财产保险股份有限公司台州中心支公司</w:t>
            </w:r>
          </w:p>
        </w:tc>
        <w:tc>
          <w:tcPr>
            <w:tcW w:w="2274"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年费率3%，最低保费500元</w:t>
            </w:r>
          </w:p>
        </w:tc>
        <w:tc>
          <w:tcPr>
            <w:tcW w:w="98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徐凌</w:t>
            </w:r>
          </w:p>
        </w:tc>
        <w:tc>
          <w:tcPr>
            <w:tcW w:w="1536"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7"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阳光保险台州中心支公司</w:t>
            </w:r>
          </w:p>
        </w:tc>
        <w:tc>
          <w:tcPr>
            <w:tcW w:w="2274"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年费率1%，最低保费500元</w:t>
            </w:r>
          </w:p>
        </w:tc>
        <w:tc>
          <w:tcPr>
            <w:tcW w:w="98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林高明</w:t>
            </w:r>
          </w:p>
        </w:tc>
        <w:tc>
          <w:tcPr>
            <w:tcW w:w="1536"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7"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天安财产保险股份有限公司台州中心支公司</w:t>
            </w:r>
          </w:p>
        </w:tc>
        <w:tc>
          <w:tcPr>
            <w:tcW w:w="2274"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年费率1%-2%，最低保费500元</w:t>
            </w:r>
          </w:p>
        </w:tc>
        <w:tc>
          <w:tcPr>
            <w:tcW w:w="98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罗赛</w:t>
            </w:r>
          </w:p>
        </w:tc>
        <w:tc>
          <w:tcPr>
            <w:tcW w:w="1536"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13736605643</w:t>
            </w:r>
          </w:p>
        </w:tc>
      </w:tr>
    </w:tbl>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第二章 投标人须知</w:t>
      </w:r>
    </w:p>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前附表</w:t>
      </w:r>
    </w:p>
    <w:tbl>
      <w:tblPr>
        <w:tblStyle w:val="29"/>
        <w:tblW w:w="55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905"/>
        <w:gridCol w:w="6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58" w:type="pct"/>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序号</w:t>
            </w:r>
          </w:p>
        </w:tc>
        <w:tc>
          <w:tcPr>
            <w:tcW w:w="1004" w:type="pct"/>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项目</w:t>
            </w:r>
          </w:p>
        </w:tc>
        <w:tc>
          <w:tcPr>
            <w:tcW w:w="3536" w:type="pct"/>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58"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004"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供应商特定资格要求</w:t>
            </w:r>
          </w:p>
        </w:tc>
        <w:tc>
          <w:tcPr>
            <w:tcW w:w="3536" w:type="pct"/>
            <w:vAlign w:val="center"/>
          </w:tcPr>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458"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004"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答疑会或现场踏勘</w:t>
            </w:r>
          </w:p>
        </w:tc>
        <w:tc>
          <w:tcPr>
            <w:tcW w:w="3536" w:type="pct"/>
            <w:vAlign w:val="center"/>
          </w:tcPr>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各投标单位自行前往勘察现场和周围环境，所产生的费用由投标单位自理。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458"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1004"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投标文件递交要求</w:t>
            </w:r>
          </w:p>
        </w:tc>
        <w:tc>
          <w:tcPr>
            <w:tcW w:w="3536" w:type="pct"/>
            <w:vAlign w:val="center"/>
          </w:tcPr>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本项目实行电子投标，供应商应准备电子投标文件、还可以提供以介质存储的数据电文形式的备份投标文件、纸质备份投标文件：</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1、电子投标文件，按政采云平台项目采购--电子招投标操作指南及本招标文件要求编制、递交。</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2、经政采云加密处理、以介质存储的数据电文形式的备份投标文件，按政采云平台项目采购-电子招投标操作指南中上传的电子投标文件格式，以U盘形式提供。数量为1份。</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纸质备份投标文件以纸质文件的形式编制，按资格证明文件、商务技术文件、报价文件三部分分别编制并单独装订成册，数量均为2份（一正一副）。资格证明文件、商务技术文件、报价文件三部分须分别密封封装，资格证明文件、商务技术文件、报价文件三部分未分别密封的投标文件将为无效。</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投标文件启用顺序和效力：投标文件的启用，按先后顺位分别为电子投标文件、以介质存储的数据电文形式的备份投标文件、纸质备份投标文件。顺位在先的投标文件已按时解密的，备份投标文件自动失效。在下一顺位的投标文件启用时，前一顺位的投标文件自动失效。</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5、未传输递交电子投标文件的，投标无效。未按规定提供相应的备份投标文件，如发生电子投标文件无法正常开启的情况，造成项目开评标活动无法进行下去的，投标无效。仅递交备份文件的，投标无效。</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投标供应商在“政府采购云平台”完成“电子加密投标文件”的上传递交后，还可以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①在投标截止时间前送交到开标地点；</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②采用邮寄方式，建议邮寄公司统一采用顺丰（包裹外包装上请注明单位、项目名称、联系电话等信息，以便代理机构作接收登记工作），邮寄接收截止时间为投标截止时间前（邮寄地址：浙江五石中正工程咨询有限公司（台州市椒江区东环大道576号二楼，联系人：金老师，电话：0576-88781913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1004"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投标有效期</w:t>
            </w:r>
          </w:p>
        </w:tc>
        <w:tc>
          <w:tcPr>
            <w:tcW w:w="3536" w:type="pct"/>
            <w:vAlign w:val="center"/>
          </w:tcPr>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投标有效期为开标后90天，投标有效期从提交投标文件的截止之日起算。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c>
          <w:tcPr>
            <w:tcW w:w="1004"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投标文件递交</w:t>
            </w:r>
          </w:p>
        </w:tc>
        <w:tc>
          <w:tcPr>
            <w:tcW w:w="3536" w:type="pct"/>
            <w:vAlign w:val="center"/>
          </w:tcPr>
          <w:p>
            <w:pPr>
              <w:shd w:val="clear"/>
              <w:spacing w:line="360" w:lineRule="auto"/>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截止时间：北京时间</w:t>
            </w:r>
            <w:r>
              <w:rPr>
                <w:rFonts w:hint="eastAsia" w:ascii="宋体" w:hAnsi="宋体" w:cs="宋体"/>
                <w:color w:val="auto"/>
                <w:sz w:val="24"/>
                <w:szCs w:val="24"/>
                <w:highlight w:val="none"/>
                <w:lang w:eastAsia="zh-CN"/>
              </w:rPr>
              <w:t>2024年4月23日</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09：30</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投标供应商应当在投标截止时间前将生成的“电子加密投标文件”上传递交至“政府采购云平台”，并在开标当日投标截止时间前提交备份投标文件。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458"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6</w:t>
            </w:r>
          </w:p>
        </w:tc>
        <w:tc>
          <w:tcPr>
            <w:tcW w:w="1004"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开标时间及地点</w:t>
            </w:r>
          </w:p>
        </w:tc>
        <w:tc>
          <w:tcPr>
            <w:tcW w:w="3536" w:type="pct"/>
            <w:vAlign w:val="center"/>
          </w:tcPr>
          <w:p>
            <w:pPr>
              <w:shd w:val="clear"/>
              <w:spacing w:line="360" w:lineRule="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时间：北京时间</w:t>
            </w:r>
            <w:r>
              <w:rPr>
                <w:rFonts w:hint="eastAsia" w:ascii="宋体" w:hAnsi="宋体" w:cs="宋体"/>
                <w:color w:val="auto"/>
                <w:sz w:val="24"/>
                <w:szCs w:val="24"/>
                <w:highlight w:val="none"/>
                <w:lang w:eastAsia="zh-CN"/>
              </w:rPr>
              <w:t>2024年4月23日</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09：30</w:t>
            </w:r>
          </w:p>
          <w:p>
            <w:pPr>
              <w:shd w:val="clear"/>
              <w:spacing w:line="360" w:lineRule="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地点：</w:t>
            </w:r>
            <w:r>
              <w:rPr>
                <w:rFonts w:hint="eastAsia" w:ascii="宋体" w:hAnsi="宋体" w:cs="宋体"/>
                <w:bCs/>
                <w:color w:val="auto"/>
                <w:kern w:val="0"/>
                <w:sz w:val="24"/>
                <w:highlight w:val="none"/>
              </w:rPr>
              <w:t>浙江省台州市黄岩区劳动南路281号（应急管理局大楼5楼）黄岩区采购中心513开标室</w:t>
            </w:r>
            <w:r>
              <w:rPr>
                <w:rFonts w:hint="eastAsia" w:ascii="宋体" w:hAnsi="宋体" w:cs="宋体"/>
                <w:bCs/>
                <w:color w:val="auto"/>
                <w:kern w:val="0"/>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458"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7</w:t>
            </w:r>
          </w:p>
        </w:tc>
        <w:tc>
          <w:tcPr>
            <w:tcW w:w="1004"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信用记录相关说明</w:t>
            </w:r>
          </w:p>
        </w:tc>
        <w:tc>
          <w:tcPr>
            <w:tcW w:w="3536" w:type="pct"/>
            <w:vAlign w:val="center"/>
          </w:tcPr>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根据财库[2016]125号《关于在政府采购活动中查询及使用信用记录有关问题的通知》要求，采购代理机构会对供应商信用记录进行查询并甄别。</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1）信用信息查询的截止时点：开标后评标前；</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2）查询渠道：“信用中国”（www.creditchina.gov.cn）、“中国政府采购网”（www.ccgp.gov.cn）、“浙江政府采购网”（zfcg.czt.zj.gov.cn）；</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3）信用信息查询记录和证据留存具体方式：采购代理机构经办人和监督人员将查询网页打印与其他采购相关文件一并保存；</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4）信用信息的使用规则：投标人存在不良信用记录的，其投标将被作为无效投标被拒绝。</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不良信用记录指：被列入失信被执行人、重大税收违法失信主体、政府采购严重违法失信行为记录名单或浙江政府采购网曝光台中尚在行政处罚期内的。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58"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8</w:t>
            </w:r>
          </w:p>
        </w:tc>
        <w:tc>
          <w:tcPr>
            <w:tcW w:w="1004" w:type="pct"/>
            <w:vAlign w:val="center"/>
          </w:tcPr>
          <w:p>
            <w:pPr>
              <w:shd w:val="clear"/>
              <w:autoSpaceDE w:val="0"/>
              <w:autoSpaceDN w:val="0"/>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zh-CN"/>
              </w:rPr>
              <w:t>实质性条款</w:t>
            </w:r>
          </w:p>
        </w:tc>
        <w:tc>
          <w:tcPr>
            <w:tcW w:w="3536" w:type="pct"/>
            <w:vAlign w:val="center"/>
          </w:tcPr>
          <w:p>
            <w:pPr>
              <w:shd w:val="clear"/>
              <w:autoSpaceDE w:val="0"/>
              <w:autoSpaceDN w:val="0"/>
              <w:adjustRightInd w:val="0"/>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lang w:val="zh-CN"/>
              </w:rPr>
              <w:t>带“</w:t>
            </w:r>
            <w:r>
              <w:rPr>
                <w:rFonts w:hint="eastAsia" w:ascii="宋体" w:hAnsi="宋体" w:cs="宋体"/>
                <w:color w:val="auto"/>
                <w:sz w:val="24"/>
                <w:szCs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58" w:type="pct"/>
            <w:vAlign w:val="center"/>
          </w:tcPr>
          <w:p>
            <w:pPr>
              <w:shd w:val="clear"/>
              <w:autoSpaceDE w:val="0"/>
              <w:autoSpaceDN w:val="0"/>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9</w:t>
            </w:r>
          </w:p>
        </w:tc>
        <w:tc>
          <w:tcPr>
            <w:tcW w:w="1004" w:type="pct"/>
            <w:vAlign w:val="center"/>
          </w:tcPr>
          <w:p>
            <w:pPr>
              <w:shd w:val="clear"/>
              <w:autoSpaceDE w:val="0"/>
              <w:autoSpaceDN w:val="0"/>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zh-CN"/>
              </w:rPr>
              <w:t>是否提供样品</w:t>
            </w:r>
            <w:r>
              <w:rPr>
                <w:rFonts w:hint="eastAsia" w:ascii="宋体" w:hAnsi="宋体" w:cs="宋体"/>
                <w:color w:val="auto"/>
                <w:sz w:val="24"/>
                <w:szCs w:val="24"/>
                <w:highlight w:val="none"/>
              </w:rPr>
              <w:t>及演示</w:t>
            </w:r>
          </w:p>
        </w:tc>
        <w:tc>
          <w:tcPr>
            <w:tcW w:w="3536" w:type="pct"/>
            <w:vAlign w:val="center"/>
          </w:tcPr>
          <w:p>
            <w:pPr>
              <w:widowControl/>
              <w:shd w:val="clear"/>
              <w:spacing w:line="360" w:lineRule="auto"/>
              <w:jc w:val="left"/>
              <w:rPr>
                <w:rFonts w:ascii="宋体" w:hAnsi="宋体" w:cs="宋体"/>
                <w:color w:val="auto"/>
                <w:sz w:val="24"/>
                <w:szCs w:val="24"/>
                <w:highlight w:val="none"/>
              </w:rPr>
            </w:pPr>
            <w:r>
              <w:rPr>
                <w:rFonts w:hint="eastAsia" w:ascii="宋体" w:hAnsi="宋体" w:cs="宋体"/>
                <w:color w:val="auto"/>
                <w:kern w:val="0"/>
                <w:sz w:val="24"/>
                <w:szCs w:val="24"/>
                <w:highlight w:val="none"/>
              </w:rPr>
              <w:t xml:space="preserve">□是 </w:t>
            </w:r>
          </w:p>
          <w:p>
            <w:pPr>
              <w:shd w:val="clear"/>
              <w:autoSpaceDE w:val="0"/>
              <w:autoSpaceDN w:val="0"/>
              <w:adjustRightInd w:val="0"/>
              <w:spacing w:line="360" w:lineRule="auto"/>
              <w:rPr>
                <w:rFonts w:ascii="宋体" w:hAnsi="宋体" w:cs="宋体"/>
                <w:color w:val="auto"/>
                <w:sz w:val="24"/>
                <w:szCs w:val="24"/>
                <w:highlight w:val="none"/>
                <w:lang w:val="zh-CN"/>
              </w:rPr>
            </w:pPr>
            <w:r>
              <w:rPr>
                <w:rFonts w:hint="eastAsia" w:ascii="宋体" w:hAnsi="宋体" w:cs="宋体"/>
                <w:color w:val="auto"/>
                <w:kern w:val="0"/>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458"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highlight w:val="none"/>
              </w:rPr>
              <w:t>10</w:t>
            </w:r>
          </w:p>
        </w:tc>
        <w:tc>
          <w:tcPr>
            <w:tcW w:w="1004" w:type="pct"/>
            <w:vAlign w:val="center"/>
          </w:tcPr>
          <w:p>
            <w:pPr>
              <w:widowControl/>
              <w:shd w:val="clear"/>
              <w:spacing w:line="360" w:lineRule="auto"/>
              <w:jc w:val="center"/>
              <w:rPr>
                <w:rFonts w:ascii="宋体" w:hAnsi="宋体" w:cs="宋体"/>
                <w:color w:val="auto"/>
                <w:sz w:val="24"/>
                <w:szCs w:val="24"/>
                <w:highlight w:val="none"/>
                <w:lang w:val="zh-CN"/>
              </w:rPr>
            </w:pPr>
            <w:r>
              <w:rPr>
                <w:rFonts w:hint="eastAsia" w:ascii="宋体" w:hAnsi="宋体" w:cs="宋体"/>
                <w:color w:val="auto"/>
                <w:kern w:val="0"/>
                <w:sz w:val="24"/>
                <w:szCs w:val="24"/>
                <w:highlight w:val="none"/>
              </w:rPr>
              <w:t>是否专门面向中小微企业采购</w:t>
            </w:r>
          </w:p>
        </w:tc>
        <w:tc>
          <w:tcPr>
            <w:tcW w:w="3536" w:type="pct"/>
            <w:vAlign w:val="center"/>
          </w:tcPr>
          <w:p>
            <w:pPr>
              <w:widowControl/>
              <w:shd w:val="clear"/>
              <w:spacing w:line="360" w:lineRule="auto"/>
              <w:jc w:val="left"/>
              <w:rPr>
                <w:rFonts w:ascii="宋体" w:hAnsi="宋体" w:cs="宋体"/>
                <w:color w:val="auto"/>
                <w:sz w:val="24"/>
                <w:szCs w:val="24"/>
                <w:highlight w:val="none"/>
              </w:rPr>
            </w:pPr>
            <w:r>
              <w:rPr>
                <w:rFonts w:hint="eastAsia" w:ascii="宋体" w:hAnsi="宋体" w:cs="宋体"/>
                <w:color w:val="auto"/>
                <w:kern w:val="0"/>
                <w:sz w:val="24"/>
                <w:szCs w:val="24"/>
                <w:highlight w:val="none"/>
              </w:rPr>
              <w:t xml:space="preserve">□是 </w:t>
            </w:r>
          </w:p>
          <w:p>
            <w:pPr>
              <w:widowControl/>
              <w:shd w:val="clear"/>
              <w:spacing w:line="360" w:lineRule="auto"/>
              <w:jc w:val="left"/>
              <w:rPr>
                <w:rFonts w:ascii="宋体" w:hAnsi="宋体" w:cs="宋体"/>
                <w:color w:val="auto"/>
                <w:sz w:val="24"/>
                <w:szCs w:val="24"/>
                <w:highlight w:val="none"/>
                <w:lang w:val="zh-CN"/>
              </w:rPr>
            </w:pPr>
            <w:r>
              <w:rPr>
                <w:rFonts w:hint="eastAsia" w:ascii="宋体" w:hAnsi="宋体" w:cs="宋体"/>
                <w:color w:val="auto"/>
                <w:kern w:val="0"/>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58"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11</w:t>
            </w:r>
          </w:p>
        </w:tc>
        <w:tc>
          <w:tcPr>
            <w:tcW w:w="1004" w:type="pct"/>
            <w:vAlign w:val="center"/>
          </w:tcPr>
          <w:p>
            <w:pPr>
              <w:shd w:val="clear"/>
              <w:spacing w:line="360" w:lineRule="auto"/>
              <w:jc w:val="center"/>
              <w:rPr>
                <w:rFonts w:ascii="宋体" w:hAnsi="宋体" w:cs="宋体"/>
                <w:color w:val="auto"/>
                <w:sz w:val="24"/>
                <w:szCs w:val="24"/>
                <w:highlight w:val="none"/>
                <w:lang w:val="zh-CN"/>
              </w:rPr>
            </w:pPr>
            <w:r>
              <w:rPr>
                <w:rFonts w:hint="eastAsia" w:ascii="宋体" w:hAnsi="宋体" w:cs="宋体"/>
                <w:color w:val="auto"/>
                <w:sz w:val="24"/>
                <w:highlight w:val="none"/>
              </w:rPr>
              <w:t>中小企业划分标准所属行业</w:t>
            </w:r>
          </w:p>
        </w:tc>
        <w:tc>
          <w:tcPr>
            <w:tcW w:w="3536" w:type="pct"/>
            <w:vAlign w:val="center"/>
          </w:tcPr>
          <w:p>
            <w:pPr>
              <w:shd w:val="clear"/>
              <w:spacing w:line="360" w:lineRule="auto"/>
              <w:rPr>
                <w:rFonts w:ascii="宋体" w:hAnsi="宋体" w:cs="宋体"/>
                <w:color w:val="auto"/>
                <w:sz w:val="24"/>
                <w:szCs w:val="24"/>
                <w:highlight w:val="none"/>
                <w:lang w:val="zh-CN"/>
              </w:rPr>
            </w:pPr>
            <w:r>
              <w:rPr>
                <w:rFonts w:hint="eastAsia" w:ascii="宋体" w:hAnsi="宋体" w:cs="宋体"/>
                <w:color w:val="auto"/>
                <w:sz w:val="24"/>
                <w:highlight w:val="none"/>
              </w:rPr>
              <w:t>所属行业：工业（制造业）。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58"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12</w:t>
            </w:r>
          </w:p>
        </w:tc>
        <w:tc>
          <w:tcPr>
            <w:tcW w:w="1004" w:type="pct"/>
            <w:vAlign w:val="center"/>
          </w:tcPr>
          <w:p>
            <w:pPr>
              <w:shd w:val="clear"/>
              <w:spacing w:line="360" w:lineRule="auto"/>
              <w:ind w:left="1"/>
              <w:jc w:val="center"/>
              <w:textAlignment w:val="bottom"/>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节能环保</w:t>
            </w:r>
          </w:p>
        </w:tc>
        <w:tc>
          <w:tcPr>
            <w:tcW w:w="3536" w:type="pct"/>
            <w:vAlign w:val="center"/>
          </w:tcPr>
          <w:p>
            <w:pPr>
              <w:shd w:val="clear"/>
              <w:spacing w:line="360" w:lineRule="auto"/>
              <w:ind w:left="1"/>
              <w:jc w:val="left"/>
              <w:textAlignment w:val="bottom"/>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1、节能产品的强制采购政策</w:t>
            </w:r>
          </w:p>
          <w:p>
            <w:pPr>
              <w:shd w:val="clear"/>
              <w:spacing w:line="360" w:lineRule="auto"/>
              <w:ind w:left="1"/>
              <w:jc w:val="left"/>
              <w:textAlignment w:val="bottom"/>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认证证书，并在投标文件中提供该产品节能产品认证证书。（注：本项目执行最新政府采购节能产品、环境标志产品品目清单。）</w:t>
            </w:r>
          </w:p>
          <w:p>
            <w:pPr>
              <w:shd w:val="clear"/>
              <w:spacing w:line="360" w:lineRule="auto"/>
              <w:ind w:left="1"/>
              <w:jc w:val="left"/>
              <w:textAlignment w:val="bottom"/>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2、节能产品、环境标志产品的优先采购政策</w:t>
            </w:r>
          </w:p>
          <w:p>
            <w:pPr>
              <w:shd w:val="clear"/>
              <w:spacing w:line="360" w:lineRule="auto"/>
              <w:ind w:left="1"/>
              <w:jc w:val="left"/>
              <w:textAlignment w:val="bottom"/>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投标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58"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w:t>
            </w:r>
          </w:p>
        </w:tc>
        <w:tc>
          <w:tcPr>
            <w:tcW w:w="1004" w:type="pct"/>
            <w:vAlign w:val="center"/>
          </w:tcPr>
          <w:p>
            <w:pPr>
              <w:shd w:val="clear"/>
              <w:spacing w:line="360" w:lineRule="auto"/>
              <w:jc w:val="center"/>
              <w:rPr>
                <w:rFonts w:ascii="宋体" w:hAnsi="宋体" w:cs="宋体"/>
                <w:color w:val="auto"/>
                <w:sz w:val="24"/>
                <w:szCs w:val="24"/>
                <w:highlight w:val="none"/>
                <w:lang w:val="zh-CN"/>
              </w:rPr>
            </w:pPr>
            <w:r>
              <w:rPr>
                <w:rFonts w:hint="eastAsia" w:ascii="宋体" w:hAnsi="宋体" w:cs="宋体"/>
                <w:color w:val="auto"/>
                <w:sz w:val="24"/>
                <w:highlight w:val="none"/>
              </w:rPr>
              <w:t>履约保证金</w:t>
            </w:r>
          </w:p>
        </w:tc>
        <w:tc>
          <w:tcPr>
            <w:tcW w:w="3536" w:type="pct"/>
            <w:vAlign w:val="center"/>
          </w:tcPr>
          <w:p>
            <w:pPr>
              <w:shd w:val="clear"/>
              <w:spacing w:line="360" w:lineRule="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本项目不设履约保证金。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58"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14</w:t>
            </w:r>
          </w:p>
        </w:tc>
        <w:tc>
          <w:tcPr>
            <w:tcW w:w="1004" w:type="pc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其他</w:t>
            </w:r>
          </w:p>
        </w:tc>
        <w:tc>
          <w:tcPr>
            <w:tcW w:w="3536" w:type="pct"/>
            <w:vAlign w:val="center"/>
          </w:tcPr>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1、各供应商自行在浙江政府采购网下载或查阅采购文件和相关更正公告等，不另行通知，如有遗漏采购人、采购代理机构概不负责。</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2、两家或两家以上供应商提供的投标文件出自同一终端设备的，或在相同Internet主机分配地址（相同IP地址）报名或网上投标的，后果由供应商自行承担。</w:t>
            </w:r>
          </w:p>
          <w:p>
            <w:pPr>
              <w:shd w:val="clear"/>
              <w:spacing w:line="360" w:lineRule="auto"/>
              <w:rPr>
                <w:rFonts w:ascii="宋体" w:hAnsi="宋体" w:cs="宋体"/>
                <w:color w:val="auto"/>
                <w:highlight w:val="none"/>
              </w:rPr>
            </w:pPr>
            <w:r>
              <w:rPr>
                <w:rFonts w:hint="eastAsia" w:ascii="宋体" w:hAnsi="宋体" w:cs="宋体"/>
                <w:b/>
                <w:bCs/>
                <w:color w:val="auto"/>
                <w:sz w:val="24"/>
                <w:szCs w:val="24"/>
                <w:highlight w:val="none"/>
              </w:rPr>
              <w:t>3、开标时间后30分钟内供应商须携带CA自备电脑登录“政采云”平台，用“项目采购-开标评标”功能解密投标文件，投标人未按时解密或解密失败的，其上传的电子投标文件自动失效。</w:t>
            </w:r>
          </w:p>
        </w:tc>
      </w:tr>
    </w:tbl>
    <w:p>
      <w:pPr>
        <w:shd w:val="clear"/>
        <w:spacing w:line="360" w:lineRule="auto"/>
        <w:rPr>
          <w:rFonts w:ascii="宋体" w:hAnsi="宋体" w:cs="宋体"/>
          <w:b/>
          <w:bCs/>
          <w:color w:val="auto"/>
          <w:sz w:val="24"/>
          <w:szCs w:val="32"/>
          <w:highlight w:val="none"/>
        </w:rPr>
      </w:pPr>
    </w:p>
    <w:p>
      <w:pPr>
        <w:shd w:val="clear"/>
        <w:spacing w:line="360" w:lineRule="auto"/>
        <w:rPr>
          <w:rFonts w:ascii="宋体" w:hAnsi="宋体" w:cs="宋体"/>
          <w:b/>
          <w:bCs/>
          <w:color w:val="auto"/>
          <w:sz w:val="24"/>
          <w:szCs w:val="32"/>
          <w:highlight w:val="none"/>
        </w:rPr>
      </w:pPr>
    </w:p>
    <w:p>
      <w:pPr>
        <w:shd w:val="clear"/>
        <w:spacing w:line="360" w:lineRule="auto"/>
        <w:rPr>
          <w:rFonts w:ascii="宋体" w:hAnsi="宋体" w:cs="宋体"/>
          <w:b/>
          <w:bCs/>
          <w:color w:val="auto"/>
          <w:sz w:val="24"/>
          <w:szCs w:val="32"/>
          <w:highlight w:val="none"/>
        </w:rPr>
      </w:pPr>
    </w:p>
    <w:p>
      <w:pPr>
        <w:shd w:val="clear"/>
        <w:spacing w:line="360" w:lineRule="auto"/>
        <w:rPr>
          <w:rFonts w:ascii="宋体" w:hAnsi="宋体" w:cs="宋体"/>
          <w:b/>
          <w:bCs/>
          <w:color w:val="auto"/>
          <w:sz w:val="24"/>
          <w:szCs w:val="32"/>
          <w:highlight w:val="none"/>
        </w:rPr>
      </w:pPr>
    </w:p>
    <w:p>
      <w:pPr>
        <w:shd w:val="clear"/>
        <w:spacing w:line="360" w:lineRule="auto"/>
        <w:rPr>
          <w:rFonts w:ascii="宋体" w:hAnsi="宋体" w:cs="宋体"/>
          <w:b/>
          <w:bCs/>
          <w:color w:val="auto"/>
          <w:sz w:val="24"/>
          <w:szCs w:val="32"/>
          <w:highlight w:val="none"/>
        </w:rPr>
      </w:pPr>
    </w:p>
    <w:p>
      <w:pPr>
        <w:shd w:val="clear"/>
        <w:spacing w:line="360" w:lineRule="auto"/>
        <w:rPr>
          <w:rFonts w:ascii="宋体" w:hAnsi="宋体" w:cs="宋体"/>
          <w:b/>
          <w:bCs/>
          <w:color w:val="auto"/>
          <w:sz w:val="24"/>
          <w:szCs w:val="32"/>
          <w:highlight w:val="none"/>
        </w:rPr>
      </w:pPr>
    </w:p>
    <w:p>
      <w:pPr>
        <w:shd w:val="clear"/>
        <w:spacing w:line="360" w:lineRule="auto"/>
        <w:rPr>
          <w:rFonts w:ascii="宋体" w:hAnsi="宋体" w:cs="宋体"/>
          <w:b/>
          <w:bCs/>
          <w:color w:val="auto"/>
          <w:sz w:val="24"/>
          <w:szCs w:val="32"/>
          <w:highlight w:val="none"/>
        </w:rPr>
      </w:pPr>
    </w:p>
    <w:p>
      <w:pPr>
        <w:shd w:val="clear"/>
        <w:spacing w:line="360" w:lineRule="auto"/>
        <w:rPr>
          <w:rFonts w:ascii="宋体" w:hAnsi="宋体" w:cs="宋体"/>
          <w:b/>
          <w:bCs/>
          <w:color w:val="auto"/>
          <w:sz w:val="24"/>
          <w:szCs w:val="32"/>
          <w:highlight w:val="none"/>
        </w:rPr>
      </w:pPr>
    </w:p>
    <w:p>
      <w:pPr>
        <w:shd w:val="clear"/>
        <w:spacing w:line="360" w:lineRule="auto"/>
        <w:rPr>
          <w:rFonts w:ascii="宋体" w:hAnsi="宋体" w:cs="宋体"/>
          <w:b/>
          <w:bCs/>
          <w:color w:val="auto"/>
          <w:sz w:val="24"/>
          <w:szCs w:val="32"/>
          <w:highlight w:val="none"/>
        </w:rPr>
      </w:pPr>
    </w:p>
    <w:p>
      <w:pPr>
        <w:shd w:val="clear"/>
        <w:spacing w:line="360" w:lineRule="auto"/>
        <w:rPr>
          <w:rFonts w:ascii="宋体" w:hAnsi="宋体" w:cs="宋体"/>
          <w:b/>
          <w:bCs/>
          <w:color w:val="auto"/>
          <w:sz w:val="24"/>
          <w:szCs w:val="32"/>
          <w:highlight w:val="none"/>
        </w:rPr>
      </w:pPr>
    </w:p>
    <w:p>
      <w:pPr>
        <w:shd w:val="clear"/>
        <w:spacing w:line="360" w:lineRule="auto"/>
        <w:rPr>
          <w:rFonts w:ascii="宋体" w:hAnsi="宋体" w:cs="宋体"/>
          <w:b/>
          <w:bCs/>
          <w:color w:val="auto"/>
          <w:sz w:val="24"/>
          <w:szCs w:val="32"/>
          <w:highlight w:val="none"/>
        </w:rPr>
      </w:pPr>
    </w:p>
    <w:p>
      <w:pPr>
        <w:shd w:val="clear"/>
        <w:spacing w:line="360" w:lineRule="auto"/>
        <w:rPr>
          <w:rFonts w:hint="eastAsia" w:ascii="宋体" w:hAnsi="宋体" w:cs="宋体"/>
          <w:b/>
          <w:bCs/>
          <w:color w:val="auto"/>
          <w:sz w:val="24"/>
          <w:szCs w:val="32"/>
          <w:highlight w:val="none"/>
        </w:rPr>
      </w:pPr>
    </w:p>
    <w:p>
      <w:pPr>
        <w:shd w:val="clear"/>
        <w:spacing w:line="360" w:lineRule="auto"/>
        <w:rPr>
          <w:rFonts w:hint="eastAsia" w:ascii="宋体" w:hAnsi="宋体" w:cs="宋体"/>
          <w:b/>
          <w:bCs/>
          <w:color w:val="auto"/>
          <w:sz w:val="24"/>
          <w:szCs w:val="32"/>
          <w:highlight w:val="none"/>
        </w:rPr>
      </w:pPr>
    </w:p>
    <w:p>
      <w:pPr>
        <w:shd w:val="clea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一、总  则</w:t>
      </w:r>
    </w:p>
    <w:p>
      <w:pPr>
        <w:shd w:val="clea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（一） 适用范围</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本招标文件适用于本次项目的招标、投标、评标、定标、验收、合同履约、付款等行为（法律、法规另有规定的，从其规定）。</w:t>
      </w:r>
    </w:p>
    <w:p>
      <w:pPr>
        <w:shd w:val="clea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（二）定义</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zh-CN"/>
        </w:rPr>
        <w:t>“采购组织机构”指采购人委托组织招标的采购代理机构。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2、采购人：是指委托采购代理机构采购本次项目的国家机关、事业单位和团体组织。</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3、投标人：是指向采购</w:t>
      </w:r>
      <w:r>
        <w:rPr>
          <w:rFonts w:hint="eastAsia" w:ascii="宋体" w:hAnsi="宋体" w:cs="宋体"/>
          <w:color w:val="auto"/>
          <w:sz w:val="24"/>
          <w:szCs w:val="32"/>
          <w:highlight w:val="none"/>
          <w:lang w:val="zh-CN"/>
        </w:rPr>
        <w:t>组织</w:t>
      </w:r>
      <w:r>
        <w:rPr>
          <w:rFonts w:hint="eastAsia" w:ascii="宋体" w:hAnsi="宋体" w:cs="宋体"/>
          <w:color w:val="auto"/>
          <w:sz w:val="24"/>
          <w:szCs w:val="32"/>
          <w:highlight w:val="none"/>
        </w:rPr>
        <w:t>机构提交投标文件的单位或个人。</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4、货物：是指各种形态和种类的物品，包括原材料、燃料、设备、产品等。</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5、服务：是指除货物和工程以外的政府采购对象，包括各类专业服务、信息网络开发服务、金融保险服务、运输服务，以及维修与维护服务等。</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6、“书面形式”包括信函、传真等。</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7、“▲”系指实质性要求条款。</w:t>
      </w:r>
    </w:p>
    <w:p>
      <w:pPr>
        <w:shd w:val="clea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（三）投标费用</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不论投标结果如何，投标人均应自行承担所有与投标有关的全部费用（招标文件有相关规定除外）。</w:t>
      </w:r>
    </w:p>
    <w:p>
      <w:pPr>
        <w:shd w:val="clea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（四）特别说明</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1、投标人投标所使用的资格、信誉、荣誉、业绩与企业认证必须为本法人所拥有。投标人投标所使用的采购项目实施人员必须为本法人员工（指本法人或控股公司正式员工）。</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cs="宋体"/>
          <w:color w:val="auto"/>
          <w:sz w:val="24"/>
          <w:szCs w:val="32"/>
          <w:highlight w:val="none"/>
        </w:rPr>
        <w:tab/>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4、投标人不得相互串通投标报价，不得妨碍其他投标人的公平竞争，不得损害采购人或其他投标人的合法权益，投标人不得以向采购人、评标委员会成员行贿或者采取其他不正当手段谋取中标。</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5、为采购项目提供整体设计、规范编制或者项目管理、监理、检测等服务的供应商，不得再参加该采购项目的其他采购活动。</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6、投标文件格式中的表格式样可以根据项目差别做适当调整，但应当保持表格样式基本形态不变。</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7、单位负责人为同一人或者存在直接控股、管理关系的不同供应商，不得参加同一合同项下的政府采购活动。</w:t>
      </w:r>
    </w:p>
    <w:p>
      <w:pPr>
        <w:shd w:val="clea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二、招标文件</w:t>
      </w:r>
    </w:p>
    <w:p>
      <w:pPr>
        <w:shd w:val="clea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（一）招标文件由招标文件总目录所列内容组成。</w:t>
      </w:r>
    </w:p>
    <w:p>
      <w:pPr>
        <w:shd w:val="clea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（二）招标文件的澄清或修改</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hd w:val="clea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三、投标文件</w:t>
      </w:r>
    </w:p>
    <w:p>
      <w:pPr>
        <w:shd w:val="clea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lang w:val="zh-CN"/>
        </w:rPr>
        <w:t>（一）</w:t>
      </w:r>
      <w:r>
        <w:rPr>
          <w:rFonts w:hint="eastAsia" w:ascii="宋体" w:hAnsi="宋体" w:cs="宋体"/>
          <w:b/>
          <w:bCs/>
          <w:color w:val="auto"/>
          <w:sz w:val="24"/>
          <w:szCs w:val="32"/>
          <w:highlight w:val="none"/>
        </w:rPr>
        <w:t>投标文件的组成</w:t>
      </w:r>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投标人接到招标文件后，按照采购组织机构的要求提供：资格证明文件、商务与技术文件和报价文件。【特别提示：如有要求提供资料原件的，原件另行包装，并与投标文件一起提交，投标截止时间后所有原件不予接收。资料原件也可以用与原件相符的公证原件替代</w:t>
      </w:r>
      <w:r>
        <w:rPr>
          <w:rFonts w:hint="eastAsia" w:ascii="宋体" w:hAnsi="宋体" w:cs="宋体"/>
          <w:color w:val="auto"/>
          <w:sz w:val="24"/>
          <w:szCs w:val="32"/>
          <w:highlight w:val="none"/>
          <w:lang w:val="zh-CN"/>
        </w:rPr>
        <w:t>】</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资格及商务技术文件由资格证明文件、商务与技术文件两部分内容组成。</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1、资格证明文件的组成：</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（1）投标声明书（附件2）；</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（2）授权委托书（附件3）；（法定代表人（单位负责人）亲自办理投标事宜的，则无需提交）；</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（3）法人或者其他组织的营业执照等证明文件，自然人的身份证明；</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（4）具备健全的财务会计制度的承诺函（附件4）；</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（5）提供采购公告中符合供应商特定条件的有效资质证书复印件（如有则提供），以及需要说明的其他资料。</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2、商务与技术文件的组成：</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（1）投标人情况介绍（附件5）；</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（2）投标人案描述：</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B.项目组织实施方案（包括项目工期、确保项目供货的措施或方案、项目实施进度安排、项目实施人员及项目负责人的资质、类似经验及社保证明等）。</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项目实施人员一览表（附件6）</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项目负责人资格情况表(附件7) </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C.安装、调试及验收方案（包括项目验收标准和验收方法等）和措施。</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（3）投标产品描述及相关资料：</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A.产品清单(附件8）</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B.投标产品技术参数、性能特点以及所遵循的技术规范等内容。</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（4）投标产品相应检测报告；</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（5）投标产品主体列入节能产品证明资料、投标产品主体列入环境标志产品证明资料（如有）；</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（6）技术需求响应表（附件9）；</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（7）证书一览表（附件10）；</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（8）投标人类似项目实施情况一览表（附件11）；</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（9）商务需求响应表（附件12）；</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（10）售后服务情况表（附件13）；</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（11）投标人需要说明的其他内容。（包括可能影响投标人商务与技术文件评分的各类证明材料）</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3、报价文件的组成</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（1）报价文件由开标一览表、报价明细表、中小企业等声明函（不符合中小企业要求的无需提供）以及投标人认为其他需要说明的内容组成。</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（2）此报价为投标人一次性报出唯一的最终价格，包含其它一切所要涉及到的费用，有选择的报价将被拒绝。</w:t>
      </w:r>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3</w:t>
      </w:r>
      <w:r>
        <w:rPr>
          <w:rFonts w:hint="eastAsia" w:ascii="宋体" w:hAnsi="宋体" w:cs="宋体"/>
          <w:color w:val="auto"/>
          <w:sz w:val="24"/>
          <w:szCs w:val="32"/>
          <w:highlight w:val="none"/>
          <w:lang w:val="zh-CN"/>
        </w:rPr>
        <w:t>）投标报价是包括货款、包装、运输、装卸、保险、税金、货到就位以及合同包含的所有风险责任等各项费用及不可预见费等所需的全部费用，全部费用已包含在开标一览表的投标总报价中。</w:t>
      </w:r>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政府采购优惠政策相关资料（如有）。</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（5）相关报价单需打印或用不褪色的墨水填写， 投标报价单不得涂改和增删，如有错漏必须修改，修改处须由同一签署人签字或盖章。由于字迹模糊或表达不清引起的后果由投标人负责。</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（6）投标报价应按招标文件中相关附表格式填写。</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（二）投标文件的制作及递交要求</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1、投标文件的制作要求</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（1）投标人应按照投标文件组成内容及项目招标需求制作投标文件，不按招标文件要求制作投标文件的将视情处理（拒收、扣分等），由此产生的责任由投标人自行承担。</w:t>
      </w:r>
    </w:p>
    <w:p>
      <w:pPr>
        <w:shd w:val="clea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（2）投标人应对所提供的全部资料的真实性承担法律责任，</w:t>
      </w:r>
      <w:r>
        <w:rPr>
          <w:rFonts w:hint="eastAsia" w:ascii="宋体" w:hAnsi="宋体" w:cs="宋体"/>
          <w:color w:val="auto"/>
          <w:sz w:val="24"/>
          <w:szCs w:val="24"/>
          <w:highlight w:val="none"/>
          <w:lang w:val="zh-CN"/>
        </w:rPr>
        <w:t>投标文件内容中有要求盖章或签字的地方，必须加盖投标人的公章以及法定代表人（单位负责人）或授权委托代理人盖章或签字。</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rPr>
        <w:t>3</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rPr>
        <w:t>投标文件以及投标人与采购组织机构就有关投标事宜的所有来往函电，均应以中文汉语书写。除签字、盖章、专用名称等特殊情形外，以中文汉语以外的文字表述的投标文件视同未提供。</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（4）投标计量单位，招标文件已有明确规定的，使用招标文件规定的计量单位；招标文件没有规定的，应采用中华人民共和国法定计量单位（货币单位：人民币元）。</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（5）若投标人不按招标文件的要求提供资格审查材料，其风险由投标人自行承担。</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（6）与本次投标无关的内容请不要制作在内，确保投标文件有针对性、简洁明了。</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（7）招标文件提供的投标文件格式投标人应按要求填写，格式中每一空白都需填写，确保填写无遗漏，无空缺。</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2、投标文件的编制</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本项目实行电子投标，</w:t>
      </w:r>
      <w:r>
        <w:rPr>
          <w:rFonts w:hint="eastAsia" w:ascii="宋体" w:hAnsi="宋体" w:cs="宋体"/>
          <w:color w:val="auto"/>
          <w:sz w:val="24"/>
          <w:highlight w:val="none"/>
        </w:rPr>
        <w:t>还可以提供以介质存储的数据电文形式的备份投标文件、纸质备份投标文件</w:t>
      </w:r>
      <w:r>
        <w:rPr>
          <w:rFonts w:hint="eastAsia" w:ascii="宋体" w:hAnsi="宋体" w:cs="宋体"/>
          <w:color w:val="auto"/>
          <w:sz w:val="24"/>
          <w:szCs w:val="24"/>
          <w:highlight w:val="none"/>
        </w:rPr>
        <w:t>：</w:t>
      </w:r>
    </w:p>
    <w:p>
      <w:pPr>
        <w:numPr>
          <w:ilvl w:val="0"/>
          <w:numId w:val="2"/>
        </w:numPr>
        <w:shd w:val="clear"/>
        <w:spacing w:line="360" w:lineRule="auto"/>
        <w:ind w:firstLine="480" w:firstLineChars="200"/>
        <w:rPr>
          <w:rFonts w:ascii="宋体" w:hAnsi="宋体" w:cs="宋体"/>
          <w:color w:val="auto"/>
          <w:sz w:val="24"/>
          <w:szCs w:val="24"/>
          <w:highlight w:val="none"/>
          <w:lang w:val="en-GB"/>
        </w:rPr>
      </w:pPr>
      <w:r>
        <w:rPr>
          <w:rFonts w:hint="eastAsia" w:ascii="宋体" w:hAnsi="宋体" w:cs="宋体"/>
          <w:color w:val="auto"/>
          <w:sz w:val="24"/>
          <w:szCs w:val="24"/>
          <w:highlight w:val="none"/>
        </w:rPr>
        <w:t>按政采云平台项目采购--电子招投标操作指南及本招标文件要求编制。</w:t>
      </w:r>
      <w:r>
        <w:rPr>
          <w:rFonts w:hint="eastAsia" w:ascii="宋体" w:hAnsi="宋体" w:cs="宋体"/>
          <w:color w:val="auto"/>
          <w:sz w:val="24"/>
          <w:szCs w:val="24"/>
          <w:highlight w:val="none"/>
          <w:lang w:val="en-GB"/>
        </w:rPr>
        <w:t>投标人应通过“政采云电子交易客户端”，并按照本招标文件和“政府采购云平台”的要求编制并加密投标文件。</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电子投标文件如内容不完整、编排混乱导致投标文件被误读、漏读，或者在按采购文件规定的部位查找不到相关内容的，由投标人自行承担。</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温馨提醒：CA签章上目前没有法人或授权委托代理人签字信息，需要投标人联系</w:t>
      </w:r>
      <w:r>
        <w:rPr>
          <w:rFonts w:hint="eastAsia" w:ascii="宋体" w:hAnsi="宋体" w:cs="宋体"/>
          <w:b/>
          <w:bCs/>
          <w:color w:val="auto"/>
          <w:sz w:val="24"/>
          <w:szCs w:val="24"/>
          <w:highlight w:val="none"/>
        </w:rPr>
        <w:t>浙江汇信科技有限公司（400-8884636）</w:t>
      </w:r>
      <w:r>
        <w:rPr>
          <w:rFonts w:hint="eastAsia" w:ascii="宋体" w:hAnsi="宋体" w:cs="宋体"/>
          <w:color w:val="auto"/>
          <w:sz w:val="24"/>
          <w:szCs w:val="24"/>
          <w:highlight w:val="none"/>
        </w:rPr>
        <w:t>等相应公司进行办理，或在投标文件中涉及到签字的位置线下签好字然后扫描或者拍照做成PDF的格式亦可。</w:t>
      </w:r>
    </w:p>
    <w:p>
      <w:pPr>
        <w:shd w:val="clear"/>
        <w:spacing w:line="360" w:lineRule="auto"/>
        <w:ind w:firstLine="480" w:firstLineChars="200"/>
        <w:rPr>
          <w:rFonts w:ascii="宋体" w:hAnsi="宋体" w:cs="宋体"/>
          <w:color w:val="auto"/>
          <w:sz w:val="24"/>
          <w:szCs w:val="24"/>
          <w:highlight w:val="none"/>
          <w:lang w:val="en-GB"/>
        </w:rPr>
      </w:pPr>
      <w:r>
        <w:rPr>
          <w:rFonts w:hint="eastAsia" w:ascii="宋体" w:hAnsi="宋体" w:cs="宋体"/>
          <w:color w:val="auto"/>
          <w:sz w:val="24"/>
          <w:szCs w:val="24"/>
          <w:highlight w:val="none"/>
          <w:lang w:val="en-GB"/>
        </w:rPr>
        <w:t>（</w:t>
      </w:r>
      <w:r>
        <w:rPr>
          <w:rFonts w:hint="eastAsia" w:ascii="宋体" w:hAnsi="宋体" w:cs="宋体"/>
          <w:color w:val="auto"/>
          <w:sz w:val="24"/>
          <w:szCs w:val="24"/>
          <w:highlight w:val="none"/>
        </w:rPr>
        <w:t>3</w:t>
      </w:r>
      <w:r>
        <w:rPr>
          <w:rFonts w:hint="eastAsia" w:ascii="宋体" w:hAnsi="宋体" w:cs="宋体"/>
          <w:color w:val="auto"/>
          <w:sz w:val="24"/>
          <w:szCs w:val="24"/>
          <w:highlight w:val="none"/>
          <w:lang w:val="en-GB"/>
        </w:rPr>
        <w:t>）投标人应当按照本章节 “投标文件组成”规定的内容及顺序在“政采云电子交易客户端”编制投标文件。其中《</w:t>
      </w:r>
      <w:r>
        <w:rPr>
          <w:rFonts w:hint="eastAsia" w:ascii="宋体" w:hAnsi="宋体" w:cs="宋体"/>
          <w:color w:val="auto"/>
          <w:sz w:val="24"/>
          <w:szCs w:val="24"/>
          <w:highlight w:val="none"/>
        </w:rPr>
        <w:t>资格证明文件</w:t>
      </w:r>
      <w:r>
        <w:rPr>
          <w:rFonts w:hint="eastAsia" w:ascii="宋体" w:hAnsi="宋体" w:cs="宋体"/>
          <w:color w:val="auto"/>
          <w:sz w:val="24"/>
          <w:szCs w:val="24"/>
          <w:highlight w:val="none"/>
          <w:lang w:val="en-GB"/>
        </w:rPr>
        <w:t>》和《</w:t>
      </w:r>
      <w:r>
        <w:rPr>
          <w:rFonts w:hint="eastAsia" w:ascii="宋体" w:hAnsi="宋体" w:cs="宋体"/>
          <w:color w:val="auto"/>
          <w:sz w:val="24"/>
          <w:szCs w:val="24"/>
          <w:highlight w:val="none"/>
        </w:rPr>
        <w:t>商务技术文件</w:t>
      </w:r>
      <w:r>
        <w:rPr>
          <w:rFonts w:hint="eastAsia" w:ascii="宋体" w:hAnsi="宋体" w:cs="宋体"/>
          <w:color w:val="auto"/>
          <w:sz w:val="24"/>
          <w:szCs w:val="24"/>
          <w:highlight w:val="none"/>
          <w:lang w:val="en-GB"/>
        </w:rPr>
        <w:t>》中不得出现本项目投标报价，如因投标人原因提前泄露投标报价，是投标人的责任。</w:t>
      </w:r>
    </w:p>
    <w:p>
      <w:pPr>
        <w:shd w:val="clear"/>
        <w:spacing w:line="360" w:lineRule="auto"/>
        <w:ind w:firstLine="480" w:firstLineChars="200"/>
        <w:rPr>
          <w:rFonts w:ascii="宋体" w:hAnsi="宋体" w:cs="宋体"/>
          <w:color w:val="auto"/>
          <w:sz w:val="24"/>
          <w:szCs w:val="24"/>
          <w:highlight w:val="none"/>
          <w:lang w:val="en-GB"/>
        </w:rPr>
      </w:pP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rPr>
        <w:t>4</w:t>
      </w:r>
      <w:r>
        <w:rPr>
          <w:rFonts w:hint="eastAsia" w:ascii="宋体" w:hAnsi="宋体" w:cs="宋体"/>
          <w:color w:val="auto"/>
          <w:sz w:val="24"/>
          <w:szCs w:val="24"/>
          <w:highlight w:val="none"/>
          <w:lang w:val="zh-CN"/>
        </w:rPr>
        <w:t>）投标文件分为</w:t>
      </w:r>
      <w:r>
        <w:rPr>
          <w:rFonts w:hint="eastAsia" w:ascii="宋体" w:hAnsi="宋体" w:cs="宋体"/>
          <w:color w:val="auto"/>
          <w:sz w:val="24"/>
          <w:szCs w:val="24"/>
          <w:highlight w:val="none"/>
          <w:lang w:val="en-GB"/>
        </w:rPr>
        <w:t>资格证明文件、商务技术文件、报价文件三部分</w:t>
      </w:r>
      <w:r>
        <w:rPr>
          <w:rFonts w:hint="eastAsia" w:ascii="宋体" w:hAnsi="宋体" w:cs="宋体"/>
          <w:color w:val="auto"/>
          <w:sz w:val="24"/>
          <w:szCs w:val="24"/>
          <w:highlight w:val="none"/>
          <w:lang w:val="zh-CN"/>
        </w:rPr>
        <w:t>。各投标人在编制投标文件时请按照采购文件第六章规定的格式进行，</w:t>
      </w:r>
      <w:r>
        <w:rPr>
          <w:rFonts w:hint="eastAsia" w:ascii="宋体" w:hAnsi="宋体" w:cs="宋体"/>
          <w:color w:val="auto"/>
          <w:sz w:val="24"/>
          <w:szCs w:val="24"/>
          <w:highlight w:val="none"/>
          <w:lang w:val="en-GB"/>
        </w:rPr>
        <w:t>并按格式要求在指定位置根据要求进行签章，否则视为未提供，未提供格式的，请各投标人自行拟定格式，并加盖单位公章并由法定代表人（单位负责人）或其授权委托代理人签署（签字或盖章），否则视为未提供。</w:t>
      </w:r>
    </w:p>
    <w:p>
      <w:pPr>
        <w:shd w:val="clear"/>
        <w:spacing w:line="360" w:lineRule="auto"/>
        <w:ind w:firstLine="480" w:firstLineChars="200"/>
        <w:rPr>
          <w:rFonts w:ascii="宋体" w:hAnsi="宋体" w:cs="宋体"/>
          <w:color w:val="auto"/>
          <w:sz w:val="24"/>
          <w:szCs w:val="24"/>
          <w:highlight w:val="none"/>
          <w:lang w:val="en-GB"/>
        </w:rPr>
      </w:pPr>
      <w:r>
        <w:rPr>
          <w:rFonts w:hint="eastAsia" w:ascii="宋体" w:hAnsi="宋体" w:cs="宋体"/>
          <w:color w:val="auto"/>
          <w:sz w:val="24"/>
          <w:szCs w:val="24"/>
          <w:highlight w:val="none"/>
          <w:lang w:val="en-GB"/>
        </w:rPr>
        <w:t>（</w:t>
      </w:r>
      <w:r>
        <w:rPr>
          <w:rFonts w:hint="eastAsia" w:ascii="宋体" w:hAnsi="宋体" w:cs="宋体"/>
          <w:color w:val="auto"/>
          <w:sz w:val="24"/>
          <w:szCs w:val="24"/>
          <w:highlight w:val="none"/>
        </w:rPr>
        <w:t>5</w:t>
      </w:r>
      <w:r>
        <w:rPr>
          <w:rFonts w:hint="eastAsia" w:ascii="宋体" w:hAnsi="宋体" w:cs="宋体"/>
          <w:color w:val="auto"/>
          <w:sz w:val="24"/>
          <w:szCs w:val="24"/>
          <w:highlight w:val="none"/>
          <w:lang w:val="en-GB"/>
        </w:rPr>
        <w:t>）《投标文件》内容不完整、</w:t>
      </w:r>
      <w:r>
        <w:rPr>
          <w:rFonts w:hint="eastAsia" w:ascii="宋体" w:hAnsi="宋体" w:cs="宋体"/>
          <w:color w:val="auto"/>
          <w:sz w:val="24"/>
          <w:szCs w:val="24"/>
          <w:highlight w:val="none"/>
          <w:lang w:val="zh-CN"/>
        </w:rPr>
        <w:t>混乱的编排导致投标文件被误读或评标委员会查找不到有效文件是投标人的责任。</w:t>
      </w:r>
      <w:r>
        <w:rPr>
          <w:rFonts w:hint="eastAsia" w:ascii="宋体" w:hAnsi="宋体" w:cs="宋体"/>
          <w:color w:val="auto"/>
          <w:sz w:val="24"/>
          <w:szCs w:val="24"/>
          <w:highlight w:val="none"/>
          <w:lang w:val="en-GB"/>
        </w:rPr>
        <w:t>《投标文件》因字迹潦草或表达不清所引起的后果由投标人负责。</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（6）以介质（U盘）存储的数据电文形式的备份投标文件，按政采云平台项目采购-电子招投标操作指南中上传的电子投标文件格式，以U盘形式提供。数量为1份。</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（7）纸质备份投标文件以纸质文件的形式编制，按</w:t>
      </w:r>
      <w:r>
        <w:rPr>
          <w:rFonts w:hint="eastAsia" w:ascii="宋体" w:hAnsi="宋体" w:cs="宋体"/>
          <w:color w:val="auto"/>
          <w:sz w:val="24"/>
          <w:szCs w:val="24"/>
          <w:highlight w:val="none"/>
          <w:lang w:val="zh-CN"/>
        </w:rPr>
        <w:t>资格证明文件、商务技术文件、报价文件三部分</w:t>
      </w:r>
      <w:r>
        <w:rPr>
          <w:rFonts w:hint="eastAsia" w:ascii="宋体" w:hAnsi="宋体" w:cs="宋体"/>
          <w:color w:val="auto"/>
          <w:sz w:val="24"/>
          <w:szCs w:val="24"/>
          <w:highlight w:val="none"/>
        </w:rPr>
        <w:t>分别编制并单独装订成册，</w:t>
      </w:r>
      <w:r>
        <w:rPr>
          <w:rFonts w:hint="eastAsia" w:ascii="宋体" w:hAnsi="宋体" w:cs="宋体"/>
          <w:b/>
          <w:bCs/>
          <w:color w:val="auto"/>
          <w:sz w:val="24"/>
          <w:szCs w:val="24"/>
          <w:highlight w:val="none"/>
        </w:rPr>
        <w:t>数量均为2份（一正一副）</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资格证明文件、商务技术文件、报价文件三部分</w:t>
      </w:r>
      <w:r>
        <w:rPr>
          <w:rFonts w:hint="eastAsia" w:ascii="宋体" w:hAnsi="宋体" w:cs="宋体"/>
          <w:color w:val="auto"/>
          <w:sz w:val="24"/>
          <w:szCs w:val="24"/>
          <w:highlight w:val="none"/>
        </w:rPr>
        <w:t>须分别密封封装，</w:t>
      </w:r>
      <w:r>
        <w:rPr>
          <w:rFonts w:hint="eastAsia" w:ascii="宋体" w:hAnsi="宋体" w:cs="宋体"/>
          <w:color w:val="auto"/>
          <w:sz w:val="24"/>
          <w:szCs w:val="24"/>
          <w:highlight w:val="none"/>
          <w:lang w:val="zh-CN"/>
        </w:rPr>
        <w:t>资格证明文件、商务技术文件、报价文件三部分</w:t>
      </w:r>
      <w:r>
        <w:rPr>
          <w:rFonts w:hint="eastAsia" w:ascii="宋体" w:hAnsi="宋体" w:cs="宋体"/>
          <w:color w:val="auto"/>
          <w:sz w:val="24"/>
          <w:szCs w:val="24"/>
          <w:highlight w:val="none"/>
        </w:rPr>
        <w:t>未分别密封的投标文件将为无效。除报价文件外其余一律不准出现数字报价。如有不同标段，请按标段号分别装订，密封要求同上。</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3、投标文件的递交要求</w:t>
      </w:r>
    </w:p>
    <w:p>
      <w:pPr>
        <w:shd w:val="clear"/>
        <w:spacing w:line="360" w:lineRule="auto"/>
        <w:ind w:firstLine="480" w:firstLineChars="200"/>
        <w:rPr>
          <w:rFonts w:ascii="宋体" w:hAnsi="宋体" w:cs="宋体"/>
          <w:color w:val="auto"/>
          <w:sz w:val="24"/>
          <w:szCs w:val="24"/>
          <w:highlight w:val="none"/>
          <w:lang w:val="en-GB"/>
        </w:rPr>
      </w:pPr>
      <w:r>
        <w:rPr>
          <w:rFonts w:hint="eastAsia" w:ascii="宋体" w:hAnsi="宋体" w:cs="宋体"/>
          <w:color w:val="auto"/>
          <w:sz w:val="24"/>
          <w:szCs w:val="24"/>
          <w:highlight w:val="none"/>
          <w:lang w:val="en-GB"/>
        </w:rPr>
        <w:t>（</w:t>
      </w: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GB"/>
        </w:rPr>
        <w:t>）“投标文件”的上传、递交：见《前附表》。未传输递交电子投标文件的，投标无效。</w:t>
      </w:r>
    </w:p>
    <w:p>
      <w:pPr>
        <w:shd w:val="clea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24"/>
          <w:highlight w:val="none"/>
        </w:rPr>
        <w:t>（2）</w:t>
      </w:r>
      <w:r>
        <w:rPr>
          <w:rFonts w:hint="eastAsia" w:ascii="宋体" w:hAnsi="宋体" w:cs="宋体"/>
          <w:color w:val="auto"/>
          <w:sz w:val="24"/>
          <w:szCs w:val="32"/>
          <w:highlight w:val="none"/>
          <w:lang w:val="en-GB"/>
        </w:rPr>
        <w:t>投标人还可以在投标截止时间将以介质存储的数据电文形式的备份投标文件和纸质备份投标文件分别密封送交到招标公告规定的投标地点。未按规定提供相应的备份投标文件，如电子备份文件无法正常启用，造成项目开评标活动无法进行下去的，投标无效。采购机构将拒绝接受逾期送达的投标文件。</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（3）如有特殊情况，采购组织机构延长截止时间和开标时间，采购组织机构和投标人的权利和义务将受到新的截止时间和开标时间的约束。</w:t>
      </w:r>
    </w:p>
    <w:p>
      <w:pPr>
        <w:shd w:val="clear"/>
        <w:spacing w:line="360" w:lineRule="auto"/>
        <w:ind w:firstLine="480" w:firstLineChars="200"/>
        <w:rPr>
          <w:rFonts w:ascii="宋体" w:hAnsi="宋体" w:cs="宋体"/>
          <w:color w:val="auto"/>
          <w:sz w:val="24"/>
          <w:szCs w:val="24"/>
          <w:highlight w:val="none"/>
          <w:lang w:val="en-GB"/>
        </w:rPr>
      </w:pPr>
      <w:r>
        <w:rPr>
          <w:rFonts w:hint="eastAsia" w:ascii="宋体" w:hAnsi="宋体" w:cs="宋体"/>
          <w:color w:val="auto"/>
          <w:sz w:val="24"/>
          <w:szCs w:val="24"/>
          <w:highlight w:val="none"/>
          <w:lang w:val="en-GB"/>
        </w:rPr>
        <w:t>（</w:t>
      </w:r>
      <w:r>
        <w:rPr>
          <w:rFonts w:hint="eastAsia" w:ascii="宋体" w:hAnsi="宋体" w:cs="宋体"/>
          <w:color w:val="auto"/>
          <w:sz w:val="24"/>
          <w:szCs w:val="24"/>
          <w:highlight w:val="none"/>
        </w:rPr>
        <w:t>4</w:t>
      </w:r>
      <w:r>
        <w:rPr>
          <w:rFonts w:hint="eastAsia" w:ascii="宋体" w:hAnsi="宋体" w:cs="宋体"/>
          <w:color w:val="auto"/>
          <w:sz w:val="24"/>
          <w:szCs w:val="24"/>
          <w:highlight w:val="none"/>
          <w:lang w:val="en-GB"/>
        </w:rPr>
        <w:t>）投标文件的备选方案</w:t>
      </w:r>
    </w:p>
    <w:p>
      <w:pPr>
        <w:shd w:val="clear"/>
        <w:spacing w:line="360" w:lineRule="auto"/>
        <w:ind w:firstLine="480" w:firstLineChars="200"/>
        <w:rPr>
          <w:rFonts w:ascii="宋体" w:hAnsi="宋体" w:cs="宋体"/>
          <w:color w:val="auto"/>
          <w:sz w:val="24"/>
          <w:szCs w:val="24"/>
          <w:highlight w:val="none"/>
          <w:lang w:val="en-GB"/>
        </w:rPr>
      </w:pPr>
      <w:r>
        <w:rPr>
          <w:rFonts w:hint="eastAsia" w:ascii="宋体" w:hAnsi="宋体" w:cs="宋体"/>
          <w:color w:val="auto"/>
          <w:sz w:val="24"/>
          <w:szCs w:val="24"/>
          <w:highlight w:val="none"/>
          <w:lang w:val="en-GB"/>
        </w:rPr>
        <w:t>投标人不得递交任何的投标备选（替代）方案，否则其投标文件将作无效标处理。与“电子加密投标文件”同时生成的“备份投标文件”不是投标备选（替代）方案。</w:t>
      </w:r>
    </w:p>
    <w:p>
      <w:pPr>
        <w:shd w:val="clear"/>
        <w:spacing w:line="360" w:lineRule="auto"/>
        <w:ind w:firstLine="482" w:firstLineChars="200"/>
        <w:rPr>
          <w:rFonts w:ascii="宋体" w:hAnsi="宋体" w:cs="宋体"/>
          <w:b/>
          <w:bCs/>
          <w:color w:val="auto"/>
          <w:sz w:val="24"/>
          <w:szCs w:val="24"/>
          <w:highlight w:val="none"/>
          <w:lang w:val="en-GB"/>
        </w:rPr>
      </w:pPr>
      <w:r>
        <w:rPr>
          <w:rFonts w:hint="eastAsia" w:ascii="宋体" w:hAnsi="宋体" w:cs="宋体"/>
          <w:b/>
          <w:bCs/>
          <w:color w:val="auto"/>
          <w:sz w:val="24"/>
          <w:szCs w:val="24"/>
          <w:highlight w:val="none"/>
        </w:rPr>
        <w:t>4、</w:t>
      </w:r>
      <w:r>
        <w:rPr>
          <w:rFonts w:hint="eastAsia" w:ascii="宋体" w:hAnsi="宋体" w:cs="宋体"/>
          <w:b/>
          <w:bCs/>
          <w:color w:val="auto"/>
          <w:sz w:val="24"/>
          <w:szCs w:val="24"/>
          <w:highlight w:val="none"/>
          <w:lang w:val="en-GB"/>
        </w:rPr>
        <w:t>投标文件的补充、修改、撤回</w:t>
      </w:r>
    </w:p>
    <w:p>
      <w:pPr>
        <w:shd w:val="clea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w:t>
      </w: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投标人应当在投标截止时间前完成电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hd w:val="clea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w:t>
      </w:r>
      <w:r>
        <w:rPr>
          <w:rFonts w:hint="eastAsia" w:ascii="宋体" w:hAnsi="宋体" w:cs="宋体"/>
          <w:color w:val="auto"/>
          <w:sz w:val="24"/>
          <w:szCs w:val="32"/>
          <w:highlight w:val="none"/>
        </w:rPr>
        <w:t>2</w:t>
      </w:r>
      <w:r>
        <w:rPr>
          <w:rFonts w:hint="eastAsia" w:ascii="宋体" w:hAnsi="宋体" w:cs="宋体"/>
          <w:color w:val="auto"/>
          <w:sz w:val="24"/>
          <w:szCs w:val="32"/>
          <w:highlight w:val="none"/>
          <w:lang w:val="en-GB"/>
        </w:rPr>
        <w:t>）投标截止时间后，投标</w:t>
      </w:r>
      <w:r>
        <w:rPr>
          <w:rFonts w:hint="eastAsia" w:ascii="宋体" w:hAnsi="宋体" w:cs="宋体"/>
          <w:color w:val="auto"/>
          <w:sz w:val="24"/>
          <w:szCs w:val="32"/>
          <w:highlight w:val="none"/>
        </w:rPr>
        <w:t>人</w:t>
      </w:r>
      <w:r>
        <w:rPr>
          <w:rFonts w:hint="eastAsia" w:ascii="宋体" w:hAnsi="宋体" w:cs="宋体"/>
          <w:color w:val="auto"/>
          <w:sz w:val="24"/>
          <w:szCs w:val="32"/>
          <w:highlight w:val="none"/>
          <w:lang w:val="en-GB"/>
        </w:rPr>
        <w:t>不得撤回、修改投标文件。</w:t>
      </w:r>
    </w:p>
    <w:p>
      <w:pPr>
        <w:shd w:val="clea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val="en-GB"/>
        </w:rPr>
        <w:t>在开标后规定的投标有效期内，投标人不能撤销投标文件。</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（三）投标文件的有效期</w:t>
      </w:r>
    </w:p>
    <w:p>
      <w:pPr>
        <w:shd w:val="clear"/>
        <w:spacing w:line="360" w:lineRule="auto"/>
        <w:ind w:firstLine="480" w:firstLineChars="200"/>
        <w:rPr>
          <w:rFonts w:ascii="宋体" w:hAnsi="宋体" w:cs="宋体"/>
          <w:color w:val="auto"/>
          <w:sz w:val="24"/>
          <w:szCs w:val="24"/>
          <w:highlight w:val="none"/>
          <w:lang w:val="en-GB"/>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GB"/>
        </w:rPr>
        <w:t>自投标截止日起90天投标文件应保持有效。有效期不足的投标文件将被拒绝。</w:t>
      </w:r>
    </w:p>
    <w:p>
      <w:pPr>
        <w:shd w:val="clear"/>
        <w:spacing w:line="360" w:lineRule="auto"/>
        <w:ind w:firstLine="480" w:firstLineChars="200"/>
        <w:rPr>
          <w:rFonts w:ascii="宋体" w:hAnsi="宋体" w:cs="宋体"/>
          <w:color w:val="auto"/>
          <w:sz w:val="24"/>
          <w:szCs w:val="24"/>
          <w:highlight w:val="none"/>
          <w:lang w:val="en-GB"/>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GB"/>
        </w:rPr>
        <w:t>在特殊情况下，采购人可与投标人协商延长投标文件的有效期，这种要求和答复均以书面形式进行。</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3.中标供应商的投标文件自开标之日起至合同履行完毕均应保持有效。</w:t>
      </w:r>
    </w:p>
    <w:p>
      <w:pPr>
        <w:shd w:val="clear"/>
        <w:spacing w:line="360" w:lineRule="auto"/>
        <w:rPr>
          <w:rFonts w:ascii="宋体" w:hAnsi="宋体" w:cs="宋体"/>
          <w:color w:val="auto"/>
          <w:sz w:val="24"/>
          <w:szCs w:val="24"/>
          <w:highlight w:val="none"/>
        </w:rPr>
      </w:pPr>
      <w:r>
        <w:rPr>
          <w:rFonts w:hint="eastAsia" w:ascii="宋体" w:hAnsi="宋体" w:cs="宋体"/>
          <w:b/>
          <w:bCs/>
          <w:color w:val="auto"/>
          <w:kern w:val="0"/>
          <w:sz w:val="24"/>
          <w:szCs w:val="24"/>
          <w:highlight w:val="none"/>
        </w:rPr>
        <w:t>四、</w:t>
      </w:r>
      <w:r>
        <w:rPr>
          <w:rFonts w:hint="eastAsia" w:ascii="宋体" w:hAnsi="宋体" w:cs="宋体"/>
          <w:b/>
          <w:bCs/>
          <w:color w:val="auto"/>
          <w:sz w:val="24"/>
          <w:szCs w:val="24"/>
          <w:highlight w:val="none"/>
        </w:rPr>
        <w:t>开标</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（一）开标事项</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采购组织机构在“招标公告”规定的时间和地点公开开标，本次招标采用先评审商务资格和技术服务方案，后公开并评审报价的办法实施。</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特别说明：如遇政府采购云平台电子化开标或评审程序调整的，按调整后程序执行。</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采购过程中出现以下情形，导致电子交易平台无法正常运行，或者无法保证电子交易的公平、公正和安全时，采购组织机构可中止电子交易活动：</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（1）电子交易平台发生故障而无法登录访问的； </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（2）电子交易平台应用或数据库出现错误，不能进行正常操作的；</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（3）电子交易平台发现严重安全漏洞，有潜在泄密危险的；</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（4）病毒导致不能进行正常操作的；</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（5）其他无法保证电子交易的公平、公正和安全的情况。</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 开标程序：</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1、开标会由招标项目负责人主持，主持人宣布开标会议开始；</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2、主持人介绍参加开标会的人员名单； </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3、主持人宣布评标期间的有关事项，告知应当回避的情形，提请有关人员回避；对投标人进行签到验证。</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4、向各投标人发出电子加密投标文件【开始解密】通知，由投标人按招标文件规定的时间内自行进行投标文件解密。投标文件的制作和解密应使用同一个数字证书，否则将可能解密失败。</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5、采购组织机构点击【开启标书信息】，开启标书成功后进入开标流程。</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w:t>
      </w:r>
      <w:r>
        <w:rPr>
          <w:rFonts w:hint="eastAsia" w:ascii="宋体" w:hAnsi="宋体" w:cs="宋体"/>
          <w:color w:val="auto"/>
          <w:sz w:val="24"/>
          <w:szCs w:val="24"/>
          <w:highlight w:val="none"/>
          <w:lang w:val="zh-CN"/>
        </w:rPr>
        <w:t>资格证明文件和商务技术文件</w:t>
      </w:r>
      <w:r>
        <w:rPr>
          <w:rFonts w:hint="eastAsia" w:ascii="宋体" w:hAnsi="宋体" w:cs="宋体"/>
          <w:color w:val="auto"/>
          <w:sz w:val="24"/>
          <w:szCs w:val="24"/>
          <w:highlight w:val="none"/>
        </w:rPr>
        <w:t>评审；</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7、由主持人公布无效投标的投标人名单、投标无效的原因及其他有效投标的评分汇总分；</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8、开启报价响应文件：采购代理机构成功开启报价响应文件后，方可查看各供应商报价情况。</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9、报价文件评审；</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10、由主持人公布无效投标的投标人名单、投标无效的原因及其他有效投标的报价文件得分；</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11、宣布综合得分结果及中标候选人名单；</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12、开标会议结束。</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五、评标</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本项目采用电子评审方法，评标的依据为招标文件和投标文件。</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（一）组建评标委员会</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评标委员会由采购人代表和评审专家组成，成员人数为5人以上单数，其中评审专家不得少于成员总数的三分之二。</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（二）评标程序</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1、资格审查</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投标文件解密结束后，采购人或者采购组织机构应当依法对投标人的资格进行审查，对审查发现无效的进行必要的询标，结束后公布无效投标的投标人名单、投标无效的原因。</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2、符合性审查</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3、综合比较与评价</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（1）对于投标文件中含义不明确、同类问题表述不一致或者有明显文字和计算错误的内容，评标委员会应当以书面形式要求投标人作出必要的澄清、说明或者补正。</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（2）评标委员会应当按照招标文件中规定的评标方法和标准，对符合性审查合格的投标文件进行商务和技术评估，综合比较与评价。</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（3）评标时，评标委员会各成员应当独立对每个投标人的投标文件进行评价，并汇总每个投标人的得分。</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4、得分确认及评审报告编写</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（1）评标委员会对报价文件进行复核，对于系统计算出的价格分及总得分进行确认；</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（2）评标委员会应当按照招标文件中规定的评标方法和标准，对符合性审查合格的投标文件进行商务和技术评估，综合比较与评价。</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（3）评标委员会按评标原则及得分情况编写评审报告。</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5、评价</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采购组织机构对评标委员会评审专家进行评价。</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（三）澄清问题的形式</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投标人的澄清、说明或者补正应当采用书面形式，并加盖公章，或者由法定代理人或其授权委托代理人签字，并不得超出投标文件的范围或者改变投标文件的实质性内容。</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（四）错误修正</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投标文件报价出现前后不一致的，除招标文件另有规定外，按照下列规定修正：</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文件中开标一览表（报价表）内容与投标文件中相应内容不一致的，以开标一览表（报价表）为准；政采云平台客户端里开标一览表录入的投标报价信息与扫描上传的报价响应文件中开标一览表的报价信息不一致的，以扫描上传的报价响应文件中开标一览表的报价信息为准，修正政采云平台上的报价信息；</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2、大写金额和小写金额不一致的，以大写金额为准；</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3、单价金额小数点或者百分比有明显错位的，以开标一览表的总价为准，并修改单价；</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4、总价金额与按单价汇总金额不一致的，以单价金额计算结果为准。</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同时出现两种以上不一致的，按照前款规定的顺序修正。修正应当采用书面形式，并加盖公章，或者由法定代表人（单位负责人）或其授权委托代理人签字。修正后的报价经投标人确认后产生约束力，投标人不确认的，其投标无效。</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（五）投标人存在下列情况之一的，投标无效：</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1、电子投标文件及纸质备份投标文件在指定页面无法定代表人（单位负责人）盖章或签字、未在指定页面盖公章、在指定页面无被授权委托代理人签字或未提供法定代表人（单位负责人）授权委托书。</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zh-CN"/>
        </w:rPr>
        <w:t>资格证明文件、商务技术文件</w:t>
      </w:r>
      <w:r>
        <w:rPr>
          <w:rFonts w:hint="eastAsia" w:ascii="宋体" w:hAnsi="宋体" w:cs="宋体"/>
          <w:color w:val="auto"/>
          <w:sz w:val="24"/>
          <w:szCs w:val="24"/>
          <w:highlight w:val="none"/>
        </w:rPr>
        <w:t>跟报价文件出现混装或在</w:t>
      </w:r>
      <w:r>
        <w:rPr>
          <w:rFonts w:hint="eastAsia" w:ascii="宋体" w:hAnsi="宋体" w:cs="宋体"/>
          <w:color w:val="auto"/>
          <w:sz w:val="24"/>
          <w:szCs w:val="24"/>
          <w:highlight w:val="none"/>
          <w:lang w:val="zh-CN"/>
        </w:rPr>
        <w:t>资格证明文件、商务技术文件</w:t>
      </w:r>
      <w:r>
        <w:rPr>
          <w:rFonts w:hint="eastAsia" w:ascii="宋体" w:hAnsi="宋体" w:cs="宋体"/>
          <w:color w:val="auto"/>
          <w:sz w:val="24"/>
          <w:szCs w:val="24"/>
          <w:highlight w:val="none"/>
        </w:rPr>
        <w:t>中出现投标报价的，或者报价文件中报价的货物跟</w:t>
      </w:r>
      <w:r>
        <w:rPr>
          <w:rFonts w:hint="eastAsia" w:ascii="宋体" w:hAnsi="宋体" w:cs="宋体"/>
          <w:color w:val="auto"/>
          <w:sz w:val="24"/>
          <w:szCs w:val="24"/>
          <w:highlight w:val="none"/>
          <w:lang w:val="zh-CN"/>
        </w:rPr>
        <w:t>资格证明文件、商务技术文件</w:t>
      </w:r>
      <w:r>
        <w:rPr>
          <w:rFonts w:hint="eastAsia" w:ascii="宋体" w:hAnsi="宋体" w:cs="宋体"/>
          <w:color w:val="auto"/>
          <w:sz w:val="24"/>
          <w:szCs w:val="24"/>
          <w:highlight w:val="none"/>
        </w:rPr>
        <w:t>中的投标货物出现重大偏差的。</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3、不具备招标文件中规定的资格要求的。</w:t>
      </w:r>
      <w:r>
        <w:rPr>
          <w:rFonts w:hint="eastAsia" w:ascii="宋体" w:hAnsi="宋体" w:cs="宋体"/>
          <w:color w:val="auto"/>
          <w:sz w:val="24"/>
          <w:szCs w:val="24"/>
          <w:highlight w:val="none"/>
        </w:rPr>
        <w:tab/>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4、投标文件含有采购人不能接受的附加条件的。</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5、授权委托代理人未能出具身份证明或与法定代表人（单位负责人）授权委托代理人身份不符的。</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7、报价超过招标文件中规定的预算金额/最高限价。</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8、投标参数未如实填写，完全复制粘贴招标参数的。</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9、投标文件提供虚假材料的。</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10、不符合中华人民共和国财政部令第87号《政府采购货物和服务招标投标管理办法》第三十七条情形之一的，视为投标人串通投标，其投标无效，并移送采购监管部门：</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（1）不同投标人的投标文件由同一单位或者个人编制；不同投标人的投标文件，由同一台电脑编制；</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（2）不同投标人委托同一单位或者个人办理投标事宜；</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（3）不同投标人的投标文件载明的项目管理成员或者联系人员为同一人；</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（4）不同投标人的投标文件异常一致或者投标报价呈规律性差异；</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（5）不同投标人的投标文件相互混装。</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11、不符合法律、法规和招标文件中规定的其他实质性要求的（招标文件中打“▲”内容及被拒绝的条款）。</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12、未传输递交电子投标文件的或者未按规定提供相应的备份投标文件，造成项目开评标活动无法进行下去的。</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（六）有下列情况之一的，本次招标作为废标处理：</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1、出现影响采购公正的违法、违规行为的；</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2、评标委员会发现招标文件存在歧义、重大缺陷导致评标工作无法进行，或者招标文件内容违反国家有关强制性规定的； </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3、因重大变故，采购任务取消的；</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4、法律、法规和招标文件规定的其他导致评标结果无效的。</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（七）评标原则和评标办法</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2、评标办法。具体评标内容及评分标准等详见《第三章 评标办法及评分标准》。</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（八）评标过程的监控</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本项目评标过程实行全程录音、录像监控，政府采购监管部门视情进行现场监督，投标人在评标过程中所进行的试图影响评标结果的不公正活动，可能导致其投标被拒绝。</w:t>
      </w:r>
    </w:p>
    <w:p>
      <w:pPr>
        <w:shd w:val="clea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六、定标</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确定中标人。评标委员会根据采购人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发布中标结果公告。中标结果将自中标人确定之日起2个工作日内在省级以上财政部门指定的媒体及相关网站公告。如发现中标人资格无效或其放弃中标资格，则按本次评标供应商得分排序结果依次替补或重新组织。</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3、发出中标通知书。采购组织机构在发布中标结果的同时，向中标人发出中标通知书。</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中标人在中标公告发出5日内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5、招标代理费：按照《国家发展改革委关于 进一步放开建设项目专业服务价格的通知》（发改价格2015 299号）执行，按中标金额的1.</w:t>
      </w:r>
      <w:r>
        <w:rPr>
          <w:rFonts w:hint="eastAsia" w:ascii="宋体" w:hAnsi="宋体" w:cs="宋体"/>
          <w:color w:val="auto"/>
          <w:sz w:val="24"/>
          <w:szCs w:val="32"/>
          <w:highlight w:val="none"/>
          <w:lang w:val="en-US" w:eastAsia="zh-CN"/>
        </w:rPr>
        <w:t>5</w:t>
      </w:r>
      <w:r>
        <w:rPr>
          <w:rFonts w:hint="eastAsia" w:ascii="宋体" w:hAnsi="宋体" w:cs="宋体"/>
          <w:color w:val="auto"/>
          <w:sz w:val="24"/>
          <w:szCs w:val="32"/>
          <w:highlight w:val="none"/>
        </w:rPr>
        <w:t>%向中标人收取，该费用中标人须在中标公告发出5日内一次性付清。（户名：浙江五石中正工程咨询有限公司；账号：1202003209900014176；开户银行：中国工商银行杭州潮王路支行）,财务联系电话：0571-88271625。</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七、合同签订及公告</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（一）签订合同</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1、采购人应当自中标通知书发出之日起30天内，按照招标文件和中标供应商投标文件的规定，与中标供应商签订书面合同。所签订的合同不得对招标文件确定的事项和中标供应商投标文件作实质性修改。</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2、中标供应商无故拖延、拒签合同的，取消中标资格。</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4、询问或者质疑事项可能影响中标结果的，采购人应当暂停签订合同，已经签订合同的，应当中止履行合同（中标结果的质疑期为中标结果公告期限届满之日起七个工作日）。</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（二）合同公告及备案</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1、采购人应当自政府采购合同签订之日起2个工作日内，在省级以上财政部门指定的政府采购信息发布媒体及相关网站上公告。</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2、采购人应当自政府采购合同签订之日起7个工作日内，将政府采购合同副本报同级人民政府财政部门备案以及采购组织机构存档。</w:t>
      </w: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jc w:val="center"/>
        <w:rPr>
          <w:rFonts w:ascii="宋体" w:hAnsi="宋体" w:cs="宋体"/>
          <w:b/>
          <w:bCs/>
          <w:color w:val="auto"/>
          <w:sz w:val="36"/>
          <w:szCs w:val="36"/>
          <w:highlight w:val="none"/>
        </w:rPr>
      </w:pPr>
    </w:p>
    <w:p>
      <w:pPr>
        <w:shd w:val="clear"/>
        <w:spacing w:line="360" w:lineRule="auto"/>
        <w:jc w:val="center"/>
        <w:rPr>
          <w:rFonts w:ascii="宋体" w:hAnsi="宋体" w:cs="宋体"/>
          <w:b/>
          <w:bCs/>
          <w:color w:val="auto"/>
          <w:sz w:val="36"/>
          <w:szCs w:val="36"/>
          <w:highlight w:val="none"/>
        </w:rPr>
      </w:pPr>
    </w:p>
    <w:p>
      <w:pPr>
        <w:shd w:val="clear"/>
        <w:spacing w:line="360" w:lineRule="auto"/>
        <w:jc w:val="center"/>
        <w:rPr>
          <w:rFonts w:ascii="宋体" w:hAnsi="宋体" w:cs="宋体"/>
          <w:b/>
          <w:bCs/>
          <w:color w:val="auto"/>
          <w:sz w:val="36"/>
          <w:szCs w:val="36"/>
          <w:highlight w:val="none"/>
        </w:rPr>
      </w:pPr>
    </w:p>
    <w:p>
      <w:pPr>
        <w:shd w:val="clear"/>
        <w:spacing w:line="360" w:lineRule="auto"/>
        <w:jc w:val="center"/>
        <w:rPr>
          <w:rFonts w:ascii="宋体" w:hAnsi="宋体" w:cs="宋体"/>
          <w:b/>
          <w:bCs/>
          <w:color w:val="auto"/>
          <w:sz w:val="36"/>
          <w:szCs w:val="36"/>
          <w:highlight w:val="none"/>
        </w:rPr>
      </w:pPr>
    </w:p>
    <w:p>
      <w:pPr>
        <w:shd w:val="clear"/>
        <w:spacing w:line="360" w:lineRule="auto"/>
        <w:jc w:val="center"/>
        <w:rPr>
          <w:rFonts w:ascii="宋体" w:hAnsi="宋体" w:cs="宋体"/>
          <w:b/>
          <w:bCs/>
          <w:color w:val="auto"/>
          <w:sz w:val="36"/>
          <w:szCs w:val="36"/>
          <w:highlight w:val="none"/>
        </w:rPr>
      </w:pPr>
    </w:p>
    <w:p>
      <w:pPr>
        <w:shd w:val="clear"/>
        <w:spacing w:line="360" w:lineRule="auto"/>
        <w:jc w:val="center"/>
        <w:rPr>
          <w:rFonts w:ascii="宋体" w:hAnsi="宋体" w:cs="宋体"/>
          <w:b/>
          <w:bCs/>
          <w:color w:val="auto"/>
          <w:sz w:val="36"/>
          <w:szCs w:val="36"/>
          <w:highlight w:val="none"/>
        </w:rPr>
      </w:pPr>
    </w:p>
    <w:p>
      <w:pPr>
        <w:shd w:val="clear"/>
        <w:spacing w:line="360" w:lineRule="auto"/>
        <w:jc w:val="center"/>
        <w:rPr>
          <w:rFonts w:ascii="宋体" w:hAnsi="宋体" w:cs="宋体"/>
          <w:b/>
          <w:bCs/>
          <w:color w:val="auto"/>
          <w:sz w:val="36"/>
          <w:szCs w:val="36"/>
          <w:highlight w:val="none"/>
        </w:rPr>
      </w:pPr>
    </w:p>
    <w:p>
      <w:pPr>
        <w:shd w:val="clear"/>
        <w:spacing w:line="360" w:lineRule="auto"/>
        <w:jc w:val="center"/>
        <w:rPr>
          <w:rFonts w:ascii="宋体" w:hAnsi="宋体" w:cs="宋体"/>
          <w:b/>
          <w:bCs/>
          <w:color w:val="auto"/>
          <w:sz w:val="36"/>
          <w:szCs w:val="36"/>
          <w:highlight w:val="none"/>
        </w:rPr>
      </w:pPr>
    </w:p>
    <w:p>
      <w:pPr>
        <w:shd w:val="clear"/>
        <w:spacing w:line="360" w:lineRule="auto"/>
        <w:jc w:val="center"/>
        <w:rPr>
          <w:rFonts w:ascii="宋体" w:hAnsi="宋体" w:cs="宋体"/>
          <w:b/>
          <w:bCs/>
          <w:color w:val="auto"/>
          <w:sz w:val="36"/>
          <w:szCs w:val="36"/>
          <w:highlight w:val="none"/>
        </w:rPr>
      </w:pPr>
    </w:p>
    <w:p>
      <w:pPr>
        <w:shd w:val="clear"/>
        <w:spacing w:line="360" w:lineRule="auto"/>
        <w:jc w:val="center"/>
        <w:rPr>
          <w:rFonts w:ascii="宋体" w:hAnsi="宋体" w:cs="宋体"/>
          <w:b/>
          <w:bCs/>
          <w:color w:val="auto"/>
          <w:sz w:val="36"/>
          <w:szCs w:val="36"/>
          <w:highlight w:val="none"/>
        </w:rPr>
      </w:pPr>
    </w:p>
    <w:p>
      <w:pPr>
        <w:shd w:val="clear"/>
        <w:spacing w:line="360" w:lineRule="auto"/>
        <w:jc w:val="center"/>
        <w:rPr>
          <w:rFonts w:ascii="宋体" w:hAnsi="宋体" w:cs="宋体"/>
          <w:b/>
          <w:bCs/>
          <w:color w:val="auto"/>
          <w:sz w:val="36"/>
          <w:szCs w:val="36"/>
          <w:highlight w:val="none"/>
        </w:rPr>
      </w:pPr>
    </w:p>
    <w:p>
      <w:pPr>
        <w:shd w:val="clear"/>
        <w:spacing w:line="360" w:lineRule="auto"/>
        <w:jc w:val="center"/>
        <w:rPr>
          <w:rFonts w:ascii="宋体" w:hAnsi="宋体" w:cs="宋体"/>
          <w:b/>
          <w:bCs/>
          <w:color w:val="auto"/>
          <w:sz w:val="36"/>
          <w:szCs w:val="36"/>
          <w:highlight w:val="none"/>
        </w:rPr>
      </w:pPr>
    </w:p>
    <w:p>
      <w:pPr>
        <w:shd w:val="clear"/>
        <w:spacing w:line="360" w:lineRule="auto"/>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第三章 评标办法及评分标准</w:t>
      </w:r>
    </w:p>
    <w:p>
      <w:pPr>
        <w:shd w:val="clear"/>
        <w:autoSpaceDE w:val="0"/>
        <w:autoSpaceDN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一、采购组织机构将组织评标委员会，对投标人提供的投标文件进行综合评审。</w:t>
      </w:r>
    </w:p>
    <w:p>
      <w:pPr>
        <w:shd w:val="clear"/>
        <w:autoSpaceDE w:val="0"/>
        <w:autoSpaceDN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二、本次招标项目的评标方法为综合评分法，总计100分，其中资格及</w:t>
      </w:r>
      <w:r>
        <w:rPr>
          <w:rFonts w:hint="eastAsia" w:ascii="宋体" w:hAnsi="宋体" w:cs="宋体"/>
          <w:color w:val="auto"/>
          <w:kern w:val="0"/>
          <w:sz w:val="24"/>
          <w:highlight w:val="none"/>
          <w:lang w:val="zh-CN"/>
        </w:rPr>
        <w:t>商务技术文件分值</w:t>
      </w:r>
      <w:r>
        <w:rPr>
          <w:rFonts w:hint="eastAsia" w:ascii="宋体" w:hAnsi="宋体" w:cs="宋体"/>
          <w:color w:val="auto"/>
          <w:kern w:val="0"/>
          <w:sz w:val="24"/>
          <w:highlight w:val="none"/>
        </w:rPr>
        <w:t>70</w:t>
      </w:r>
      <w:r>
        <w:rPr>
          <w:rFonts w:hint="eastAsia" w:ascii="宋体" w:hAnsi="宋体" w:cs="宋体"/>
          <w:color w:val="auto"/>
          <w:kern w:val="0"/>
          <w:sz w:val="24"/>
          <w:highlight w:val="none"/>
          <w:lang w:val="zh-CN"/>
        </w:rPr>
        <w:t>分，投标报价分值</w:t>
      </w:r>
      <w:r>
        <w:rPr>
          <w:rFonts w:hint="eastAsia" w:ascii="宋体" w:hAnsi="宋体" w:cs="宋体"/>
          <w:color w:val="auto"/>
          <w:kern w:val="0"/>
          <w:sz w:val="24"/>
          <w:highlight w:val="none"/>
        </w:rPr>
        <w:t>30</w:t>
      </w:r>
      <w:r>
        <w:rPr>
          <w:rFonts w:hint="eastAsia" w:ascii="宋体" w:hAnsi="宋体" w:cs="宋体"/>
          <w:color w:val="auto"/>
          <w:kern w:val="0"/>
          <w:sz w:val="24"/>
          <w:highlight w:val="none"/>
          <w:lang w:val="zh-CN"/>
        </w:rPr>
        <w:t>分</w:t>
      </w:r>
      <w:r>
        <w:rPr>
          <w:rFonts w:hint="eastAsia" w:ascii="宋体" w:hAnsi="宋体" w:cs="宋体"/>
          <w:color w:val="auto"/>
          <w:kern w:val="0"/>
          <w:sz w:val="24"/>
          <w:highlight w:val="none"/>
        </w:rPr>
        <w:t>。评标标准按评分细化条款及分值进行评审。</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w:t>
      </w:r>
      <w:r>
        <w:rPr>
          <w:rFonts w:hint="eastAsia" w:ascii="宋体" w:hAnsi="宋体" w:cs="宋体"/>
          <w:color w:val="auto"/>
          <w:kern w:val="0"/>
          <w:sz w:val="24"/>
          <w:highlight w:val="none"/>
        </w:rPr>
        <w:t>资格及</w:t>
      </w:r>
      <w:r>
        <w:rPr>
          <w:rFonts w:hint="eastAsia" w:ascii="宋体" w:hAnsi="宋体" w:cs="宋体"/>
          <w:color w:val="auto"/>
          <w:kern w:val="0"/>
          <w:sz w:val="24"/>
          <w:highlight w:val="none"/>
          <w:lang w:val="zh-CN"/>
        </w:rPr>
        <w:t>商务技术文件中的客观分由评标委员会讨论后统一打分；其余在规定的分值内单独评定打分</w:t>
      </w:r>
      <w:r>
        <w:rPr>
          <w:rFonts w:hint="eastAsia" w:ascii="宋体" w:hAnsi="宋体" w:cs="宋体"/>
          <w:color w:val="auto"/>
          <w:kern w:val="0"/>
          <w:sz w:val="24"/>
          <w:highlight w:val="none"/>
        </w:rPr>
        <w:t>（小数点后保留1位）</w:t>
      </w:r>
      <w:r>
        <w:rPr>
          <w:rFonts w:hint="eastAsia" w:ascii="宋体" w:hAnsi="宋体" w:cs="宋体"/>
          <w:color w:val="auto"/>
          <w:kern w:val="0"/>
          <w:sz w:val="24"/>
          <w:highlight w:val="none"/>
          <w:lang w:val="zh-CN"/>
        </w:rPr>
        <w:t>。</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（二）各投标人</w:t>
      </w:r>
      <w:r>
        <w:rPr>
          <w:rFonts w:hint="eastAsia" w:ascii="宋体" w:hAnsi="宋体" w:cs="宋体"/>
          <w:color w:val="auto"/>
          <w:kern w:val="0"/>
          <w:sz w:val="24"/>
          <w:highlight w:val="none"/>
        </w:rPr>
        <w:t>资格及</w:t>
      </w:r>
      <w:r>
        <w:rPr>
          <w:rFonts w:hint="eastAsia" w:ascii="宋体" w:hAnsi="宋体" w:cs="宋体"/>
          <w:color w:val="auto"/>
          <w:kern w:val="0"/>
          <w:sz w:val="24"/>
          <w:highlight w:val="none"/>
          <w:lang w:val="zh-CN"/>
        </w:rPr>
        <w:t>商务技术文件得分按照评标委员会成员的独立评分结果汇总后的算术平均分计算</w:t>
      </w:r>
      <w:r>
        <w:rPr>
          <w:rFonts w:hint="eastAsia" w:ascii="宋体" w:hAnsi="宋体" w:cs="宋体"/>
          <w:color w:val="auto"/>
          <w:kern w:val="0"/>
          <w:sz w:val="24"/>
          <w:highlight w:val="none"/>
        </w:rPr>
        <w:t>（小数点后保留2位）</w:t>
      </w:r>
      <w:r>
        <w:rPr>
          <w:rFonts w:hint="eastAsia" w:ascii="宋体" w:hAnsi="宋体" w:cs="宋体"/>
          <w:color w:val="auto"/>
          <w:kern w:val="0"/>
          <w:sz w:val="24"/>
          <w:highlight w:val="none"/>
          <w:lang w:val="zh-CN"/>
        </w:rPr>
        <w:t>，计算公式为：</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rPr>
        <w:t>资格及</w:t>
      </w:r>
      <w:r>
        <w:rPr>
          <w:rFonts w:hint="eastAsia" w:ascii="宋体" w:hAnsi="宋体" w:cs="宋体"/>
          <w:color w:val="auto"/>
          <w:kern w:val="0"/>
          <w:sz w:val="24"/>
          <w:highlight w:val="none"/>
          <w:lang w:val="zh-CN"/>
        </w:rPr>
        <w:t>商务技术文件</w:t>
      </w:r>
      <w:r>
        <w:rPr>
          <w:rFonts w:hint="eastAsia" w:ascii="宋体" w:hAnsi="宋体" w:cs="宋体"/>
          <w:color w:val="auto"/>
          <w:kern w:val="0"/>
          <w:sz w:val="24"/>
          <w:highlight w:val="none"/>
        </w:rPr>
        <w:t>得分</w:t>
      </w:r>
      <w:r>
        <w:rPr>
          <w:rFonts w:hint="eastAsia" w:ascii="宋体" w:hAnsi="宋体" w:cs="宋体"/>
          <w:color w:val="auto"/>
          <w:kern w:val="0"/>
          <w:sz w:val="24"/>
          <w:highlight w:val="none"/>
          <w:lang w:val="zh-CN"/>
        </w:rPr>
        <w:t>=评标委员会所有成员评分合计数/评标委员会组成人员数。</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（三）投标报价得分采用低价优先法计算</w:t>
      </w:r>
      <w:r>
        <w:rPr>
          <w:rFonts w:hint="eastAsia" w:ascii="宋体" w:hAnsi="宋体" w:cs="宋体"/>
          <w:color w:val="auto"/>
          <w:kern w:val="0"/>
          <w:sz w:val="24"/>
          <w:highlight w:val="none"/>
        </w:rPr>
        <w:t>（小数点后保留2位）</w:t>
      </w:r>
      <w:r>
        <w:rPr>
          <w:rFonts w:hint="eastAsia" w:ascii="宋体" w:hAnsi="宋体" w:cs="宋体"/>
          <w:color w:val="auto"/>
          <w:kern w:val="0"/>
          <w:sz w:val="24"/>
          <w:highlight w:val="none"/>
          <w:lang w:val="zh-CN"/>
        </w:rPr>
        <w:t>，即满足招标文件要求且投标价格最低的投标报价为评标基准价，其报价得满分。其他投标人的投标报价得分按下列公式计算：</w:t>
      </w:r>
    </w:p>
    <w:p>
      <w:pPr>
        <w:shd w:val="clear"/>
        <w:autoSpaceDE w:val="0"/>
        <w:autoSpaceDN w:val="0"/>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投标报价得分=（评标基准价/投标报价）×30%×100 。</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（四）投标人综合得分＝资格及商务技术文件得分＋投标报价得分。</w:t>
      </w:r>
    </w:p>
    <w:p>
      <w:pPr>
        <w:shd w:val="clear"/>
        <w:autoSpaceDE w:val="0"/>
        <w:autoSpaceDN w:val="0"/>
        <w:spacing w:line="360"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（五）政府采购政策及优惠：</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根据财政部、工业和信息化部发布的《政府采购促进中小企业发展管理办法》【财库（2020）46号】和《财政部关于进一步加大政府采购支持中小企业力度的通知》【财库（2022）19号】有关规定，货物和服务项目中未预留份额专门面向中小企业采购的，以及预留份额项目中的非预留部分采购包，采购单位、采购代理机构应当对符合规定的小微企业报价给予</w:t>
      </w:r>
      <w:r>
        <w:rPr>
          <w:rFonts w:hint="eastAsia" w:ascii="宋体" w:hAnsi="宋体" w:cs="宋体"/>
          <w:color w:val="auto"/>
          <w:kern w:val="0"/>
          <w:sz w:val="24"/>
          <w:highlight w:val="none"/>
        </w:rPr>
        <w:t>2</w:t>
      </w:r>
      <w:r>
        <w:rPr>
          <w:rFonts w:hint="eastAsia" w:ascii="宋体" w:hAnsi="宋体" w:cs="宋体"/>
          <w:color w:val="auto"/>
          <w:kern w:val="0"/>
          <w:sz w:val="24"/>
          <w:highlight w:val="none"/>
          <w:lang w:val="zh-CN"/>
        </w:rPr>
        <w:t>0%的扣除，用扣除后的价格参加评审。</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接受大中型企业与小微企业组成联合体或者允许大中型企业向一家或者多家小微企业分包的采购项目，对于联合体协议或者分包意向协议约定小微企业的合同份额占到合同总金额30%以上的，采购单位、采购代理机构应当对联合体或者大中型企业的报价给予</w:t>
      </w:r>
      <w:r>
        <w:rPr>
          <w:rFonts w:hint="eastAsia" w:ascii="宋体" w:hAnsi="宋体" w:cs="宋体"/>
          <w:color w:val="auto"/>
          <w:kern w:val="0"/>
          <w:sz w:val="24"/>
          <w:highlight w:val="none"/>
        </w:rPr>
        <w:t>6</w:t>
      </w:r>
      <w:r>
        <w:rPr>
          <w:rFonts w:hint="eastAsia" w:ascii="宋体" w:hAnsi="宋体" w:cs="宋体"/>
          <w:color w:val="auto"/>
          <w:kern w:val="0"/>
          <w:sz w:val="24"/>
          <w:highlight w:val="none"/>
          <w:lang w:val="zh-CN"/>
        </w:rPr>
        <w:t>%的扣除，用扣除后的价格参加评审。</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组成联合体或者接受分包的小微企业与联合体内其他企业、分包企业之间存在直接控股、管理关系的，不享受价格扣除优惠政策。</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以联合体形式参加政府采购活动，联合体各方均为中小企业的，联合体视同中小企业。其中，联合体各方均为小微企业的，联合体视同小微企业。</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投标文件中须同时出具《政府采购促进中小企业发展管理办法》【财库（2020）46号】规定的《中小企业声明函》，否则不得享受价格扣除。</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本项目对符合规定的小微企业（含小型企业）报价给予</w:t>
      </w:r>
      <w:r>
        <w:rPr>
          <w:rFonts w:ascii="宋体" w:hAnsi="宋体" w:cs="宋体"/>
          <w:color w:val="auto"/>
          <w:kern w:val="0"/>
          <w:sz w:val="24"/>
          <w:highlight w:val="none"/>
          <w:lang w:val="zh-CN"/>
        </w:rPr>
        <w:t>2</w:t>
      </w:r>
      <w:r>
        <w:rPr>
          <w:rFonts w:hint="eastAsia" w:ascii="宋体" w:hAnsi="宋体" w:cs="宋体"/>
          <w:color w:val="auto"/>
          <w:kern w:val="0"/>
          <w:sz w:val="24"/>
          <w:highlight w:val="none"/>
          <w:lang w:val="zh-CN"/>
        </w:rPr>
        <w:t>0%的扣除。</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（2）根据《关于政府采购支持监狱企业发展有关问题的通知》（财库[2014]68号）的规定，供应商如为监狱企业且所投产品为小型或微型企业生产的，其投标报价扣除</w:t>
      </w:r>
      <w:r>
        <w:rPr>
          <w:rFonts w:hint="eastAsia" w:ascii="宋体" w:hAnsi="宋体" w:cs="宋体"/>
          <w:color w:val="auto"/>
          <w:kern w:val="0"/>
          <w:sz w:val="24"/>
          <w:highlight w:val="none"/>
        </w:rPr>
        <w:t>2</w:t>
      </w:r>
      <w:r>
        <w:rPr>
          <w:rFonts w:hint="eastAsia" w:ascii="宋体" w:hAnsi="宋体" w:cs="宋体"/>
          <w:color w:val="auto"/>
          <w:kern w:val="0"/>
          <w:sz w:val="24"/>
          <w:highlight w:val="none"/>
          <w:lang w:val="zh-CN"/>
        </w:rPr>
        <w:t>0%后参与评审。</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投标文件中须同时提供：供应商的省级以上监狱管理局、戒毒管理局（含新疆生产建设兵团）出具的属于监狱企业的证明文件，未提供完整证明材料的，投标报价不予扣减。</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享受政府采购支持政策的残疾人福利性单位应当同时满足以下条件：</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①安置的残疾人占本单位在职职工人数的比例不低于25%（含25%），并且安置的残疾人人数不少于10人（含10人）；</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②依法与安置的每位残疾人签订了一年以上（含一年）的劳动合同或服务协议；</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③为安置的每位残疾人按月足额缴纳了基本养老保险、基本医疗保险、失业保险、工伤保险和生育保险等社会保险费；</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④通过银行等金融机构向安置的每位残疾人，按月支付了不低于单位所在区县适用的经省级人民政府批准的月最低工资标准的工资；</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⑤提供本单位制造的货物、承担的工程或者服务（以下简称产品），或者提供其他残疾人福利性单位制造的货物（不包括使用非残疾人福利性单位注册商标的货物）。</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注：得分以系统计算为准，保留2位小数。</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三、在最大限度地满足招标文件实质性要求前提下，评标委员会按照招标文件中规定的各项因素进行综合评审后，推荐二名合格的中标候选人，并按评标报告推荐的顺序确定排名第一的中标候选人为中标人。</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四、如综合得分相同，投标报价低者为先；如综合得分且投标报价相同的，货物类采购项目以技术性能得分较高者为先，服务类采购项目以实力信誉及业绩得分较高者为先。</w:t>
      </w:r>
    </w:p>
    <w:p>
      <w:pPr>
        <w:shd w:val="clea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shd w:val="clear"/>
        <w:autoSpaceDE w:val="0"/>
        <w:autoSpaceDN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highlight w:val="none"/>
          <w:lang w:val="zh-CN"/>
        </w:rPr>
        <w:t>六、本次评分具体分值细化条款如下表：</w:t>
      </w:r>
    </w:p>
    <w:tbl>
      <w:tblPr>
        <w:tblStyle w:val="29"/>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365"/>
        <w:gridCol w:w="6626"/>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名称</w:t>
            </w:r>
          </w:p>
        </w:tc>
        <w:tc>
          <w:tcPr>
            <w:tcW w:w="1365" w:type="dxa"/>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评审内容</w:t>
            </w:r>
          </w:p>
        </w:tc>
        <w:tc>
          <w:tcPr>
            <w:tcW w:w="6626" w:type="dxa"/>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评分标准</w:t>
            </w:r>
          </w:p>
        </w:tc>
        <w:tc>
          <w:tcPr>
            <w:tcW w:w="833" w:type="dxa"/>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1" w:type="dxa"/>
            <w:gridSpan w:val="3"/>
            <w:vAlign w:val="center"/>
          </w:tcPr>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一、商务资信部分（1</w:t>
            </w:r>
            <w:r>
              <w:rPr>
                <w:rFonts w:hint="eastAsia" w:ascii="宋体" w:hAnsi="宋体" w:cs="宋体"/>
                <w:b/>
                <w:bCs/>
                <w:color w:val="auto"/>
                <w:sz w:val="24"/>
                <w:szCs w:val="24"/>
                <w:highlight w:val="none"/>
                <w:lang w:val="en-US" w:eastAsia="zh-CN"/>
              </w:rPr>
              <w:t>7</w:t>
            </w:r>
            <w:r>
              <w:rPr>
                <w:rFonts w:hint="eastAsia" w:ascii="宋体" w:hAnsi="宋体" w:cs="宋体"/>
                <w:b/>
                <w:bCs/>
                <w:color w:val="auto"/>
                <w:sz w:val="24"/>
                <w:szCs w:val="24"/>
                <w:highlight w:val="none"/>
              </w:rPr>
              <w:t>分）</w:t>
            </w:r>
          </w:p>
        </w:tc>
        <w:tc>
          <w:tcPr>
            <w:tcW w:w="833" w:type="dxa"/>
            <w:vAlign w:val="center"/>
          </w:tcPr>
          <w:p>
            <w:pPr>
              <w:shd w:val="clear"/>
              <w:spacing w:line="360" w:lineRule="auto"/>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restar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企业实力</w:t>
            </w:r>
          </w:p>
        </w:tc>
        <w:tc>
          <w:tcPr>
            <w:tcW w:w="136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企业综合实力</w:t>
            </w:r>
          </w:p>
        </w:tc>
        <w:tc>
          <w:tcPr>
            <w:tcW w:w="6626" w:type="dxa"/>
            <w:vAlign w:val="center"/>
          </w:tcPr>
          <w:p>
            <w:pPr>
              <w:shd w:val="clear"/>
              <w:spacing w:line="360" w:lineRule="auto"/>
              <w:jc w:val="left"/>
              <w:rPr>
                <w:color w:val="auto"/>
                <w:highlight w:val="none"/>
              </w:rPr>
            </w:pPr>
            <w:r>
              <w:rPr>
                <w:rFonts w:hint="eastAsia" w:ascii="宋体" w:hAnsi="宋体" w:cs="宋体"/>
                <w:color w:val="auto"/>
                <w:kern w:val="0"/>
                <w:sz w:val="24"/>
                <w:szCs w:val="24"/>
                <w:highlight w:val="none"/>
              </w:rPr>
              <w:t>根据投标人的综合实力、履约能力、资信及荣誉证书等情况综合比较评定，</w:t>
            </w:r>
            <w:r>
              <w:rPr>
                <w:rFonts w:hint="eastAsia" w:ascii="宋体" w:hAnsi="宋体" w:cs="宋体"/>
                <w:color w:val="auto"/>
                <w:sz w:val="24"/>
                <w:szCs w:val="24"/>
                <w:highlight w:val="none"/>
              </w:rPr>
              <w:t>一档得3分，二档得2.5分，三档得2分，四档得1.5分，五档得1分，六档得0.5分；未提及此项不得分。</w:t>
            </w:r>
          </w:p>
        </w:tc>
        <w:tc>
          <w:tcPr>
            <w:tcW w:w="833"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continue"/>
            <w:vAlign w:val="center"/>
          </w:tcPr>
          <w:p>
            <w:pPr>
              <w:shd w:val="clear"/>
              <w:spacing w:line="360" w:lineRule="auto"/>
              <w:jc w:val="center"/>
              <w:rPr>
                <w:rFonts w:ascii="宋体" w:hAnsi="宋体" w:cs="宋体"/>
                <w:color w:val="auto"/>
                <w:sz w:val="24"/>
                <w:szCs w:val="24"/>
                <w:highlight w:val="none"/>
              </w:rPr>
            </w:pPr>
          </w:p>
        </w:tc>
        <w:tc>
          <w:tcPr>
            <w:tcW w:w="1365" w:type="dxa"/>
            <w:vAlign w:val="center"/>
          </w:tcPr>
          <w:p>
            <w:pPr>
              <w:shd w:val="clea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同类项目业绩</w:t>
            </w:r>
          </w:p>
        </w:tc>
        <w:tc>
          <w:tcPr>
            <w:tcW w:w="6626" w:type="dxa"/>
            <w:vAlign w:val="center"/>
          </w:tcPr>
          <w:p>
            <w:pPr>
              <w:shd w:val="clea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投标人自2020年1月1日以来</w:t>
            </w:r>
            <w:r>
              <w:rPr>
                <w:rFonts w:hint="eastAsia" w:ascii="宋体" w:hAnsi="宋体" w:cs="宋体"/>
                <w:color w:val="auto"/>
                <w:sz w:val="24"/>
                <w:szCs w:val="24"/>
                <w:highlight w:val="none"/>
                <w:lang w:val="en-US" w:eastAsia="zh-CN"/>
              </w:rPr>
              <w:t>具</w:t>
            </w:r>
            <w:r>
              <w:rPr>
                <w:rFonts w:hint="eastAsia" w:ascii="宋体" w:hAnsi="宋体" w:cs="宋体"/>
                <w:color w:val="auto"/>
                <w:sz w:val="24"/>
                <w:szCs w:val="24"/>
                <w:highlight w:val="none"/>
              </w:rPr>
              <w:t>有</w:t>
            </w:r>
            <w:r>
              <w:rPr>
                <w:rFonts w:hint="eastAsia" w:ascii="宋体" w:hAnsi="宋体" w:cs="宋体"/>
                <w:color w:val="auto"/>
                <w:sz w:val="24"/>
                <w:szCs w:val="24"/>
                <w:highlight w:val="none"/>
                <w:lang w:val="en-US" w:eastAsia="zh-CN"/>
              </w:rPr>
              <w:t>同类项目业绩情况</w:t>
            </w:r>
            <w:r>
              <w:rPr>
                <w:rFonts w:hint="eastAsia" w:ascii="宋体" w:hAnsi="宋体" w:cs="宋体"/>
                <w:color w:val="auto"/>
                <w:sz w:val="24"/>
                <w:szCs w:val="24"/>
                <w:highlight w:val="none"/>
              </w:rPr>
              <w:t>，需附合同扫描件（以签订时间为准，提供合同扫描件并加盖公章），每提供1个得1分，最高得</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w:t>
            </w:r>
          </w:p>
        </w:tc>
        <w:tc>
          <w:tcPr>
            <w:tcW w:w="833" w:type="dxa"/>
            <w:vAlign w:val="center"/>
          </w:tcPr>
          <w:p>
            <w:pPr>
              <w:shd w:val="clea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0" w:type="dxa"/>
            <w:vMerge w:val="restar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人员组成</w:t>
            </w:r>
          </w:p>
        </w:tc>
        <w:tc>
          <w:tcPr>
            <w:tcW w:w="136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项目负责人</w:t>
            </w:r>
          </w:p>
        </w:tc>
        <w:tc>
          <w:tcPr>
            <w:tcW w:w="6626" w:type="dxa"/>
            <w:vAlign w:val="center"/>
          </w:tcPr>
          <w:p>
            <w:pPr>
              <w:keepNext w:val="0"/>
              <w:keepLines w:val="0"/>
              <w:pageBreakBefore w:val="0"/>
              <w:widowControl/>
              <w:shd w:val="clear" w:color="auto"/>
              <w:kinsoku/>
              <w:wordWrap/>
              <w:topLinePunct w:val="0"/>
              <w:bidi w:val="0"/>
              <w:spacing w:line="360" w:lineRule="auto"/>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拟派本项目的</w:t>
            </w:r>
            <w:r>
              <w:rPr>
                <w:rFonts w:hint="eastAsia" w:ascii="宋体" w:hAnsi="宋体" w:eastAsia="宋体" w:cs="宋体"/>
                <w:color w:val="auto"/>
                <w:kern w:val="0"/>
                <w:sz w:val="24"/>
                <w:szCs w:val="24"/>
                <w:highlight w:val="none"/>
              </w:rPr>
              <w:t>项目负责人具有</w:t>
            </w:r>
            <w:r>
              <w:rPr>
                <w:rFonts w:hint="eastAsia" w:ascii="宋体" w:hAnsi="宋体" w:eastAsia="宋体" w:cs="宋体"/>
                <w:color w:val="auto"/>
                <w:kern w:val="0"/>
                <w:sz w:val="24"/>
                <w:szCs w:val="24"/>
                <w:highlight w:val="none"/>
                <w:lang w:eastAsia="zh-CN"/>
              </w:rPr>
              <w:t>高级工程师（信息技术相关专业）、</w:t>
            </w:r>
            <w:r>
              <w:rPr>
                <w:rFonts w:hint="eastAsia" w:ascii="宋体" w:hAnsi="宋体" w:eastAsia="宋体" w:cs="宋体"/>
                <w:color w:val="auto"/>
                <w:kern w:val="0"/>
                <w:sz w:val="24"/>
                <w:szCs w:val="24"/>
                <w:highlight w:val="none"/>
              </w:rPr>
              <w:t>信息系统项目管理师、</w:t>
            </w:r>
            <w:r>
              <w:rPr>
                <w:rFonts w:hint="eastAsia" w:ascii="宋体" w:hAnsi="宋体" w:eastAsia="宋体" w:cs="宋体"/>
                <w:color w:val="auto"/>
                <w:kern w:val="0"/>
                <w:sz w:val="24"/>
                <w:szCs w:val="24"/>
                <w:highlight w:val="none"/>
                <w:lang w:eastAsia="zh-CN"/>
              </w:rPr>
              <w:t>信息安全工程师、</w:t>
            </w:r>
            <w:r>
              <w:rPr>
                <w:rFonts w:hint="eastAsia" w:ascii="宋体" w:hAnsi="宋体" w:eastAsia="宋体" w:cs="宋体"/>
                <w:color w:val="auto"/>
                <w:kern w:val="0"/>
                <w:sz w:val="24"/>
                <w:szCs w:val="24"/>
                <w:highlight w:val="none"/>
              </w:rPr>
              <w:t>网络工程师</w:t>
            </w:r>
            <w:r>
              <w:rPr>
                <w:rFonts w:hint="eastAsia" w:ascii="宋体" w:hAnsi="宋体" w:eastAsia="宋体" w:cs="宋体"/>
                <w:color w:val="auto"/>
                <w:kern w:val="0"/>
                <w:sz w:val="24"/>
                <w:szCs w:val="24"/>
                <w:highlight w:val="none"/>
                <w:lang w:eastAsia="zh-CN"/>
              </w:rPr>
              <w:t>，每提供</w:t>
            </w:r>
            <w:r>
              <w:rPr>
                <w:rFonts w:hint="eastAsia" w:ascii="宋体" w:hAnsi="宋体" w:eastAsia="宋体" w:cs="宋体"/>
                <w:color w:val="auto"/>
                <w:kern w:val="0"/>
                <w:sz w:val="24"/>
                <w:szCs w:val="24"/>
                <w:highlight w:val="none"/>
              </w:rPr>
              <w:t>一</w:t>
            </w:r>
            <w:r>
              <w:rPr>
                <w:rFonts w:hint="eastAsia" w:ascii="宋体" w:hAnsi="宋体" w:eastAsia="宋体" w:cs="宋体"/>
                <w:color w:val="auto"/>
                <w:kern w:val="0"/>
                <w:sz w:val="24"/>
                <w:szCs w:val="24"/>
                <w:highlight w:val="none"/>
                <w:lang w:eastAsia="zh-CN"/>
              </w:rPr>
              <w:t>个得</w:t>
            </w:r>
            <w:r>
              <w:rPr>
                <w:rFonts w:hint="eastAsia" w:ascii="宋体" w:hAnsi="宋体" w:eastAsia="宋体" w:cs="宋体"/>
                <w:color w:val="auto"/>
                <w:kern w:val="0"/>
                <w:sz w:val="24"/>
                <w:szCs w:val="24"/>
                <w:highlight w:val="none"/>
              </w:rPr>
              <w:t>1分</w:t>
            </w:r>
            <w:r>
              <w:rPr>
                <w:rFonts w:hint="eastAsia" w:ascii="宋体" w:hAnsi="宋体" w:eastAsia="宋体" w:cs="宋体"/>
                <w:color w:val="auto"/>
                <w:kern w:val="0"/>
                <w:sz w:val="24"/>
                <w:szCs w:val="24"/>
                <w:highlight w:val="none"/>
                <w:lang w:eastAsia="zh-CN"/>
              </w:rPr>
              <w:t>，最高</w:t>
            </w:r>
            <w:r>
              <w:rPr>
                <w:rFonts w:hint="eastAsia" w:ascii="宋体" w:hAnsi="宋体" w:eastAsia="宋体" w:cs="宋体"/>
                <w:color w:val="auto"/>
                <w:kern w:val="0"/>
                <w:sz w:val="24"/>
                <w:szCs w:val="24"/>
                <w:highlight w:val="none"/>
                <w:lang w:val="en-US" w:eastAsia="zh-CN"/>
              </w:rPr>
              <w:t>4分</w:t>
            </w:r>
            <w:r>
              <w:rPr>
                <w:rFonts w:hint="eastAsia" w:ascii="宋体" w:hAnsi="宋体" w:eastAsia="宋体" w:cs="宋体"/>
                <w:color w:val="auto"/>
                <w:kern w:val="0"/>
                <w:sz w:val="24"/>
                <w:szCs w:val="24"/>
                <w:highlight w:val="none"/>
              </w:rPr>
              <w:t>。</w:t>
            </w:r>
          </w:p>
          <w:p>
            <w:pPr>
              <w:shd w:val="clear"/>
              <w:spacing w:line="360" w:lineRule="auto"/>
              <w:jc w:val="left"/>
              <w:rPr>
                <w:rFonts w:hint="eastAsia" w:ascii="宋体" w:hAnsi="宋体" w:eastAsia="宋体" w:cs="宋体"/>
                <w:b/>
                <w:bCs/>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（须提供相应的证书复印件和投标截止日近期的社保证明的复印件并加盖投标人公章，社保缴纳单位必须与投标人单位名称一致，未提供、提供不全或未按要求提供的不得分）</w:t>
            </w:r>
            <w:r>
              <w:rPr>
                <w:rFonts w:hint="eastAsia" w:ascii="宋体" w:hAnsi="宋体" w:cs="宋体"/>
                <w:b w:val="0"/>
                <w:bCs w:val="0"/>
                <w:color w:val="auto"/>
                <w:kern w:val="0"/>
                <w:sz w:val="24"/>
                <w:szCs w:val="24"/>
                <w:highlight w:val="none"/>
                <w:lang w:eastAsia="zh-CN"/>
              </w:rPr>
              <w:t>。</w:t>
            </w:r>
          </w:p>
        </w:tc>
        <w:tc>
          <w:tcPr>
            <w:tcW w:w="833"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continue"/>
            <w:vAlign w:val="center"/>
          </w:tcPr>
          <w:p>
            <w:pPr>
              <w:shd w:val="clear"/>
              <w:spacing w:line="360" w:lineRule="auto"/>
              <w:jc w:val="center"/>
              <w:rPr>
                <w:rFonts w:ascii="宋体" w:hAnsi="宋体" w:cs="宋体"/>
                <w:color w:val="auto"/>
                <w:sz w:val="24"/>
                <w:szCs w:val="24"/>
                <w:highlight w:val="none"/>
              </w:rPr>
            </w:pPr>
          </w:p>
        </w:tc>
        <w:tc>
          <w:tcPr>
            <w:tcW w:w="136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技术负责人</w:t>
            </w:r>
          </w:p>
        </w:tc>
        <w:tc>
          <w:tcPr>
            <w:tcW w:w="6626" w:type="dxa"/>
            <w:vAlign w:val="center"/>
          </w:tcPr>
          <w:p>
            <w:pPr>
              <w:shd w:val="clea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技术负责人具有信息系统项目管理师、二级建造师（机电工程）</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网络工</w:t>
            </w:r>
            <w:r>
              <w:rPr>
                <w:rFonts w:hint="eastAsia" w:ascii="宋体" w:hAnsi="宋体" w:eastAsia="宋体" w:cs="宋体"/>
                <w:color w:val="auto"/>
                <w:sz w:val="24"/>
                <w:szCs w:val="24"/>
                <w:highlight w:val="none"/>
              </w:rPr>
              <w:t>程师的，每具备一项得1分，最高得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分。（须提供相应的证书复印件和投标截止日近</w:t>
            </w:r>
            <w:r>
              <w:rPr>
                <w:rFonts w:hint="eastAsia" w:ascii="宋体" w:hAnsi="宋体" w:cs="宋体"/>
                <w:color w:val="auto"/>
                <w:sz w:val="24"/>
                <w:szCs w:val="24"/>
                <w:highlight w:val="none"/>
              </w:rPr>
              <w:t>期的社保证明的复印件并加盖投标人公章，社保缴纳单位必须与投标人单位名称一致，未提供、提供不全或未按要求提供的不得分）。</w:t>
            </w:r>
          </w:p>
        </w:tc>
        <w:tc>
          <w:tcPr>
            <w:tcW w:w="833"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continue"/>
            <w:vAlign w:val="center"/>
          </w:tcPr>
          <w:p>
            <w:pPr>
              <w:shd w:val="clear"/>
              <w:spacing w:line="360" w:lineRule="auto"/>
              <w:jc w:val="center"/>
              <w:rPr>
                <w:rFonts w:ascii="宋体" w:hAnsi="宋体" w:cs="宋体"/>
                <w:color w:val="auto"/>
                <w:sz w:val="24"/>
                <w:szCs w:val="24"/>
                <w:highlight w:val="none"/>
              </w:rPr>
            </w:pPr>
          </w:p>
        </w:tc>
        <w:tc>
          <w:tcPr>
            <w:tcW w:w="136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项目组成员</w:t>
            </w:r>
          </w:p>
        </w:tc>
        <w:tc>
          <w:tcPr>
            <w:tcW w:w="6626" w:type="dxa"/>
            <w:vAlign w:val="center"/>
          </w:tcPr>
          <w:p>
            <w:pPr>
              <w:shd w:val="clea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项目团队成员（除上述人员外）人员具有信息系统项目管理师、</w:t>
            </w:r>
            <w:r>
              <w:rPr>
                <w:rFonts w:hint="eastAsia" w:ascii="宋体" w:hAnsi="宋体" w:eastAsia="宋体" w:cs="宋体"/>
                <w:i w:val="0"/>
                <w:iCs w:val="0"/>
                <w:color w:val="auto"/>
                <w:kern w:val="0"/>
                <w:sz w:val="24"/>
                <w:szCs w:val="24"/>
                <w:highlight w:val="none"/>
                <w:u w:val="none"/>
                <w:lang w:val="en-US" w:eastAsia="zh-CN" w:bidi="ar"/>
              </w:rPr>
              <w:t>弱电系统工程师</w:t>
            </w:r>
            <w:r>
              <w:rPr>
                <w:rFonts w:hint="eastAsia" w:ascii="宋体" w:hAnsi="宋体" w:cs="宋体"/>
                <w:color w:val="auto"/>
                <w:sz w:val="24"/>
                <w:szCs w:val="24"/>
                <w:highlight w:val="none"/>
              </w:rPr>
              <w:t>、网络工程师、系统集成项目管理工程师、信息安全工程师等认证，每具备一项得1分，最高得5分。一人有多项证书的，只按一次得分。（须提供相应的证书复印件和投标截止日近期的社保证明的复印件并加盖投标人公章，社保缴纳单位必须与投标人单位名称一致，未提供、提供不全或未按要求提供的不得分）</w:t>
            </w:r>
          </w:p>
        </w:tc>
        <w:tc>
          <w:tcPr>
            <w:tcW w:w="833"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1" w:type="dxa"/>
            <w:gridSpan w:val="3"/>
            <w:vAlign w:val="center"/>
          </w:tcPr>
          <w:p>
            <w:pPr>
              <w:shd w:val="clear"/>
              <w:spacing w:line="360" w:lineRule="auto"/>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二、技术部分（5</w:t>
            </w:r>
            <w:r>
              <w:rPr>
                <w:rFonts w:hint="eastAsia" w:ascii="宋体" w:hAnsi="宋体" w:cs="宋体"/>
                <w:b/>
                <w:bCs/>
                <w:color w:val="auto"/>
                <w:sz w:val="24"/>
                <w:szCs w:val="24"/>
                <w:highlight w:val="none"/>
                <w:lang w:val="en-US" w:eastAsia="zh-CN"/>
              </w:rPr>
              <w:t>3</w:t>
            </w:r>
            <w:r>
              <w:rPr>
                <w:rFonts w:hint="eastAsia" w:ascii="宋体" w:hAnsi="宋体" w:cs="宋体"/>
                <w:b/>
                <w:bCs/>
                <w:color w:val="auto"/>
                <w:sz w:val="24"/>
                <w:szCs w:val="24"/>
                <w:highlight w:val="none"/>
              </w:rPr>
              <w:t>分）</w:t>
            </w:r>
          </w:p>
        </w:tc>
        <w:tc>
          <w:tcPr>
            <w:tcW w:w="833" w:type="dxa"/>
            <w:vAlign w:val="center"/>
          </w:tcPr>
          <w:p>
            <w:pPr>
              <w:shd w:val="clear"/>
              <w:spacing w:line="360" w:lineRule="auto"/>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restar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技术方案</w:t>
            </w:r>
          </w:p>
        </w:tc>
        <w:tc>
          <w:tcPr>
            <w:tcW w:w="136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技术指标</w:t>
            </w:r>
          </w:p>
        </w:tc>
        <w:tc>
          <w:tcPr>
            <w:tcW w:w="6626" w:type="dxa"/>
            <w:vAlign w:val="center"/>
          </w:tcPr>
          <w:p>
            <w:pPr>
              <w:shd w:val="clea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投标产品参数指标 根据投标产品技术指标是否符合招标文件的要求及符合程度进行评价，全部符合招标文件技术参数指标要求得</w:t>
            </w:r>
            <w:r>
              <w:rPr>
                <w:rFonts w:hint="eastAsia" w:ascii="宋体" w:hAnsi="宋体" w:cs="宋体"/>
                <w:color w:val="auto"/>
                <w:sz w:val="24"/>
                <w:szCs w:val="24"/>
                <w:highlight w:val="none"/>
                <w:lang w:val="en-US" w:eastAsia="zh-CN"/>
              </w:rPr>
              <w:t>33</w:t>
            </w:r>
            <w:r>
              <w:rPr>
                <w:rFonts w:hint="eastAsia" w:ascii="宋体" w:hAnsi="宋体" w:cs="宋体"/>
                <w:color w:val="auto"/>
                <w:sz w:val="24"/>
                <w:szCs w:val="24"/>
                <w:highlight w:val="none"/>
              </w:rPr>
              <w:t>分： “★”是产品的重要指标，不满足每项扣2分，扣完为止（需按招标文件要求提供相应证明材料），其它非重要技术指标若出现负偏差，每负偏离一项扣1分，扣完为止。</w:t>
            </w:r>
          </w:p>
        </w:tc>
        <w:tc>
          <w:tcPr>
            <w:tcW w:w="833" w:type="dxa"/>
            <w:vAlign w:val="center"/>
          </w:tcPr>
          <w:p>
            <w:pPr>
              <w:shd w:val="clea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continue"/>
            <w:vAlign w:val="center"/>
          </w:tcPr>
          <w:p>
            <w:pPr>
              <w:shd w:val="clear"/>
              <w:spacing w:line="360" w:lineRule="auto"/>
              <w:jc w:val="center"/>
              <w:rPr>
                <w:rFonts w:ascii="宋体" w:hAnsi="宋体" w:cs="宋体"/>
                <w:color w:val="auto"/>
                <w:sz w:val="24"/>
                <w:szCs w:val="24"/>
                <w:highlight w:val="none"/>
              </w:rPr>
            </w:pPr>
          </w:p>
        </w:tc>
        <w:tc>
          <w:tcPr>
            <w:tcW w:w="1365" w:type="dxa"/>
            <w:vAlign w:val="center"/>
          </w:tcPr>
          <w:p>
            <w:pPr>
              <w:shd w:val="clea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需求分析</w:t>
            </w:r>
          </w:p>
        </w:tc>
        <w:tc>
          <w:tcPr>
            <w:tcW w:w="6626" w:type="dxa"/>
            <w:vAlign w:val="center"/>
          </w:tcPr>
          <w:p>
            <w:pPr>
              <w:shd w:val="clea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对本项目中培训室</w:t>
            </w:r>
            <w:r>
              <w:rPr>
                <w:rFonts w:hint="eastAsia" w:ascii="宋体" w:hAnsi="宋体" w:eastAsia="宋体" w:cs="宋体"/>
                <w:color w:val="auto"/>
                <w:sz w:val="24"/>
                <w:szCs w:val="24"/>
                <w:highlight w:val="none"/>
                <w:lang w:eastAsia="zh-CN"/>
              </w:rPr>
              <w:t>、审理庭、</w:t>
            </w:r>
            <w:r>
              <w:rPr>
                <w:rFonts w:hint="eastAsia" w:ascii="宋体" w:hAnsi="宋体" w:eastAsia="宋体" w:cs="宋体"/>
                <w:color w:val="auto"/>
                <w:sz w:val="24"/>
                <w:szCs w:val="24"/>
                <w:highlight w:val="none"/>
              </w:rPr>
              <w:t>保密机房</w:t>
            </w:r>
            <w:r>
              <w:rPr>
                <w:rFonts w:hint="eastAsia" w:ascii="宋体" w:hAnsi="宋体" w:eastAsia="宋体" w:cs="宋体"/>
                <w:color w:val="auto"/>
                <w:sz w:val="24"/>
                <w:szCs w:val="24"/>
                <w:highlight w:val="none"/>
                <w:lang w:val="en-US" w:eastAsia="zh-CN"/>
              </w:rPr>
              <w:t>提供</w:t>
            </w:r>
            <w:r>
              <w:rPr>
                <w:rFonts w:hint="eastAsia" w:ascii="宋体" w:hAnsi="宋体" w:eastAsia="宋体" w:cs="宋体"/>
                <w:color w:val="auto"/>
                <w:sz w:val="24"/>
                <w:szCs w:val="24"/>
                <w:highlight w:val="none"/>
              </w:rPr>
              <w:t>图纸设计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并对</w:t>
            </w:r>
            <w:r>
              <w:rPr>
                <w:rFonts w:hint="eastAsia" w:ascii="宋体" w:hAnsi="宋体" w:eastAsia="宋体" w:cs="宋体"/>
                <w:color w:val="auto"/>
                <w:sz w:val="24"/>
                <w:szCs w:val="24"/>
                <w:highlight w:val="none"/>
              </w:rPr>
              <w:t>图纸设计</w:t>
            </w:r>
            <w:r>
              <w:rPr>
                <w:rFonts w:hint="eastAsia" w:ascii="宋体" w:hAnsi="宋体" w:eastAsia="宋体" w:cs="宋体"/>
                <w:color w:val="auto"/>
                <w:sz w:val="24"/>
                <w:szCs w:val="24"/>
                <w:highlight w:val="none"/>
                <w:lang w:val="en-US" w:eastAsia="zh-CN"/>
              </w:rPr>
              <w:t>进行</w:t>
            </w:r>
            <w:r>
              <w:rPr>
                <w:rFonts w:hint="eastAsia" w:ascii="宋体" w:hAnsi="宋体" w:eastAsia="宋体" w:cs="宋体"/>
                <w:color w:val="auto"/>
                <w:sz w:val="24"/>
                <w:szCs w:val="24"/>
                <w:highlight w:val="none"/>
              </w:rPr>
              <w:t>文字说明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进行综合打分。</w:t>
            </w:r>
          </w:p>
          <w:p>
            <w:pPr>
              <w:shd w:val="clear"/>
              <w:spacing w:line="360" w:lineRule="auto"/>
              <w:jc w:val="left"/>
              <w:rPr>
                <w:rFonts w:hint="eastAsia" w:ascii="宋体" w:hAnsi="宋体" w:cs="宋体"/>
                <w:color w:val="auto"/>
                <w:sz w:val="24"/>
                <w:szCs w:val="24"/>
                <w:highlight w:val="none"/>
              </w:rPr>
            </w:pPr>
            <w:r>
              <w:rPr>
                <w:rFonts w:hint="eastAsia" w:ascii="宋体" w:hAnsi="宋体" w:eastAsia="宋体" w:cs="宋体"/>
                <w:color w:val="auto"/>
                <w:sz w:val="24"/>
                <w:szCs w:val="24"/>
                <w:highlight w:val="none"/>
              </w:rPr>
              <w:t>一档得5分，二档得4.5分，三档得4分，四档得3.5分，五档得3分，六档得2.5分，七档得2分，八档得1.5分，九档得1分，十档得0.5分；未提及此项不得分。</w:t>
            </w:r>
          </w:p>
        </w:tc>
        <w:tc>
          <w:tcPr>
            <w:tcW w:w="833" w:type="dxa"/>
            <w:vAlign w:val="center"/>
          </w:tcPr>
          <w:p>
            <w:pPr>
              <w:shd w:val="clea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Merge w:val="continue"/>
            <w:vAlign w:val="center"/>
          </w:tcPr>
          <w:p>
            <w:pPr>
              <w:shd w:val="clear"/>
              <w:spacing w:line="360" w:lineRule="auto"/>
              <w:jc w:val="center"/>
              <w:rPr>
                <w:rFonts w:ascii="宋体" w:hAnsi="宋体" w:cs="宋体"/>
                <w:color w:val="auto"/>
                <w:sz w:val="24"/>
                <w:szCs w:val="24"/>
                <w:highlight w:val="none"/>
              </w:rPr>
            </w:pPr>
          </w:p>
        </w:tc>
        <w:tc>
          <w:tcPr>
            <w:tcW w:w="136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总体方案设计</w:t>
            </w:r>
          </w:p>
        </w:tc>
        <w:tc>
          <w:tcPr>
            <w:tcW w:w="6626" w:type="dxa"/>
            <w:vAlign w:val="center"/>
          </w:tcPr>
          <w:p>
            <w:pPr>
              <w:shd w:val="clea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对本次项目的详细技术方案打分，包括培训室、</w:t>
            </w:r>
            <w:r>
              <w:rPr>
                <w:rFonts w:hint="eastAsia" w:ascii="宋体" w:hAnsi="宋体" w:eastAsia="宋体" w:cs="宋体"/>
                <w:color w:val="auto"/>
                <w:sz w:val="24"/>
                <w:szCs w:val="24"/>
                <w:highlight w:val="none"/>
                <w:lang w:eastAsia="zh-CN"/>
              </w:rPr>
              <w:t>审理庭、</w:t>
            </w:r>
            <w:r>
              <w:rPr>
                <w:rFonts w:hint="eastAsia" w:ascii="宋体" w:hAnsi="宋体" w:eastAsia="宋体" w:cs="宋体"/>
                <w:color w:val="auto"/>
                <w:sz w:val="24"/>
                <w:szCs w:val="24"/>
                <w:highlight w:val="none"/>
              </w:rPr>
              <w:t>监控及安防系统、保密机房等内容的技术方案进行综合打分。</w:t>
            </w:r>
          </w:p>
          <w:p>
            <w:pPr>
              <w:shd w:val="clear"/>
              <w:spacing w:line="360" w:lineRule="auto"/>
              <w:jc w:val="left"/>
              <w:rPr>
                <w:rFonts w:ascii="宋体" w:hAnsi="宋体" w:cs="宋体"/>
                <w:color w:val="auto"/>
                <w:sz w:val="24"/>
                <w:szCs w:val="24"/>
                <w:highlight w:val="none"/>
              </w:rPr>
            </w:pPr>
            <w:r>
              <w:rPr>
                <w:rFonts w:hint="eastAsia" w:ascii="宋体" w:hAnsi="宋体" w:eastAsia="宋体" w:cs="宋体"/>
                <w:color w:val="auto"/>
                <w:sz w:val="24"/>
                <w:szCs w:val="24"/>
                <w:highlight w:val="none"/>
              </w:rPr>
              <w:t>一档得5分，二档得4.5分，三档得4分，四档得3.5分，五档得3分，六档得2.5分，七档得2分，八档得1.5分，九档得1分，十档得0.5分；未提及此项不得分。</w:t>
            </w:r>
          </w:p>
        </w:tc>
        <w:tc>
          <w:tcPr>
            <w:tcW w:w="833"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jc w:val="center"/>
        </w:trPr>
        <w:tc>
          <w:tcPr>
            <w:tcW w:w="980"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施工组织方案</w:t>
            </w:r>
          </w:p>
        </w:tc>
        <w:tc>
          <w:tcPr>
            <w:tcW w:w="136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实施方案</w:t>
            </w:r>
          </w:p>
        </w:tc>
        <w:tc>
          <w:tcPr>
            <w:tcW w:w="6626" w:type="dxa"/>
            <w:vAlign w:val="center"/>
          </w:tcPr>
          <w:p>
            <w:pPr>
              <w:shd w:val="clea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rPr>
              <w:t>供应商根据项目要求提供项目实施方案，包括项目管理方案、实施步骤和进度计划、质量保障方案、项目风险管理、应急处置方案、测试和验收方案等</w:t>
            </w:r>
            <w:r>
              <w:rPr>
                <w:rFonts w:hint="eastAsia" w:ascii="宋体" w:hAnsi="宋体" w:eastAsia="宋体" w:cs="宋体"/>
                <w:color w:val="auto"/>
                <w:sz w:val="24"/>
                <w:szCs w:val="24"/>
                <w:highlight w:val="none"/>
              </w:rPr>
              <w:t>进行综合打分。</w:t>
            </w:r>
          </w:p>
          <w:p>
            <w:pPr>
              <w:keepNext w:val="0"/>
              <w:keepLines w:val="0"/>
              <w:pageBreakBefore w:val="0"/>
              <w:widowControl/>
              <w:shd w:val="clear" w:color="auto"/>
              <w:kinsoku/>
              <w:wordWrap/>
              <w:topLinePunct w:val="0"/>
              <w:bidi w:val="0"/>
              <w:spacing w:line="360" w:lineRule="auto"/>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一档得5分，二档得4.5分，三档得4分，四档得3.5分，五档得3分，六档得2.5分，七档得2分，八档得1.5分，九档得1分，十档得0.5分；未提及此项不得分。</w:t>
            </w:r>
          </w:p>
        </w:tc>
        <w:tc>
          <w:tcPr>
            <w:tcW w:w="833"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售后服务的措施及承诺</w:t>
            </w:r>
          </w:p>
        </w:tc>
        <w:tc>
          <w:tcPr>
            <w:tcW w:w="1365"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售后服务方案</w:t>
            </w:r>
          </w:p>
        </w:tc>
        <w:tc>
          <w:tcPr>
            <w:tcW w:w="6626" w:type="dxa"/>
            <w:vAlign w:val="center"/>
          </w:tcPr>
          <w:p>
            <w:pPr>
              <w:shd w:val="clea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投标供应商需提供详细的售后服务方案，方案内容包含服务计划、服务流程、服务响应时间和方式、售后服务质量保证措施等内容，根据方案内容进行综合打分。</w:t>
            </w:r>
          </w:p>
          <w:p>
            <w:pPr>
              <w:keepNext w:val="0"/>
              <w:keepLines w:val="0"/>
              <w:pageBreakBefore w:val="0"/>
              <w:shd w:val="clear" w:color="auto"/>
              <w:kinsoku/>
              <w:wordWrap/>
              <w:topLinePunct w:val="0"/>
              <w:bidi w:val="0"/>
              <w:adjustRightInd w:val="0"/>
              <w:snapToGrid w:val="0"/>
              <w:spacing w:line="360" w:lineRule="auto"/>
              <w:rPr>
                <w:rFonts w:ascii="宋体" w:hAnsi="宋体" w:cs="宋体"/>
                <w:color w:val="auto"/>
                <w:sz w:val="24"/>
                <w:szCs w:val="24"/>
                <w:highlight w:val="none"/>
              </w:rPr>
            </w:pPr>
            <w:r>
              <w:rPr>
                <w:rFonts w:hint="eastAsia" w:ascii="宋体" w:hAnsi="宋体" w:eastAsia="宋体" w:cs="宋体"/>
                <w:color w:val="auto"/>
                <w:sz w:val="24"/>
                <w:szCs w:val="24"/>
                <w:highlight w:val="none"/>
              </w:rPr>
              <w:t>一档得5分，二档得4.5分，三档得4分，四档得3.5分，五档得3分，六档得2.5分，七档得2分，八档得1.5分，九档得1分，十档得0.5分；未提及此项不得分。</w:t>
            </w:r>
          </w:p>
        </w:tc>
        <w:tc>
          <w:tcPr>
            <w:tcW w:w="833"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bl>
    <w:p>
      <w:pPr>
        <w:pStyle w:val="37"/>
        <w:shd w:val="clear"/>
        <w:rPr>
          <w:color w:val="auto"/>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pStyle w:val="37"/>
        <w:shd w:val="clear"/>
        <w:rPr>
          <w:color w:val="auto"/>
          <w:highlight w:val="none"/>
        </w:rPr>
      </w:pPr>
    </w:p>
    <w:p>
      <w:pPr>
        <w:pStyle w:val="37"/>
        <w:shd w:val="clear"/>
        <w:rPr>
          <w:color w:val="auto"/>
          <w:highlight w:val="none"/>
        </w:rPr>
      </w:pPr>
    </w:p>
    <w:p>
      <w:pPr>
        <w:shd w:val="clear"/>
        <w:spacing w:line="360" w:lineRule="auto"/>
        <w:jc w:val="center"/>
        <w:rPr>
          <w:rFonts w:hint="eastAsia" w:ascii="宋体" w:hAnsi="宋体" w:cs="宋体"/>
          <w:b/>
          <w:bCs/>
          <w:color w:val="auto"/>
          <w:sz w:val="36"/>
          <w:szCs w:val="36"/>
          <w:highlight w:val="none"/>
        </w:rPr>
      </w:pPr>
    </w:p>
    <w:p>
      <w:pPr>
        <w:shd w:val="clear"/>
        <w:spacing w:line="360" w:lineRule="auto"/>
        <w:jc w:val="center"/>
        <w:rPr>
          <w:rFonts w:hint="eastAsia" w:ascii="宋体" w:hAnsi="宋体" w:cs="宋体"/>
          <w:b/>
          <w:bCs/>
          <w:color w:val="auto"/>
          <w:sz w:val="36"/>
          <w:szCs w:val="36"/>
          <w:highlight w:val="none"/>
        </w:rPr>
      </w:pPr>
    </w:p>
    <w:p>
      <w:pPr>
        <w:shd w:val="clear"/>
        <w:spacing w:line="360" w:lineRule="auto"/>
        <w:jc w:val="center"/>
        <w:rPr>
          <w:rFonts w:hint="eastAsia" w:ascii="宋体" w:hAnsi="宋体" w:cs="宋体"/>
          <w:b/>
          <w:bCs/>
          <w:color w:val="auto"/>
          <w:sz w:val="36"/>
          <w:szCs w:val="36"/>
          <w:highlight w:val="none"/>
        </w:rPr>
      </w:pPr>
    </w:p>
    <w:p>
      <w:pPr>
        <w:shd w:val="clear"/>
        <w:spacing w:line="360" w:lineRule="auto"/>
        <w:jc w:val="center"/>
        <w:rPr>
          <w:rFonts w:hint="eastAsia" w:ascii="宋体" w:hAnsi="宋体" w:cs="宋体"/>
          <w:b/>
          <w:bCs/>
          <w:color w:val="auto"/>
          <w:sz w:val="36"/>
          <w:szCs w:val="36"/>
          <w:highlight w:val="none"/>
        </w:rPr>
      </w:pPr>
    </w:p>
    <w:p>
      <w:pPr>
        <w:shd w:val="clear"/>
        <w:spacing w:line="360" w:lineRule="auto"/>
        <w:jc w:val="center"/>
        <w:rPr>
          <w:rFonts w:hint="eastAsia" w:ascii="宋体" w:hAnsi="宋体" w:cs="宋体"/>
          <w:b/>
          <w:bCs/>
          <w:color w:val="auto"/>
          <w:sz w:val="36"/>
          <w:szCs w:val="36"/>
          <w:highlight w:val="none"/>
        </w:rPr>
      </w:pPr>
    </w:p>
    <w:p>
      <w:pPr>
        <w:shd w:val="clear"/>
        <w:spacing w:line="360" w:lineRule="auto"/>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第四章 公开招标需求</w:t>
      </w:r>
    </w:p>
    <w:p>
      <w:pPr>
        <w:shd w:val="clear"/>
        <w:spacing w:line="360" w:lineRule="auto"/>
        <w:jc w:val="left"/>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一、招标项目一览表</w:t>
      </w:r>
    </w:p>
    <w:p>
      <w:pPr>
        <w:shd w:val="clea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本次招标共</w:t>
      </w:r>
      <w:r>
        <w:rPr>
          <w:rFonts w:hint="eastAsia" w:ascii="宋体" w:hAnsi="宋体" w:cs="宋体"/>
          <w:color w:val="auto"/>
          <w:sz w:val="24"/>
          <w:szCs w:val="24"/>
          <w:highlight w:val="none"/>
          <w:u w:val="single"/>
        </w:rPr>
        <w:t>1</w:t>
      </w:r>
      <w:r>
        <w:rPr>
          <w:rFonts w:hint="eastAsia" w:ascii="宋体" w:hAnsi="宋体" w:cs="宋体"/>
          <w:color w:val="auto"/>
          <w:sz w:val="24"/>
          <w:szCs w:val="24"/>
          <w:highlight w:val="none"/>
        </w:rPr>
        <w:t>个标段，具体内容如下表：</w:t>
      </w:r>
    </w:p>
    <w:tbl>
      <w:tblPr>
        <w:tblStyle w:val="29"/>
        <w:tblW w:w="9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490"/>
        <w:gridCol w:w="1221"/>
        <w:gridCol w:w="780"/>
        <w:gridCol w:w="750"/>
        <w:gridCol w:w="1095"/>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0" w:type="dxa"/>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序号</w:t>
            </w:r>
          </w:p>
        </w:tc>
        <w:tc>
          <w:tcPr>
            <w:tcW w:w="2490" w:type="dxa"/>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项目名称</w:t>
            </w:r>
          </w:p>
        </w:tc>
        <w:tc>
          <w:tcPr>
            <w:tcW w:w="1221" w:type="dxa"/>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内容</w:t>
            </w:r>
          </w:p>
        </w:tc>
        <w:tc>
          <w:tcPr>
            <w:tcW w:w="780" w:type="dxa"/>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数量</w:t>
            </w:r>
          </w:p>
        </w:tc>
        <w:tc>
          <w:tcPr>
            <w:tcW w:w="750" w:type="dxa"/>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单位</w:t>
            </w:r>
          </w:p>
        </w:tc>
        <w:tc>
          <w:tcPr>
            <w:tcW w:w="1095" w:type="dxa"/>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预算</w:t>
            </w:r>
          </w:p>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（万元）</w:t>
            </w:r>
          </w:p>
        </w:tc>
        <w:tc>
          <w:tcPr>
            <w:tcW w:w="2140" w:type="dxa"/>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0"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2490" w:type="dxa"/>
            <w:vAlign w:val="center"/>
          </w:tcPr>
          <w:p>
            <w:pPr>
              <w:shd w:val="clea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快速维权中心二期建设项目（机房及展厅建设）——智能化及配套设备采购项目</w:t>
            </w:r>
          </w:p>
        </w:tc>
        <w:tc>
          <w:tcPr>
            <w:tcW w:w="1221"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详见具体技术需求</w:t>
            </w:r>
          </w:p>
        </w:tc>
        <w:tc>
          <w:tcPr>
            <w:tcW w:w="780"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750"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w:t>
            </w:r>
          </w:p>
        </w:tc>
        <w:tc>
          <w:tcPr>
            <w:tcW w:w="1095" w:type="dxa"/>
            <w:vAlign w:val="center"/>
          </w:tcPr>
          <w:p>
            <w:pPr>
              <w:shd w:val="clea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100</w:t>
            </w:r>
          </w:p>
        </w:tc>
        <w:tc>
          <w:tcPr>
            <w:tcW w:w="2140"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合同签订后</w:t>
            </w:r>
            <w:r>
              <w:rPr>
                <w:rFonts w:hint="eastAsia" w:ascii="宋体" w:hAnsi="宋体" w:cs="宋体"/>
                <w:color w:val="auto"/>
                <w:sz w:val="24"/>
                <w:szCs w:val="24"/>
                <w:highlight w:val="none"/>
                <w:lang w:eastAsia="zh-CN"/>
              </w:rPr>
              <w:t>30天内</w:t>
            </w:r>
            <w:r>
              <w:rPr>
                <w:rFonts w:hint="eastAsia" w:ascii="宋体" w:hAnsi="宋体" w:cs="宋体"/>
                <w:color w:val="auto"/>
                <w:sz w:val="24"/>
                <w:szCs w:val="24"/>
                <w:highlight w:val="none"/>
              </w:rPr>
              <w:t>完成供货</w:t>
            </w:r>
          </w:p>
        </w:tc>
      </w:tr>
    </w:tbl>
    <w:p>
      <w:pPr>
        <w:shd w:val="clear"/>
        <w:spacing w:line="360" w:lineRule="auto"/>
        <w:jc w:val="left"/>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二、参数要求</w:t>
      </w:r>
    </w:p>
    <w:tbl>
      <w:tblPr>
        <w:tblStyle w:val="29"/>
        <w:tblW w:w="51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62"/>
        <w:gridCol w:w="968"/>
        <w:gridCol w:w="1245"/>
        <w:gridCol w:w="4470"/>
        <w:gridCol w:w="73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b/>
                <w:bCs/>
                <w:i w:val="0"/>
                <w:iCs w:val="0"/>
                <w:color w:val="auto"/>
                <w:sz w:val="24"/>
                <w:szCs w:val="24"/>
                <w:highlight w:val="none"/>
                <w:u w:val="none"/>
              </w:rPr>
            </w:pPr>
            <w:r>
              <w:rPr>
                <w:rFonts w:hint="eastAsia" w:asciiTheme="majorEastAsia" w:hAnsiTheme="majorEastAsia" w:eastAsiaTheme="majorEastAsia" w:cstheme="majorEastAsia"/>
                <w:b/>
                <w:bCs/>
                <w:i w:val="0"/>
                <w:iCs w:val="0"/>
                <w:color w:val="auto"/>
                <w:kern w:val="0"/>
                <w:sz w:val="24"/>
                <w:szCs w:val="24"/>
                <w:highlight w:val="none"/>
                <w:u w:val="none"/>
                <w:lang w:val="en-US" w:eastAsia="zh-CN" w:bidi="ar"/>
              </w:rPr>
              <w:t>序号</w:t>
            </w:r>
          </w:p>
        </w:tc>
        <w:tc>
          <w:tcPr>
            <w:tcW w:w="547"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b/>
                <w:bCs/>
                <w:i w:val="0"/>
                <w:iCs w:val="0"/>
                <w:color w:val="auto"/>
                <w:sz w:val="24"/>
                <w:szCs w:val="24"/>
                <w:highlight w:val="none"/>
                <w:u w:val="none"/>
              </w:rPr>
            </w:pPr>
            <w:r>
              <w:rPr>
                <w:rFonts w:hint="eastAsia" w:asciiTheme="majorEastAsia" w:hAnsiTheme="majorEastAsia" w:eastAsiaTheme="majorEastAsia" w:cstheme="majorEastAsia"/>
                <w:b/>
                <w:bCs/>
                <w:i w:val="0"/>
                <w:iCs w:val="0"/>
                <w:color w:val="auto"/>
                <w:kern w:val="0"/>
                <w:sz w:val="24"/>
                <w:szCs w:val="24"/>
                <w:highlight w:val="none"/>
                <w:u w:val="none"/>
                <w:lang w:val="en-US" w:eastAsia="zh-CN" w:bidi="ar"/>
              </w:rPr>
              <w:t>区域</w:t>
            </w: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b/>
                <w:bCs/>
                <w:i w:val="0"/>
                <w:iCs w:val="0"/>
                <w:color w:val="auto"/>
                <w:sz w:val="24"/>
                <w:szCs w:val="24"/>
                <w:highlight w:val="none"/>
                <w:u w:val="none"/>
              </w:rPr>
            </w:pPr>
            <w:r>
              <w:rPr>
                <w:rFonts w:hint="eastAsia" w:asciiTheme="majorEastAsia" w:hAnsiTheme="majorEastAsia" w:eastAsiaTheme="majorEastAsia" w:cstheme="majorEastAsia"/>
                <w:b/>
                <w:bCs/>
                <w:i w:val="0"/>
                <w:iCs w:val="0"/>
                <w:color w:val="auto"/>
                <w:kern w:val="0"/>
                <w:sz w:val="24"/>
                <w:szCs w:val="24"/>
                <w:highlight w:val="none"/>
                <w:u w:val="none"/>
                <w:lang w:val="en-US" w:eastAsia="zh-CN" w:bidi="ar"/>
              </w:rPr>
              <w:t>设备名称</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b/>
                <w:bCs/>
                <w:i w:val="0"/>
                <w:iCs w:val="0"/>
                <w:color w:val="auto"/>
                <w:sz w:val="24"/>
                <w:szCs w:val="24"/>
                <w:highlight w:val="none"/>
                <w:u w:val="none"/>
              </w:rPr>
            </w:pPr>
            <w:r>
              <w:rPr>
                <w:rFonts w:hint="eastAsia" w:asciiTheme="majorEastAsia" w:hAnsiTheme="majorEastAsia" w:eastAsiaTheme="majorEastAsia" w:cstheme="majorEastAsia"/>
                <w:b/>
                <w:bCs/>
                <w:i w:val="0"/>
                <w:iCs w:val="0"/>
                <w:color w:val="auto"/>
                <w:kern w:val="0"/>
                <w:sz w:val="24"/>
                <w:szCs w:val="24"/>
                <w:highlight w:val="none"/>
                <w:u w:val="none"/>
                <w:lang w:val="en-US" w:eastAsia="zh-CN" w:bidi="ar"/>
              </w:rPr>
              <w:t>性能参数</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b/>
                <w:bCs/>
                <w:i w:val="0"/>
                <w:iCs w:val="0"/>
                <w:color w:val="auto"/>
                <w:sz w:val="24"/>
                <w:szCs w:val="24"/>
                <w:highlight w:val="none"/>
                <w:u w:val="none"/>
              </w:rPr>
            </w:pPr>
            <w:r>
              <w:rPr>
                <w:rFonts w:hint="eastAsia" w:asciiTheme="majorEastAsia" w:hAnsiTheme="majorEastAsia" w:eastAsiaTheme="majorEastAsia" w:cstheme="majorEastAsia"/>
                <w:b/>
                <w:bCs/>
                <w:i w:val="0"/>
                <w:iCs w:val="0"/>
                <w:color w:val="auto"/>
                <w:kern w:val="0"/>
                <w:sz w:val="24"/>
                <w:szCs w:val="24"/>
                <w:highlight w:val="none"/>
                <w:u w:val="none"/>
                <w:lang w:val="en-US" w:eastAsia="zh-CN" w:bidi="ar"/>
              </w:rPr>
              <w:t>数量</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b/>
                <w:bCs/>
                <w:i w:val="0"/>
                <w:iCs w:val="0"/>
                <w:color w:val="auto"/>
                <w:sz w:val="24"/>
                <w:szCs w:val="24"/>
                <w:highlight w:val="none"/>
                <w:u w:val="none"/>
              </w:rPr>
            </w:pPr>
            <w:r>
              <w:rPr>
                <w:rFonts w:hint="eastAsia" w:asciiTheme="majorEastAsia" w:hAnsiTheme="majorEastAsia" w:eastAsiaTheme="majorEastAsia" w:cstheme="majorEastAsia"/>
                <w:b/>
                <w:bCs/>
                <w:i w:val="0"/>
                <w:iCs w:val="0"/>
                <w:color w:val="auto"/>
                <w:kern w:val="0"/>
                <w:sz w:val="24"/>
                <w:szCs w:val="24"/>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547" w:type="pct"/>
            <w:vMerge w:val="restar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一楼展示宣传厅</w:t>
            </w: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98寸显示系统</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1、屏幕尺寸98英寸</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2、USB2.0接口数2个</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3、USB3.0接口数无USB3.0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4、HDMI2.1接口数1个</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5、HDMI2.0接口数2个</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6、连接方式 无线/有线</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7、功耗参数 工作电压220V</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8、电源功率 550W</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9、待机功率 0.5W</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10、屏占比95%&gt;N≥90%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11、底座材质 金属</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12、安装孔距800*400mm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13、边框材质金属</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14、WIFI频段2.4G&amp;5G</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15、运行内存/RAM4GB</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16、系统Android</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17、背光方式直下式/DLED</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18、存储内存64GB</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19、CPU架构 四核A73</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20、显示类型LCD显示</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21、音响功率30W</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22、亮度400-600尼特</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23、屏幕比例16:9</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24、色域值85%</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25、色域标准NTSC</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26、屏幕分辨率超高清4K</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27、响应时间8ms</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75寸显示系统</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1、屏幕尺寸75英寸</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2、USB2.0接口数2个</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3、USB3.0接口数无USB3.0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4、HDMI2.1接口数1个</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5、HDMI2.0接口数2个</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6、连接方式 无线/有线</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7、功耗参数 工作电压220V</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8、电源功率 550W</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9、待机功率 0.5W</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10、屏占比95%&gt;N≥90%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11、底座材质 金属</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12、安装孔距800*400mm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13、边框材质金属</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14、WIFI频段2.4G&amp;5G</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15、运行内存/RAM4GB</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16、系统Android</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17、背光方式直下式/DLED</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18、存储内存64GB</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19、CPU架构 四核A73</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20、显示类型LCD显示</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21、音响功率30W</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22、亮度400-600尼特</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23、屏幕比例16:9</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24、色域值85%</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25、色域标准NTSC</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26、屏幕分辨率超高清4K</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27、响应时间8ms</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显示器支架</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国产定制</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w:t>
            </w:r>
          </w:p>
        </w:tc>
        <w:tc>
          <w:tcPr>
            <w:tcW w:w="547" w:type="pct"/>
            <w:vMerge w:val="restar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一楼培训室</w:t>
            </w: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专业功放</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1.1U机箱设计，采用D类数字功放设计方案。</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2.标准XLR输入接口，和LINK输出口，简洁的接口更加方便不同用户需求。</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3.电源采用开关电源技术，效率高，有效的抑制电源谐波。</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4.内置智能削峰限幅器，支持开机软启动，防止开机时向电网吸收大电流，干扰其它用电设备。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5.具有：过压保护，欠压保护，过流保护，直流保护，输出短路保护，温控风扇等功能。</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6.输出功率：立体声@8Ω：≥350W×2；立体声@4Ω：≥600W×2。</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音箱</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1.阻抗：8Ω</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2.频响：≥65Hz-20KHz</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3.额定功率≥200W</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4.灵敏度≥97dB/W/M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5.水平覆盖角≥90°，垂直覆盖角≥70°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6.高音：1.3"高音单元×1</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7.低音：8"低音×1</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支架</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固定面板固定孔尺寸（长*宽）：34mm*34mm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箱体固定面板固定孔尺寸：110mm</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音频处理器</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1.数字音频处理器支持≥4路平衡式话筒/线路输入通道，采用裸线接口端子，平衡接法；支持≥4路平衡式线路输出，采用裸线接口端子，平衡接法。</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输入通道支持前级放大、信号发生器、扩展器、压缩器、≥12段参量均衡，≥31段图示均衡、闪避器、AGC自动增益、AM自动混音功能（门限式、增益共享式）、AFC自适应反馈消除、AEC回声消除、ANC噪声消除、音频矩阵,输出通道支持≥12段参量均衡，≥31段图示均衡、延时器、分频器、高低通滤波器、限幅器。（提供设备界面截图佐证，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3.高性能专业DSP处理器，支持≥32bit/48kHz的声音，支持输入通道48V幻象供电。</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具有2英寸IPS真彩显示屏，支持显示设备网络信息、实时电平、通道静音状态,支持通过APP软件进行操作控制，面板具备USB接口，支持多媒体存储，可进行播放或存储录播。（提供功能界面截图及接口截图佐证，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5.配置双向RS-232接口，可用于控制外部设备；配置RS-485接口，可实现自动摄像跟踪功能。配置≥8通道可编程GPIO控制接口（可自定义输入输出）。</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6.支持断电自动保护记忆功能。支持通道拷贝、粘贴、联控功能。管理控制软件可工作在XP/Windows7、8、10等系统环境下。</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7.≥8个场景预设，支持场景信息导入、场景信息导出。</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移动端管理服务端软件</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1.支持对输入通道信号增益可视化调节，支持-72dB~+12dB增益范围调节。</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2.支持对输出通道信号增益可视化调节，支持-72dB~+12dB增益范围调节。</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3.显示每个通道的电平和增益，支持对每个通道的快速静音/开启按钮。</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4.支持预设≥100个场景，可快速切换设置场景。</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5.带有混音器设置，根据音频输入输出任意调整，支持输入通道信号经过处理后给到任意输出通道信号。</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6.可根据全系列音频处理器设备及现场调试情况调整输入输出通道显示与隐藏。</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★投标产品厂家获得国家版权局颁发的“移动端管理服务端软件”证书，且同时提供软件测试报告（全套）资料，提供证书官网截图和有效复印件，并加盖生产厂家公章。</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桌面式话筒</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1.具有≥1台接收主机、≥双手持发射机；频率范围等同或优于540MHz-590MHz、640MHz-690MHz。</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2.接收机具有≥2路平衡输出、≥1路非平衡混音输出。</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3.具有自动频率扫描功能，可快速地给麦克风找到清晰的频率。</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4.支持混响调节功能，比例调节、延时调节、电平调节≥25个档位。</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★5.支持麦克风均衡器调节功能，≥高、中、低音三种调节档位。（提供软件界面截图证明，并加盖生产厂家公章）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6.接收机具有显示屏，用户可通过显示屏查看设备发射功率强度、音频加密状态、电池电量、频率数值、智能静音状态、静音标志。</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★7.具有自动静音功能，麦克风跌落、抛掷时，毫秒级响应自动静音，避免冲击声；产品静置5秒自动静音。（出具满足该参数的第三方权威机构检测报告，提供相关证明材料，并加盖生产厂家公章）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8.麦克风具有长时间静置自动关机功能，设备自动检测工作状态（使用状态、静置状态），静置时间≥8分钟后，设备自动关机。</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10</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手持式话筒</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1.具有≥1台接收主机、≥2只桌面式鹅颈咪杆话筒；频率范围：优于或等同540MHz-590MHz、640MHz-690MHz。</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2.接收机具有≥4路平衡输出、≥1路非平衡混音输出。</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3.具有自动频率扫描功能，可快速地给麦克风找到清晰的频率。</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4.支持混响调节功能，比例调节、延时调节、电平调节不低于25个档位。</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★5.支持麦克风均衡器调节功能，≥高、中、低音三种调节档位。（提供软件界面截图证明，并加盖生产厂家公章）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6.接收机具有显示屏，用户可通过显示屏查看设备发射功率强度、音频加密状态、电池电量、频率数值。</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7.桌面麦≥1个3.5mm耳机孔，可通过3.5mm耳机孔输入音频。</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8.桌面麦支持通过Type-C口进行充电。</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9.桌面麦电池孔位≥4个，连续使用时长≥15小时；电池具有扩展性，连续使用时长可扩展至≥60小时。</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11</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天线分配器</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1.提供≥2进≥8出的天线信号分配器设备。</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2.简化天线装配工程，提升接收距离及效能。</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3.两路天线信号接收到分配器的天线输入端。</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4.两路信号输出到下一台分配器的天线输入端进行级联。</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12</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话筒天线</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1.射频频率范围等同或优于450-950MHz</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2.驻波比：≤2.0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3.输入阻抗：≤50Ω</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4.放大器底噪：＜3.6dB</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5.增益：≥18db(典型)</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6.极化方式：垂直</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7.前后比：≥25dB</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8.指向性：≥180度指向</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13</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调音台</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1.支持≥8路麦克风输入兼容6路线路输入接口，支持≥2路立体声输入接口，≥4路RCA输入，话筒接口幻象电源：+48V。</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具有≥2组立体主输出、≥4路编组输出、≥4路辅助输出、≥1组立体声监听输出、≥1个耳机监听输出、≥1组主混音断点插入、≥6个断点插入,内置USB声卡模块，支持连接电脑进行音乐播放和声音录音；内置MP3播放器，支持≥1个USB接口接U盘播放音乐。（提供接口图佐证，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3.内置≥24位DSP效果器，提供≥100种预设效果。</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4.具备≥13个60mm行程的高精密碳膜推子。</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14</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电源管理器</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1.支持≥8通道电源时序打开/关闭，每路动作延时时间：≤1秒，支持远程控制（上电+24V直流信号）8通道电源时序打开/关闭—当电源开关处于off位置时有效。支持配置CH1和CH2通道为受控或不受控状态。</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2.当远程控制有效时同时控制后板ALARM（报警）端口导通以起到级联控制ALARM（报警）功能。</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3.单个通道最大负载功率≥2200W，所有通道负载总功率≥6000W。输出连接器：多用途电源插座。</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4.具有一路及以上USB输出接口。</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15</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显示系统</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像素结构 表贴三合一 SMD1515 黑灯</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像素间距（mm） 1.86</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模组分辨率（W×H） 172×86</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模组尺寸（mm） 320（W）×160（H）×15</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模组重量（kg/块） 0.5</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模组最大功耗（W/块） 12</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像素密度（点/m2 ） 288906</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维护方式 磁吸前维护</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显示屏亮度（nits） 600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色温（K） 8000—19000 可调</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水平视角（°） 160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垂直视角（°） 160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对比度 4000:1</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亮度均匀性 ≥97%</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色度均匀性 ±0.003Cx,Cy 之内</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最佳视距（m） ≥2</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峰值功耗（W/m2） 650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平均功耗（W/m2） 170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供电要求 AC220-240V</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驱动方式 恒流驱动</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换帧频率（Hz） 60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刷新率（Hz）≥3840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工作温度范围（℃） -10—40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存储温度范围（℃） -20—60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工作湿度范围（RH）无结露10-80%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存储湿度范围（RH）无结露10-85%</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信号接口 HUB 75E 接口</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电源接口 VH4PIN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★显示屏具备20条以上可选择的γ校正曲线，用户可根据要求自行调整（提供封面具有ilac-MRA、CNAS、CMA、标识盖章的权威检测报告，并加盖生产厂家公章）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★显示屏整屏平整度≤0.1mm，模组间拼缝≤0.1mm（提供封面具有ilac-MRA、CNAS、CMA、标识盖章的权威检测报告，并加盖生产厂家公章）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显示屏亮度在100cd/m2,灰度等级为14bit,刷新率2500HZ以上亮度在200cd/m2,灰度等级为≥14bit,刷新率≥3200HZ以上；亮度在500cd/m2,灰度等级为16bit,刷新率≥3800HZ以上；（提供封面具有ilac-MRA、CNAS、CMA、标识盖章的权威检测报告，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★显示屏发光点中心距偏差＜1%，灯芯波长误差±1.5nm（提供封面具有ilac-MRA、CNAS、CMA、标识盖章的权威检测报告，并加盖生产厂家公章）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★显示屏垂直视角上下≥170°； 亮度均匀性≥99%，色度均匀性±0.001Cx,Cy 之内。（提供封面具有ilac-MRA、CNAS、CMA、标识盖章的权威检测报告，并加盖生产厂家公章）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★LED显示屏工作状态下最大噪音值，产品前、后、左、右噪声与 环境背景噪声相差均不超过2.0dB(A)。 (环境背景噪声为27.5 dB(A))（提供封面具有ilac-MRA、CNAS、CMA、标识盖章的权威检测报告，并加盖生产厂家公章）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★LED显示屏控制系统的信号发送/转接/接收卡必须做环路冗余备 份，信号支持双回路热备份自动转换，单元箱体采用双冗余电源 供电，具有自动切换功能；视频及控制信号采用菊花链式环接。（提供封面具有ilac-MRA、CNAS、CMA、标识盖章的权威检测报告）</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★支持多bin色度校正，校正数据存储在模组里，采用色彩管 理系统，在LED控制系统对视频解码后，添加二次过滤显示算法，对显示屏每一个发光二极管进行逐点14位颜色校正。（提供封面具有ilac-MRA、CNAS、CMA、标识盖章的权威检测报告，并加盖生产厂家公章）</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9.5</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16</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发送卡</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信号输入 1 路 DVI/HDMI</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信号输出 4 路网口输出</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信号控制 USB</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最大带载分辨率 2048×1152@60Hz 或 1920×1200@60Hz</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换帧频率(Hz) 60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刷新率(Hz) 3840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处理深度(bits) 16</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灰度等级(Level) 65535</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颜色 281.4 trillion</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亮度控制 自动/手动</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一般规范</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尺寸(mm) 482.6×250×44.45 (长×宽×高)</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供电要求 110~220VAC±15%</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平均功耗 ＜20W</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工作温度范围(℃) -10 - 45</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存储温度范围(℃) -20 - 60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工作湿度范围(RH) 无结露 10 - 90%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存储湿度范围(RH) 无结露 10 - 90%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★发送卡可开启LED显示屏智能除湿模式，让显示屏亮度逐渐提升。（提供封面具有ilac-MRA、CNAS、CMA、标识盖章的权威检测报告，并加盖生产厂家公章）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★为保证系统的兼容及稳定性，发送卡厂家与LED显示屏厂家为同一制造商，提供CCC证书证明复印件加盖生产厂家公章。</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17</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接收卡</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集成12个标准HUB75接口，免接HUB板</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采用千兆网口通信，可以连接PC</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支持亮色度逐点校正</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支持接收卡预存画面设置。</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支持温度、电压、网线通讯和视频源信号状态检测。</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 5Pin 液晶模块</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26</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18</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视频处理器</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4进4出</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1.设备应为纯硬件FPGA架构，CrossPoint全总线交换技术，背板等效带宽，不能内置PC/X86/X64架构硬件，以避免X86/X64架构天然存在的计算可靠性和准确性缺陷以及设备运行不稳定问题。</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2.输入输出板卡可热插拔，输入板卡热插拔恢复时间＜2s，输出板卡热插拔恢复时间＜8s。</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3.开机时间≤10s，启动电源至输出最总画面的时间间隔。</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4、平均故障时间间隔（MTBF）不小于96000小时，保证设备能够稳定运行。（提供MTBF评估报告）</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5、最大单机背板信号处理带宽不小于720Gbps。（提供CNAS机构认可的第三方权威检测报告）</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6.支持集中采集DVI、VGA、CVBS、HDBaseT、HDMI、SDI、YPbPr、光纤等2K信号，Dual-link DVI、HDMI 1.4、DisplayPort等4K信号。</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7.支持DVI、HDBaseT、HDMI、SDI、光纤、CVBS、Ypbpr等常见的2K信号输出，Dual-link DVI、HDMI 1.4等4K信号输出。（提供CNAS机构认可的第三方权威检测报告并加盖生产厂家公章）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8.单台设备最大规模支持128路高清输入，144路高清输出，均不需要设备级联。（提供CNAS机构认可的第三方权威检测报告并加盖生产厂家公章）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9.设备具备静态底图功能，设备支持超大分辨率底图显示，横纵分辨率最大65535像素。（提供CNAS机构认可的第三方权威检测报告并加盖生产厂家公章）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★10.支持设置拼接屏的拼缝补偿，可精确到1个像素。（提供CNAS机构认可的第三方权威检测报告并加盖生产厂家公章）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11.具备7x24 小时长时间连续开机工作的能力。</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★12.支持视频网络运维管理协议，实时监测设备的运行状态，对设备异常情况进行报警。（提供CNAS机构认可的第三方权威检测报告并加盖生产厂家公章）</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19</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智能处理器控制管理</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1.可联控市面主流品牌矩阵切换器，开放联控接口。</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2.支持集成中控功能，实现对大屏幕的开关控制。</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3.支持 RS232串口和网络TCP/IP控制，开放控制协议，可与各品牌中控系统轻松集成。</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★4.支持移动终端软件控制，不用外加中控直接实现场景调取等功能。（提供CNAS机构认可的第三方权威检测报告，并加盖生产厂家公章）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★5.支持故障检测功能，支持输入信号丢失检测，使用灰色标示。（提供CNAS机构认可的第三方权威检测报告，并加盖生产厂家公章）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6.软件支持Windows操作系统和麒麟操作系统。</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20</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无线投屏系统</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无线投屏系统，由无线投屏器和无线接收盒组成，系统支持将Windows、Mac等不同系统终端上当前的操作内容即时同步地显示到另外一个显示设备如电视、触控一体机、投影机上，并支持双向控制，适用于各种类型办公室、会议室、多媒体教室等。</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无线投屏器 功能特性</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免配置，免安装，自动连接</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USB接口即插即用</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支持 Windows，Mac，WiFi 2.4G/5G 双频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 1080P 30fps</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无线接收盒 功能特性</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四核主控，2G内存，8G 存储</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支持Windows，IOS，Android系统</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5G STA&amp;&amp;AP 同时运行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★为保证系统的兼容及稳定性，无线投屏系统与LED显示屏厂家为同一制造商，提供CCC证书证明并加盖原厂公章。</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21</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钢结构</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主框架采用热镀锌方管焊接，焊点须打磨喷防锈漆处理。</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9.5</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22</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开关电源</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总输出功率（W）200                                                                                                                                                                                                                  输入电压范围（Vac）200—240                                                                                                                                                                                                              输出电压（Vdc）+5.0                                                                                                                                                                                                        输出电流范围（A）0-40.0                                                                                                                                                                                                         稳压精度±2%                                                                                                                                                                                                                        纹波及噪音（mVp-p） ≤150                                </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60</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23</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配电柜</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配电柜20KW,具备过压、过流、欠压、缺相、短路、断路保护,具备分步延时起动和分步延时断电的功能。</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智能上电系统 通过智能分步上电模块和远程电源管理软件,对配电柜控制，可实现玩程开关机功能。</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24</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电缆线</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5*10平方以上国标电缆</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25</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显示屏配件</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超6类网线、音响线、PVC20管、电源线、背胶、水晶头、扎带、胶布PDU插座、理线器等</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26</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工作站</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CPUi5以上，内存16G以上，硬盘256以上，显示器24寸以上,</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操作系统：Windows 10</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27</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主席台桌</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5人位桌，颜色胡桃色，台面厚度达到4CM及以上，木皮烤漆</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28</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主席台椅</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实木加真皮 座高46座宽62深度70总高120CM</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29</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培训椅</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1、椅架：采用壁厚足1.5钢管表面烤漆，横梁采用足2.0圆管</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2、靠背：带后仰功能；采用全新PA尼龙靠背扪华宇优质网布，符合人体工学，护腰设计</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3、坐垫：采用一次发泡高密度PU定型海棉+扪华宇工程网布+全新工程塑料防尘底壳</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4、扶手：采用一体成型PP+纤，加宽独特设计，使其更舒适美观大方</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5、写字板：面板采用ABS工程塑料热熔一体成型，水杯架与笔槽设计更贴心铝合金托盘加旋转连接杆，实心16厘铁杆。</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30</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天井机</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循环风量2000(m/h)</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制冷/制热额定功3850/4050率(W)</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制热量(W)13500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制冷量(W)12000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产品参数</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面板尺寸(宽x高x深)mm950x52x950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室外机尺寸(宽x高x深)mm978x1260x412</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室内机尺寸(宽x高x深)mm840x240x840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能效比2.92</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能效等级3级</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基础参数</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颜色亮白</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防水等级IPX4</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制冷剂R32</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额定电压/频率(V/Hz)380V 3N~/50Hz</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单冷/冷暖冷暖</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运行音量噪音(室内/室外)dB(A)49/58</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31</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窗帘</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尺寸：390*320 遮光率:99%+</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材质:聚酯纤维</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重量:约100g/㎡</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配件:挂钩</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颜色:银灰色</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款式:默认挂钩式</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32</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机柜</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600*600*1610</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33</w:t>
            </w:r>
          </w:p>
        </w:tc>
        <w:tc>
          <w:tcPr>
            <w:tcW w:w="547" w:type="pct"/>
            <w:vMerge w:val="restar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一楼受理呼叫系统</w:t>
            </w: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人脸识别组件</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操作系统：嵌入式Linux操作系统；</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屏幕参数： 7英寸触摸显示屏，屏幕比例9:16，屏幕分辨率600*1024；</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摄像头参数：采用宽动态200万双目摄像头；</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认证方式：支持人脸、刷卡（IC卡、手机NFC卡、CPU卡序列号/内容、身份证卡序列号）、密码认证方式，可外接身份证、指纹、蓝牙、二维码功能模块；</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人脸验证：采用深度学习算法，支持单人或多人识别（最多5人同时认证）功能；支持照片、视频防假；1:N人脸验证速度≤0.2s，人脸验证准确率≥99%；</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存储容量：本地支持10000人脸库、50000张卡，15万条事件记录；</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硬件接口：LAN*1、RS485*1、Wiegand * 1(支持双向)、typeC类型USB接口*1、电锁*1、门磁*1、报警输入*2、报警输出*1、开门按钮*1、SD卡槽*1（最大支持512GB）、3.5mm音频输出接口*1；</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通信方式及网络协议：有线网络；</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使用环境：IP65，室内外环境（室外使用必须搭配遮阳罩）；</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安装方式：壁挂安装（标配挂板，适配86底盒）；</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工作电压： DC12V~24V/2A（电源需另配）；</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产品尺寸：209.2*110.5*24mm；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设备重量：净重0.56kg，毛重0.88kg</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★应具有拓展GPS定位模块能力，应能通过事件方式定时上报设备位置信息。（并提供公安部检验报告证明）</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★满足GA/T 1179-2014《安防声纹确认应用算法技术要求和测试方法》。（并提供公安部检验报告证明）</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34</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磁力锁</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锁体主体颜色为深灰色。</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最大静态直线拉力：280kg ± 15%</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断电开锁，满足消防要求；</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具有电锁状态指示灯（红灯为开锁状态， 绿灯为上锁状态）；</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支持锁状态侦测信号(门磁)输出：NO/NC/COM接点；</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工作电压：12V/420mA 或 24V/210mA；</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锁体尺寸：长238*宽47*厚28(mm)；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吸板尺寸：长182*宽38*高13(mm)；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使用环境：室内（不防水）；</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适用门型：木门、玻璃门、金属门、防火门。</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35</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支架</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选用材料：高强铝合金，表面喷沙，颜色为深灰色。</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外壳处理：阳极硬化电镀处理</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适用门型：木门、金属门</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开门方式：90度内开式门</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产品重量：0.77kg</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L型支架尺寸：长238*宽47*厚30(mm)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Z型支架尺寸：长185*宽51*厚50(mm)</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36</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开门按钮</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结构：塑料面板；</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性能：最大耐电流1.25A，电压250V；</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输出：常开；</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类型：适合埋入式电器盒使用；</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尺寸：86*86mm，安装后露出13mm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重量：0.07kg；</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37</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电源</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输入电压：100-240VAC；</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输出电压：12VDC；</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输出电流：4.17A；</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输出功率：50W；</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工作温度：-10℃-+50℃；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工作湿度：＜95%；</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尺寸：99*82*30mm；</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38</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输出设备</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打印速度33页/分钟</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打印语言PCLm/PS3/PCL6/PCL5</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CPU双核1GHz</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内存1GB</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双面打印 自动双面</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纸张处理</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纸张输入容量标准进纸盒:250页;多功能进纸:标配1页</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纸张输出容量125页</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一般特性</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整机尺寸(长x宽x高)421x442x308mm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整机重量(不带随21kg机硒鼓)</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打印环境温度范围:10~32℃;湿度范围:20%~80%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电源电压220-240V;50-60Hz;3.8A</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操作系统(Win)</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Win10/Win8.1/Win8.0/Win7/Server</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2016/Server 2012/Server 2008/Vista</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国产操作系统</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银河麒麟+飞腾、银河麒麟+龙芯、银河麒麟+兆</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芯、银河麒麟+鲲鹏、中标麒麟+龙芯、中标麒麟+</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兆芯、中科方德+兆芯、UOS+鲲鹏、UOS+兆芯、</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UOS+龙芯、UOS+飞腾</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接口类型高速USB 2.0;10/100/1000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耗材</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耗材类型鼓粉分离</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随机硒鼓鼓组件:125000页;黑白粉盒:2000页;彩色/1400页</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商品硒鼓</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CTL-350C:1400页、CTL-350M:1400页、CTL-</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350Y:1400页;CTL-350K:2000页、CTL-</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350HC:5000页、CTL-350HM:5000页、CTL-</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350HY:5000页;CTL-350HK:8500页</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39</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输出设备</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25页/分钟、单纸盒250张/只+手送80张、50万设计寿命、标配网络打印1200*1200dp、复印600*600dpi、彩色扫描、一健ID复印、wifi、7英寸彩色触摸屏、0秒待机、标配输稿器、双面器、可选配附件单纸盒组件AK1</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40</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工作站</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CPU R7-8845H以上，处理器基准频率3.8GHz，屏幕分辨率2880*1800以上，支持容量32GB，</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41</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输出设备</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产品类型 黑白激光打印机</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最大处理幅面 A4</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耗材类型 鼓粉一体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预热时间 0秒预热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双面功能 手动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网络功能 支持有线网络打印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接口类型  USB2.0，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电源电压  AC 220-240V（±10%），50/60Hz（±2Hz）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环境参数 工作温度：10-32.5℃，工作湿度：10-80%RH</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42</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工作站</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CPUi5以上，内存16G以上，硬盘256以上，显示器24寸以上,</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操作系统：Windows 10</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43</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窗帘</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尺寸300*280面料材质加厚涤纶卷帘</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透光指数可选半遮光/全遮光</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控制范围拉珠升降(拉珠左右均可放置)</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定制范围宽x高(高度固定2M/2.3M)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包含配件铝合金轨道+码螺丝栓</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安装方式打孔/免打孔</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44</w:t>
            </w:r>
          </w:p>
        </w:tc>
        <w:tc>
          <w:tcPr>
            <w:tcW w:w="547" w:type="pct"/>
            <w:vMerge w:val="restar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一楼监控</w:t>
            </w: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网络摄像机</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支持背光补偿，强光抑制，3D数字降噪，120 dB宽动态，适应不同场景</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 场景变更侦测，区域入侵侦测，越界侦测，进入区域侦测，离开区域侦测，物品遗留侦测，物品拿取侦测，徘徊侦测，停车侦测，人员聚集侦测，快速移动侦测，音频异常侦测，音频陡升侦测，音频陡降侦测</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支持萤石平台接入</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采用高效阵列红外灯，使用寿命长，红外照射距离最远可达30 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支持最大512 GB Micro SD/Micro SDHC/Micro SDXC卡本地存储</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1个内置麦克风，高清拾音</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支持1路音频输入，1路音频输出，支持1路报警输入，1路报警输出</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支持1路DC12 V，100 mA电源输出，建议用于拾音器供电</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符合IP66，IK10，可靠性高</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 ★具备区域入侵、越界、进入区域、离开区域、人员聚集、快速移动、徘徊、物品移除、物品遗留、停车智能分析功能，当以上智能分析行为达到设定的阈值时，可通过客户端软件或IE浏览器给出报警提示。（并提供公安部检验报告证明）</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45</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硬盘录像机</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1U 260系列机箱</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1盘位，已内置1块1T盘</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支持1个HDMI+1个VGA同源高清1080P输出</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支持4路1080P解码显示</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支持H.265、H.264混合解码，最大支持6MP高清IPC</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1个百兆网口+4个百兆POE网口</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2个USB2.0接口</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46</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硬盘</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3.5英寸6TB 64M SATA3</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47</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POE交换机</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个10/100/1000Mbps电口（支持PoE/PoE+），1个10/100/1000Mbps电口。整机POE最大输出功率120W，支持端口状态显示、端口流量统计、PoE端口输出功率状态、端口双工/协商速率配置、流控配置、PoE输出开关，支持广播风暴抑制、端口限速、端口隔离，支持端口镜像、环路保护、线缆检测支持EWEB/APP/MACC管理。</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48</w:t>
            </w:r>
          </w:p>
        </w:tc>
        <w:tc>
          <w:tcPr>
            <w:tcW w:w="547" w:type="pct"/>
            <w:vMerge w:val="restar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一楼大厅信息发布</w:t>
            </w: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65寸信息发布屏</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一、外观设计：</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1、外观简洁商务风格，四等边超薄窄边框设计，易于竖挂及拼接，屏占比高。</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2、根据整机横竖挂场景，重力感应自动调节横竖屏显示方向，无需手动调试，自适应。</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3、屏下遥控设计，遥控接收隐藏，整机外观更简约，嵌墙安装无需考虑遥控遮挡。</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二、系统配置：</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1、为保证系统运行效果，整机需采用不低于Android 11.0系统，内置CPU性能≥四核A55主频高达1.9Hz，内置GPU性能≥双核Mali G52，RAM≥4G，ROM≥32G。</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2、内置可插拔无线蓝牙模块需支持802.11 a/b/g/n/ac，工作频率2.4GHz/5GHz；支持无线投屏功能。</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三、外部接口：</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1、支持TYPE-C接口，可实现一根线视频 、音频 、网络信号传输，支持显示笔记本4k@60hz信号，音视频同步，笔记本电脑可以通过TYPE-C访问整机的有线网络，支持TYPE-C最大65W充电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2、支持USB供电供电功率 5V 500mA/900mA，支持USB给播放盒供电。</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四、显示参数：</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为保证显示效果，屏幕采用高雾度防眩光面板，面板雾度≥25%，,可视角度≥178°，高光下图片效果更逼，从各个视角观看都不反光，有效降低眩光、倒影对于人眼干扰，提升观看舒适度。为保证显示色彩效果及可视角度，整机屏幕需采用≥65英寸液晶屏，显示比例16:9，，色彩度≥10bit ,可视角度≥178°；亮度≥500cd/m2，对比度≥1200：1，色域达到72%NTSC,可显示更鲜艳的色彩。</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2、为保证显示细节屏幕色准Delta E&lt;1.5，采用AI PQ算法，针对不同模式屏幕可智能调节最佳PQ参数，显示色彩更鲜艳，显示细节更突出。</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五、系统功能：</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1、支持最大3行3列拼接，自带拼接软件可通过HDMI Daisy Chain接口实现拼接功能。</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2、支持像素偏移（帧漂移），防止烧屏及画面残影和屏幕灼伤。</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六、产品通过国家3C认证（需提供认证证书复印件）。</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49</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远程信息发布系统</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1、系统采用B/S架构，管理人员只需通过浏览器即可访问使用；</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2、支持素材库，可对素材进行任意分组；</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3、节目制作支持可视化编辑，可任意划分多个显示区域，对视频、图片等素材进行任意拖放操作、可设置节目的播放优先级；</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4、一个节目可包含多个场景，终端会按照节目里场景的优先级和播放顺序进行播放；</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5、系统具备数字时钟、天气预报、RSS新闻等模块，可以添加视频，音频，图片，网页，PPT，WORD，EXCEL，PDF，流媒体直播；支持多个视频循环播放；</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6、支持节目的导入导出，复制功能，导出节目可在网络异常时单机播放；</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7、节目制作中可设置各种素材的显示层级，可动态调整节目显示的大小，方便节目制作；</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8、时间组件与字幕组件可以实现显示在视频上；</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9、支持视频加密，防止恶意替换视频文件，入系统的视频无法用其他播放器打开，以防止视频文件被窃取；</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10、可发送一行滚动字幕，并且设置滚动字幕的字体、大小、字色、背景色等，背景色可以透明,可叠加到视频上；支持向上、下、左、右滚动；</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11、对通知设置时间段播放 并且支持创建多轮 循环播放；</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12、支持定时下载并支持下载断点续传，并可针对每个终端进行带宽控制；</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13、支持文件断电续传：下载过程中断电关机，再开机继续下载之前未下载完剩余的任务文件；</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14、可对终端下载节目文件的实时状态进行监控；</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15、可通过系统查看终端节目播放列表，日程播放安排；</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16、可监控每条指令发出后终端的执行状态，监控终端实时播放画面；</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17、系统具备严格的用户权限管理机制，可限制到每个功能模块，可任意分配用户所属终端，同一终端可以被多个用户同时管理；</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18、管理中心可以同步各客户端的时钟，确保节目表时程执行的准确性；</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19、实时查看各终端的网络联机状态和开关机状态，实时监控其运行情况和正在播放的画面，提供播放日志，管理人员可以直接浏览、查询，日志模块内可以查看每个终端的指令执行状态；</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20、可以设置一天中5次开关时间，例如早上8点开启，中午12点关闭。下午1点开启，晚上6点关闭等；</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21、支持在网络异常下把制作好的节目直接导入到U盘单机播放；</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22、系统支持智能清理功能，可自动清理不再使用的文件；</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23、可以远程对终端系统升级，远程设置终端音量大小；</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24、支持终端播放内容的统计，例如视频，图片等播放次数的统计；</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25、支持终端在线时长统计；</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26、支持多级审核，可对下级用户制作的节目，以及发布的命令进行审核；</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27、支持系统设置遥控密码，进一步保护节目安全性；</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50</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普通壁挂支架</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普通壁挂支架，横竖可用</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51</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天井机</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循环风量2000(m/h)</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制冷/制热额定功3850/4050率(W)</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制热量(W)13500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制冷量(W)12000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产品参数</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面板尺寸(宽x高x深)mm950x52x950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室外机尺寸(宽x高x深)mm978x1260x412</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室内机尺寸(宽x高x深)mm840x240x840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能效比2.92</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能效等级3级</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基础参数</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颜色亮白</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防水等级IPX4</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制冷剂R32</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额定电压/频率(V/Hz)380V 3N~/50Hz</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单冷/冷暖冷暖</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运行音量噪音(室内/室外)dB(A)49/58</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52</w:t>
            </w:r>
          </w:p>
        </w:tc>
        <w:tc>
          <w:tcPr>
            <w:tcW w:w="547" w:type="pct"/>
            <w:vMerge w:val="restar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保密机房</w:t>
            </w:r>
          </w:p>
        </w:tc>
        <w:tc>
          <w:tcPr>
            <w:tcW w:w="703"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UPS电源</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10KVA单进单出双变换纯在线式机型。</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2、采用数字化控制技术、三电平技术和高频电源变换技术，具有体积小、性能高、可靠性高等特点，使得节能效益显著，大幅减少运营成本。</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3、输入电压范围：80~275VAC；输入功率因数：100%非线性负载：≥0.99；输入电流谐波：100%非线性负载：＜5%；输出电压精度：220VAC±1%；整机效率：100%阻性负载：≥90%；过载能力：130%维持≥10min。</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4、★具备更强的带载能力：输出有功功率应≥额定容量×0.9 kW/kVA即输出PF≥0.9，输出端可带更多负载；提供原厂商盖章的泰尔检验报告加以证明。</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5、★具有LCD蓝色背光宽屏液晶显示屏，可流程化显示UPS主机的工作模式、工作参数与用户的负载量、电池剩余容量等状态，方便用户对设备进行管理；提供原厂商盖章的显示面板实物照片加以证明。</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6、具有市电输入和旁路输入微型断路器，保护设备运行安全可靠。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7、电池节数可调节范围应不小于16~20节，且单节可调，防止单节电池出现故障，能快速去除该电池并最大程度保证系统后备时间；提供原厂商盖章的产品彩页或官网截图加以证明。。</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8、标配RS232通信，能够实现通信互联；还可以选配USB通信、SNMP卡、干接点等多类型接口，以实现UPS主机监控需求。</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9、标配EPO接口，可在紧急情况实现远程控制，切断UPS交流输出，确保安全；提供原厂商盖章的产品实物照片加以证明。</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10、报警功能：具备电池低压、市电异常、UPS故障、输出过载、输出短路报警功能。</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11、输出电压有四个档位，分别为208V、220V、230V、240V输出可调，适应不同负载应用；该功能需现场验证。</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12、UPS主机产品要求采用行业一线知名品牌，原厂商近三年连续荣获中国UPS市场份额占有率排名前三位，提供原厂商盖章的第三方机构出具的数据报告加以证明。                                                                                                                              13、★UPS主机产品要求具有中国节能产品认证证书、绿色之星产品认证证书、泰尔认证证书及泰尔检验报告；提供以上认证证书并提供原厂商盖章。   </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53</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蓄电池</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 吸附式玻璃纤维隔板技术，气体复合效率达到99%，无需加水维护 高可靠的专业阀控密封式设计，有效确保电池不漏（渗）液、无酸雾、不腐蚀 采用严格认证的高品质部件，并经过严格的运行测试，使自放电极小</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可提供阻燃槽盖，使电池更安全且具有更长的寿命</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温度使用范围（放电：-15~50°C/充电：0~40°C/贮存：5~40°CC）设计寿命6年。提供原厂三年质保函。</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32</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54</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电池箱</w:t>
            </w:r>
          </w:p>
        </w:tc>
        <w:tc>
          <w:tcPr>
            <w:tcW w:w="2526"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可安装32节100ah电池含电池连接线</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55</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路由器</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1.性能：包转发率≥40Mpps，交换容量≥104Gbps，提供官网截图；</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2.端口：≥4个combo口，≥2个千兆光口，SIC业务槽≥4、HMIM业务槽≥2，提供官网截图；</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★3.支持虚拟化特性，将物理上两台设备虚拟化成一台逻辑设备，提供第三方机构的测试报告。</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4.支持记录终端用户访问互联网的日志，包括：用户名、源/目的IP地址、时间、访问的域名、URL等，权威第三方机构的测试报告</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★IPS入侵防御系统，提供全生命周期的入侵安全防护管理，包括威胁发现、检测、阻止、告警等，支持在线更新特征库。提供第三方检测报告证明；</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★支持对超过 6000 种常见互联网应用的识别，如：HTTP、FTP、微信、QQ、优酷、淘宝、迅雷等，并对应</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用流量下发过滤和限速等控制策略。提供第三方检测报告证明；</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实配冗余电源</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56</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专网核心交换机</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 性能：交换容量≥598Gbps；转发性能≥222Mpps</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 性能指标MAC地址表≥32K、路由表容量≥16K、ARP表项≥16K</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 接口类型：≥24个千兆电口(其中8个 Combo光)*4个万兆SFP光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 硬件可靠：支持可热插拔模块电源冗余和可热插拔模块化风扇冗余</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 支持横向虚拟化（≥9台设备，最大堆叠带宽≥160G）</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 支持STP/RSTP/MSTP、支持RRPP</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7. 支持DHCP Server/ DHCP Relay/ DHCP Snooping/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 支持WRR、WFQ、SP+WRR、WDRR、SP+WDRR、SP+WFQ</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 支持本地端口镜像和远程端口镜像RSPAN</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10. 支持支持静态路由、RIPv1/v2，RIPng、OSPFv1/v2，OSPFv3、BGP4，BGP4+ for IPv6、等价路由，策略路由</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11. 支持VRRP/VRRPv3支持802.1X认证/集中式MAC地址认证、支持PORTAL认证、支持动态ARP检测，防止中间人攻击和ARP拒绝服务</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12. 支持基于第二层、第三层和第四层的ACL；整机提供ACl条目数不小于3K条；</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13. 符合IEEE 802.3az（EEE）节能标准、支持端口休眠，关闭没有应用的端口，节省能源</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57</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专网汇聚交换机</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1. 性能：整机交换容量 ≥336Gbps；转发性能 ≥108Mpps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 端口：≥24千兆电+4千兆SFP</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 MAC地址表≥32K，IPv4路由表容量≥2K，ARP≥4K</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 . 支持IPv4/IPv6静态路由，支持RIP/RIPng，OSPFV2/V3</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 交换机支持≥9台物理设备虚拟化技术，支持完善的堆叠分裂检测机制，堆叠分裂后能自动完成MAC和IP地址的重配置，无需手动干预</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 实现ERPS功能，能够快速阻断环路，链路收敛时间≤50ms</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7. 实现CPU保护功能，能限制非法报文对CPU的攻击，保护交换机在各种环境下稳定工作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8.支持RRPP（快速环网保护协议），环网故障恢复时间不超过50ms，支持支持Smartlink，支持支持PVST功能；</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 支持SNMP V1/V2/V3、RMON、SSHV2；支持端口休眠，关闭没有应用的端口，节省能源</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58</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专网防火墙</w:t>
            </w:r>
          </w:p>
        </w:tc>
        <w:tc>
          <w:tcPr>
            <w:tcW w:w="2526" w:type="pct"/>
            <w:shd w:val="clear" w:color="auto" w:fill="auto"/>
            <w:vAlign w:val="center"/>
          </w:tcPr>
          <w:p>
            <w:pPr>
              <w:keepNext w:val="0"/>
              <w:keepLines w:val="0"/>
              <w:pageBreakBefore w:val="0"/>
              <w:widowControl/>
              <w:numPr>
                <w:ilvl w:val="0"/>
                <w:numId w:val="3"/>
              </w:numPr>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kern w:val="0"/>
                <w:sz w:val="24"/>
                <w:szCs w:val="24"/>
                <w:highlight w:val="none"/>
                <w:u w:val="none"/>
                <w:lang w:val="en-US" w:eastAsia="zh-CN" w:bidi="ar"/>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性能要求:设备最大吞吐量≥2Gbps，IPS吞吐量≥600Mbps，AV吞吐量≥600Mbps，最大并发连接数≥100万，每秒新建连接数≥3.5万</w:t>
            </w:r>
          </w:p>
          <w:p>
            <w:pPr>
              <w:keepNext w:val="0"/>
              <w:keepLines w:val="0"/>
              <w:pageBreakBefore w:val="0"/>
              <w:widowControl/>
              <w:numPr>
                <w:ilvl w:val="0"/>
                <w:numId w:val="3"/>
              </w:numPr>
              <w:suppressLineNumbers w:val="0"/>
              <w:shd w:val="clear"/>
              <w:kinsoku/>
              <w:wordWrap/>
              <w:overflowPunct/>
              <w:topLinePunct w:val="0"/>
              <w:bidi w:val="0"/>
              <w:snapToGrid/>
              <w:spacing w:line="360" w:lineRule="auto"/>
              <w:ind w:left="0" w:leftChars="0" w:firstLine="0" w:firstLineChars="0"/>
              <w:jc w:val="left"/>
              <w:textAlignment w:val="center"/>
              <w:rPr>
                <w:rFonts w:hint="eastAsia" w:asciiTheme="majorEastAsia" w:hAnsiTheme="majorEastAsia" w:eastAsiaTheme="majorEastAsia" w:cstheme="majorEastAsia"/>
                <w:i w:val="0"/>
                <w:iCs w:val="0"/>
                <w:color w:val="auto"/>
                <w:kern w:val="0"/>
                <w:sz w:val="24"/>
                <w:szCs w:val="24"/>
                <w:highlight w:val="none"/>
                <w:u w:val="none"/>
                <w:lang w:val="en-US" w:eastAsia="zh-CN" w:bidi="ar"/>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硬件要求:1U硬件平台，内置单电源，内存≥8GB，硬盘≥64GB SSD。标配8个千兆电口（含2组电口Bypass），4个千兆光口，1个Console口，2个USB接口；支持2个接口扩展槽</w:t>
            </w:r>
          </w:p>
          <w:p>
            <w:pPr>
              <w:keepNext w:val="0"/>
              <w:keepLines w:val="0"/>
              <w:pageBreakBefore w:val="0"/>
              <w:widowControl/>
              <w:numPr>
                <w:ilvl w:val="0"/>
                <w:numId w:val="3"/>
              </w:numPr>
              <w:suppressLineNumbers w:val="0"/>
              <w:shd w:val="clear"/>
              <w:kinsoku/>
              <w:wordWrap/>
              <w:overflowPunct/>
              <w:topLinePunct w:val="0"/>
              <w:bidi w:val="0"/>
              <w:snapToGrid/>
              <w:spacing w:line="360" w:lineRule="auto"/>
              <w:ind w:left="0" w:leftChars="0" w:firstLine="0" w:firstLineChars="0"/>
              <w:jc w:val="left"/>
              <w:textAlignment w:val="center"/>
              <w:rPr>
                <w:rFonts w:hint="eastAsia" w:asciiTheme="majorEastAsia" w:hAnsiTheme="majorEastAsia" w:eastAsiaTheme="majorEastAsia" w:cstheme="majorEastAsia"/>
                <w:i w:val="0"/>
                <w:iCs w:val="0"/>
                <w:color w:val="auto"/>
                <w:kern w:val="0"/>
                <w:sz w:val="24"/>
                <w:szCs w:val="24"/>
                <w:highlight w:val="none"/>
                <w:u w:val="none"/>
                <w:lang w:val="en-US" w:eastAsia="zh-CN" w:bidi="ar"/>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部署模式:支持路由模式、交换模式、旁路模式、虚拟网线工作模式；部署模式切换无需重启设备</w:t>
            </w:r>
          </w:p>
          <w:p>
            <w:pPr>
              <w:keepNext w:val="0"/>
              <w:keepLines w:val="0"/>
              <w:pageBreakBefore w:val="0"/>
              <w:widowControl/>
              <w:numPr>
                <w:ilvl w:val="0"/>
                <w:numId w:val="3"/>
              </w:numPr>
              <w:suppressLineNumbers w:val="0"/>
              <w:shd w:val="clear"/>
              <w:kinsoku/>
              <w:wordWrap/>
              <w:overflowPunct/>
              <w:topLinePunct w:val="0"/>
              <w:bidi w:val="0"/>
              <w:snapToGrid/>
              <w:spacing w:line="360" w:lineRule="auto"/>
              <w:ind w:left="0" w:leftChars="0" w:firstLine="0" w:firstLineChars="0"/>
              <w:jc w:val="left"/>
              <w:textAlignment w:val="center"/>
              <w:rPr>
                <w:rFonts w:hint="eastAsia" w:asciiTheme="majorEastAsia" w:hAnsiTheme="majorEastAsia" w:eastAsiaTheme="majorEastAsia" w:cstheme="majorEastAsia"/>
                <w:i w:val="0"/>
                <w:iCs w:val="0"/>
                <w:color w:val="auto"/>
                <w:kern w:val="0"/>
                <w:sz w:val="24"/>
                <w:szCs w:val="24"/>
                <w:highlight w:val="none"/>
                <w:u w:val="none"/>
                <w:lang w:val="en-US" w:eastAsia="zh-CN" w:bidi="ar"/>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NAT:支持基于时间段的SNAT、DNAT规则；SNAT转换地址池支持黑洞路由，支持SNAT的源端口不转换模式；DNAT-双向NAT模式支持基于地址池的源转换方式，DNAT的健康探测支持的协议TCP和ICMP；NAT66支持前缀转换方式</w:t>
            </w:r>
          </w:p>
          <w:p>
            <w:pPr>
              <w:keepNext w:val="0"/>
              <w:keepLines w:val="0"/>
              <w:pageBreakBefore w:val="0"/>
              <w:widowControl/>
              <w:numPr>
                <w:ilvl w:val="0"/>
                <w:numId w:val="3"/>
              </w:numPr>
              <w:suppressLineNumbers w:val="0"/>
              <w:shd w:val="clear"/>
              <w:kinsoku/>
              <w:wordWrap/>
              <w:overflowPunct/>
              <w:topLinePunct w:val="0"/>
              <w:bidi w:val="0"/>
              <w:snapToGrid/>
              <w:spacing w:line="360" w:lineRule="auto"/>
              <w:ind w:left="0" w:leftChars="0" w:firstLine="0" w:firstLineChars="0"/>
              <w:jc w:val="left"/>
              <w:textAlignment w:val="center"/>
              <w:rPr>
                <w:rFonts w:hint="eastAsia" w:asciiTheme="majorEastAsia" w:hAnsiTheme="majorEastAsia" w:eastAsiaTheme="majorEastAsia" w:cstheme="majorEastAsia"/>
                <w:i w:val="0"/>
                <w:iCs w:val="0"/>
                <w:color w:val="auto"/>
                <w:kern w:val="0"/>
                <w:sz w:val="24"/>
                <w:szCs w:val="24"/>
                <w:highlight w:val="none"/>
                <w:u w:val="none"/>
                <w:lang w:val="en-US" w:eastAsia="zh-CN" w:bidi="ar"/>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★低延迟:支持一种低延迟的TCP跨报文防火墙检测方法；(须提供第三方权威机构证明)</w:t>
            </w:r>
          </w:p>
          <w:p>
            <w:pPr>
              <w:keepNext w:val="0"/>
              <w:keepLines w:val="0"/>
              <w:pageBreakBefore w:val="0"/>
              <w:widowControl/>
              <w:numPr>
                <w:ilvl w:val="0"/>
                <w:numId w:val="3"/>
              </w:numPr>
              <w:suppressLineNumbers w:val="0"/>
              <w:shd w:val="clear"/>
              <w:kinsoku/>
              <w:wordWrap/>
              <w:overflowPunct/>
              <w:topLinePunct w:val="0"/>
              <w:bidi w:val="0"/>
              <w:snapToGrid/>
              <w:spacing w:line="360" w:lineRule="auto"/>
              <w:ind w:left="0" w:leftChars="0" w:firstLine="0" w:firstLineChars="0"/>
              <w:jc w:val="left"/>
              <w:textAlignment w:val="center"/>
              <w:rPr>
                <w:rFonts w:hint="eastAsia" w:asciiTheme="majorEastAsia" w:hAnsiTheme="majorEastAsia" w:eastAsiaTheme="majorEastAsia" w:cstheme="majorEastAsia"/>
                <w:i w:val="0"/>
                <w:iCs w:val="0"/>
                <w:color w:val="auto"/>
                <w:kern w:val="0"/>
                <w:sz w:val="24"/>
                <w:szCs w:val="24"/>
                <w:highlight w:val="none"/>
                <w:u w:val="none"/>
                <w:lang w:val="en-US" w:eastAsia="zh-CN" w:bidi="ar"/>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聚合接口:聚合接口支持非负载均衡模式（Round robin/Active backup/Broadcast）和负载均衡模式（静态哈希和LACP），其中在负载均衡模式下可选择二层头部/二层和三层头部/三层和四层头部进行哈希计算选择出接口</w:t>
            </w:r>
          </w:p>
          <w:p>
            <w:pPr>
              <w:keepNext w:val="0"/>
              <w:keepLines w:val="0"/>
              <w:pageBreakBefore w:val="0"/>
              <w:widowControl/>
              <w:numPr>
                <w:ilvl w:val="0"/>
                <w:numId w:val="0"/>
              </w:numPr>
              <w:suppressLineNumbers w:val="0"/>
              <w:shd w:val="clear"/>
              <w:kinsoku/>
              <w:wordWrap/>
              <w:overflowPunct/>
              <w:topLinePunct w:val="0"/>
              <w:bidi w:val="0"/>
              <w:snapToGrid/>
              <w:spacing w:line="360" w:lineRule="auto"/>
              <w:ind w:leftChars="0"/>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7.路由支持:支持静态路由、动态路由、ISP路由；支持基于入接口、源地址、目的地址、服务、应用的策略路由</w:t>
            </w:r>
          </w:p>
          <w:p>
            <w:pPr>
              <w:keepNext w:val="0"/>
              <w:keepLines w:val="0"/>
              <w:pageBreakBefore w:val="0"/>
              <w:widowControl/>
              <w:numPr>
                <w:ilvl w:val="0"/>
                <w:numId w:val="0"/>
              </w:numPr>
              <w:suppressLineNumbers w:val="0"/>
              <w:shd w:val="clear"/>
              <w:kinsoku/>
              <w:wordWrap/>
              <w:overflowPunct/>
              <w:topLinePunct w:val="0"/>
              <w:bidi w:val="0"/>
              <w:snapToGrid/>
              <w:spacing w:line="360" w:lineRule="auto"/>
              <w:ind w:leftChars="0"/>
              <w:jc w:val="left"/>
              <w:textAlignment w:val="center"/>
              <w:rPr>
                <w:rFonts w:hint="eastAsia" w:asciiTheme="majorEastAsia" w:hAnsiTheme="majorEastAsia" w:eastAsiaTheme="majorEastAsia" w:cstheme="majorEastAsia"/>
                <w:i w:val="0"/>
                <w:iCs w:val="0"/>
                <w:color w:val="auto"/>
                <w:kern w:val="0"/>
                <w:sz w:val="24"/>
                <w:szCs w:val="24"/>
                <w:highlight w:val="none"/>
                <w:u w:val="none"/>
                <w:lang w:val="en-US" w:eastAsia="zh-CN" w:bidi="ar"/>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资产指纹:系统定义超过20万条资产指纹库，可识别的主机资产类型包括但不限于通用主机、移动电话、防火墙、网络摄像机、温湿度变送器、呼叫中心、云安全等；可识别的主机资产操作系统包括但不限于Windows，Linux，MAC OS，Android，IOS等；可识别的软件资产类型包括但不限于WEB组件、WEB中间件等WEB应用，Oracle、Hive等数据库，电脑游戏、图像设计等桌面软件以及各类网络协议等；可识别的软件包括但不限于CrushFTP httpd，Android VNC Server等；（须提供功能佐证材料）</w:t>
            </w:r>
          </w:p>
          <w:p>
            <w:pPr>
              <w:keepNext w:val="0"/>
              <w:keepLines w:val="0"/>
              <w:pageBreakBefore w:val="0"/>
              <w:widowControl/>
              <w:numPr>
                <w:ilvl w:val="0"/>
                <w:numId w:val="0"/>
              </w:numPr>
              <w:suppressLineNumbers w:val="0"/>
              <w:shd w:val="clear"/>
              <w:kinsoku/>
              <w:wordWrap/>
              <w:overflowPunct/>
              <w:topLinePunct w:val="0"/>
              <w:bidi w:val="0"/>
              <w:snapToGrid/>
              <w:spacing w:line="360" w:lineRule="auto"/>
              <w:ind w:leftChars="0"/>
              <w:jc w:val="left"/>
              <w:textAlignment w:val="center"/>
              <w:rPr>
                <w:rFonts w:hint="eastAsia" w:asciiTheme="majorEastAsia" w:hAnsiTheme="majorEastAsia" w:eastAsiaTheme="majorEastAsia" w:cstheme="majorEastAsia"/>
                <w:i w:val="0"/>
                <w:iCs w:val="0"/>
                <w:color w:val="auto"/>
                <w:kern w:val="0"/>
                <w:sz w:val="24"/>
                <w:szCs w:val="24"/>
                <w:highlight w:val="none"/>
                <w:u w:val="none"/>
                <w:lang w:val="en-US" w:eastAsia="zh-CN" w:bidi="ar"/>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9.★入侵防御:系统预定义超过11000条主流攻击规则，包含对应IPS规则的级别、防护对象、操作系统、CVE编号等详细信息；（须提供功能佐证材料并提供第三方权威测试报告）</w:t>
            </w:r>
          </w:p>
          <w:p>
            <w:pPr>
              <w:keepNext w:val="0"/>
              <w:keepLines w:val="0"/>
              <w:pageBreakBefore w:val="0"/>
              <w:widowControl/>
              <w:numPr>
                <w:ilvl w:val="0"/>
                <w:numId w:val="0"/>
              </w:numPr>
              <w:suppressLineNumbers w:val="0"/>
              <w:shd w:val="clear"/>
              <w:kinsoku/>
              <w:wordWrap/>
              <w:overflowPunct/>
              <w:topLinePunct w:val="0"/>
              <w:bidi w:val="0"/>
              <w:snapToGrid/>
              <w:spacing w:line="360" w:lineRule="auto"/>
              <w:ind w:leftChars="0"/>
              <w:jc w:val="left"/>
              <w:textAlignment w:val="center"/>
              <w:rPr>
                <w:rFonts w:hint="eastAsia" w:asciiTheme="majorEastAsia" w:hAnsiTheme="majorEastAsia" w:eastAsiaTheme="majorEastAsia" w:cstheme="majorEastAsia"/>
                <w:i w:val="0"/>
                <w:iCs w:val="0"/>
                <w:color w:val="auto"/>
                <w:kern w:val="0"/>
                <w:sz w:val="24"/>
                <w:szCs w:val="24"/>
                <w:highlight w:val="none"/>
                <w:u w:val="none"/>
                <w:lang w:val="en-US" w:eastAsia="zh-CN" w:bidi="ar"/>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10.病毒防护:支持对HTTP、FTP、SMTP、POP3、IMAP协议中传输的文件进行检测（包括上传和下载方向），用户可以选择开启其中的任何一个或者多个，可以配置每个协议的处理动作（告警/阻断）；</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支持查杀邮件正文/附件、网页及下载文件中包含的病毒；支持检测ZIP类型的压缩文件，支持自定义压缩文件大小限制以及解压缩层数</w:t>
            </w:r>
          </w:p>
          <w:p>
            <w:pPr>
              <w:keepNext w:val="0"/>
              <w:keepLines w:val="0"/>
              <w:pageBreakBefore w:val="0"/>
              <w:widowControl/>
              <w:numPr>
                <w:ilvl w:val="0"/>
                <w:numId w:val="0"/>
              </w:numPr>
              <w:suppressLineNumbers w:val="0"/>
              <w:shd w:val="clear"/>
              <w:kinsoku/>
              <w:wordWrap/>
              <w:overflowPunct/>
              <w:topLinePunct w:val="0"/>
              <w:bidi w:val="0"/>
              <w:snapToGrid/>
              <w:spacing w:line="360" w:lineRule="auto"/>
              <w:ind w:leftChars="0"/>
              <w:jc w:val="left"/>
              <w:textAlignment w:val="center"/>
              <w:rPr>
                <w:rFonts w:hint="eastAsia" w:asciiTheme="majorEastAsia" w:hAnsiTheme="majorEastAsia" w:eastAsiaTheme="majorEastAsia" w:cstheme="majorEastAsia"/>
                <w:i w:val="0"/>
                <w:iCs w:val="0"/>
                <w:color w:val="auto"/>
                <w:kern w:val="0"/>
                <w:sz w:val="24"/>
                <w:szCs w:val="24"/>
                <w:highlight w:val="none"/>
                <w:u w:val="none"/>
                <w:lang w:val="en-US" w:eastAsia="zh-CN" w:bidi="ar"/>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11.文件过滤:支持HTTP、FTP、POP3、SMTP、IMAP协议的110多种预定义文件类型过滤，支持上传下载的方向选择；并支持自定义文件类型过滤</w:t>
            </w:r>
          </w:p>
          <w:p>
            <w:pPr>
              <w:keepNext w:val="0"/>
              <w:keepLines w:val="0"/>
              <w:pageBreakBefore w:val="0"/>
              <w:widowControl/>
              <w:numPr>
                <w:ilvl w:val="0"/>
                <w:numId w:val="0"/>
              </w:numPr>
              <w:suppressLineNumbers w:val="0"/>
              <w:shd w:val="clear"/>
              <w:kinsoku/>
              <w:wordWrap/>
              <w:overflowPunct/>
              <w:topLinePunct w:val="0"/>
              <w:bidi w:val="0"/>
              <w:snapToGrid/>
              <w:spacing w:line="360" w:lineRule="auto"/>
              <w:ind w:leftChars="0"/>
              <w:jc w:val="left"/>
              <w:textAlignment w:val="center"/>
              <w:rPr>
                <w:rFonts w:hint="eastAsia" w:asciiTheme="majorEastAsia" w:hAnsiTheme="majorEastAsia" w:eastAsiaTheme="majorEastAsia" w:cstheme="majorEastAsia"/>
                <w:i w:val="0"/>
                <w:iCs w:val="0"/>
                <w:color w:val="auto"/>
                <w:kern w:val="0"/>
                <w:sz w:val="24"/>
                <w:szCs w:val="24"/>
                <w:highlight w:val="none"/>
                <w:u w:val="none"/>
                <w:lang w:val="en-US" w:eastAsia="zh-CN" w:bidi="ar"/>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12.智能模式:安全模式支持智能模式和普通模式。在普通模式下，安全引擎处理网络报文遇到资源不足时会将报文直接丢弃，会影响网络转发；在智能模式下，安全引擎将尽可能的处理网络报文，但不影响网络转发；（提供第三方权威测试报告）</w:t>
            </w:r>
          </w:p>
          <w:p>
            <w:pPr>
              <w:keepNext w:val="0"/>
              <w:keepLines w:val="0"/>
              <w:pageBreakBefore w:val="0"/>
              <w:widowControl/>
              <w:numPr>
                <w:ilvl w:val="0"/>
                <w:numId w:val="0"/>
              </w:numPr>
              <w:suppressLineNumbers w:val="0"/>
              <w:shd w:val="clear"/>
              <w:kinsoku/>
              <w:wordWrap/>
              <w:overflowPunct/>
              <w:topLinePunct w:val="0"/>
              <w:bidi w:val="0"/>
              <w:snapToGrid/>
              <w:spacing w:line="360" w:lineRule="auto"/>
              <w:ind w:leftChars="0"/>
              <w:jc w:val="left"/>
              <w:textAlignment w:val="center"/>
              <w:rPr>
                <w:rFonts w:hint="eastAsia" w:asciiTheme="majorEastAsia" w:hAnsiTheme="majorEastAsia" w:eastAsiaTheme="majorEastAsia" w:cstheme="majorEastAsia"/>
                <w:i w:val="0"/>
                <w:iCs w:val="0"/>
                <w:color w:val="auto"/>
                <w:kern w:val="0"/>
                <w:sz w:val="24"/>
                <w:szCs w:val="24"/>
                <w:highlight w:val="none"/>
                <w:u w:val="none"/>
                <w:lang w:val="en-US" w:eastAsia="zh-CN" w:bidi="ar"/>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13.★漏洞扫描:漏洞扫描支持产品内置的默认模板以及自定义模板进行漏洞扫描，可扫描出漏洞名称、漏洞级别、漏洞描述、CVE-ID、CNNVD-ID等信息；支持查看资产关联的漏洞信息，并跳转到详情。（以上参数提供相关证明截图，提供第三方测试机构检测报告证明）</w:t>
            </w:r>
          </w:p>
          <w:p>
            <w:pPr>
              <w:keepNext w:val="0"/>
              <w:keepLines w:val="0"/>
              <w:pageBreakBefore w:val="0"/>
              <w:widowControl/>
              <w:numPr>
                <w:ilvl w:val="0"/>
                <w:numId w:val="0"/>
              </w:numPr>
              <w:suppressLineNumbers w:val="0"/>
              <w:shd w:val="clear"/>
              <w:kinsoku/>
              <w:wordWrap/>
              <w:overflowPunct/>
              <w:topLinePunct w:val="0"/>
              <w:bidi w:val="0"/>
              <w:snapToGrid/>
              <w:spacing w:line="360" w:lineRule="auto"/>
              <w:ind w:leftChars="0"/>
              <w:jc w:val="left"/>
              <w:textAlignment w:val="center"/>
              <w:rPr>
                <w:rFonts w:hint="eastAsia" w:asciiTheme="majorEastAsia" w:hAnsiTheme="majorEastAsia" w:eastAsiaTheme="majorEastAsia" w:cstheme="majorEastAsia"/>
                <w:i w:val="0"/>
                <w:iCs w:val="0"/>
                <w:color w:val="auto"/>
                <w:kern w:val="0"/>
                <w:sz w:val="24"/>
                <w:szCs w:val="24"/>
                <w:highlight w:val="none"/>
                <w:u w:val="none"/>
                <w:lang w:val="en-US" w:eastAsia="zh-CN" w:bidi="ar"/>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14.★访问控制:提供对控制策略、上网认证策略、带宽策略、策略路由、源NAT等策略的策略分析，可分析并展示问题策略数量以及所占百分比、问题策略详情、策略宽松度分布情况，简化运维工作。以上参数提供相关证明截图。（所投产品必须具备第三方测试机构关于“控制策略、策略路由、源NAT策略的策略分析”功能项的产品检测报告证明）</w:t>
            </w:r>
          </w:p>
          <w:p>
            <w:pPr>
              <w:keepNext w:val="0"/>
              <w:keepLines w:val="0"/>
              <w:pageBreakBefore w:val="0"/>
              <w:widowControl/>
              <w:numPr>
                <w:ilvl w:val="0"/>
                <w:numId w:val="0"/>
              </w:numPr>
              <w:suppressLineNumbers w:val="0"/>
              <w:shd w:val="clear"/>
              <w:kinsoku/>
              <w:wordWrap/>
              <w:overflowPunct/>
              <w:topLinePunct w:val="0"/>
              <w:bidi w:val="0"/>
              <w:snapToGrid/>
              <w:spacing w:line="360" w:lineRule="auto"/>
              <w:ind w:leftChars="0"/>
              <w:jc w:val="left"/>
              <w:textAlignment w:val="center"/>
              <w:rPr>
                <w:rFonts w:hint="eastAsia" w:asciiTheme="majorEastAsia" w:hAnsiTheme="majorEastAsia" w:eastAsiaTheme="majorEastAsia" w:cstheme="majorEastAsia"/>
                <w:i w:val="0"/>
                <w:iCs w:val="0"/>
                <w:color w:val="auto"/>
                <w:kern w:val="0"/>
                <w:sz w:val="24"/>
                <w:szCs w:val="24"/>
                <w:highlight w:val="none"/>
                <w:u w:val="none"/>
                <w:lang w:val="en-US" w:eastAsia="zh-CN" w:bidi="ar"/>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15.策略分析:提供对控制策略、上网认证策略、带宽策略、策略路由、源NAT等策略的策略分析，可分析并展示问题策略数量以及所占百分比、问题策略详情、策略宽松度分布情况，简化运维工作</w:t>
            </w:r>
          </w:p>
          <w:p>
            <w:pPr>
              <w:keepNext w:val="0"/>
              <w:keepLines w:val="0"/>
              <w:pageBreakBefore w:val="0"/>
              <w:widowControl/>
              <w:numPr>
                <w:ilvl w:val="0"/>
                <w:numId w:val="0"/>
              </w:numPr>
              <w:suppressLineNumbers w:val="0"/>
              <w:shd w:val="clear"/>
              <w:kinsoku/>
              <w:wordWrap/>
              <w:overflowPunct/>
              <w:topLinePunct w:val="0"/>
              <w:bidi w:val="0"/>
              <w:snapToGrid/>
              <w:spacing w:line="360" w:lineRule="auto"/>
              <w:ind w:leftChars="0"/>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16.★产品资质:具备公安部颁发的防火墙《计算机信息系统安全专用产品销售许可证（增强级）》，提供证书复印件。</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59</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防静电地板</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国产定制</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23</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60</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机房精密空调</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sz w:val="24"/>
                <w:szCs w:val="24"/>
                <w:highlight w:val="none"/>
                <w:u w:val="none"/>
              </w:rPr>
              <w:t>1、★风冷房级空调，单冷型，采用上送风下回风送风方式；在室内回风24℃ /50%RH，室外35℃工况下：总冷量≥12.5KW，循环风量≥3500m3/h，能效比（EER）≥3.0；室内机外观尺寸（宽*深*高）≤650*450*1800mm；应能解决机房的高显热量负荷，要求在24℃， 50%RH工况下：显热比 ≥0.90。</w:t>
            </w:r>
          </w:p>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sz w:val="24"/>
                <w:szCs w:val="24"/>
                <w:highlight w:val="none"/>
                <w:u w:val="none"/>
              </w:rPr>
              <w:t>2、外观工艺、检查：机柜表面喷涂均匀、无破损；信号灯、开关、测量显示装置布局合理；标牌、标记：应平整清晰。</w:t>
            </w:r>
          </w:p>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sz w:val="24"/>
                <w:szCs w:val="24"/>
                <w:highlight w:val="none"/>
                <w:u w:val="none"/>
              </w:rPr>
              <w:t>3、结构工艺：部件排列合理、整齐；导线颜色和截面合理，布放平整；接插件牢固；进出线符合工程需要；具备抗震措施。</w:t>
            </w:r>
          </w:p>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sz w:val="24"/>
                <w:szCs w:val="24"/>
                <w:highlight w:val="none"/>
                <w:u w:val="none"/>
              </w:rPr>
              <w:t>4、输入电压范围：380VAC±10%；频率：50Hz±2Hz；电气性能应符合IEC标准。</w:t>
            </w:r>
          </w:p>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sz w:val="24"/>
                <w:szCs w:val="24"/>
                <w:highlight w:val="none"/>
                <w:u w:val="none"/>
              </w:rPr>
              <w:t>5、适应环境：温度：室内0℃ ∼ 50℃，室外-20℃~45℃；湿度：20%~80%RH；温度调节范围：+18℃ ∼ +45℃；温度调节精度：±1℃，温度变化率&lt; 5℃/小时；湿度调节范围：20% ∼ 60%RH；湿度调节精度：±5 %RH。</w:t>
            </w:r>
          </w:p>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sz w:val="24"/>
                <w:szCs w:val="24"/>
                <w:highlight w:val="none"/>
                <w:u w:val="none"/>
              </w:rPr>
              <w:t>6、★室内机组要求 100% 全正面维护；提供原厂商盖章的实物照片加以证明。</w:t>
            </w:r>
          </w:p>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sz w:val="24"/>
                <w:szCs w:val="24"/>
                <w:highlight w:val="none"/>
                <w:u w:val="none"/>
              </w:rPr>
              <w:t>7、★为了降低回风风阻，机组应设计三面回风，即正面和左右两侧回风；提供原厂商盖章的实物照片加以证明。</w:t>
            </w:r>
          </w:p>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sz w:val="24"/>
                <w:szCs w:val="24"/>
                <w:highlight w:val="none"/>
                <w:u w:val="none"/>
              </w:rPr>
              <w:t>8、采用R410A环保型制冷剂；该功能需现场验证。</w:t>
            </w:r>
          </w:p>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sz w:val="24"/>
                <w:szCs w:val="24"/>
                <w:highlight w:val="none"/>
                <w:u w:val="none"/>
              </w:rPr>
              <w:t>9、★室内风机属于关键器件，要求采用可抽拉设计，便于运维和更换；提供原厂商盖章的实物照片加以证明。</w:t>
            </w:r>
          </w:p>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sz w:val="24"/>
                <w:szCs w:val="24"/>
                <w:highlight w:val="none"/>
                <w:u w:val="none"/>
              </w:rPr>
              <w:t>10、为保证系统运行的高效性和稳定性，须配置电子膨胀阀；不接受毛细管和热力膨胀阀的节流形式。</w:t>
            </w:r>
          </w:p>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sz w:val="24"/>
                <w:szCs w:val="24"/>
                <w:highlight w:val="none"/>
                <w:u w:val="none"/>
              </w:rPr>
              <w:t>11、★标配LCD屏幕中文显示器，能显示回风温度、回风湿度、排气温度、吸气温度等；且具有大容量的故障报警记录储存的功能，存储历史告警信息不小于300条；提供原厂商盖章的显示界面照片加以证明。</w:t>
            </w:r>
          </w:p>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sz w:val="24"/>
                <w:szCs w:val="24"/>
                <w:highlight w:val="none"/>
                <w:u w:val="none"/>
              </w:rPr>
              <w:t>12、应配置可多次清洗及在线更换的空气过滤器，应保证机房的洁净要求为：直径大于0.5μm的灰尘粒子浓度≤18000粒/升，需配置G4等级或以上滤网。过滤器材料及性能参数（容尘量、初终阻力等）均应满足《空气过滤器》GB/T 14295-2008的相关要求，过滤器防火性能应符合GB/T 19413-2010的相关要求。</w:t>
            </w:r>
          </w:p>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sz w:val="24"/>
                <w:szCs w:val="24"/>
                <w:highlight w:val="none"/>
                <w:u w:val="none"/>
              </w:rPr>
              <w:t>13、具备联动与群控功能：同一区域可以进行统一控制管理。控制功能包括：备份自动切换功能，当群组中机组发生故障时，备份机组自动投入运行，提高空调系统的可靠性；轮巡：定时切换备份机组；根据机房内热负荷的变化自动控制机组中空调机的运行数量；达到节能的目的；避免竞争运行：避免同一机房内多台空调机同时运行在相反的运行状态，达到节能的目的。</w:t>
            </w:r>
          </w:p>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sz w:val="24"/>
                <w:szCs w:val="24"/>
                <w:highlight w:val="none"/>
                <w:u w:val="none"/>
              </w:rPr>
              <w:t>14、★投标产品应具有第三方权威机构出具的性能测试报告、同系列产品的中国节能产品认证证书（CQC）及CRAA产品认证证书；提供以上认证证书与报告，并</w:t>
            </w:r>
            <w:r>
              <w:rPr>
                <w:rFonts w:hint="eastAsia" w:asciiTheme="majorEastAsia" w:hAnsiTheme="majorEastAsia" w:eastAsiaTheme="majorEastAsia" w:cstheme="majorEastAsia"/>
                <w:i w:val="0"/>
                <w:iCs w:val="0"/>
                <w:color w:val="auto"/>
                <w:sz w:val="24"/>
                <w:szCs w:val="24"/>
                <w:highlight w:val="none"/>
                <w:u w:val="none"/>
                <w:lang w:eastAsia="zh-CN"/>
              </w:rPr>
              <w:t>加盖</w:t>
            </w:r>
            <w:r>
              <w:rPr>
                <w:rFonts w:hint="eastAsia" w:asciiTheme="majorEastAsia" w:hAnsiTheme="majorEastAsia" w:eastAsiaTheme="majorEastAsia" w:cstheme="majorEastAsia"/>
                <w:i w:val="0"/>
                <w:iCs w:val="0"/>
                <w:color w:val="auto"/>
                <w:sz w:val="24"/>
                <w:szCs w:val="24"/>
                <w:highlight w:val="none"/>
                <w:u w:val="none"/>
              </w:rPr>
              <w:t>原厂商</w:t>
            </w:r>
            <w:r>
              <w:rPr>
                <w:rFonts w:hint="eastAsia" w:asciiTheme="majorEastAsia" w:hAnsiTheme="majorEastAsia" w:eastAsiaTheme="majorEastAsia" w:cstheme="majorEastAsia"/>
                <w:i w:val="0"/>
                <w:iCs w:val="0"/>
                <w:color w:val="auto"/>
                <w:sz w:val="24"/>
                <w:szCs w:val="24"/>
                <w:highlight w:val="none"/>
                <w:u w:val="none"/>
                <w:lang w:eastAsia="zh-CN"/>
              </w:rPr>
              <w:t>公章</w:t>
            </w:r>
            <w:r>
              <w:rPr>
                <w:rFonts w:hint="eastAsia" w:asciiTheme="majorEastAsia" w:hAnsiTheme="majorEastAsia" w:eastAsiaTheme="majorEastAsia" w:cstheme="majorEastAsia"/>
                <w:i w:val="0"/>
                <w:iCs w:val="0"/>
                <w:color w:val="auto"/>
                <w:sz w:val="24"/>
                <w:szCs w:val="24"/>
                <w:highlight w:val="none"/>
                <w:u w:val="none"/>
              </w:rPr>
              <w:t>。</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61</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制冷剂</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制冷剂-R410A</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62</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空调铜管及辅材</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空调配套件-铜管组件-3/4in ;(气管)&amp;amp;3/8in ;(液管)，包含连接线缆、保温、信号线，平均每台暂定30m</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63</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机柜</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600*800*2055</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64</w:t>
            </w:r>
          </w:p>
        </w:tc>
        <w:tc>
          <w:tcPr>
            <w:tcW w:w="547" w:type="pct"/>
            <w:vMerge w:val="restar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普通机房</w:t>
            </w:r>
          </w:p>
        </w:tc>
        <w:tc>
          <w:tcPr>
            <w:tcW w:w="703"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办公网接入交</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换机24 口</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二层网管交换机，交换容量336Gbps，包转发率42Mpps，24口10/100/1000Mbps自适应电口交换机，固化4个SFP千兆光口，支持VLAN、ACL、端口镜像、端口聚合等功能，支持睿易APP和MACC云平台统一管理。</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65</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千兆1光1电光纤收发器</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1口千兆光纤收发器工业导轨式发送机</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光口：1个千兆光口</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距离20公里</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FC口</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单模单纤；电口：1个千兆网口；安装方式：工业导轨式；</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66</w:t>
            </w:r>
          </w:p>
        </w:tc>
        <w:tc>
          <w:tcPr>
            <w:tcW w:w="547" w:type="pct"/>
            <w:vMerge w:val="restar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审理庭</w:t>
            </w: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庭审智能摄像机400W网络相机）</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内置电动云台和一体化变焦镜头，施工便易，方便运维</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支持最大2560 × 1440@30fps高清画面输出</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支持23倍光学变倍，16倍数字变倍</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采用高效红外阵列，低功耗，照射距离最远可达50m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支持三码流技术，每路码流可独立配置分辨率及帧率</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支持区域入侵侦测、越界侦测、移动侦测等智能侦测功能</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支持1路音频输入和1路音频输出</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内置2路报警输入和2路报警输出，支持报警联动功能</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支持最大256G的 Micro SD/Micro SDHC/Micro SDXC卡存储</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支持海康SDK、开放型网络视频接口、ISAPI、GB/T28181、ISUP协议和海康互联接入</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支持断网续传功能保证录像不丢失，配合Smart NVR实现事件录像的二次智能检索、分析和浓缩播放</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防雷、防浪涌、防突波，IP66防护等级</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★当通过IE浏览器手动点击或框选预览画面中的人脸时，设备能通过PTZ转动将人脸置于画面中心，并对人脸进行抓拍。（以公安部检验报告为准）</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★支持检测水平转动角度不大于90°、垂直俯仰角度不大于60°、垂直倾斜角度不大于45°的人脸。（以公安部检验报告为准）</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★支持人数异常检验，可通过IE浏览器在监视画面中设置1个检测区域，当检测区域中告警人数达到设置的阈值且满足按照报警模式设置的条件时，可触发报警。（以公安部检验报告为准）</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★支持区域关注度功能，可通过IE设置区域类型为区域人员数量/人员停留时长，关注区域可自定义名称和报警间隔时长。（公安部检验报告证明）</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传感器类型：1/2.8＂ progressive scan CMOS</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最低照度：彩色：0.005Lux @ (F1.6，AGC ON)；黑白：0.001Lux @(F1.6，AGC ON) ；0 Lux with IR</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宽动态：120dB超宽动态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焦距：4.8-110 mm，23倍光学变倍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视场角：55-2.7度 (广角-望远)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红外照射距离：50m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防补光过曝：支持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水平范围：水平360°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垂直范围：-5°-90°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水平速度：水平键控速度：0.1°-300°/s,速度可设;水平预置点速度：350°/s</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垂直速度：垂直键控速度：0.1°-160°/s,速度可设;垂直预置点速度：200°/s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主码流帧率分辨率：50Hz:25fps (2560x1440，1920×1080,1280×960,1280×720);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60Hz:30fps(2560x1440，1920×1080,1280×960,1280×720);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视频压缩标准：H.265;H.264;MJPEG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网络接口：RJ45网口，自适应10M/100M网络数据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SD卡扩展：内置Micro SD卡插槽</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报警输入：2路报警输入</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报警输出：2路报警输出</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音频输入：1路音频输入，音频峰值：2-2.4V[p-p]，输入阻抗：1 kΩ±10%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音频输出：1路音频输出，线性电平，阻抗:600Ω</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接口类型：一体外甩线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电源接口类型：圆头</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电流及功耗：18W</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工作温湿度：-30℃-65℃;湿度小于90%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恢复出厂设置：支持</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尺寸：Φ169×161mm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重量：2.45Kg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电源：DC12 V，PoE（802.3at）</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设备出厂配备电源适配器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防护：IP66 </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67</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庭审智能摄像机支架</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壁装支架</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外观 海康白</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适用范围 适合枪型、筒型、一体型摄像机壁装</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材料 铝合金</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调整角度 水平：360°，垂直：-45°~45°</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尺寸 70×97.1×173.4mm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重量 201g</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可配支架 DS-1275ZJ（竖杆装）</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68</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鹅颈话筒</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有线鹅颈话筒</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抗RF射频干扰能力强，减少手机等信号影响</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音质清晰自然，灵敏度高，拾音距离佳，品质卓越</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咪杆与底座采用旋转式卡侬连接，牢固可靠。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音频</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频率响应：70 Hz~12 kHz</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灵敏度：-29 dB ± 3 dB</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换能方式：电容式</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输出接口：卡侬头</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输出阻抗：2 kΩ</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指向性：心形单指向</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一般规范</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净重：1.03 kg</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工作电压：两节五号（AA）电池或幻像48 V</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69</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音频处理器</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1.数字音频处理器支持≥4路平衡式话筒/线路输入通道，采用裸线接口端子，平衡接法；支持≥4路平衡式线路输出，采用裸线接口端子，平衡接法。</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输入通道支持前级放大、信号发生器、扩展器、压缩器、≥12段参量均衡，≥31段图示均衡、闪避器、AGC自动增益、AM自动混音功能（门限式、增益共享式）、AFC自适应反馈消除、AEC回声消除、ANC噪声消除、音频矩阵,输出通道支持≥12段参量均衡，≥31段图示均衡、延时器、分频器、高低通滤波器、限幅器。（提供设备界面截图佐证，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3.高性能专业DSP处理器，支持≥32bit/48kHz的声音，支持输入通道48V幻象供电。</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具有2英寸IPS真彩显示屏，支持显示设备网络信息、实时电平、通道静音状态,支持通过APP软件进行操作控制，面板具备USB接口，支持多媒体存储，可进行播放或存储录播。（提供功能界面截图及接口截图佐证，并加盖生产厂家公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5.配置双向RS-232接口，可用于控制外部设备；配置RS-485接口，可实现自动摄像跟踪功能。配置≥8通道可编程GPIO控制接口（可自定义输入输出）。</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6.支持断电自动保护记忆功能。支持通道拷贝、粘贴、联控功能。管理控制软件可工作在XP/Windows7、8、10等系统环境下。</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7.≥8个场景预设，支持场景信息导入、场景信息导出。</w:t>
            </w:r>
          </w:p>
        </w:tc>
        <w:tc>
          <w:tcPr>
            <w:tcW w:w="415"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70</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功放</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数字功放与开关电源组成的高效率功放系统</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模块化设计，有效提升生产、售中及售后服务的效率</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内置自动压限器，有效限制大动态信号削波，确保音色悦耳，保护扬声器系统</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具备开机电源软启动，过热、过流、短路和DC漂移等多重检测保护性能</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具备“1.4 V/1 V/0.775 V”三档输入灵敏度可选择，音源的兼容性强</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具备“立体声/并接/桥接”三种工作模式可选择，音响系统的构建灵活</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具备完整的LED工作状态指示灯</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具备平衡输入端口和快装式输出端口，系统连接可靠、高效</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高效风速可变风冷散热系统。</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音频</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分离度：≥70dB</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保护方式：过流保护、直流保护、短路保护</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阻尼系数：≥200@ 8 ohms</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总谐波失真：≤ 0.1 %（1 kHz@10 % PO）</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信噪比：≥ 100 dB</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频率响应：20 Hz~20 kHz（± 1 dB）</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输出功率：2 × 200 W/8 Ω；2 × 300 W/4 Ω；；桥接：1 × 600W/8 Ω</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输入灵敏度：1.4 V/1 V/0.775 V（± 10 %）可选</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输入连接座：XLR卡侬接口</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电压增益：34dB(@1KHz)</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输入阻抗：平衡20 kΩ，非平衡10 kΩ</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一般规范</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机身尺寸：480×44 ×300 mm(L×H×W)</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指示灯：电源 、保护、失真</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电源电压：AC 220 V，50/60 Hz</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毛重：3.5 kg</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冷却方式：风扇冷却</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最大功耗：550W</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71</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音箱</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多声束合成技术，采用高品质的低音单元，高音单元通过特殊处理，减少高频之间的有害干涉，提升高频辐射距离</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4个4寸中低音单元以线性结构排列，通过耦合技术以柱面波的形式辐射声波，使声场覆盖更均匀，人声清晰、干净、灵敏度高、辐射距离远</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配有多功能安装支架，使安装灵活方便，可壁挂、吊装、多台叠装、支撑安装。</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音频</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峰值功率：600 W</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高音扬声器：HF:4 × 1"</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覆盖角度：120°× 60°（H×V）</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额定功率：150 W</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灵敏度：93 dB</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 中低音扬声器：LF:4 × 4"</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 额定阻抗：8 Ω</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连续声压级：114 dB</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额定频率范围：140 Hz~20 kHz</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最大声压级：120 dB</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一般规范</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安装方式：壁挂安装，自带支架</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尺寸：497 × 135 × 175 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重量：6.5 kg</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72</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旁听席显示大屏</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节目支持多个页面（至少支持32个组成，页面包括多个窗口至少支持16个，同一个页面中的窗口类型可以不一样），支持一个页面不同的窗口播放不同的素材同时可以添加时钟窗口（时钟的样式可选）、倒计时窗口，也可以添加节目单背景图（提供具有CNAS标识的国家权威检测机构出具的检测报告复印件）</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制作终端的播放内容时，需要经过三层审核（素材审核、节目审核、日程审核），可通过设置专人进行终端播放内容审核权限，未审核通过的内容不能发布到终端进行播放，保障节目内容的安全。客户端登录，传输敏感信息加密，使用RSA方式交换秘钥，使用秘钥进行AES加密，对报文体进行全加密。（提供具有CNAS标识的国家权威检测机构出具的检测报告复印件）</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塑壳外观，纤薄机身，一体化设计。</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画面细腻生动，采用工业级 A+面板，自动彩色及图像增加引擎，显示效果出众。</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操作系统：Android 8.1</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内存：2 GB   内置存储：16 GB EMMC</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亮度：500 cd/m²</w:t>
            </w:r>
            <w:r>
              <w:rPr>
                <w:rStyle w:val="103"/>
                <w:rFonts w:hint="eastAsia" w:asciiTheme="majorEastAsia" w:hAnsiTheme="majorEastAsia" w:eastAsiaTheme="majorEastAsia" w:cstheme="majorEastAsia"/>
                <w:color w:val="auto"/>
                <w:sz w:val="24"/>
                <w:szCs w:val="24"/>
                <w:highlight w:val="none"/>
                <w:lang w:val="en-US" w:eastAsia="zh-CN" w:bidi="ar"/>
              </w:rPr>
              <w:t xml:space="preserve">  物理分辨率：3840 × 2160</w:t>
            </w:r>
            <w:r>
              <w:rPr>
                <w:rStyle w:val="103"/>
                <w:rFonts w:hint="eastAsia" w:asciiTheme="majorEastAsia" w:hAnsiTheme="majorEastAsia" w:eastAsiaTheme="majorEastAsia" w:cstheme="majorEastAsia"/>
                <w:color w:val="auto"/>
                <w:sz w:val="24"/>
                <w:szCs w:val="24"/>
                <w:highlight w:val="none"/>
                <w:lang w:val="en-US" w:eastAsia="zh-CN" w:bidi="ar"/>
              </w:rPr>
              <w:br w:type="textWrapping"/>
            </w:r>
            <w:r>
              <w:rPr>
                <w:rStyle w:val="103"/>
                <w:rFonts w:hint="eastAsia" w:asciiTheme="majorEastAsia" w:hAnsiTheme="majorEastAsia" w:eastAsiaTheme="majorEastAsia" w:cstheme="majorEastAsia"/>
                <w:color w:val="auto"/>
                <w:sz w:val="24"/>
                <w:szCs w:val="24"/>
                <w:highlight w:val="none"/>
                <w:lang w:val="en-US" w:eastAsia="zh-CN" w:bidi="ar"/>
              </w:rPr>
              <w:t xml:space="preserve">音视频输入接口：AUDIO IN × 1，HDMI × 2, VGA × 1  </w:t>
            </w:r>
            <w:r>
              <w:rPr>
                <w:rStyle w:val="103"/>
                <w:rFonts w:hint="eastAsia" w:asciiTheme="majorEastAsia" w:hAnsiTheme="majorEastAsia" w:eastAsiaTheme="majorEastAsia" w:cstheme="majorEastAsia"/>
                <w:color w:val="auto"/>
                <w:sz w:val="24"/>
                <w:szCs w:val="24"/>
                <w:highlight w:val="none"/>
                <w:lang w:val="en-US" w:eastAsia="zh-CN" w:bidi="ar"/>
              </w:rPr>
              <w:br w:type="textWrapping"/>
            </w:r>
            <w:r>
              <w:rPr>
                <w:rStyle w:val="103"/>
                <w:rFonts w:hint="eastAsia" w:asciiTheme="majorEastAsia" w:hAnsiTheme="majorEastAsia" w:eastAsiaTheme="majorEastAsia" w:cstheme="majorEastAsia"/>
                <w:color w:val="auto"/>
                <w:sz w:val="24"/>
                <w:szCs w:val="24"/>
                <w:highlight w:val="none"/>
                <w:lang w:val="en-US" w:eastAsia="zh-CN" w:bidi="ar"/>
              </w:rPr>
              <w:t>音视频输出接口：AUDIO OUT × 1，speaker (8 Ω 5 W) × 2</w:t>
            </w:r>
            <w:r>
              <w:rPr>
                <w:rStyle w:val="103"/>
                <w:rFonts w:hint="eastAsia" w:asciiTheme="majorEastAsia" w:hAnsiTheme="majorEastAsia" w:eastAsiaTheme="majorEastAsia" w:cstheme="majorEastAsia"/>
                <w:color w:val="auto"/>
                <w:sz w:val="24"/>
                <w:szCs w:val="24"/>
                <w:highlight w:val="none"/>
                <w:lang w:val="en-US" w:eastAsia="zh-CN" w:bidi="ar"/>
              </w:rPr>
              <w:br w:type="textWrapping"/>
            </w:r>
            <w:r>
              <w:rPr>
                <w:rStyle w:val="103"/>
                <w:rFonts w:hint="eastAsia" w:asciiTheme="majorEastAsia" w:hAnsiTheme="majorEastAsia" w:eastAsiaTheme="majorEastAsia" w:cstheme="majorEastAsia"/>
                <w:color w:val="auto"/>
                <w:sz w:val="24"/>
                <w:szCs w:val="24"/>
                <w:highlight w:val="none"/>
                <w:lang w:val="en-US" w:eastAsia="zh-CN" w:bidi="ar"/>
              </w:rPr>
              <w:t>数据传输接口：USB 2.0 × 2, TF Card × 1, BT 4.0 × 1</w:t>
            </w:r>
            <w:r>
              <w:rPr>
                <w:rStyle w:val="103"/>
                <w:rFonts w:hint="eastAsia" w:asciiTheme="majorEastAsia" w:hAnsiTheme="majorEastAsia" w:eastAsiaTheme="majorEastAsia" w:cstheme="majorEastAsia"/>
                <w:color w:val="auto"/>
                <w:sz w:val="24"/>
                <w:szCs w:val="24"/>
                <w:highlight w:val="none"/>
                <w:lang w:val="en-US" w:eastAsia="zh-CN" w:bidi="ar"/>
              </w:rPr>
              <w:br w:type="textWrapping"/>
            </w:r>
            <w:r>
              <w:rPr>
                <w:rStyle w:val="103"/>
                <w:rFonts w:hint="eastAsia" w:asciiTheme="majorEastAsia" w:hAnsiTheme="majorEastAsia" w:eastAsiaTheme="majorEastAsia" w:cstheme="majorEastAsia"/>
                <w:color w:val="auto"/>
                <w:sz w:val="24"/>
                <w:szCs w:val="24"/>
                <w:highlight w:val="none"/>
                <w:lang w:val="en-US" w:eastAsia="zh-CN" w:bidi="ar"/>
              </w:rPr>
              <w:t>网络接口：LAN × 1，Wi-Fi × 1</w:t>
            </w:r>
            <w:r>
              <w:rPr>
                <w:rStyle w:val="103"/>
                <w:rFonts w:hint="eastAsia" w:asciiTheme="majorEastAsia" w:hAnsiTheme="majorEastAsia" w:eastAsiaTheme="majorEastAsia" w:cstheme="majorEastAsia"/>
                <w:color w:val="auto"/>
                <w:sz w:val="24"/>
                <w:szCs w:val="24"/>
                <w:highlight w:val="none"/>
                <w:lang w:val="en-US" w:eastAsia="zh-CN" w:bidi="ar"/>
              </w:rPr>
              <w:br w:type="textWrapping"/>
            </w:r>
            <w:r>
              <w:rPr>
                <w:rStyle w:val="103"/>
                <w:rFonts w:hint="eastAsia" w:asciiTheme="majorEastAsia" w:hAnsiTheme="majorEastAsia" w:eastAsiaTheme="majorEastAsia" w:cstheme="majorEastAsia"/>
                <w:color w:val="auto"/>
                <w:sz w:val="24"/>
                <w:szCs w:val="24"/>
                <w:highlight w:val="none"/>
                <w:lang w:val="en-US" w:eastAsia="zh-CN" w:bidi="ar"/>
              </w:rPr>
              <w:t>★终端安全策略:锁屏策略，终端具备自动锁屏功能，不输入解锁密码不能退出播放系统，保障播放系统安全;保护策略，信息发布软件具备非前台自动保护机制，当信息发布软件被非解锁操作后退出到后台运行时，保护机制会快速将信息发布重新强制前台，保障信息发布设备的播放内容;播放策略，终端设备播放时会进行素材文件的 MD5 或者抽样文件校验，无法通过校验的素材不会进行播放，防止播放素材的篡改。（提供具有CNAS标识的国家权威检测机构出具的检测报告复印件）</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73</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显示器支架</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颜色：黑色</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材质：SPCC高强度钢（主体） </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安装孔位：(400~600)X(200~400)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 xml:space="preserve">产品承重：45KG </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74</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POE交换机</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个10/100/1000Mbps电口（支持PoE/PoE+），1个10/100/1000Mbps电口。整机POE最大输出功率120W，支持端口状态显示、端口流量统计、PoE端口输出功率状态、端口双工/协商速率配置、流控配置、PoE输出开关，支持广播风暴抑制、端口限速、端口隔离，支持端口镜像、环路保护、线缆检测支持EWEB/APP/MACC管理。</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75</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人脸识别组件</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操作系统：嵌入式Linux操作系统；</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屏幕参数： 7英寸触摸显示屏，屏幕比例9:16，屏幕分辨率600*1024；</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摄像头参数：采用宽动态200万双目摄像头；</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认证方式：支持人脸、刷卡（IC卡、手机NFC卡、CPU卡序列号/内容、身份证卡序列号）、密码认证方式，可外接身份证、指纹、蓝牙、二维码功能模块；</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人脸验证：采用深度学习算法，支持单人或多人识别（最多5人同时认证）功能；支持照片、视频防假；1:N人脸验证速度≤0.2s，人脸验证准确率≥99%；</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存储容量：本地支持10000人脸库、50000张卡，15万条事件记录；</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硬件接口：LAN*1、RS485*1、Wiegand * 1(支持双向)、typeC类型USB接口*1、电锁*1、门磁*1、报警输入*2、报警输出*1、开门按钮*1、SD卡槽*1（最大支持512GB）、3.5mm音频输出接口*1；</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通信方式及网络协议：有线网络；</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使用环境：IP65，室内外环境（室外使用必须搭配遮阳罩）；</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安装方式：壁挂安装（标配挂板，适配86底盒）；</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工作电压： DC12V~24V/2A（电源需另配）；</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产品尺寸：209.2*110.5*24mm；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设备重量：净重0.56kg，毛重0.88kg</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应具有拓展GPS定位模块能力，应能通过事件方式定时上报设备位置信息。（并提供公安部检验报告证明）</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满足GA/T 1179-2014《安防声纹确认应用算法技术要求和测试方法》。（并提供公安部检验报告证明）</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76</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磁力锁</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锁体主体颜色为深灰色。</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最大静态直线拉力：280kg ± 15%</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断电开锁，满足消防要求；</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具有电锁状态指示灯（红灯为开锁状态， 绿灯为上锁状态）；</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支持锁状态侦测信号(门磁)输出：NO/NC/COM接点；</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工作电压：12V/420mA 或 24V/210mA；</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锁体尺寸：长238*宽47*厚28(mm)；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吸板尺寸：长182*宽38*高13(mm)；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使用环境：室内（不防水）；</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适用门型：木门、玻璃门、金属门、防火门。</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77</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支架</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选用材料：高强铝合金，表面喷沙，颜色为深灰色。</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外壳处理：阳极硬化电镀处理</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适用门型：木门、金属门</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开门方式：90度内开式门</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产品重量：0.77kg</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L型支架尺寸：长238*宽47*厚30(mm)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Z型支架尺寸：长185*宽51*厚50(mm)</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78</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开门按钮</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结构：塑料面板；</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性能：最大耐电流1.25A，电压250V；</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输出：常开；</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类型：适合埋入式电器盒使用；</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尺寸：86*86mm，安装后露出13mm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重量：0.07kg；</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79</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旁听位</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法庭专用座椅</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80</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隔断</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审判区和旁听区专用实木隔断</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81</w:t>
            </w:r>
          </w:p>
        </w:tc>
        <w:tc>
          <w:tcPr>
            <w:tcW w:w="547" w:type="pct"/>
            <w:vMerge w:val="continue"/>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机柜</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600*800*2055</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82</w:t>
            </w:r>
          </w:p>
        </w:tc>
        <w:tc>
          <w:tcPr>
            <w:tcW w:w="547" w:type="pct"/>
            <w:vMerge w:val="restar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共享法庭</w:t>
            </w: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高效会议平板</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1、显示参数：屏幕尺寸≥86英寸DLED背光，显示比例 16:9，物理分辨3840*2160P，亮度≥380cd/m2，对比度 1200:1，可视角度 178° ，背光寿命≥30000Hrs。</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2、双系统设计：整机支持Windows 和 Android双系统，Windows系统配置：CPU ≥Intel® Core i5 10代，主频不低于2.9GHZ，内存≥8GB DDR4内存，硬盘≥256G SSD固态硬盘。嵌入式终端操作系统Android配置：CPU：2*A72+2*A53，主频1.5 GHz，内存≥4 GB，内置存储≥32GB。PC模块要求和会议平板同一品牌。</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3、整机内嵌针脚数为120Pin的OPS接口，支持4K高清输出。</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4、触控性能：采用红外触控，双系统支持 20 点触控，10笔同时书写，触控响应时间&lt;10ms。</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5、整机前置面板不少于2个USB接口，其中2个USB接口需满足双通道识别，无论在Android或Windows系统下都可被自动识别。</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★6、整机采用集Wi-Fi和蓝牙于一体的可插拔式模块，卡槽置于整机底部，正面无任何可视痕迹。支持无线双频AP，2.4G和5G双频段，支持信道选择。(所投产品须提供证明以上参数的第三方权威机构测试报告）。</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7、外接设备时，机器自动识别信号源并切换到对应通道，且支持自定义一体机的默认开机通道。</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8、系统内置会议、教育两种不同主题风格，用户可根据实际使用需求在系统-显示设置中进行切换，一机两主题的设计满足不同的使用场景。</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9、Android和Windows 双系统下均支持双应用并行，左右分屏同时显示操作，同屏运行。</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10、智能遥控书写笔支持上下翻页、批注、触摸书写模式切换、一键保存，提供五种默认画笔颜色。</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11、支持选定已书写的内容进行颜色切换，默认4种书写颜色并支持选定区域放大、缩小、移动。</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12、漫游模式下支持手势拖曳和缩放功能，白板页面无限扩展达到无边际书写体验，演示内容可以随意移动。</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★13、无线投屏采用全新的连接和展示方式，电脑、手机、平板可实时一键投屏。通过硬解码技术最多可接收 9 路信号，实现 9 路画面同时分屏显示，支持多屏切换，触摸回传，及独立反向操作；(所投产品须提供证明以上参数的第三方权威机构测试报告）。</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14、一体机出厂标配视频会议软件。用户可直接在机器主界面发起会议或者加入会议。</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15、适配同一制造商多媒体信息发布系统，系统基于云平台，采用分布式区域管理技术，管理人员只需通过浏览器即可实现远程控制、发布和管理节目；(所投产品须提供证明以上参数的第三方权威机构测试报告）。</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16、产品通过国家3C认证（需提供认证证书复印件）。</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17、产品通过节能产品认证（需提供认证证书复印件）。</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83</w:t>
            </w:r>
          </w:p>
        </w:tc>
        <w:tc>
          <w:tcPr>
            <w:tcW w:w="547" w:type="pct"/>
            <w:vMerge w:val="continue"/>
            <w:shd w:val="clear" w:color="auto" w:fill="auto"/>
            <w:noWrap/>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PC 模块</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I5-10400 处理器，8G 内存，128G 存储，win10 企业版</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84</w:t>
            </w:r>
          </w:p>
        </w:tc>
        <w:tc>
          <w:tcPr>
            <w:tcW w:w="547" w:type="pct"/>
            <w:vMerge w:val="continue"/>
            <w:shd w:val="clear" w:color="auto" w:fill="auto"/>
            <w:noWrap/>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传屏器</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 整机内置接收模块，除无线传屏器外不需要连接任何附加设备，可实现外部电脑音视频信号实时传输到触摸一体机上（无论整机处于任何通道），并可支持触摸回传。</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 支持操作系统：Win7/Win8/Win8.1/Win10/Mac OS10.10-10.13。</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 传输延迟≤65ms，帧率达到20fps-30fps，最长连接距离12米。</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85</w:t>
            </w:r>
          </w:p>
        </w:tc>
        <w:tc>
          <w:tcPr>
            <w:tcW w:w="547" w:type="pct"/>
            <w:vMerge w:val="continue"/>
            <w:shd w:val="clear" w:color="auto" w:fill="auto"/>
            <w:noWrap/>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智能笔</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PPT 轻松翻页；虚拟激光标注。</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86</w:t>
            </w:r>
          </w:p>
        </w:tc>
        <w:tc>
          <w:tcPr>
            <w:tcW w:w="547" w:type="pct"/>
            <w:vMerge w:val="continue"/>
            <w:shd w:val="clear" w:color="auto" w:fill="auto"/>
            <w:noWrap/>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移动支架</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98寸移动支架主体结构采用铝合金材质，内置走线装置，解决了走线烦脑。产品应采用SPCC高强度底座，可全方位移动，后轮带刹车，承重≥200公斤。</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87</w:t>
            </w:r>
          </w:p>
        </w:tc>
        <w:tc>
          <w:tcPr>
            <w:tcW w:w="547" w:type="pct"/>
            <w:vMerge w:val="continue"/>
            <w:shd w:val="clear" w:color="auto" w:fill="auto"/>
            <w:noWrap/>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办公桌椅</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胡桃实木桌、3张实木加真皮椅</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88</w:t>
            </w:r>
          </w:p>
        </w:tc>
        <w:tc>
          <w:tcPr>
            <w:tcW w:w="547" w:type="pct"/>
            <w:vMerge w:val="restart"/>
            <w:shd w:val="clear" w:color="auto" w:fill="auto"/>
            <w:noWrap/>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预审区</w:t>
            </w: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人脸识别组件</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操作系统：嵌入式Linux操作系统；</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屏幕参数： 7英寸触摸显示屏，屏幕比例9:16，屏幕分辨率600*1024；</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摄像头参数：采用宽动态200万双目摄像头；</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认证方式：支持人脸、刷卡（IC卡、手机NFC卡、CPU卡序列号/内容、身份证卡序列号）、密码认证方式，可外接身份证、指纹、蓝牙、二维码功能模块；</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人脸验证：采用深度学习算法，支持单人或多人识别（最多5人同时认证）功能；支持照片、视频防假；1:N人脸验证速度≤0.2s，人脸验证准确率≥99%；</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存储容量：本地支持10000人脸库、50000张卡，15万条事件记录；</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硬件接口：LAN*1、RS485*1、Wiegand * 1(支持双向)、typeC类型USB接口*1、电锁*1、门磁*1、报警输入*2、报警输出*1、开门按钮*1、SD卡槽*1（最大支持512GB）、3.5mm音频输出接口*1；</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通信方式及网络协议：有线网络；</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使用环境：IP65，室内外环境（室外使用必须搭配遮阳罩）；</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安装方式：壁挂安装（标配挂板，适配86底盒）；</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工作电压： DC12V~24V/2A（电源需另配）；</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产品尺寸：209.2*110.5*24mm；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设备重量：净重0.56kg，毛重0.88kg</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应具有拓展GPS定位模块能力，应能通过事件方式定时上报设备位置信息。（并提供公安部检验报告证明）</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满足GA/T 1179-2014《安防声纹确认应用算法技术要求和测试方法》。（并提供公安部检验报告证明）</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89</w:t>
            </w:r>
          </w:p>
        </w:tc>
        <w:tc>
          <w:tcPr>
            <w:tcW w:w="547" w:type="pct"/>
            <w:vMerge w:val="continue"/>
            <w:shd w:val="clear" w:color="auto" w:fill="auto"/>
            <w:noWrap/>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磁力锁</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锁体主体颜色为深灰色。</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最大静态直线拉力：280kg ± 15%</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断电开锁，满足消防要求；</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具有电锁状态指示灯（红灯为开锁状态， 绿灯为上锁状态）；</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支持锁状态侦测信号(门磁)输出：NO/NC/COM接点；</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工作电压：12V/420mA 或 24V/210mA；</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锁体尺寸：长238*宽47*厚28(mm)；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吸板尺寸：长182*宽38*高13(mm)；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使用环境：室内（不防水）；</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适用门型：木门、玻璃门、金属门、防火门。</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90</w:t>
            </w:r>
          </w:p>
        </w:tc>
        <w:tc>
          <w:tcPr>
            <w:tcW w:w="547" w:type="pct"/>
            <w:vMerge w:val="continue"/>
            <w:shd w:val="clear" w:color="auto" w:fill="auto"/>
            <w:noWrap/>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支架</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选用材料：高强铝合金，表面喷沙，颜色为深灰色。</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外壳处理：阳极硬化电镀处理</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适用门型：木门、金属门</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开门方式：90度内开式门</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产品重量：0.77kg左右</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L型支架尺寸：长238*宽47*厚30(mm)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Z型支架尺寸：长185*宽51*厚50(mm)</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91</w:t>
            </w:r>
          </w:p>
        </w:tc>
        <w:tc>
          <w:tcPr>
            <w:tcW w:w="547" w:type="pct"/>
            <w:vMerge w:val="continue"/>
            <w:shd w:val="clear" w:color="auto" w:fill="auto"/>
            <w:noWrap/>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开门按钮</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结构：塑料面板；</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性能：最大耐电流1.25A，电压250V；</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输出：常开；</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类型：适合埋入式电器盒使用；</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尺寸：86*86mm左右，安装后露出13mm左右</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重量：0.06kg-0.1kg；</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92</w:t>
            </w:r>
          </w:p>
        </w:tc>
        <w:tc>
          <w:tcPr>
            <w:tcW w:w="547" w:type="pct"/>
            <w:vMerge w:val="continue"/>
            <w:shd w:val="clear" w:color="auto" w:fill="auto"/>
            <w:noWrap/>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跑步机</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马达功率4.5HP</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加油方式自动</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速度范围1.0-18KM/H</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展开尺寸1920*880*1358MM及以上</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坡度0-20档</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心率测试触摸式心率感应</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最大承重大于等于150KG</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93</w:t>
            </w:r>
          </w:p>
        </w:tc>
        <w:tc>
          <w:tcPr>
            <w:tcW w:w="547" w:type="pct"/>
            <w:vMerge w:val="continue"/>
            <w:shd w:val="clear" w:color="auto" w:fill="auto"/>
            <w:noWrap/>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乒乓球桌</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台面尺寸:2740*1525MM及以上</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球台高度:760MM及以上</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边框:22*40MM及以上</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面板厚度:18MM及以上</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球台外脚:40*40MM及以上</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脚轮:φ75可移动脚轮X8个</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弹性:230~260MM</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安 全:多重保险加强杆X6个</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台面光泽度:≤10°</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弹性均匀度:≤10MM</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94</w:t>
            </w:r>
          </w:p>
        </w:tc>
        <w:tc>
          <w:tcPr>
            <w:tcW w:w="547" w:type="pct"/>
            <w:vMerge w:val="continue"/>
            <w:shd w:val="clear" w:color="auto" w:fill="auto"/>
            <w:noWrap/>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台球桌</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精磨A级青石板     中式球杆3支</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健英水晶球         铜十字短架杆1套、</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英速胶边           铜钩2个、三角架1个、</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健英XF222台呢     巧克1盒、皮头1盒、</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美国威盛亚面板     塑料枪头1盒、胶水1支、</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模压钢质袋口       毛刷1个、放杆架1付、</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95</w:t>
            </w:r>
          </w:p>
        </w:tc>
        <w:tc>
          <w:tcPr>
            <w:tcW w:w="547" w:type="pct"/>
            <w:vMerge w:val="continue"/>
            <w:shd w:val="clear" w:color="auto" w:fill="auto"/>
            <w:noWrap/>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仰卧起坐健身器</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泡棉、皮、优质钢</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96</w:t>
            </w:r>
          </w:p>
        </w:tc>
        <w:tc>
          <w:tcPr>
            <w:tcW w:w="547" w:type="pct"/>
            <w:vMerge w:val="continue"/>
            <w:shd w:val="clear" w:color="auto" w:fill="auto"/>
            <w:noWrap/>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健身区椅</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实心铸铁倚脚、防腐实木</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97</w:t>
            </w:r>
          </w:p>
        </w:tc>
        <w:tc>
          <w:tcPr>
            <w:tcW w:w="547" w:type="pct"/>
            <w:vMerge w:val="continue"/>
            <w:shd w:val="clear" w:color="auto" w:fill="auto"/>
            <w:noWrap/>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网线</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室内超5类网线</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98</w:t>
            </w:r>
          </w:p>
        </w:tc>
        <w:tc>
          <w:tcPr>
            <w:tcW w:w="547" w:type="pct"/>
            <w:vMerge w:val="continue"/>
            <w:shd w:val="clear" w:color="auto" w:fill="auto"/>
            <w:noWrap/>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音响线材</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国产定制</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default" w:asciiTheme="majorEastAsia" w:hAnsiTheme="majorEastAsia" w:eastAsiaTheme="majorEastAsia" w:cstheme="majorEastAsia"/>
                <w:i w:val="0"/>
                <w:iCs w:val="0"/>
                <w:color w:val="auto"/>
                <w:sz w:val="24"/>
                <w:szCs w:val="24"/>
                <w:highlight w:val="none"/>
                <w:u w:val="none"/>
                <w:lang w:val="en-US"/>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99</w:t>
            </w:r>
          </w:p>
        </w:tc>
        <w:tc>
          <w:tcPr>
            <w:tcW w:w="547" w:type="pct"/>
            <w:vMerge w:val="continue"/>
            <w:shd w:val="clear" w:color="auto" w:fill="auto"/>
            <w:noWrap/>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电源线</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国产定制</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100</w:t>
            </w:r>
          </w:p>
        </w:tc>
        <w:tc>
          <w:tcPr>
            <w:tcW w:w="547" w:type="pct"/>
            <w:vMerge w:val="continue"/>
            <w:shd w:val="clear" w:color="auto" w:fill="auto"/>
            <w:noWrap/>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管件</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国产定制</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101</w:t>
            </w:r>
          </w:p>
        </w:tc>
        <w:tc>
          <w:tcPr>
            <w:tcW w:w="547" w:type="pct"/>
            <w:vMerge w:val="continue"/>
            <w:shd w:val="clear" w:color="auto" w:fill="auto"/>
            <w:noWrap/>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其他辅材</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PDU插座、跳线、理线器、尾纤、水晶头、扎带、胶布等</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74"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lang w:val="en-US"/>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102</w:t>
            </w:r>
          </w:p>
        </w:tc>
        <w:tc>
          <w:tcPr>
            <w:tcW w:w="547" w:type="pct"/>
            <w:shd w:val="clear" w:color="auto" w:fill="auto"/>
            <w:vAlign w:val="center"/>
          </w:tcPr>
          <w:p>
            <w:pPr>
              <w:keepNext w:val="0"/>
              <w:keepLines w:val="0"/>
              <w:pageBreakBefore w:val="0"/>
              <w:shd w:val="clear"/>
              <w:kinsoku/>
              <w:wordWrap/>
              <w:overflowPunct/>
              <w:topLinePunct w:val="0"/>
              <w:bidi w:val="0"/>
              <w:snapToGrid/>
              <w:spacing w:line="360" w:lineRule="auto"/>
              <w:jc w:val="center"/>
              <w:rPr>
                <w:rFonts w:hint="eastAsia" w:asciiTheme="majorEastAsia" w:hAnsiTheme="majorEastAsia" w:eastAsiaTheme="majorEastAsia" w:cstheme="majorEastAsia"/>
                <w:i w:val="0"/>
                <w:iCs w:val="0"/>
                <w:color w:val="auto"/>
                <w:sz w:val="24"/>
                <w:szCs w:val="24"/>
                <w:highlight w:val="none"/>
                <w:u w:val="none"/>
              </w:rPr>
            </w:pPr>
          </w:p>
        </w:tc>
        <w:tc>
          <w:tcPr>
            <w:tcW w:w="703"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系统集成费</w:t>
            </w:r>
          </w:p>
        </w:tc>
        <w:tc>
          <w:tcPr>
            <w:tcW w:w="2526"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left"/>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包含调试等满足系统正常运行完成的一切费用</w:t>
            </w:r>
          </w:p>
        </w:tc>
        <w:tc>
          <w:tcPr>
            <w:tcW w:w="415"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w:t>
            </w:r>
          </w:p>
        </w:tc>
        <w:tc>
          <w:tcPr>
            <w:tcW w:w="432" w:type="pct"/>
            <w:shd w:val="clear" w:color="auto" w:fill="auto"/>
            <w:vAlign w:val="center"/>
          </w:tcPr>
          <w:p>
            <w:pPr>
              <w:keepNext w:val="0"/>
              <w:keepLines w:val="0"/>
              <w:pageBreakBefore w:val="0"/>
              <w:widowControl/>
              <w:suppressLineNumbers w:val="0"/>
              <w:shd w:val="clear"/>
              <w:kinsoku/>
              <w:wordWrap/>
              <w:overflowPunct/>
              <w:topLinePunct w:val="0"/>
              <w:bidi w:val="0"/>
              <w:snapToGrid/>
              <w:spacing w:line="360" w:lineRule="auto"/>
              <w:jc w:val="center"/>
              <w:textAlignment w:val="center"/>
              <w:rPr>
                <w:rFonts w:hint="eastAsia" w:asciiTheme="majorEastAsia" w:hAnsiTheme="majorEastAsia" w:eastAsiaTheme="majorEastAsia" w:cstheme="majorEastAsia"/>
                <w:i w:val="0"/>
                <w:iCs w:val="0"/>
                <w:color w:val="auto"/>
                <w:sz w:val="24"/>
                <w:szCs w:val="24"/>
                <w:highlight w:val="none"/>
                <w:u w:val="none"/>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套</w:t>
            </w:r>
          </w:p>
        </w:tc>
      </w:tr>
    </w:tbl>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三、技术要求</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eastAsia="zh-CN"/>
        </w:rPr>
        <w:t>快速维权中心二期建设项目（机房及展厅建设）——智能化及配套设备采购项目</w:t>
      </w:r>
      <w:r>
        <w:rPr>
          <w:rFonts w:hint="eastAsia" w:ascii="宋体" w:hAnsi="宋体" w:cs="宋体"/>
          <w:color w:val="auto"/>
          <w:sz w:val="24"/>
          <w:szCs w:val="24"/>
          <w:highlight w:val="none"/>
        </w:rPr>
        <w:t>，包括设备的供货、运输、安装、总体调试、技术培训、验收直至交付使用。</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b w:val="0"/>
          <w:bCs w:val="0"/>
          <w:color w:val="auto"/>
          <w:sz w:val="24"/>
          <w:szCs w:val="24"/>
          <w:highlight w:val="none"/>
        </w:rPr>
        <w:t>1.</w:t>
      </w:r>
      <w:r>
        <w:rPr>
          <w:rFonts w:hint="eastAsia" w:ascii="宋体" w:hAnsi="宋体" w:cs="宋体"/>
          <w:color w:val="auto"/>
          <w:sz w:val="24"/>
          <w:szCs w:val="24"/>
          <w:highlight w:val="none"/>
        </w:rPr>
        <w:t>招标内容及技术要求中有的条款已加粗、带★的形式强调,这些特别强调的条款是重要条款，将在评标过程中重点评审。</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.投标方对每小项都必须按附件格式报价,含设备、材料、人工、安装调试、运费及税收等。业主方可根据工程实际情况对分项做相应的调整。</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lang w:val="en-US" w:eastAsia="zh-CN"/>
        </w:rPr>
        <w:t>3</w:t>
      </w:r>
      <w:r>
        <w:rPr>
          <w:rFonts w:hint="eastAsia" w:ascii="宋体" w:hAnsi="宋体" w:cs="宋体"/>
          <w:b/>
          <w:bCs/>
          <w:color w:val="auto"/>
          <w:sz w:val="24"/>
          <w:szCs w:val="24"/>
          <w:highlight w:val="none"/>
        </w:rPr>
        <w:t>.本项目属于“交钥匙”工程，即所提供的所有设备产品按招标方的要求采购，安装、调试等工作需要由中标人提供实施和五年的免费维保服务，中标人须对 设备的完整性负责，如相关配件在招标清单中未列出但安装所采购设备时须用到，中标人须提供，产生的一切费用，均由中标人负责。项目实施期间发生的所有劳务支出、安全保险、住宿、运输、税金等一切费用都已包含在竞投报价中，由中标人自行负责。</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.以上产品由采购人邀请相关专家参与共同验收。</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四、其他要求：</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1、售后服务</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1.1投标人必须明确作出服务承诺，详细阐述维修、维护内容及服务方式和范围；</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1.2投标人应以优惠价格提供在货物验收合格后的零配件供应价格；</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1.3投标人必须明确作出服务承诺，详细阐述维修、维护内容及服务方式和范围。</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2、其他要求</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2.1卖方应保证，买方在中华人民共和国使用该产品任何一部分时，免受第三方提出的侵犯其专利权、商标权或其他知识产权的起诉。如发生此类纠纷，由卖方承担一切责任。</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2.2卖方为执行本合同而提供的技术资料的使用权归买方所有。</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2.3投标人必须承诺招标文件中提出的全部技术要求；如果以其中某些条款不响应时，应在投标文件中逐条列出，未列出的视同响应。</w:t>
      </w:r>
    </w:p>
    <w:p>
      <w:pPr>
        <w:shd w:val="clear"/>
        <w:spacing w:line="360" w:lineRule="auto"/>
        <w:ind w:firstLine="482" w:firstLineChars="200"/>
        <w:rPr>
          <w:rFonts w:ascii="宋体" w:hAnsi="宋体" w:cs="宋体"/>
          <w:color w:val="auto"/>
          <w:sz w:val="24"/>
          <w:szCs w:val="24"/>
          <w:highlight w:val="none"/>
        </w:rPr>
      </w:pPr>
      <w:r>
        <w:rPr>
          <w:rFonts w:hint="eastAsia" w:ascii="宋体" w:hAnsi="宋体" w:cs="宋体"/>
          <w:b/>
          <w:bCs/>
          <w:color w:val="auto"/>
          <w:sz w:val="24"/>
          <w:szCs w:val="24"/>
          <w:highlight w:val="none"/>
        </w:rPr>
        <w:t>3、质保期要求：</w:t>
      </w:r>
      <w:r>
        <w:rPr>
          <w:rFonts w:hint="eastAsia" w:ascii="宋体" w:hAnsi="宋体" w:cs="宋体"/>
          <w:color w:val="auto"/>
          <w:sz w:val="24"/>
          <w:szCs w:val="24"/>
          <w:highlight w:val="none"/>
        </w:rPr>
        <w:t>质保期</w:t>
      </w:r>
      <w:r>
        <w:rPr>
          <w:rFonts w:hint="eastAsia" w:ascii="宋体" w:hAnsi="宋体" w:cs="宋体"/>
          <w:color w:val="auto"/>
          <w:sz w:val="24"/>
          <w:szCs w:val="24"/>
          <w:highlight w:val="none"/>
          <w:lang w:val="en-US" w:eastAsia="zh-CN"/>
        </w:rPr>
        <w:t>三</w:t>
      </w:r>
      <w:r>
        <w:rPr>
          <w:rFonts w:hint="eastAsia" w:ascii="宋体" w:hAnsi="宋体" w:cs="宋体"/>
          <w:color w:val="auto"/>
          <w:sz w:val="24"/>
          <w:szCs w:val="24"/>
          <w:highlight w:val="none"/>
        </w:rPr>
        <w:t>年，时间从通过最终验收通过后算起。</w:t>
      </w:r>
    </w:p>
    <w:p>
      <w:pPr>
        <w:shd w:val="clear"/>
        <w:spacing w:line="360" w:lineRule="auto"/>
        <w:ind w:firstLine="482" w:firstLineChars="200"/>
        <w:rPr>
          <w:rFonts w:ascii="宋体" w:hAnsi="宋体" w:cs="宋体"/>
          <w:color w:val="auto"/>
          <w:sz w:val="24"/>
          <w:szCs w:val="24"/>
          <w:highlight w:val="none"/>
        </w:rPr>
      </w:pPr>
      <w:r>
        <w:rPr>
          <w:rFonts w:hint="eastAsia" w:ascii="宋体" w:hAnsi="宋体" w:cs="宋体"/>
          <w:b/>
          <w:bCs/>
          <w:color w:val="auto"/>
          <w:sz w:val="24"/>
          <w:szCs w:val="24"/>
          <w:highlight w:val="none"/>
        </w:rPr>
        <w:t>4、售后技术服务要求：</w:t>
      </w:r>
      <w:r>
        <w:rPr>
          <w:rFonts w:hint="eastAsia" w:ascii="宋体" w:hAnsi="宋体" w:cs="宋体"/>
          <w:color w:val="auto"/>
          <w:sz w:val="24"/>
          <w:szCs w:val="24"/>
          <w:highlight w:val="none"/>
        </w:rPr>
        <w:t>提供产品保修卡，并按厂家产品规定保修期限及内容以及供应商的其它承诺条款实行保修，出现故障后2小时内服务响应、8小时内现场服务到位、12小时内解决问题；</w:t>
      </w:r>
    </w:p>
    <w:p>
      <w:pPr>
        <w:shd w:val="clear"/>
        <w:spacing w:line="360" w:lineRule="auto"/>
        <w:ind w:firstLine="482" w:firstLineChars="200"/>
        <w:rPr>
          <w:rFonts w:ascii="宋体" w:hAnsi="宋体" w:cs="宋体"/>
          <w:color w:val="auto"/>
          <w:sz w:val="24"/>
          <w:szCs w:val="24"/>
          <w:highlight w:val="none"/>
        </w:rPr>
      </w:pPr>
      <w:r>
        <w:rPr>
          <w:rFonts w:hint="eastAsia" w:ascii="宋体" w:hAnsi="宋体" w:cs="宋体"/>
          <w:b/>
          <w:bCs/>
          <w:color w:val="auto"/>
          <w:sz w:val="24"/>
          <w:szCs w:val="24"/>
          <w:highlight w:val="none"/>
        </w:rPr>
        <w:t>5、交货时间及地点：</w:t>
      </w:r>
      <w:r>
        <w:rPr>
          <w:rFonts w:hint="eastAsia" w:ascii="宋体" w:hAnsi="宋体" w:cs="宋体"/>
          <w:color w:val="auto"/>
          <w:sz w:val="24"/>
          <w:szCs w:val="24"/>
          <w:highlight w:val="none"/>
        </w:rPr>
        <w:t>合同签订后</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0天内完成供货。在安装、调试、检验时，应派遣授权委托代理人参加并加以指导，如发现质量问题，代表必须负责处理至采购人满意为止；交货地点：业主方指定地点。</w:t>
      </w:r>
    </w:p>
    <w:p>
      <w:pPr>
        <w:shd w:val="clea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6、付款方式：</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.1合同生效以及具备实施条件后七个工作日内，甲方向乙方支付合同金额的</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0%作为预付款，全部设备安装完毕，项目终验合格之后支付合同剩余金额，正式税务发票应随付款进度及时提供，甲方收到发票后付款（以上资金支付进度跟随财政资金拨付进度进行）。</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.2甲方付款前，乙方应向甲方开具等额有效的增值税发票，甲方未收到发票的，有权不予支付相应款项直至乙方提供合格发票，并不承担延迟付款责任。发票认证通过是付款的必要前提之一。</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五、相关说明</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现场勘察：本项目不组织答疑会或现场踏勘，如投标人认为有必要可自行前往现场踏勘。</w:t>
      </w:r>
    </w:p>
    <w:p>
      <w:pPr>
        <w:shd w:val="clear"/>
        <w:spacing w:line="360" w:lineRule="auto"/>
        <w:rPr>
          <w:rFonts w:ascii="宋体" w:hAnsi="宋体" w:cs="宋体"/>
          <w:color w:val="auto"/>
          <w:sz w:val="24"/>
          <w:szCs w:val="24"/>
          <w:highlight w:val="none"/>
        </w:rPr>
      </w:pPr>
    </w:p>
    <w:p>
      <w:pPr>
        <w:shd w:val="clear"/>
        <w:spacing w:line="360" w:lineRule="auto"/>
        <w:jc w:val="center"/>
        <w:rPr>
          <w:rFonts w:hint="eastAsia" w:ascii="宋体" w:hAnsi="宋体" w:cs="宋体"/>
          <w:b/>
          <w:bCs/>
          <w:color w:val="auto"/>
          <w:sz w:val="36"/>
          <w:szCs w:val="36"/>
          <w:highlight w:val="none"/>
        </w:rPr>
      </w:pPr>
    </w:p>
    <w:p>
      <w:pPr>
        <w:shd w:val="clear"/>
        <w:spacing w:line="360" w:lineRule="auto"/>
        <w:jc w:val="center"/>
        <w:rPr>
          <w:rFonts w:hint="eastAsia" w:ascii="宋体" w:hAnsi="宋体" w:cs="宋体"/>
          <w:b/>
          <w:bCs/>
          <w:color w:val="auto"/>
          <w:sz w:val="36"/>
          <w:szCs w:val="36"/>
          <w:highlight w:val="none"/>
        </w:rPr>
      </w:pPr>
    </w:p>
    <w:p>
      <w:pPr>
        <w:shd w:val="clear"/>
        <w:spacing w:line="360" w:lineRule="auto"/>
        <w:jc w:val="center"/>
        <w:rPr>
          <w:rFonts w:hint="eastAsia" w:ascii="宋体" w:hAnsi="宋体" w:cs="宋体"/>
          <w:b/>
          <w:bCs/>
          <w:color w:val="auto"/>
          <w:sz w:val="36"/>
          <w:szCs w:val="36"/>
          <w:highlight w:val="none"/>
        </w:rPr>
      </w:pPr>
    </w:p>
    <w:p>
      <w:pPr>
        <w:shd w:val="clear"/>
        <w:spacing w:line="360" w:lineRule="auto"/>
        <w:jc w:val="center"/>
        <w:rPr>
          <w:rFonts w:hint="eastAsia" w:ascii="宋体" w:hAnsi="宋体" w:cs="宋体"/>
          <w:b/>
          <w:bCs/>
          <w:color w:val="auto"/>
          <w:sz w:val="36"/>
          <w:szCs w:val="36"/>
          <w:highlight w:val="none"/>
        </w:rPr>
      </w:pPr>
    </w:p>
    <w:p>
      <w:pPr>
        <w:shd w:val="clear"/>
        <w:spacing w:line="360" w:lineRule="auto"/>
        <w:jc w:val="center"/>
        <w:rPr>
          <w:rFonts w:hint="eastAsia" w:ascii="宋体" w:hAnsi="宋体" w:cs="宋体"/>
          <w:b/>
          <w:bCs/>
          <w:color w:val="auto"/>
          <w:sz w:val="36"/>
          <w:szCs w:val="36"/>
          <w:highlight w:val="none"/>
        </w:rPr>
      </w:pPr>
    </w:p>
    <w:p>
      <w:pPr>
        <w:shd w:val="clear"/>
        <w:spacing w:line="360" w:lineRule="auto"/>
        <w:jc w:val="center"/>
        <w:rPr>
          <w:rFonts w:hint="eastAsia" w:ascii="宋体" w:hAnsi="宋体" w:cs="宋体"/>
          <w:b/>
          <w:bCs/>
          <w:color w:val="auto"/>
          <w:sz w:val="36"/>
          <w:szCs w:val="36"/>
          <w:highlight w:val="none"/>
        </w:rPr>
      </w:pPr>
    </w:p>
    <w:p>
      <w:pPr>
        <w:shd w:val="clear"/>
        <w:spacing w:line="360" w:lineRule="auto"/>
        <w:jc w:val="center"/>
        <w:rPr>
          <w:rFonts w:hint="eastAsia" w:ascii="宋体" w:hAnsi="宋体" w:cs="宋体"/>
          <w:b/>
          <w:bCs/>
          <w:color w:val="auto"/>
          <w:sz w:val="36"/>
          <w:szCs w:val="36"/>
          <w:highlight w:val="none"/>
        </w:rPr>
      </w:pPr>
    </w:p>
    <w:p>
      <w:pPr>
        <w:shd w:val="clear"/>
        <w:spacing w:line="360" w:lineRule="auto"/>
        <w:jc w:val="center"/>
        <w:rPr>
          <w:rFonts w:hint="eastAsia" w:ascii="宋体" w:hAnsi="宋体" w:cs="宋体"/>
          <w:b/>
          <w:bCs/>
          <w:color w:val="auto"/>
          <w:sz w:val="36"/>
          <w:szCs w:val="36"/>
          <w:highlight w:val="none"/>
        </w:rPr>
      </w:pPr>
    </w:p>
    <w:p>
      <w:pPr>
        <w:shd w:val="clear"/>
        <w:spacing w:line="360" w:lineRule="auto"/>
        <w:jc w:val="center"/>
        <w:rPr>
          <w:rFonts w:hint="eastAsia" w:ascii="宋体" w:hAnsi="宋体" w:cs="宋体"/>
          <w:b/>
          <w:bCs/>
          <w:color w:val="auto"/>
          <w:sz w:val="36"/>
          <w:szCs w:val="36"/>
          <w:highlight w:val="none"/>
        </w:rPr>
      </w:pPr>
    </w:p>
    <w:p>
      <w:pPr>
        <w:shd w:val="clear"/>
        <w:spacing w:line="360" w:lineRule="auto"/>
        <w:jc w:val="center"/>
        <w:rPr>
          <w:rFonts w:hint="eastAsia" w:ascii="宋体" w:hAnsi="宋体" w:cs="宋体"/>
          <w:b/>
          <w:bCs/>
          <w:color w:val="auto"/>
          <w:sz w:val="36"/>
          <w:szCs w:val="36"/>
          <w:highlight w:val="none"/>
        </w:rPr>
      </w:pPr>
    </w:p>
    <w:p>
      <w:pPr>
        <w:shd w:val="clear"/>
        <w:spacing w:line="360" w:lineRule="auto"/>
        <w:jc w:val="center"/>
        <w:rPr>
          <w:rFonts w:hint="eastAsia" w:ascii="宋体" w:hAnsi="宋体" w:cs="宋体"/>
          <w:b/>
          <w:bCs/>
          <w:color w:val="auto"/>
          <w:sz w:val="36"/>
          <w:szCs w:val="36"/>
          <w:highlight w:val="none"/>
        </w:rPr>
      </w:pPr>
    </w:p>
    <w:p>
      <w:pPr>
        <w:shd w:val="clear"/>
        <w:spacing w:line="360" w:lineRule="auto"/>
        <w:jc w:val="center"/>
        <w:rPr>
          <w:rFonts w:hint="eastAsia" w:ascii="宋体" w:hAnsi="宋体" w:cs="宋体"/>
          <w:b/>
          <w:bCs/>
          <w:color w:val="auto"/>
          <w:sz w:val="36"/>
          <w:szCs w:val="36"/>
          <w:highlight w:val="none"/>
        </w:rPr>
      </w:pPr>
    </w:p>
    <w:p>
      <w:pPr>
        <w:shd w:val="clear"/>
        <w:spacing w:line="360" w:lineRule="auto"/>
        <w:jc w:val="center"/>
        <w:rPr>
          <w:rFonts w:hint="eastAsia" w:ascii="宋体" w:hAnsi="宋体" w:cs="宋体"/>
          <w:b/>
          <w:bCs/>
          <w:color w:val="auto"/>
          <w:sz w:val="36"/>
          <w:szCs w:val="36"/>
          <w:highlight w:val="none"/>
        </w:rPr>
      </w:pPr>
    </w:p>
    <w:p>
      <w:pPr>
        <w:shd w:val="clear"/>
        <w:spacing w:line="360" w:lineRule="auto"/>
        <w:jc w:val="center"/>
        <w:rPr>
          <w:rFonts w:hint="eastAsia" w:ascii="宋体" w:hAnsi="宋体" w:cs="宋体"/>
          <w:b/>
          <w:bCs/>
          <w:color w:val="auto"/>
          <w:sz w:val="36"/>
          <w:szCs w:val="36"/>
          <w:highlight w:val="none"/>
        </w:rPr>
      </w:pPr>
    </w:p>
    <w:p>
      <w:pPr>
        <w:shd w:val="clear"/>
        <w:spacing w:line="360" w:lineRule="auto"/>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第五章  合同主要条款</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以下为成交后签定本项目合同的通用条款，成交供应商不得提出实质性的修改，关于专用条款将由采购人与成交供应商结合本项目具体情况协商后签订。</w:t>
      </w:r>
    </w:p>
    <w:p>
      <w:pPr>
        <w:shd w:val="clear"/>
        <w:spacing w:line="360" w:lineRule="auto"/>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rPr>
        <w:t>项目名称：</w:t>
      </w:r>
      <w:r>
        <w:rPr>
          <w:rFonts w:hint="eastAsia" w:ascii="宋体" w:hAnsi="宋体" w:cs="宋体"/>
          <w:color w:val="auto"/>
          <w:sz w:val="24"/>
          <w:szCs w:val="24"/>
          <w:highlight w:val="none"/>
          <w:u w:val="single"/>
          <w:lang w:eastAsia="zh-CN"/>
        </w:rPr>
        <w:t>快速维权中心二期建设项目（机房及展厅建设）——智能化及配套设备采购项目</w:t>
      </w:r>
    </w:p>
    <w:p>
      <w:pPr>
        <w:shd w:val="clear"/>
        <w:spacing w:line="360" w:lineRule="auto"/>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rPr>
        <w:t>项目编号：</w:t>
      </w:r>
      <w:r>
        <w:rPr>
          <w:rFonts w:hint="eastAsia" w:ascii="宋体" w:hAnsi="宋体" w:cs="宋体"/>
          <w:color w:val="auto"/>
          <w:sz w:val="24"/>
          <w:szCs w:val="24"/>
          <w:highlight w:val="none"/>
          <w:u w:val="single"/>
          <w:lang w:eastAsia="zh-CN"/>
        </w:rPr>
        <w:t>ZJWS2024-HYSCJDJ01</w:t>
      </w:r>
    </w:p>
    <w:p>
      <w:pPr>
        <w:shd w:val="clear"/>
        <w:spacing w:line="360" w:lineRule="auto"/>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rPr>
        <w:t>甲方（采购人）：</w:t>
      </w:r>
      <w:r>
        <w:rPr>
          <w:rFonts w:hint="eastAsia" w:ascii="宋体" w:hAnsi="宋体" w:cs="宋体"/>
          <w:color w:val="auto"/>
          <w:sz w:val="24"/>
          <w:szCs w:val="24"/>
          <w:highlight w:val="none"/>
          <w:u w:val="single"/>
          <w:lang w:eastAsia="zh-CN"/>
        </w:rPr>
        <w:t>台州市黄岩区市场监督管理局</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乙方（中标人）：</w:t>
      </w:r>
      <w:r>
        <w:rPr>
          <w:rFonts w:hint="eastAsia" w:ascii="宋体" w:hAnsi="宋体" w:cs="宋体"/>
          <w:b/>
          <w:bCs/>
          <w:color w:val="auto"/>
          <w:sz w:val="24"/>
          <w:szCs w:val="24"/>
          <w:highlight w:val="none"/>
          <w:u w:val="single"/>
        </w:rPr>
        <w:t xml:space="preserve">                                </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w:t>
      </w:r>
      <w:r>
        <w:rPr>
          <w:rFonts w:hint="eastAsia" w:ascii="宋体" w:hAnsi="宋体" w:cs="宋体"/>
          <w:color w:val="auto"/>
          <w:sz w:val="24"/>
          <w:szCs w:val="24"/>
          <w:highlight w:val="none"/>
          <w:lang w:eastAsia="zh-CN"/>
        </w:rPr>
        <w:t>快速维权中心二期建设项目（机房及展厅建设）——智能化及配套设备采购项目</w:t>
      </w:r>
      <w:r>
        <w:rPr>
          <w:rFonts w:hint="eastAsia" w:ascii="宋体" w:hAnsi="宋体" w:cs="宋体"/>
          <w:color w:val="auto"/>
          <w:sz w:val="24"/>
          <w:szCs w:val="24"/>
          <w:highlight w:val="none"/>
        </w:rPr>
        <w:t>的招标结果，经双方协商一致，达成以下条款：</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第一条：承包内容</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eastAsia="zh-CN"/>
        </w:rPr>
        <w:t>快速维权中心二期建设项目（机房及展厅建设）——智能化及配套设备采购项目</w:t>
      </w:r>
      <w:r>
        <w:rPr>
          <w:rFonts w:hint="eastAsia" w:ascii="宋体" w:hAnsi="宋体" w:cs="宋体"/>
          <w:color w:val="auto"/>
          <w:sz w:val="24"/>
          <w:szCs w:val="24"/>
          <w:highlight w:val="none"/>
        </w:rPr>
        <w:t>，包括项目建设、实施、直至验收合格及售后服务等。</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第二条：合同金额</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本合同金额为（大写）：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元）人民币。</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第三条：建设工期、验收方式及地点</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1.建设工期：</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2.验收方式及地点：按</w:t>
      </w:r>
      <w:r>
        <w:rPr>
          <w:rFonts w:hint="eastAsia" w:ascii="宋体" w:hAnsi="宋体" w:cs="宋体"/>
          <w:color w:val="auto"/>
          <w:sz w:val="24"/>
          <w:szCs w:val="24"/>
          <w:highlight w:val="none"/>
          <w:lang w:eastAsia="zh-CN"/>
        </w:rPr>
        <w:t>台州市黄岩区市场监督管理局</w:t>
      </w:r>
      <w:r>
        <w:rPr>
          <w:rFonts w:hint="eastAsia" w:ascii="宋体" w:hAnsi="宋体" w:cs="宋体"/>
          <w:color w:val="auto"/>
          <w:sz w:val="24"/>
          <w:szCs w:val="24"/>
          <w:highlight w:val="none"/>
        </w:rPr>
        <w:t>指定的方式、地点验收。</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第四条：质保期</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质保期：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年。（自终验合格之日起计算，因人为因素出现的故障不在免费保修范围内。超过免费维保期，提供终生维修，维修时只收部件成本费。）</w:t>
      </w:r>
    </w:p>
    <w:p>
      <w:pPr>
        <w:shd w:val="clear"/>
        <w:spacing w:line="360" w:lineRule="auto"/>
        <w:rPr>
          <w:rFonts w:ascii="宋体" w:hAnsi="宋体" w:cs="宋体"/>
          <w:b/>
          <w:bCs/>
          <w:color w:val="auto"/>
          <w:sz w:val="24"/>
          <w:szCs w:val="24"/>
          <w:highlight w:val="none"/>
          <w:lang w:val="zh-CN"/>
        </w:rPr>
      </w:pPr>
      <w:r>
        <w:rPr>
          <w:rFonts w:hint="eastAsia" w:ascii="宋体" w:hAnsi="宋体" w:cs="宋体"/>
          <w:b/>
          <w:bCs/>
          <w:color w:val="auto"/>
          <w:sz w:val="24"/>
          <w:szCs w:val="24"/>
          <w:highlight w:val="none"/>
        </w:rPr>
        <w:t>第五条：</w:t>
      </w:r>
      <w:r>
        <w:rPr>
          <w:rFonts w:hint="eastAsia" w:ascii="宋体" w:hAnsi="宋体" w:cs="宋体"/>
          <w:b/>
          <w:bCs/>
          <w:color w:val="auto"/>
          <w:sz w:val="24"/>
          <w:szCs w:val="24"/>
          <w:highlight w:val="none"/>
          <w:lang w:val="zh-CN"/>
        </w:rPr>
        <w:t>技术资料</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1.乙方应按招标文件规定的时间向甲方提供产品、服务及指导。</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没有甲方事先书面同意，乙方不得将由甲方提供的有关合同或任何合同条文、规格、计划、图纸或资料提供给与履行本合同无关的任何其他人。即使向履行本合同有关的人员提供，也应注意保密并限于履行合同的必需范围。</w:t>
      </w:r>
    </w:p>
    <w:p>
      <w:pPr>
        <w:shd w:val="clear"/>
        <w:spacing w:line="360" w:lineRule="auto"/>
        <w:rPr>
          <w:rFonts w:ascii="宋体" w:hAnsi="宋体" w:cs="宋体"/>
          <w:b/>
          <w:bCs/>
          <w:color w:val="auto"/>
          <w:sz w:val="24"/>
          <w:szCs w:val="24"/>
          <w:highlight w:val="none"/>
          <w:lang w:val="zh-CN"/>
        </w:rPr>
      </w:pPr>
      <w:r>
        <w:rPr>
          <w:rFonts w:hint="eastAsia" w:ascii="宋体" w:hAnsi="宋体" w:cs="宋体"/>
          <w:b/>
          <w:bCs/>
          <w:color w:val="auto"/>
          <w:sz w:val="24"/>
          <w:szCs w:val="24"/>
          <w:highlight w:val="none"/>
        </w:rPr>
        <w:t>第六条：</w:t>
      </w:r>
      <w:r>
        <w:rPr>
          <w:rFonts w:hint="eastAsia" w:ascii="宋体" w:hAnsi="宋体" w:cs="宋体"/>
          <w:b/>
          <w:bCs/>
          <w:color w:val="auto"/>
          <w:sz w:val="24"/>
          <w:szCs w:val="24"/>
          <w:highlight w:val="none"/>
          <w:lang w:val="zh-CN"/>
        </w:rPr>
        <w:t>知识产权</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1.乙方应保证所提供的服务、产品或其任何一部分均不会侵犯任何第三方的知识产权。</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2.若侵犯,由乙方赔偿甲方因此遭受的损失（包括但不限于应对及追偿过程中所支付的律师费、差旅费、诉讼费、保全费、鉴定费、评估费等）。</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第七条：付款方式</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合同生效以及具备实施条件后七个工作日内，甲方向乙方支付合同金额的</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0%作为预付款，全部设备安装完毕，项目终验合格之后支付合同剩余金额，正式税务发票应随付款进度及时提供，甲方收到发票后付款（以上资金支付进度跟随财政资金拨付进度进行）。</w:t>
      </w:r>
    </w:p>
    <w:p>
      <w:pPr>
        <w:shd w:val="clear"/>
        <w:spacing w:line="360" w:lineRule="auto"/>
        <w:rPr>
          <w:rFonts w:ascii="宋体" w:hAnsi="宋体" w:cs="宋体"/>
          <w:b/>
          <w:bCs/>
          <w:color w:val="auto"/>
          <w:sz w:val="24"/>
          <w:szCs w:val="24"/>
          <w:highlight w:val="none"/>
          <w:lang w:val="zh-CN"/>
        </w:rPr>
      </w:pPr>
      <w:r>
        <w:rPr>
          <w:rFonts w:hint="eastAsia" w:ascii="宋体" w:hAnsi="宋体" w:cs="宋体"/>
          <w:b/>
          <w:bCs/>
          <w:color w:val="auto"/>
          <w:sz w:val="24"/>
          <w:szCs w:val="24"/>
          <w:highlight w:val="none"/>
        </w:rPr>
        <w:t>第八条：</w:t>
      </w:r>
      <w:r>
        <w:rPr>
          <w:rFonts w:hint="eastAsia" w:ascii="宋体" w:hAnsi="宋体" w:cs="宋体"/>
          <w:b/>
          <w:bCs/>
          <w:color w:val="auto"/>
          <w:sz w:val="24"/>
          <w:szCs w:val="24"/>
          <w:highlight w:val="none"/>
          <w:lang w:val="zh-CN"/>
        </w:rPr>
        <w:t>转包或分包</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1.本合同范围的产品及服务，应由乙方直接供应，不得转让他人供应；</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2.除非得到甲方的书面同意，乙方不得将本合同范围的产品及服务全部或部分分包给他人供应；</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3.如有转让和未经甲方同意的分包行为，甲方有权解除合同，并追究乙方的违约责任。</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第九条：</w:t>
      </w:r>
      <w:r>
        <w:rPr>
          <w:rFonts w:hint="eastAsia" w:ascii="宋体" w:hAnsi="宋体" w:cs="宋体"/>
          <w:b/>
          <w:bCs/>
          <w:color w:val="auto"/>
          <w:sz w:val="24"/>
          <w:szCs w:val="24"/>
          <w:highlight w:val="none"/>
          <w:lang w:val="zh-CN"/>
        </w:rPr>
        <w:t>调试和验收</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1.甲方对乙方提交的产品依据招标文件上的技术规格要求和国家有关质量标准进行现场初步验收，外观、说明书符合招标文件技术要求的，给予签收，初步验收不合格的不予签收。</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2.乙方交付前应对产品做出全面检查和对验收文件进行整理，并列出清单，作为甲方验收和使用的技术条件依据，检验的结果应随产品交甲方。</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3.甲方对乙方提供的产品在使用前进行调试时，乙方需负责安装并培训甲方的使用操作人员，并协助甲方一起调试，直到符合技术要求，甲方才做最终验收。</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4.对技术复杂的产品，甲方可邀请国家认可的专业检测机构参与初步验收及最终验收，并由其出具质量检测报告。</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5.验收时乙方必须在现场，验收完毕后作出验收结果报告。</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第十条：违约责任</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1.甲方无正当理由拒收产品的，甲方向乙方偿付拒收合同金额的万分之五违约金。</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2.甲方无故逾期验收和支付手续的,甲方应按逾期付款总额每日万分之五向乙方支付违约金。</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乙方所交的产品或服务不符合合同规定及招标文件规定标准的，甲方有权拒收该产品或服务；若乙方愿意更换产品或服务，但逾期交付产品或服务的，按乙方逾期交付处理，乙方应按逾期付款总额每日千分之六向甲方支付违约金，由甲方从待付合同款中扣除。逾期超过约定日期10个工作日不能交付的，甲方可解除本合同。乙方拒绝更换产品或服务，或者乙方在合同签订后不能交付的，甲方可单方面解除合同，乙方应向甲方偿付产品或服务总值20%的违约金。如造成甲方损失超过违约金的，超出部分由乙方继续承担赔偿责任。</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4.乙方提供的产品质量低于国家标准规定的，由国家相关部门依法处理。若高于国家标准但不符招标文件规定要求的，参照上一条约定情形办理。</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5.若发生纠纷，由违约方赔偿守约方因纠纷所支付的费用（包括但不限于律师费、差旅费、诉讼费、保全费、鉴定费、评估费等）。</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第十一条：质量保证及售后服务</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1.乙方应按招标文件规定的产品性能、技术要求、质量标准向甲方提供未经使用的全新产品。</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2.乙方提供的产品在质保期内因产品本身的质量问题发生故障，乙方应负责免费更换。对达不到技术要求者，根据实际情况，经双方协商，可按以下办法处理：</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⑴更换：由乙方承担所发生的全部费用。</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⑵贬值处理：由甲乙双方合议定价。</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⑶退货处理：乙方应退还甲方支付的合同款，同时应承担该产品的直接费用（运输、保险、检验、利息及银行手续费等）。</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3.如在使用过程中发生质量问题，乙方在接到甲方通知后在   小时内到达甲方现场。</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4.在质保期内，乙方应对产品出现的质量及安全问题负责处理解决并承担一切费用。</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5.上述的产品免费保修期为    年，保修期自终验合格之日算起，因人为因素出现的故障不在免费保修范围内。超过保修期的机器设备，终生维修，维修时只收部件成本费。</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6.培训：为使甲方对本系统能够有效使用和正确操作、维护，乙方有责任对甲方指派的操作、维护人员进行培训，培训内容包括理论培训和实际操作培训。培训内容包括维护、常见故障的排除等。</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第十二条：</w:t>
      </w:r>
      <w:r>
        <w:rPr>
          <w:rFonts w:hint="eastAsia" w:ascii="宋体" w:hAnsi="宋体" w:cs="宋体"/>
          <w:b/>
          <w:bCs/>
          <w:color w:val="auto"/>
          <w:sz w:val="24"/>
          <w:szCs w:val="24"/>
          <w:highlight w:val="none"/>
          <w:lang w:val="zh-CN"/>
        </w:rPr>
        <w:t>不可抗力事件处理</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1.在合同有效期内，任何一方因不可抗力事件导致不能履行合同，则合同履行期可延长，其延长期与不可抗力影响期相同。</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2.不可抗力事件发生后，应立即通知对方，并寄送有关权威机构出具的证明。</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3.不可抗力事件延续120天以上，双方应通过友好协商，确定是否继续履行合同。</w:t>
      </w:r>
    </w:p>
    <w:p>
      <w:pPr>
        <w:shd w:val="clear"/>
        <w:spacing w:line="360" w:lineRule="auto"/>
        <w:rPr>
          <w:rFonts w:ascii="宋体" w:hAnsi="宋体" w:cs="宋体"/>
          <w:b/>
          <w:bCs/>
          <w:color w:val="auto"/>
          <w:sz w:val="24"/>
          <w:szCs w:val="24"/>
          <w:highlight w:val="none"/>
          <w:lang w:val="zh-CN"/>
        </w:rPr>
      </w:pPr>
      <w:r>
        <w:rPr>
          <w:rFonts w:hint="eastAsia" w:ascii="宋体" w:hAnsi="宋体" w:cs="宋体"/>
          <w:b/>
          <w:bCs/>
          <w:color w:val="auto"/>
          <w:sz w:val="24"/>
          <w:szCs w:val="24"/>
          <w:highlight w:val="none"/>
        </w:rPr>
        <w:t>第十三条：</w:t>
      </w:r>
      <w:r>
        <w:rPr>
          <w:rFonts w:hint="eastAsia" w:ascii="宋体" w:hAnsi="宋体" w:cs="宋体"/>
          <w:b/>
          <w:bCs/>
          <w:color w:val="auto"/>
          <w:sz w:val="24"/>
          <w:szCs w:val="24"/>
          <w:highlight w:val="none"/>
          <w:lang w:val="zh-CN"/>
        </w:rPr>
        <w:t>解决争议的方法</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如双方在履行合同时发生纠纷，应协商解决；协商不成时，可依法向甲方所在地人民法院提起诉讼。 </w:t>
      </w: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第十四条：</w:t>
      </w:r>
      <w:r>
        <w:rPr>
          <w:rFonts w:hint="eastAsia" w:ascii="宋体" w:hAnsi="宋体" w:cs="宋体"/>
          <w:b/>
          <w:bCs/>
          <w:color w:val="auto"/>
          <w:sz w:val="24"/>
          <w:szCs w:val="24"/>
          <w:highlight w:val="none"/>
          <w:lang w:val="zh-CN"/>
        </w:rPr>
        <w:t>合同生效及其它</w:t>
      </w:r>
      <w:r>
        <w:rPr>
          <w:rFonts w:hint="eastAsia" w:ascii="宋体" w:hAnsi="宋体" w:cs="宋体"/>
          <w:b/>
          <w:bCs/>
          <w:color w:val="auto"/>
          <w:sz w:val="24"/>
          <w:szCs w:val="24"/>
          <w:highlight w:val="none"/>
        </w:rPr>
        <w:tab/>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1.合同经双方法定代表人（单位负责人）或授权代表签字并加盖单位公章后生效。</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2.本合同未尽事宜，遵照《中华人民共和国民法典》有关条文执行。</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3.本合同一式陆份。甲、乙双方各执两份，采购组织机构及同级人民政府财政采购监管部门各执一份。</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4.本项目未尽事宜以招标文件、投标文件及澄清文件等为准，本合同中如有未尽事宜，由双方协商另行解决。</w:t>
      </w:r>
    </w:p>
    <w:p>
      <w:pPr>
        <w:shd w:val="clear"/>
        <w:spacing w:line="360" w:lineRule="auto"/>
        <w:rPr>
          <w:rFonts w:hint="eastAsia"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甲    方（公章）：　　                乙    方（公章）：</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法定代表人（签章）：　                法定代表人（签章）：</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委托代理人（签章）：　　              委托代理人（签章）：</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经办人（签章）：                      经办人（签章）：</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电    话：                            电    话：</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传    真：                            传    真：</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 xml:space="preserve">开户银行：                            开户银行（必填）： </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账    号：                            账    号（必填）：</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日    期：                            日    期：</w:t>
      </w:r>
    </w:p>
    <w:p>
      <w:pPr>
        <w:shd w:val="clear"/>
        <w:spacing w:line="360" w:lineRule="auto"/>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第六章  投标文件格式附件</w:t>
      </w:r>
    </w:p>
    <w:p>
      <w:pPr>
        <w:shd w:val="clear"/>
        <w:rPr>
          <w:rFonts w:ascii="宋体" w:hAnsi="宋体" w:cs="宋体"/>
          <w:b/>
          <w:bCs/>
          <w:color w:val="auto"/>
          <w:sz w:val="28"/>
          <w:szCs w:val="28"/>
          <w:highlight w:val="none"/>
        </w:rPr>
      </w:pPr>
      <w:r>
        <w:rPr>
          <w:rFonts w:hint="eastAsia" w:ascii="宋体" w:hAnsi="宋体" w:cs="宋体"/>
          <w:b/>
          <w:bCs/>
          <w:color w:val="auto"/>
          <w:sz w:val="28"/>
          <w:szCs w:val="28"/>
          <w:highlight w:val="none"/>
        </w:rPr>
        <w:t xml:space="preserve">附件1　                                             </w:t>
      </w:r>
      <w:r>
        <w:rPr>
          <w:rFonts w:hint="eastAsia" w:ascii="宋体" w:hAnsi="宋体" w:cs="宋体"/>
          <w:b/>
          <w:bCs/>
          <w:color w:val="auto"/>
          <w:sz w:val="28"/>
          <w:szCs w:val="28"/>
          <w:highlight w:val="none"/>
          <w:u w:val="single"/>
        </w:rPr>
        <w:t>　　</w:t>
      </w:r>
      <w:r>
        <w:rPr>
          <w:rFonts w:hint="eastAsia" w:ascii="宋体" w:hAnsi="宋体" w:cs="宋体"/>
          <w:b/>
          <w:bCs/>
          <w:color w:val="auto"/>
          <w:sz w:val="28"/>
          <w:szCs w:val="28"/>
          <w:highlight w:val="none"/>
        </w:rPr>
        <w:t>本</w:t>
      </w:r>
    </w:p>
    <w:p>
      <w:pPr>
        <w:shd w:val="clear"/>
        <w:spacing w:line="360" w:lineRule="auto"/>
        <w:rPr>
          <w:rFonts w:ascii="宋体" w:hAnsi="宋体" w:cs="宋体"/>
          <w:b/>
          <w:bCs/>
          <w:color w:val="auto"/>
          <w:sz w:val="30"/>
          <w:szCs w:val="30"/>
          <w:highlight w:val="none"/>
        </w:rPr>
      </w:pPr>
    </w:p>
    <w:p>
      <w:pPr>
        <w:shd w:val="clear"/>
        <w:spacing w:line="360" w:lineRule="auto"/>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shd w:val="clear"/>
        <w:spacing w:line="36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w:t>
      </w:r>
    </w:p>
    <w:p>
      <w:pPr>
        <w:shd w:val="clear"/>
        <w:autoSpaceDE w:val="0"/>
        <w:autoSpaceDN w:val="0"/>
        <w:adjustRightInd w:val="0"/>
        <w:spacing w:line="360" w:lineRule="auto"/>
        <w:jc w:val="center"/>
        <w:rPr>
          <w:rFonts w:ascii="宋体" w:hAnsi="宋体" w:cs="宋体"/>
          <w:color w:val="auto"/>
          <w:sz w:val="84"/>
          <w:szCs w:val="84"/>
          <w:highlight w:val="none"/>
          <w:lang w:val="zh-CN"/>
        </w:rPr>
      </w:pPr>
    </w:p>
    <w:p>
      <w:pPr>
        <w:shd w:val="clear"/>
        <w:autoSpaceDE w:val="0"/>
        <w:autoSpaceDN w:val="0"/>
        <w:adjustRightInd w:val="0"/>
        <w:spacing w:line="360" w:lineRule="auto"/>
        <w:jc w:val="center"/>
        <w:outlineLvl w:val="0"/>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shd w:val="clea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shd w:val="clear"/>
        <w:autoSpaceDE w:val="0"/>
        <w:autoSpaceDN w:val="0"/>
        <w:adjustRightInd w:val="0"/>
        <w:spacing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lang w:val="zh-CN"/>
        </w:rPr>
        <w:t>文</w:t>
      </w:r>
    </w:p>
    <w:p>
      <w:pPr>
        <w:shd w:val="clea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shd w:val="clear"/>
        <w:autoSpaceDE w:val="0"/>
        <w:autoSpaceDN w:val="0"/>
        <w:adjustRightInd w:val="0"/>
        <w:spacing w:line="360" w:lineRule="auto"/>
        <w:rPr>
          <w:rFonts w:ascii="宋体" w:hAnsi="宋体" w:cs="宋体"/>
          <w:color w:val="auto"/>
          <w:sz w:val="36"/>
          <w:szCs w:val="36"/>
          <w:highlight w:val="none"/>
        </w:rPr>
      </w:pPr>
    </w:p>
    <w:p>
      <w:pPr>
        <w:shd w:val="clear"/>
        <w:autoSpaceDE w:val="0"/>
        <w:autoSpaceDN w:val="0"/>
        <w:adjustRightInd w:val="0"/>
        <w:spacing w:line="360" w:lineRule="auto"/>
        <w:jc w:val="center"/>
        <w:rPr>
          <w:rFonts w:ascii="宋体" w:hAnsi="宋体" w:cs="宋体"/>
          <w:b/>
          <w:bCs/>
          <w:color w:val="auto"/>
          <w:spacing w:val="40"/>
          <w:sz w:val="36"/>
          <w:szCs w:val="36"/>
          <w:highlight w:val="none"/>
        </w:rPr>
      </w:pPr>
      <w:r>
        <w:rPr>
          <w:rFonts w:hint="eastAsia" w:ascii="宋体" w:hAnsi="宋体" w:cs="宋体"/>
          <w:color w:val="auto"/>
          <w:sz w:val="36"/>
          <w:szCs w:val="36"/>
          <w:highlight w:val="none"/>
          <w:lang w:val="zh-CN"/>
        </w:rPr>
        <w:t>（资格及商务技术文件</w:t>
      </w:r>
      <w:r>
        <w:rPr>
          <w:rFonts w:hint="eastAsia" w:ascii="宋体" w:hAnsi="宋体" w:cs="宋体"/>
          <w:color w:val="auto"/>
          <w:spacing w:val="40"/>
          <w:sz w:val="36"/>
          <w:szCs w:val="36"/>
          <w:highlight w:val="none"/>
        </w:rPr>
        <w:t>）</w:t>
      </w:r>
    </w:p>
    <w:p>
      <w:pPr>
        <w:shd w:val="clear"/>
        <w:autoSpaceDE w:val="0"/>
        <w:autoSpaceDN w:val="0"/>
        <w:adjustRightInd w:val="0"/>
        <w:spacing w:line="360" w:lineRule="auto"/>
        <w:rPr>
          <w:rFonts w:ascii="宋体" w:hAnsi="宋体" w:cs="宋体"/>
          <w:color w:val="auto"/>
          <w:sz w:val="36"/>
          <w:szCs w:val="36"/>
          <w:highlight w:val="none"/>
        </w:rPr>
      </w:pPr>
    </w:p>
    <w:p>
      <w:pPr>
        <w:shd w:val="clea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投标人全称（公章）：</w:t>
      </w:r>
    </w:p>
    <w:p>
      <w:pPr>
        <w:shd w:val="clea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地址：</w:t>
      </w:r>
    </w:p>
    <w:p>
      <w:pPr>
        <w:shd w:val="clea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时间：</w:t>
      </w:r>
    </w:p>
    <w:p>
      <w:pPr>
        <w:shd w:val="clear"/>
        <w:spacing w:line="360" w:lineRule="auto"/>
        <w:rPr>
          <w:rFonts w:ascii="宋体" w:hAnsi="宋体" w:cs="宋体"/>
          <w:color w:val="auto"/>
          <w:sz w:val="24"/>
          <w:szCs w:val="24"/>
          <w:highlight w:val="none"/>
        </w:rPr>
      </w:pPr>
    </w:p>
    <w:p>
      <w:pPr>
        <w:shd w:val="clear"/>
        <w:spacing w:line="360" w:lineRule="auto"/>
        <w:jc w:val="center"/>
        <w:rPr>
          <w:b/>
          <w:bCs/>
          <w:color w:val="auto"/>
          <w:sz w:val="36"/>
          <w:szCs w:val="44"/>
          <w:highlight w:val="none"/>
        </w:rPr>
      </w:pPr>
      <w:r>
        <w:rPr>
          <w:rFonts w:hint="eastAsia"/>
          <w:b/>
          <w:bCs/>
          <w:color w:val="auto"/>
          <w:sz w:val="36"/>
          <w:szCs w:val="44"/>
          <w:highlight w:val="none"/>
        </w:rPr>
        <w:t>资格及商务技术文件目录</w:t>
      </w:r>
    </w:p>
    <w:p>
      <w:pPr>
        <w:shd w:val="clear"/>
        <w:spacing w:line="360" w:lineRule="auto"/>
        <w:jc w:val="center"/>
        <w:rPr>
          <w:rFonts w:ascii="宋体" w:hAnsi="宋体" w:cs="宋体"/>
          <w:b/>
          <w:bCs/>
          <w:color w:val="auto"/>
          <w:sz w:val="28"/>
          <w:szCs w:val="36"/>
          <w:highlight w:val="none"/>
        </w:rPr>
      </w:pPr>
      <w:r>
        <w:rPr>
          <w:rFonts w:hint="eastAsia" w:ascii="宋体" w:hAnsi="宋体" w:cs="宋体"/>
          <w:b/>
          <w:bCs/>
          <w:color w:val="auto"/>
          <w:sz w:val="28"/>
          <w:szCs w:val="36"/>
          <w:highlight w:val="none"/>
        </w:rPr>
        <w:t>第一部分 资格证明文件目录</w:t>
      </w:r>
    </w:p>
    <w:p>
      <w:pPr>
        <w:shd w:val="clea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zh-CN"/>
        </w:rPr>
        <w:t>投标声明书（附件2）；</w:t>
      </w:r>
    </w:p>
    <w:p>
      <w:pPr>
        <w:shd w:val="clea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zh-CN"/>
        </w:rPr>
        <w:t>授权委托书（附件3）；（法定代表人（单位负责人）亲自办理投标事宜的，则无需提交）；</w:t>
      </w:r>
    </w:p>
    <w:p>
      <w:pPr>
        <w:shd w:val="clea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zh-CN"/>
        </w:rPr>
        <w:t>法人或者其他组织的营业执照等证明文件，自然人的身份证明；</w:t>
      </w:r>
    </w:p>
    <w:p>
      <w:pPr>
        <w:shd w:val="clea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4、</w:t>
      </w:r>
      <w:r>
        <w:rPr>
          <w:rFonts w:hint="eastAsia" w:ascii="宋体" w:hAnsi="宋体" w:cs="宋体"/>
          <w:color w:val="auto"/>
          <w:sz w:val="24"/>
          <w:szCs w:val="24"/>
          <w:highlight w:val="none"/>
          <w:lang w:val="zh-CN"/>
        </w:rPr>
        <w:t>具备健全的财务会计制度的承诺函（附件</w:t>
      </w:r>
      <w:r>
        <w:rPr>
          <w:rFonts w:hint="eastAsia" w:ascii="宋体" w:hAnsi="宋体" w:cs="宋体"/>
          <w:color w:val="auto"/>
          <w:sz w:val="24"/>
          <w:szCs w:val="24"/>
          <w:highlight w:val="none"/>
        </w:rPr>
        <w:t>4</w:t>
      </w:r>
      <w:r>
        <w:rPr>
          <w:rFonts w:hint="eastAsia" w:ascii="宋体" w:hAnsi="宋体" w:cs="宋体"/>
          <w:color w:val="auto"/>
          <w:sz w:val="24"/>
          <w:szCs w:val="24"/>
          <w:highlight w:val="none"/>
          <w:lang w:val="zh-CN"/>
        </w:rPr>
        <w:t>）；</w:t>
      </w:r>
    </w:p>
    <w:p>
      <w:pPr>
        <w:shd w:val="clea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5、提供采购公告中符合供应商特定条件的有效资质证书复印件（投标供应商特定条件中有要求的必须提供），以及需要说明的其他资料</w:t>
      </w:r>
      <w:r>
        <w:rPr>
          <w:rFonts w:hint="eastAsia" w:ascii="宋体" w:hAnsi="宋体" w:cs="宋体"/>
          <w:color w:val="auto"/>
          <w:sz w:val="24"/>
          <w:szCs w:val="24"/>
          <w:highlight w:val="none"/>
          <w:lang w:val="zh-CN"/>
        </w:rPr>
        <w:t>。</w:t>
      </w: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b/>
          <w:bCs/>
          <w:color w:val="auto"/>
          <w:kern w:val="0"/>
          <w:sz w:val="32"/>
          <w:szCs w:val="32"/>
          <w:highlight w:val="none"/>
          <w:lang w:val="zh-CN"/>
        </w:rPr>
      </w:pPr>
      <w:r>
        <w:rPr>
          <w:rFonts w:hint="eastAsia" w:ascii="宋体" w:hAnsi="宋体" w:cs="宋体"/>
          <w:b/>
          <w:bCs/>
          <w:color w:val="auto"/>
          <w:sz w:val="28"/>
          <w:szCs w:val="28"/>
          <w:highlight w:val="none"/>
        </w:rPr>
        <w:t xml:space="preserve">附件2                  </w:t>
      </w:r>
      <w:r>
        <w:rPr>
          <w:rFonts w:hint="eastAsia" w:ascii="宋体" w:hAnsi="宋体" w:cs="宋体"/>
          <w:b/>
          <w:bCs/>
          <w:color w:val="auto"/>
          <w:kern w:val="0"/>
          <w:sz w:val="32"/>
          <w:szCs w:val="32"/>
          <w:highlight w:val="none"/>
          <w:lang w:val="zh-CN"/>
        </w:rPr>
        <w:t>投标声明书</w:t>
      </w:r>
    </w:p>
    <w:p>
      <w:pPr>
        <w:shd w:val="clear"/>
        <w:spacing w:line="440" w:lineRule="exact"/>
        <w:textAlignment w:val="center"/>
        <w:rPr>
          <w:rFonts w:ascii="宋体" w:hAnsi="宋体" w:cs="宋体"/>
          <w:color w:val="auto"/>
          <w:sz w:val="24"/>
          <w:szCs w:val="24"/>
          <w:highlight w:val="none"/>
        </w:rPr>
      </w:pPr>
      <w:r>
        <w:rPr>
          <w:rFonts w:hint="eastAsia" w:ascii="宋体" w:hAnsi="宋体" w:cs="宋体"/>
          <w:color w:val="auto"/>
          <w:sz w:val="24"/>
          <w:szCs w:val="24"/>
          <w:highlight w:val="none"/>
          <w:u w:val="single"/>
        </w:rPr>
        <w:t>浙江五石中正工程咨询有限公司</w:t>
      </w:r>
      <w:r>
        <w:rPr>
          <w:rFonts w:hint="eastAsia" w:ascii="宋体" w:hAnsi="宋体" w:cs="宋体"/>
          <w:color w:val="auto"/>
          <w:sz w:val="24"/>
          <w:szCs w:val="24"/>
          <w:highlight w:val="none"/>
        </w:rPr>
        <w:t>（采购代理机构名称）：</w:t>
      </w:r>
    </w:p>
    <w:p>
      <w:pPr>
        <w:shd w:val="clear"/>
        <w:spacing w:line="440" w:lineRule="exact"/>
        <w:ind w:firstLine="480" w:firstLineChars="200"/>
        <w:textAlignment w:val="center"/>
        <w:rPr>
          <w:rFonts w:ascii="宋体" w:hAnsi="宋体" w:cs="宋体"/>
          <w:color w:val="auto"/>
          <w:sz w:val="24"/>
          <w:szCs w:val="24"/>
          <w:highlight w:val="none"/>
        </w:rPr>
      </w:pPr>
      <w:r>
        <w:rPr>
          <w:rFonts w:hint="eastAsia" w:ascii="宋体" w:hAnsi="宋体" w:cs="宋体"/>
          <w:color w:val="auto"/>
          <w:sz w:val="24"/>
          <w:szCs w:val="24"/>
          <w:highlight w:val="none"/>
          <w:u w:val="single"/>
        </w:rPr>
        <w:t>（投标人名称）</w:t>
      </w:r>
      <w:r>
        <w:rPr>
          <w:rFonts w:hint="eastAsia" w:ascii="宋体" w:hAnsi="宋体" w:cs="宋体"/>
          <w:color w:val="auto"/>
          <w:sz w:val="24"/>
          <w:szCs w:val="24"/>
          <w:highlight w:val="none"/>
        </w:rPr>
        <w:t>系中华人民共和国合法企业，经营地址</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hd w:val="clear"/>
        <w:spacing w:line="440" w:lineRule="exact"/>
        <w:ind w:firstLine="480" w:firstLineChars="200"/>
        <w:textAlignment w:val="center"/>
        <w:rPr>
          <w:rFonts w:ascii="宋体" w:hAnsi="宋体" w:cs="宋体"/>
          <w:color w:val="auto"/>
          <w:sz w:val="24"/>
          <w:szCs w:val="24"/>
          <w:highlight w:val="none"/>
        </w:rPr>
      </w:pPr>
      <w:r>
        <w:rPr>
          <w:rFonts w:hint="eastAsia" w:ascii="宋体" w:hAnsi="宋体" w:cs="宋体"/>
          <w:color w:val="auto"/>
          <w:sz w:val="24"/>
          <w:szCs w:val="24"/>
          <w:highlight w:val="none"/>
        </w:rPr>
        <w:t>我</w:t>
      </w:r>
      <w:r>
        <w:rPr>
          <w:rFonts w:hint="eastAsia" w:ascii="宋体" w:hAnsi="宋体" w:cs="宋体"/>
          <w:color w:val="auto"/>
          <w:sz w:val="24"/>
          <w:szCs w:val="24"/>
          <w:highlight w:val="none"/>
          <w:u w:val="single"/>
        </w:rPr>
        <w:t>（姓名）</w:t>
      </w:r>
      <w:r>
        <w:rPr>
          <w:rFonts w:hint="eastAsia" w:ascii="宋体" w:hAnsi="宋体" w:cs="宋体"/>
          <w:color w:val="auto"/>
          <w:sz w:val="24"/>
          <w:szCs w:val="24"/>
          <w:highlight w:val="none"/>
        </w:rPr>
        <w:t>系</w:t>
      </w:r>
      <w:r>
        <w:rPr>
          <w:rFonts w:hint="eastAsia" w:ascii="宋体" w:hAnsi="宋体" w:cs="宋体"/>
          <w:color w:val="auto"/>
          <w:sz w:val="24"/>
          <w:szCs w:val="24"/>
          <w:highlight w:val="none"/>
          <w:u w:val="single"/>
        </w:rPr>
        <w:t>（投标人名称）</w:t>
      </w:r>
      <w:r>
        <w:rPr>
          <w:rFonts w:hint="eastAsia" w:ascii="宋体" w:hAnsi="宋体" w:cs="宋体"/>
          <w:color w:val="auto"/>
          <w:sz w:val="24"/>
          <w:szCs w:val="24"/>
          <w:highlight w:val="none"/>
        </w:rPr>
        <w:t>的法定代表人（单位负责人），我公司自愿参加贵方组织的（</w:t>
      </w:r>
      <w:r>
        <w:rPr>
          <w:rFonts w:hint="eastAsia" w:ascii="宋体" w:hAnsi="宋体" w:cs="宋体"/>
          <w:color w:val="auto"/>
          <w:sz w:val="24"/>
          <w:szCs w:val="24"/>
          <w:highlight w:val="none"/>
          <w:u w:val="single"/>
          <w:lang w:eastAsia="zh-CN"/>
        </w:rPr>
        <w:t>快速维权中心二期建设项目（机房及展厅建设）——智能化及配套设备采购项目</w:t>
      </w:r>
      <w:r>
        <w:rPr>
          <w:rFonts w:hint="eastAsia" w:ascii="宋体" w:hAnsi="宋体" w:cs="宋体"/>
          <w:color w:val="auto"/>
          <w:sz w:val="24"/>
          <w:szCs w:val="24"/>
          <w:highlight w:val="none"/>
        </w:rPr>
        <w:t>）（编号为：</w:t>
      </w:r>
      <w:r>
        <w:rPr>
          <w:rFonts w:hint="eastAsia" w:ascii="宋体" w:hAnsi="宋体" w:cs="宋体"/>
          <w:color w:val="auto"/>
          <w:sz w:val="24"/>
          <w:szCs w:val="24"/>
          <w:highlight w:val="none"/>
          <w:u w:val="single"/>
          <w:lang w:eastAsia="zh-CN"/>
        </w:rPr>
        <w:t>ZJWS2024-HYSCJDJ01</w:t>
      </w:r>
      <w:r>
        <w:rPr>
          <w:rFonts w:hint="eastAsia" w:ascii="宋体" w:hAnsi="宋体" w:cs="宋体"/>
          <w:color w:val="auto"/>
          <w:sz w:val="24"/>
          <w:szCs w:val="24"/>
          <w:highlight w:val="none"/>
        </w:rPr>
        <w:t>）的投标，为此，我公司就本次投标有关事项郑重声明如下：</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3、我</w:t>
      </w:r>
      <w:r>
        <w:rPr>
          <w:rFonts w:hint="eastAsia" w:ascii="宋体" w:hAnsi="宋体" w:cs="宋体"/>
          <w:color w:val="auto"/>
          <w:sz w:val="24"/>
          <w:szCs w:val="24"/>
          <w:highlight w:val="none"/>
          <w:lang w:val="zh-CN"/>
        </w:rPr>
        <w:t>公司</w:t>
      </w:r>
      <w:r>
        <w:rPr>
          <w:rFonts w:hint="eastAsia" w:ascii="宋体" w:hAnsi="宋体" w:cs="宋体"/>
          <w:color w:val="auto"/>
          <w:sz w:val="24"/>
          <w:szCs w:val="24"/>
          <w:highlight w:val="none"/>
        </w:rPr>
        <w:t>不是采购人的附属机构；在获知本项目采购信息后，与采购人聘请的为此项目提供咨询服务的公司及其附属机构没有任何联系。</w:t>
      </w:r>
    </w:p>
    <w:p>
      <w:pPr>
        <w:shd w:val="clear"/>
        <w:spacing w:line="360" w:lineRule="auto"/>
        <w:ind w:firstLine="480" w:firstLineChars="200"/>
        <w:rPr>
          <w:rFonts w:ascii="宋体" w:hAnsi="宋体" w:cs="宋体"/>
          <w:color w:val="auto"/>
          <w:sz w:val="24"/>
          <w:szCs w:val="24"/>
          <w:highlight w:val="none"/>
          <w:lang w:val="af-ZA"/>
        </w:rPr>
      </w:pPr>
      <w:r>
        <w:rPr>
          <w:rFonts w:hint="eastAsia" w:ascii="宋体" w:hAnsi="宋体" w:cs="宋体"/>
          <w:color w:val="auto"/>
          <w:sz w:val="24"/>
          <w:szCs w:val="24"/>
          <w:highlight w:val="none"/>
        </w:rPr>
        <w:t>4、我</w:t>
      </w:r>
      <w:r>
        <w:rPr>
          <w:rFonts w:hint="eastAsia" w:ascii="宋体" w:hAnsi="宋体" w:cs="宋体"/>
          <w:color w:val="auto"/>
          <w:sz w:val="24"/>
          <w:szCs w:val="24"/>
          <w:highlight w:val="none"/>
          <w:lang w:val="zh-CN"/>
        </w:rPr>
        <w:t>公司</w:t>
      </w:r>
      <w:r>
        <w:rPr>
          <w:rFonts w:hint="eastAsia" w:ascii="宋体" w:hAnsi="宋体" w:cs="宋体"/>
          <w:color w:val="auto"/>
          <w:sz w:val="24"/>
          <w:szCs w:val="24"/>
          <w:highlight w:val="none"/>
        </w:rPr>
        <w:t>保证，</w:t>
      </w:r>
      <w:r>
        <w:rPr>
          <w:rFonts w:hint="eastAsia" w:ascii="宋体" w:hAnsi="宋体" w:cs="宋体"/>
          <w:color w:val="auto"/>
          <w:sz w:val="24"/>
          <w:szCs w:val="24"/>
          <w:highlight w:val="none"/>
          <w:lang w:val="af-ZA"/>
        </w:rPr>
        <w:t>采购人在中华人民共和国境内使用</w:t>
      </w:r>
      <w:r>
        <w:rPr>
          <w:rFonts w:hint="eastAsia" w:ascii="宋体" w:hAnsi="宋体" w:cs="宋体"/>
          <w:color w:val="auto"/>
          <w:sz w:val="24"/>
          <w:szCs w:val="24"/>
          <w:highlight w:val="none"/>
        </w:rPr>
        <w:t>我</w:t>
      </w:r>
      <w:r>
        <w:rPr>
          <w:rFonts w:hint="eastAsia" w:ascii="宋体" w:hAnsi="宋体" w:cs="宋体"/>
          <w:color w:val="auto"/>
          <w:sz w:val="24"/>
          <w:szCs w:val="24"/>
          <w:highlight w:val="none"/>
          <w:lang w:val="zh-CN"/>
        </w:rPr>
        <w:t>公司</w:t>
      </w:r>
      <w:r>
        <w:rPr>
          <w:rFonts w:hint="eastAsia" w:ascii="宋体" w:hAnsi="宋体" w:cs="宋体"/>
          <w:color w:val="auto"/>
          <w:sz w:val="24"/>
          <w:szCs w:val="24"/>
          <w:highlight w:val="none"/>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af-ZA"/>
        </w:rPr>
        <w:t>5、我</w:t>
      </w:r>
      <w:r>
        <w:rPr>
          <w:rFonts w:hint="eastAsia" w:ascii="宋体" w:hAnsi="宋体" w:cs="宋体"/>
          <w:color w:val="auto"/>
          <w:sz w:val="24"/>
          <w:szCs w:val="24"/>
          <w:highlight w:val="none"/>
          <w:lang w:val="zh-CN"/>
        </w:rPr>
        <w:t>公司</w:t>
      </w:r>
      <w:r>
        <w:rPr>
          <w:rFonts w:hint="eastAsia" w:ascii="宋体" w:hAnsi="宋体" w:cs="宋体"/>
          <w:color w:val="auto"/>
          <w:sz w:val="24"/>
          <w:szCs w:val="24"/>
          <w:highlight w:val="none"/>
          <w:lang w:val="af-ZA"/>
        </w:rPr>
        <w:t>严格履行政府采购合同，不降低合同约定的产品质量和服务，不擅自变更、中止、终止合同，或拒绝履行合同义务；</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6、以上事项如有虚假或隐瞒，我</w:t>
      </w:r>
      <w:r>
        <w:rPr>
          <w:rFonts w:hint="eastAsia" w:ascii="宋体" w:hAnsi="宋体" w:cs="宋体"/>
          <w:color w:val="auto"/>
          <w:sz w:val="24"/>
          <w:szCs w:val="24"/>
          <w:highlight w:val="none"/>
          <w:lang w:val="zh-CN"/>
        </w:rPr>
        <w:t>公司</w:t>
      </w:r>
      <w:r>
        <w:rPr>
          <w:rFonts w:hint="eastAsia" w:ascii="宋体" w:hAnsi="宋体" w:cs="宋体"/>
          <w:color w:val="auto"/>
          <w:sz w:val="24"/>
          <w:szCs w:val="24"/>
          <w:highlight w:val="none"/>
        </w:rPr>
        <w:t>愿意承担一切后果，并不再寻求任何旨在减轻或免除法律责任的辩解。</w:t>
      </w:r>
    </w:p>
    <w:p>
      <w:pPr>
        <w:shd w:val="clea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本单位若违反以上承诺，将无条件接受项目主管部门和有关监督管理部门的调查，并愿意承担取消中标资格及限制在本地区参与投标等一切法律责任。</w:t>
      </w:r>
    </w:p>
    <w:p>
      <w:pPr>
        <w:shd w:val="clear"/>
        <w:spacing w:line="360" w:lineRule="auto"/>
        <w:ind w:firstLine="4320" w:firstLineChars="18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投标人名称（公章）：</w:t>
      </w:r>
    </w:p>
    <w:p>
      <w:pPr>
        <w:shd w:val="clear"/>
        <w:spacing w:line="360" w:lineRule="auto"/>
        <w:ind w:firstLine="1680" w:firstLineChars="7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法定代表人（单位负责人）或授权委托代理人（签字</w:t>
      </w:r>
      <w:r>
        <w:rPr>
          <w:rFonts w:hint="eastAsia" w:ascii="宋体" w:hAnsi="宋体" w:cs="宋体"/>
          <w:color w:val="auto"/>
          <w:sz w:val="24"/>
          <w:szCs w:val="24"/>
          <w:highlight w:val="none"/>
        </w:rPr>
        <w:t>或盖章</w:t>
      </w:r>
      <w:r>
        <w:rPr>
          <w:rFonts w:hint="eastAsia" w:ascii="宋体" w:hAnsi="宋体" w:cs="宋体"/>
          <w:color w:val="auto"/>
          <w:sz w:val="24"/>
          <w:szCs w:val="24"/>
          <w:highlight w:val="none"/>
          <w:lang w:val="zh-CN"/>
        </w:rPr>
        <w:t>）：</w:t>
      </w:r>
    </w:p>
    <w:p>
      <w:pPr>
        <w:shd w:val="clear"/>
        <w:spacing w:line="360" w:lineRule="auto"/>
        <w:ind w:firstLine="4320" w:firstLineChars="18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日期：</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zh-CN"/>
        </w:rPr>
        <w:t>年</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zh-CN"/>
        </w:rPr>
        <w:t>月</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zh-CN"/>
        </w:rPr>
        <w:t>日</w:t>
      </w:r>
    </w:p>
    <w:p>
      <w:pPr>
        <w:shd w:val="clear"/>
        <w:spacing w:line="360" w:lineRule="auto"/>
        <w:rPr>
          <w:rFonts w:ascii="宋体" w:hAnsi="宋体" w:cs="宋体"/>
          <w:b/>
          <w:bCs/>
          <w:color w:val="auto"/>
          <w:sz w:val="28"/>
          <w:szCs w:val="28"/>
          <w:highlight w:val="none"/>
        </w:rPr>
      </w:pPr>
      <w:r>
        <w:rPr>
          <w:rFonts w:hint="eastAsia" w:ascii="宋体" w:hAnsi="宋体" w:cs="宋体"/>
          <w:b/>
          <w:bCs/>
          <w:color w:val="auto"/>
          <w:sz w:val="28"/>
          <w:szCs w:val="28"/>
          <w:highlight w:val="none"/>
        </w:rPr>
        <w:t>附件3                   授权委托书</w:t>
      </w:r>
    </w:p>
    <w:p>
      <w:pPr>
        <w:shd w:val="clea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u w:val="single"/>
        </w:rPr>
        <w:t>浙江五石中正工程咨询有限公司</w:t>
      </w:r>
      <w:r>
        <w:rPr>
          <w:rFonts w:hint="eastAsia" w:ascii="宋体" w:hAnsi="宋体" w:cs="宋体"/>
          <w:color w:val="auto"/>
          <w:sz w:val="24"/>
          <w:szCs w:val="24"/>
          <w:highlight w:val="none"/>
        </w:rPr>
        <w:t>（采购代理机构名称）：</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u w:val="single"/>
        </w:rPr>
        <w:t>（投标人全称）</w:t>
      </w:r>
      <w:r>
        <w:rPr>
          <w:rFonts w:hint="eastAsia" w:ascii="宋体" w:hAnsi="宋体" w:cs="宋体"/>
          <w:color w:val="auto"/>
          <w:sz w:val="24"/>
          <w:szCs w:val="24"/>
          <w:highlight w:val="none"/>
        </w:rPr>
        <w:t>法定代表人（或营业执照中单位负责人）</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u w:val="single"/>
        </w:rPr>
        <w:t>（法定代表人或营业执照中单位负责人姓名）</w:t>
      </w:r>
      <w:r>
        <w:rPr>
          <w:rFonts w:hint="eastAsia" w:ascii="宋体" w:hAnsi="宋体" w:cs="宋体"/>
          <w:color w:val="auto"/>
          <w:sz w:val="24"/>
          <w:szCs w:val="24"/>
          <w:highlight w:val="none"/>
        </w:rPr>
        <w:t>授权</w:t>
      </w:r>
      <w:r>
        <w:rPr>
          <w:rFonts w:hint="eastAsia" w:ascii="宋体" w:hAnsi="宋体" w:cs="宋体"/>
          <w:color w:val="auto"/>
          <w:sz w:val="24"/>
          <w:szCs w:val="24"/>
          <w:highlight w:val="none"/>
          <w:u w:val="single"/>
        </w:rPr>
        <w:t>（授权委托代理人姓名）</w:t>
      </w:r>
      <w:r>
        <w:rPr>
          <w:rFonts w:hint="eastAsia" w:ascii="宋体" w:hAnsi="宋体" w:cs="宋体"/>
          <w:color w:val="auto"/>
          <w:sz w:val="24"/>
          <w:szCs w:val="24"/>
          <w:highlight w:val="none"/>
        </w:rPr>
        <w:t>为授权委托代理人，参加贵单位组织的</w:t>
      </w:r>
      <w:r>
        <w:rPr>
          <w:rFonts w:hint="eastAsia" w:ascii="宋体" w:hAnsi="宋体" w:cs="宋体"/>
          <w:color w:val="auto"/>
          <w:sz w:val="24"/>
          <w:szCs w:val="24"/>
          <w:highlight w:val="none"/>
          <w:u w:val="single"/>
          <w:lang w:eastAsia="zh-CN"/>
        </w:rPr>
        <w:t>快速维权中心二期建设项目（机房及展厅建设）——智能化及配套设备采购项目</w:t>
      </w:r>
      <w:r>
        <w:rPr>
          <w:rFonts w:hint="eastAsia" w:ascii="宋体" w:hAnsi="宋体" w:cs="宋体"/>
          <w:color w:val="auto"/>
          <w:sz w:val="24"/>
          <w:szCs w:val="24"/>
          <w:highlight w:val="none"/>
        </w:rPr>
        <w:t>的采购活动，并代表我方全权办理针对上述项目的投标、开标、评标、签约等具体事务和签署相关文件。我方对授权委托代理人的签字事项负全部责任。</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在撤销授权的书面通知以前，本授权书一直有效。授权委托代理人在授权委托书有效期内签署的所有文件不因授权的撤销而失效。</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授权委托代理人无转委托权，特此委托。</w:t>
      </w: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法定代表人（单位负责人）签字或盖章：</w:t>
      </w: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投标人全称（公章）：                 日期：</w:t>
      </w: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附：</w:t>
      </w:r>
    </w:p>
    <w:tbl>
      <w:tblPr>
        <w:tblStyle w:val="2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法定代表身份证复印件粘帖处</w:t>
            </w:r>
          </w:p>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（正面）</w:t>
            </w:r>
          </w:p>
          <w:p>
            <w:pPr>
              <w:shd w:val="clear"/>
              <w:spacing w:line="360" w:lineRule="auto"/>
              <w:jc w:val="center"/>
              <w:rPr>
                <w:rFonts w:ascii="宋体" w:hAnsi="宋体" w:cs="宋体"/>
                <w:color w:val="auto"/>
                <w:highlight w:val="none"/>
              </w:rPr>
            </w:pPr>
            <w:r>
              <w:rPr>
                <w:rFonts w:hint="eastAsia" w:ascii="宋体" w:hAnsi="宋体" w:cs="宋体"/>
                <w:b/>
                <w:bCs/>
                <w:color w:val="auto"/>
                <w:sz w:val="24"/>
                <w:szCs w:val="24"/>
                <w:highlight w:val="none"/>
              </w:rPr>
              <w:t>（反面）</w:t>
            </w:r>
          </w:p>
        </w:tc>
      </w:tr>
    </w:tbl>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法定代表人（单位负责人）姓名：</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传真：</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手机：</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详细通讯地址：</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邮政编码：</w:t>
      </w:r>
    </w:p>
    <w:p>
      <w:pPr>
        <w:shd w:val="clear"/>
        <w:spacing w:line="360" w:lineRule="auto"/>
        <w:rPr>
          <w:rFonts w:ascii="宋体" w:hAnsi="宋体" w:cs="宋体"/>
          <w:color w:val="auto"/>
          <w:sz w:val="24"/>
          <w:szCs w:val="24"/>
          <w:highlight w:val="none"/>
        </w:rPr>
      </w:pPr>
    </w:p>
    <w:tbl>
      <w:tblPr>
        <w:tblStyle w:val="2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授权委托代理人身份证复印件粘帖处</w:t>
            </w:r>
          </w:p>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（正面）</w:t>
            </w:r>
          </w:p>
          <w:p>
            <w:pPr>
              <w:shd w:val="clear"/>
              <w:spacing w:line="360" w:lineRule="auto"/>
              <w:jc w:val="center"/>
              <w:rPr>
                <w:rFonts w:ascii="宋体" w:hAnsi="宋体" w:cs="宋体"/>
                <w:color w:val="auto"/>
                <w:highlight w:val="none"/>
              </w:rPr>
            </w:pPr>
            <w:r>
              <w:rPr>
                <w:rFonts w:hint="eastAsia" w:ascii="宋体" w:hAnsi="宋体" w:cs="宋体"/>
                <w:b/>
                <w:bCs/>
                <w:color w:val="auto"/>
                <w:sz w:val="24"/>
                <w:szCs w:val="24"/>
                <w:highlight w:val="none"/>
              </w:rPr>
              <w:t>（反面）</w:t>
            </w:r>
          </w:p>
        </w:tc>
      </w:tr>
    </w:tbl>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授权委托代理人姓名：</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职务：</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传真：</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手机：</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详细通讯地址：</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邮政编码：</w:t>
      </w:r>
    </w:p>
    <w:p>
      <w:pPr>
        <w:shd w:val="clear"/>
        <w:spacing w:line="360" w:lineRule="auto"/>
        <w:rPr>
          <w:rFonts w:ascii="宋体" w:hAnsi="宋体" w:cs="宋体"/>
          <w:b/>
          <w:bCs/>
          <w:color w:val="auto"/>
          <w:sz w:val="28"/>
          <w:szCs w:val="36"/>
          <w:highlight w:val="none"/>
        </w:rPr>
      </w:pPr>
      <w:r>
        <w:rPr>
          <w:rFonts w:hint="eastAsia" w:ascii="宋体" w:hAnsi="宋体" w:cs="宋体"/>
          <w:b/>
          <w:bCs/>
          <w:color w:val="auto"/>
          <w:sz w:val="28"/>
          <w:szCs w:val="36"/>
          <w:highlight w:val="none"/>
        </w:rPr>
        <w:t>附件4</w:t>
      </w:r>
    </w:p>
    <w:p>
      <w:pPr>
        <w:shd w:val="clear"/>
        <w:spacing w:line="360" w:lineRule="auto"/>
        <w:jc w:val="center"/>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具备健全的财务会计制度的承诺函</w:t>
      </w: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致：</w:t>
      </w:r>
      <w:r>
        <w:rPr>
          <w:rFonts w:hint="eastAsia" w:ascii="宋体" w:hAnsi="宋体" w:cs="宋体"/>
          <w:color w:val="auto"/>
          <w:sz w:val="24"/>
          <w:szCs w:val="32"/>
          <w:highlight w:val="none"/>
          <w:u w:val="single"/>
          <w:lang w:eastAsia="zh-CN"/>
        </w:rPr>
        <w:t>台州市黄岩区市场监督管理局</w:t>
      </w:r>
      <w:r>
        <w:rPr>
          <w:rFonts w:hint="eastAsia" w:ascii="宋体" w:hAnsi="宋体" w:cs="宋体"/>
          <w:color w:val="auto"/>
          <w:sz w:val="24"/>
          <w:szCs w:val="32"/>
          <w:highlight w:val="none"/>
          <w:u w:val="single"/>
        </w:rPr>
        <w:t>、浙江五石中正工程咨询有限公司</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我公司参加</w:t>
      </w:r>
      <w:r>
        <w:rPr>
          <w:rFonts w:hint="eastAsia" w:ascii="宋体" w:hAnsi="宋体" w:cs="宋体"/>
          <w:color w:val="auto"/>
          <w:sz w:val="24"/>
          <w:szCs w:val="32"/>
          <w:highlight w:val="none"/>
          <w:u w:val="single"/>
          <w:lang w:eastAsia="zh-CN"/>
        </w:rPr>
        <w:t>快速维权中心二期建设项目（机房及展厅建设）——智能化及配套设备采购项目</w:t>
      </w:r>
      <w:r>
        <w:rPr>
          <w:rFonts w:hint="eastAsia" w:ascii="宋体" w:hAnsi="宋体" w:cs="宋体"/>
          <w:color w:val="auto"/>
          <w:sz w:val="24"/>
          <w:szCs w:val="32"/>
          <w:highlight w:val="none"/>
        </w:rPr>
        <w:t>（编号为</w:t>
      </w:r>
      <w:r>
        <w:rPr>
          <w:rFonts w:hint="eastAsia" w:ascii="宋体" w:hAnsi="宋体" w:cs="宋体"/>
          <w:color w:val="auto"/>
          <w:sz w:val="24"/>
          <w:szCs w:val="32"/>
          <w:highlight w:val="none"/>
          <w:u w:val="single"/>
          <w:lang w:eastAsia="zh-CN"/>
        </w:rPr>
        <w:t>ZJWS2024-HYSCJDJ01</w:t>
      </w:r>
      <w:r>
        <w:rPr>
          <w:rFonts w:hint="eastAsia" w:ascii="宋体" w:hAnsi="宋体" w:cs="宋体"/>
          <w:color w:val="auto"/>
          <w:sz w:val="24"/>
          <w:szCs w:val="32"/>
          <w:highlight w:val="none"/>
        </w:rPr>
        <w:t>）的投标活动，作如下承诺：</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我公司在参加本项目政府采购活动前，没有处于被责令停产、财产被接管、冻结或破产状态，具有足够的流动资金，有能力履行合同；我公司具有良好的商业信誉和健全的财务会计制度。</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如违反以上承诺，本公司愿承担一切法律责任。</w:t>
      </w:r>
    </w:p>
    <w:p>
      <w:pPr>
        <w:shd w:val="clear"/>
        <w:spacing w:line="360" w:lineRule="auto"/>
        <w:rPr>
          <w:rFonts w:ascii="宋体" w:hAnsi="宋体" w:cs="宋体"/>
          <w:color w:val="auto"/>
          <w:sz w:val="24"/>
          <w:szCs w:val="32"/>
          <w:highlight w:val="none"/>
          <w:u w:val="single"/>
          <w:lang w:val="zh-CN"/>
        </w:rPr>
      </w:pPr>
    </w:p>
    <w:p>
      <w:pPr>
        <w:shd w:val="clear"/>
        <w:spacing w:line="360" w:lineRule="auto"/>
        <w:rPr>
          <w:rFonts w:ascii="宋体" w:hAnsi="宋体" w:cs="宋体"/>
          <w:color w:val="auto"/>
          <w:sz w:val="24"/>
          <w:szCs w:val="32"/>
          <w:highlight w:val="none"/>
          <w:lang w:val="zh-CN"/>
        </w:rPr>
      </w:pPr>
    </w:p>
    <w:p>
      <w:pPr>
        <w:shd w:val="clear"/>
        <w:spacing w:line="360" w:lineRule="auto"/>
        <w:rPr>
          <w:rFonts w:ascii="宋体" w:hAnsi="宋体" w:cs="宋体"/>
          <w:color w:val="auto"/>
          <w:sz w:val="24"/>
          <w:szCs w:val="32"/>
          <w:highlight w:val="none"/>
          <w:lang w:val="zh-CN"/>
        </w:rPr>
      </w:pPr>
    </w:p>
    <w:p>
      <w:pPr>
        <w:shd w:val="clear"/>
        <w:spacing w:line="360" w:lineRule="auto"/>
        <w:rPr>
          <w:rFonts w:ascii="宋体" w:hAnsi="宋体" w:cs="宋体"/>
          <w:color w:val="auto"/>
          <w:sz w:val="24"/>
          <w:szCs w:val="32"/>
          <w:highlight w:val="none"/>
          <w:lang w:val="zh-CN"/>
        </w:rPr>
      </w:pP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 xml:space="preserve">投标人名称（公章）：             </w:t>
      </w: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法定代表人（单位负责人）或授权委托代理人（签字或盖章）：</w:t>
      </w: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 xml:space="preserve">日期：     </w:t>
      </w:r>
      <w:r>
        <w:rPr>
          <w:rFonts w:hint="eastAsia" w:ascii="宋体" w:hAnsi="宋体" w:cs="宋体"/>
          <w:color w:val="auto"/>
          <w:sz w:val="24"/>
          <w:szCs w:val="32"/>
          <w:highlight w:val="none"/>
          <w:lang w:val="zh-CN"/>
        </w:rPr>
        <w:t xml:space="preserve">   年  月  日</w:t>
      </w: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jc w:val="center"/>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第二部分 商务与技术文件目录</w:t>
      </w:r>
    </w:p>
    <w:p>
      <w:pPr>
        <w:shd w:val="clear"/>
        <w:spacing w:line="360" w:lineRule="auto"/>
        <w:rPr>
          <w:rFonts w:ascii="宋体" w:hAnsi="宋体" w:cs="宋体"/>
          <w:color w:val="auto"/>
          <w:sz w:val="24"/>
          <w:szCs w:val="24"/>
          <w:highlight w:val="none"/>
        </w:rPr>
      </w:pP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1、投标人情况介绍（附件5）；</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2、投标人案描述：</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B.项目组织实施方案（包括项目工期、确保项目供货的措施或方案、项目实施进度安排、项目实施人员及项目负责人的资质、类似经验及社保证明等）。</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项目实施人员一览表（附件6）</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项目负责人资格情况表(附件7) </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C.安装、调试及验收方案（包括项目验收标准和验收方法等）和措施。</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3、投标产品描述及相关资料：</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A.产品清单(附件8）</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B.投标产品技术参数、性能特点以及所遵循的技术规范等内容。</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4、投标产品相应检测报告；</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5、投标产品主体列入节能产品证明资料、投标产品主体列入环境标志产品证明资料（如有）；</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6、技术需求响应表（附件9）；</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7、证书一览表（附件10）；</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8、投标人类似项目实施情况一览表（附件11）；</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9、商务需求响应表 （附件12）；</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10、售后服务情况表（附件13）；</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11、投标人需要说明的其他内容。（包括可能影响投标人商务与技术文件评分的各类证明材料）</w:t>
      </w: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rPr>
          <w:rFonts w:ascii="宋体" w:hAnsi="宋体" w:cs="宋体"/>
          <w:b/>
          <w:bCs/>
          <w:color w:val="auto"/>
          <w:sz w:val="28"/>
          <w:szCs w:val="28"/>
          <w:highlight w:val="none"/>
        </w:rPr>
      </w:pPr>
      <w:r>
        <w:rPr>
          <w:rFonts w:hint="eastAsia" w:ascii="宋体" w:hAnsi="宋体" w:cs="宋体"/>
          <w:b/>
          <w:bCs/>
          <w:color w:val="auto"/>
          <w:sz w:val="28"/>
          <w:szCs w:val="28"/>
          <w:highlight w:val="none"/>
        </w:rPr>
        <w:t>附件5</w:t>
      </w:r>
    </w:p>
    <w:p>
      <w:pPr>
        <w:shd w:val="clear"/>
        <w:spacing w:line="360" w:lineRule="auto"/>
        <w:jc w:val="center"/>
        <w:outlineLvl w:val="0"/>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投标人基本情况表</w:t>
      </w:r>
    </w:p>
    <w:p>
      <w:pPr>
        <w:shd w:val="clear"/>
        <w:spacing w:line="360" w:lineRule="auto"/>
        <w:rPr>
          <w:rFonts w:ascii="宋体" w:hAnsi="宋体" w:cs="宋体"/>
          <w:color w:val="auto"/>
          <w:sz w:val="24"/>
          <w:szCs w:val="24"/>
          <w:highlight w:val="none"/>
        </w:rPr>
      </w:pPr>
    </w:p>
    <w:tbl>
      <w:tblPr>
        <w:tblStyle w:val="29"/>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企业名称</w:t>
            </w:r>
          </w:p>
        </w:tc>
        <w:tc>
          <w:tcPr>
            <w:tcW w:w="3979" w:type="dxa"/>
            <w:gridSpan w:val="6"/>
            <w:vAlign w:val="center"/>
          </w:tcPr>
          <w:p>
            <w:pPr>
              <w:shd w:val="clear"/>
              <w:spacing w:line="360" w:lineRule="auto"/>
              <w:jc w:val="center"/>
              <w:rPr>
                <w:rFonts w:ascii="宋体" w:hAnsi="宋体" w:cs="宋体"/>
                <w:color w:val="auto"/>
                <w:sz w:val="24"/>
                <w:szCs w:val="24"/>
                <w:highlight w:val="none"/>
              </w:rPr>
            </w:pPr>
          </w:p>
        </w:tc>
        <w:tc>
          <w:tcPr>
            <w:tcW w:w="2001" w:type="dxa"/>
            <w:gridSpan w:val="3"/>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法人代表</w:t>
            </w:r>
          </w:p>
        </w:tc>
        <w:tc>
          <w:tcPr>
            <w:tcW w:w="2151" w:type="dxa"/>
            <w:gridSpan w:val="2"/>
            <w:vAlign w:val="center"/>
          </w:tcPr>
          <w:p>
            <w:pPr>
              <w:shd w:val="clea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地址</w:t>
            </w:r>
          </w:p>
        </w:tc>
        <w:tc>
          <w:tcPr>
            <w:tcW w:w="3979" w:type="dxa"/>
            <w:gridSpan w:val="6"/>
            <w:vAlign w:val="center"/>
          </w:tcPr>
          <w:p>
            <w:pPr>
              <w:shd w:val="clear"/>
              <w:spacing w:line="360" w:lineRule="auto"/>
              <w:jc w:val="center"/>
              <w:rPr>
                <w:rFonts w:ascii="宋体" w:hAnsi="宋体" w:cs="宋体"/>
                <w:color w:val="auto"/>
                <w:sz w:val="24"/>
                <w:szCs w:val="24"/>
                <w:highlight w:val="none"/>
              </w:rPr>
            </w:pPr>
          </w:p>
        </w:tc>
        <w:tc>
          <w:tcPr>
            <w:tcW w:w="2001" w:type="dxa"/>
            <w:gridSpan w:val="3"/>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企业性质</w:t>
            </w:r>
          </w:p>
        </w:tc>
        <w:tc>
          <w:tcPr>
            <w:tcW w:w="2151" w:type="dxa"/>
            <w:gridSpan w:val="2"/>
            <w:vAlign w:val="center"/>
          </w:tcPr>
          <w:p>
            <w:pPr>
              <w:shd w:val="clea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股东姓名</w:t>
            </w:r>
          </w:p>
        </w:tc>
        <w:tc>
          <w:tcPr>
            <w:tcW w:w="701" w:type="dxa"/>
            <w:vAlign w:val="center"/>
          </w:tcPr>
          <w:p>
            <w:pPr>
              <w:shd w:val="clear"/>
              <w:spacing w:line="360" w:lineRule="auto"/>
              <w:jc w:val="center"/>
              <w:rPr>
                <w:rFonts w:ascii="宋体" w:hAnsi="宋体" w:cs="宋体"/>
                <w:color w:val="auto"/>
                <w:sz w:val="24"/>
                <w:szCs w:val="24"/>
                <w:highlight w:val="none"/>
              </w:rPr>
            </w:pPr>
          </w:p>
        </w:tc>
        <w:tc>
          <w:tcPr>
            <w:tcW w:w="910" w:type="dxa"/>
            <w:gridSpan w:val="2"/>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股权结构（%）</w:t>
            </w:r>
          </w:p>
        </w:tc>
        <w:tc>
          <w:tcPr>
            <w:tcW w:w="2368" w:type="dxa"/>
            <w:gridSpan w:val="3"/>
            <w:vAlign w:val="center"/>
          </w:tcPr>
          <w:p>
            <w:pPr>
              <w:shd w:val="clear"/>
              <w:spacing w:line="360" w:lineRule="auto"/>
              <w:jc w:val="center"/>
              <w:rPr>
                <w:rFonts w:ascii="宋体" w:hAnsi="宋体" w:cs="宋体"/>
                <w:color w:val="auto"/>
                <w:sz w:val="24"/>
                <w:szCs w:val="24"/>
                <w:highlight w:val="none"/>
              </w:rPr>
            </w:pPr>
          </w:p>
          <w:p>
            <w:pPr>
              <w:shd w:val="clear"/>
              <w:spacing w:line="360" w:lineRule="auto"/>
              <w:jc w:val="center"/>
              <w:rPr>
                <w:rFonts w:ascii="宋体" w:hAnsi="宋体" w:cs="宋体"/>
                <w:color w:val="auto"/>
                <w:sz w:val="24"/>
                <w:szCs w:val="24"/>
                <w:highlight w:val="none"/>
              </w:rPr>
            </w:pPr>
          </w:p>
        </w:tc>
        <w:tc>
          <w:tcPr>
            <w:tcW w:w="2001" w:type="dxa"/>
            <w:gridSpan w:val="3"/>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股东关系</w:t>
            </w:r>
          </w:p>
        </w:tc>
        <w:tc>
          <w:tcPr>
            <w:tcW w:w="2151" w:type="dxa"/>
            <w:gridSpan w:val="2"/>
            <w:vAlign w:val="center"/>
          </w:tcPr>
          <w:p>
            <w:pPr>
              <w:shd w:val="clea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联系人姓名</w:t>
            </w:r>
          </w:p>
        </w:tc>
        <w:tc>
          <w:tcPr>
            <w:tcW w:w="701" w:type="dxa"/>
            <w:vMerge w:val="restart"/>
            <w:tcBorders>
              <w:top w:val="nil"/>
            </w:tcBorders>
            <w:vAlign w:val="center"/>
          </w:tcPr>
          <w:p>
            <w:pPr>
              <w:shd w:val="clear"/>
              <w:spacing w:line="360" w:lineRule="auto"/>
              <w:jc w:val="center"/>
              <w:rPr>
                <w:rFonts w:ascii="宋体" w:hAnsi="宋体" w:cs="宋体"/>
                <w:color w:val="auto"/>
                <w:sz w:val="24"/>
                <w:szCs w:val="24"/>
                <w:highlight w:val="none"/>
              </w:rPr>
            </w:pPr>
          </w:p>
        </w:tc>
        <w:tc>
          <w:tcPr>
            <w:tcW w:w="910" w:type="dxa"/>
            <w:gridSpan w:val="2"/>
            <w:tcBorders>
              <w:top w:val="nil"/>
            </w:tcBorders>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固定电话</w:t>
            </w:r>
          </w:p>
        </w:tc>
        <w:tc>
          <w:tcPr>
            <w:tcW w:w="2368" w:type="dxa"/>
            <w:gridSpan w:val="3"/>
            <w:tcBorders>
              <w:top w:val="nil"/>
            </w:tcBorders>
            <w:vAlign w:val="center"/>
          </w:tcPr>
          <w:p>
            <w:pPr>
              <w:shd w:val="clear"/>
              <w:spacing w:line="360" w:lineRule="auto"/>
              <w:jc w:val="center"/>
              <w:rPr>
                <w:rFonts w:ascii="宋体" w:hAnsi="宋体" w:cs="宋体"/>
                <w:color w:val="auto"/>
                <w:sz w:val="24"/>
                <w:szCs w:val="24"/>
                <w:highlight w:val="none"/>
              </w:rPr>
            </w:pPr>
          </w:p>
          <w:p>
            <w:pPr>
              <w:shd w:val="clear"/>
              <w:spacing w:line="360" w:lineRule="auto"/>
              <w:jc w:val="center"/>
              <w:rPr>
                <w:rFonts w:ascii="宋体" w:hAnsi="宋体" w:cs="宋体"/>
                <w:color w:val="auto"/>
                <w:sz w:val="24"/>
                <w:szCs w:val="24"/>
                <w:highlight w:val="none"/>
              </w:rPr>
            </w:pPr>
          </w:p>
        </w:tc>
        <w:tc>
          <w:tcPr>
            <w:tcW w:w="2001" w:type="dxa"/>
            <w:gridSpan w:val="3"/>
            <w:vMerge w:val="restar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传真</w:t>
            </w:r>
          </w:p>
        </w:tc>
        <w:tc>
          <w:tcPr>
            <w:tcW w:w="2151" w:type="dxa"/>
            <w:gridSpan w:val="2"/>
            <w:vMerge w:val="restart"/>
            <w:vAlign w:val="center"/>
          </w:tcPr>
          <w:p>
            <w:pPr>
              <w:shd w:val="clea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hd w:val="clear"/>
              <w:spacing w:line="360" w:lineRule="auto"/>
              <w:jc w:val="center"/>
              <w:rPr>
                <w:rFonts w:ascii="宋体" w:hAnsi="宋体" w:cs="宋体"/>
                <w:color w:val="auto"/>
                <w:sz w:val="24"/>
                <w:szCs w:val="24"/>
                <w:highlight w:val="none"/>
              </w:rPr>
            </w:pPr>
          </w:p>
        </w:tc>
        <w:tc>
          <w:tcPr>
            <w:tcW w:w="701" w:type="dxa"/>
            <w:vMerge w:val="continue"/>
            <w:vAlign w:val="center"/>
          </w:tcPr>
          <w:p>
            <w:pPr>
              <w:shd w:val="clear"/>
              <w:spacing w:line="360" w:lineRule="auto"/>
              <w:jc w:val="center"/>
              <w:rPr>
                <w:rFonts w:ascii="宋体" w:hAnsi="宋体" w:cs="宋体"/>
                <w:color w:val="auto"/>
                <w:sz w:val="24"/>
                <w:szCs w:val="24"/>
                <w:highlight w:val="none"/>
              </w:rPr>
            </w:pPr>
          </w:p>
        </w:tc>
        <w:tc>
          <w:tcPr>
            <w:tcW w:w="910" w:type="dxa"/>
            <w:gridSpan w:val="2"/>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手机</w:t>
            </w:r>
          </w:p>
        </w:tc>
        <w:tc>
          <w:tcPr>
            <w:tcW w:w="2368" w:type="dxa"/>
            <w:gridSpan w:val="3"/>
            <w:vAlign w:val="center"/>
          </w:tcPr>
          <w:p>
            <w:pPr>
              <w:shd w:val="clear"/>
              <w:spacing w:line="360" w:lineRule="auto"/>
              <w:jc w:val="center"/>
              <w:rPr>
                <w:rFonts w:ascii="宋体" w:hAnsi="宋体" w:cs="宋体"/>
                <w:color w:val="auto"/>
                <w:sz w:val="24"/>
                <w:szCs w:val="24"/>
                <w:highlight w:val="none"/>
              </w:rPr>
            </w:pPr>
          </w:p>
        </w:tc>
        <w:tc>
          <w:tcPr>
            <w:tcW w:w="2001" w:type="dxa"/>
            <w:gridSpan w:val="3"/>
            <w:vMerge w:val="continue"/>
            <w:vAlign w:val="center"/>
          </w:tcPr>
          <w:p>
            <w:pPr>
              <w:shd w:val="clear"/>
              <w:spacing w:line="360" w:lineRule="auto"/>
              <w:jc w:val="center"/>
              <w:rPr>
                <w:rFonts w:ascii="宋体" w:hAnsi="宋体" w:cs="宋体"/>
                <w:color w:val="auto"/>
                <w:sz w:val="24"/>
                <w:szCs w:val="24"/>
                <w:highlight w:val="none"/>
              </w:rPr>
            </w:pPr>
          </w:p>
        </w:tc>
        <w:tc>
          <w:tcPr>
            <w:tcW w:w="2151" w:type="dxa"/>
            <w:gridSpan w:val="2"/>
            <w:vMerge w:val="continue"/>
            <w:vAlign w:val="center"/>
          </w:tcPr>
          <w:p>
            <w:pPr>
              <w:shd w:val="clea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w:t>
            </w:r>
          </w:p>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企</w:t>
            </w:r>
          </w:p>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业</w:t>
            </w:r>
          </w:p>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概</w:t>
            </w:r>
          </w:p>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况</w:t>
            </w:r>
          </w:p>
        </w:tc>
        <w:tc>
          <w:tcPr>
            <w:tcW w:w="701" w:type="dxa"/>
            <w:tcBorders>
              <w:top w:val="nil"/>
            </w:tcBorders>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职工人数</w:t>
            </w:r>
          </w:p>
        </w:tc>
        <w:tc>
          <w:tcPr>
            <w:tcW w:w="910" w:type="dxa"/>
            <w:gridSpan w:val="2"/>
            <w:tcBorders>
              <w:top w:val="nil"/>
            </w:tcBorders>
            <w:vAlign w:val="center"/>
          </w:tcPr>
          <w:p>
            <w:pPr>
              <w:shd w:val="clear"/>
              <w:spacing w:line="360" w:lineRule="auto"/>
              <w:jc w:val="center"/>
              <w:rPr>
                <w:rFonts w:ascii="宋体" w:hAnsi="宋体" w:cs="宋体"/>
                <w:color w:val="auto"/>
                <w:sz w:val="24"/>
                <w:szCs w:val="24"/>
                <w:highlight w:val="none"/>
              </w:rPr>
            </w:pPr>
          </w:p>
        </w:tc>
        <w:tc>
          <w:tcPr>
            <w:tcW w:w="1163" w:type="dxa"/>
            <w:tcBorders>
              <w:top w:val="nil"/>
            </w:tcBorders>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具备大专以上学历人数</w:t>
            </w:r>
          </w:p>
        </w:tc>
        <w:tc>
          <w:tcPr>
            <w:tcW w:w="1205" w:type="dxa"/>
            <w:gridSpan w:val="2"/>
            <w:tcBorders>
              <w:top w:val="nil"/>
            </w:tcBorders>
            <w:vAlign w:val="center"/>
          </w:tcPr>
          <w:p>
            <w:pPr>
              <w:shd w:val="clear"/>
              <w:spacing w:line="360" w:lineRule="auto"/>
              <w:jc w:val="center"/>
              <w:rPr>
                <w:rFonts w:ascii="宋体" w:hAnsi="宋体" w:cs="宋体"/>
                <w:color w:val="auto"/>
                <w:sz w:val="24"/>
                <w:szCs w:val="24"/>
                <w:highlight w:val="none"/>
              </w:rPr>
            </w:pPr>
          </w:p>
          <w:p>
            <w:pPr>
              <w:shd w:val="clear"/>
              <w:spacing w:line="360" w:lineRule="auto"/>
              <w:jc w:val="center"/>
              <w:rPr>
                <w:rFonts w:ascii="宋体" w:hAnsi="宋体" w:cs="宋体"/>
                <w:color w:val="auto"/>
                <w:sz w:val="24"/>
                <w:szCs w:val="24"/>
                <w:highlight w:val="none"/>
              </w:rPr>
            </w:pPr>
          </w:p>
          <w:p>
            <w:pPr>
              <w:shd w:val="clear"/>
              <w:spacing w:line="360" w:lineRule="auto"/>
              <w:jc w:val="center"/>
              <w:rPr>
                <w:rFonts w:ascii="宋体" w:hAnsi="宋体" w:cs="宋体"/>
                <w:color w:val="auto"/>
                <w:sz w:val="24"/>
                <w:szCs w:val="24"/>
                <w:highlight w:val="none"/>
              </w:rPr>
            </w:pPr>
          </w:p>
        </w:tc>
        <w:tc>
          <w:tcPr>
            <w:tcW w:w="2001" w:type="dxa"/>
            <w:gridSpan w:val="3"/>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国家授予技术职称人数</w:t>
            </w:r>
          </w:p>
        </w:tc>
        <w:tc>
          <w:tcPr>
            <w:tcW w:w="2151" w:type="dxa"/>
            <w:gridSpan w:val="2"/>
            <w:vAlign w:val="center"/>
          </w:tcPr>
          <w:p>
            <w:pPr>
              <w:shd w:val="clear"/>
              <w:spacing w:line="360" w:lineRule="auto"/>
              <w:jc w:val="center"/>
              <w:rPr>
                <w:rFonts w:ascii="宋体" w:hAnsi="宋体" w:cs="宋体"/>
                <w:color w:val="auto"/>
                <w:sz w:val="24"/>
                <w:szCs w:val="24"/>
                <w:highlight w:val="none"/>
              </w:rPr>
            </w:pPr>
          </w:p>
          <w:p>
            <w:pPr>
              <w:shd w:val="clea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hd w:val="clear"/>
              <w:spacing w:line="360" w:lineRule="auto"/>
              <w:jc w:val="center"/>
              <w:rPr>
                <w:rFonts w:ascii="宋体" w:hAnsi="宋体" w:cs="宋体"/>
                <w:color w:val="auto"/>
                <w:sz w:val="24"/>
                <w:szCs w:val="24"/>
                <w:highlight w:val="none"/>
              </w:rPr>
            </w:pPr>
          </w:p>
        </w:tc>
        <w:tc>
          <w:tcPr>
            <w:tcW w:w="701"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占地面积</w:t>
            </w:r>
          </w:p>
        </w:tc>
        <w:tc>
          <w:tcPr>
            <w:tcW w:w="910" w:type="dxa"/>
            <w:gridSpan w:val="2"/>
            <w:vAlign w:val="center"/>
          </w:tcPr>
          <w:p>
            <w:pPr>
              <w:shd w:val="clear"/>
              <w:spacing w:line="360" w:lineRule="auto"/>
              <w:jc w:val="center"/>
              <w:rPr>
                <w:rFonts w:ascii="宋体" w:hAnsi="宋体" w:cs="宋体"/>
                <w:color w:val="auto"/>
                <w:sz w:val="24"/>
                <w:szCs w:val="24"/>
                <w:highlight w:val="none"/>
              </w:rPr>
            </w:pPr>
          </w:p>
        </w:tc>
        <w:tc>
          <w:tcPr>
            <w:tcW w:w="1163"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建筑面积</w:t>
            </w:r>
          </w:p>
        </w:tc>
        <w:tc>
          <w:tcPr>
            <w:tcW w:w="1205" w:type="dxa"/>
            <w:gridSpan w:val="2"/>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平方米</w:t>
            </w:r>
          </w:p>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□自有</w:t>
            </w:r>
          </w:p>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□租赁</w:t>
            </w:r>
          </w:p>
        </w:tc>
        <w:tc>
          <w:tcPr>
            <w:tcW w:w="2001" w:type="dxa"/>
            <w:gridSpan w:val="3"/>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生产经营场所及场所的设施与设备</w:t>
            </w:r>
          </w:p>
        </w:tc>
        <w:tc>
          <w:tcPr>
            <w:tcW w:w="2151" w:type="dxa"/>
            <w:gridSpan w:val="2"/>
            <w:vAlign w:val="center"/>
          </w:tcPr>
          <w:p>
            <w:pPr>
              <w:shd w:val="clea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hd w:val="clear"/>
              <w:spacing w:line="360" w:lineRule="auto"/>
              <w:jc w:val="center"/>
              <w:rPr>
                <w:rFonts w:ascii="宋体" w:hAnsi="宋体" w:cs="宋体"/>
                <w:color w:val="auto"/>
                <w:sz w:val="24"/>
                <w:szCs w:val="24"/>
                <w:highlight w:val="none"/>
              </w:rPr>
            </w:pPr>
          </w:p>
        </w:tc>
        <w:tc>
          <w:tcPr>
            <w:tcW w:w="701"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注册资金</w:t>
            </w:r>
          </w:p>
        </w:tc>
        <w:tc>
          <w:tcPr>
            <w:tcW w:w="910" w:type="dxa"/>
            <w:gridSpan w:val="2"/>
            <w:vAlign w:val="center"/>
          </w:tcPr>
          <w:p>
            <w:pPr>
              <w:shd w:val="clear"/>
              <w:spacing w:line="360" w:lineRule="auto"/>
              <w:jc w:val="center"/>
              <w:rPr>
                <w:rFonts w:ascii="宋体" w:hAnsi="宋体" w:cs="宋体"/>
                <w:color w:val="auto"/>
                <w:sz w:val="24"/>
                <w:szCs w:val="24"/>
                <w:highlight w:val="none"/>
              </w:rPr>
            </w:pPr>
          </w:p>
        </w:tc>
        <w:tc>
          <w:tcPr>
            <w:tcW w:w="1163"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注册发证机关</w:t>
            </w:r>
          </w:p>
        </w:tc>
        <w:tc>
          <w:tcPr>
            <w:tcW w:w="3206" w:type="dxa"/>
            <w:gridSpan w:val="5"/>
            <w:vAlign w:val="center"/>
          </w:tcPr>
          <w:p>
            <w:pPr>
              <w:shd w:val="clear"/>
              <w:spacing w:line="360" w:lineRule="auto"/>
              <w:jc w:val="center"/>
              <w:rPr>
                <w:rFonts w:ascii="宋体" w:hAnsi="宋体" w:cs="宋体"/>
                <w:color w:val="auto"/>
                <w:sz w:val="24"/>
                <w:szCs w:val="24"/>
                <w:highlight w:val="none"/>
              </w:rPr>
            </w:pPr>
          </w:p>
          <w:p>
            <w:pPr>
              <w:shd w:val="clear"/>
              <w:spacing w:line="360" w:lineRule="auto"/>
              <w:jc w:val="center"/>
              <w:rPr>
                <w:rFonts w:ascii="宋体" w:hAnsi="宋体" w:cs="宋体"/>
                <w:color w:val="auto"/>
                <w:sz w:val="24"/>
                <w:szCs w:val="24"/>
                <w:highlight w:val="none"/>
              </w:rPr>
            </w:pPr>
          </w:p>
        </w:tc>
        <w:tc>
          <w:tcPr>
            <w:tcW w:w="1218"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公司成立时间</w:t>
            </w:r>
          </w:p>
        </w:tc>
        <w:tc>
          <w:tcPr>
            <w:tcW w:w="933" w:type="dxa"/>
            <w:vAlign w:val="center"/>
          </w:tcPr>
          <w:p>
            <w:pPr>
              <w:shd w:val="clea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hd w:val="clear"/>
              <w:spacing w:line="360" w:lineRule="auto"/>
              <w:jc w:val="center"/>
              <w:rPr>
                <w:rFonts w:ascii="宋体" w:hAnsi="宋体" w:cs="宋体"/>
                <w:color w:val="auto"/>
                <w:sz w:val="24"/>
                <w:szCs w:val="24"/>
                <w:highlight w:val="none"/>
              </w:rPr>
            </w:pPr>
          </w:p>
        </w:tc>
        <w:tc>
          <w:tcPr>
            <w:tcW w:w="701"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核准经营范围</w:t>
            </w:r>
          </w:p>
        </w:tc>
        <w:tc>
          <w:tcPr>
            <w:tcW w:w="7430" w:type="dxa"/>
            <w:gridSpan w:val="10"/>
            <w:vAlign w:val="center"/>
          </w:tcPr>
          <w:p>
            <w:pPr>
              <w:shd w:val="clea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hd w:val="clear"/>
              <w:spacing w:line="360" w:lineRule="auto"/>
              <w:jc w:val="center"/>
              <w:rPr>
                <w:rFonts w:ascii="宋体" w:hAnsi="宋体" w:cs="宋体"/>
                <w:color w:val="auto"/>
                <w:sz w:val="24"/>
                <w:szCs w:val="24"/>
                <w:highlight w:val="none"/>
              </w:rPr>
            </w:pPr>
          </w:p>
        </w:tc>
        <w:tc>
          <w:tcPr>
            <w:tcW w:w="8131" w:type="dxa"/>
            <w:gridSpan w:val="11"/>
            <w:vAlign w:val="center"/>
          </w:tcPr>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w:t>
            </w:r>
          </w:p>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企业有关资质获证情况</w:t>
            </w:r>
          </w:p>
        </w:tc>
        <w:tc>
          <w:tcPr>
            <w:tcW w:w="1553" w:type="dxa"/>
            <w:gridSpan w:val="2"/>
            <w:vMerge w:val="restart"/>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产品生产许可证情况（对需获得生产许可证的产品要填写此栏）</w:t>
            </w:r>
          </w:p>
        </w:tc>
        <w:tc>
          <w:tcPr>
            <w:tcW w:w="1333" w:type="dxa"/>
            <w:gridSpan w:val="3"/>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产品名称</w:t>
            </w:r>
          </w:p>
        </w:tc>
        <w:tc>
          <w:tcPr>
            <w:tcW w:w="1418" w:type="dxa"/>
            <w:gridSpan w:val="2"/>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发证机关</w:t>
            </w:r>
          </w:p>
        </w:tc>
        <w:tc>
          <w:tcPr>
            <w:tcW w:w="1276"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编号</w:t>
            </w:r>
          </w:p>
        </w:tc>
        <w:tc>
          <w:tcPr>
            <w:tcW w:w="1618" w:type="dxa"/>
            <w:gridSpan w:val="2"/>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发证时间</w:t>
            </w:r>
          </w:p>
        </w:tc>
        <w:tc>
          <w:tcPr>
            <w:tcW w:w="933" w:type="dxa"/>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hd w:val="clear"/>
              <w:spacing w:line="360" w:lineRule="auto"/>
              <w:jc w:val="center"/>
              <w:rPr>
                <w:rFonts w:ascii="宋体" w:hAnsi="宋体" w:cs="宋体"/>
                <w:color w:val="auto"/>
                <w:sz w:val="24"/>
                <w:szCs w:val="24"/>
                <w:highlight w:val="none"/>
              </w:rPr>
            </w:pPr>
          </w:p>
        </w:tc>
        <w:tc>
          <w:tcPr>
            <w:tcW w:w="1553" w:type="dxa"/>
            <w:gridSpan w:val="2"/>
            <w:vMerge w:val="continue"/>
            <w:vAlign w:val="center"/>
          </w:tcPr>
          <w:p>
            <w:pPr>
              <w:shd w:val="clear"/>
              <w:spacing w:line="360" w:lineRule="auto"/>
              <w:jc w:val="center"/>
              <w:rPr>
                <w:rFonts w:ascii="宋体" w:hAnsi="宋体" w:cs="宋体"/>
                <w:color w:val="auto"/>
                <w:sz w:val="24"/>
                <w:szCs w:val="24"/>
                <w:highlight w:val="none"/>
              </w:rPr>
            </w:pPr>
          </w:p>
        </w:tc>
        <w:tc>
          <w:tcPr>
            <w:tcW w:w="1333" w:type="dxa"/>
            <w:gridSpan w:val="3"/>
            <w:vAlign w:val="center"/>
          </w:tcPr>
          <w:p>
            <w:pPr>
              <w:shd w:val="clear"/>
              <w:spacing w:line="360" w:lineRule="auto"/>
              <w:jc w:val="center"/>
              <w:rPr>
                <w:rFonts w:ascii="宋体" w:hAnsi="宋体" w:cs="宋体"/>
                <w:color w:val="auto"/>
                <w:sz w:val="24"/>
                <w:szCs w:val="24"/>
                <w:highlight w:val="none"/>
              </w:rPr>
            </w:pPr>
          </w:p>
        </w:tc>
        <w:tc>
          <w:tcPr>
            <w:tcW w:w="1418" w:type="dxa"/>
            <w:gridSpan w:val="2"/>
            <w:vAlign w:val="center"/>
          </w:tcPr>
          <w:p>
            <w:pPr>
              <w:shd w:val="clear"/>
              <w:spacing w:line="360" w:lineRule="auto"/>
              <w:jc w:val="center"/>
              <w:rPr>
                <w:rFonts w:ascii="宋体" w:hAnsi="宋体" w:cs="宋体"/>
                <w:color w:val="auto"/>
                <w:sz w:val="24"/>
                <w:szCs w:val="24"/>
                <w:highlight w:val="none"/>
              </w:rPr>
            </w:pPr>
          </w:p>
        </w:tc>
        <w:tc>
          <w:tcPr>
            <w:tcW w:w="1276" w:type="dxa"/>
            <w:vAlign w:val="center"/>
          </w:tcPr>
          <w:p>
            <w:pPr>
              <w:shd w:val="clear"/>
              <w:spacing w:line="360" w:lineRule="auto"/>
              <w:jc w:val="center"/>
              <w:rPr>
                <w:rFonts w:ascii="宋体" w:hAnsi="宋体" w:cs="宋体"/>
                <w:color w:val="auto"/>
                <w:sz w:val="24"/>
                <w:szCs w:val="24"/>
                <w:highlight w:val="none"/>
              </w:rPr>
            </w:pPr>
          </w:p>
        </w:tc>
        <w:tc>
          <w:tcPr>
            <w:tcW w:w="2551" w:type="dxa"/>
            <w:gridSpan w:val="3"/>
            <w:vAlign w:val="center"/>
          </w:tcPr>
          <w:p>
            <w:pPr>
              <w:shd w:val="clea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hd w:val="clear"/>
              <w:spacing w:line="360" w:lineRule="auto"/>
              <w:jc w:val="center"/>
              <w:rPr>
                <w:rFonts w:ascii="宋体" w:hAnsi="宋体" w:cs="宋体"/>
                <w:color w:val="auto"/>
                <w:sz w:val="24"/>
                <w:szCs w:val="24"/>
                <w:highlight w:val="none"/>
              </w:rPr>
            </w:pPr>
          </w:p>
        </w:tc>
        <w:tc>
          <w:tcPr>
            <w:tcW w:w="1553" w:type="dxa"/>
            <w:gridSpan w:val="2"/>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企业通过质量体系、环保体系、计量等认证情况</w:t>
            </w:r>
          </w:p>
        </w:tc>
        <w:tc>
          <w:tcPr>
            <w:tcW w:w="6578" w:type="dxa"/>
            <w:gridSpan w:val="9"/>
            <w:vAlign w:val="center"/>
          </w:tcPr>
          <w:p>
            <w:pPr>
              <w:shd w:val="clea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hd w:val="clear"/>
              <w:spacing w:line="360" w:lineRule="auto"/>
              <w:jc w:val="center"/>
              <w:rPr>
                <w:rFonts w:ascii="宋体" w:hAnsi="宋体" w:cs="宋体"/>
                <w:color w:val="auto"/>
                <w:sz w:val="24"/>
                <w:szCs w:val="24"/>
                <w:highlight w:val="none"/>
              </w:rPr>
            </w:pPr>
          </w:p>
        </w:tc>
        <w:tc>
          <w:tcPr>
            <w:tcW w:w="1553" w:type="dxa"/>
            <w:gridSpan w:val="2"/>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企业获得专利情况</w:t>
            </w:r>
          </w:p>
        </w:tc>
        <w:tc>
          <w:tcPr>
            <w:tcW w:w="6578" w:type="dxa"/>
            <w:gridSpan w:val="9"/>
            <w:vAlign w:val="center"/>
          </w:tcPr>
          <w:p>
            <w:pPr>
              <w:shd w:val="clear"/>
              <w:spacing w:line="360" w:lineRule="auto"/>
              <w:jc w:val="center"/>
              <w:rPr>
                <w:rFonts w:ascii="宋体" w:hAnsi="宋体" w:cs="宋体"/>
                <w:color w:val="auto"/>
                <w:sz w:val="24"/>
                <w:szCs w:val="24"/>
                <w:highlight w:val="none"/>
              </w:rPr>
            </w:pPr>
          </w:p>
        </w:tc>
      </w:tr>
    </w:tbl>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要求：</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1.姓名栏必须将所有股东都统计在内，若非股份公司此行（第三行）无需填写；</w:t>
      </w:r>
    </w:p>
    <w:p>
      <w:pPr>
        <w:shd w:val="clear"/>
        <w:spacing w:line="360" w:lineRule="auto"/>
        <w:rPr>
          <w:rFonts w:ascii="宋体" w:hAnsi="宋体" w:cs="宋体"/>
          <w:color w:val="auto"/>
          <w:sz w:val="24"/>
          <w:szCs w:val="24"/>
          <w:highlight w:val="none"/>
        </w:rPr>
      </w:pPr>
    </w:p>
    <w:p>
      <w:pPr>
        <w:shd w:val="clear"/>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t>投标人名称（盖章）：</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法定代表人（单位负责人）或授权委托代理人（签字或盖章）：</w:t>
      </w:r>
    </w:p>
    <w:p>
      <w:pPr>
        <w:shd w:val="clear"/>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t>日期：</w:t>
      </w: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hint="eastAsia" w:ascii="宋体" w:hAnsi="宋体" w:cs="宋体"/>
          <w:b/>
          <w:bCs/>
          <w:color w:val="auto"/>
          <w:sz w:val="28"/>
          <w:szCs w:val="28"/>
          <w:highlight w:val="none"/>
        </w:rPr>
      </w:pPr>
    </w:p>
    <w:p>
      <w:pPr>
        <w:shd w:val="clear"/>
        <w:spacing w:line="360" w:lineRule="auto"/>
        <w:rPr>
          <w:rFonts w:ascii="宋体" w:hAnsi="宋体" w:cs="宋体"/>
          <w:color w:val="auto"/>
          <w:sz w:val="24"/>
          <w:szCs w:val="24"/>
          <w:highlight w:val="none"/>
        </w:rPr>
      </w:pPr>
      <w:r>
        <w:rPr>
          <w:rFonts w:hint="eastAsia" w:ascii="宋体" w:hAnsi="宋体" w:cs="宋体"/>
          <w:b/>
          <w:bCs/>
          <w:color w:val="auto"/>
          <w:sz w:val="28"/>
          <w:szCs w:val="28"/>
          <w:highlight w:val="none"/>
        </w:rPr>
        <w:t>附件6</w:t>
      </w:r>
    </w:p>
    <w:p>
      <w:pPr>
        <w:shd w:val="clear"/>
        <w:spacing w:line="360" w:lineRule="auto"/>
        <w:jc w:val="center"/>
        <w:outlineLvl w:val="0"/>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项目实施人员一览表</w:t>
      </w:r>
    </w:p>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（主要从业人员及其技术资格）</w:t>
      </w:r>
    </w:p>
    <w:tbl>
      <w:tblPr>
        <w:tblStyle w:val="29"/>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vAlign w:val="center"/>
          </w:tcPr>
          <w:p>
            <w:pPr>
              <w:shd w:val="clear"/>
              <w:snapToGrid w:val="0"/>
              <w:spacing w:before="156" w:beforeLines="50" w:after="50"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156" w:beforeLines="50" w:after="50"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156" w:beforeLines="50" w:after="50"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156" w:beforeLines="50" w:after="50"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156" w:beforeLines="50" w:after="50"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156" w:beforeLines="50" w:after="50"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156" w:beforeLines="50" w:after="50"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参加本单位工作时间</w:t>
            </w:r>
          </w:p>
        </w:tc>
        <w:tc>
          <w:tcPr>
            <w:tcW w:w="2126" w:type="dxa"/>
            <w:tcBorders>
              <w:top w:val="single" w:color="auto" w:sz="4" w:space="0"/>
              <w:left w:val="single" w:color="auto" w:sz="4" w:space="0"/>
              <w:bottom w:val="single" w:color="auto" w:sz="4" w:space="0"/>
            </w:tcBorders>
            <w:vAlign w:val="center"/>
          </w:tcPr>
          <w:p>
            <w:pPr>
              <w:shd w:val="clear"/>
              <w:snapToGrid w:val="0"/>
              <w:spacing w:before="156" w:beforeLines="50" w:after="50"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5"/>
              <w:shd w:val="clear"/>
              <w:snapToGrid w:val="0"/>
              <w:spacing w:before="156" w:beforeLines="50" w:after="50" w:line="360" w:lineRule="auto"/>
              <w:ind w:left="5250"/>
              <w:rPr>
                <w:rFonts w:ascii="宋体" w:hAnsi="宋体" w:eastAsia="宋体" w:cs="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5"/>
              <w:shd w:val="clear"/>
              <w:snapToGrid w:val="0"/>
              <w:spacing w:before="156" w:beforeLines="50" w:after="50" w:line="360" w:lineRule="auto"/>
              <w:ind w:left="5250"/>
              <w:rPr>
                <w:rFonts w:ascii="宋体" w:hAnsi="宋体" w:eastAsia="宋体" w:cs="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5"/>
              <w:shd w:val="clear"/>
              <w:spacing w:line="360" w:lineRule="auto"/>
              <w:ind w:left="5250"/>
              <w:rPr>
                <w:rFonts w:ascii="宋体" w:hAnsi="宋体" w:eastAsia="宋体" w:cs="宋体"/>
                <w:color w:val="auto"/>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color w:val="auto"/>
                <w:sz w:val="24"/>
                <w:szCs w:val="24"/>
                <w:highlight w:val="none"/>
              </w:rPr>
            </w:pPr>
          </w:p>
        </w:tc>
        <w:tc>
          <w:tcPr>
            <w:tcW w:w="2126" w:type="dxa"/>
            <w:tcBorders>
              <w:top w:val="single" w:color="auto" w:sz="4" w:space="0"/>
              <w:left w:val="single" w:color="auto" w:sz="4" w:space="0"/>
              <w:bottom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hd w:val="clear"/>
              <w:snapToGrid w:val="0"/>
              <w:spacing w:before="156" w:beforeLines="50" w:after="50" w:line="360" w:lineRule="auto"/>
              <w:rPr>
                <w:rFonts w:ascii="宋体" w:hAnsi="宋体" w:cs="宋体"/>
                <w:b/>
                <w:bCs/>
                <w:color w:val="auto"/>
                <w:kern w:val="44"/>
                <w:sz w:val="24"/>
                <w:szCs w:val="24"/>
                <w:highlight w:val="none"/>
              </w:rPr>
            </w:pPr>
          </w:p>
        </w:tc>
      </w:tr>
    </w:tbl>
    <w:p>
      <w:pPr>
        <w:shd w:val="clear"/>
        <w:spacing w:line="360" w:lineRule="auto"/>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要求：</w:t>
      </w:r>
    </w:p>
    <w:p>
      <w:pPr>
        <w:shd w:val="clea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1.在填写时，如本表格不适合投标单位的实际情况，可根据本表格式自行划表填写。</w:t>
      </w:r>
    </w:p>
    <w:p>
      <w:pPr>
        <w:shd w:val="clea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2.附人员证书复印件；</w:t>
      </w:r>
    </w:p>
    <w:p>
      <w:pPr>
        <w:shd w:val="clea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3.出具上述人员在本单位服务的外部证明，如：投标截止日之前六个月以内的代缴个税税单或参加社会保险的《投保单》或《社会保险参保人员证明》等。</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投标人名称（盖章）：</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法定代表人（单位负责人）或授权委托代理人（签字或盖章）：</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日期：</w:t>
      </w:r>
    </w:p>
    <w:p>
      <w:pPr>
        <w:shd w:val="clear"/>
        <w:spacing w:line="360" w:lineRule="auto"/>
        <w:rPr>
          <w:rFonts w:hint="eastAsia" w:ascii="宋体" w:hAnsi="宋体" w:cs="宋体"/>
          <w:b/>
          <w:bCs/>
          <w:color w:val="auto"/>
          <w:sz w:val="28"/>
          <w:szCs w:val="28"/>
          <w:highlight w:val="none"/>
        </w:rPr>
      </w:pPr>
    </w:p>
    <w:p>
      <w:pPr>
        <w:shd w:val="clear"/>
        <w:spacing w:line="360" w:lineRule="auto"/>
        <w:rPr>
          <w:rFonts w:ascii="宋体" w:hAnsi="宋体" w:cs="宋体"/>
          <w:b/>
          <w:bCs/>
          <w:color w:val="auto"/>
          <w:sz w:val="28"/>
          <w:szCs w:val="28"/>
          <w:highlight w:val="none"/>
        </w:rPr>
      </w:pPr>
      <w:r>
        <w:rPr>
          <w:rFonts w:hint="eastAsia" w:ascii="宋体" w:hAnsi="宋体" w:cs="宋体"/>
          <w:b/>
          <w:bCs/>
          <w:color w:val="auto"/>
          <w:sz w:val="28"/>
          <w:szCs w:val="28"/>
          <w:highlight w:val="none"/>
        </w:rPr>
        <w:t>附件7</w:t>
      </w:r>
    </w:p>
    <w:p>
      <w:pPr>
        <w:shd w:val="clear"/>
        <w:spacing w:line="360" w:lineRule="auto"/>
        <w:jc w:val="center"/>
        <w:outlineLvl w:val="0"/>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项目负责人资格情况表</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采购项目：采购编号：</w:t>
      </w:r>
    </w:p>
    <w:tbl>
      <w:tblPr>
        <w:tblStyle w:val="29"/>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tcBorders>
            <w:vAlign w:val="center"/>
          </w:tcPr>
          <w:p>
            <w:pPr>
              <w:shd w:val="clear"/>
              <w:jc w:val="center"/>
              <w:rPr>
                <w:rFonts w:ascii="宋体" w:hAnsi="宋体" w:cs="宋体"/>
                <w:b/>
                <w:bCs/>
                <w:color w:val="auto"/>
                <w:sz w:val="24"/>
                <w:szCs w:val="24"/>
                <w:highlight w:val="none"/>
                <w:lang w:val="zh-CN"/>
              </w:rPr>
            </w:pPr>
            <w:r>
              <w:rPr>
                <w:rFonts w:hint="eastAsia" w:ascii="宋体" w:hAnsi="宋体" w:cs="宋体"/>
                <w:b/>
                <w:bCs/>
                <w:color w:val="auto"/>
                <w:sz w:val="24"/>
                <w:szCs w:val="24"/>
                <w:highlight w:val="none"/>
                <w:lang w:val="zh-CN"/>
              </w:rPr>
              <w:t>姓名</w:t>
            </w:r>
          </w:p>
        </w:tc>
        <w:tc>
          <w:tcPr>
            <w:tcW w:w="2967" w:type="dxa"/>
            <w:tcBorders>
              <w:top w:val="single" w:color="auto" w:sz="12" w:space="0"/>
            </w:tcBorders>
            <w:vAlign w:val="center"/>
          </w:tcPr>
          <w:p>
            <w:pPr>
              <w:shd w:val="clear"/>
              <w:jc w:val="center"/>
              <w:rPr>
                <w:rFonts w:ascii="宋体" w:hAnsi="宋体" w:cs="宋体"/>
                <w:color w:val="auto"/>
                <w:sz w:val="24"/>
                <w:szCs w:val="24"/>
                <w:highlight w:val="none"/>
                <w:lang w:val="zh-CN"/>
              </w:rPr>
            </w:pPr>
          </w:p>
        </w:tc>
        <w:tc>
          <w:tcPr>
            <w:tcW w:w="3685" w:type="dxa"/>
            <w:tcBorders>
              <w:top w:val="single" w:color="auto" w:sz="12" w:space="0"/>
              <w:right w:val="single" w:color="auto" w:sz="12" w:space="0"/>
            </w:tcBorders>
            <w:vAlign w:val="center"/>
          </w:tcPr>
          <w:p>
            <w:pPr>
              <w:shd w:val="clear"/>
              <w:jc w:val="center"/>
              <w:rPr>
                <w:rFonts w:ascii="宋体" w:hAnsi="宋体" w:cs="宋体"/>
                <w:color w:val="auto"/>
                <w:sz w:val="24"/>
                <w:szCs w:val="24"/>
                <w:highlight w:val="none"/>
                <w:lang w:val="zh-CN"/>
              </w:rPr>
            </w:pPr>
            <w:r>
              <w:rPr>
                <w:rFonts w:hint="eastAsia" w:ascii="宋体" w:hAnsi="宋体" w:cs="宋体"/>
                <w:b/>
                <w:bCs/>
                <w:color w:val="auto"/>
                <w:sz w:val="24"/>
                <w:szCs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jc w:val="center"/>
              <w:rPr>
                <w:rFonts w:ascii="宋体" w:hAnsi="宋体" w:cs="宋体"/>
                <w:b/>
                <w:bCs/>
                <w:color w:val="auto"/>
                <w:sz w:val="24"/>
                <w:szCs w:val="24"/>
                <w:highlight w:val="none"/>
                <w:lang w:val="zh-CN"/>
              </w:rPr>
            </w:pPr>
            <w:r>
              <w:rPr>
                <w:rFonts w:hint="eastAsia" w:ascii="宋体" w:hAnsi="宋体" w:cs="宋体"/>
                <w:b/>
                <w:bCs/>
                <w:color w:val="auto"/>
                <w:sz w:val="24"/>
                <w:szCs w:val="24"/>
                <w:highlight w:val="none"/>
                <w:lang w:val="zh-CN"/>
              </w:rPr>
              <w:t>性别</w:t>
            </w:r>
          </w:p>
        </w:tc>
        <w:tc>
          <w:tcPr>
            <w:tcW w:w="2967" w:type="dxa"/>
            <w:vAlign w:val="center"/>
          </w:tcPr>
          <w:p>
            <w:pPr>
              <w:shd w:val="clear"/>
              <w:jc w:val="center"/>
              <w:rPr>
                <w:rFonts w:ascii="宋体" w:hAnsi="宋体" w:cs="宋体"/>
                <w:color w:val="auto"/>
                <w:sz w:val="24"/>
                <w:szCs w:val="24"/>
                <w:highlight w:val="none"/>
                <w:lang w:val="zh-CN"/>
              </w:rPr>
            </w:pPr>
          </w:p>
        </w:tc>
        <w:tc>
          <w:tcPr>
            <w:tcW w:w="3685" w:type="dxa"/>
            <w:vMerge w:val="restart"/>
            <w:tcBorders>
              <w:right w:val="single" w:color="auto" w:sz="12" w:space="0"/>
            </w:tcBorders>
            <w:vAlign w:val="center"/>
          </w:tcPr>
          <w:p>
            <w:pPr>
              <w:shd w:val="clear"/>
              <w:jc w:val="center"/>
              <w:rPr>
                <w:rFonts w:ascii="宋体" w:hAnsi="宋体" w:cs="宋体"/>
                <w:color w:val="auto"/>
                <w:sz w:val="24"/>
                <w:szCs w:val="24"/>
                <w:highlight w:val="none"/>
              </w:rPr>
            </w:pPr>
            <w:r>
              <w:rPr>
                <w:rFonts w:hint="eastAsia" w:ascii="宋体" w:hAnsi="宋体" w:cs="宋体"/>
                <w:color w:val="auto"/>
                <w:sz w:val="24"/>
                <w:szCs w:val="24"/>
                <w:highlight w:val="none"/>
              </w:rPr>
              <w:t>注：业绩证明应提供旁证材料</w:t>
            </w:r>
          </w:p>
          <w:p>
            <w:pPr>
              <w:shd w:val="clear"/>
              <w:jc w:val="center"/>
              <w:rPr>
                <w:rFonts w:ascii="宋体" w:hAnsi="宋体" w:cs="宋体"/>
                <w:color w:val="auto"/>
                <w:sz w:val="24"/>
                <w:szCs w:val="24"/>
                <w:highlight w:val="none"/>
                <w:lang w:val="zh-CN"/>
              </w:rPr>
            </w:pPr>
            <w:r>
              <w:rPr>
                <w:rFonts w:hint="eastAsia" w:ascii="宋体" w:hAnsi="宋体" w:cs="宋体"/>
                <w:color w:val="auto"/>
                <w:sz w:val="24"/>
                <w:szCs w:val="24"/>
                <w:highlight w:val="none"/>
              </w:rPr>
              <w:t>（合同或中标通知书）。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jc w:val="center"/>
              <w:rPr>
                <w:rFonts w:ascii="宋体" w:hAnsi="宋体" w:cs="宋体"/>
                <w:b/>
                <w:bCs/>
                <w:color w:val="auto"/>
                <w:sz w:val="24"/>
                <w:szCs w:val="24"/>
                <w:highlight w:val="none"/>
                <w:lang w:val="zh-CN"/>
              </w:rPr>
            </w:pPr>
            <w:r>
              <w:rPr>
                <w:rFonts w:hint="eastAsia" w:ascii="宋体" w:hAnsi="宋体" w:cs="宋体"/>
                <w:b/>
                <w:bCs/>
                <w:color w:val="auto"/>
                <w:sz w:val="24"/>
                <w:szCs w:val="24"/>
                <w:highlight w:val="none"/>
                <w:lang w:val="zh-CN"/>
              </w:rPr>
              <w:t>年龄</w:t>
            </w:r>
          </w:p>
        </w:tc>
        <w:tc>
          <w:tcPr>
            <w:tcW w:w="2967" w:type="dxa"/>
            <w:vAlign w:val="center"/>
          </w:tcPr>
          <w:p>
            <w:pPr>
              <w:shd w:val="clear"/>
              <w:jc w:val="center"/>
              <w:rPr>
                <w:rFonts w:ascii="宋体" w:hAnsi="宋体" w:cs="宋体"/>
                <w:color w:val="auto"/>
                <w:sz w:val="24"/>
                <w:szCs w:val="24"/>
                <w:highlight w:val="none"/>
                <w:lang w:val="zh-CN"/>
              </w:rPr>
            </w:pPr>
          </w:p>
        </w:tc>
        <w:tc>
          <w:tcPr>
            <w:tcW w:w="3685" w:type="dxa"/>
            <w:vMerge w:val="continue"/>
            <w:tcBorders>
              <w:right w:val="single" w:color="auto" w:sz="12" w:space="0"/>
            </w:tcBorders>
            <w:vAlign w:val="center"/>
          </w:tcPr>
          <w:p>
            <w:pPr>
              <w:shd w:val="clear"/>
              <w:jc w:val="center"/>
              <w:rPr>
                <w:rFonts w:ascii="宋体" w:hAnsi="宋体" w:cs="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jc w:val="center"/>
              <w:rPr>
                <w:rFonts w:ascii="宋体" w:hAnsi="宋体" w:cs="宋体"/>
                <w:b/>
                <w:bCs/>
                <w:color w:val="auto"/>
                <w:sz w:val="24"/>
                <w:szCs w:val="24"/>
                <w:highlight w:val="none"/>
                <w:lang w:val="zh-CN"/>
              </w:rPr>
            </w:pPr>
            <w:r>
              <w:rPr>
                <w:rFonts w:hint="eastAsia" w:ascii="宋体" w:hAnsi="宋体" w:cs="宋体"/>
                <w:b/>
                <w:bCs/>
                <w:color w:val="auto"/>
                <w:sz w:val="24"/>
                <w:szCs w:val="24"/>
                <w:highlight w:val="none"/>
                <w:lang w:val="zh-CN"/>
              </w:rPr>
              <w:t>职称</w:t>
            </w:r>
          </w:p>
        </w:tc>
        <w:tc>
          <w:tcPr>
            <w:tcW w:w="2967" w:type="dxa"/>
            <w:vAlign w:val="center"/>
          </w:tcPr>
          <w:p>
            <w:pPr>
              <w:shd w:val="clear"/>
              <w:jc w:val="center"/>
              <w:rPr>
                <w:rFonts w:ascii="宋体" w:hAnsi="宋体" w:cs="宋体"/>
                <w:color w:val="auto"/>
                <w:sz w:val="24"/>
                <w:szCs w:val="24"/>
                <w:highlight w:val="none"/>
                <w:lang w:val="zh-CN"/>
              </w:rPr>
            </w:pPr>
          </w:p>
        </w:tc>
        <w:tc>
          <w:tcPr>
            <w:tcW w:w="3685" w:type="dxa"/>
            <w:vMerge w:val="continue"/>
            <w:tcBorders>
              <w:right w:val="single" w:color="auto" w:sz="12" w:space="0"/>
            </w:tcBorders>
            <w:vAlign w:val="center"/>
          </w:tcPr>
          <w:p>
            <w:pPr>
              <w:shd w:val="clear"/>
              <w:jc w:val="center"/>
              <w:rPr>
                <w:rFonts w:ascii="宋体" w:hAnsi="宋体" w:cs="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jc w:val="center"/>
              <w:rPr>
                <w:rFonts w:ascii="宋体" w:hAnsi="宋体" w:cs="宋体"/>
                <w:b/>
                <w:bCs/>
                <w:color w:val="auto"/>
                <w:sz w:val="24"/>
                <w:szCs w:val="24"/>
                <w:highlight w:val="none"/>
                <w:lang w:val="zh-CN"/>
              </w:rPr>
            </w:pPr>
            <w:r>
              <w:rPr>
                <w:rFonts w:hint="eastAsia" w:ascii="宋体" w:hAnsi="宋体" w:cs="宋体"/>
                <w:b/>
                <w:bCs/>
                <w:color w:val="auto"/>
                <w:sz w:val="24"/>
                <w:szCs w:val="24"/>
                <w:highlight w:val="none"/>
                <w:lang w:val="zh-CN"/>
              </w:rPr>
              <w:t>毕业时间</w:t>
            </w:r>
          </w:p>
        </w:tc>
        <w:tc>
          <w:tcPr>
            <w:tcW w:w="2967" w:type="dxa"/>
            <w:vAlign w:val="center"/>
          </w:tcPr>
          <w:p>
            <w:pPr>
              <w:shd w:val="clear"/>
              <w:jc w:val="center"/>
              <w:rPr>
                <w:rFonts w:ascii="宋体" w:hAnsi="宋体" w:cs="宋体"/>
                <w:color w:val="auto"/>
                <w:sz w:val="24"/>
                <w:szCs w:val="24"/>
                <w:highlight w:val="none"/>
                <w:lang w:val="zh-CN"/>
              </w:rPr>
            </w:pPr>
          </w:p>
        </w:tc>
        <w:tc>
          <w:tcPr>
            <w:tcW w:w="3685" w:type="dxa"/>
            <w:vMerge w:val="continue"/>
            <w:tcBorders>
              <w:right w:val="single" w:color="auto" w:sz="12" w:space="0"/>
            </w:tcBorders>
            <w:vAlign w:val="center"/>
          </w:tcPr>
          <w:p>
            <w:pPr>
              <w:shd w:val="clear"/>
              <w:jc w:val="center"/>
              <w:rPr>
                <w:rFonts w:ascii="宋体" w:hAnsi="宋体" w:cs="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jc w:val="center"/>
              <w:rPr>
                <w:rFonts w:ascii="宋体" w:hAnsi="宋体" w:cs="宋体"/>
                <w:b/>
                <w:bCs/>
                <w:color w:val="auto"/>
                <w:sz w:val="24"/>
                <w:szCs w:val="24"/>
                <w:highlight w:val="none"/>
                <w:lang w:val="zh-CN"/>
              </w:rPr>
            </w:pPr>
            <w:r>
              <w:rPr>
                <w:rFonts w:hint="eastAsia" w:ascii="宋体" w:hAnsi="宋体" w:cs="宋体"/>
                <w:b/>
                <w:bCs/>
                <w:color w:val="auto"/>
                <w:sz w:val="24"/>
                <w:szCs w:val="24"/>
                <w:highlight w:val="none"/>
                <w:lang w:val="zh-CN"/>
              </w:rPr>
              <w:t>学校专业</w:t>
            </w:r>
          </w:p>
        </w:tc>
        <w:tc>
          <w:tcPr>
            <w:tcW w:w="2967" w:type="dxa"/>
            <w:vAlign w:val="center"/>
          </w:tcPr>
          <w:p>
            <w:pPr>
              <w:shd w:val="clear"/>
              <w:jc w:val="center"/>
              <w:rPr>
                <w:rFonts w:ascii="宋体" w:hAnsi="宋体" w:cs="宋体"/>
                <w:color w:val="auto"/>
                <w:sz w:val="24"/>
                <w:szCs w:val="24"/>
                <w:highlight w:val="none"/>
                <w:lang w:val="zh-CN"/>
              </w:rPr>
            </w:pPr>
          </w:p>
        </w:tc>
        <w:tc>
          <w:tcPr>
            <w:tcW w:w="3685" w:type="dxa"/>
            <w:vMerge w:val="continue"/>
            <w:tcBorders>
              <w:right w:val="single" w:color="auto" w:sz="12" w:space="0"/>
            </w:tcBorders>
            <w:vAlign w:val="center"/>
          </w:tcPr>
          <w:p>
            <w:pPr>
              <w:shd w:val="clear"/>
              <w:jc w:val="center"/>
              <w:rPr>
                <w:rFonts w:ascii="宋体" w:hAnsi="宋体" w:cs="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jc w:val="center"/>
              <w:rPr>
                <w:rFonts w:ascii="宋体" w:hAnsi="宋体" w:cs="宋体"/>
                <w:b/>
                <w:bCs/>
                <w:color w:val="auto"/>
                <w:sz w:val="24"/>
                <w:szCs w:val="24"/>
                <w:highlight w:val="none"/>
                <w:lang w:val="zh-CN"/>
              </w:rPr>
            </w:pPr>
            <w:r>
              <w:rPr>
                <w:rFonts w:hint="eastAsia" w:ascii="宋体" w:hAnsi="宋体" w:cs="宋体"/>
                <w:b/>
                <w:bCs/>
                <w:color w:val="auto"/>
                <w:sz w:val="24"/>
                <w:szCs w:val="24"/>
                <w:highlight w:val="none"/>
                <w:lang w:val="zh-CN"/>
              </w:rPr>
              <w:t>联系电话</w:t>
            </w:r>
          </w:p>
        </w:tc>
        <w:tc>
          <w:tcPr>
            <w:tcW w:w="2967" w:type="dxa"/>
            <w:vAlign w:val="center"/>
          </w:tcPr>
          <w:p>
            <w:pPr>
              <w:shd w:val="clear"/>
              <w:jc w:val="center"/>
              <w:rPr>
                <w:rFonts w:ascii="宋体" w:hAnsi="宋体" w:cs="宋体"/>
                <w:color w:val="auto"/>
                <w:sz w:val="24"/>
                <w:szCs w:val="24"/>
                <w:highlight w:val="none"/>
                <w:lang w:val="zh-CN"/>
              </w:rPr>
            </w:pPr>
          </w:p>
        </w:tc>
        <w:tc>
          <w:tcPr>
            <w:tcW w:w="3685" w:type="dxa"/>
            <w:vMerge w:val="continue"/>
            <w:tcBorders>
              <w:right w:val="single" w:color="auto" w:sz="12" w:space="0"/>
            </w:tcBorders>
            <w:vAlign w:val="center"/>
          </w:tcPr>
          <w:p>
            <w:pPr>
              <w:shd w:val="clear"/>
              <w:jc w:val="center"/>
              <w:rPr>
                <w:rFonts w:ascii="宋体" w:hAnsi="宋体" w:cs="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jc w:val="center"/>
              <w:rPr>
                <w:rFonts w:ascii="宋体" w:hAnsi="宋体" w:cs="宋体"/>
                <w:b/>
                <w:bCs/>
                <w:color w:val="auto"/>
                <w:sz w:val="24"/>
                <w:szCs w:val="24"/>
                <w:highlight w:val="none"/>
                <w:lang w:val="zh-CN"/>
              </w:rPr>
            </w:pPr>
            <w:r>
              <w:rPr>
                <w:rFonts w:hint="eastAsia" w:ascii="宋体" w:hAnsi="宋体" w:cs="宋体"/>
                <w:b/>
                <w:bCs/>
                <w:color w:val="auto"/>
                <w:sz w:val="24"/>
                <w:szCs w:val="24"/>
                <w:highlight w:val="none"/>
              </w:rPr>
              <w:t>最近一年工作状况</w:t>
            </w:r>
          </w:p>
        </w:tc>
        <w:tc>
          <w:tcPr>
            <w:tcW w:w="2967" w:type="dxa"/>
            <w:vAlign w:val="center"/>
          </w:tcPr>
          <w:p>
            <w:pPr>
              <w:shd w:val="clear"/>
              <w:jc w:val="center"/>
              <w:rPr>
                <w:rFonts w:ascii="宋体" w:hAnsi="宋体" w:cs="宋体"/>
                <w:color w:val="auto"/>
                <w:sz w:val="24"/>
                <w:szCs w:val="24"/>
                <w:highlight w:val="none"/>
                <w:lang w:val="zh-CN"/>
              </w:rPr>
            </w:pPr>
          </w:p>
        </w:tc>
        <w:tc>
          <w:tcPr>
            <w:tcW w:w="3685" w:type="dxa"/>
            <w:vMerge w:val="continue"/>
            <w:tcBorders>
              <w:right w:val="single" w:color="auto" w:sz="12" w:space="0"/>
            </w:tcBorders>
            <w:vAlign w:val="center"/>
          </w:tcPr>
          <w:p>
            <w:pPr>
              <w:shd w:val="clear"/>
              <w:jc w:val="center"/>
              <w:rPr>
                <w:rFonts w:ascii="宋体" w:hAnsi="宋体" w:cs="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left w:val="single" w:color="auto" w:sz="12" w:space="0"/>
              <w:bottom w:val="single" w:color="auto" w:sz="12" w:space="0"/>
            </w:tcBorders>
            <w:vAlign w:val="center"/>
          </w:tcPr>
          <w:p>
            <w:pPr>
              <w:shd w:val="clear"/>
              <w:jc w:val="center"/>
              <w:rPr>
                <w:rFonts w:ascii="宋体" w:hAnsi="宋体" w:cs="宋体"/>
                <w:b/>
                <w:bCs/>
                <w:color w:val="auto"/>
                <w:sz w:val="24"/>
                <w:szCs w:val="24"/>
                <w:highlight w:val="none"/>
                <w:lang w:val="zh-CN"/>
              </w:rPr>
            </w:pPr>
            <w:r>
              <w:rPr>
                <w:rFonts w:hint="eastAsia" w:ascii="宋体" w:hAnsi="宋体" w:cs="宋体"/>
                <w:b/>
                <w:bCs/>
                <w:color w:val="auto"/>
                <w:sz w:val="24"/>
                <w:szCs w:val="24"/>
                <w:highlight w:val="none"/>
                <w:lang w:val="zh-CN"/>
              </w:rPr>
              <w:t>拟在本项目中担任主要工作</w:t>
            </w:r>
          </w:p>
        </w:tc>
        <w:tc>
          <w:tcPr>
            <w:tcW w:w="6652" w:type="dxa"/>
            <w:gridSpan w:val="2"/>
            <w:tcBorders>
              <w:bottom w:val="single" w:color="auto" w:sz="12" w:space="0"/>
              <w:right w:val="single" w:color="auto" w:sz="12" w:space="0"/>
            </w:tcBorders>
            <w:vAlign w:val="center"/>
          </w:tcPr>
          <w:p>
            <w:pPr>
              <w:shd w:val="clear"/>
              <w:jc w:val="center"/>
              <w:rPr>
                <w:rFonts w:ascii="宋体" w:hAnsi="宋体" w:cs="宋体"/>
                <w:color w:val="auto"/>
                <w:sz w:val="24"/>
                <w:szCs w:val="24"/>
                <w:highlight w:val="none"/>
                <w:lang w:val="zh-CN"/>
              </w:rPr>
            </w:pPr>
          </w:p>
        </w:tc>
      </w:tr>
    </w:tbl>
    <w:p>
      <w:pPr>
        <w:shd w:val="clear"/>
        <w:spacing w:line="360" w:lineRule="auto"/>
        <w:rPr>
          <w:rFonts w:ascii="宋体" w:hAnsi="宋体" w:cs="宋体"/>
          <w:color w:val="auto"/>
          <w:sz w:val="24"/>
          <w:szCs w:val="24"/>
          <w:highlight w:val="none"/>
        </w:rPr>
      </w:pPr>
    </w:p>
    <w:p>
      <w:pPr>
        <w:shd w:val="clear"/>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t>投标人名称（盖章）：</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法定代表人（单位负责人）或授权委托代理人（签字或盖章）：</w:t>
      </w:r>
    </w:p>
    <w:p>
      <w:pPr>
        <w:shd w:val="clear"/>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t>日期：</w:t>
      </w: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jc w:val="left"/>
        <w:rPr>
          <w:rFonts w:ascii="宋体" w:hAnsi="宋体" w:cs="宋体"/>
          <w:b/>
          <w:bCs/>
          <w:color w:val="auto"/>
          <w:sz w:val="28"/>
          <w:szCs w:val="28"/>
          <w:highlight w:val="none"/>
        </w:rPr>
      </w:pPr>
      <w:r>
        <w:rPr>
          <w:rFonts w:hint="eastAsia" w:ascii="宋体" w:hAnsi="宋体" w:cs="宋体"/>
          <w:b/>
          <w:bCs/>
          <w:color w:val="auto"/>
          <w:sz w:val="28"/>
          <w:szCs w:val="28"/>
          <w:highlight w:val="none"/>
          <w:lang w:val="zh-CN"/>
        </w:rPr>
        <w:t>附件</w:t>
      </w:r>
      <w:r>
        <w:rPr>
          <w:rFonts w:hint="eastAsia" w:ascii="宋体" w:hAnsi="宋体" w:cs="宋体"/>
          <w:b/>
          <w:bCs/>
          <w:color w:val="auto"/>
          <w:sz w:val="28"/>
          <w:szCs w:val="28"/>
          <w:highlight w:val="none"/>
        </w:rPr>
        <w:t>8</w:t>
      </w:r>
    </w:p>
    <w:p>
      <w:pPr>
        <w:shd w:val="clear"/>
        <w:spacing w:line="360" w:lineRule="auto"/>
        <w:jc w:val="center"/>
        <w:outlineLvl w:val="0"/>
        <w:rPr>
          <w:rFonts w:ascii="宋体" w:hAnsi="宋体" w:cs="宋体"/>
          <w:b/>
          <w:bCs/>
          <w:color w:val="auto"/>
          <w:sz w:val="32"/>
          <w:szCs w:val="32"/>
          <w:highlight w:val="none"/>
          <w:lang w:val="zh-CN"/>
        </w:rPr>
      </w:pPr>
      <w:r>
        <w:rPr>
          <w:rFonts w:hint="eastAsia" w:ascii="宋体" w:hAnsi="宋体" w:cs="宋体"/>
          <w:b/>
          <w:bCs/>
          <w:color w:val="auto"/>
          <w:sz w:val="32"/>
          <w:szCs w:val="32"/>
          <w:highlight w:val="none"/>
        </w:rPr>
        <w:t>产品</w:t>
      </w:r>
      <w:r>
        <w:rPr>
          <w:rFonts w:hint="eastAsia" w:ascii="宋体" w:hAnsi="宋体" w:cs="宋体"/>
          <w:b/>
          <w:bCs/>
          <w:color w:val="auto"/>
          <w:sz w:val="32"/>
          <w:szCs w:val="32"/>
          <w:highlight w:val="none"/>
          <w:lang w:val="zh-CN"/>
        </w:rPr>
        <w:t>清单</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采购项目：</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项目编号：</w:t>
      </w:r>
    </w:p>
    <w:tbl>
      <w:tblPr>
        <w:tblStyle w:val="29"/>
        <w:tblW w:w="8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shd w:val="clear"/>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序号</w:t>
            </w:r>
          </w:p>
        </w:tc>
        <w:tc>
          <w:tcPr>
            <w:tcW w:w="2169" w:type="dxa"/>
            <w:vAlign w:val="center"/>
          </w:tcPr>
          <w:p>
            <w:pPr>
              <w:shd w:val="clear"/>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名称</w:t>
            </w:r>
          </w:p>
        </w:tc>
        <w:tc>
          <w:tcPr>
            <w:tcW w:w="1134" w:type="dxa"/>
            <w:vAlign w:val="center"/>
          </w:tcPr>
          <w:p>
            <w:pPr>
              <w:shd w:val="clear"/>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品牌</w:t>
            </w:r>
          </w:p>
        </w:tc>
        <w:tc>
          <w:tcPr>
            <w:tcW w:w="1842" w:type="dxa"/>
            <w:vAlign w:val="center"/>
          </w:tcPr>
          <w:p>
            <w:pPr>
              <w:shd w:val="clear"/>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规格型号</w:t>
            </w:r>
          </w:p>
        </w:tc>
        <w:tc>
          <w:tcPr>
            <w:tcW w:w="993" w:type="dxa"/>
            <w:vAlign w:val="center"/>
          </w:tcPr>
          <w:p>
            <w:pPr>
              <w:shd w:val="clear"/>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产地</w:t>
            </w:r>
          </w:p>
        </w:tc>
        <w:tc>
          <w:tcPr>
            <w:tcW w:w="1559" w:type="dxa"/>
            <w:vAlign w:val="center"/>
          </w:tcPr>
          <w:p>
            <w:pPr>
              <w:shd w:val="clear"/>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shd w:val="clear"/>
              <w:jc w:val="center"/>
              <w:rPr>
                <w:rFonts w:ascii="宋体" w:hAnsi="宋体" w:cs="宋体"/>
                <w:color w:val="auto"/>
                <w:sz w:val="24"/>
                <w:szCs w:val="24"/>
                <w:highlight w:val="none"/>
              </w:rPr>
            </w:pPr>
          </w:p>
        </w:tc>
        <w:tc>
          <w:tcPr>
            <w:tcW w:w="2169" w:type="dxa"/>
            <w:vAlign w:val="center"/>
          </w:tcPr>
          <w:p>
            <w:pPr>
              <w:shd w:val="clear"/>
              <w:jc w:val="center"/>
              <w:rPr>
                <w:rFonts w:ascii="宋体" w:hAnsi="宋体" w:cs="宋体"/>
                <w:color w:val="auto"/>
                <w:sz w:val="24"/>
                <w:szCs w:val="24"/>
                <w:highlight w:val="none"/>
              </w:rPr>
            </w:pPr>
          </w:p>
        </w:tc>
        <w:tc>
          <w:tcPr>
            <w:tcW w:w="1134" w:type="dxa"/>
            <w:vAlign w:val="center"/>
          </w:tcPr>
          <w:p>
            <w:pPr>
              <w:shd w:val="clear"/>
              <w:jc w:val="center"/>
              <w:rPr>
                <w:rFonts w:ascii="宋体" w:hAnsi="宋体" w:cs="宋体"/>
                <w:color w:val="auto"/>
                <w:sz w:val="24"/>
                <w:szCs w:val="24"/>
                <w:highlight w:val="none"/>
              </w:rPr>
            </w:pPr>
          </w:p>
        </w:tc>
        <w:tc>
          <w:tcPr>
            <w:tcW w:w="1842" w:type="dxa"/>
            <w:vAlign w:val="center"/>
          </w:tcPr>
          <w:p>
            <w:pPr>
              <w:shd w:val="clear"/>
              <w:jc w:val="center"/>
              <w:rPr>
                <w:rFonts w:ascii="宋体" w:hAnsi="宋体" w:cs="宋体"/>
                <w:color w:val="auto"/>
                <w:sz w:val="24"/>
                <w:szCs w:val="24"/>
                <w:highlight w:val="none"/>
              </w:rPr>
            </w:pPr>
          </w:p>
        </w:tc>
        <w:tc>
          <w:tcPr>
            <w:tcW w:w="993" w:type="dxa"/>
            <w:vAlign w:val="center"/>
          </w:tcPr>
          <w:p>
            <w:pPr>
              <w:shd w:val="clear"/>
              <w:jc w:val="center"/>
              <w:rPr>
                <w:rFonts w:ascii="宋体" w:hAnsi="宋体" w:cs="宋体"/>
                <w:color w:val="auto"/>
                <w:sz w:val="24"/>
                <w:szCs w:val="24"/>
                <w:highlight w:val="none"/>
              </w:rPr>
            </w:pPr>
          </w:p>
        </w:tc>
        <w:tc>
          <w:tcPr>
            <w:tcW w:w="1559" w:type="dxa"/>
            <w:vAlign w:val="center"/>
          </w:tcPr>
          <w:p>
            <w:pPr>
              <w:shd w:val="clea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shd w:val="clear"/>
              <w:jc w:val="center"/>
              <w:rPr>
                <w:rFonts w:ascii="宋体" w:hAnsi="宋体" w:cs="宋体"/>
                <w:color w:val="auto"/>
                <w:sz w:val="24"/>
                <w:szCs w:val="24"/>
                <w:highlight w:val="none"/>
              </w:rPr>
            </w:pPr>
          </w:p>
        </w:tc>
        <w:tc>
          <w:tcPr>
            <w:tcW w:w="2169" w:type="dxa"/>
            <w:vAlign w:val="center"/>
          </w:tcPr>
          <w:p>
            <w:pPr>
              <w:shd w:val="clear"/>
              <w:jc w:val="center"/>
              <w:rPr>
                <w:rFonts w:ascii="宋体" w:hAnsi="宋体" w:cs="宋体"/>
                <w:color w:val="auto"/>
                <w:sz w:val="24"/>
                <w:szCs w:val="24"/>
                <w:highlight w:val="none"/>
              </w:rPr>
            </w:pPr>
          </w:p>
        </w:tc>
        <w:tc>
          <w:tcPr>
            <w:tcW w:w="1134" w:type="dxa"/>
            <w:vAlign w:val="center"/>
          </w:tcPr>
          <w:p>
            <w:pPr>
              <w:shd w:val="clear"/>
              <w:jc w:val="center"/>
              <w:rPr>
                <w:rFonts w:ascii="宋体" w:hAnsi="宋体" w:cs="宋体"/>
                <w:color w:val="auto"/>
                <w:sz w:val="24"/>
                <w:szCs w:val="24"/>
                <w:highlight w:val="none"/>
              </w:rPr>
            </w:pPr>
          </w:p>
        </w:tc>
        <w:tc>
          <w:tcPr>
            <w:tcW w:w="1842" w:type="dxa"/>
            <w:vAlign w:val="center"/>
          </w:tcPr>
          <w:p>
            <w:pPr>
              <w:shd w:val="clear"/>
              <w:jc w:val="center"/>
              <w:rPr>
                <w:rFonts w:ascii="宋体" w:hAnsi="宋体" w:cs="宋体"/>
                <w:color w:val="auto"/>
                <w:sz w:val="24"/>
                <w:szCs w:val="24"/>
                <w:highlight w:val="none"/>
              </w:rPr>
            </w:pPr>
          </w:p>
        </w:tc>
        <w:tc>
          <w:tcPr>
            <w:tcW w:w="993" w:type="dxa"/>
            <w:vAlign w:val="center"/>
          </w:tcPr>
          <w:p>
            <w:pPr>
              <w:shd w:val="clear"/>
              <w:jc w:val="center"/>
              <w:rPr>
                <w:rFonts w:ascii="宋体" w:hAnsi="宋体" w:cs="宋体"/>
                <w:color w:val="auto"/>
                <w:sz w:val="24"/>
                <w:szCs w:val="24"/>
                <w:highlight w:val="none"/>
              </w:rPr>
            </w:pPr>
          </w:p>
        </w:tc>
        <w:tc>
          <w:tcPr>
            <w:tcW w:w="1559" w:type="dxa"/>
            <w:vAlign w:val="center"/>
          </w:tcPr>
          <w:p>
            <w:pPr>
              <w:shd w:val="clea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shd w:val="clear"/>
              <w:jc w:val="center"/>
              <w:rPr>
                <w:rFonts w:ascii="宋体" w:hAnsi="宋体" w:cs="宋体"/>
                <w:color w:val="auto"/>
                <w:sz w:val="24"/>
                <w:szCs w:val="24"/>
                <w:highlight w:val="none"/>
              </w:rPr>
            </w:pPr>
          </w:p>
        </w:tc>
        <w:tc>
          <w:tcPr>
            <w:tcW w:w="2169" w:type="dxa"/>
            <w:vAlign w:val="center"/>
          </w:tcPr>
          <w:p>
            <w:pPr>
              <w:shd w:val="clear"/>
              <w:jc w:val="center"/>
              <w:rPr>
                <w:rFonts w:ascii="宋体" w:hAnsi="宋体" w:cs="宋体"/>
                <w:color w:val="auto"/>
                <w:sz w:val="24"/>
                <w:szCs w:val="24"/>
                <w:highlight w:val="none"/>
              </w:rPr>
            </w:pPr>
          </w:p>
        </w:tc>
        <w:tc>
          <w:tcPr>
            <w:tcW w:w="1134" w:type="dxa"/>
            <w:vAlign w:val="center"/>
          </w:tcPr>
          <w:p>
            <w:pPr>
              <w:shd w:val="clear"/>
              <w:jc w:val="center"/>
              <w:rPr>
                <w:rFonts w:ascii="宋体" w:hAnsi="宋体" w:cs="宋体"/>
                <w:color w:val="auto"/>
                <w:sz w:val="24"/>
                <w:szCs w:val="24"/>
                <w:highlight w:val="none"/>
              </w:rPr>
            </w:pPr>
          </w:p>
        </w:tc>
        <w:tc>
          <w:tcPr>
            <w:tcW w:w="1842" w:type="dxa"/>
            <w:vAlign w:val="center"/>
          </w:tcPr>
          <w:p>
            <w:pPr>
              <w:shd w:val="clear"/>
              <w:jc w:val="center"/>
              <w:rPr>
                <w:rFonts w:ascii="宋体" w:hAnsi="宋体" w:cs="宋体"/>
                <w:color w:val="auto"/>
                <w:sz w:val="24"/>
                <w:szCs w:val="24"/>
                <w:highlight w:val="none"/>
              </w:rPr>
            </w:pPr>
          </w:p>
        </w:tc>
        <w:tc>
          <w:tcPr>
            <w:tcW w:w="993" w:type="dxa"/>
            <w:vAlign w:val="center"/>
          </w:tcPr>
          <w:p>
            <w:pPr>
              <w:shd w:val="clear"/>
              <w:jc w:val="center"/>
              <w:rPr>
                <w:rFonts w:ascii="宋体" w:hAnsi="宋体" w:cs="宋体"/>
                <w:color w:val="auto"/>
                <w:sz w:val="24"/>
                <w:szCs w:val="24"/>
                <w:highlight w:val="none"/>
              </w:rPr>
            </w:pPr>
          </w:p>
        </w:tc>
        <w:tc>
          <w:tcPr>
            <w:tcW w:w="1559" w:type="dxa"/>
            <w:vAlign w:val="center"/>
          </w:tcPr>
          <w:p>
            <w:pPr>
              <w:shd w:val="clea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shd w:val="clear"/>
              <w:jc w:val="center"/>
              <w:rPr>
                <w:rFonts w:ascii="宋体" w:hAnsi="宋体" w:cs="宋体"/>
                <w:color w:val="auto"/>
                <w:sz w:val="24"/>
                <w:szCs w:val="24"/>
                <w:highlight w:val="none"/>
              </w:rPr>
            </w:pPr>
          </w:p>
        </w:tc>
        <w:tc>
          <w:tcPr>
            <w:tcW w:w="2169" w:type="dxa"/>
            <w:vAlign w:val="center"/>
          </w:tcPr>
          <w:p>
            <w:pPr>
              <w:shd w:val="clear"/>
              <w:jc w:val="center"/>
              <w:rPr>
                <w:rFonts w:ascii="宋体" w:hAnsi="宋体" w:cs="宋体"/>
                <w:color w:val="auto"/>
                <w:sz w:val="24"/>
                <w:szCs w:val="24"/>
                <w:highlight w:val="none"/>
              </w:rPr>
            </w:pPr>
          </w:p>
        </w:tc>
        <w:tc>
          <w:tcPr>
            <w:tcW w:w="1134" w:type="dxa"/>
            <w:vAlign w:val="center"/>
          </w:tcPr>
          <w:p>
            <w:pPr>
              <w:shd w:val="clear"/>
              <w:jc w:val="center"/>
              <w:rPr>
                <w:rFonts w:ascii="宋体" w:hAnsi="宋体" w:cs="宋体"/>
                <w:color w:val="auto"/>
                <w:sz w:val="24"/>
                <w:szCs w:val="24"/>
                <w:highlight w:val="none"/>
              </w:rPr>
            </w:pPr>
          </w:p>
        </w:tc>
        <w:tc>
          <w:tcPr>
            <w:tcW w:w="1842" w:type="dxa"/>
            <w:vAlign w:val="center"/>
          </w:tcPr>
          <w:p>
            <w:pPr>
              <w:shd w:val="clear"/>
              <w:jc w:val="center"/>
              <w:rPr>
                <w:rFonts w:ascii="宋体" w:hAnsi="宋体" w:cs="宋体"/>
                <w:color w:val="auto"/>
                <w:sz w:val="24"/>
                <w:szCs w:val="24"/>
                <w:highlight w:val="none"/>
              </w:rPr>
            </w:pPr>
          </w:p>
        </w:tc>
        <w:tc>
          <w:tcPr>
            <w:tcW w:w="993" w:type="dxa"/>
            <w:vAlign w:val="center"/>
          </w:tcPr>
          <w:p>
            <w:pPr>
              <w:shd w:val="clear"/>
              <w:jc w:val="center"/>
              <w:rPr>
                <w:rFonts w:ascii="宋体" w:hAnsi="宋体" w:cs="宋体"/>
                <w:color w:val="auto"/>
                <w:sz w:val="24"/>
                <w:szCs w:val="24"/>
                <w:highlight w:val="none"/>
              </w:rPr>
            </w:pPr>
          </w:p>
        </w:tc>
        <w:tc>
          <w:tcPr>
            <w:tcW w:w="1559" w:type="dxa"/>
            <w:vAlign w:val="center"/>
          </w:tcPr>
          <w:p>
            <w:pPr>
              <w:shd w:val="clea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shd w:val="clear"/>
              <w:jc w:val="center"/>
              <w:rPr>
                <w:rFonts w:ascii="宋体" w:hAnsi="宋体" w:cs="宋体"/>
                <w:color w:val="auto"/>
                <w:sz w:val="24"/>
                <w:szCs w:val="24"/>
                <w:highlight w:val="none"/>
              </w:rPr>
            </w:pPr>
          </w:p>
        </w:tc>
        <w:tc>
          <w:tcPr>
            <w:tcW w:w="2169" w:type="dxa"/>
            <w:vAlign w:val="center"/>
          </w:tcPr>
          <w:p>
            <w:pPr>
              <w:shd w:val="clear"/>
              <w:jc w:val="center"/>
              <w:rPr>
                <w:rFonts w:ascii="宋体" w:hAnsi="宋体" w:cs="宋体"/>
                <w:color w:val="auto"/>
                <w:sz w:val="24"/>
                <w:szCs w:val="24"/>
                <w:highlight w:val="none"/>
              </w:rPr>
            </w:pPr>
          </w:p>
        </w:tc>
        <w:tc>
          <w:tcPr>
            <w:tcW w:w="1134" w:type="dxa"/>
            <w:vAlign w:val="center"/>
          </w:tcPr>
          <w:p>
            <w:pPr>
              <w:shd w:val="clear"/>
              <w:jc w:val="center"/>
              <w:rPr>
                <w:rFonts w:ascii="宋体" w:hAnsi="宋体" w:cs="宋体"/>
                <w:color w:val="auto"/>
                <w:sz w:val="24"/>
                <w:szCs w:val="24"/>
                <w:highlight w:val="none"/>
              </w:rPr>
            </w:pPr>
          </w:p>
        </w:tc>
        <w:tc>
          <w:tcPr>
            <w:tcW w:w="1842" w:type="dxa"/>
            <w:vAlign w:val="center"/>
          </w:tcPr>
          <w:p>
            <w:pPr>
              <w:shd w:val="clear"/>
              <w:jc w:val="center"/>
              <w:rPr>
                <w:rFonts w:ascii="宋体" w:hAnsi="宋体" w:cs="宋体"/>
                <w:color w:val="auto"/>
                <w:sz w:val="24"/>
                <w:szCs w:val="24"/>
                <w:highlight w:val="none"/>
              </w:rPr>
            </w:pPr>
          </w:p>
        </w:tc>
        <w:tc>
          <w:tcPr>
            <w:tcW w:w="993" w:type="dxa"/>
            <w:vAlign w:val="center"/>
          </w:tcPr>
          <w:p>
            <w:pPr>
              <w:shd w:val="clear"/>
              <w:jc w:val="center"/>
              <w:rPr>
                <w:rFonts w:ascii="宋体" w:hAnsi="宋体" w:cs="宋体"/>
                <w:color w:val="auto"/>
                <w:sz w:val="24"/>
                <w:szCs w:val="24"/>
                <w:highlight w:val="none"/>
              </w:rPr>
            </w:pPr>
          </w:p>
        </w:tc>
        <w:tc>
          <w:tcPr>
            <w:tcW w:w="1559" w:type="dxa"/>
            <w:vAlign w:val="center"/>
          </w:tcPr>
          <w:p>
            <w:pPr>
              <w:shd w:val="clea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shd w:val="clear"/>
              <w:jc w:val="center"/>
              <w:rPr>
                <w:rFonts w:ascii="宋体" w:hAnsi="宋体" w:cs="宋体"/>
                <w:color w:val="auto"/>
                <w:sz w:val="24"/>
                <w:szCs w:val="24"/>
                <w:highlight w:val="none"/>
              </w:rPr>
            </w:pPr>
          </w:p>
        </w:tc>
        <w:tc>
          <w:tcPr>
            <w:tcW w:w="2169" w:type="dxa"/>
            <w:vAlign w:val="center"/>
          </w:tcPr>
          <w:p>
            <w:pPr>
              <w:shd w:val="clear"/>
              <w:jc w:val="center"/>
              <w:rPr>
                <w:rFonts w:ascii="宋体" w:hAnsi="宋体" w:cs="宋体"/>
                <w:color w:val="auto"/>
                <w:sz w:val="24"/>
                <w:szCs w:val="24"/>
                <w:highlight w:val="none"/>
              </w:rPr>
            </w:pPr>
          </w:p>
        </w:tc>
        <w:tc>
          <w:tcPr>
            <w:tcW w:w="1134" w:type="dxa"/>
            <w:vAlign w:val="center"/>
          </w:tcPr>
          <w:p>
            <w:pPr>
              <w:shd w:val="clear"/>
              <w:jc w:val="center"/>
              <w:rPr>
                <w:rFonts w:ascii="宋体" w:hAnsi="宋体" w:cs="宋体"/>
                <w:color w:val="auto"/>
                <w:sz w:val="24"/>
                <w:szCs w:val="24"/>
                <w:highlight w:val="none"/>
              </w:rPr>
            </w:pPr>
          </w:p>
        </w:tc>
        <w:tc>
          <w:tcPr>
            <w:tcW w:w="1842" w:type="dxa"/>
            <w:vAlign w:val="center"/>
          </w:tcPr>
          <w:p>
            <w:pPr>
              <w:shd w:val="clear"/>
              <w:jc w:val="center"/>
              <w:rPr>
                <w:rFonts w:ascii="宋体" w:hAnsi="宋体" w:cs="宋体"/>
                <w:color w:val="auto"/>
                <w:sz w:val="24"/>
                <w:szCs w:val="24"/>
                <w:highlight w:val="none"/>
              </w:rPr>
            </w:pPr>
          </w:p>
        </w:tc>
        <w:tc>
          <w:tcPr>
            <w:tcW w:w="993" w:type="dxa"/>
            <w:vAlign w:val="center"/>
          </w:tcPr>
          <w:p>
            <w:pPr>
              <w:shd w:val="clear"/>
              <w:jc w:val="center"/>
              <w:rPr>
                <w:rFonts w:ascii="宋体" w:hAnsi="宋体" w:cs="宋体"/>
                <w:color w:val="auto"/>
                <w:sz w:val="24"/>
                <w:szCs w:val="24"/>
                <w:highlight w:val="none"/>
              </w:rPr>
            </w:pPr>
          </w:p>
        </w:tc>
        <w:tc>
          <w:tcPr>
            <w:tcW w:w="1559" w:type="dxa"/>
            <w:vAlign w:val="center"/>
          </w:tcPr>
          <w:p>
            <w:pPr>
              <w:shd w:val="clea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shd w:val="clear"/>
              <w:jc w:val="center"/>
              <w:rPr>
                <w:rFonts w:ascii="宋体" w:hAnsi="宋体" w:cs="宋体"/>
                <w:color w:val="auto"/>
                <w:sz w:val="24"/>
                <w:szCs w:val="24"/>
                <w:highlight w:val="none"/>
              </w:rPr>
            </w:pPr>
          </w:p>
        </w:tc>
        <w:tc>
          <w:tcPr>
            <w:tcW w:w="2169" w:type="dxa"/>
            <w:vAlign w:val="center"/>
          </w:tcPr>
          <w:p>
            <w:pPr>
              <w:shd w:val="clear"/>
              <w:jc w:val="center"/>
              <w:rPr>
                <w:rFonts w:ascii="宋体" w:hAnsi="宋体" w:cs="宋体"/>
                <w:color w:val="auto"/>
                <w:sz w:val="24"/>
                <w:szCs w:val="24"/>
                <w:highlight w:val="none"/>
              </w:rPr>
            </w:pPr>
          </w:p>
        </w:tc>
        <w:tc>
          <w:tcPr>
            <w:tcW w:w="1134" w:type="dxa"/>
            <w:vAlign w:val="center"/>
          </w:tcPr>
          <w:p>
            <w:pPr>
              <w:shd w:val="clear"/>
              <w:jc w:val="center"/>
              <w:rPr>
                <w:rFonts w:ascii="宋体" w:hAnsi="宋体" w:cs="宋体"/>
                <w:color w:val="auto"/>
                <w:sz w:val="24"/>
                <w:szCs w:val="24"/>
                <w:highlight w:val="none"/>
              </w:rPr>
            </w:pPr>
          </w:p>
        </w:tc>
        <w:tc>
          <w:tcPr>
            <w:tcW w:w="1842" w:type="dxa"/>
            <w:vAlign w:val="center"/>
          </w:tcPr>
          <w:p>
            <w:pPr>
              <w:shd w:val="clear"/>
              <w:jc w:val="center"/>
              <w:rPr>
                <w:rFonts w:ascii="宋体" w:hAnsi="宋体" w:cs="宋体"/>
                <w:color w:val="auto"/>
                <w:sz w:val="24"/>
                <w:szCs w:val="24"/>
                <w:highlight w:val="none"/>
              </w:rPr>
            </w:pPr>
          </w:p>
        </w:tc>
        <w:tc>
          <w:tcPr>
            <w:tcW w:w="993" w:type="dxa"/>
            <w:vAlign w:val="center"/>
          </w:tcPr>
          <w:p>
            <w:pPr>
              <w:shd w:val="clear"/>
              <w:jc w:val="center"/>
              <w:rPr>
                <w:rFonts w:ascii="宋体" w:hAnsi="宋体" w:cs="宋体"/>
                <w:color w:val="auto"/>
                <w:sz w:val="24"/>
                <w:szCs w:val="24"/>
                <w:highlight w:val="none"/>
              </w:rPr>
            </w:pPr>
          </w:p>
        </w:tc>
        <w:tc>
          <w:tcPr>
            <w:tcW w:w="1559" w:type="dxa"/>
            <w:vAlign w:val="center"/>
          </w:tcPr>
          <w:p>
            <w:pPr>
              <w:shd w:val="clear"/>
              <w:jc w:val="center"/>
              <w:rPr>
                <w:rFonts w:ascii="宋体" w:hAnsi="宋体" w:cs="宋体"/>
                <w:color w:val="auto"/>
                <w:sz w:val="24"/>
                <w:szCs w:val="24"/>
                <w:highlight w:val="none"/>
              </w:rPr>
            </w:pPr>
          </w:p>
        </w:tc>
      </w:tr>
    </w:tbl>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1.本表中的名称、数量应与报价明细表中相对应的报价名称、数量一致。</w:t>
      </w:r>
    </w:p>
    <w:p>
      <w:pPr>
        <w:shd w:val="clear"/>
        <w:spacing w:line="360" w:lineRule="auto"/>
        <w:rPr>
          <w:rFonts w:ascii="宋体" w:hAnsi="宋体" w:cs="宋体"/>
          <w:color w:val="auto"/>
          <w:sz w:val="24"/>
          <w:szCs w:val="24"/>
          <w:highlight w:val="none"/>
        </w:rPr>
      </w:pPr>
    </w:p>
    <w:p>
      <w:pPr>
        <w:shd w:val="clear"/>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t>投标人名称（盖章）：</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法定代表人（单位负责人）或授权委托代理人（签字或盖章）：</w:t>
      </w:r>
    </w:p>
    <w:p>
      <w:pPr>
        <w:shd w:val="clear"/>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t>日期：</w:t>
      </w: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pStyle w:val="10"/>
        <w:shd w:val="clear"/>
        <w:rPr>
          <w:rFonts w:ascii="宋体" w:hAnsi="宋体" w:cs="宋体"/>
          <w:color w:val="auto"/>
          <w:highlight w:val="none"/>
        </w:rPr>
      </w:pPr>
    </w:p>
    <w:p>
      <w:pPr>
        <w:pStyle w:val="10"/>
        <w:shd w:val="clear"/>
        <w:rPr>
          <w:rFonts w:ascii="宋体" w:hAnsi="宋体" w:cs="宋体"/>
          <w:color w:val="auto"/>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9</w:t>
      </w:r>
    </w:p>
    <w:p>
      <w:pPr>
        <w:shd w:val="clear"/>
        <w:spacing w:line="360" w:lineRule="auto"/>
        <w:jc w:val="center"/>
        <w:rPr>
          <w:rFonts w:ascii="宋体" w:hAnsi="宋体" w:cs="宋体"/>
          <w:b/>
          <w:bCs/>
          <w:color w:val="auto"/>
          <w:sz w:val="32"/>
          <w:szCs w:val="32"/>
          <w:highlight w:val="none"/>
        </w:rPr>
      </w:pPr>
      <w:r>
        <w:rPr>
          <w:rFonts w:hint="eastAsia" w:ascii="宋体" w:hAnsi="宋体" w:cs="宋体"/>
          <w:b/>
          <w:bCs/>
          <w:color w:val="auto"/>
          <w:kern w:val="0"/>
          <w:sz w:val="32"/>
          <w:szCs w:val="32"/>
          <w:highlight w:val="none"/>
        </w:rPr>
        <w:t>技术需求响应表</w:t>
      </w:r>
    </w:p>
    <w:p>
      <w:pPr>
        <w:shd w:val="clear"/>
        <w:spacing w:line="360" w:lineRule="auto"/>
        <w:rPr>
          <w:rFonts w:ascii="宋体" w:hAnsi="宋体" w:cs="宋体"/>
          <w:color w:val="auto"/>
          <w:sz w:val="24"/>
          <w:highlight w:val="none"/>
        </w:rPr>
      </w:pPr>
    </w:p>
    <w:tbl>
      <w:tblPr>
        <w:tblStyle w:val="29"/>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hd w:val="clear"/>
              <w:spacing w:line="360" w:lineRule="auto"/>
              <w:rPr>
                <w:rFonts w:ascii="宋体" w:hAnsi="宋体" w:cs="宋体"/>
                <w:b/>
                <w:color w:val="auto"/>
                <w:sz w:val="24"/>
                <w:highlight w:val="none"/>
              </w:rPr>
            </w:pPr>
            <w:r>
              <w:rPr>
                <w:rFonts w:hint="eastAsia" w:ascii="宋体" w:hAnsi="宋体" w:cs="宋体"/>
                <w:b/>
                <w:color w:val="auto"/>
                <w:sz w:val="24"/>
                <w:highlight w:val="none"/>
              </w:rPr>
              <w:t>序号</w:t>
            </w:r>
          </w:p>
        </w:tc>
        <w:tc>
          <w:tcPr>
            <w:tcW w:w="1785" w:type="dxa"/>
            <w:vAlign w:val="center"/>
          </w:tcPr>
          <w:p>
            <w:pPr>
              <w:shd w:val="clear"/>
              <w:spacing w:line="360" w:lineRule="auto"/>
              <w:ind w:left="13" w:leftChars="6" w:firstLine="482" w:firstLineChars="200"/>
              <w:rPr>
                <w:rFonts w:ascii="宋体" w:hAnsi="宋体" w:cs="宋体"/>
                <w:b/>
                <w:color w:val="auto"/>
                <w:sz w:val="24"/>
                <w:highlight w:val="none"/>
              </w:rPr>
            </w:pPr>
            <w:r>
              <w:rPr>
                <w:rFonts w:hint="eastAsia" w:ascii="宋体" w:hAnsi="宋体" w:cs="宋体"/>
                <w:b/>
                <w:color w:val="auto"/>
                <w:sz w:val="24"/>
                <w:highlight w:val="none"/>
              </w:rPr>
              <w:t>名称</w:t>
            </w:r>
          </w:p>
        </w:tc>
        <w:tc>
          <w:tcPr>
            <w:tcW w:w="1449" w:type="dxa"/>
            <w:vAlign w:val="center"/>
          </w:tcPr>
          <w:p>
            <w:pPr>
              <w:shd w:val="clear"/>
              <w:spacing w:line="360" w:lineRule="auto"/>
              <w:ind w:left="52"/>
              <w:rPr>
                <w:rFonts w:ascii="宋体" w:hAnsi="宋体" w:cs="宋体"/>
                <w:b/>
                <w:color w:val="auto"/>
                <w:sz w:val="24"/>
                <w:highlight w:val="none"/>
              </w:rPr>
            </w:pPr>
            <w:r>
              <w:rPr>
                <w:rFonts w:hint="eastAsia" w:ascii="宋体" w:hAnsi="宋体" w:cs="宋体"/>
                <w:b/>
                <w:color w:val="auto"/>
                <w:sz w:val="24"/>
                <w:highlight w:val="none"/>
              </w:rPr>
              <w:t>规格型号</w:t>
            </w:r>
          </w:p>
        </w:tc>
        <w:tc>
          <w:tcPr>
            <w:tcW w:w="1560" w:type="dxa"/>
            <w:vAlign w:val="center"/>
          </w:tcPr>
          <w:p>
            <w:pPr>
              <w:shd w:val="clear"/>
              <w:spacing w:line="360" w:lineRule="auto"/>
              <w:ind w:left="152"/>
              <w:rPr>
                <w:rFonts w:ascii="宋体" w:hAnsi="宋体" w:cs="宋体"/>
                <w:b/>
                <w:color w:val="auto"/>
                <w:sz w:val="24"/>
                <w:highlight w:val="none"/>
              </w:rPr>
            </w:pPr>
            <w:r>
              <w:rPr>
                <w:rFonts w:hint="eastAsia" w:ascii="宋体" w:hAnsi="宋体" w:cs="宋体"/>
                <w:b/>
                <w:color w:val="auto"/>
                <w:sz w:val="24"/>
                <w:highlight w:val="none"/>
              </w:rPr>
              <w:t>招标参数</w:t>
            </w:r>
          </w:p>
        </w:tc>
        <w:tc>
          <w:tcPr>
            <w:tcW w:w="1401" w:type="dxa"/>
            <w:vAlign w:val="center"/>
          </w:tcPr>
          <w:p>
            <w:pPr>
              <w:shd w:val="clear"/>
              <w:spacing w:line="360" w:lineRule="auto"/>
              <w:rPr>
                <w:rFonts w:ascii="宋体" w:hAnsi="宋体" w:cs="宋体"/>
                <w:b/>
                <w:color w:val="auto"/>
                <w:sz w:val="24"/>
                <w:highlight w:val="none"/>
              </w:rPr>
            </w:pPr>
            <w:r>
              <w:rPr>
                <w:rFonts w:hint="eastAsia" w:ascii="宋体" w:hAnsi="宋体" w:cs="宋体"/>
                <w:b/>
                <w:color w:val="auto"/>
                <w:sz w:val="24"/>
                <w:highlight w:val="none"/>
              </w:rPr>
              <w:t>投标参数</w:t>
            </w:r>
          </w:p>
        </w:tc>
        <w:tc>
          <w:tcPr>
            <w:tcW w:w="1365" w:type="dxa"/>
            <w:vAlign w:val="center"/>
          </w:tcPr>
          <w:p>
            <w:pPr>
              <w:shd w:val="clear"/>
              <w:spacing w:line="360" w:lineRule="auto"/>
              <w:rPr>
                <w:rFonts w:ascii="宋体" w:hAnsi="宋体" w:cs="宋体"/>
                <w:b/>
                <w:color w:val="auto"/>
                <w:sz w:val="24"/>
                <w:highlight w:val="none"/>
              </w:rPr>
            </w:pPr>
            <w:r>
              <w:rPr>
                <w:rFonts w:hint="eastAsia" w:ascii="宋体" w:hAnsi="宋体" w:cs="宋体"/>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hd w:val="clear"/>
              <w:spacing w:line="360" w:lineRule="auto"/>
              <w:rPr>
                <w:rFonts w:ascii="宋体" w:hAnsi="宋体" w:cs="宋体"/>
                <w:color w:val="auto"/>
                <w:sz w:val="24"/>
                <w:highlight w:val="none"/>
              </w:rPr>
            </w:pPr>
          </w:p>
        </w:tc>
        <w:tc>
          <w:tcPr>
            <w:tcW w:w="1785" w:type="dxa"/>
            <w:vAlign w:val="center"/>
          </w:tcPr>
          <w:p>
            <w:pPr>
              <w:shd w:val="clear"/>
              <w:spacing w:line="360" w:lineRule="auto"/>
              <w:rPr>
                <w:rFonts w:ascii="宋体" w:hAnsi="宋体" w:cs="宋体"/>
                <w:color w:val="auto"/>
                <w:sz w:val="24"/>
                <w:highlight w:val="none"/>
              </w:rPr>
            </w:pPr>
          </w:p>
        </w:tc>
        <w:tc>
          <w:tcPr>
            <w:tcW w:w="1449" w:type="dxa"/>
            <w:vAlign w:val="center"/>
          </w:tcPr>
          <w:p>
            <w:pPr>
              <w:shd w:val="clear"/>
              <w:spacing w:line="360" w:lineRule="auto"/>
              <w:rPr>
                <w:rFonts w:ascii="宋体" w:hAnsi="宋体" w:cs="宋体"/>
                <w:color w:val="auto"/>
                <w:sz w:val="24"/>
                <w:highlight w:val="none"/>
              </w:rPr>
            </w:pPr>
          </w:p>
        </w:tc>
        <w:tc>
          <w:tcPr>
            <w:tcW w:w="1560" w:type="dxa"/>
            <w:vAlign w:val="center"/>
          </w:tcPr>
          <w:p>
            <w:pPr>
              <w:shd w:val="clear"/>
              <w:spacing w:line="360" w:lineRule="auto"/>
              <w:rPr>
                <w:rFonts w:ascii="宋体" w:hAnsi="宋体" w:cs="宋体"/>
                <w:color w:val="auto"/>
                <w:sz w:val="24"/>
                <w:highlight w:val="none"/>
              </w:rPr>
            </w:pPr>
          </w:p>
        </w:tc>
        <w:tc>
          <w:tcPr>
            <w:tcW w:w="1401" w:type="dxa"/>
            <w:vAlign w:val="center"/>
          </w:tcPr>
          <w:p>
            <w:pPr>
              <w:shd w:val="clear"/>
              <w:spacing w:line="360" w:lineRule="auto"/>
              <w:rPr>
                <w:rFonts w:ascii="宋体" w:hAnsi="宋体" w:cs="宋体"/>
                <w:color w:val="auto"/>
                <w:sz w:val="24"/>
                <w:highlight w:val="none"/>
              </w:rPr>
            </w:pPr>
          </w:p>
        </w:tc>
        <w:tc>
          <w:tcPr>
            <w:tcW w:w="1365" w:type="dxa"/>
            <w:vAlign w:val="center"/>
          </w:tcPr>
          <w:p>
            <w:pPr>
              <w:shd w:val="clea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hd w:val="clear"/>
              <w:spacing w:line="360" w:lineRule="auto"/>
              <w:rPr>
                <w:rFonts w:ascii="宋体" w:hAnsi="宋体" w:cs="宋体"/>
                <w:color w:val="auto"/>
                <w:sz w:val="24"/>
                <w:highlight w:val="none"/>
              </w:rPr>
            </w:pPr>
          </w:p>
        </w:tc>
        <w:tc>
          <w:tcPr>
            <w:tcW w:w="1785" w:type="dxa"/>
            <w:vAlign w:val="center"/>
          </w:tcPr>
          <w:p>
            <w:pPr>
              <w:shd w:val="clear"/>
              <w:spacing w:line="360" w:lineRule="auto"/>
              <w:rPr>
                <w:rFonts w:ascii="宋体" w:hAnsi="宋体" w:cs="宋体"/>
                <w:color w:val="auto"/>
                <w:sz w:val="24"/>
                <w:highlight w:val="none"/>
              </w:rPr>
            </w:pPr>
          </w:p>
        </w:tc>
        <w:tc>
          <w:tcPr>
            <w:tcW w:w="1449" w:type="dxa"/>
            <w:vAlign w:val="center"/>
          </w:tcPr>
          <w:p>
            <w:pPr>
              <w:shd w:val="clear"/>
              <w:spacing w:line="360" w:lineRule="auto"/>
              <w:rPr>
                <w:rFonts w:ascii="宋体" w:hAnsi="宋体" w:cs="宋体"/>
                <w:color w:val="auto"/>
                <w:sz w:val="24"/>
                <w:highlight w:val="none"/>
              </w:rPr>
            </w:pPr>
          </w:p>
        </w:tc>
        <w:tc>
          <w:tcPr>
            <w:tcW w:w="1560" w:type="dxa"/>
            <w:vAlign w:val="center"/>
          </w:tcPr>
          <w:p>
            <w:pPr>
              <w:shd w:val="clear"/>
              <w:spacing w:line="360" w:lineRule="auto"/>
              <w:rPr>
                <w:rFonts w:ascii="宋体" w:hAnsi="宋体" w:cs="宋体"/>
                <w:color w:val="auto"/>
                <w:sz w:val="24"/>
                <w:highlight w:val="none"/>
              </w:rPr>
            </w:pPr>
          </w:p>
        </w:tc>
        <w:tc>
          <w:tcPr>
            <w:tcW w:w="1401" w:type="dxa"/>
            <w:vAlign w:val="center"/>
          </w:tcPr>
          <w:p>
            <w:pPr>
              <w:shd w:val="clear"/>
              <w:spacing w:line="360" w:lineRule="auto"/>
              <w:rPr>
                <w:rFonts w:ascii="宋体" w:hAnsi="宋体" w:cs="宋体"/>
                <w:color w:val="auto"/>
                <w:sz w:val="24"/>
                <w:highlight w:val="none"/>
              </w:rPr>
            </w:pPr>
          </w:p>
        </w:tc>
        <w:tc>
          <w:tcPr>
            <w:tcW w:w="1365" w:type="dxa"/>
            <w:vAlign w:val="center"/>
          </w:tcPr>
          <w:p>
            <w:pPr>
              <w:shd w:val="clea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spacing w:line="360" w:lineRule="auto"/>
              <w:rPr>
                <w:rFonts w:ascii="宋体" w:hAnsi="宋体" w:cs="宋体"/>
                <w:color w:val="auto"/>
                <w:sz w:val="24"/>
                <w:highlight w:val="none"/>
              </w:rPr>
            </w:pPr>
          </w:p>
        </w:tc>
        <w:tc>
          <w:tcPr>
            <w:tcW w:w="1785" w:type="dxa"/>
            <w:vAlign w:val="center"/>
          </w:tcPr>
          <w:p>
            <w:pPr>
              <w:shd w:val="clear"/>
              <w:spacing w:line="360" w:lineRule="auto"/>
              <w:rPr>
                <w:rFonts w:ascii="宋体" w:hAnsi="宋体" w:cs="宋体"/>
                <w:color w:val="auto"/>
                <w:sz w:val="24"/>
                <w:highlight w:val="none"/>
              </w:rPr>
            </w:pPr>
          </w:p>
        </w:tc>
        <w:tc>
          <w:tcPr>
            <w:tcW w:w="1449" w:type="dxa"/>
            <w:vAlign w:val="center"/>
          </w:tcPr>
          <w:p>
            <w:pPr>
              <w:shd w:val="clear"/>
              <w:spacing w:line="360" w:lineRule="auto"/>
              <w:rPr>
                <w:rFonts w:ascii="宋体" w:hAnsi="宋体" w:cs="宋体"/>
                <w:color w:val="auto"/>
                <w:sz w:val="24"/>
                <w:highlight w:val="none"/>
              </w:rPr>
            </w:pPr>
          </w:p>
        </w:tc>
        <w:tc>
          <w:tcPr>
            <w:tcW w:w="1560" w:type="dxa"/>
            <w:vAlign w:val="center"/>
          </w:tcPr>
          <w:p>
            <w:pPr>
              <w:shd w:val="clear"/>
              <w:spacing w:line="360" w:lineRule="auto"/>
              <w:rPr>
                <w:rFonts w:ascii="宋体" w:hAnsi="宋体" w:cs="宋体"/>
                <w:color w:val="auto"/>
                <w:sz w:val="24"/>
                <w:highlight w:val="none"/>
              </w:rPr>
            </w:pPr>
          </w:p>
        </w:tc>
        <w:tc>
          <w:tcPr>
            <w:tcW w:w="1401" w:type="dxa"/>
            <w:vAlign w:val="center"/>
          </w:tcPr>
          <w:p>
            <w:pPr>
              <w:shd w:val="clear"/>
              <w:spacing w:line="360" w:lineRule="auto"/>
              <w:rPr>
                <w:rFonts w:ascii="宋体" w:hAnsi="宋体" w:cs="宋体"/>
                <w:color w:val="auto"/>
                <w:sz w:val="24"/>
                <w:highlight w:val="none"/>
              </w:rPr>
            </w:pPr>
          </w:p>
        </w:tc>
        <w:tc>
          <w:tcPr>
            <w:tcW w:w="1365" w:type="dxa"/>
            <w:vAlign w:val="center"/>
          </w:tcPr>
          <w:p>
            <w:pPr>
              <w:shd w:val="clea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spacing w:line="360" w:lineRule="auto"/>
              <w:rPr>
                <w:rFonts w:ascii="宋体" w:hAnsi="宋体" w:cs="宋体"/>
                <w:color w:val="auto"/>
                <w:sz w:val="24"/>
                <w:highlight w:val="none"/>
              </w:rPr>
            </w:pPr>
          </w:p>
        </w:tc>
        <w:tc>
          <w:tcPr>
            <w:tcW w:w="1785" w:type="dxa"/>
            <w:vAlign w:val="center"/>
          </w:tcPr>
          <w:p>
            <w:pPr>
              <w:shd w:val="clear"/>
              <w:spacing w:line="360" w:lineRule="auto"/>
              <w:rPr>
                <w:rFonts w:ascii="宋体" w:hAnsi="宋体" w:cs="宋体"/>
                <w:color w:val="auto"/>
                <w:sz w:val="24"/>
                <w:highlight w:val="none"/>
              </w:rPr>
            </w:pPr>
          </w:p>
        </w:tc>
        <w:tc>
          <w:tcPr>
            <w:tcW w:w="1449" w:type="dxa"/>
            <w:vAlign w:val="center"/>
          </w:tcPr>
          <w:p>
            <w:pPr>
              <w:shd w:val="clear"/>
              <w:spacing w:line="360" w:lineRule="auto"/>
              <w:rPr>
                <w:rFonts w:ascii="宋体" w:hAnsi="宋体" w:cs="宋体"/>
                <w:color w:val="auto"/>
                <w:sz w:val="24"/>
                <w:highlight w:val="none"/>
              </w:rPr>
            </w:pPr>
          </w:p>
        </w:tc>
        <w:tc>
          <w:tcPr>
            <w:tcW w:w="1560" w:type="dxa"/>
            <w:vAlign w:val="center"/>
          </w:tcPr>
          <w:p>
            <w:pPr>
              <w:shd w:val="clear"/>
              <w:spacing w:line="360" w:lineRule="auto"/>
              <w:rPr>
                <w:rFonts w:ascii="宋体" w:hAnsi="宋体" w:cs="宋体"/>
                <w:color w:val="auto"/>
                <w:sz w:val="24"/>
                <w:highlight w:val="none"/>
              </w:rPr>
            </w:pPr>
          </w:p>
        </w:tc>
        <w:tc>
          <w:tcPr>
            <w:tcW w:w="1401" w:type="dxa"/>
            <w:vAlign w:val="center"/>
          </w:tcPr>
          <w:p>
            <w:pPr>
              <w:shd w:val="clear"/>
              <w:spacing w:line="360" w:lineRule="auto"/>
              <w:rPr>
                <w:rFonts w:ascii="宋体" w:hAnsi="宋体" w:cs="宋体"/>
                <w:color w:val="auto"/>
                <w:sz w:val="24"/>
                <w:highlight w:val="none"/>
              </w:rPr>
            </w:pPr>
          </w:p>
        </w:tc>
        <w:tc>
          <w:tcPr>
            <w:tcW w:w="1365" w:type="dxa"/>
            <w:vAlign w:val="center"/>
          </w:tcPr>
          <w:p>
            <w:pPr>
              <w:shd w:val="clea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hd w:val="clear"/>
              <w:spacing w:line="360" w:lineRule="auto"/>
              <w:rPr>
                <w:rFonts w:ascii="宋体" w:hAnsi="宋体" w:cs="宋体"/>
                <w:color w:val="auto"/>
                <w:sz w:val="24"/>
                <w:highlight w:val="none"/>
              </w:rPr>
            </w:pPr>
          </w:p>
        </w:tc>
        <w:tc>
          <w:tcPr>
            <w:tcW w:w="1785" w:type="dxa"/>
            <w:vAlign w:val="center"/>
          </w:tcPr>
          <w:p>
            <w:pPr>
              <w:shd w:val="clear"/>
              <w:spacing w:line="360" w:lineRule="auto"/>
              <w:rPr>
                <w:rFonts w:ascii="宋体" w:hAnsi="宋体" w:cs="宋体"/>
                <w:color w:val="auto"/>
                <w:sz w:val="24"/>
                <w:highlight w:val="none"/>
              </w:rPr>
            </w:pPr>
          </w:p>
        </w:tc>
        <w:tc>
          <w:tcPr>
            <w:tcW w:w="1449" w:type="dxa"/>
            <w:vAlign w:val="center"/>
          </w:tcPr>
          <w:p>
            <w:pPr>
              <w:shd w:val="clear"/>
              <w:spacing w:line="360" w:lineRule="auto"/>
              <w:rPr>
                <w:rFonts w:ascii="宋体" w:hAnsi="宋体" w:cs="宋体"/>
                <w:color w:val="auto"/>
                <w:sz w:val="24"/>
                <w:highlight w:val="none"/>
              </w:rPr>
            </w:pPr>
          </w:p>
        </w:tc>
        <w:tc>
          <w:tcPr>
            <w:tcW w:w="1560" w:type="dxa"/>
            <w:vAlign w:val="center"/>
          </w:tcPr>
          <w:p>
            <w:pPr>
              <w:shd w:val="clear"/>
              <w:spacing w:line="360" w:lineRule="auto"/>
              <w:rPr>
                <w:rFonts w:ascii="宋体" w:hAnsi="宋体" w:cs="宋体"/>
                <w:color w:val="auto"/>
                <w:sz w:val="24"/>
                <w:highlight w:val="none"/>
              </w:rPr>
            </w:pPr>
          </w:p>
        </w:tc>
        <w:tc>
          <w:tcPr>
            <w:tcW w:w="1401" w:type="dxa"/>
            <w:vAlign w:val="center"/>
          </w:tcPr>
          <w:p>
            <w:pPr>
              <w:shd w:val="clear"/>
              <w:spacing w:line="360" w:lineRule="auto"/>
              <w:rPr>
                <w:rFonts w:ascii="宋体" w:hAnsi="宋体" w:cs="宋体"/>
                <w:color w:val="auto"/>
                <w:sz w:val="24"/>
                <w:highlight w:val="none"/>
              </w:rPr>
            </w:pPr>
          </w:p>
        </w:tc>
        <w:tc>
          <w:tcPr>
            <w:tcW w:w="1365" w:type="dxa"/>
            <w:vAlign w:val="center"/>
          </w:tcPr>
          <w:p>
            <w:pPr>
              <w:shd w:val="clea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hd w:val="clear"/>
              <w:spacing w:line="360" w:lineRule="auto"/>
              <w:rPr>
                <w:rFonts w:ascii="宋体" w:hAnsi="宋体" w:cs="宋体"/>
                <w:color w:val="auto"/>
                <w:sz w:val="24"/>
                <w:highlight w:val="none"/>
              </w:rPr>
            </w:pPr>
          </w:p>
        </w:tc>
        <w:tc>
          <w:tcPr>
            <w:tcW w:w="1785" w:type="dxa"/>
            <w:vAlign w:val="center"/>
          </w:tcPr>
          <w:p>
            <w:pPr>
              <w:shd w:val="clear"/>
              <w:spacing w:line="360" w:lineRule="auto"/>
              <w:rPr>
                <w:rFonts w:ascii="宋体" w:hAnsi="宋体" w:cs="宋体"/>
                <w:color w:val="auto"/>
                <w:sz w:val="24"/>
                <w:highlight w:val="none"/>
              </w:rPr>
            </w:pPr>
          </w:p>
        </w:tc>
        <w:tc>
          <w:tcPr>
            <w:tcW w:w="1449" w:type="dxa"/>
            <w:vAlign w:val="center"/>
          </w:tcPr>
          <w:p>
            <w:pPr>
              <w:shd w:val="clear"/>
              <w:spacing w:line="360" w:lineRule="auto"/>
              <w:rPr>
                <w:rFonts w:ascii="宋体" w:hAnsi="宋体" w:cs="宋体"/>
                <w:color w:val="auto"/>
                <w:sz w:val="24"/>
                <w:highlight w:val="none"/>
              </w:rPr>
            </w:pPr>
          </w:p>
        </w:tc>
        <w:tc>
          <w:tcPr>
            <w:tcW w:w="1560" w:type="dxa"/>
            <w:vAlign w:val="center"/>
          </w:tcPr>
          <w:p>
            <w:pPr>
              <w:shd w:val="clear"/>
              <w:spacing w:line="360" w:lineRule="auto"/>
              <w:rPr>
                <w:rFonts w:ascii="宋体" w:hAnsi="宋体" w:cs="宋体"/>
                <w:color w:val="auto"/>
                <w:sz w:val="24"/>
                <w:highlight w:val="none"/>
              </w:rPr>
            </w:pPr>
          </w:p>
        </w:tc>
        <w:tc>
          <w:tcPr>
            <w:tcW w:w="1401" w:type="dxa"/>
            <w:vAlign w:val="center"/>
          </w:tcPr>
          <w:p>
            <w:pPr>
              <w:shd w:val="clear"/>
              <w:spacing w:line="360" w:lineRule="auto"/>
              <w:rPr>
                <w:rFonts w:ascii="宋体" w:hAnsi="宋体" w:cs="宋体"/>
                <w:color w:val="auto"/>
                <w:sz w:val="24"/>
                <w:highlight w:val="none"/>
              </w:rPr>
            </w:pPr>
          </w:p>
        </w:tc>
        <w:tc>
          <w:tcPr>
            <w:tcW w:w="1365" w:type="dxa"/>
            <w:vAlign w:val="center"/>
          </w:tcPr>
          <w:p>
            <w:pPr>
              <w:shd w:val="clea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hd w:val="clear"/>
              <w:spacing w:line="360" w:lineRule="auto"/>
              <w:rPr>
                <w:rFonts w:ascii="宋体" w:hAnsi="宋体" w:cs="宋体"/>
                <w:color w:val="auto"/>
                <w:sz w:val="24"/>
                <w:highlight w:val="none"/>
              </w:rPr>
            </w:pPr>
          </w:p>
        </w:tc>
        <w:tc>
          <w:tcPr>
            <w:tcW w:w="1785" w:type="dxa"/>
            <w:vAlign w:val="center"/>
          </w:tcPr>
          <w:p>
            <w:pPr>
              <w:shd w:val="clear"/>
              <w:spacing w:line="360" w:lineRule="auto"/>
              <w:rPr>
                <w:rFonts w:ascii="宋体" w:hAnsi="宋体" w:cs="宋体"/>
                <w:color w:val="auto"/>
                <w:sz w:val="24"/>
                <w:highlight w:val="none"/>
              </w:rPr>
            </w:pPr>
          </w:p>
        </w:tc>
        <w:tc>
          <w:tcPr>
            <w:tcW w:w="1449" w:type="dxa"/>
            <w:vAlign w:val="center"/>
          </w:tcPr>
          <w:p>
            <w:pPr>
              <w:shd w:val="clear"/>
              <w:spacing w:line="360" w:lineRule="auto"/>
              <w:rPr>
                <w:rFonts w:ascii="宋体" w:hAnsi="宋体" w:cs="宋体"/>
                <w:color w:val="auto"/>
                <w:sz w:val="24"/>
                <w:highlight w:val="none"/>
              </w:rPr>
            </w:pPr>
          </w:p>
        </w:tc>
        <w:tc>
          <w:tcPr>
            <w:tcW w:w="1560" w:type="dxa"/>
            <w:vAlign w:val="center"/>
          </w:tcPr>
          <w:p>
            <w:pPr>
              <w:shd w:val="clear"/>
              <w:spacing w:line="360" w:lineRule="auto"/>
              <w:rPr>
                <w:rFonts w:ascii="宋体" w:hAnsi="宋体" w:cs="宋体"/>
                <w:color w:val="auto"/>
                <w:sz w:val="24"/>
                <w:highlight w:val="none"/>
              </w:rPr>
            </w:pPr>
          </w:p>
        </w:tc>
        <w:tc>
          <w:tcPr>
            <w:tcW w:w="1401" w:type="dxa"/>
            <w:vAlign w:val="center"/>
          </w:tcPr>
          <w:p>
            <w:pPr>
              <w:shd w:val="clear"/>
              <w:spacing w:line="360" w:lineRule="auto"/>
              <w:rPr>
                <w:rFonts w:ascii="宋体" w:hAnsi="宋体" w:cs="宋体"/>
                <w:color w:val="auto"/>
                <w:sz w:val="24"/>
                <w:highlight w:val="none"/>
              </w:rPr>
            </w:pPr>
          </w:p>
        </w:tc>
        <w:tc>
          <w:tcPr>
            <w:tcW w:w="1365" w:type="dxa"/>
            <w:vAlign w:val="center"/>
          </w:tcPr>
          <w:p>
            <w:pPr>
              <w:shd w:val="clear"/>
              <w:spacing w:line="360" w:lineRule="auto"/>
              <w:rPr>
                <w:rFonts w:ascii="宋体" w:hAnsi="宋体" w:cs="宋体"/>
                <w:color w:val="auto"/>
                <w:sz w:val="24"/>
                <w:highlight w:val="none"/>
              </w:rPr>
            </w:pPr>
          </w:p>
        </w:tc>
      </w:tr>
    </w:tbl>
    <w:p>
      <w:pPr>
        <w:shd w:val="clea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hd w:val="clear"/>
        <w:spacing w:line="360" w:lineRule="auto"/>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本表参照本招标文件第四章“公开招标需求”内容填制，投标人应根据投标货物的性能指标、服务指标，对照招标文件要求在“偏离情况”栏注明“正偏离”、“负偏离”或“无偏离”。</w:t>
      </w:r>
    </w:p>
    <w:p>
      <w:pPr>
        <w:shd w:val="clear"/>
        <w:spacing w:line="360" w:lineRule="auto"/>
        <w:ind w:firstLine="480" w:firstLineChars="200"/>
        <w:rPr>
          <w:rFonts w:asci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hd w:val="clear"/>
        <w:spacing w:line="360" w:lineRule="auto"/>
        <w:rPr>
          <w:rFonts w:ascii="宋体" w:hAnsi="宋体" w:cs="宋体"/>
          <w:color w:val="auto"/>
          <w:sz w:val="24"/>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法定代表人（单位负责人）或授权委托代理人（签字或盖章）：</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jc w:val="left"/>
        <w:rPr>
          <w:rFonts w:ascii="宋体" w:hAnsi="宋体" w:cs="宋体"/>
          <w:b/>
          <w:bCs/>
          <w:color w:val="auto"/>
          <w:sz w:val="28"/>
          <w:szCs w:val="28"/>
          <w:highlight w:val="none"/>
        </w:rPr>
      </w:pPr>
      <w:r>
        <w:rPr>
          <w:rFonts w:hint="eastAsia" w:ascii="宋体" w:hAnsi="宋体" w:cs="宋体"/>
          <w:b/>
          <w:bCs/>
          <w:color w:val="auto"/>
          <w:sz w:val="28"/>
          <w:szCs w:val="28"/>
          <w:highlight w:val="none"/>
          <w:lang w:val="zh-CN"/>
        </w:rPr>
        <w:t>附件</w:t>
      </w:r>
      <w:r>
        <w:rPr>
          <w:rFonts w:hint="eastAsia" w:ascii="宋体" w:hAnsi="宋体" w:cs="宋体"/>
          <w:b/>
          <w:bCs/>
          <w:color w:val="auto"/>
          <w:sz w:val="28"/>
          <w:szCs w:val="28"/>
          <w:highlight w:val="none"/>
        </w:rPr>
        <w:t>10</w:t>
      </w:r>
    </w:p>
    <w:p>
      <w:pPr>
        <w:shd w:val="clear"/>
        <w:spacing w:line="360" w:lineRule="auto"/>
        <w:jc w:val="center"/>
        <w:outlineLvl w:val="0"/>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证书一览表</w:t>
      </w:r>
    </w:p>
    <w:p>
      <w:pPr>
        <w:shd w:val="clear"/>
        <w:spacing w:line="360" w:lineRule="auto"/>
        <w:rPr>
          <w:rFonts w:ascii="宋体" w:hAnsi="宋体" w:cs="宋体"/>
          <w:color w:val="auto"/>
          <w:sz w:val="24"/>
          <w:szCs w:val="24"/>
          <w:highlight w:val="none"/>
        </w:rPr>
      </w:pPr>
    </w:p>
    <w:tbl>
      <w:tblPr>
        <w:tblStyle w:val="29"/>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top w:val="double" w:color="auto" w:sz="4" w:space="0"/>
              <w:left w:val="single" w:color="auto" w:sz="4" w:space="0"/>
            </w:tcBorders>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证书名称</w:t>
            </w:r>
          </w:p>
        </w:tc>
        <w:tc>
          <w:tcPr>
            <w:tcW w:w="2258" w:type="dxa"/>
            <w:tcBorders>
              <w:top w:val="double" w:color="auto" w:sz="4" w:space="0"/>
            </w:tcBorders>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发证单位</w:t>
            </w:r>
          </w:p>
        </w:tc>
        <w:tc>
          <w:tcPr>
            <w:tcW w:w="2260" w:type="dxa"/>
            <w:tcBorders>
              <w:top w:val="double" w:color="auto" w:sz="4" w:space="0"/>
            </w:tcBorders>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证书等级</w:t>
            </w:r>
          </w:p>
        </w:tc>
        <w:tc>
          <w:tcPr>
            <w:tcW w:w="2047" w:type="dxa"/>
            <w:tcBorders>
              <w:top w:val="double" w:color="auto" w:sz="4" w:space="0"/>
              <w:right w:val="single" w:color="auto" w:sz="4" w:space="0"/>
            </w:tcBorders>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hd w:val="clear"/>
              <w:spacing w:line="360" w:lineRule="auto"/>
              <w:jc w:val="center"/>
              <w:rPr>
                <w:rFonts w:ascii="宋体" w:hAnsi="宋体" w:cs="宋体"/>
                <w:color w:val="auto"/>
                <w:sz w:val="24"/>
                <w:szCs w:val="24"/>
                <w:highlight w:val="none"/>
              </w:rPr>
            </w:pPr>
          </w:p>
        </w:tc>
        <w:tc>
          <w:tcPr>
            <w:tcW w:w="2258" w:type="dxa"/>
            <w:vAlign w:val="center"/>
          </w:tcPr>
          <w:p>
            <w:pPr>
              <w:shd w:val="clear"/>
              <w:spacing w:line="360" w:lineRule="auto"/>
              <w:jc w:val="center"/>
              <w:rPr>
                <w:rFonts w:ascii="宋体" w:hAnsi="宋体" w:cs="宋体"/>
                <w:color w:val="auto"/>
                <w:sz w:val="24"/>
                <w:szCs w:val="24"/>
                <w:highlight w:val="none"/>
              </w:rPr>
            </w:pPr>
          </w:p>
        </w:tc>
        <w:tc>
          <w:tcPr>
            <w:tcW w:w="2260" w:type="dxa"/>
            <w:vAlign w:val="center"/>
          </w:tcPr>
          <w:p>
            <w:pPr>
              <w:shd w:val="clear"/>
              <w:spacing w:line="360" w:lineRule="auto"/>
              <w:jc w:val="center"/>
              <w:rPr>
                <w:rFonts w:ascii="宋体" w:hAnsi="宋体" w:cs="宋体"/>
                <w:color w:val="auto"/>
                <w:sz w:val="24"/>
                <w:szCs w:val="24"/>
                <w:highlight w:val="none"/>
              </w:rPr>
            </w:pPr>
          </w:p>
        </w:tc>
        <w:tc>
          <w:tcPr>
            <w:tcW w:w="2047" w:type="dxa"/>
            <w:tcBorders>
              <w:right w:val="single" w:color="auto" w:sz="4" w:space="0"/>
            </w:tcBorders>
            <w:vAlign w:val="center"/>
          </w:tcPr>
          <w:p>
            <w:pPr>
              <w:shd w:val="clear"/>
              <w:spacing w:line="360" w:lineRule="auto"/>
              <w:jc w:val="center"/>
              <w:rPr>
                <w:rFonts w:ascii="宋体" w:hAnsi="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hd w:val="clear"/>
              <w:spacing w:line="360" w:lineRule="auto"/>
              <w:jc w:val="center"/>
              <w:rPr>
                <w:rFonts w:ascii="宋体" w:hAnsi="宋体" w:cs="宋体"/>
                <w:color w:val="auto"/>
                <w:sz w:val="24"/>
                <w:szCs w:val="24"/>
                <w:highlight w:val="none"/>
              </w:rPr>
            </w:pPr>
          </w:p>
        </w:tc>
        <w:tc>
          <w:tcPr>
            <w:tcW w:w="2258" w:type="dxa"/>
            <w:vAlign w:val="center"/>
          </w:tcPr>
          <w:p>
            <w:pPr>
              <w:shd w:val="clear"/>
              <w:spacing w:line="360" w:lineRule="auto"/>
              <w:jc w:val="center"/>
              <w:rPr>
                <w:rFonts w:ascii="宋体" w:hAnsi="宋体" w:cs="宋体"/>
                <w:color w:val="auto"/>
                <w:sz w:val="24"/>
                <w:szCs w:val="24"/>
                <w:highlight w:val="none"/>
              </w:rPr>
            </w:pPr>
          </w:p>
        </w:tc>
        <w:tc>
          <w:tcPr>
            <w:tcW w:w="2260" w:type="dxa"/>
            <w:vAlign w:val="center"/>
          </w:tcPr>
          <w:p>
            <w:pPr>
              <w:shd w:val="clear"/>
              <w:spacing w:line="360" w:lineRule="auto"/>
              <w:jc w:val="center"/>
              <w:rPr>
                <w:rFonts w:ascii="宋体" w:hAnsi="宋体" w:cs="宋体"/>
                <w:color w:val="auto"/>
                <w:sz w:val="24"/>
                <w:szCs w:val="24"/>
                <w:highlight w:val="none"/>
              </w:rPr>
            </w:pPr>
          </w:p>
        </w:tc>
        <w:tc>
          <w:tcPr>
            <w:tcW w:w="2047" w:type="dxa"/>
            <w:tcBorders>
              <w:right w:val="single" w:color="auto" w:sz="4" w:space="0"/>
            </w:tcBorders>
            <w:vAlign w:val="center"/>
          </w:tcPr>
          <w:p>
            <w:pPr>
              <w:shd w:val="clear"/>
              <w:spacing w:line="360" w:lineRule="auto"/>
              <w:jc w:val="center"/>
              <w:rPr>
                <w:rFonts w:ascii="宋体" w:hAnsi="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hd w:val="clear"/>
              <w:spacing w:line="360" w:lineRule="auto"/>
              <w:jc w:val="center"/>
              <w:rPr>
                <w:rFonts w:ascii="宋体" w:hAnsi="宋体" w:cs="宋体"/>
                <w:color w:val="auto"/>
                <w:sz w:val="24"/>
                <w:szCs w:val="24"/>
                <w:highlight w:val="none"/>
              </w:rPr>
            </w:pPr>
          </w:p>
        </w:tc>
        <w:tc>
          <w:tcPr>
            <w:tcW w:w="2258" w:type="dxa"/>
            <w:vAlign w:val="center"/>
          </w:tcPr>
          <w:p>
            <w:pPr>
              <w:shd w:val="clear"/>
              <w:spacing w:line="360" w:lineRule="auto"/>
              <w:jc w:val="center"/>
              <w:rPr>
                <w:rFonts w:ascii="宋体" w:hAnsi="宋体" w:cs="宋体"/>
                <w:color w:val="auto"/>
                <w:sz w:val="24"/>
                <w:szCs w:val="24"/>
                <w:highlight w:val="none"/>
              </w:rPr>
            </w:pPr>
          </w:p>
        </w:tc>
        <w:tc>
          <w:tcPr>
            <w:tcW w:w="2260" w:type="dxa"/>
            <w:vAlign w:val="center"/>
          </w:tcPr>
          <w:p>
            <w:pPr>
              <w:shd w:val="clear"/>
              <w:spacing w:line="360" w:lineRule="auto"/>
              <w:jc w:val="center"/>
              <w:rPr>
                <w:rFonts w:ascii="宋体" w:hAnsi="宋体" w:cs="宋体"/>
                <w:color w:val="auto"/>
                <w:sz w:val="24"/>
                <w:szCs w:val="24"/>
                <w:highlight w:val="none"/>
              </w:rPr>
            </w:pPr>
          </w:p>
        </w:tc>
        <w:tc>
          <w:tcPr>
            <w:tcW w:w="2047" w:type="dxa"/>
            <w:tcBorders>
              <w:right w:val="single" w:color="auto" w:sz="4" w:space="0"/>
            </w:tcBorders>
            <w:vAlign w:val="center"/>
          </w:tcPr>
          <w:p>
            <w:pPr>
              <w:shd w:val="clear"/>
              <w:spacing w:line="360" w:lineRule="auto"/>
              <w:jc w:val="center"/>
              <w:rPr>
                <w:rFonts w:ascii="宋体" w:hAnsi="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hd w:val="clear"/>
              <w:spacing w:line="360" w:lineRule="auto"/>
              <w:jc w:val="center"/>
              <w:rPr>
                <w:rFonts w:ascii="宋体" w:hAnsi="宋体" w:cs="宋体"/>
                <w:color w:val="auto"/>
                <w:sz w:val="24"/>
                <w:szCs w:val="24"/>
                <w:highlight w:val="none"/>
              </w:rPr>
            </w:pPr>
          </w:p>
        </w:tc>
        <w:tc>
          <w:tcPr>
            <w:tcW w:w="2258" w:type="dxa"/>
            <w:vAlign w:val="center"/>
          </w:tcPr>
          <w:p>
            <w:pPr>
              <w:shd w:val="clear"/>
              <w:spacing w:line="360" w:lineRule="auto"/>
              <w:jc w:val="center"/>
              <w:rPr>
                <w:rFonts w:ascii="宋体" w:hAnsi="宋体" w:cs="宋体"/>
                <w:color w:val="auto"/>
                <w:sz w:val="24"/>
                <w:szCs w:val="24"/>
                <w:highlight w:val="none"/>
              </w:rPr>
            </w:pPr>
          </w:p>
        </w:tc>
        <w:tc>
          <w:tcPr>
            <w:tcW w:w="2260" w:type="dxa"/>
            <w:vAlign w:val="center"/>
          </w:tcPr>
          <w:p>
            <w:pPr>
              <w:shd w:val="clear"/>
              <w:spacing w:line="360" w:lineRule="auto"/>
              <w:jc w:val="center"/>
              <w:rPr>
                <w:rFonts w:ascii="宋体" w:hAnsi="宋体" w:cs="宋体"/>
                <w:color w:val="auto"/>
                <w:sz w:val="24"/>
                <w:szCs w:val="24"/>
                <w:highlight w:val="none"/>
              </w:rPr>
            </w:pPr>
          </w:p>
        </w:tc>
        <w:tc>
          <w:tcPr>
            <w:tcW w:w="2047" w:type="dxa"/>
            <w:tcBorders>
              <w:right w:val="single" w:color="auto" w:sz="4" w:space="0"/>
            </w:tcBorders>
            <w:vAlign w:val="center"/>
          </w:tcPr>
          <w:p>
            <w:pPr>
              <w:shd w:val="clear"/>
              <w:spacing w:line="360" w:lineRule="auto"/>
              <w:jc w:val="center"/>
              <w:rPr>
                <w:rFonts w:ascii="宋体" w:hAnsi="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hd w:val="clear"/>
              <w:spacing w:line="360" w:lineRule="auto"/>
              <w:jc w:val="center"/>
              <w:rPr>
                <w:rFonts w:ascii="宋体" w:hAnsi="宋体" w:cs="宋体"/>
                <w:color w:val="auto"/>
                <w:sz w:val="24"/>
                <w:szCs w:val="24"/>
                <w:highlight w:val="none"/>
              </w:rPr>
            </w:pPr>
          </w:p>
        </w:tc>
        <w:tc>
          <w:tcPr>
            <w:tcW w:w="2258" w:type="dxa"/>
            <w:vAlign w:val="center"/>
          </w:tcPr>
          <w:p>
            <w:pPr>
              <w:shd w:val="clear"/>
              <w:spacing w:line="360" w:lineRule="auto"/>
              <w:jc w:val="center"/>
              <w:rPr>
                <w:rFonts w:ascii="宋体" w:hAnsi="宋体" w:cs="宋体"/>
                <w:color w:val="auto"/>
                <w:sz w:val="24"/>
                <w:szCs w:val="24"/>
                <w:highlight w:val="none"/>
              </w:rPr>
            </w:pPr>
          </w:p>
        </w:tc>
        <w:tc>
          <w:tcPr>
            <w:tcW w:w="2260" w:type="dxa"/>
            <w:vAlign w:val="center"/>
          </w:tcPr>
          <w:p>
            <w:pPr>
              <w:shd w:val="clear"/>
              <w:spacing w:line="360" w:lineRule="auto"/>
              <w:jc w:val="center"/>
              <w:rPr>
                <w:rFonts w:ascii="宋体" w:hAnsi="宋体" w:cs="宋体"/>
                <w:color w:val="auto"/>
                <w:sz w:val="24"/>
                <w:szCs w:val="24"/>
                <w:highlight w:val="none"/>
              </w:rPr>
            </w:pPr>
          </w:p>
        </w:tc>
        <w:tc>
          <w:tcPr>
            <w:tcW w:w="2047" w:type="dxa"/>
            <w:tcBorders>
              <w:right w:val="single" w:color="auto" w:sz="4" w:space="0"/>
            </w:tcBorders>
            <w:vAlign w:val="center"/>
          </w:tcPr>
          <w:p>
            <w:pPr>
              <w:shd w:val="clear"/>
              <w:spacing w:line="360" w:lineRule="auto"/>
              <w:jc w:val="center"/>
              <w:rPr>
                <w:rFonts w:ascii="宋体" w:hAnsi="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hd w:val="clear"/>
              <w:spacing w:line="360" w:lineRule="auto"/>
              <w:jc w:val="center"/>
              <w:rPr>
                <w:rFonts w:ascii="宋体" w:hAnsi="宋体" w:cs="宋体"/>
                <w:color w:val="auto"/>
                <w:sz w:val="24"/>
                <w:szCs w:val="24"/>
                <w:highlight w:val="none"/>
              </w:rPr>
            </w:pPr>
          </w:p>
        </w:tc>
        <w:tc>
          <w:tcPr>
            <w:tcW w:w="2258" w:type="dxa"/>
            <w:vAlign w:val="center"/>
          </w:tcPr>
          <w:p>
            <w:pPr>
              <w:shd w:val="clear"/>
              <w:spacing w:line="360" w:lineRule="auto"/>
              <w:jc w:val="center"/>
              <w:rPr>
                <w:rFonts w:ascii="宋体" w:hAnsi="宋体" w:cs="宋体"/>
                <w:color w:val="auto"/>
                <w:sz w:val="24"/>
                <w:szCs w:val="24"/>
                <w:highlight w:val="none"/>
              </w:rPr>
            </w:pPr>
          </w:p>
        </w:tc>
        <w:tc>
          <w:tcPr>
            <w:tcW w:w="2260" w:type="dxa"/>
            <w:vAlign w:val="center"/>
          </w:tcPr>
          <w:p>
            <w:pPr>
              <w:shd w:val="clear"/>
              <w:spacing w:line="360" w:lineRule="auto"/>
              <w:jc w:val="center"/>
              <w:rPr>
                <w:rFonts w:ascii="宋体" w:hAnsi="宋体" w:cs="宋体"/>
                <w:color w:val="auto"/>
                <w:sz w:val="24"/>
                <w:szCs w:val="24"/>
                <w:highlight w:val="none"/>
              </w:rPr>
            </w:pPr>
          </w:p>
        </w:tc>
        <w:tc>
          <w:tcPr>
            <w:tcW w:w="2047" w:type="dxa"/>
            <w:tcBorders>
              <w:right w:val="single" w:color="auto" w:sz="4" w:space="0"/>
            </w:tcBorders>
            <w:vAlign w:val="center"/>
          </w:tcPr>
          <w:p>
            <w:pPr>
              <w:shd w:val="clear"/>
              <w:spacing w:line="360" w:lineRule="auto"/>
              <w:jc w:val="center"/>
              <w:rPr>
                <w:rFonts w:ascii="宋体" w:hAnsi="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bottom w:val="double" w:color="auto" w:sz="4" w:space="0"/>
            </w:tcBorders>
            <w:vAlign w:val="center"/>
          </w:tcPr>
          <w:p>
            <w:pPr>
              <w:shd w:val="clear"/>
              <w:spacing w:line="360" w:lineRule="auto"/>
              <w:jc w:val="center"/>
              <w:rPr>
                <w:rFonts w:ascii="宋体" w:hAnsi="宋体" w:cs="宋体"/>
                <w:color w:val="auto"/>
                <w:sz w:val="24"/>
                <w:szCs w:val="24"/>
                <w:highlight w:val="none"/>
              </w:rPr>
            </w:pPr>
          </w:p>
        </w:tc>
        <w:tc>
          <w:tcPr>
            <w:tcW w:w="2258" w:type="dxa"/>
            <w:tcBorders>
              <w:bottom w:val="double" w:color="auto" w:sz="4" w:space="0"/>
            </w:tcBorders>
            <w:vAlign w:val="center"/>
          </w:tcPr>
          <w:p>
            <w:pPr>
              <w:shd w:val="clear"/>
              <w:spacing w:line="360" w:lineRule="auto"/>
              <w:jc w:val="center"/>
              <w:rPr>
                <w:rFonts w:ascii="宋体" w:hAnsi="宋体" w:cs="宋体"/>
                <w:color w:val="auto"/>
                <w:sz w:val="24"/>
                <w:szCs w:val="24"/>
                <w:highlight w:val="none"/>
              </w:rPr>
            </w:pPr>
          </w:p>
        </w:tc>
        <w:tc>
          <w:tcPr>
            <w:tcW w:w="2260" w:type="dxa"/>
            <w:tcBorders>
              <w:bottom w:val="double" w:color="auto" w:sz="4" w:space="0"/>
            </w:tcBorders>
            <w:vAlign w:val="center"/>
          </w:tcPr>
          <w:p>
            <w:pPr>
              <w:shd w:val="clear"/>
              <w:spacing w:line="360" w:lineRule="auto"/>
              <w:jc w:val="center"/>
              <w:rPr>
                <w:rFonts w:ascii="宋体" w:hAnsi="宋体" w:cs="宋体"/>
                <w:color w:val="auto"/>
                <w:sz w:val="24"/>
                <w:szCs w:val="24"/>
                <w:highlight w:val="none"/>
              </w:rPr>
            </w:pPr>
          </w:p>
        </w:tc>
        <w:tc>
          <w:tcPr>
            <w:tcW w:w="2047" w:type="dxa"/>
            <w:tcBorders>
              <w:bottom w:val="double" w:color="auto" w:sz="4" w:space="0"/>
              <w:right w:val="single" w:color="auto" w:sz="4" w:space="0"/>
            </w:tcBorders>
            <w:vAlign w:val="center"/>
          </w:tcPr>
          <w:p>
            <w:pPr>
              <w:shd w:val="clear"/>
              <w:spacing w:line="360" w:lineRule="auto"/>
              <w:jc w:val="center"/>
              <w:rPr>
                <w:rFonts w:ascii="宋体" w:hAnsi="宋体" w:cs="宋体"/>
                <w:color w:val="auto"/>
                <w:sz w:val="24"/>
                <w:szCs w:val="24"/>
                <w:highlight w:val="none"/>
              </w:rPr>
            </w:pPr>
          </w:p>
        </w:tc>
      </w:tr>
    </w:tbl>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要求：</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1.填写投标人获得资质、认证或企业信誉证书；</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2.附所列证书复印件或其他证明材料。</w:t>
      </w:r>
    </w:p>
    <w:p>
      <w:pPr>
        <w:shd w:val="clear"/>
        <w:spacing w:line="360" w:lineRule="auto"/>
        <w:jc w:val="left"/>
        <w:rPr>
          <w:rFonts w:ascii="宋体" w:hAnsi="宋体" w:cs="宋体"/>
          <w:b/>
          <w:bCs/>
          <w:color w:val="auto"/>
          <w:sz w:val="24"/>
          <w:szCs w:val="24"/>
          <w:highlight w:val="none"/>
          <w:lang w:val="zh-CN"/>
        </w:rPr>
      </w:pPr>
    </w:p>
    <w:p>
      <w:pPr>
        <w:shd w:val="clear"/>
        <w:spacing w:line="360" w:lineRule="auto"/>
        <w:jc w:val="left"/>
        <w:rPr>
          <w:rFonts w:ascii="宋体" w:hAnsi="宋体" w:cs="宋体"/>
          <w:b/>
          <w:bCs/>
          <w:color w:val="auto"/>
          <w:sz w:val="24"/>
          <w:szCs w:val="24"/>
          <w:highlight w:val="none"/>
          <w:lang w:val="zh-CN"/>
        </w:rPr>
      </w:pPr>
    </w:p>
    <w:p>
      <w:pPr>
        <w:shd w:val="clear"/>
        <w:spacing w:line="360" w:lineRule="auto"/>
        <w:jc w:val="left"/>
        <w:rPr>
          <w:rFonts w:ascii="宋体" w:hAnsi="宋体" w:cs="宋体"/>
          <w:b/>
          <w:bCs/>
          <w:color w:val="auto"/>
          <w:sz w:val="24"/>
          <w:szCs w:val="24"/>
          <w:highlight w:val="none"/>
          <w:lang w:val="zh-CN"/>
        </w:rPr>
      </w:pPr>
    </w:p>
    <w:p>
      <w:pPr>
        <w:shd w:val="clear"/>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t>投标人名称（盖章）：</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法定代表人（单位负责人）或授权委托代理人（签字或盖章）：</w:t>
      </w:r>
    </w:p>
    <w:p>
      <w:pPr>
        <w:shd w:val="clear"/>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t>日期：</w:t>
      </w:r>
    </w:p>
    <w:p>
      <w:pPr>
        <w:shd w:val="clear"/>
        <w:spacing w:line="360" w:lineRule="auto"/>
        <w:jc w:val="left"/>
        <w:rPr>
          <w:rFonts w:ascii="宋体" w:hAnsi="宋体" w:cs="宋体"/>
          <w:b/>
          <w:bCs/>
          <w:color w:val="auto"/>
          <w:sz w:val="24"/>
          <w:szCs w:val="24"/>
          <w:highlight w:val="none"/>
          <w:lang w:val="zh-CN"/>
        </w:rPr>
      </w:pPr>
    </w:p>
    <w:p>
      <w:pPr>
        <w:shd w:val="clear"/>
        <w:spacing w:line="360" w:lineRule="auto"/>
        <w:jc w:val="left"/>
        <w:rPr>
          <w:rFonts w:ascii="宋体" w:hAnsi="宋体" w:cs="宋体"/>
          <w:b/>
          <w:bCs/>
          <w:color w:val="auto"/>
          <w:sz w:val="24"/>
          <w:szCs w:val="24"/>
          <w:highlight w:val="none"/>
          <w:lang w:val="zh-CN"/>
        </w:rPr>
      </w:pPr>
    </w:p>
    <w:p>
      <w:pPr>
        <w:shd w:val="clear"/>
        <w:spacing w:line="360" w:lineRule="auto"/>
        <w:jc w:val="left"/>
        <w:rPr>
          <w:rFonts w:ascii="宋体" w:hAnsi="宋体" w:cs="宋体"/>
          <w:b/>
          <w:bCs/>
          <w:color w:val="auto"/>
          <w:sz w:val="24"/>
          <w:szCs w:val="24"/>
          <w:highlight w:val="none"/>
          <w:lang w:val="zh-CN"/>
        </w:rPr>
      </w:pPr>
    </w:p>
    <w:p>
      <w:pPr>
        <w:shd w:val="clear"/>
        <w:spacing w:line="360" w:lineRule="auto"/>
        <w:jc w:val="left"/>
        <w:rPr>
          <w:rFonts w:ascii="宋体" w:hAnsi="宋体" w:cs="宋体"/>
          <w:b/>
          <w:bCs/>
          <w:color w:val="auto"/>
          <w:sz w:val="24"/>
          <w:szCs w:val="24"/>
          <w:highlight w:val="none"/>
          <w:lang w:val="zh-CN"/>
        </w:rPr>
      </w:pPr>
    </w:p>
    <w:p>
      <w:pPr>
        <w:shd w:val="clear"/>
        <w:spacing w:line="360" w:lineRule="auto"/>
        <w:jc w:val="left"/>
        <w:rPr>
          <w:rFonts w:ascii="宋体" w:hAnsi="宋体" w:cs="宋体"/>
          <w:b/>
          <w:bCs/>
          <w:color w:val="auto"/>
          <w:sz w:val="24"/>
          <w:szCs w:val="24"/>
          <w:highlight w:val="none"/>
          <w:lang w:val="zh-CN"/>
        </w:rPr>
      </w:pPr>
    </w:p>
    <w:p>
      <w:pPr>
        <w:shd w:val="clear"/>
        <w:spacing w:line="360" w:lineRule="auto"/>
        <w:jc w:val="left"/>
        <w:rPr>
          <w:rFonts w:ascii="宋体" w:hAnsi="宋体" w:cs="宋体"/>
          <w:b/>
          <w:bCs/>
          <w:color w:val="auto"/>
          <w:sz w:val="24"/>
          <w:szCs w:val="24"/>
          <w:highlight w:val="none"/>
          <w:lang w:val="zh-CN"/>
        </w:rPr>
      </w:pPr>
    </w:p>
    <w:p>
      <w:pPr>
        <w:shd w:val="clear"/>
        <w:spacing w:line="360" w:lineRule="auto"/>
        <w:jc w:val="left"/>
        <w:rPr>
          <w:rFonts w:ascii="宋体" w:hAnsi="宋体" w:cs="宋体"/>
          <w:b/>
          <w:bCs/>
          <w:color w:val="auto"/>
          <w:sz w:val="28"/>
          <w:szCs w:val="28"/>
          <w:highlight w:val="none"/>
        </w:rPr>
      </w:pPr>
      <w:r>
        <w:rPr>
          <w:rFonts w:hint="eastAsia" w:ascii="宋体" w:hAnsi="宋体" w:cs="宋体"/>
          <w:b/>
          <w:bCs/>
          <w:color w:val="auto"/>
          <w:sz w:val="28"/>
          <w:szCs w:val="28"/>
          <w:highlight w:val="none"/>
          <w:lang w:val="zh-CN"/>
        </w:rPr>
        <w:t>附件1</w:t>
      </w:r>
      <w:r>
        <w:rPr>
          <w:rFonts w:hint="eastAsia" w:ascii="宋体" w:hAnsi="宋体" w:cs="宋体"/>
          <w:b/>
          <w:bCs/>
          <w:color w:val="auto"/>
          <w:sz w:val="28"/>
          <w:szCs w:val="28"/>
          <w:highlight w:val="none"/>
        </w:rPr>
        <w:t>1</w:t>
      </w:r>
    </w:p>
    <w:p>
      <w:pPr>
        <w:shd w:val="clear"/>
        <w:spacing w:line="360" w:lineRule="auto"/>
        <w:jc w:val="center"/>
        <w:outlineLvl w:val="0"/>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投标人类似项目实施情况一览表</w:t>
      </w:r>
    </w:p>
    <w:p>
      <w:pPr>
        <w:shd w:val="clear"/>
        <w:spacing w:line="360" w:lineRule="auto"/>
        <w:jc w:val="left"/>
        <w:rPr>
          <w:rFonts w:ascii="宋体" w:hAnsi="宋体" w:cs="宋体"/>
          <w:b/>
          <w:bCs/>
          <w:color w:val="auto"/>
          <w:sz w:val="24"/>
          <w:szCs w:val="24"/>
          <w:highlight w:val="none"/>
          <w:lang w:val="zh-CN"/>
        </w:rPr>
      </w:pPr>
    </w:p>
    <w:tbl>
      <w:tblPr>
        <w:tblStyle w:val="29"/>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293"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293"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1293"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293"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293"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293"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293"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hd w:val="clear"/>
              <w:spacing w:line="360" w:lineRule="auto"/>
              <w:jc w:val="center"/>
              <w:rPr>
                <w:rFonts w:ascii="宋体" w:hAnsi="宋体" w:cs="宋体"/>
                <w:color w:val="auto"/>
                <w:sz w:val="24"/>
                <w:szCs w:val="24"/>
                <w:highlight w:val="none"/>
              </w:rPr>
            </w:pPr>
          </w:p>
        </w:tc>
      </w:tr>
    </w:tbl>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要求：</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1.业绩证明应提供证明材料（合同复印件可只提供首页、含金额页、盖章页并加盖投标人公章）；</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2.报价供应商可按此表格式复制。</w:t>
      </w: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t>投标人名称（盖章）：</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法定代表人（单位负责人）或授权委托代理人（签字或盖章）：</w:t>
      </w:r>
    </w:p>
    <w:p>
      <w:pPr>
        <w:shd w:val="clear"/>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t>日期：</w:t>
      </w: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附件1</w:t>
      </w:r>
      <w:r>
        <w:rPr>
          <w:rFonts w:hint="eastAsia" w:ascii="宋体" w:hAnsi="宋体" w:cs="宋体"/>
          <w:b/>
          <w:bCs/>
          <w:color w:val="auto"/>
          <w:sz w:val="28"/>
          <w:szCs w:val="36"/>
          <w:highlight w:val="none"/>
        </w:rPr>
        <w:t>2</w:t>
      </w:r>
    </w:p>
    <w:p>
      <w:pPr>
        <w:shd w:val="clear"/>
        <w:spacing w:line="360" w:lineRule="auto"/>
        <w:jc w:val="center"/>
        <w:outlineLvl w:val="0"/>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商务需求响应表</w:t>
      </w:r>
    </w:p>
    <w:p>
      <w:pPr>
        <w:shd w:val="clear"/>
        <w:spacing w:line="360" w:lineRule="auto"/>
        <w:rPr>
          <w:rFonts w:ascii="宋体" w:hAnsi="宋体" w:cs="宋体"/>
          <w:b/>
          <w:color w:val="auto"/>
          <w:sz w:val="24"/>
          <w:highlight w:val="none"/>
        </w:rPr>
      </w:pPr>
    </w:p>
    <w:tbl>
      <w:tblPr>
        <w:tblStyle w:val="29"/>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shd w:val="clear"/>
              <w:rPr>
                <w:rFonts w:ascii="宋体" w:hAnsi="宋体" w:cs="宋体"/>
                <w:b/>
                <w:color w:val="auto"/>
                <w:sz w:val="24"/>
                <w:highlight w:val="none"/>
              </w:rPr>
            </w:pPr>
            <w:r>
              <w:rPr>
                <w:rFonts w:hint="eastAsia" w:ascii="宋体" w:hAnsi="宋体" w:cs="宋体"/>
                <w:b/>
                <w:color w:val="auto"/>
                <w:sz w:val="24"/>
                <w:highlight w:val="none"/>
              </w:rPr>
              <w:t>序号</w:t>
            </w:r>
          </w:p>
        </w:tc>
        <w:tc>
          <w:tcPr>
            <w:tcW w:w="1785" w:type="dxa"/>
            <w:vAlign w:val="center"/>
          </w:tcPr>
          <w:p>
            <w:pPr>
              <w:shd w:val="clear"/>
              <w:rPr>
                <w:rFonts w:ascii="宋体" w:hAnsi="宋体" w:cs="宋体"/>
                <w:b/>
                <w:color w:val="auto"/>
                <w:sz w:val="24"/>
                <w:highlight w:val="none"/>
              </w:rPr>
            </w:pPr>
            <w:r>
              <w:rPr>
                <w:rFonts w:hint="eastAsia" w:ascii="宋体" w:hAnsi="宋体" w:cs="宋体"/>
                <w:b/>
                <w:color w:val="auto"/>
                <w:sz w:val="24"/>
                <w:highlight w:val="none"/>
              </w:rPr>
              <w:t>内容</w:t>
            </w:r>
          </w:p>
        </w:tc>
        <w:tc>
          <w:tcPr>
            <w:tcW w:w="1785" w:type="dxa"/>
            <w:vAlign w:val="center"/>
          </w:tcPr>
          <w:p>
            <w:pPr>
              <w:shd w:val="clear"/>
              <w:ind w:left="53" w:leftChars="25" w:firstLine="241" w:firstLineChars="100"/>
              <w:rPr>
                <w:rFonts w:ascii="宋体" w:hAnsi="宋体" w:cs="宋体"/>
                <w:b/>
                <w:color w:val="auto"/>
                <w:sz w:val="24"/>
                <w:highlight w:val="none"/>
              </w:rPr>
            </w:pPr>
            <w:r>
              <w:rPr>
                <w:rFonts w:hint="eastAsia" w:ascii="宋体" w:hAnsi="宋体" w:cs="宋体"/>
                <w:b/>
                <w:color w:val="auto"/>
                <w:sz w:val="24"/>
                <w:highlight w:val="none"/>
              </w:rPr>
              <w:t>招标需求</w:t>
            </w:r>
          </w:p>
        </w:tc>
        <w:tc>
          <w:tcPr>
            <w:tcW w:w="1365" w:type="dxa"/>
            <w:vAlign w:val="center"/>
          </w:tcPr>
          <w:p>
            <w:pPr>
              <w:shd w:val="clear"/>
              <w:ind w:left="152"/>
              <w:rPr>
                <w:rFonts w:ascii="宋体" w:hAnsi="宋体" w:cs="宋体"/>
                <w:b/>
                <w:color w:val="auto"/>
                <w:sz w:val="24"/>
                <w:highlight w:val="none"/>
              </w:rPr>
            </w:pPr>
            <w:r>
              <w:rPr>
                <w:rFonts w:hint="eastAsia" w:ascii="宋体" w:hAnsi="宋体" w:cs="宋体"/>
                <w:b/>
                <w:color w:val="auto"/>
                <w:sz w:val="24"/>
                <w:highlight w:val="none"/>
              </w:rPr>
              <w:t>是否响应</w:t>
            </w:r>
          </w:p>
        </w:tc>
        <w:tc>
          <w:tcPr>
            <w:tcW w:w="2625" w:type="dxa"/>
            <w:vAlign w:val="center"/>
          </w:tcPr>
          <w:p>
            <w:pPr>
              <w:shd w:val="clear"/>
              <w:jc w:val="center"/>
              <w:rPr>
                <w:rFonts w:ascii="宋体" w:hAnsi="宋体" w:cs="宋体"/>
                <w:b/>
                <w:color w:val="auto"/>
                <w:sz w:val="24"/>
                <w:highlight w:val="none"/>
              </w:rPr>
            </w:pPr>
            <w:r>
              <w:rPr>
                <w:rFonts w:hint="eastAsia" w:ascii="宋体" w:hAnsi="宋体" w:cs="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hd w:val="clear"/>
              <w:rPr>
                <w:rFonts w:ascii="宋体" w:hAnsi="宋体" w:cs="宋体"/>
                <w:color w:val="auto"/>
                <w:sz w:val="24"/>
                <w:highlight w:val="none"/>
              </w:rPr>
            </w:pPr>
          </w:p>
        </w:tc>
        <w:tc>
          <w:tcPr>
            <w:tcW w:w="1785"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售后服务保障要求</w:t>
            </w: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hd w:val="clear"/>
              <w:rPr>
                <w:rFonts w:ascii="宋体" w:hAnsi="宋体" w:cs="宋体"/>
                <w:color w:val="auto"/>
                <w:sz w:val="24"/>
                <w:highlight w:val="none"/>
              </w:rPr>
            </w:pPr>
          </w:p>
        </w:tc>
        <w:tc>
          <w:tcPr>
            <w:tcW w:w="1785"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备品备件及耗材等要求</w:t>
            </w: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rPr>
                <w:rFonts w:ascii="宋体" w:hAnsi="宋体" w:cs="宋体"/>
                <w:color w:val="auto"/>
                <w:sz w:val="24"/>
                <w:highlight w:val="none"/>
              </w:rPr>
            </w:pPr>
          </w:p>
        </w:tc>
        <w:tc>
          <w:tcPr>
            <w:tcW w:w="1785"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质保期</w:t>
            </w: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rPr>
                <w:rFonts w:ascii="宋体" w:hAnsi="宋体" w:cs="宋体"/>
                <w:color w:val="auto"/>
                <w:sz w:val="24"/>
                <w:highlight w:val="none"/>
              </w:rPr>
            </w:pPr>
          </w:p>
        </w:tc>
        <w:tc>
          <w:tcPr>
            <w:tcW w:w="1785"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交货和服务</w:t>
            </w:r>
          </w:p>
          <w:p>
            <w:pPr>
              <w:shd w:val="clear"/>
              <w:snapToGrid w:val="0"/>
              <w:rPr>
                <w:rFonts w:ascii="宋体" w:hAnsi="宋体" w:cs="宋体"/>
                <w:color w:val="auto"/>
                <w:sz w:val="24"/>
                <w:highlight w:val="none"/>
              </w:rPr>
            </w:pPr>
            <w:r>
              <w:rPr>
                <w:rFonts w:hint="eastAsia" w:ascii="宋体" w:hAnsi="宋体" w:cs="宋体"/>
                <w:color w:val="auto"/>
                <w:sz w:val="24"/>
                <w:highlight w:val="none"/>
              </w:rPr>
              <w:t>时间及地点</w:t>
            </w: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rPr>
                <w:rFonts w:ascii="宋体" w:hAnsi="宋体" w:cs="宋体"/>
                <w:color w:val="auto"/>
                <w:sz w:val="24"/>
                <w:highlight w:val="none"/>
              </w:rPr>
            </w:pPr>
          </w:p>
        </w:tc>
        <w:tc>
          <w:tcPr>
            <w:tcW w:w="1785"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付款条件</w:t>
            </w: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rPr>
                <w:rFonts w:ascii="宋体" w:hAnsi="宋体" w:cs="宋体"/>
                <w:color w:val="auto"/>
                <w:sz w:val="24"/>
                <w:highlight w:val="none"/>
              </w:rPr>
            </w:pPr>
          </w:p>
        </w:tc>
        <w:tc>
          <w:tcPr>
            <w:tcW w:w="1785"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w:t>
            </w: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shd w:val="clear"/>
              <w:rPr>
                <w:rFonts w:ascii="宋体" w:hAnsi="宋体" w:cs="宋体"/>
                <w:color w:val="auto"/>
                <w:sz w:val="24"/>
                <w:highlight w:val="none"/>
              </w:rPr>
            </w:pPr>
          </w:p>
        </w:tc>
        <w:tc>
          <w:tcPr>
            <w:tcW w:w="1785" w:type="dxa"/>
          </w:tcPr>
          <w:p>
            <w:pPr>
              <w:shd w:val="clear"/>
              <w:snapToGrid w:val="0"/>
              <w:rPr>
                <w:rFonts w:ascii="宋体" w:hAnsi="宋体" w:cs="宋体"/>
                <w:color w:val="auto"/>
                <w:sz w:val="24"/>
                <w:highlight w:val="none"/>
              </w:rPr>
            </w:pP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hd w:val="clear"/>
              <w:rPr>
                <w:rFonts w:ascii="宋体" w:hAnsi="宋体" w:cs="宋体"/>
                <w:color w:val="auto"/>
                <w:sz w:val="24"/>
                <w:highlight w:val="none"/>
              </w:rPr>
            </w:pPr>
          </w:p>
        </w:tc>
        <w:tc>
          <w:tcPr>
            <w:tcW w:w="1785" w:type="dxa"/>
          </w:tcPr>
          <w:p>
            <w:pPr>
              <w:shd w:val="clear"/>
              <w:snapToGrid w:val="0"/>
              <w:rPr>
                <w:rFonts w:ascii="宋体" w:hAnsi="宋体" w:cs="宋体"/>
                <w:color w:val="auto"/>
                <w:sz w:val="24"/>
                <w:highlight w:val="none"/>
              </w:rPr>
            </w:pP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bl>
    <w:p>
      <w:pPr>
        <w:shd w:val="clear"/>
        <w:spacing w:line="360" w:lineRule="auto"/>
        <w:rPr>
          <w:rFonts w:ascii="宋体" w:hAnsi="宋体" w:cs="宋体"/>
          <w:b/>
          <w:color w:val="auto"/>
          <w:sz w:val="24"/>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法定代表人（单位负责人）或授权委托代理人（签字或盖章）：</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tabs>
          <w:tab w:val="left" w:pos="2460"/>
        </w:tabs>
        <w:spacing w:line="360" w:lineRule="auto"/>
        <w:rPr>
          <w:rFonts w:ascii="宋体" w:hAnsi="宋体" w:cs="宋体"/>
          <w:b/>
          <w:color w:val="auto"/>
          <w:sz w:val="28"/>
          <w:highlight w:val="none"/>
        </w:rPr>
      </w:pPr>
      <w:r>
        <w:rPr>
          <w:rFonts w:hint="eastAsia" w:ascii="宋体" w:hAnsi="宋体" w:cs="宋体"/>
          <w:b/>
          <w:color w:val="auto"/>
          <w:sz w:val="28"/>
          <w:highlight w:val="none"/>
        </w:rPr>
        <w:t>附件13</w:t>
      </w:r>
    </w:p>
    <w:p>
      <w:pPr>
        <w:shd w:val="clear"/>
        <w:spacing w:line="48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售后服务情况表</w:t>
      </w:r>
    </w:p>
    <w:p>
      <w:pPr>
        <w:shd w:val="clear"/>
        <w:spacing w:line="360" w:lineRule="auto"/>
        <w:rPr>
          <w:rFonts w:ascii="宋体" w:hAnsi="宋体" w:cs="宋体"/>
          <w:b/>
          <w:color w:val="auto"/>
          <w:sz w:val="24"/>
          <w:highlight w:val="none"/>
        </w:rPr>
      </w:pPr>
    </w:p>
    <w:tbl>
      <w:tblPr>
        <w:tblStyle w:val="29"/>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66"/>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355" w:type="dxa"/>
            <w:tcBorders>
              <w:top w:val="single" w:color="auto" w:sz="4" w:space="0"/>
            </w:tcBorders>
            <w:vAlign w:val="center"/>
          </w:tcPr>
          <w:p>
            <w:pPr>
              <w:pStyle w:val="66"/>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w:t>
            </w:r>
          </w:p>
        </w:tc>
        <w:tc>
          <w:tcPr>
            <w:tcW w:w="4061" w:type="dxa"/>
            <w:tcBorders>
              <w:top w:val="single" w:color="auto" w:sz="4" w:space="0"/>
            </w:tcBorders>
            <w:vAlign w:val="center"/>
          </w:tcPr>
          <w:p>
            <w:pPr>
              <w:pStyle w:val="66"/>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投标人情况</w:t>
            </w:r>
          </w:p>
        </w:tc>
        <w:tc>
          <w:tcPr>
            <w:tcW w:w="1373" w:type="dxa"/>
            <w:tcBorders>
              <w:top w:val="single" w:color="auto" w:sz="4" w:space="0"/>
            </w:tcBorders>
            <w:vAlign w:val="center"/>
          </w:tcPr>
          <w:p>
            <w:pPr>
              <w:pStyle w:val="66"/>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66"/>
              <w:shd w:val="clea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w:t>
            </w:r>
          </w:p>
        </w:tc>
        <w:tc>
          <w:tcPr>
            <w:tcW w:w="2355" w:type="dxa"/>
            <w:vMerge w:val="restart"/>
            <w:vAlign w:val="center"/>
          </w:tcPr>
          <w:p>
            <w:pPr>
              <w:pStyle w:val="66"/>
              <w:widowControl/>
              <w:shd w:val="clear"/>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保修期内售后服务情况（服务方式、服务网点、售后服务的内容和措施等等，可用附页和宣传材料）</w:t>
            </w:r>
          </w:p>
        </w:tc>
        <w:tc>
          <w:tcPr>
            <w:tcW w:w="4061" w:type="dxa"/>
          </w:tcPr>
          <w:p>
            <w:pPr>
              <w:pStyle w:val="66"/>
              <w:shd w:val="clear"/>
              <w:spacing w:line="360" w:lineRule="auto"/>
              <w:rPr>
                <w:rFonts w:ascii="宋体" w:hAnsi="宋体" w:cs="宋体"/>
                <w:bCs/>
                <w:color w:val="auto"/>
                <w:sz w:val="24"/>
                <w:highlight w:val="none"/>
              </w:rPr>
            </w:pPr>
            <w:r>
              <w:rPr>
                <w:rFonts w:hint="eastAsia" w:ascii="宋体" w:hAnsi="宋体" w:cs="宋体"/>
                <w:bCs/>
                <w:color w:val="auto"/>
                <w:sz w:val="24"/>
                <w:highlight w:val="none"/>
              </w:rPr>
              <w:t>生产厂商售后服务情况：</w:t>
            </w:r>
          </w:p>
        </w:tc>
        <w:tc>
          <w:tcPr>
            <w:tcW w:w="1373" w:type="dxa"/>
          </w:tcPr>
          <w:p>
            <w:pPr>
              <w:pStyle w:val="66"/>
              <w:shd w:val="clear"/>
              <w:spacing w:line="360" w:lineRule="auto"/>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66"/>
              <w:widowControl/>
              <w:shd w:val="clear"/>
              <w:spacing w:line="360" w:lineRule="auto"/>
              <w:jc w:val="left"/>
              <w:rPr>
                <w:rFonts w:ascii="宋体" w:hAnsi="宋体" w:cs="宋体"/>
                <w:bCs/>
                <w:color w:val="auto"/>
                <w:sz w:val="24"/>
                <w:highlight w:val="none"/>
              </w:rPr>
            </w:pPr>
          </w:p>
        </w:tc>
        <w:tc>
          <w:tcPr>
            <w:tcW w:w="2355" w:type="dxa"/>
            <w:vMerge w:val="continue"/>
            <w:vAlign w:val="center"/>
          </w:tcPr>
          <w:p>
            <w:pPr>
              <w:pStyle w:val="66"/>
              <w:widowControl/>
              <w:shd w:val="clear"/>
              <w:spacing w:line="360" w:lineRule="auto"/>
              <w:jc w:val="left"/>
              <w:rPr>
                <w:rFonts w:ascii="宋体" w:hAnsi="宋体" w:cs="宋体"/>
                <w:bCs/>
                <w:color w:val="auto"/>
                <w:sz w:val="24"/>
                <w:highlight w:val="none"/>
              </w:rPr>
            </w:pPr>
          </w:p>
        </w:tc>
        <w:tc>
          <w:tcPr>
            <w:tcW w:w="4061" w:type="dxa"/>
          </w:tcPr>
          <w:p>
            <w:pPr>
              <w:pStyle w:val="66"/>
              <w:shd w:val="clear"/>
              <w:spacing w:line="360" w:lineRule="auto"/>
              <w:rPr>
                <w:rFonts w:ascii="宋体" w:hAnsi="宋体" w:cs="宋体"/>
                <w:bCs/>
                <w:color w:val="auto"/>
                <w:sz w:val="24"/>
                <w:highlight w:val="none"/>
              </w:rPr>
            </w:pPr>
            <w:r>
              <w:rPr>
                <w:rFonts w:hint="eastAsia" w:ascii="宋体" w:hAnsi="宋体" w:cs="宋体"/>
                <w:bCs/>
                <w:color w:val="auto"/>
                <w:sz w:val="24"/>
                <w:highlight w:val="none"/>
              </w:rPr>
              <w:t>投标人售后服务情况：</w:t>
            </w:r>
          </w:p>
        </w:tc>
        <w:tc>
          <w:tcPr>
            <w:tcW w:w="1373" w:type="dxa"/>
          </w:tcPr>
          <w:p>
            <w:pPr>
              <w:pStyle w:val="66"/>
              <w:shd w:val="clear"/>
              <w:spacing w:line="360" w:lineRule="auto"/>
              <w:jc w:val="left"/>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66"/>
              <w:shd w:val="clea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2</w:t>
            </w:r>
          </w:p>
        </w:tc>
        <w:tc>
          <w:tcPr>
            <w:tcW w:w="2355" w:type="dxa"/>
            <w:vAlign w:val="center"/>
          </w:tcPr>
          <w:p>
            <w:pPr>
              <w:pStyle w:val="66"/>
              <w:shd w:val="clear"/>
              <w:spacing w:line="360" w:lineRule="auto"/>
              <w:rPr>
                <w:rFonts w:ascii="宋体" w:hAnsi="宋体" w:cs="宋体"/>
                <w:bCs/>
                <w:color w:val="auto"/>
                <w:sz w:val="24"/>
                <w:highlight w:val="none"/>
              </w:rPr>
            </w:pPr>
            <w:r>
              <w:rPr>
                <w:rFonts w:hint="eastAsia" w:ascii="宋体" w:hAnsi="宋体" w:cs="宋体"/>
                <w:bCs/>
                <w:color w:val="auto"/>
                <w:sz w:val="24"/>
                <w:highlight w:val="none"/>
              </w:rPr>
              <w:t>保修期后售后服务</w:t>
            </w:r>
          </w:p>
        </w:tc>
        <w:tc>
          <w:tcPr>
            <w:tcW w:w="4061" w:type="dxa"/>
          </w:tcPr>
          <w:p>
            <w:pPr>
              <w:pStyle w:val="66"/>
              <w:widowControl/>
              <w:shd w:val="clear"/>
              <w:spacing w:line="360" w:lineRule="auto"/>
              <w:jc w:val="left"/>
              <w:rPr>
                <w:rFonts w:ascii="宋体" w:hAnsi="宋体" w:cs="宋体"/>
                <w:bCs/>
                <w:color w:val="auto"/>
                <w:sz w:val="24"/>
                <w:highlight w:val="none"/>
              </w:rPr>
            </w:pPr>
          </w:p>
          <w:p>
            <w:pPr>
              <w:pStyle w:val="66"/>
              <w:widowControl/>
              <w:shd w:val="clear"/>
              <w:spacing w:line="360" w:lineRule="auto"/>
              <w:jc w:val="left"/>
              <w:rPr>
                <w:rFonts w:ascii="宋体" w:hAnsi="宋体" w:cs="宋体"/>
                <w:bCs/>
                <w:color w:val="auto"/>
                <w:sz w:val="24"/>
                <w:highlight w:val="none"/>
              </w:rPr>
            </w:pPr>
          </w:p>
          <w:p>
            <w:pPr>
              <w:pStyle w:val="66"/>
              <w:shd w:val="clear"/>
              <w:spacing w:line="360" w:lineRule="auto"/>
              <w:rPr>
                <w:rFonts w:ascii="宋体" w:hAnsi="宋体" w:cs="宋体"/>
                <w:bCs/>
                <w:color w:val="auto"/>
                <w:sz w:val="24"/>
                <w:highlight w:val="none"/>
              </w:rPr>
            </w:pPr>
          </w:p>
        </w:tc>
        <w:tc>
          <w:tcPr>
            <w:tcW w:w="1373" w:type="dxa"/>
          </w:tcPr>
          <w:p>
            <w:pPr>
              <w:pStyle w:val="66"/>
              <w:widowControl/>
              <w:shd w:val="clear"/>
              <w:spacing w:line="360" w:lineRule="auto"/>
              <w:jc w:val="left"/>
              <w:rPr>
                <w:rFonts w:ascii="宋体" w:hAnsi="宋体" w:cs="宋体"/>
                <w:bCs/>
                <w:color w:val="auto"/>
                <w:sz w:val="24"/>
                <w:highlight w:val="none"/>
              </w:rPr>
            </w:pPr>
          </w:p>
          <w:p>
            <w:pPr>
              <w:pStyle w:val="66"/>
              <w:widowControl/>
              <w:shd w:val="clear"/>
              <w:spacing w:line="360" w:lineRule="auto"/>
              <w:jc w:val="left"/>
              <w:rPr>
                <w:rFonts w:ascii="宋体" w:hAnsi="宋体" w:cs="宋体"/>
                <w:bCs/>
                <w:color w:val="auto"/>
                <w:sz w:val="24"/>
                <w:highlight w:val="none"/>
              </w:rPr>
            </w:pPr>
          </w:p>
          <w:p>
            <w:pPr>
              <w:pStyle w:val="66"/>
              <w:shd w:val="clear"/>
              <w:spacing w:line="360" w:lineRule="auto"/>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66"/>
              <w:widowControl/>
              <w:shd w:val="clear"/>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 xml:space="preserve"> 3</w:t>
            </w:r>
          </w:p>
        </w:tc>
        <w:tc>
          <w:tcPr>
            <w:tcW w:w="2355" w:type="dxa"/>
            <w:vAlign w:val="center"/>
          </w:tcPr>
          <w:p>
            <w:pPr>
              <w:pStyle w:val="66"/>
              <w:widowControl/>
              <w:shd w:val="clear"/>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培训方案（可用附页）</w:t>
            </w:r>
          </w:p>
        </w:tc>
        <w:tc>
          <w:tcPr>
            <w:tcW w:w="4061" w:type="dxa"/>
          </w:tcPr>
          <w:p>
            <w:pPr>
              <w:pStyle w:val="66"/>
              <w:widowControl/>
              <w:shd w:val="clear"/>
              <w:spacing w:line="360" w:lineRule="auto"/>
              <w:jc w:val="left"/>
              <w:rPr>
                <w:rFonts w:ascii="宋体" w:hAnsi="宋体" w:cs="宋体"/>
                <w:bCs/>
                <w:i/>
                <w:color w:val="auto"/>
                <w:sz w:val="24"/>
                <w:highlight w:val="none"/>
              </w:rPr>
            </w:pPr>
          </w:p>
          <w:p>
            <w:pPr>
              <w:pStyle w:val="66"/>
              <w:widowControl/>
              <w:shd w:val="clear"/>
              <w:spacing w:line="360" w:lineRule="auto"/>
              <w:jc w:val="left"/>
              <w:rPr>
                <w:rFonts w:ascii="宋体" w:hAnsi="宋体" w:cs="宋体"/>
                <w:bCs/>
                <w:i/>
                <w:color w:val="auto"/>
                <w:sz w:val="24"/>
                <w:highlight w:val="none"/>
              </w:rPr>
            </w:pPr>
          </w:p>
        </w:tc>
        <w:tc>
          <w:tcPr>
            <w:tcW w:w="1373" w:type="dxa"/>
          </w:tcPr>
          <w:p>
            <w:pPr>
              <w:pStyle w:val="66"/>
              <w:widowControl/>
              <w:shd w:val="clear"/>
              <w:spacing w:line="360" w:lineRule="auto"/>
              <w:jc w:val="left"/>
              <w:rPr>
                <w:rFonts w:ascii="宋体" w:hAnsi="宋体" w:cs="宋体"/>
                <w:bCs/>
                <w:i/>
                <w:color w:val="auto"/>
                <w:sz w:val="24"/>
                <w:highlight w:val="none"/>
              </w:rPr>
            </w:pPr>
          </w:p>
          <w:p>
            <w:pPr>
              <w:pStyle w:val="66"/>
              <w:widowControl/>
              <w:shd w:val="clear"/>
              <w:spacing w:line="360" w:lineRule="auto"/>
              <w:jc w:val="left"/>
              <w:rPr>
                <w:rFonts w:ascii="宋体" w:hAnsi="宋体" w:cs="宋体"/>
                <w:bCs/>
                <w:i/>
                <w:color w:val="auto"/>
                <w:sz w:val="24"/>
                <w:highlight w:val="none"/>
              </w:rPr>
            </w:pPr>
          </w:p>
          <w:p>
            <w:pPr>
              <w:pStyle w:val="66"/>
              <w:widowControl/>
              <w:shd w:val="clear"/>
              <w:spacing w:line="360" w:lineRule="auto"/>
              <w:jc w:val="left"/>
              <w:rPr>
                <w:rFonts w:ascii="宋体" w:hAnsi="宋体" w:cs="宋体"/>
                <w:bCs/>
                <w: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66"/>
              <w:widowControl/>
              <w:shd w:val="clear"/>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w:t>
            </w:r>
          </w:p>
        </w:tc>
        <w:tc>
          <w:tcPr>
            <w:tcW w:w="2355" w:type="dxa"/>
            <w:tcBorders>
              <w:bottom w:val="single" w:color="auto" w:sz="4" w:space="0"/>
            </w:tcBorders>
            <w:vAlign w:val="center"/>
          </w:tcPr>
          <w:p>
            <w:pPr>
              <w:pStyle w:val="66"/>
              <w:widowControl/>
              <w:shd w:val="clear"/>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w:t>
            </w:r>
          </w:p>
        </w:tc>
        <w:tc>
          <w:tcPr>
            <w:tcW w:w="4061" w:type="dxa"/>
            <w:tcBorders>
              <w:bottom w:val="single" w:color="auto" w:sz="4" w:space="0"/>
            </w:tcBorders>
          </w:tcPr>
          <w:p>
            <w:pPr>
              <w:pStyle w:val="66"/>
              <w:widowControl/>
              <w:shd w:val="clear"/>
              <w:spacing w:line="360" w:lineRule="auto"/>
              <w:jc w:val="left"/>
              <w:rPr>
                <w:rFonts w:ascii="宋体" w:hAnsi="宋体" w:cs="宋体"/>
                <w:bCs/>
                <w:color w:val="auto"/>
                <w:sz w:val="24"/>
                <w:highlight w:val="none"/>
              </w:rPr>
            </w:pPr>
          </w:p>
        </w:tc>
        <w:tc>
          <w:tcPr>
            <w:tcW w:w="1373" w:type="dxa"/>
            <w:tcBorders>
              <w:bottom w:val="single" w:color="auto" w:sz="4" w:space="0"/>
            </w:tcBorders>
          </w:tcPr>
          <w:p>
            <w:pPr>
              <w:pStyle w:val="66"/>
              <w:widowControl/>
              <w:shd w:val="clear"/>
              <w:spacing w:line="360" w:lineRule="auto"/>
              <w:jc w:val="left"/>
              <w:rPr>
                <w:rFonts w:ascii="宋体" w:hAnsi="宋体" w:cs="宋体"/>
                <w:bCs/>
                <w:color w:val="auto"/>
                <w:sz w:val="24"/>
                <w:highlight w:val="none"/>
              </w:rPr>
            </w:pPr>
          </w:p>
        </w:tc>
      </w:tr>
    </w:tbl>
    <w:p>
      <w:pPr>
        <w:shd w:val="clear"/>
        <w:spacing w:line="360" w:lineRule="auto"/>
        <w:ind w:left="549" w:hanging="549" w:hangingChars="171"/>
        <w:jc w:val="center"/>
        <w:rPr>
          <w:rFonts w:ascii="宋体" w:hAnsi="宋体" w:cs="宋体"/>
          <w:b/>
          <w:color w:val="auto"/>
          <w:sz w:val="32"/>
          <w:szCs w:val="32"/>
          <w:highlight w:val="none"/>
        </w:rPr>
      </w:pPr>
    </w:p>
    <w:p>
      <w:pPr>
        <w:shd w:val="clear"/>
        <w:spacing w:line="360" w:lineRule="auto"/>
        <w:rPr>
          <w:rFonts w:ascii="宋体" w:hAnsi="宋体" w:cs="宋体"/>
          <w:color w:val="auto"/>
          <w:sz w:val="24"/>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法定代表人（单位负责人）或授权委托代理人（签字或盖章）：</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rPr>
          <w:rFonts w:hint="eastAsia" w:ascii="宋体" w:hAnsi="宋体" w:cs="宋体"/>
          <w:b/>
          <w:bCs/>
          <w:color w:val="auto"/>
          <w:sz w:val="28"/>
          <w:szCs w:val="28"/>
          <w:highlight w:val="none"/>
        </w:rPr>
      </w:pPr>
    </w:p>
    <w:p>
      <w:pPr>
        <w:shd w:val="clear"/>
        <w:rPr>
          <w:rFonts w:ascii="宋体" w:hAnsi="宋体" w:cs="宋体"/>
          <w:b/>
          <w:bCs/>
          <w:color w:val="auto"/>
          <w:sz w:val="28"/>
          <w:szCs w:val="28"/>
          <w:highlight w:val="none"/>
        </w:rPr>
      </w:pPr>
      <w:r>
        <w:rPr>
          <w:rFonts w:hint="eastAsia" w:ascii="宋体" w:hAnsi="宋体" w:cs="宋体"/>
          <w:b/>
          <w:bCs/>
          <w:color w:val="auto"/>
          <w:sz w:val="28"/>
          <w:szCs w:val="28"/>
          <w:highlight w:val="none"/>
        </w:rPr>
        <w:t xml:space="preserve">附件14　                                             </w:t>
      </w:r>
      <w:r>
        <w:rPr>
          <w:rFonts w:hint="eastAsia" w:ascii="宋体" w:hAnsi="宋体" w:cs="宋体"/>
          <w:b/>
          <w:bCs/>
          <w:color w:val="auto"/>
          <w:sz w:val="28"/>
          <w:szCs w:val="28"/>
          <w:highlight w:val="none"/>
          <w:u w:val="single"/>
        </w:rPr>
        <w:t xml:space="preserve"> 　</w:t>
      </w:r>
      <w:r>
        <w:rPr>
          <w:rFonts w:hint="eastAsia" w:ascii="宋体" w:hAnsi="宋体" w:cs="宋体"/>
          <w:b/>
          <w:bCs/>
          <w:color w:val="auto"/>
          <w:sz w:val="28"/>
          <w:szCs w:val="28"/>
          <w:highlight w:val="none"/>
        </w:rPr>
        <w:t>本</w:t>
      </w:r>
    </w:p>
    <w:p>
      <w:pPr>
        <w:shd w:val="clear"/>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shd w:val="clear"/>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w:t>
      </w:r>
    </w:p>
    <w:p>
      <w:pPr>
        <w:shd w:val="clear"/>
        <w:jc w:val="center"/>
        <w:rPr>
          <w:rFonts w:ascii="宋体" w:hAnsi="宋体" w:cs="宋体"/>
          <w:b/>
          <w:bCs/>
          <w:color w:val="auto"/>
          <w:spacing w:val="40"/>
          <w:sz w:val="84"/>
          <w:szCs w:val="84"/>
          <w:highlight w:val="none"/>
        </w:rPr>
      </w:pPr>
    </w:p>
    <w:p>
      <w:pPr>
        <w:shd w:val="clear"/>
        <w:jc w:val="center"/>
        <w:rPr>
          <w:rFonts w:ascii="宋体" w:hAnsi="宋体" w:cs="宋体"/>
          <w:b/>
          <w:bCs/>
          <w:color w:val="auto"/>
          <w:spacing w:val="40"/>
          <w:sz w:val="84"/>
          <w:szCs w:val="84"/>
          <w:highlight w:val="none"/>
        </w:rPr>
      </w:pPr>
      <w:r>
        <w:rPr>
          <w:rFonts w:hint="eastAsia" w:ascii="宋体" w:hAnsi="宋体" w:cs="宋体"/>
          <w:b/>
          <w:bCs/>
          <w:color w:val="auto"/>
          <w:spacing w:val="40"/>
          <w:sz w:val="84"/>
          <w:szCs w:val="84"/>
          <w:highlight w:val="none"/>
        </w:rPr>
        <w:t>报</w:t>
      </w:r>
    </w:p>
    <w:p>
      <w:pPr>
        <w:shd w:val="clear"/>
        <w:jc w:val="center"/>
        <w:rPr>
          <w:rFonts w:ascii="宋体" w:hAnsi="宋体" w:cs="宋体"/>
          <w:b/>
          <w:bCs/>
          <w:color w:val="auto"/>
          <w:spacing w:val="40"/>
          <w:sz w:val="84"/>
          <w:szCs w:val="84"/>
          <w:highlight w:val="none"/>
        </w:rPr>
      </w:pPr>
      <w:r>
        <w:rPr>
          <w:rFonts w:hint="eastAsia" w:ascii="宋体" w:hAnsi="宋体" w:cs="宋体"/>
          <w:b/>
          <w:bCs/>
          <w:color w:val="auto"/>
          <w:spacing w:val="40"/>
          <w:sz w:val="84"/>
          <w:szCs w:val="84"/>
          <w:highlight w:val="none"/>
        </w:rPr>
        <w:t>价</w:t>
      </w:r>
    </w:p>
    <w:p>
      <w:pPr>
        <w:shd w:val="clear"/>
        <w:jc w:val="center"/>
        <w:rPr>
          <w:rFonts w:ascii="宋体" w:hAnsi="宋体" w:cs="宋体"/>
          <w:b/>
          <w:bCs/>
          <w:color w:val="auto"/>
          <w:spacing w:val="40"/>
          <w:sz w:val="84"/>
          <w:szCs w:val="84"/>
          <w:highlight w:val="none"/>
        </w:rPr>
      </w:pPr>
      <w:r>
        <w:rPr>
          <w:rFonts w:hint="eastAsia" w:ascii="宋体" w:hAnsi="宋体" w:cs="宋体"/>
          <w:b/>
          <w:bCs/>
          <w:color w:val="auto"/>
          <w:spacing w:val="40"/>
          <w:sz w:val="84"/>
          <w:szCs w:val="84"/>
          <w:highlight w:val="none"/>
        </w:rPr>
        <w:t>文</w:t>
      </w:r>
    </w:p>
    <w:p>
      <w:pPr>
        <w:shd w:val="clear"/>
        <w:jc w:val="center"/>
        <w:rPr>
          <w:rFonts w:ascii="宋体" w:hAnsi="宋体" w:cs="宋体"/>
          <w:b/>
          <w:bCs/>
          <w:color w:val="auto"/>
          <w:spacing w:val="40"/>
          <w:sz w:val="84"/>
          <w:szCs w:val="84"/>
          <w:highlight w:val="none"/>
        </w:rPr>
      </w:pPr>
      <w:r>
        <w:rPr>
          <w:rFonts w:hint="eastAsia" w:ascii="宋体" w:hAnsi="宋体" w:cs="宋体"/>
          <w:b/>
          <w:bCs/>
          <w:color w:val="auto"/>
          <w:spacing w:val="40"/>
          <w:sz w:val="84"/>
          <w:szCs w:val="84"/>
          <w:highlight w:val="none"/>
        </w:rPr>
        <w:t>件</w:t>
      </w:r>
    </w:p>
    <w:p>
      <w:pPr>
        <w:shd w:val="clear"/>
        <w:jc w:val="center"/>
        <w:rPr>
          <w:rFonts w:ascii="宋体" w:hAnsi="宋体" w:cs="宋体"/>
          <w:color w:val="auto"/>
          <w:sz w:val="36"/>
          <w:szCs w:val="36"/>
          <w:highlight w:val="none"/>
        </w:rPr>
      </w:pPr>
    </w:p>
    <w:p>
      <w:pPr>
        <w:shd w:val="clear"/>
        <w:jc w:val="center"/>
        <w:rPr>
          <w:rFonts w:ascii="宋体" w:hAnsi="宋体" w:cs="宋体"/>
          <w:color w:val="auto"/>
          <w:sz w:val="36"/>
          <w:szCs w:val="36"/>
          <w:highlight w:val="none"/>
        </w:rPr>
      </w:pPr>
    </w:p>
    <w:p>
      <w:pPr>
        <w:shd w:val="clear"/>
        <w:spacing w:line="360" w:lineRule="auto"/>
        <w:ind w:right="532"/>
        <w:jc w:val="center"/>
        <w:rPr>
          <w:rFonts w:ascii="宋体" w:hAnsi="宋体" w:cs="宋体"/>
          <w:color w:val="auto"/>
          <w:sz w:val="36"/>
          <w:szCs w:val="36"/>
          <w:highlight w:val="none"/>
        </w:rPr>
      </w:pPr>
    </w:p>
    <w:p>
      <w:pPr>
        <w:shd w:val="clear"/>
        <w:rPr>
          <w:rFonts w:ascii="宋体" w:hAnsi="宋体" w:cs="宋体"/>
          <w:color w:val="auto"/>
          <w:sz w:val="36"/>
          <w:szCs w:val="36"/>
          <w:highlight w:val="none"/>
        </w:rPr>
      </w:pPr>
      <w:r>
        <w:rPr>
          <w:rFonts w:hint="eastAsia" w:ascii="宋体" w:hAnsi="宋体" w:cs="宋体"/>
          <w:color w:val="auto"/>
          <w:sz w:val="36"/>
          <w:szCs w:val="36"/>
          <w:highlight w:val="none"/>
        </w:rPr>
        <w:t>供应商全称（公章）：</w:t>
      </w:r>
    </w:p>
    <w:p>
      <w:pPr>
        <w:shd w:val="clear"/>
        <w:rPr>
          <w:rFonts w:ascii="宋体" w:hAnsi="宋体" w:cs="宋体"/>
          <w:color w:val="auto"/>
          <w:sz w:val="36"/>
          <w:szCs w:val="36"/>
          <w:highlight w:val="none"/>
        </w:rPr>
      </w:pPr>
      <w:r>
        <w:rPr>
          <w:rFonts w:hint="eastAsia" w:ascii="宋体" w:hAnsi="宋体" w:cs="宋体"/>
          <w:color w:val="auto"/>
          <w:sz w:val="36"/>
          <w:szCs w:val="36"/>
          <w:highlight w:val="none"/>
        </w:rPr>
        <w:t>地址：</w:t>
      </w:r>
    </w:p>
    <w:p>
      <w:pPr>
        <w:shd w:val="clear"/>
        <w:rPr>
          <w:rFonts w:ascii="宋体" w:hAnsi="宋体" w:cs="宋体"/>
          <w:color w:val="auto"/>
          <w:sz w:val="36"/>
          <w:szCs w:val="36"/>
          <w:highlight w:val="none"/>
        </w:rPr>
      </w:pPr>
      <w:r>
        <w:rPr>
          <w:rFonts w:hint="eastAsia" w:ascii="宋体" w:hAnsi="宋体" w:cs="宋体"/>
          <w:color w:val="auto"/>
          <w:sz w:val="36"/>
          <w:szCs w:val="36"/>
          <w:highlight w:val="none"/>
        </w:rPr>
        <w:t>时间：</w:t>
      </w: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jc w:val="center"/>
        <w:outlineLvl w:val="0"/>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报价文件目录</w:t>
      </w: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ind w:firstLine="560" w:firstLineChars="200"/>
        <w:rPr>
          <w:rFonts w:ascii="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、开标一览表（附件</w:t>
      </w:r>
      <w:r>
        <w:rPr>
          <w:rFonts w:ascii="宋体" w:hAnsi="宋体" w:cs="宋体"/>
          <w:color w:val="auto"/>
          <w:sz w:val="28"/>
          <w:szCs w:val="28"/>
          <w:highlight w:val="none"/>
        </w:rPr>
        <w:t>1</w:t>
      </w:r>
      <w:r>
        <w:rPr>
          <w:rFonts w:hint="eastAsia" w:ascii="宋体" w:hAnsi="宋体" w:cs="宋体"/>
          <w:color w:val="auto"/>
          <w:sz w:val="28"/>
          <w:szCs w:val="28"/>
          <w:highlight w:val="none"/>
        </w:rPr>
        <w:t>5）；</w:t>
      </w:r>
    </w:p>
    <w:p>
      <w:pPr>
        <w:shd w:val="clea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2、报价明细表（附件16）；</w:t>
      </w:r>
    </w:p>
    <w:p>
      <w:pPr>
        <w:shd w:val="clear"/>
        <w:spacing w:line="360" w:lineRule="auto"/>
        <w:ind w:firstLine="560" w:firstLineChars="200"/>
        <w:rPr>
          <w:rFonts w:ascii="宋体"/>
          <w:color w:val="auto"/>
          <w:sz w:val="28"/>
          <w:szCs w:val="28"/>
          <w:highlight w:val="none"/>
        </w:rPr>
      </w:pPr>
      <w:r>
        <w:rPr>
          <w:rFonts w:hint="eastAsia" w:ascii="宋体" w:hAnsi="宋体" w:cs="宋体"/>
          <w:color w:val="auto"/>
          <w:sz w:val="28"/>
          <w:szCs w:val="28"/>
          <w:highlight w:val="none"/>
        </w:rPr>
        <w:t>3、针对报价投标人认为其他需要说明的；</w:t>
      </w:r>
    </w:p>
    <w:p>
      <w:pPr>
        <w:shd w:val="clear"/>
        <w:spacing w:line="360" w:lineRule="auto"/>
        <w:ind w:firstLine="560" w:firstLineChars="200"/>
        <w:rPr>
          <w:rFonts w:ascii="宋体"/>
          <w:color w:val="auto"/>
          <w:sz w:val="28"/>
          <w:szCs w:val="28"/>
          <w:highlight w:val="none"/>
        </w:rPr>
      </w:pPr>
      <w:r>
        <w:rPr>
          <w:rFonts w:hint="eastAsia" w:ascii="宋体" w:hAnsi="宋体" w:cs="宋体"/>
          <w:color w:val="auto"/>
          <w:sz w:val="28"/>
          <w:szCs w:val="28"/>
          <w:highlight w:val="none"/>
        </w:rPr>
        <w:t>4、中小企业等声明函（附件</w:t>
      </w:r>
      <w:r>
        <w:rPr>
          <w:rFonts w:ascii="宋体" w:hAnsi="宋体" w:cs="宋体"/>
          <w:color w:val="auto"/>
          <w:sz w:val="28"/>
          <w:szCs w:val="28"/>
          <w:highlight w:val="none"/>
        </w:rPr>
        <w:t>1</w:t>
      </w:r>
      <w:r>
        <w:rPr>
          <w:rFonts w:hint="eastAsia" w:ascii="宋体" w:hAnsi="宋体" w:cs="宋体"/>
          <w:color w:val="auto"/>
          <w:sz w:val="28"/>
          <w:szCs w:val="28"/>
          <w:highlight w:val="none"/>
        </w:rPr>
        <w:t>7）。（如有需提供）</w:t>
      </w: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32"/>
          <w:highlight w:val="none"/>
        </w:rPr>
      </w:pPr>
    </w:p>
    <w:p>
      <w:pPr>
        <w:pStyle w:val="5"/>
        <w:shd w:val="clear"/>
        <w:rPr>
          <w:rFonts w:ascii="宋体" w:hAnsi="宋体" w:cs="宋体"/>
          <w:color w:val="auto"/>
          <w:sz w:val="24"/>
          <w:szCs w:val="32"/>
          <w:highlight w:val="none"/>
        </w:rPr>
      </w:pPr>
    </w:p>
    <w:p>
      <w:pPr>
        <w:shd w:val="clear"/>
        <w:rPr>
          <w:rFonts w:ascii="宋体" w:hAnsi="宋体" w:cs="宋体"/>
          <w:color w:val="auto"/>
          <w:sz w:val="24"/>
          <w:szCs w:val="32"/>
          <w:highlight w:val="none"/>
        </w:rPr>
      </w:pPr>
    </w:p>
    <w:p>
      <w:pPr>
        <w:pStyle w:val="5"/>
        <w:shd w:val="clear"/>
        <w:rPr>
          <w:rFonts w:ascii="宋体" w:hAnsi="宋体" w:cs="宋体"/>
          <w:color w:val="auto"/>
          <w:sz w:val="24"/>
          <w:szCs w:val="32"/>
          <w:highlight w:val="none"/>
        </w:rPr>
      </w:pPr>
    </w:p>
    <w:p>
      <w:pPr>
        <w:shd w:val="clear"/>
        <w:rPr>
          <w:rFonts w:ascii="宋体" w:hAnsi="宋体" w:cs="宋体"/>
          <w:color w:val="auto"/>
          <w:sz w:val="24"/>
          <w:szCs w:val="32"/>
          <w:highlight w:val="none"/>
        </w:rPr>
      </w:pPr>
    </w:p>
    <w:p>
      <w:pPr>
        <w:pStyle w:val="5"/>
        <w:shd w:val="clear"/>
        <w:rPr>
          <w:rFonts w:ascii="宋体" w:hAnsi="宋体" w:cs="宋体"/>
          <w:color w:val="auto"/>
          <w:sz w:val="24"/>
          <w:szCs w:val="32"/>
          <w:highlight w:val="none"/>
        </w:rPr>
      </w:pPr>
    </w:p>
    <w:p>
      <w:pPr>
        <w:shd w:val="clear"/>
        <w:rPr>
          <w:rFonts w:ascii="宋体" w:hAnsi="宋体" w:cs="宋体"/>
          <w:color w:val="auto"/>
          <w:sz w:val="24"/>
          <w:szCs w:val="32"/>
          <w:highlight w:val="none"/>
        </w:rPr>
      </w:pPr>
    </w:p>
    <w:p>
      <w:pPr>
        <w:pStyle w:val="5"/>
        <w:shd w:val="clear"/>
        <w:rPr>
          <w:rFonts w:ascii="宋体" w:hAnsi="宋体" w:cs="宋体"/>
          <w:color w:val="auto"/>
          <w:sz w:val="24"/>
          <w:szCs w:val="32"/>
          <w:highlight w:val="none"/>
        </w:rPr>
      </w:pPr>
    </w:p>
    <w:p>
      <w:pPr>
        <w:shd w:val="clear"/>
        <w:rPr>
          <w:rFonts w:ascii="宋体" w:hAnsi="宋体" w:cs="宋体"/>
          <w:color w:val="auto"/>
          <w:sz w:val="24"/>
          <w:szCs w:val="32"/>
          <w:highlight w:val="none"/>
        </w:rPr>
      </w:pPr>
    </w:p>
    <w:p>
      <w:pPr>
        <w:pStyle w:val="5"/>
        <w:shd w:val="clear"/>
        <w:rPr>
          <w:rFonts w:ascii="宋体" w:hAnsi="宋体" w:cs="宋体"/>
          <w:color w:val="auto"/>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jc w:val="left"/>
        <w:outlineLvl w:val="0"/>
        <w:rPr>
          <w:rFonts w:ascii="宋体" w:hAnsi="宋体" w:cs="宋体"/>
          <w:b/>
          <w:bCs/>
          <w:color w:val="auto"/>
          <w:sz w:val="28"/>
          <w:szCs w:val="28"/>
          <w:highlight w:val="none"/>
          <w:lang w:val="zh-CN"/>
        </w:rPr>
      </w:pPr>
      <w:r>
        <w:rPr>
          <w:rFonts w:hint="eastAsia" w:ascii="宋体" w:hAnsi="宋体" w:cs="宋体"/>
          <w:b/>
          <w:bCs/>
          <w:color w:val="auto"/>
          <w:sz w:val="28"/>
          <w:szCs w:val="28"/>
          <w:highlight w:val="none"/>
          <w:lang w:val="zh-CN"/>
        </w:rPr>
        <w:t>附件1</w:t>
      </w:r>
      <w:r>
        <w:rPr>
          <w:rFonts w:hint="eastAsia" w:ascii="宋体" w:hAnsi="宋体" w:cs="宋体"/>
          <w:b/>
          <w:bCs/>
          <w:color w:val="auto"/>
          <w:sz w:val="28"/>
          <w:szCs w:val="28"/>
          <w:highlight w:val="none"/>
        </w:rPr>
        <w:t>5</w:t>
      </w:r>
    </w:p>
    <w:p>
      <w:pPr>
        <w:shd w:val="clear"/>
        <w:spacing w:line="360" w:lineRule="auto"/>
        <w:ind w:left="-2" w:hanging="2"/>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开标一览表</w:t>
      </w: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项目编号：</w:t>
      </w:r>
    </w:p>
    <w:p>
      <w:pPr>
        <w:shd w:val="clear"/>
        <w:spacing w:line="360" w:lineRule="auto"/>
        <w:rPr>
          <w:rFonts w:ascii="宋体" w:hAnsi="宋体" w:cs="宋体"/>
          <w:color w:val="auto"/>
          <w:sz w:val="24"/>
          <w:szCs w:val="24"/>
          <w:highlight w:val="none"/>
        </w:rPr>
      </w:pPr>
      <w:r>
        <w:rPr>
          <w:rFonts w:hint="eastAsia" w:ascii="宋体" w:hAnsi="宋体" w:cs="宋体"/>
          <w:b/>
          <w:bCs/>
          <w:color w:val="auto"/>
          <w:sz w:val="24"/>
          <w:szCs w:val="24"/>
          <w:highlight w:val="none"/>
        </w:rPr>
        <w:t>项目名称：</w:t>
      </w:r>
      <w:r>
        <w:rPr>
          <w:rFonts w:hint="eastAsia" w:ascii="宋体" w:hAnsi="宋体" w:cs="宋体"/>
          <w:color w:val="auto"/>
          <w:sz w:val="24"/>
          <w:szCs w:val="24"/>
          <w:highlight w:val="none"/>
        </w:rPr>
        <w:t xml:space="preserve">                                      [货币单位：人民币元]</w:t>
      </w:r>
    </w:p>
    <w:tbl>
      <w:tblPr>
        <w:tblStyle w:val="29"/>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shd w:val="clear"/>
              <w:autoSpaceDE w:val="0"/>
              <w:autoSpaceDN w:val="0"/>
              <w:spacing w:line="450" w:lineRule="exact"/>
              <w:jc w:val="center"/>
              <w:textAlignment w:val="bottom"/>
              <w:rPr>
                <w:rFonts w:ascii="宋体" w:hAnsi="宋体" w:cs="宋体"/>
                <w:color w:val="auto"/>
                <w:sz w:val="24"/>
                <w:szCs w:val="24"/>
                <w:highlight w:val="none"/>
              </w:rPr>
            </w:pPr>
            <w:r>
              <w:rPr>
                <w:rFonts w:hint="eastAsia" w:ascii="宋体" w:hAnsi="宋体" w:cs="宋体"/>
                <w:color w:val="auto"/>
                <w:sz w:val="24"/>
                <w:szCs w:val="24"/>
                <w:highlight w:val="none"/>
              </w:rPr>
              <w:t>投标总报价（元）</w:t>
            </w:r>
          </w:p>
        </w:tc>
        <w:tc>
          <w:tcPr>
            <w:tcW w:w="1349" w:type="dxa"/>
            <w:vAlign w:val="center"/>
          </w:tcPr>
          <w:p>
            <w:pPr>
              <w:shd w:val="clear"/>
              <w:autoSpaceDE w:val="0"/>
              <w:autoSpaceDN w:val="0"/>
              <w:spacing w:line="450" w:lineRule="exact"/>
              <w:jc w:val="center"/>
              <w:textAlignment w:val="bottom"/>
              <w:rPr>
                <w:rFonts w:ascii="宋体" w:hAnsi="宋体" w:cs="宋体"/>
                <w:color w:val="auto"/>
                <w:sz w:val="24"/>
                <w:szCs w:val="24"/>
                <w:highlight w:val="none"/>
              </w:rPr>
            </w:pPr>
            <w:r>
              <w:rPr>
                <w:rFonts w:hint="eastAsia" w:ascii="宋体" w:hAnsi="宋体" w:cs="宋体"/>
                <w:color w:val="auto"/>
                <w:sz w:val="24"/>
                <w:szCs w:val="24"/>
                <w:highlight w:val="none"/>
              </w:rPr>
              <w:t>大写</w:t>
            </w:r>
          </w:p>
        </w:tc>
        <w:tc>
          <w:tcPr>
            <w:tcW w:w="4629" w:type="dxa"/>
            <w:vAlign w:val="center"/>
          </w:tcPr>
          <w:p>
            <w:pPr>
              <w:shd w:val="clear"/>
              <w:autoSpaceDE w:val="0"/>
              <w:autoSpaceDN w:val="0"/>
              <w:spacing w:line="450" w:lineRule="exact"/>
              <w:jc w:val="center"/>
              <w:textAlignment w:val="bottom"/>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shd w:val="clear"/>
              <w:rPr>
                <w:rFonts w:ascii="宋体" w:hAnsi="宋体" w:cs="宋体"/>
                <w:color w:val="auto"/>
                <w:sz w:val="24"/>
                <w:szCs w:val="24"/>
                <w:highlight w:val="none"/>
              </w:rPr>
            </w:pPr>
          </w:p>
        </w:tc>
        <w:tc>
          <w:tcPr>
            <w:tcW w:w="1349" w:type="dxa"/>
            <w:vAlign w:val="center"/>
          </w:tcPr>
          <w:p>
            <w:pPr>
              <w:shd w:val="clear"/>
              <w:autoSpaceDE w:val="0"/>
              <w:autoSpaceDN w:val="0"/>
              <w:spacing w:line="450" w:lineRule="exact"/>
              <w:jc w:val="center"/>
              <w:textAlignment w:val="bottom"/>
              <w:rPr>
                <w:rFonts w:ascii="宋体" w:hAnsi="宋体" w:cs="宋体"/>
                <w:color w:val="auto"/>
                <w:sz w:val="24"/>
                <w:szCs w:val="24"/>
                <w:highlight w:val="none"/>
              </w:rPr>
            </w:pPr>
            <w:r>
              <w:rPr>
                <w:rFonts w:hint="eastAsia" w:ascii="宋体" w:hAnsi="宋体" w:cs="宋体"/>
                <w:color w:val="auto"/>
                <w:sz w:val="24"/>
                <w:szCs w:val="24"/>
                <w:highlight w:val="none"/>
              </w:rPr>
              <w:t>小写</w:t>
            </w:r>
          </w:p>
        </w:tc>
        <w:tc>
          <w:tcPr>
            <w:tcW w:w="4629" w:type="dxa"/>
            <w:vAlign w:val="center"/>
          </w:tcPr>
          <w:p>
            <w:pPr>
              <w:shd w:val="clear"/>
              <w:autoSpaceDE w:val="0"/>
              <w:autoSpaceDN w:val="0"/>
              <w:spacing w:line="450" w:lineRule="exact"/>
              <w:jc w:val="center"/>
              <w:textAlignment w:val="bottom"/>
              <w:rPr>
                <w:rFonts w:ascii="宋体" w:hAnsi="宋体" w:cs="宋体"/>
                <w:color w:val="auto"/>
                <w:sz w:val="24"/>
                <w:szCs w:val="24"/>
                <w:highlight w:val="none"/>
              </w:rPr>
            </w:pPr>
          </w:p>
        </w:tc>
      </w:tr>
    </w:tbl>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填报要求：</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投标总报价为完成本项目服务及要求所包含的所有费用，投标人应考虑企业自身实力、经验及项目实施过程中的各种因素，在投标报价中应充分考虑所有可能发生的费用，否则采购人将视投标总价中已包括所有费用。</w:t>
      </w:r>
    </w:p>
    <w:p>
      <w:pPr>
        <w:shd w:val="clea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2.报价一经涂改，应在涂改处加盖单位公章，或者由法定代表人（单位负责人）或授权委托代理人签字或盖章，否则其投标作无效标处理。</w:t>
      </w:r>
    </w:p>
    <w:p>
      <w:pPr>
        <w:shd w:val="clear"/>
        <w:spacing w:line="360" w:lineRule="auto"/>
        <w:rPr>
          <w:rFonts w:ascii="宋体" w:hAnsi="宋体" w:cs="宋体"/>
          <w:color w:val="auto"/>
          <w:sz w:val="24"/>
          <w:szCs w:val="24"/>
          <w:highlight w:val="none"/>
        </w:rPr>
      </w:pPr>
    </w:p>
    <w:p>
      <w:pPr>
        <w:shd w:val="clear"/>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t>投标人名称（盖章）：</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法定代表人（单位负责人）或授权委托代理人（签字或盖章）：</w:t>
      </w:r>
    </w:p>
    <w:p>
      <w:pPr>
        <w:shd w:val="clear"/>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t>日期：</w:t>
      </w: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jc w:val="left"/>
        <w:rPr>
          <w:rFonts w:ascii="宋体" w:hAnsi="宋体" w:cs="宋体"/>
          <w:b/>
          <w:bCs/>
          <w:color w:val="auto"/>
          <w:sz w:val="28"/>
          <w:szCs w:val="28"/>
          <w:highlight w:val="none"/>
        </w:rPr>
      </w:pPr>
      <w:r>
        <w:rPr>
          <w:rFonts w:hint="eastAsia" w:ascii="宋体" w:hAnsi="宋体" w:cs="宋体"/>
          <w:b/>
          <w:bCs/>
          <w:color w:val="auto"/>
          <w:sz w:val="28"/>
          <w:szCs w:val="28"/>
          <w:highlight w:val="none"/>
          <w:lang w:val="zh-CN"/>
        </w:rPr>
        <w:t>附件1</w:t>
      </w:r>
      <w:r>
        <w:rPr>
          <w:rFonts w:hint="eastAsia" w:ascii="宋体" w:hAnsi="宋体" w:cs="宋体"/>
          <w:b/>
          <w:bCs/>
          <w:color w:val="auto"/>
          <w:sz w:val="28"/>
          <w:szCs w:val="28"/>
          <w:highlight w:val="none"/>
        </w:rPr>
        <w:t>6</w:t>
      </w:r>
    </w:p>
    <w:p>
      <w:pPr>
        <w:shd w:val="clear"/>
        <w:rPr>
          <w:rFonts w:ascii="宋体" w:hAnsi="宋体" w:cs="宋体"/>
          <w:b/>
          <w:bCs/>
          <w:color w:val="auto"/>
          <w:sz w:val="28"/>
          <w:szCs w:val="28"/>
          <w:highlight w:val="none"/>
        </w:rPr>
      </w:pPr>
    </w:p>
    <w:p>
      <w:pPr>
        <w:shd w:val="clear"/>
        <w:spacing w:line="360" w:lineRule="auto"/>
        <w:ind w:left="-2" w:hanging="2"/>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报价明细表</w:t>
      </w:r>
    </w:p>
    <w:p>
      <w:pPr>
        <w:shd w:val="clea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rPr>
        <w:t>项目名称：</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项目编号：                                      [货币单位：人民币/元]</w:t>
      </w:r>
    </w:p>
    <w:tbl>
      <w:tblPr>
        <w:tblStyle w:val="29"/>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295"/>
        <w:gridCol w:w="1364"/>
        <w:gridCol w:w="1268"/>
        <w:gridCol w:w="1023"/>
        <w:gridCol w:w="1295"/>
        <w:gridCol w:w="778"/>
        <w:gridCol w:w="818"/>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0" w:hRule="atLeast"/>
          <w:jc w:val="center"/>
        </w:trPr>
        <w:tc>
          <w:tcPr>
            <w:tcW w:w="713" w:type="dxa"/>
            <w:vAlign w:val="center"/>
          </w:tcPr>
          <w:p>
            <w:pPr>
              <w:shd w:val="clear"/>
              <w:spacing w:line="360" w:lineRule="auto"/>
              <w:rPr>
                <w:rFonts w:ascii="宋体" w:hAnsi="宋体"/>
                <w:b/>
                <w:color w:val="auto"/>
                <w:sz w:val="24"/>
                <w:highlight w:val="none"/>
              </w:rPr>
            </w:pPr>
            <w:r>
              <w:rPr>
                <w:rFonts w:hint="eastAsia" w:ascii="宋体" w:hAnsi="宋体"/>
                <w:b/>
                <w:color w:val="auto"/>
                <w:sz w:val="24"/>
                <w:highlight w:val="none"/>
              </w:rPr>
              <w:t>序号</w:t>
            </w:r>
          </w:p>
        </w:tc>
        <w:tc>
          <w:tcPr>
            <w:tcW w:w="1295" w:type="dxa"/>
            <w:vAlign w:val="center"/>
          </w:tcPr>
          <w:p>
            <w:pPr>
              <w:shd w:val="clear"/>
              <w:tabs>
                <w:tab w:val="left" w:pos="8280"/>
              </w:tabs>
              <w:autoSpaceDE w:val="0"/>
              <w:autoSpaceDN w:val="0"/>
              <w:adjustRightInd w:val="0"/>
              <w:spacing w:line="360" w:lineRule="auto"/>
              <w:ind w:right="25"/>
              <w:rPr>
                <w:rFonts w:ascii="宋体" w:hAnsi="宋体"/>
                <w:b/>
                <w:color w:val="auto"/>
                <w:sz w:val="24"/>
                <w:highlight w:val="none"/>
              </w:rPr>
            </w:pPr>
            <w:r>
              <w:rPr>
                <w:rFonts w:hint="eastAsia" w:ascii="宋体" w:hAnsi="宋体"/>
                <w:b/>
                <w:color w:val="auto"/>
                <w:sz w:val="24"/>
                <w:highlight w:val="none"/>
              </w:rPr>
              <w:t>报价项目</w:t>
            </w:r>
          </w:p>
        </w:tc>
        <w:tc>
          <w:tcPr>
            <w:tcW w:w="1364" w:type="dxa"/>
            <w:vAlign w:val="center"/>
          </w:tcPr>
          <w:p>
            <w:pPr>
              <w:shd w:val="clear"/>
              <w:tabs>
                <w:tab w:val="left" w:pos="8280"/>
              </w:tabs>
              <w:autoSpaceDE w:val="0"/>
              <w:autoSpaceDN w:val="0"/>
              <w:adjustRightInd w:val="0"/>
              <w:spacing w:line="360" w:lineRule="auto"/>
              <w:ind w:right="25"/>
              <w:jc w:val="center"/>
              <w:rPr>
                <w:rFonts w:ascii="宋体" w:hAnsi="宋体"/>
                <w:b/>
                <w:color w:val="auto"/>
                <w:sz w:val="24"/>
                <w:highlight w:val="none"/>
              </w:rPr>
            </w:pPr>
            <w:r>
              <w:rPr>
                <w:rFonts w:hint="eastAsia" w:ascii="宋体" w:hAnsi="宋体"/>
                <w:b/>
                <w:color w:val="auto"/>
                <w:sz w:val="24"/>
                <w:highlight w:val="none"/>
              </w:rPr>
              <w:t>品牌、产地</w:t>
            </w:r>
          </w:p>
        </w:tc>
        <w:tc>
          <w:tcPr>
            <w:tcW w:w="1268" w:type="dxa"/>
            <w:vAlign w:val="center"/>
          </w:tcPr>
          <w:p>
            <w:pPr>
              <w:shd w:val="clear"/>
              <w:spacing w:line="360" w:lineRule="auto"/>
              <w:ind w:left="52"/>
              <w:jc w:val="center"/>
              <w:rPr>
                <w:rFonts w:ascii="宋体" w:hAnsi="宋体"/>
                <w:b/>
                <w:color w:val="auto"/>
                <w:sz w:val="24"/>
                <w:highlight w:val="none"/>
              </w:rPr>
            </w:pPr>
            <w:r>
              <w:rPr>
                <w:rFonts w:hint="eastAsia" w:ascii="宋体" w:hAnsi="宋体"/>
                <w:b/>
                <w:color w:val="auto"/>
                <w:sz w:val="24"/>
                <w:highlight w:val="none"/>
              </w:rPr>
              <w:t>型号规格</w:t>
            </w:r>
          </w:p>
        </w:tc>
        <w:tc>
          <w:tcPr>
            <w:tcW w:w="1023" w:type="dxa"/>
            <w:vAlign w:val="center"/>
          </w:tcPr>
          <w:p>
            <w:pPr>
              <w:shd w:val="clear"/>
              <w:spacing w:line="360" w:lineRule="auto"/>
              <w:ind w:left="52"/>
              <w:jc w:val="center"/>
              <w:rPr>
                <w:rFonts w:ascii="宋体" w:hAnsi="宋体"/>
                <w:b/>
                <w:color w:val="auto"/>
                <w:sz w:val="24"/>
                <w:highlight w:val="none"/>
              </w:rPr>
            </w:pPr>
            <w:r>
              <w:rPr>
                <w:rFonts w:hint="eastAsia" w:ascii="宋体" w:hAnsi="宋体"/>
                <w:b/>
                <w:color w:val="auto"/>
                <w:sz w:val="24"/>
                <w:highlight w:val="none"/>
              </w:rPr>
              <w:t>制造商名称</w:t>
            </w:r>
          </w:p>
        </w:tc>
        <w:tc>
          <w:tcPr>
            <w:tcW w:w="1295" w:type="dxa"/>
            <w:vAlign w:val="center"/>
          </w:tcPr>
          <w:p>
            <w:pPr>
              <w:shd w:val="clear"/>
              <w:spacing w:line="360" w:lineRule="auto"/>
              <w:ind w:left="52"/>
              <w:jc w:val="center"/>
              <w:rPr>
                <w:rFonts w:ascii="宋体" w:hAnsi="宋体"/>
                <w:b/>
                <w:color w:val="auto"/>
                <w:sz w:val="24"/>
                <w:highlight w:val="none"/>
              </w:rPr>
            </w:pPr>
            <w:r>
              <w:rPr>
                <w:rFonts w:hint="eastAsia" w:ascii="宋体" w:hAnsi="宋体"/>
                <w:b/>
                <w:color w:val="auto"/>
                <w:sz w:val="24"/>
                <w:highlight w:val="none"/>
              </w:rPr>
              <w:t>是否是小微企业</w:t>
            </w:r>
          </w:p>
        </w:tc>
        <w:tc>
          <w:tcPr>
            <w:tcW w:w="778" w:type="dxa"/>
            <w:vAlign w:val="center"/>
          </w:tcPr>
          <w:p>
            <w:pPr>
              <w:shd w:val="clear"/>
              <w:spacing w:line="360" w:lineRule="auto"/>
              <w:jc w:val="center"/>
              <w:rPr>
                <w:rFonts w:ascii="宋体" w:hAnsi="宋体"/>
                <w:b/>
                <w:color w:val="auto"/>
                <w:sz w:val="24"/>
                <w:highlight w:val="none"/>
              </w:rPr>
            </w:pPr>
            <w:r>
              <w:rPr>
                <w:rFonts w:hint="eastAsia" w:ascii="宋体" w:hAnsi="宋体"/>
                <w:b/>
                <w:color w:val="auto"/>
                <w:sz w:val="24"/>
                <w:highlight w:val="none"/>
              </w:rPr>
              <w:t>单价</w:t>
            </w:r>
          </w:p>
        </w:tc>
        <w:tc>
          <w:tcPr>
            <w:tcW w:w="818" w:type="dxa"/>
            <w:vAlign w:val="center"/>
          </w:tcPr>
          <w:p>
            <w:pPr>
              <w:shd w:val="clear"/>
              <w:spacing w:line="360" w:lineRule="auto"/>
              <w:jc w:val="center"/>
              <w:rPr>
                <w:rFonts w:ascii="宋体" w:hAnsi="宋体"/>
                <w:b/>
                <w:color w:val="auto"/>
                <w:sz w:val="24"/>
                <w:highlight w:val="none"/>
              </w:rPr>
            </w:pPr>
            <w:r>
              <w:rPr>
                <w:rFonts w:hint="eastAsia" w:ascii="宋体" w:hAnsi="宋体"/>
                <w:b/>
                <w:color w:val="auto"/>
                <w:sz w:val="24"/>
                <w:highlight w:val="none"/>
              </w:rPr>
              <w:t>小计</w:t>
            </w:r>
          </w:p>
        </w:tc>
        <w:tc>
          <w:tcPr>
            <w:tcW w:w="791" w:type="dxa"/>
            <w:vAlign w:val="center"/>
          </w:tcPr>
          <w:p>
            <w:pPr>
              <w:shd w:val="clear"/>
              <w:spacing w:line="360" w:lineRule="auto"/>
              <w:jc w:val="center"/>
              <w:rPr>
                <w:rFonts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713" w:type="dxa"/>
            <w:vAlign w:val="center"/>
          </w:tcPr>
          <w:p>
            <w:pPr>
              <w:shd w:val="clear"/>
              <w:spacing w:line="360" w:lineRule="auto"/>
              <w:rPr>
                <w:rFonts w:ascii="宋体" w:hAnsi="宋体"/>
                <w:color w:val="auto"/>
                <w:sz w:val="24"/>
                <w:highlight w:val="none"/>
              </w:rPr>
            </w:pPr>
          </w:p>
        </w:tc>
        <w:tc>
          <w:tcPr>
            <w:tcW w:w="1295" w:type="dxa"/>
            <w:vAlign w:val="center"/>
          </w:tcPr>
          <w:p>
            <w:pPr>
              <w:shd w:val="clear"/>
              <w:spacing w:line="360" w:lineRule="auto"/>
              <w:rPr>
                <w:rFonts w:ascii="宋体" w:hAnsi="宋体"/>
                <w:color w:val="auto"/>
                <w:sz w:val="24"/>
                <w:highlight w:val="none"/>
              </w:rPr>
            </w:pPr>
          </w:p>
        </w:tc>
        <w:tc>
          <w:tcPr>
            <w:tcW w:w="1364" w:type="dxa"/>
            <w:vAlign w:val="center"/>
          </w:tcPr>
          <w:p>
            <w:pPr>
              <w:shd w:val="clear"/>
              <w:spacing w:line="360" w:lineRule="auto"/>
              <w:rPr>
                <w:rFonts w:ascii="宋体" w:hAnsi="宋体"/>
                <w:color w:val="auto"/>
                <w:sz w:val="24"/>
                <w:highlight w:val="none"/>
              </w:rPr>
            </w:pPr>
          </w:p>
        </w:tc>
        <w:tc>
          <w:tcPr>
            <w:tcW w:w="1268" w:type="dxa"/>
            <w:vAlign w:val="center"/>
          </w:tcPr>
          <w:p>
            <w:pPr>
              <w:shd w:val="clear"/>
              <w:spacing w:line="360" w:lineRule="auto"/>
              <w:rPr>
                <w:rFonts w:ascii="宋体" w:hAnsi="宋体"/>
                <w:color w:val="auto"/>
                <w:sz w:val="24"/>
                <w:highlight w:val="none"/>
              </w:rPr>
            </w:pPr>
          </w:p>
        </w:tc>
        <w:tc>
          <w:tcPr>
            <w:tcW w:w="1023" w:type="dxa"/>
            <w:vAlign w:val="center"/>
          </w:tcPr>
          <w:p>
            <w:pPr>
              <w:shd w:val="clear"/>
              <w:spacing w:line="360" w:lineRule="auto"/>
              <w:rPr>
                <w:rFonts w:ascii="宋体" w:hAnsi="宋体"/>
                <w:color w:val="auto"/>
                <w:sz w:val="24"/>
                <w:highlight w:val="none"/>
              </w:rPr>
            </w:pPr>
          </w:p>
        </w:tc>
        <w:tc>
          <w:tcPr>
            <w:tcW w:w="1295" w:type="dxa"/>
            <w:vAlign w:val="center"/>
          </w:tcPr>
          <w:p>
            <w:pPr>
              <w:shd w:val="clear"/>
              <w:spacing w:line="360" w:lineRule="auto"/>
              <w:rPr>
                <w:rFonts w:ascii="宋体" w:hAnsi="宋体"/>
                <w:color w:val="auto"/>
                <w:sz w:val="24"/>
                <w:highlight w:val="none"/>
              </w:rPr>
            </w:pPr>
          </w:p>
        </w:tc>
        <w:tc>
          <w:tcPr>
            <w:tcW w:w="778" w:type="dxa"/>
            <w:vAlign w:val="center"/>
          </w:tcPr>
          <w:p>
            <w:pPr>
              <w:shd w:val="clear"/>
              <w:spacing w:line="360" w:lineRule="auto"/>
              <w:rPr>
                <w:rFonts w:ascii="宋体" w:hAnsi="宋体"/>
                <w:color w:val="auto"/>
                <w:sz w:val="24"/>
                <w:highlight w:val="none"/>
              </w:rPr>
            </w:pPr>
          </w:p>
        </w:tc>
        <w:tc>
          <w:tcPr>
            <w:tcW w:w="818" w:type="dxa"/>
            <w:vAlign w:val="center"/>
          </w:tcPr>
          <w:p>
            <w:pPr>
              <w:shd w:val="clear"/>
              <w:spacing w:line="360" w:lineRule="auto"/>
              <w:rPr>
                <w:rFonts w:ascii="宋体" w:hAnsi="宋体"/>
                <w:color w:val="auto"/>
                <w:sz w:val="24"/>
                <w:highlight w:val="none"/>
              </w:rPr>
            </w:pPr>
          </w:p>
        </w:tc>
        <w:tc>
          <w:tcPr>
            <w:tcW w:w="791" w:type="dxa"/>
            <w:vAlign w:val="center"/>
          </w:tcPr>
          <w:p>
            <w:pPr>
              <w:shd w:val="clea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713" w:type="dxa"/>
            <w:vAlign w:val="center"/>
          </w:tcPr>
          <w:p>
            <w:pPr>
              <w:shd w:val="clear"/>
              <w:spacing w:line="360" w:lineRule="auto"/>
              <w:rPr>
                <w:rFonts w:ascii="宋体" w:hAnsi="宋体"/>
                <w:color w:val="auto"/>
                <w:sz w:val="24"/>
                <w:highlight w:val="none"/>
              </w:rPr>
            </w:pPr>
          </w:p>
        </w:tc>
        <w:tc>
          <w:tcPr>
            <w:tcW w:w="1295" w:type="dxa"/>
            <w:vAlign w:val="center"/>
          </w:tcPr>
          <w:p>
            <w:pPr>
              <w:shd w:val="clear"/>
              <w:spacing w:line="360" w:lineRule="auto"/>
              <w:rPr>
                <w:rFonts w:ascii="宋体" w:hAnsi="宋体"/>
                <w:color w:val="auto"/>
                <w:sz w:val="24"/>
                <w:highlight w:val="none"/>
              </w:rPr>
            </w:pPr>
          </w:p>
        </w:tc>
        <w:tc>
          <w:tcPr>
            <w:tcW w:w="1364" w:type="dxa"/>
            <w:vAlign w:val="center"/>
          </w:tcPr>
          <w:p>
            <w:pPr>
              <w:shd w:val="clear"/>
              <w:spacing w:line="360" w:lineRule="auto"/>
              <w:rPr>
                <w:rFonts w:ascii="宋体" w:hAnsi="宋体"/>
                <w:color w:val="auto"/>
                <w:sz w:val="24"/>
                <w:highlight w:val="none"/>
              </w:rPr>
            </w:pPr>
          </w:p>
        </w:tc>
        <w:tc>
          <w:tcPr>
            <w:tcW w:w="1268" w:type="dxa"/>
            <w:vAlign w:val="center"/>
          </w:tcPr>
          <w:p>
            <w:pPr>
              <w:shd w:val="clear"/>
              <w:spacing w:line="360" w:lineRule="auto"/>
              <w:rPr>
                <w:rFonts w:ascii="宋体" w:hAnsi="宋体"/>
                <w:color w:val="auto"/>
                <w:sz w:val="24"/>
                <w:highlight w:val="none"/>
              </w:rPr>
            </w:pPr>
          </w:p>
        </w:tc>
        <w:tc>
          <w:tcPr>
            <w:tcW w:w="1023" w:type="dxa"/>
            <w:vAlign w:val="center"/>
          </w:tcPr>
          <w:p>
            <w:pPr>
              <w:shd w:val="clear"/>
              <w:spacing w:line="360" w:lineRule="auto"/>
              <w:rPr>
                <w:rFonts w:ascii="宋体" w:hAnsi="宋体"/>
                <w:color w:val="auto"/>
                <w:sz w:val="24"/>
                <w:highlight w:val="none"/>
              </w:rPr>
            </w:pPr>
          </w:p>
        </w:tc>
        <w:tc>
          <w:tcPr>
            <w:tcW w:w="1295" w:type="dxa"/>
            <w:vAlign w:val="center"/>
          </w:tcPr>
          <w:p>
            <w:pPr>
              <w:shd w:val="clear"/>
              <w:spacing w:line="360" w:lineRule="auto"/>
              <w:rPr>
                <w:rFonts w:ascii="宋体" w:hAnsi="宋体"/>
                <w:color w:val="auto"/>
                <w:sz w:val="24"/>
                <w:highlight w:val="none"/>
              </w:rPr>
            </w:pPr>
          </w:p>
        </w:tc>
        <w:tc>
          <w:tcPr>
            <w:tcW w:w="778" w:type="dxa"/>
            <w:vAlign w:val="center"/>
          </w:tcPr>
          <w:p>
            <w:pPr>
              <w:shd w:val="clear"/>
              <w:spacing w:line="360" w:lineRule="auto"/>
              <w:rPr>
                <w:rFonts w:ascii="宋体" w:hAnsi="宋体"/>
                <w:color w:val="auto"/>
                <w:sz w:val="24"/>
                <w:highlight w:val="none"/>
              </w:rPr>
            </w:pPr>
          </w:p>
        </w:tc>
        <w:tc>
          <w:tcPr>
            <w:tcW w:w="818" w:type="dxa"/>
            <w:vAlign w:val="center"/>
          </w:tcPr>
          <w:p>
            <w:pPr>
              <w:shd w:val="clear"/>
              <w:spacing w:line="360" w:lineRule="auto"/>
              <w:rPr>
                <w:rFonts w:ascii="宋体" w:hAnsi="宋体"/>
                <w:color w:val="auto"/>
                <w:sz w:val="24"/>
                <w:highlight w:val="none"/>
              </w:rPr>
            </w:pPr>
          </w:p>
        </w:tc>
        <w:tc>
          <w:tcPr>
            <w:tcW w:w="791" w:type="dxa"/>
            <w:vAlign w:val="center"/>
          </w:tcPr>
          <w:p>
            <w:pPr>
              <w:shd w:val="clea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713" w:type="dxa"/>
            <w:vAlign w:val="center"/>
          </w:tcPr>
          <w:p>
            <w:pPr>
              <w:shd w:val="clear"/>
              <w:spacing w:line="360" w:lineRule="auto"/>
              <w:rPr>
                <w:rFonts w:ascii="宋体" w:hAnsi="宋体"/>
                <w:color w:val="auto"/>
                <w:sz w:val="24"/>
                <w:highlight w:val="none"/>
              </w:rPr>
            </w:pPr>
          </w:p>
        </w:tc>
        <w:tc>
          <w:tcPr>
            <w:tcW w:w="1295" w:type="dxa"/>
            <w:vAlign w:val="center"/>
          </w:tcPr>
          <w:p>
            <w:pPr>
              <w:shd w:val="clear"/>
              <w:spacing w:line="360" w:lineRule="auto"/>
              <w:rPr>
                <w:rFonts w:ascii="宋体" w:hAnsi="宋体"/>
                <w:color w:val="auto"/>
                <w:sz w:val="24"/>
                <w:highlight w:val="none"/>
              </w:rPr>
            </w:pPr>
          </w:p>
        </w:tc>
        <w:tc>
          <w:tcPr>
            <w:tcW w:w="1364" w:type="dxa"/>
            <w:vAlign w:val="center"/>
          </w:tcPr>
          <w:p>
            <w:pPr>
              <w:shd w:val="clear"/>
              <w:spacing w:line="360" w:lineRule="auto"/>
              <w:rPr>
                <w:rFonts w:ascii="宋体" w:hAnsi="宋体"/>
                <w:color w:val="auto"/>
                <w:sz w:val="24"/>
                <w:highlight w:val="none"/>
              </w:rPr>
            </w:pPr>
          </w:p>
        </w:tc>
        <w:tc>
          <w:tcPr>
            <w:tcW w:w="1268" w:type="dxa"/>
            <w:vAlign w:val="center"/>
          </w:tcPr>
          <w:p>
            <w:pPr>
              <w:shd w:val="clear"/>
              <w:spacing w:line="360" w:lineRule="auto"/>
              <w:rPr>
                <w:rFonts w:ascii="宋体" w:hAnsi="宋体"/>
                <w:color w:val="auto"/>
                <w:sz w:val="24"/>
                <w:highlight w:val="none"/>
              </w:rPr>
            </w:pPr>
          </w:p>
        </w:tc>
        <w:tc>
          <w:tcPr>
            <w:tcW w:w="1023" w:type="dxa"/>
            <w:vAlign w:val="center"/>
          </w:tcPr>
          <w:p>
            <w:pPr>
              <w:shd w:val="clear"/>
              <w:spacing w:line="360" w:lineRule="auto"/>
              <w:rPr>
                <w:rFonts w:ascii="宋体" w:hAnsi="宋体"/>
                <w:color w:val="auto"/>
                <w:sz w:val="24"/>
                <w:highlight w:val="none"/>
              </w:rPr>
            </w:pPr>
          </w:p>
        </w:tc>
        <w:tc>
          <w:tcPr>
            <w:tcW w:w="1295" w:type="dxa"/>
            <w:vAlign w:val="center"/>
          </w:tcPr>
          <w:p>
            <w:pPr>
              <w:shd w:val="clear"/>
              <w:spacing w:line="360" w:lineRule="auto"/>
              <w:rPr>
                <w:rFonts w:ascii="宋体" w:hAnsi="宋体"/>
                <w:color w:val="auto"/>
                <w:sz w:val="24"/>
                <w:highlight w:val="none"/>
              </w:rPr>
            </w:pPr>
          </w:p>
        </w:tc>
        <w:tc>
          <w:tcPr>
            <w:tcW w:w="778" w:type="dxa"/>
            <w:vAlign w:val="center"/>
          </w:tcPr>
          <w:p>
            <w:pPr>
              <w:shd w:val="clear"/>
              <w:spacing w:line="360" w:lineRule="auto"/>
              <w:rPr>
                <w:rFonts w:ascii="宋体" w:hAnsi="宋体"/>
                <w:color w:val="auto"/>
                <w:sz w:val="24"/>
                <w:highlight w:val="none"/>
              </w:rPr>
            </w:pPr>
          </w:p>
        </w:tc>
        <w:tc>
          <w:tcPr>
            <w:tcW w:w="818" w:type="dxa"/>
            <w:vAlign w:val="center"/>
          </w:tcPr>
          <w:p>
            <w:pPr>
              <w:shd w:val="clear"/>
              <w:spacing w:line="360" w:lineRule="auto"/>
              <w:rPr>
                <w:rFonts w:ascii="宋体" w:hAnsi="宋体"/>
                <w:color w:val="auto"/>
                <w:sz w:val="24"/>
                <w:highlight w:val="none"/>
              </w:rPr>
            </w:pPr>
          </w:p>
        </w:tc>
        <w:tc>
          <w:tcPr>
            <w:tcW w:w="791" w:type="dxa"/>
            <w:vAlign w:val="center"/>
          </w:tcPr>
          <w:p>
            <w:pPr>
              <w:shd w:val="clea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713" w:type="dxa"/>
            <w:vAlign w:val="center"/>
          </w:tcPr>
          <w:p>
            <w:pPr>
              <w:shd w:val="clear"/>
              <w:spacing w:line="360" w:lineRule="auto"/>
              <w:rPr>
                <w:rFonts w:ascii="宋体" w:hAnsi="宋体"/>
                <w:color w:val="auto"/>
                <w:sz w:val="24"/>
                <w:highlight w:val="none"/>
              </w:rPr>
            </w:pPr>
          </w:p>
        </w:tc>
        <w:tc>
          <w:tcPr>
            <w:tcW w:w="1295" w:type="dxa"/>
            <w:vAlign w:val="center"/>
          </w:tcPr>
          <w:p>
            <w:pPr>
              <w:shd w:val="clear"/>
              <w:spacing w:line="360" w:lineRule="auto"/>
              <w:rPr>
                <w:rFonts w:ascii="宋体" w:hAnsi="宋体"/>
                <w:color w:val="auto"/>
                <w:sz w:val="24"/>
                <w:highlight w:val="none"/>
              </w:rPr>
            </w:pPr>
          </w:p>
        </w:tc>
        <w:tc>
          <w:tcPr>
            <w:tcW w:w="1364" w:type="dxa"/>
            <w:vAlign w:val="center"/>
          </w:tcPr>
          <w:p>
            <w:pPr>
              <w:shd w:val="clear"/>
              <w:spacing w:line="360" w:lineRule="auto"/>
              <w:rPr>
                <w:rFonts w:ascii="宋体" w:hAnsi="宋体"/>
                <w:color w:val="auto"/>
                <w:sz w:val="24"/>
                <w:highlight w:val="none"/>
              </w:rPr>
            </w:pPr>
          </w:p>
        </w:tc>
        <w:tc>
          <w:tcPr>
            <w:tcW w:w="1268" w:type="dxa"/>
            <w:vAlign w:val="center"/>
          </w:tcPr>
          <w:p>
            <w:pPr>
              <w:shd w:val="clear"/>
              <w:spacing w:line="360" w:lineRule="auto"/>
              <w:rPr>
                <w:rFonts w:ascii="宋体" w:hAnsi="宋体"/>
                <w:color w:val="auto"/>
                <w:sz w:val="24"/>
                <w:highlight w:val="none"/>
              </w:rPr>
            </w:pPr>
          </w:p>
        </w:tc>
        <w:tc>
          <w:tcPr>
            <w:tcW w:w="1023" w:type="dxa"/>
            <w:vAlign w:val="center"/>
          </w:tcPr>
          <w:p>
            <w:pPr>
              <w:shd w:val="clear"/>
              <w:spacing w:line="360" w:lineRule="auto"/>
              <w:rPr>
                <w:rFonts w:ascii="宋体" w:hAnsi="宋体"/>
                <w:color w:val="auto"/>
                <w:sz w:val="24"/>
                <w:highlight w:val="none"/>
              </w:rPr>
            </w:pPr>
          </w:p>
        </w:tc>
        <w:tc>
          <w:tcPr>
            <w:tcW w:w="1295" w:type="dxa"/>
            <w:vAlign w:val="center"/>
          </w:tcPr>
          <w:p>
            <w:pPr>
              <w:shd w:val="clear"/>
              <w:spacing w:line="360" w:lineRule="auto"/>
              <w:rPr>
                <w:rFonts w:ascii="宋体" w:hAnsi="宋体"/>
                <w:color w:val="auto"/>
                <w:sz w:val="24"/>
                <w:highlight w:val="none"/>
              </w:rPr>
            </w:pPr>
          </w:p>
        </w:tc>
        <w:tc>
          <w:tcPr>
            <w:tcW w:w="778" w:type="dxa"/>
            <w:vAlign w:val="center"/>
          </w:tcPr>
          <w:p>
            <w:pPr>
              <w:shd w:val="clear"/>
              <w:spacing w:line="360" w:lineRule="auto"/>
              <w:rPr>
                <w:rFonts w:ascii="宋体" w:hAnsi="宋体"/>
                <w:color w:val="auto"/>
                <w:sz w:val="24"/>
                <w:highlight w:val="none"/>
              </w:rPr>
            </w:pPr>
          </w:p>
        </w:tc>
        <w:tc>
          <w:tcPr>
            <w:tcW w:w="818" w:type="dxa"/>
            <w:vAlign w:val="center"/>
          </w:tcPr>
          <w:p>
            <w:pPr>
              <w:shd w:val="clear"/>
              <w:spacing w:line="360" w:lineRule="auto"/>
              <w:rPr>
                <w:rFonts w:ascii="宋体" w:hAnsi="宋体"/>
                <w:color w:val="auto"/>
                <w:sz w:val="24"/>
                <w:highlight w:val="none"/>
              </w:rPr>
            </w:pPr>
          </w:p>
        </w:tc>
        <w:tc>
          <w:tcPr>
            <w:tcW w:w="791" w:type="dxa"/>
            <w:vAlign w:val="center"/>
          </w:tcPr>
          <w:p>
            <w:pPr>
              <w:shd w:val="clea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713" w:type="dxa"/>
            <w:vAlign w:val="center"/>
          </w:tcPr>
          <w:p>
            <w:pPr>
              <w:shd w:val="clear"/>
              <w:spacing w:line="360" w:lineRule="auto"/>
              <w:rPr>
                <w:rFonts w:ascii="宋体" w:hAnsi="宋体"/>
                <w:color w:val="auto"/>
                <w:sz w:val="24"/>
                <w:highlight w:val="none"/>
              </w:rPr>
            </w:pPr>
          </w:p>
        </w:tc>
        <w:tc>
          <w:tcPr>
            <w:tcW w:w="1295" w:type="dxa"/>
            <w:vAlign w:val="center"/>
          </w:tcPr>
          <w:p>
            <w:pPr>
              <w:shd w:val="clear"/>
              <w:spacing w:line="360" w:lineRule="auto"/>
              <w:rPr>
                <w:rFonts w:ascii="宋体" w:hAnsi="宋体"/>
                <w:color w:val="auto"/>
                <w:sz w:val="24"/>
                <w:highlight w:val="none"/>
              </w:rPr>
            </w:pPr>
          </w:p>
        </w:tc>
        <w:tc>
          <w:tcPr>
            <w:tcW w:w="1364" w:type="dxa"/>
            <w:vAlign w:val="center"/>
          </w:tcPr>
          <w:p>
            <w:pPr>
              <w:shd w:val="clear"/>
              <w:spacing w:line="360" w:lineRule="auto"/>
              <w:rPr>
                <w:rFonts w:ascii="宋体" w:hAnsi="宋体"/>
                <w:color w:val="auto"/>
                <w:sz w:val="24"/>
                <w:highlight w:val="none"/>
              </w:rPr>
            </w:pPr>
          </w:p>
        </w:tc>
        <w:tc>
          <w:tcPr>
            <w:tcW w:w="1268" w:type="dxa"/>
            <w:vAlign w:val="center"/>
          </w:tcPr>
          <w:p>
            <w:pPr>
              <w:shd w:val="clear"/>
              <w:spacing w:line="360" w:lineRule="auto"/>
              <w:rPr>
                <w:rFonts w:ascii="宋体" w:hAnsi="宋体"/>
                <w:color w:val="auto"/>
                <w:sz w:val="24"/>
                <w:highlight w:val="none"/>
              </w:rPr>
            </w:pPr>
          </w:p>
        </w:tc>
        <w:tc>
          <w:tcPr>
            <w:tcW w:w="1023" w:type="dxa"/>
            <w:vAlign w:val="center"/>
          </w:tcPr>
          <w:p>
            <w:pPr>
              <w:shd w:val="clear"/>
              <w:spacing w:line="360" w:lineRule="auto"/>
              <w:rPr>
                <w:rFonts w:ascii="宋体" w:hAnsi="宋体"/>
                <w:color w:val="auto"/>
                <w:sz w:val="24"/>
                <w:highlight w:val="none"/>
              </w:rPr>
            </w:pPr>
          </w:p>
        </w:tc>
        <w:tc>
          <w:tcPr>
            <w:tcW w:w="1295" w:type="dxa"/>
            <w:vAlign w:val="center"/>
          </w:tcPr>
          <w:p>
            <w:pPr>
              <w:shd w:val="clear"/>
              <w:spacing w:line="360" w:lineRule="auto"/>
              <w:rPr>
                <w:rFonts w:ascii="宋体" w:hAnsi="宋体"/>
                <w:color w:val="auto"/>
                <w:sz w:val="24"/>
                <w:highlight w:val="none"/>
              </w:rPr>
            </w:pPr>
          </w:p>
        </w:tc>
        <w:tc>
          <w:tcPr>
            <w:tcW w:w="778" w:type="dxa"/>
            <w:vAlign w:val="center"/>
          </w:tcPr>
          <w:p>
            <w:pPr>
              <w:shd w:val="clear"/>
              <w:spacing w:line="360" w:lineRule="auto"/>
              <w:rPr>
                <w:rFonts w:ascii="宋体" w:hAnsi="宋体"/>
                <w:color w:val="auto"/>
                <w:sz w:val="24"/>
                <w:highlight w:val="none"/>
              </w:rPr>
            </w:pPr>
          </w:p>
        </w:tc>
        <w:tc>
          <w:tcPr>
            <w:tcW w:w="818" w:type="dxa"/>
            <w:vAlign w:val="center"/>
          </w:tcPr>
          <w:p>
            <w:pPr>
              <w:shd w:val="clear"/>
              <w:spacing w:line="360" w:lineRule="auto"/>
              <w:rPr>
                <w:rFonts w:ascii="宋体" w:hAnsi="宋体"/>
                <w:color w:val="auto"/>
                <w:sz w:val="24"/>
                <w:highlight w:val="none"/>
              </w:rPr>
            </w:pPr>
          </w:p>
        </w:tc>
        <w:tc>
          <w:tcPr>
            <w:tcW w:w="791" w:type="dxa"/>
            <w:vAlign w:val="center"/>
          </w:tcPr>
          <w:p>
            <w:pPr>
              <w:shd w:val="clea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13" w:type="dxa"/>
            <w:vAlign w:val="center"/>
          </w:tcPr>
          <w:p>
            <w:pPr>
              <w:shd w:val="clear"/>
              <w:spacing w:line="360" w:lineRule="auto"/>
              <w:rPr>
                <w:rFonts w:ascii="宋体" w:hAnsi="宋体"/>
                <w:color w:val="auto"/>
                <w:sz w:val="24"/>
                <w:highlight w:val="none"/>
              </w:rPr>
            </w:pPr>
          </w:p>
        </w:tc>
        <w:tc>
          <w:tcPr>
            <w:tcW w:w="8632" w:type="dxa"/>
            <w:gridSpan w:val="8"/>
            <w:vAlign w:val="center"/>
          </w:tcPr>
          <w:p>
            <w:pPr>
              <w:shd w:val="clear"/>
              <w:spacing w:line="360" w:lineRule="auto"/>
              <w:rPr>
                <w:rFonts w:ascii="宋体" w:hAnsi="宋体"/>
                <w:b/>
                <w:color w:val="auto"/>
                <w:sz w:val="24"/>
                <w:highlight w:val="none"/>
              </w:rPr>
            </w:pPr>
            <w:r>
              <w:rPr>
                <w:rFonts w:hint="eastAsia" w:ascii="宋体" w:hAnsi="宋体"/>
                <w:b/>
                <w:color w:val="auto"/>
                <w:sz w:val="24"/>
                <w:highlight w:val="none"/>
              </w:rPr>
              <w:t>人民币：大写                           小写</w:t>
            </w:r>
          </w:p>
        </w:tc>
      </w:tr>
    </w:tbl>
    <w:p>
      <w:pPr>
        <w:shd w:val="clea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要求：</w:t>
      </w:r>
    </w:p>
    <w:p>
      <w:pPr>
        <w:shd w:val="clear"/>
        <w:spacing w:line="360" w:lineRule="auto"/>
        <w:ind w:firstLine="480" w:firstLineChars="200"/>
        <w:rPr>
          <w:rFonts w:ascii="宋体" w:hAnsi="宋体" w:cs="宋体"/>
          <w:color w:val="auto"/>
          <w:sz w:val="24"/>
          <w:szCs w:val="24"/>
          <w:highlight w:val="none"/>
          <w:lang w:val="zh-CN"/>
        </w:rPr>
      </w:pPr>
      <w:r>
        <w:rPr>
          <w:rFonts w:ascii="宋体" w:hAnsi="宋体" w:cs="宋体"/>
          <w:color w:val="auto"/>
          <w:sz w:val="24"/>
          <w:szCs w:val="24"/>
          <w:highlight w:val="none"/>
        </w:rPr>
        <w:t>1.</w:t>
      </w:r>
      <w:r>
        <w:rPr>
          <w:rFonts w:hint="eastAsia" w:ascii="宋体" w:hAnsi="宋体" w:cs="宋体"/>
          <w:color w:val="auto"/>
          <w:sz w:val="24"/>
          <w:szCs w:val="24"/>
          <w:highlight w:val="none"/>
        </w:rPr>
        <w:t>本表为《开标一览表》的报价明细表，如有缺项、漏项，视为投标报价</w:t>
      </w:r>
      <w:r>
        <w:rPr>
          <w:rFonts w:hint="eastAsia" w:ascii="宋体" w:hAnsi="宋体" w:cs="宋体"/>
          <w:color w:val="auto"/>
          <w:sz w:val="24"/>
          <w:szCs w:val="24"/>
          <w:highlight w:val="none"/>
          <w:lang w:val="zh-CN"/>
        </w:rPr>
        <w:t>中已包含相关费用，采购人无需另外支付任何费用。</w:t>
      </w:r>
    </w:p>
    <w:p>
      <w:pPr>
        <w:shd w:val="clear"/>
        <w:spacing w:line="360" w:lineRule="auto"/>
        <w:ind w:firstLine="480" w:firstLineChars="200"/>
        <w:rPr>
          <w:rFonts w:ascii="宋体" w:hAnsi="宋体" w:cs="宋体"/>
          <w:color w:val="auto"/>
          <w:sz w:val="24"/>
          <w:szCs w:val="24"/>
          <w:highlight w:val="none"/>
          <w:lang w:val="zh-CN"/>
        </w:rPr>
      </w:pPr>
      <w:r>
        <w:rPr>
          <w:rFonts w:ascii="宋体" w:hAnsi="宋体" w:cs="宋体"/>
          <w:color w:val="auto"/>
          <w:sz w:val="24"/>
          <w:szCs w:val="24"/>
          <w:highlight w:val="none"/>
          <w:lang w:val="zh-CN"/>
        </w:rPr>
        <w:t>2.</w:t>
      </w:r>
      <w:r>
        <w:rPr>
          <w:rFonts w:hint="eastAsia" w:ascii="宋体" w:hAnsi="宋体" w:cs="宋体"/>
          <w:color w:val="auto"/>
          <w:sz w:val="24"/>
          <w:szCs w:val="24"/>
          <w:highlight w:val="none"/>
          <w:lang w:val="zh-CN"/>
        </w:rPr>
        <w:t>“报价明细表”中的报价合计应与“开标一览表”中的投标总报价相一致，不一致时，以开标一览表为准。</w:t>
      </w:r>
    </w:p>
    <w:p>
      <w:pPr>
        <w:shd w:val="clear"/>
        <w:spacing w:line="360" w:lineRule="auto"/>
        <w:ind w:firstLine="480" w:firstLineChars="200"/>
        <w:rPr>
          <w:rFonts w:ascii="宋体" w:hAnsi="宋体" w:cs="宋体"/>
          <w:color w:val="auto"/>
          <w:sz w:val="24"/>
          <w:szCs w:val="24"/>
          <w:highlight w:val="none"/>
          <w:lang w:val="zh-CN"/>
        </w:rPr>
      </w:pPr>
      <w:r>
        <w:rPr>
          <w:rFonts w:ascii="宋体" w:hAnsi="宋体" w:cs="宋体"/>
          <w:color w:val="auto"/>
          <w:sz w:val="24"/>
          <w:szCs w:val="24"/>
          <w:highlight w:val="none"/>
          <w:lang w:val="zh-CN"/>
        </w:rPr>
        <w:t>3.</w:t>
      </w:r>
      <w:r>
        <w:rPr>
          <w:rFonts w:hint="eastAsia" w:ascii="宋体" w:hAnsi="宋体" w:cs="宋体"/>
          <w:color w:val="auto"/>
          <w:sz w:val="24"/>
          <w:szCs w:val="24"/>
          <w:highlight w:val="none"/>
          <w:lang w:val="zh-CN"/>
        </w:rPr>
        <w:t>投标报价明细表所填内容按招标文件采购</w:t>
      </w:r>
      <w:r>
        <w:rPr>
          <w:rFonts w:hint="eastAsia" w:ascii="宋体" w:hAnsi="宋体" w:cs="宋体"/>
          <w:color w:val="auto"/>
          <w:sz w:val="24"/>
          <w:szCs w:val="24"/>
          <w:highlight w:val="none"/>
        </w:rPr>
        <w:t>内容</w:t>
      </w:r>
      <w:r>
        <w:rPr>
          <w:rFonts w:hint="eastAsia" w:ascii="宋体" w:hAnsi="宋体" w:cs="宋体"/>
          <w:color w:val="auto"/>
          <w:sz w:val="24"/>
          <w:szCs w:val="24"/>
          <w:highlight w:val="none"/>
          <w:lang w:val="zh-CN"/>
        </w:rPr>
        <w:t>要求为准。如有漏报的，视同已包含在投标总价内或已作优惠处理。有重大缺项的将作无效标处理。</w:t>
      </w:r>
    </w:p>
    <w:p>
      <w:pPr>
        <w:shd w:val="clear"/>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t>投标人名称（盖章）：</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法定代表人（单位负责人）或授权委托代理人（签字或盖章）：</w:t>
      </w:r>
    </w:p>
    <w:p>
      <w:pPr>
        <w:shd w:val="clear"/>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t>日期：</w:t>
      </w:r>
    </w:p>
    <w:p>
      <w:pPr>
        <w:shd w:val="clear"/>
        <w:spacing w:line="360" w:lineRule="auto"/>
        <w:rPr>
          <w:rFonts w:ascii="宋体" w:hAnsi="宋体" w:cs="宋体"/>
          <w:color w:val="auto"/>
          <w:sz w:val="24"/>
          <w:szCs w:val="24"/>
          <w:highlight w:val="none"/>
        </w:rPr>
      </w:pPr>
    </w:p>
    <w:p>
      <w:pPr>
        <w:shd w:val="clear"/>
        <w:spacing w:line="360" w:lineRule="auto"/>
        <w:jc w:val="left"/>
        <w:rPr>
          <w:rFonts w:ascii="宋体"/>
          <w:b/>
          <w:bCs/>
          <w:color w:val="auto"/>
          <w:sz w:val="28"/>
          <w:szCs w:val="28"/>
          <w:highlight w:val="none"/>
        </w:rPr>
      </w:pPr>
      <w:r>
        <w:rPr>
          <w:rFonts w:hint="eastAsia" w:ascii="宋体" w:hAnsi="宋体" w:cs="宋体"/>
          <w:b/>
          <w:bCs/>
          <w:color w:val="auto"/>
          <w:sz w:val="28"/>
          <w:szCs w:val="28"/>
          <w:highlight w:val="none"/>
        </w:rPr>
        <w:t>附件</w:t>
      </w:r>
      <w:r>
        <w:rPr>
          <w:rFonts w:ascii="宋体" w:hAnsi="宋体" w:cs="宋体"/>
          <w:b/>
          <w:bCs/>
          <w:color w:val="auto"/>
          <w:sz w:val="28"/>
          <w:szCs w:val="28"/>
          <w:highlight w:val="none"/>
        </w:rPr>
        <w:t>1</w:t>
      </w:r>
      <w:r>
        <w:rPr>
          <w:rFonts w:hint="eastAsia" w:ascii="宋体" w:hAnsi="宋体" w:cs="宋体"/>
          <w:b/>
          <w:bCs/>
          <w:color w:val="auto"/>
          <w:sz w:val="28"/>
          <w:szCs w:val="28"/>
          <w:highlight w:val="none"/>
        </w:rPr>
        <w:t>7</w:t>
      </w:r>
    </w:p>
    <w:p>
      <w:pPr>
        <w:shd w:val="clea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shd w:val="clear"/>
        <w:spacing w:line="360" w:lineRule="auto"/>
        <w:ind w:firstLine="480" w:firstLineChars="200"/>
        <w:jc w:val="left"/>
        <w:rPr>
          <w:color w:val="auto"/>
          <w:highlight w:val="none"/>
        </w:rPr>
      </w:pPr>
      <w:r>
        <w:rPr>
          <w:rFonts w:hint="eastAsia" w:ascii="宋体" w:hAnsi="宋体" w:cs="宋体"/>
          <w:color w:val="auto"/>
          <w:sz w:val="24"/>
          <w:szCs w:val="24"/>
          <w:highlight w:val="none"/>
          <w:shd w:val="clear" w:color="auto" w:fill="FFFFFF"/>
        </w:rPr>
        <w:t>本公司（联合体）郑重声明，根据《政府采购促进中小企业发展管理办法》（财库﹝2020﹞46号）的规定，本公司（联合体）参加</w:t>
      </w:r>
      <w:r>
        <w:rPr>
          <w:rFonts w:hint="eastAsia" w:ascii="宋体" w:hAnsi="宋体" w:cs="宋体"/>
          <w:color w:val="auto"/>
          <w:sz w:val="24"/>
          <w:szCs w:val="24"/>
          <w:highlight w:val="none"/>
          <w:u w:val="single"/>
          <w:shd w:val="clear" w:color="auto" w:fill="FFFFFF"/>
        </w:rPr>
        <w:t>台州市黄岩区市场监督管理局（单位名称）</w:t>
      </w:r>
      <w:r>
        <w:rPr>
          <w:rFonts w:hint="eastAsia" w:ascii="宋体" w:hAnsi="宋体" w:cs="宋体"/>
          <w:color w:val="auto"/>
          <w:sz w:val="24"/>
          <w:szCs w:val="24"/>
          <w:highlight w:val="none"/>
          <w:shd w:val="clear" w:color="auto" w:fill="FFFFFF"/>
        </w:rPr>
        <w:t>的</w:t>
      </w:r>
      <w:r>
        <w:rPr>
          <w:rFonts w:hint="eastAsia" w:ascii="宋体" w:hAnsi="宋体" w:cs="宋体"/>
          <w:color w:val="auto"/>
          <w:sz w:val="24"/>
          <w:szCs w:val="24"/>
          <w:highlight w:val="none"/>
          <w:u w:val="single"/>
          <w:shd w:val="clear" w:color="auto" w:fill="FFFFFF"/>
        </w:rPr>
        <w:t>快速维权中心二期建设项目（机房及展厅建设）——智能化及配套设备采购项目（项目名称）</w:t>
      </w:r>
      <w:r>
        <w:rPr>
          <w:rFonts w:hint="eastAsia" w:ascii="宋体" w:hAnsi="宋体" w:cs="宋体"/>
          <w:color w:val="auto"/>
          <w:sz w:val="24"/>
          <w:szCs w:val="24"/>
          <w:highlight w:val="none"/>
          <w:shd w:val="clear" w:color="auto" w:fill="FFFFFF"/>
        </w:rPr>
        <w:t>采购活动，提供的货物全部由符合政策要求的中小企业制造。相关企业（含联合体中的中小企业、签订分包意向协议的中小企业）的具体情况如下：</w:t>
      </w:r>
    </w:p>
    <w:p>
      <w:pPr>
        <w:shd w:val="clea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1.</w:t>
      </w:r>
      <w:r>
        <w:rPr>
          <w:rFonts w:hint="eastAsia" w:ascii="宋体" w:hAnsi="宋体" w:cs="宋体"/>
          <w:bCs/>
          <w:color w:val="auto"/>
          <w:sz w:val="24"/>
          <w:highlight w:val="none"/>
          <w:u w:val="single"/>
        </w:rPr>
        <w:t>（标的名称）</w:t>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（采购文件中明确的所属行业）</w:t>
      </w:r>
      <w:r>
        <w:rPr>
          <w:rFonts w:hint="eastAsia" w:ascii="宋体" w:hAnsi="宋体" w:cs="宋体"/>
          <w:bCs/>
          <w:color w:val="auto"/>
          <w:sz w:val="24"/>
          <w:highlight w:val="none"/>
        </w:rPr>
        <w:t>行业；制造商为</w:t>
      </w:r>
      <w:r>
        <w:rPr>
          <w:rFonts w:hint="eastAsia" w:ascii="宋体" w:hAnsi="宋体" w:cs="宋体"/>
          <w:bCs/>
          <w:color w:val="auto"/>
          <w:sz w:val="24"/>
          <w:highlight w:val="none"/>
          <w:u w:val="single"/>
        </w:rPr>
        <w:t>（企业名称）</w:t>
      </w:r>
      <w:r>
        <w:rPr>
          <w:rFonts w:hint="eastAsia" w:ascii="宋体" w:hAnsi="宋体" w:cs="宋体"/>
          <w:bCs/>
          <w:color w:val="auto"/>
          <w:sz w:val="24"/>
          <w:highlight w:val="none"/>
        </w:rPr>
        <w:t>，从业人员人，营业收入为万元，资产总额为万元</w:t>
      </w:r>
      <w:r>
        <w:rPr>
          <w:rStyle w:val="36"/>
          <w:rFonts w:hint="eastAsia" w:ascii="宋体" w:hAnsi="宋体" w:cs="宋体"/>
          <w:bCs/>
          <w:color w:val="auto"/>
          <w:sz w:val="24"/>
          <w:highlight w:val="none"/>
        </w:rPr>
        <w:footnoteReference w:id="0"/>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（中型企业、小型企业、微型企业）</w:t>
      </w:r>
      <w:r>
        <w:rPr>
          <w:rFonts w:hint="eastAsia" w:ascii="宋体" w:hAnsi="宋体" w:cs="宋体"/>
          <w:bCs/>
          <w:color w:val="auto"/>
          <w:sz w:val="24"/>
          <w:highlight w:val="none"/>
        </w:rPr>
        <w:t>；</w:t>
      </w:r>
    </w:p>
    <w:p>
      <w:pPr>
        <w:shd w:val="clea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u w:val="single"/>
        </w:rPr>
        <w:t>（标的名称）</w:t>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（采购文件中明确的所属行业）</w:t>
      </w:r>
      <w:r>
        <w:rPr>
          <w:rFonts w:hint="eastAsia" w:ascii="宋体" w:hAnsi="宋体" w:cs="宋体"/>
          <w:bCs/>
          <w:color w:val="auto"/>
          <w:sz w:val="24"/>
          <w:highlight w:val="none"/>
        </w:rPr>
        <w:t>行业；制造商为</w:t>
      </w:r>
      <w:r>
        <w:rPr>
          <w:rFonts w:hint="eastAsia" w:ascii="宋体" w:hAnsi="宋体" w:cs="宋体"/>
          <w:bCs/>
          <w:color w:val="auto"/>
          <w:sz w:val="24"/>
          <w:highlight w:val="none"/>
          <w:u w:val="single"/>
        </w:rPr>
        <w:t>（企业名称）</w:t>
      </w:r>
      <w:r>
        <w:rPr>
          <w:rFonts w:hint="eastAsia" w:ascii="宋体" w:hAnsi="宋体" w:cs="宋体"/>
          <w:bCs/>
          <w:color w:val="auto"/>
          <w:sz w:val="24"/>
          <w:highlight w:val="none"/>
        </w:rPr>
        <w:t>，从业人员人，营业收入为万元，资产总额为万元，属于</w:t>
      </w:r>
      <w:r>
        <w:rPr>
          <w:rFonts w:hint="eastAsia" w:ascii="宋体" w:hAnsi="宋体" w:cs="宋体"/>
          <w:bCs/>
          <w:color w:val="auto"/>
          <w:sz w:val="24"/>
          <w:highlight w:val="none"/>
          <w:u w:val="single"/>
        </w:rPr>
        <w:t>（中型企业、小型企业、微型企业）</w:t>
      </w:r>
      <w:r>
        <w:rPr>
          <w:rFonts w:hint="eastAsia" w:ascii="宋体" w:hAnsi="宋体" w:cs="宋体"/>
          <w:bCs/>
          <w:color w:val="auto"/>
          <w:sz w:val="24"/>
          <w:highlight w:val="none"/>
        </w:rPr>
        <w:t>；</w:t>
      </w:r>
    </w:p>
    <w:p>
      <w:pPr>
        <w:shd w:val="clea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w:t>
      </w:r>
    </w:p>
    <w:p>
      <w:pPr>
        <w:shd w:val="clea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以上企业，不属于大企业的分支机构，不存在控股股东为大企业的情形，也不存在与大企业的负责人为同一人的情形。</w:t>
      </w:r>
    </w:p>
    <w:p>
      <w:pPr>
        <w:shd w:val="clea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 xml:space="preserve">本企业对上述声明内容的真实性负责。如有虚假，将依法承担相应责任。 </w:t>
      </w:r>
    </w:p>
    <w:p>
      <w:pPr>
        <w:shd w:val="clear"/>
        <w:spacing w:line="360" w:lineRule="auto"/>
        <w:jc w:val="left"/>
        <w:rPr>
          <w:rFonts w:ascii="宋体" w:hAnsi="宋体" w:cs="宋体"/>
          <w:bCs/>
          <w:color w:val="auto"/>
          <w:sz w:val="24"/>
          <w:highlight w:val="none"/>
        </w:rPr>
      </w:pPr>
    </w:p>
    <w:p>
      <w:pPr>
        <w:shd w:val="clea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企业名称（盖章）：</w:t>
      </w:r>
    </w:p>
    <w:p>
      <w:pPr>
        <w:shd w:val="clea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日    期：</w:t>
      </w:r>
    </w:p>
    <w:p>
      <w:pPr>
        <w:shd w:val="clear"/>
        <w:spacing w:line="360" w:lineRule="auto"/>
        <w:jc w:val="left"/>
        <w:rPr>
          <w:rFonts w:ascii="宋体" w:hAnsi="宋体" w:cs="宋体"/>
          <w:bCs/>
          <w:color w:val="auto"/>
          <w:sz w:val="24"/>
          <w:highlight w:val="none"/>
        </w:rPr>
      </w:pPr>
    </w:p>
    <w:p>
      <w:pPr>
        <w:shd w:val="clear"/>
        <w:spacing w:line="360" w:lineRule="auto"/>
        <w:jc w:val="left"/>
        <w:rPr>
          <w:rFonts w:ascii="宋体" w:hAnsi="宋体" w:cs="宋体"/>
          <w:bCs/>
          <w:color w:val="auto"/>
          <w:sz w:val="24"/>
          <w:highlight w:val="none"/>
        </w:rPr>
      </w:pPr>
    </w:p>
    <w:p>
      <w:pPr>
        <w:shd w:val="clear"/>
        <w:spacing w:line="360" w:lineRule="auto"/>
        <w:jc w:val="left"/>
        <w:rPr>
          <w:rFonts w:ascii="宋体" w:hAnsi="宋体" w:cs="宋体"/>
          <w:bCs/>
          <w:color w:val="auto"/>
          <w:sz w:val="24"/>
          <w:highlight w:val="none"/>
        </w:rPr>
      </w:pPr>
    </w:p>
    <w:p>
      <w:pPr>
        <w:shd w:val="clear"/>
        <w:spacing w:line="360" w:lineRule="auto"/>
        <w:rPr>
          <w:rFonts w:ascii="宋体" w:hAnsi="宋体" w:cs="宋体"/>
          <w:color w:val="auto"/>
          <w:sz w:val="24"/>
          <w:szCs w:val="24"/>
          <w:highlight w:val="none"/>
        </w:rPr>
      </w:pPr>
    </w:p>
    <w:p>
      <w:pPr>
        <w:shd w:val="clear"/>
        <w:spacing w:line="360" w:lineRule="auto"/>
        <w:rPr>
          <w:rFonts w:ascii="宋体" w:hAnsi="宋体" w:cs="宋体"/>
          <w:color w:val="auto"/>
          <w:sz w:val="24"/>
          <w:szCs w:val="24"/>
          <w:highlight w:val="none"/>
        </w:rPr>
      </w:pPr>
    </w:p>
    <w:p>
      <w:pPr>
        <w:shd w:val="clear"/>
        <w:spacing w:line="360" w:lineRule="auto"/>
        <w:jc w:val="left"/>
        <w:rPr>
          <w:rFonts w:ascii="宋体" w:hAnsi="宋体" w:cs="宋体"/>
          <w:bCs/>
          <w:color w:val="auto"/>
          <w:sz w:val="24"/>
          <w:highlight w:val="none"/>
        </w:rPr>
      </w:pPr>
    </w:p>
    <w:p>
      <w:pPr>
        <w:shd w:val="clear"/>
        <w:spacing w:line="360" w:lineRule="auto"/>
        <w:jc w:val="left"/>
        <w:rPr>
          <w:rFonts w:ascii="宋体" w:hAnsi="宋体" w:cs="宋体"/>
          <w:bCs/>
          <w:color w:val="auto"/>
          <w:sz w:val="24"/>
          <w:highlight w:val="none"/>
        </w:rPr>
      </w:pPr>
    </w:p>
    <w:p>
      <w:pPr>
        <w:shd w:val="clear"/>
        <w:spacing w:line="360" w:lineRule="auto"/>
        <w:ind w:left="-2" w:hanging="2"/>
        <w:jc w:val="center"/>
        <w:rPr>
          <w:rFonts w:ascii="宋体" w:hAnsi="宋体" w:cs="宋体"/>
          <w:b/>
          <w:color w:val="auto"/>
          <w:sz w:val="32"/>
          <w:szCs w:val="32"/>
          <w:highlight w:val="none"/>
          <w:lang w:val="en-GB"/>
        </w:rPr>
      </w:pPr>
      <w:r>
        <w:rPr>
          <w:rFonts w:hint="eastAsia" w:ascii="宋体" w:hAnsi="宋体" w:cs="宋体"/>
          <w:b/>
          <w:color w:val="auto"/>
          <w:sz w:val="32"/>
          <w:szCs w:val="32"/>
          <w:highlight w:val="none"/>
          <w:lang w:val="en-GB"/>
        </w:rPr>
        <w:t>残疾人福利性单位声明函</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sz w:val="24"/>
          <w:highlight w:val="none"/>
          <w:u w:val="single"/>
        </w:rPr>
        <w:t>台州市黄岩区市场监督管理局</w:t>
      </w:r>
      <w:r>
        <w:rPr>
          <w:rFonts w:hint="eastAsia" w:ascii="宋体" w:hAnsi="宋体" w:cs="宋体"/>
          <w:color w:val="auto"/>
          <w:sz w:val="24"/>
          <w:highlight w:val="none"/>
        </w:rPr>
        <w:t>的</w:t>
      </w:r>
      <w:r>
        <w:rPr>
          <w:rFonts w:hint="eastAsia" w:ascii="宋体" w:hAnsi="宋体" w:cs="宋体"/>
          <w:color w:val="auto"/>
          <w:sz w:val="24"/>
          <w:highlight w:val="none"/>
          <w:u w:val="single"/>
        </w:rPr>
        <w:t>快速维权中心二期建设项目（机房及展厅建设）——智能化及配套设备采购项目</w:t>
      </w:r>
      <w:r>
        <w:rPr>
          <w:rFonts w:hint="eastAsia" w:ascii="宋体" w:hAnsi="宋体" w:cs="宋体"/>
          <w:color w:val="auto"/>
          <w:sz w:val="24"/>
          <w:highlight w:val="none"/>
        </w:rPr>
        <w:t>采购活动提供本单位制造的货物（由本单位承担工程/提供服务），或者提供其他残疾人福利性单位制造的货物（不包括使用非残疾人福利性单位注册商标的货物）。</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hd w:val="clear"/>
        <w:spacing w:line="360" w:lineRule="auto"/>
        <w:ind w:firstLine="480" w:firstLineChars="200"/>
        <w:rPr>
          <w:rFonts w:ascii="宋体" w:hAnsi="宋体" w:cs="宋体"/>
          <w:color w:val="auto"/>
          <w:sz w:val="24"/>
          <w:highlight w:val="none"/>
        </w:rPr>
      </w:pPr>
    </w:p>
    <w:p>
      <w:pPr>
        <w:shd w:val="clear"/>
        <w:spacing w:line="360" w:lineRule="auto"/>
        <w:ind w:firstLine="3120" w:firstLineChars="1300"/>
        <w:rPr>
          <w:rFonts w:ascii="宋体" w:hAnsi="宋体" w:cs="宋体"/>
          <w:bCs/>
          <w:color w:val="auto"/>
          <w:sz w:val="24"/>
          <w:highlight w:val="none"/>
        </w:rPr>
      </w:pPr>
      <w:r>
        <w:rPr>
          <w:rFonts w:hint="eastAsia" w:ascii="宋体" w:hAnsi="宋体" w:cs="宋体"/>
          <w:bCs/>
          <w:color w:val="auto"/>
          <w:sz w:val="24"/>
          <w:highlight w:val="none"/>
        </w:rPr>
        <w:t>单位名称（单位公章）：</w:t>
      </w:r>
    </w:p>
    <w:p>
      <w:pPr>
        <w:shd w:val="clear"/>
        <w:spacing w:line="360" w:lineRule="auto"/>
        <w:ind w:firstLine="5040" w:firstLineChars="2100"/>
        <w:rPr>
          <w:rFonts w:ascii="宋体" w:hAnsi="宋体" w:cs="宋体"/>
          <w:color w:val="auto"/>
          <w:highlight w:val="none"/>
        </w:rPr>
      </w:pPr>
      <w:r>
        <w:rPr>
          <w:rFonts w:hint="eastAsia" w:ascii="宋体" w:hAnsi="宋体" w:cs="宋体"/>
          <w:bCs/>
          <w:color w:val="auto"/>
          <w:sz w:val="24"/>
          <w:highlight w:val="none"/>
        </w:rPr>
        <w:t>日期：年月日</w:t>
      </w:r>
    </w:p>
    <w:p>
      <w:pPr>
        <w:pStyle w:val="20"/>
        <w:shd w:val="clear"/>
        <w:rPr>
          <w:color w:val="auto"/>
          <w:highlight w:val="none"/>
        </w:rPr>
      </w:pPr>
    </w:p>
    <w:p>
      <w:pPr>
        <w:shd w:val="clear"/>
        <w:spacing w:line="360" w:lineRule="auto"/>
        <w:rPr>
          <w:rFonts w:ascii="宋体" w:hAnsi="宋体" w:cs="宋体"/>
          <w:b/>
          <w:bCs/>
          <w:color w:val="auto"/>
          <w:sz w:val="24"/>
          <w:highlight w:val="none"/>
        </w:rPr>
      </w:pPr>
    </w:p>
    <w:p>
      <w:pPr>
        <w:shd w:val="clear"/>
        <w:spacing w:line="360" w:lineRule="auto"/>
        <w:rPr>
          <w:rFonts w:ascii="宋体" w:hAnsi="宋体" w:cs="宋体"/>
          <w:b/>
          <w:bCs/>
          <w:color w:val="auto"/>
          <w:sz w:val="24"/>
          <w:highlight w:val="none"/>
        </w:rPr>
      </w:pPr>
      <w:r>
        <w:rPr>
          <w:rFonts w:hint="eastAsia" w:ascii="宋体" w:hAnsi="宋体" w:cs="宋体"/>
          <w:b/>
          <w:bCs/>
          <w:color w:val="auto"/>
          <w:sz w:val="24"/>
          <w:highlight w:val="none"/>
        </w:rPr>
        <w:t>填表说明：</w:t>
      </w:r>
    </w:p>
    <w:p>
      <w:pPr>
        <w:shd w:val="clear"/>
        <w:spacing w:line="360" w:lineRule="auto"/>
        <w:rPr>
          <w:rFonts w:ascii="宋体" w:hAnsi="宋体" w:cs="宋体"/>
          <w:b/>
          <w:bCs/>
          <w:color w:val="auto"/>
          <w:sz w:val="24"/>
          <w:highlight w:val="none"/>
        </w:rPr>
      </w:pPr>
      <w:r>
        <w:rPr>
          <w:rFonts w:hint="eastAsia" w:ascii="宋体" w:hAnsi="宋体" w:cs="宋体"/>
          <w:b/>
          <w:bCs/>
          <w:color w:val="auto"/>
          <w:sz w:val="24"/>
          <w:highlight w:val="none"/>
        </w:rPr>
        <w:t>1、标的设备分别由不同制造商制造的，请按序号填写齐全所有标的货物制造商的信息。</w:t>
      </w:r>
    </w:p>
    <w:p>
      <w:pPr>
        <w:shd w:val="clear"/>
        <w:spacing w:line="360" w:lineRule="auto"/>
        <w:rPr>
          <w:rFonts w:ascii="宋体" w:hAnsi="宋体" w:cs="宋体"/>
          <w:b/>
          <w:bCs/>
          <w:color w:val="auto"/>
          <w:sz w:val="24"/>
          <w:highlight w:val="none"/>
        </w:rPr>
      </w:pPr>
      <w:r>
        <w:rPr>
          <w:rFonts w:hint="eastAsia" w:ascii="宋体" w:hAnsi="宋体" w:cs="宋体"/>
          <w:b/>
          <w:bCs/>
          <w:color w:val="auto"/>
          <w:sz w:val="24"/>
          <w:highlight w:val="none"/>
        </w:rPr>
        <w:t>2、为了更加准确判定制造商是否为小微企业，请供应商根据工业和信息化部官方网站---中小企业规模类型自测小程序来辨别制造商企业规模类型，中小企业规模类型自测小程序链接网址为</w:t>
      </w:r>
    </w:p>
    <w:p>
      <w:pPr>
        <w:shd w:val="clear"/>
        <w:spacing w:line="360" w:lineRule="auto"/>
        <w:rPr>
          <w:rFonts w:ascii="宋体" w:hAnsi="宋体" w:cs="宋体"/>
          <w:b/>
          <w:bCs/>
          <w:color w:val="auto"/>
          <w:sz w:val="24"/>
          <w:highlight w:val="none"/>
        </w:rPr>
      </w:pPr>
      <w:r>
        <w:rPr>
          <w:rFonts w:hint="eastAsia" w:ascii="宋体" w:hAnsi="宋体" w:cs="宋体"/>
          <w:b/>
          <w:bCs/>
          <w:color w:val="auto"/>
          <w:sz w:val="24"/>
          <w:highlight w:val="none"/>
        </w:rPr>
        <w:t>http://202.106.120.146/baosong/appweb/orgScale.html</w:t>
      </w:r>
    </w:p>
    <w:p>
      <w:pPr>
        <w:shd w:val="clear"/>
        <w:spacing w:line="360" w:lineRule="auto"/>
        <w:rPr>
          <w:rFonts w:ascii="宋体" w:hAnsi="宋体" w:cs="宋体"/>
          <w:b/>
          <w:bCs/>
          <w:color w:val="auto"/>
          <w:sz w:val="24"/>
          <w:highlight w:val="none"/>
        </w:rPr>
      </w:pPr>
      <w:r>
        <w:rPr>
          <w:rFonts w:hint="eastAsia" w:ascii="宋体" w:hAnsi="宋体" w:cs="宋体"/>
          <w:b/>
          <w:bCs/>
          <w:color w:val="auto"/>
          <w:sz w:val="24"/>
          <w:highlight w:val="none"/>
        </w:rPr>
        <w:t>3、供应商未提供《中小企业声明函》的、《中小企业声明函》中内容应填写而未进行填写或未如实填写的，将不给予供应商小微企业报价优惠扣除。</w:t>
      </w:r>
    </w:p>
    <w:p>
      <w:pPr>
        <w:shd w:val="clear"/>
        <w:spacing w:line="360" w:lineRule="auto"/>
        <w:rPr>
          <w:rFonts w:ascii="宋体" w:hAnsi="宋体" w:cs="宋体"/>
          <w:b/>
          <w:bCs/>
          <w:color w:val="auto"/>
          <w:sz w:val="24"/>
          <w:highlight w:val="none"/>
        </w:rPr>
      </w:pPr>
      <w:r>
        <w:rPr>
          <w:rFonts w:hint="eastAsia" w:ascii="宋体" w:hAnsi="宋体" w:cs="宋体"/>
          <w:b/>
          <w:bCs/>
          <w:color w:val="auto"/>
          <w:sz w:val="24"/>
          <w:highlight w:val="none"/>
        </w:rPr>
        <w:t>预成交供应商享受小微企业报价优惠扣除的，将按规定公开预成交供应商的《中小企业声明函》。</w:t>
      </w:r>
    </w:p>
    <w:p>
      <w:pPr>
        <w:shd w:val="clear"/>
        <w:spacing w:line="360" w:lineRule="auto"/>
        <w:rPr>
          <w:rFonts w:ascii="宋体" w:hAnsi="宋体" w:cs="宋体"/>
          <w:b/>
          <w:bCs/>
          <w:color w:val="auto"/>
          <w:sz w:val="24"/>
          <w:highlight w:val="none"/>
        </w:rPr>
      </w:pPr>
      <w:r>
        <w:rPr>
          <w:rFonts w:hint="eastAsia" w:ascii="宋体" w:hAnsi="宋体" w:cs="宋体"/>
          <w:b/>
          <w:bCs/>
          <w:color w:val="auto"/>
          <w:sz w:val="24"/>
          <w:highlight w:val="none"/>
        </w:rPr>
        <w:t>4、如国家对中小企业划型标准有新的规定的，从其规定。 </w:t>
      </w:r>
    </w:p>
    <w:p>
      <w:pPr>
        <w:pStyle w:val="11"/>
        <w:shd w:val="clear"/>
        <w:rPr>
          <w:color w:val="auto"/>
          <w:highlight w:val="none"/>
        </w:rPr>
      </w:pPr>
    </w:p>
    <w:p>
      <w:pPr>
        <w:pStyle w:val="10"/>
        <w:shd w:val="clear"/>
        <w:rPr>
          <w:rFonts w:ascii="宋体" w:hAnsi="宋体" w:cs="宋体"/>
          <w:color w:val="auto"/>
          <w:highlight w:val="none"/>
        </w:rPr>
      </w:pPr>
    </w:p>
    <w:p>
      <w:pPr>
        <w:pStyle w:val="11"/>
        <w:shd w:val="clear"/>
        <w:rPr>
          <w:rFonts w:ascii="宋体" w:hAnsi="宋体" w:cs="宋体"/>
          <w:color w:val="auto"/>
          <w:highlight w:val="none"/>
        </w:rPr>
      </w:pPr>
    </w:p>
    <w:p>
      <w:pPr>
        <w:shd w:val="clear"/>
        <w:rPr>
          <w:color w:val="auto"/>
          <w:highlight w:val="none"/>
        </w:rPr>
      </w:pPr>
    </w:p>
    <w:p>
      <w:pPr>
        <w:shd w:val="clear"/>
        <w:spacing w:line="390" w:lineRule="exact"/>
        <w:rPr>
          <w:rFonts w:ascii="宋体" w:hAnsi="宋体"/>
          <w:b/>
          <w:color w:val="auto"/>
          <w:sz w:val="28"/>
          <w:szCs w:val="28"/>
          <w:highlight w:val="none"/>
        </w:rPr>
      </w:pPr>
    </w:p>
    <w:p>
      <w:pPr>
        <w:shd w:val="clear"/>
        <w:spacing w:line="420" w:lineRule="exact"/>
        <w:rPr>
          <w:rFonts w:ascii="宋体" w:hAnsi="宋体" w:cs="宋体"/>
          <w:b/>
          <w:color w:val="auto"/>
          <w:sz w:val="28"/>
          <w:szCs w:val="28"/>
          <w:highlight w:val="none"/>
          <w:lang w:val="en-GB"/>
        </w:rPr>
      </w:pPr>
      <w:r>
        <w:rPr>
          <w:rFonts w:hint="eastAsia" w:ascii="宋体" w:hAnsi="宋体" w:cs="宋体"/>
          <w:b/>
          <w:color w:val="auto"/>
          <w:sz w:val="28"/>
          <w:szCs w:val="28"/>
          <w:highlight w:val="none"/>
        </w:rPr>
        <w:t xml:space="preserve">附件：             </w:t>
      </w:r>
      <w:r>
        <w:rPr>
          <w:rFonts w:hint="eastAsia" w:ascii="宋体" w:hAnsi="宋体" w:cs="宋体"/>
          <w:b/>
          <w:color w:val="auto"/>
          <w:sz w:val="28"/>
          <w:szCs w:val="28"/>
          <w:highlight w:val="none"/>
          <w:lang w:val="en-GB"/>
        </w:rPr>
        <w:t>政府采购活动现场确认声明书</w:t>
      </w:r>
    </w:p>
    <w:p>
      <w:pPr>
        <w:shd w:val="clear"/>
        <w:snapToGrid w:val="0"/>
        <w:spacing w:line="400" w:lineRule="exact"/>
        <w:rPr>
          <w:rFonts w:ascii="宋体" w:hAnsi="宋体" w:cs="宋体"/>
          <w:b/>
          <w:color w:val="auto"/>
          <w:sz w:val="24"/>
          <w:szCs w:val="24"/>
          <w:highlight w:val="none"/>
        </w:rPr>
      </w:pPr>
      <w:r>
        <w:rPr>
          <w:rFonts w:hint="eastAsia" w:ascii="宋体" w:hAnsi="宋体" w:cs="宋体"/>
          <w:color w:val="auto"/>
          <w:kern w:val="0"/>
          <w:sz w:val="24"/>
          <w:szCs w:val="24"/>
          <w:highlight w:val="none"/>
          <w:u w:val="single"/>
        </w:rPr>
        <w:t>浙江五石中正工程咨询有限公司</w:t>
      </w:r>
      <w:r>
        <w:rPr>
          <w:rFonts w:hint="eastAsia" w:ascii="宋体" w:hAnsi="宋体" w:cs="宋体"/>
          <w:color w:val="auto"/>
          <w:kern w:val="0"/>
          <w:sz w:val="24"/>
          <w:szCs w:val="24"/>
          <w:highlight w:val="none"/>
        </w:rPr>
        <w:t>（采购组织机构名称）：</w:t>
      </w:r>
    </w:p>
    <w:p>
      <w:pPr>
        <w:widowControl/>
        <w:shd w:val="clear"/>
        <w:spacing w:line="400" w:lineRule="exact"/>
        <w:ind w:firstLine="504" w:firstLineChars="200"/>
        <w:jc w:val="left"/>
        <w:rPr>
          <w:rFonts w:ascii="宋体" w:hAnsi="宋体" w:cs="宋体"/>
          <w:color w:val="auto"/>
          <w:kern w:val="0"/>
          <w:sz w:val="24"/>
          <w:szCs w:val="24"/>
          <w:highlight w:val="none"/>
          <w:lang w:val="zh-CN"/>
        </w:rPr>
      </w:pPr>
      <w:r>
        <w:rPr>
          <w:rFonts w:hint="eastAsia" w:ascii="宋体" w:hAnsi="宋体" w:cs="宋体"/>
          <w:color w:val="auto"/>
          <w:spacing w:val="6"/>
          <w:kern w:val="0"/>
          <w:sz w:val="24"/>
          <w:szCs w:val="24"/>
          <w:highlight w:val="none"/>
          <w:lang w:val="zh-CN"/>
        </w:rPr>
        <w:t>本人经由</w:t>
      </w:r>
      <w:r>
        <w:rPr>
          <w:rFonts w:hint="eastAsia" w:ascii="宋体" w:hAnsi="宋体" w:cs="宋体"/>
          <w:color w:val="auto"/>
          <w:spacing w:val="6"/>
          <w:kern w:val="0"/>
          <w:sz w:val="24"/>
          <w:szCs w:val="24"/>
          <w:highlight w:val="none"/>
          <w:u w:val="single"/>
        </w:rPr>
        <w:t xml:space="preserve">          （投标人全称）</w:t>
      </w:r>
      <w:r>
        <w:rPr>
          <w:rFonts w:hint="eastAsia" w:ascii="宋体" w:hAnsi="宋体" w:cs="宋体"/>
          <w:color w:val="auto"/>
          <w:spacing w:val="6"/>
          <w:kern w:val="0"/>
          <w:sz w:val="24"/>
          <w:szCs w:val="24"/>
          <w:highlight w:val="none"/>
        </w:rPr>
        <w:t>单位</w:t>
      </w:r>
      <w:r>
        <w:rPr>
          <w:rFonts w:hint="eastAsia" w:ascii="宋体" w:hAnsi="宋体" w:cs="宋体"/>
          <w:color w:val="auto"/>
          <w:spacing w:val="6"/>
          <w:kern w:val="0"/>
          <w:sz w:val="24"/>
          <w:szCs w:val="24"/>
          <w:highlight w:val="none"/>
          <w:u w:val="single"/>
        </w:rPr>
        <w:t xml:space="preserve">          </w:t>
      </w:r>
      <w:r>
        <w:rPr>
          <w:rFonts w:hint="eastAsia" w:ascii="宋体" w:hAnsi="宋体" w:cs="宋体"/>
          <w:color w:val="auto"/>
          <w:spacing w:val="6"/>
          <w:kern w:val="0"/>
          <w:sz w:val="24"/>
          <w:szCs w:val="24"/>
          <w:highlight w:val="none"/>
          <w:u w:val="single"/>
          <w:lang w:val="zh-CN"/>
        </w:rPr>
        <w:t>（法人代表）</w:t>
      </w:r>
      <w:r>
        <w:rPr>
          <w:rFonts w:hint="eastAsia" w:ascii="宋体" w:hAnsi="宋体" w:cs="宋体"/>
          <w:color w:val="auto"/>
          <w:spacing w:val="6"/>
          <w:kern w:val="0"/>
          <w:sz w:val="24"/>
          <w:szCs w:val="24"/>
          <w:highlight w:val="none"/>
          <w:lang w:val="zh-CN"/>
        </w:rPr>
        <w:t>合法授权参加</w:t>
      </w:r>
      <w:r>
        <w:rPr>
          <w:rFonts w:hint="eastAsia" w:ascii="宋体" w:hAnsi="宋体" w:cs="宋体"/>
          <w:b/>
          <w:bCs/>
          <w:color w:val="auto"/>
          <w:spacing w:val="6"/>
          <w:kern w:val="0"/>
          <w:sz w:val="24"/>
          <w:szCs w:val="24"/>
          <w:highlight w:val="none"/>
          <w:u w:val="single"/>
          <w:lang w:val="zh-CN"/>
        </w:rPr>
        <w:t>快速维权中心二期建设项目（机房及展厅建设）——智能化及配套设备采购项目</w:t>
      </w:r>
      <w:r>
        <w:rPr>
          <w:rFonts w:hint="eastAsia" w:ascii="宋体" w:hAnsi="宋体" w:cs="宋体"/>
          <w:color w:val="auto"/>
          <w:spacing w:val="6"/>
          <w:kern w:val="0"/>
          <w:sz w:val="24"/>
          <w:szCs w:val="24"/>
          <w:highlight w:val="none"/>
          <w:lang w:val="zh-CN"/>
        </w:rPr>
        <w:t>（</w:t>
      </w:r>
      <w:r>
        <w:rPr>
          <w:rFonts w:hint="eastAsia" w:ascii="宋体" w:hAnsi="宋体" w:cs="宋体"/>
          <w:color w:val="auto"/>
          <w:spacing w:val="6"/>
          <w:kern w:val="0"/>
          <w:sz w:val="24"/>
          <w:szCs w:val="24"/>
          <w:highlight w:val="none"/>
        </w:rPr>
        <w:t>项目</w:t>
      </w:r>
      <w:r>
        <w:rPr>
          <w:rFonts w:hint="eastAsia" w:ascii="宋体" w:hAnsi="宋体" w:cs="宋体"/>
          <w:color w:val="auto"/>
          <w:spacing w:val="6"/>
          <w:kern w:val="0"/>
          <w:sz w:val="24"/>
          <w:szCs w:val="24"/>
          <w:highlight w:val="none"/>
          <w:lang w:val="zh-CN"/>
        </w:rPr>
        <w:t>编号：</w:t>
      </w:r>
      <w:r>
        <w:rPr>
          <w:rFonts w:hint="eastAsia" w:ascii="宋体" w:hAnsi="宋体" w:cs="宋体"/>
          <w:b/>
          <w:bCs/>
          <w:color w:val="auto"/>
          <w:spacing w:val="6"/>
          <w:kern w:val="0"/>
          <w:sz w:val="24"/>
          <w:szCs w:val="24"/>
          <w:highlight w:val="none"/>
          <w:u w:val="single"/>
          <w:lang w:val="zh-CN"/>
        </w:rPr>
        <w:t>ZJWS2024-HYSCJDJ01</w:t>
      </w:r>
      <w:r>
        <w:rPr>
          <w:rFonts w:hint="eastAsia" w:ascii="宋体" w:hAnsi="宋体" w:cs="宋体"/>
          <w:color w:val="auto"/>
          <w:spacing w:val="6"/>
          <w:kern w:val="0"/>
          <w:sz w:val="24"/>
          <w:szCs w:val="24"/>
          <w:highlight w:val="none"/>
          <w:lang w:val="zh-CN"/>
        </w:rPr>
        <w:t>）政府采购活动，经与本单位法人代表（负责人）联系确认，现就有关公平竞争事项郑重声明如下：</w:t>
      </w:r>
    </w:p>
    <w:p>
      <w:pPr>
        <w:shd w:val="clear"/>
        <w:spacing w:line="420" w:lineRule="exact"/>
        <w:rPr>
          <w:rFonts w:ascii="宋体" w:hAnsi="宋体" w:cs="宋体"/>
          <w:color w:val="auto"/>
          <w:sz w:val="24"/>
          <w:highlight w:val="none"/>
        </w:rPr>
      </w:pPr>
      <w:r>
        <w:rPr>
          <w:rFonts w:hint="eastAsia" w:ascii="宋体" w:hAnsi="宋体" w:cs="宋体"/>
          <w:color w:val="auto"/>
          <w:sz w:val="24"/>
          <w:highlight w:val="none"/>
        </w:rPr>
        <w:t>一、本单位与采购人之间 □不存在利害关系 □存在下列利害关系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hd w:val="clea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A.投资关系    B.行政隶属关系    C.业务指导关系</w:t>
      </w:r>
    </w:p>
    <w:p>
      <w:pPr>
        <w:shd w:val="clea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D.其他可能影响采购公正的利害关系（如有，请如实说明）。</w:t>
      </w:r>
    </w:p>
    <w:p>
      <w:pPr>
        <w:shd w:val="clear"/>
        <w:spacing w:line="420" w:lineRule="exact"/>
        <w:rPr>
          <w:rFonts w:ascii="宋体" w:hAnsi="宋体" w:cs="宋体"/>
          <w:color w:val="auto"/>
          <w:sz w:val="24"/>
          <w:highlight w:val="none"/>
        </w:rPr>
      </w:pPr>
      <w:r>
        <w:rPr>
          <w:rFonts w:hint="eastAsia" w:ascii="宋体" w:hAnsi="宋体" w:cs="宋体"/>
          <w:color w:val="auto"/>
          <w:sz w:val="24"/>
          <w:highlight w:val="none"/>
        </w:rPr>
        <w:t>二、现已清楚知道参加本项目采购活动的其他所有供应商名称，本单位 □与其他所有供应商之间均不存在利害关系 □与（供应商名称）之间存在下列利害关系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hd w:val="clea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A.法定代表人或负责人或实际控制人是同一人</w:t>
      </w:r>
    </w:p>
    <w:p>
      <w:pPr>
        <w:shd w:val="clea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B.法定代表人或负责人或实际控制人是夫妻关系</w:t>
      </w:r>
    </w:p>
    <w:p>
      <w:pPr>
        <w:shd w:val="clea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C.法定代表人或负责人或实际控制人是直系血亲关系</w:t>
      </w:r>
    </w:p>
    <w:p>
      <w:pPr>
        <w:shd w:val="clea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D.法定代表人或负责人或实际控制人存在三代以内旁系血亲关系</w:t>
      </w:r>
    </w:p>
    <w:p>
      <w:pPr>
        <w:shd w:val="clea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E.法定代表人或负责人或实际控制人存在近姻亲关系</w:t>
      </w:r>
    </w:p>
    <w:p>
      <w:pPr>
        <w:shd w:val="clea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F.法定代表人或负责人或实际控制人存在股份控制或实际控制关系</w:t>
      </w:r>
    </w:p>
    <w:p>
      <w:pPr>
        <w:shd w:val="clea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G.存在共同直接或间接投资设立子公司、联营企业和合营企业情况</w:t>
      </w:r>
    </w:p>
    <w:p>
      <w:pPr>
        <w:shd w:val="clea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H.存在分级代理或代销关系、同一生产制造商关系、管理关系、重要业务（占主营业务收入50%以上）或重要财务往来关系（如融资）等其他实质性控制关系</w:t>
      </w:r>
    </w:p>
    <w:p>
      <w:pPr>
        <w:shd w:val="clea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I.其他利害关系情况</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hd w:val="clear"/>
        <w:spacing w:line="420" w:lineRule="exact"/>
        <w:rPr>
          <w:rFonts w:ascii="宋体" w:hAnsi="宋体" w:cs="宋体"/>
          <w:color w:val="auto"/>
          <w:sz w:val="24"/>
          <w:highlight w:val="none"/>
        </w:rPr>
      </w:pPr>
      <w:r>
        <w:rPr>
          <w:rFonts w:hint="eastAsia" w:ascii="宋体" w:hAnsi="宋体" w:cs="宋体"/>
          <w:color w:val="auto"/>
          <w:sz w:val="24"/>
          <w:highlight w:val="none"/>
        </w:rPr>
        <w:t>三、现已清楚知道并严格遵守政府采购法律法规和现场纪律。</w:t>
      </w:r>
    </w:p>
    <w:p>
      <w:pPr>
        <w:shd w:val="clear"/>
        <w:spacing w:line="420" w:lineRule="exact"/>
        <w:rPr>
          <w:rFonts w:ascii="宋体" w:hAnsi="宋体" w:cs="宋体"/>
          <w:color w:val="auto"/>
          <w:sz w:val="24"/>
          <w:highlight w:val="none"/>
        </w:rPr>
      </w:pPr>
      <w:r>
        <w:rPr>
          <w:rFonts w:hint="eastAsia" w:ascii="宋体" w:hAnsi="宋体" w:cs="宋体"/>
          <w:color w:val="auto"/>
          <w:sz w:val="24"/>
          <w:highlight w:val="none"/>
        </w:rPr>
        <w:t>四、我发现供应商之间存在或可能存在上述第二条第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项利害关系。</w:t>
      </w:r>
    </w:p>
    <w:p>
      <w:pPr>
        <w:shd w:val="clear"/>
        <w:spacing w:line="420" w:lineRule="exact"/>
        <w:rPr>
          <w:rFonts w:ascii="宋体" w:hAnsi="宋体" w:cs="宋体"/>
          <w:color w:val="auto"/>
          <w:sz w:val="24"/>
          <w:highlight w:val="none"/>
        </w:rPr>
      </w:pPr>
      <w:r>
        <w:rPr>
          <w:rFonts w:hint="eastAsia" w:ascii="宋体" w:hAnsi="宋体" w:cs="宋体"/>
          <w:color w:val="auto"/>
          <w:sz w:val="24"/>
          <w:highlight w:val="none"/>
        </w:rPr>
        <w:t>五、本单位若有违反诚信投标、采购法律法规等行为，愿意按照招标文件规定接受投标担保的处理。如已中标，自动放弃中标资格；给招标人造成损失的，依法承担赔偿责任。</w:t>
      </w:r>
    </w:p>
    <w:p>
      <w:pPr>
        <w:shd w:val="clear"/>
        <w:spacing w:line="420" w:lineRule="exact"/>
        <w:ind w:firstLine="4819" w:firstLineChars="2000"/>
        <w:rPr>
          <w:rFonts w:ascii="宋体" w:hAnsi="宋体" w:cs="宋体"/>
          <w:b/>
          <w:bCs/>
          <w:color w:val="auto"/>
          <w:sz w:val="24"/>
          <w:highlight w:val="none"/>
        </w:rPr>
      </w:pPr>
      <w:r>
        <w:rPr>
          <w:rFonts w:hint="eastAsia" w:ascii="宋体" w:hAnsi="宋体" w:cs="宋体"/>
          <w:b/>
          <w:bCs/>
          <w:color w:val="auto"/>
          <w:sz w:val="24"/>
          <w:highlight w:val="none"/>
        </w:rPr>
        <w:t>供应商代表签名：</w:t>
      </w:r>
    </w:p>
    <w:p>
      <w:pPr>
        <w:shd w:val="clear"/>
        <w:spacing w:line="420" w:lineRule="exact"/>
        <w:jc w:val="right"/>
        <w:outlineLvl w:val="0"/>
        <w:rPr>
          <w:rFonts w:ascii="宋体" w:hAnsi="宋体" w:cs="宋体"/>
          <w:color w:val="auto"/>
          <w:sz w:val="24"/>
          <w:highlight w:val="none"/>
        </w:rPr>
      </w:pPr>
      <w:r>
        <w:rPr>
          <w:rFonts w:hint="eastAsia" w:ascii="宋体" w:hAnsi="宋体" w:cs="宋体"/>
          <w:color w:val="auto"/>
          <w:sz w:val="24"/>
          <w:highlight w:val="none"/>
        </w:rPr>
        <w:t>2024年  月  日</w:t>
      </w:r>
    </w:p>
    <w:p>
      <w:pPr>
        <w:shd w:val="clear"/>
        <w:tabs>
          <w:tab w:val="left" w:pos="1418"/>
        </w:tabs>
        <w:autoSpaceDE w:val="0"/>
        <w:autoSpaceDN w:val="0"/>
        <w:adjustRightInd w:val="0"/>
        <w:spacing w:line="400" w:lineRule="exact"/>
        <w:rPr>
          <w:rFonts w:ascii="宋体" w:hAnsi="宋体" w:cs="宋体"/>
          <w:color w:val="auto"/>
          <w:highlight w:val="none"/>
        </w:rPr>
      </w:pPr>
      <w:r>
        <w:rPr>
          <w:rFonts w:hint="eastAsia" w:ascii="宋体" w:hAnsi="宋体" w:cs="宋体"/>
          <w:b/>
          <w:bCs/>
          <w:color w:val="auto"/>
          <w:kern w:val="0"/>
          <w:sz w:val="24"/>
          <w:szCs w:val="24"/>
          <w:highlight w:val="none"/>
        </w:rPr>
        <w:t>说明：商务技术文件开启后30分钟内，供应商通过邮件形式将经授权代表签署的《政府采购活动确认声明书》扫描件发至代理机构经办人邮箱（邮箱地址：zjwstz@163.com）；不填写或未按规定发出邮件的，视同默认不存在确认声明书中的相关违规情形。</w:t>
      </w:r>
    </w:p>
    <w:sectPr>
      <w:headerReference r:id="rId4" w:type="default"/>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方正书宋简体">
    <w:altName w:val="宋体"/>
    <w:panose1 w:val="00000000000000000000"/>
    <w:charset w:val="7A"/>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1"/>
      </w:pPr>
      <w:r>
        <w:rPr>
          <w:rStyle w:val="36"/>
        </w:rPr>
        <w:footnoteRef/>
      </w:r>
      <w:r>
        <w:rPr>
          <w:rFonts w:hint="eastAsia" w:ascii="宋体" w:hAnsi="宋体"/>
          <w:bCs/>
          <w:sz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cs="宋体"/>
        <w:b/>
        <w:bCs/>
        <w:i/>
        <w:iCs/>
        <w:color w:val="000000"/>
        <w:kern w:val="0"/>
        <w:sz w:val="18"/>
        <w:szCs w:val="18"/>
        <w:u w:val="single"/>
      </w:rPr>
      <w:t xml:space="preserve">台州市黄岩区政府采购招标文件                                                   </w:t>
    </w:r>
    <w:r>
      <w:rPr>
        <w:rFonts w:hint="eastAsia" w:cs="宋体"/>
        <w:b/>
        <w:bCs/>
        <w:i/>
        <w:iCs/>
        <w:color w:val="000000"/>
        <w:spacing w:val="-20"/>
        <w:kern w:val="0"/>
        <w:sz w:val="18"/>
        <w:szCs w:val="18"/>
        <w:u w:val="single"/>
      </w:rPr>
      <w:t>第</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PAGE </w:instrText>
    </w:r>
    <w:r>
      <w:rPr>
        <w:b/>
        <w:bCs/>
        <w:i/>
        <w:iCs/>
        <w:color w:val="000000"/>
        <w:spacing w:val="-20"/>
        <w:kern w:val="0"/>
        <w:sz w:val="18"/>
        <w:szCs w:val="18"/>
        <w:u w:val="single"/>
      </w:rPr>
      <w:fldChar w:fldCharType="separate"/>
    </w:r>
    <w:r>
      <w:rPr>
        <w:b/>
        <w:bCs/>
        <w:i/>
        <w:iCs/>
        <w:color w:val="000000"/>
        <w:spacing w:val="-20"/>
        <w:kern w:val="0"/>
        <w:sz w:val="18"/>
        <w:szCs w:val="18"/>
        <w:u w:val="single"/>
      </w:rPr>
      <w:t>42</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页共</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NUMPAGES </w:instrText>
    </w:r>
    <w:r>
      <w:rPr>
        <w:b/>
        <w:bCs/>
        <w:i/>
        <w:iCs/>
        <w:color w:val="000000"/>
        <w:spacing w:val="-20"/>
        <w:kern w:val="0"/>
        <w:sz w:val="18"/>
        <w:szCs w:val="18"/>
        <w:u w:val="single"/>
      </w:rPr>
      <w:fldChar w:fldCharType="separate"/>
    </w:r>
    <w:r>
      <w:rPr>
        <w:b/>
        <w:bCs/>
        <w:i/>
        <w:iCs/>
        <w:color w:val="000000"/>
        <w:spacing w:val="-20"/>
        <w:kern w:val="0"/>
        <w:sz w:val="18"/>
        <w:szCs w:val="18"/>
        <w:u w:val="single"/>
      </w:rPr>
      <w:t>324</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9D503"/>
    <w:multiLevelType w:val="singleLevel"/>
    <w:tmpl w:val="89E9D503"/>
    <w:lvl w:ilvl="0" w:tentative="0">
      <w:start w:val="1"/>
      <w:numFmt w:val="decimal"/>
      <w:lvlText w:val="%1."/>
      <w:lvlJc w:val="left"/>
      <w:pPr>
        <w:tabs>
          <w:tab w:val="left" w:pos="312"/>
        </w:tabs>
      </w:pPr>
    </w:lvl>
  </w:abstractNum>
  <w:abstractNum w:abstractNumId="1">
    <w:nsid w:val="036B3EDC"/>
    <w:multiLevelType w:val="singleLevel"/>
    <w:tmpl w:val="036B3EDC"/>
    <w:lvl w:ilvl="0" w:tentative="0">
      <w:start w:val="1"/>
      <w:numFmt w:val="decimal"/>
      <w:pStyle w:val="6"/>
      <w:lvlText w:val="%1."/>
      <w:lvlJc w:val="left"/>
      <w:pPr>
        <w:tabs>
          <w:tab w:val="left" w:pos="360"/>
        </w:tabs>
        <w:ind w:left="360" w:hanging="360"/>
      </w:pPr>
    </w:lvl>
  </w:abstractNum>
  <w:abstractNum w:abstractNumId="2">
    <w:nsid w:val="7E7D3886"/>
    <w:multiLevelType w:val="singleLevel"/>
    <w:tmpl w:val="7E7D3886"/>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oNotHyphenateCaps/>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doNotValidateAgainstSchema/>
  <w:doNotDemarcateInvalidXml/>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0NjQ4MjYyYTI0MGZhZjFhNjNjYjllM2MxYzQ0YzkifQ=="/>
    <w:docVar w:name="KSO_WPS_MARK_KEY" w:val="293d7c7e-1e32-4bd8-94e2-13a039842fe0"/>
  </w:docVars>
  <w:rsids>
    <w:rsidRoot w:val="007F2E7A"/>
    <w:rsid w:val="00015840"/>
    <w:rsid w:val="001426E5"/>
    <w:rsid w:val="0018294C"/>
    <w:rsid w:val="00231109"/>
    <w:rsid w:val="00271C20"/>
    <w:rsid w:val="002D269B"/>
    <w:rsid w:val="003479BC"/>
    <w:rsid w:val="00407B52"/>
    <w:rsid w:val="00430724"/>
    <w:rsid w:val="00454C7C"/>
    <w:rsid w:val="00475B27"/>
    <w:rsid w:val="004B2E06"/>
    <w:rsid w:val="004F4C42"/>
    <w:rsid w:val="00537C28"/>
    <w:rsid w:val="005C0D6F"/>
    <w:rsid w:val="007624AA"/>
    <w:rsid w:val="0076739C"/>
    <w:rsid w:val="0077683C"/>
    <w:rsid w:val="007F2E7A"/>
    <w:rsid w:val="00815451"/>
    <w:rsid w:val="00830DAA"/>
    <w:rsid w:val="00910A19"/>
    <w:rsid w:val="0091540A"/>
    <w:rsid w:val="00A01218"/>
    <w:rsid w:val="00A47392"/>
    <w:rsid w:val="00AE65B4"/>
    <w:rsid w:val="00B24AE9"/>
    <w:rsid w:val="00BA0B11"/>
    <w:rsid w:val="00C02E94"/>
    <w:rsid w:val="00C15FA6"/>
    <w:rsid w:val="00C80617"/>
    <w:rsid w:val="00D50E33"/>
    <w:rsid w:val="00E230D5"/>
    <w:rsid w:val="00EF5B14"/>
    <w:rsid w:val="00F212F5"/>
    <w:rsid w:val="00F6189A"/>
    <w:rsid w:val="012F6170"/>
    <w:rsid w:val="015B4FE6"/>
    <w:rsid w:val="01BD17FD"/>
    <w:rsid w:val="01EC5C3E"/>
    <w:rsid w:val="021A3610"/>
    <w:rsid w:val="02306473"/>
    <w:rsid w:val="023D0B8F"/>
    <w:rsid w:val="02704AC1"/>
    <w:rsid w:val="0295277A"/>
    <w:rsid w:val="02BA6BA7"/>
    <w:rsid w:val="02CB3234"/>
    <w:rsid w:val="039B4242"/>
    <w:rsid w:val="03EB39E8"/>
    <w:rsid w:val="043F299D"/>
    <w:rsid w:val="04D8088D"/>
    <w:rsid w:val="05DB5DF9"/>
    <w:rsid w:val="06175254"/>
    <w:rsid w:val="06261E40"/>
    <w:rsid w:val="06B9739A"/>
    <w:rsid w:val="06CA103D"/>
    <w:rsid w:val="07324062"/>
    <w:rsid w:val="07571DAC"/>
    <w:rsid w:val="076E0496"/>
    <w:rsid w:val="08245B70"/>
    <w:rsid w:val="09063A89"/>
    <w:rsid w:val="0948283A"/>
    <w:rsid w:val="0A7464E2"/>
    <w:rsid w:val="0B9538A8"/>
    <w:rsid w:val="0BF24799"/>
    <w:rsid w:val="0C7B4653"/>
    <w:rsid w:val="0C8C50F7"/>
    <w:rsid w:val="0C9B2362"/>
    <w:rsid w:val="0CCD1758"/>
    <w:rsid w:val="0CD07C62"/>
    <w:rsid w:val="0CE04884"/>
    <w:rsid w:val="0D826387"/>
    <w:rsid w:val="0DB75CCE"/>
    <w:rsid w:val="0E183559"/>
    <w:rsid w:val="0E511C4A"/>
    <w:rsid w:val="0EF72C53"/>
    <w:rsid w:val="0EFD148A"/>
    <w:rsid w:val="0F921D2B"/>
    <w:rsid w:val="0FCE60CD"/>
    <w:rsid w:val="10850E6C"/>
    <w:rsid w:val="1128459B"/>
    <w:rsid w:val="118F4230"/>
    <w:rsid w:val="11DA43C2"/>
    <w:rsid w:val="11E21E3A"/>
    <w:rsid w:val="12DF5675"/>
    <w:rsid w:val="133C0E8F"/>
    <w:rsid w:val="13734411"/>
    <w:rsid w:val="13CE33F5"/>
    <w:rsid w:val="14AC02EB"/>
    <w:rsid w:val="14FE32A2"/>
    <w:rsid w:val="15391E65"/>
    <w:rsid w:val="15913383"/>
    <w:rsid w:val="15EF3AF7"/>
    <w:rsid w:val="16574FE0"/>
    <w:rsid w:val="168D3A3C"/>
    <w:rsid w:val="16EF2784"/>
    <w:rsid w:val="171153DD"/>
    <w:rsid w:val="174D078B"/>
    <w:rsid w:val="178C5680"/>
    <w:rsid w:val="185F7A70"/>
    <w:rsid w:val="194128BC"/>
    <w:rsid w:val="1A184213"/>
    <w:rsid w:val="1A45685F"/>
    <w:rsid w:val="1A6B5E42"/>
    <w:rsid w:val="1A956870"/>
    <w:rsid w:val="1A975C96"/>
    <w:rsid w:val="1B7D5858"/>
    <w:rsid w:val="1B877E91"/>
    <w:rsid w:val="1DA02406"/>
    <w:rsid w:val="1E192290"/>
    <w:rsid w:val="1E5659BC"/>
    <w:rsid w:val="1F802FD4"/>
    <w:rsid w:val="1F906AC3"/>
    <w:rsid w:val="1F975F53"/>
    <w:rsid w:val="1FB608DC"/>
    <w:rsid w:val="1FDD35EA"/>
    <w:rsid w:val="1FF9251A"/>
    <w:rsid w:val="2041336D"/>
    <w:rsid w:val="207561F8"/>
    <w:rsid w:val="20D66B76"/>
    <w:rsid w:val="20F735B0"/>
    <w:rsid w:val="21602BD4"/>
    <w:rsid w:val="2192499C"/>
    <w:rsid w:val="21B856E5"/>
    <w:rsid w:val="22053D4E"/>
    <w:rsid w:val="224F3E0C"/>
    <w:rsid w:val="2288155B"/>
    <w:rsid w:val="23A97158"/>
    <w:rsid w:val="23C325F9"/>
    <w:rsid w:val="243401DD"/>
    <w:rsid w:val="24353A8C"/>
    <w:rsid w:val="246F34B0"/>
    <w:rsid w:val="24FF6E79"/>
    <w:rsid w:val="265F5DC3"/>
    <w:rsid w:val="27354435"/>
    <w:rsid w:val="275E17B6"/>
    <w:rsid w:val="27C82E0F"/>
    <w:rsid w:val="288F33F2"/>
    <w:rsid w:val="2A44045E"/>
    <w:rsid w:val="2A8A4629"/>
    <w:rsid w:val="2A976DCF"/>
    <w:rsid w:val="2B047DD4"/>
    <w:rsid w:val="2B800881"/>
    <w:rsid w:val="2BFC1833"/>
    <w:rsid w:val="2CB41784"/>
    <w:rsid w:val="2D6F37EE"/>
    <w:rsid w:val="2E9C1FAF"/>
    <w:rsid w:val="2F0D661F"/>
    <w:rsid w:val="2FCD1A3F"/>
    <w:rsid w:val="306A65B1"/>
    <w:rsid w:val="31FB29FF"/>
    <w:rsid w:val="323112C7"/>
    <w:rsid w:val="32490405"/>
    <w:rsid w:val="328E671A"/>
    <w:rsid w:val="328F2DBB"/>
    <w:rsid w:val="32BF6A96"/>
    <w:rsid w:val="34720968"/>
    <w:rsid w:val="3532556B"/>
    <w:rsid w:val="35843E04"/>
    <w:rsid w:val="35847960"/>
    <w:rsid w:val="35BF73B1"/>
    <w:rsid w:val="365E4EAB"/>
    <w:rsid w:val="366C0B20"/>
    <w:rsid w:val="36794DCB"/>
    <w:rsid w:val="36F77B6C"/>
    <w:rsid w:val="37033F7D"/>
    <w:rsid w:val="374865F2"/>
    <w:rsid w:val="37500442"/>
    <w:rsid w:val="382C3A33"/>
    <w:rsid w:val="38477C4D"/>
    <w:rsid w:val="386F14D2"/>
    <w:rsid w:val="38DA2927"/>
    <w:rsid w:val="390609A9"/>
    <w:rsid w:val="391F00CC"/>
    <w:rsid w:val="397F4B29"/>
    <w:rsid w:val="39884078"/>
    <w:rsid w:val="3ABE017E"/>
    <w:rsid w:val="3AC32CD9"/>
    <w:rsid w:val="3AD44EE6"/>
    <w:rsid w:val="3AD849D6"/>
    <w:rsid w:val="3B016125"/>
    <w:rsid w:val="3B3616FD"/>
    <w:rsid w:val="3B49463D"/>
    <w:rsid w:val="3BC41DC5"/>
    <w:rsid w:val="3C0B54BC"/>
    <w:rsid w:val="3C9A2493"/>
    <w:rsid w:val="3E163A8A"/>
    <w:rsid w:val="3E897B14"/>
    <w:rsid w:val="3EEA19D4"/>
    <w:rsid w:val="3F1C29F7"/>
    <w:rsid w:val="3F773B3C"/>
    <w:rsid w:val="40827169"/>
    <w:rsid w:val="41327FE0"/>
    <w:rsid w:val="41923405"/>
    <w:rsid w:val="41F12821"/>
    <w:rsid w:val="42843065"/>
    <w:rsid w:val="43263171"/>
    <w:rsid w:val="432A3C4E"/>
    <w:rsid w:val="44061DE7"/>
    <w:rsid w:val="44326EAC"/>
    <w:rsid w:val="44DE5B47"/>
    <w:rsid w:val="453F720B"/>
    <w:rsid w:val="4561681B"/>
    <w:rsid w:val="46595CA0"/>
    <w:rsid w:val="47C441CA"/>
    <w:rsid w:val="48091A67"/>
    <w:rsid w:val="487702BD"/>
    <w:rsid w:val="49357497"/>
    <w:rsid w:val="498875C7"/>
    <w:rsid w:val="4A5F67F6"/>
    <w:rsid w:val="4B57248F"/>
    <w:rsid w:val="4BF944CE"/>
    <w:rsid w:val="4C9604BD"/>
    <w:rsid w:val="4D2766E6"/>
    <w:rsid w:val="4D896004"/>
    <w:rsid w:val="4E0F143D"/>
    <w:rsid w:val="4E7A3005"/>
    <w:rsid w:val="4E873E5B"/>
    <w:rsid w:val="4EB67E4F"/>
    <w:rsid w:val="4F092594"/>
    <w:rsid w:val="50513E30"/>
    <w:rsid w:val="507000DD"/>
    <w:rsid w:val="513D338D"/>
    <w:rsid w:val="515126FF"/>
    <w:rsid w:val="522C47E0"/>
    <w:rsid w:val="52352B4D"/>
    <w:rsid w:val="52924927"/>
    <w:rsid w:val="52B51631"/>
    <w:rsid w:val="52F73F17"/>
    <w:rsid w:val="531D2DDB"/>
    <w:rsid w:val="532C1DB3"/>
    <w:rsid w:val="53502BF3"/>
    <w:rsid w:val="5388299C"/>
    <w:rsid w:val="542C1497"/>
    <w:rsid w:val="546724CF"/>
    <w:rsid w:val="557D01FC"/>
    <w:rsid w:val="55851B84"/>
    <w:rsid w:val="56336B0D"/>
    <w:rsid w:val="57DA164B"/>
    <w:rsid w:val="580274A8"/>
    <w:rsid w:val="58413DF1"/>
    <w:rsid w:val="59461E56"/>
    <w:rsid w:val="5A611174"/>
    <w:rsid w:val="5A891D99"/>
    <w:rsid w:val="5AA254E7"/>
    <w:rsid w:val="5AAD2470"/>
    <w:rsid w:val="5BA40125"/>
    <w:rsid w:val="5BEA5EBF"/>
    <w:rsid w:val="5C855BE8"/>
    <w:rsid w:val="5CF631A9"/>
    <w:rsid w:val="5D891708"/>
    <w:rsid w:val="5DA50ADA"/>
    <w:rsid w:val="5ECB71A6"/>
    <w:rsid w:val="5EF05EE3"/>
    <w:rsid w:val="5F047CD6"/>
    <w:rsid w:val="5F73361D"/>
    <w:rsid w:val="5FD512F8"/>
    <w:rsid w:val="60F95EBE"/>
    <w:rsid w:val="60FF4F56"/>
    <w:rsid w:val="612A4210"/>
    <w:rsid w:val="61471E39"/>
    <w:rsid w:val="61C97752"/>
    <w:rsid w:val="622D31D4"/>
    <w:rsid w:val="6260512D"/>
    <w:rsid w:val="62AC5F30"/>
    <w:rsid w:val="63685FDB"/>
    <w:rsid w:val="637F327F"/>
    <w:rsid w:val="63DE0509"/>
    <w:rsid w:val="649D15DC"/>
    <w:rsid w:val="64A96791"/>
    <w:rsid w:val="64B42BB1"/>
    <w:rsid w:val="64C615DF"/>
    <w:rsid w:val="65EE0CA2"/>
    <w:rsid w:val="66723681"/>
    <w:rsid w:val="66FD6A1D"/>
    <w:rsid w:val="67852164"/>
    <w:rsid w:val="67E503D1"/>
    <w:rsid w:val="68974977"/>
    <w:rsid w:val="68EE4D81"/>
    <w:rsid w:val="690A03D1"/>
    <w:rsid w:val="6988633A"/>
    <w:rsid w:val="6A266C5C"/>
    <w:rsid w:val="6A7E7EC9"/>
    <w:rsid w:val="6AA11CFA"/>
    <w:rsid w:val="6BE54E20"/>
    <w:rsid w:val="6C9F41F6"/>
    <w:rsid w:val="6CE87DC7"/>
    <w:rsid w:val="6D21370B"/>
    <w:rsid w:val="6D934609"/>
    <w:rsid w:val="6E573888"/>
    <w:rsid w:val="6EA6501C"/>
    <w:rsid w:val="6F8D6E36"/>
    <w:rsid w:val="70390CA2"/>
    <w:rsid w:val="70F955AF"/>
    <w:rsid w:val="70FA04FB"/>
    <w:rsid w:val="7150636D"/>
    <w:rsid w:val="71C74DEB"/>
    <w:rsid w:val="71E62563"/>
    <w:rsid w:val="735068B3"/>
    <w:rsid w:val="73AD2DB1"/>
    <w:rsid w:val="73DA15F2"/>
    <w:rsid w:val="74526B16"/>
    <w:rsid w:val="74E219D2"/>
    <w:rsid w:val="759B0ADB"/>
    <w:rsid w:val="760A5684"/>
    <w:rsid w:val="763C36BD"/>
    <w:rsid w:val="76EF4BE2"/>
    <w:rsid w:val="7718110D"/>
    <w:rsid w:val="771D148C"/>
    <w:rsid w:val="7767484F"/>
    <w:rsid w:val="779C230C"/>
    <w:rsid w:val="79102FB2"/>
    <w:rsid w:val="79A92832"/>
    <w:rsid w:val="79B8118C"/>
    <w:rsid w:val="79C93160"/>
    <w:rsid w:val="7A913BC8"/>
    <w:rsid w:val="7ACA4638"/>
    <w:rsid w:val="7CAF4890"/>
    <w:rsid w:val="7CE91543"/>
    <w:rsid w:val="7D2F59D0"/>
    <w:rsid w:val="7DBB30FD"/>
    <w:rsid w:val="7DF06F0E"/>
    <w:rsid w:val="7E442A9A"/>
    <w:rsid w:val="7E6C6C39"/>
    <w:rsid w:val="7E760E0F"/>
    <w:rsid w:val="7EF649F8"/>
    <w:rsid w:val="7F49169A"/>
    <w:rsid w:val="7FAC4C99"/>
    <w:rsid w:val="7FE72F8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99" w:semiHidden="0" w:name="toc 2"/>
    <w:lsdException w:uiPriority="0" w:name="toc 3"/>
    <w:lsdException w:qFormat="1" w:unhideWhenUsed="0" w:uiPriority="39" w:semiHidden="0" w:name="toc 4"/>
    <w:lsdException w:uiPriority="0" w:name="toc 5"/>
    <w:lsdException w:qFormat="1" w:unhideWhenUsed="0" w:uiPriority="99" w:semiHidden="0" w:name="toc 6"/>
    <w:lsdException w:uiPriority="0" w:name="toc 7"/>
    <w:lsdException w:uiPriority="0" w:name="toc 8"/>
    <w:lsdException w:uiPriority="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99"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qFormat="1" w:unhideWhenUsed="0" w:uiPriority="99" w:semiHidden="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2"/>
    <w:autoRedefine/>
    <w:qFormat/>
    <w:uiPriority w:val="99"/>
    <w:pPr>
      <w:spacing w:before="340" w:after="330" w:line="578" w:lineRule="auto"/>
      <w:outlineLvl w:val="0"/>
    </w:pPr>
    <w:rPr>
      <w:kern w:val="44"/>
      <w:sz w:val="44"/>
      <w:szCs w:val="44"/>
    </w:rPr>
  </w:style>
  <w:style w:type="paragraph" w:styleId="3">
    <w:name w:val="heading 2"/>
    <w:basedOn w:val="1"/>
    <w:next w:val="1"/>
    <w:link w:val="43"/>
    <w:autoRedefine/>
    <w:qFormat/>
    <w:uiPriority w:val="99"/>
    <w:pPr>
      <w:keepNext/>
      <w:keepLines/>
      <w:spacing w:before="260" w:after="260" w:line="416" w:lineRule="auto"/>
      <w:outlineLvl w:val="1"/>
    </w:pPr>
    <w:rPr>
      <w:rFonts w:ascii="Calibri Light" w:hAnsi="Calibri Light" w:cs="Calibri Light"/>
      <w:b/>
      <w:bCs/>
      <w:sz w:val="32"/>
      <w:szCs w:val="32"/>
    </w:rPr>
  </w:style>
  <w:style w:type="paragraph" w:styleId="4">
    <w:name w:val="heading 3"/>
    <w:basedOn w:val="1"/>
    <w:next w:val="1"/>
    <w:link w:val="44"/>
    <w:autoRedefine/>
    <w:qFormat/>
    <w:uiPriority w:val="99"/>
    <w:pPr>
      <w:keepNext/>
      <w:keepLines/>
      <w:spacing w:before="260" w:after="260" w:line="416" w:lineRule="auto"/>
      <w:outlineLvl w:val="2"/>
    </w:pPr>
    <w:rPr>
      <w:b/>
      <w:bCs/>
      <w:sz w:val="32"/>
      <w:szCs w:val="32"/>
    </w:rPr>
  </w:style>
  <w:style w:type="paragraph" w:styleId="5">
    <w:name w:val="heading 4"/>
    <w:basedOn w:val="1"/>
    <w:next w:val="1"/>
    <w:autoRedefine/>
    <w:qFormat/>
    <w:uiPriority w:val="0"/>
    <w:pPr>
      <w:keepNext/>
      <w:keepLines/>
      <w:spacing w:before="280" w:after="290" w:line="376" w:lineRule="auto"/>
      <w:outlineLvl w:val="3"/>
    </w:pPr>
    <w:rPr>
      <w:rFonts w:ascii="Cambria" w:hAnsi="Cambria"/>
      <w:b/>
      <w:bCs/>
      <w:sz w:val="28"/>
      <w:szCs w:val="28"/>
      <w:lang w:val="zh-CN"/>
    </w:rPr>
  </w:style>
  <w:style w:type="character" w:default="1" w:styleId="32">
    <w:name w:val="Default Paragraph Font"/>
    <w:autoRedefine/>
    <w:semiHidden/>
    <w:unhideWhenUsed/>
    <w:qFormat/>
    <w:uiPriority w:val="1"/>
  </w:style>
  <w:style w:type="table" w:default="1" w:styleId="29">
    <w:name w:val="Normal Table"/>
    <w:autoRedefine/>
    <w:semiHidden/>
    <w:unhideWhenUsed/>
    <w:qFormat/>
    <w:uiPriority w:val="99"/>
    <w:tblPr>
      <w:tblCellMar>
        <w:top w:w="0" w:type="dxa"/>
        <w:left w:w="108" w:type="dxa"/>
        <w:bottom w:w="0" w:type="dxa"/>
        <w:right w:w="108" w:type="dxa"/>
      </w:tblCellMar>
    </w:tblPr>
  </w:style>
  <w:style w:type="paragraph" w:styleId="6">
    <w:name w:val="List Number"/>
    <w:basedOn w:val="1"/>
    <w:autoRedefine/>
    <w:qFormat/>
    <w:uiPriority w:val="99"/>
    <w:pPr>
      <w:numPr>
        <w:ilvl w:val="0"/>
        <w:numId w:val="1"/>
      </w:numPr>
    </w:pPr>
  </w:style>
  <w:style w:type="paragraph" w:styleId="7">
    <w:name w:val="Normal Indent"/>
    <w:basedOn w:val="1"/>
    <w:next w:val="1"/>
    <w:autoRedefine/>
    <w:qFormat/>
    <w:uiPriority w:val="99"/>
    <w:pPr>
      <w:ind w:firstLine="420"/>
    </w:pPr>
  </w:style>
  <w:style w:type="paragraph" w:styleId="8">
    <w:name w:val="Document Map"/>
    <w:basedOn w:val="1"/>
    <w:link w:val="99"/>
    <w:autoRedefine/>
    <w:qFormat/>
    <w:uiPriority w:val="0"/>
    <w:rPr>
      <w:rFonts w:ascii="宋体"/>
      <w:sz w:val="18"/>
      <w:szCs w:val="18"/>
    </w:rPr>
  </w:style>
  <w:style w:type="paragraph" w:styleId="9">
    <w:name w:val="annotation text"/>
    <w:basedOn w:val="1"/>
    <w:link w:val="45"/>
    <w:autoRedefine/>
    <w:qFormat/>
    <w:uiPriority w:val="99"/>
    <w:pPr>
      <w:jc w:val="left"/>
    </w:pPr>
  </w:style>
  <w:style w:type="paragraph" w:styleId="10">
    <w:name w:val="Body Text"/>
    <w:basedOn w:val="1"/>
    <w:next w:val="11"/>
    <w:link w:val="46"/>
    <w:autoRedefine/>
    <w:qFormat/>
    <w:uiPriority w:val="99"/>
    <w:pPr>
      <w:spacing w:line="360" w:lineRule="exact"/>
    </w:pPr>
    <w:rPr>
      <w:sz w:val="24"/>
      <w:szCs w:val="24"/>
    </w:rPr>
  </w:style>
  <w:style w:type="paragraph" w:styleId="11">
    <w:name w:val="Body Text First Indent"/>
    <w:basedOn w:val="10"/>
    <w:next w:val="1"/>
    <w:link w:val="47"/>
    <w:autoRedefine/>
    <w:qFormat/>
    <w:uiPriority w:val="99"/>
    <w:pPr>
      <w:ind w:firstLine="420"/>
    </w:pPr>
    <w:rPr>
      <w:sz w:val="21"/>
      <w:szCs w:val="21"/>
    </w:rPr>
  </w:style>
  <w:style w:type="paragraph" w:styleId="12">
    <w:name w:val="Body Text Indent"/>
    <w:basedOn w:val="1"/>
    <w:link w:val="48"/>
    <w:autoRedefine/>
    <w:qFormat/>
    <w:uiPriority w:val="99"/>
    <w:pPr>
      <w:spacing w:after="120"/>
      <w:ind w:left="420" w:leftChars="200"/>
    </w:pPr>
  </w:style>
  <w:style w:type="paragraph" w:styleId="13">
    <w:name w:val="Block Text"/>
    <w:basedOn w:val="1"/>
    <w:autoRedefine/>
    <w:qFormat/>
    <w:uiPriority w:val="99"/>
    <w:pPr>
      <w:adjustRightInd w:val="0"/>
      <w:spacing w:line="300" w:lineRule="auto"/>
      <w:ind w:left="958" w:right="-120" w:rightChars="-120"/>
      <w:jc w:val="left"/>
    </w:pPr>
    <w:rPr>
      <w:rFonts w:ascii="宋体" w:hAnsi="宋体" w:cs="宋体"/>
      <w:sz w:val="28"/>
      <w:szCs w:val="28"/>
    </w:rPr>
  </w:style>
  <w:style w:type="paragraph" w:styleId="14">
    <w:name w:val="Plain Text"/>
    <w:basedOn w:val="1"/>
    <w:next w:val="15"/>
    <w:link w:val="49"/>
    <w:autoRedefine/>
    <w:qFormat/>
    <w:uiPriority w:val="99"/>
    <w:rPr>
      <w:rFonts w:ascii="宋体" w:hAnsi="Courier New" w:cs="宋体"/>
    </w:rPr>
  </w:style>
  <w:style w:type="paragraph" w:styleId="15">
    <w:name w:val="Date"/>
    <w:basedOn w:val="1"/>
    <w:next w:val="1"/>
    <w:link w:val="50"/>
    <w:autoRedefine/>
    <w:qFormat/>
    <w:uiPriority w:val="99"/>
    <w:pPr>
      <w:ind w:left="2500" w:leftChars="2500"/>
    </w:pPr>
    <w:rPr>
      <w:rFonts w:ascii="Calibri" w:hAnsi="Calibri" w:eastAsia="楷体_GB2312" w:cs="Calibri"/>
      <w:sz w:val="32"/>
      <w:szCs w:val="32"/>
    </w:rPr>
  </w:style>
  <w:style w:type="paragraph" w:styleId="16">
    <w:name w:val="Balloon Text"/>
    <w:basedOn w:val="1"/>
    <w:link w:val="51"/>
    <w:autoRedefine/>
    <w:qFormat/>
    <w:uiPriority w:val="99"/>
    <w:rPr>
      <w:sz w:val="18"/>
      <w:szCs w:val="18"/>
    </w:rPr>
  </w:style>
  <w:style w:type="paragraph" w:styleId="17">
    <w:name w:val="footer"/>
    <w:basedOn w:val="1"/>
    <w:next w:val="18"/>
    <w:link w:val="52"/>
    <w:autoRedefine/>
    <w:qFormat/>
    <w:uiPriority w:val="0"/>
    <w:pPr>
      <w:tabs>
        <w:tab w:val="center" w:pos="4153"/>
        <w:tab w:val="right" w:pos="8306"/>
      </w:tabs>
      <w:snapToGrid w:val="0"/>
      <w:jc w:val="left"/>
    </w:pPr>
    <w:rPr>
      <w:sz w:val="18"/>
      <w:szCs w:val="18"/>
    </w:rPr>
  </w:style>
  <w:style w:type="paragraph" w:styleId="18">
    <w:name w:val="toc 2"/>
    <w:basedOn w:val="1"/>
    <w:next w:val="1"/>
    <w:autoRedefine/>
    <w:qFormat/>
    <w:uiPriority w:val="99"/>
    <w:pPr>
      <w:ind w:left="420" w:leftChars="200"/>
    </w:pPr>
  </w:style>
  <w:style w:type="paragraph" w:styleId="19">
    <w:name w:val="header"/>
    <w:basedOn w:val="1"/>
    <w:link w:val="53"/>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20">
    <w:name w:val="toc 4"/>
    <w:basedOn w:val="1"/>
    <w:next w:val="1"/>
    <w:autoRedefine/>
    <w:qFormat/>
    <w:uiPriority w:val="39"/>
    <w:pPr>
      <w:widowControl/>
      <w:ind w:left="600"/>
      <w:jc w:val="left"/>
    </w:pPr>
    <w:rPr>
      <w:kern w:val="0"/>
      <w:sz w:val="18"/>
      <w:szCs w:val="20"/>
    </w:rPr>
  </w:style>
  <w:style w:type="paragraph" w:styleId="21">
    <w:name w:val="footnote text"/>
    <w:basedOn w:val="1"/>
    <w:link w:val="54"/>
    <w:autoRedefine/>
    <w:qFormat/>
    <w:uiPriority w:val="99"/>
    <w:pPr>
      <w:snapToGrid w:val="0"/>
      <w:jc w:val="left"/>
    </w:pPr>
    <w:rPr>
      <w:sz w:val="18"/>
      <w:szCs w:val="18"/>
    </w:rPr>
  </w:style>
  <w:style w:type="paragraph" w:styleId="22">
    <w:name w:val="toc 6"/>
    <w:basedOn w:val="1"/>
    <w:next w:val="1"/>
    <w:autoRedefine/>
    <w:qFormat/>
    <w:uiPriority w:val="99"/>
    <w:pPr>
      <w:widowControl/>
      <w:ind w:left="1000"/>
      <w:jc w:val="left"/>
    </w:pPr>
    <w:rPr>
      <w:kern w:val="0"/>
      <w:sz w:val="18"/>
      <w:szCs w:val="18"/>
    </w:rPr>
  </w:style>
  <w:style w:type="paragraph" w:styleId="23">
    <w:name w:val="Body Text 2"/>
    <w:basedOn w:val="1"/>
    <w:autoRedefine/>
    <w:qFormat/>
    <w:uiPriority w:val="0"/>
    <w:pPr>
      <w:widowControl/>
      <w:snapToGrid w:val="0"/>
      <w:spacing w:before="50" w:afterLines="50" w:line="400" w:lineRule="atLeast"/>
      <w:jc w:val="left"/>
    </w:pPr>
    <w:rPr>
      <w:rFonts w:ascii="宋体" w:hAnsi="宋体"/>
      <w:color w:val="000000"/>
      <w:sz w:val="24"/>
    </w:rPr>
  </w:style>
  <w:style w:type="paragraph" w:styleId="24">
    <w:name w:val="HTML Preformatted"/>
    <w:basedOn w:val="1"/>
    <w:autoRedefine/>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5">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26">
    <w:name w:val="Title"/>
    <w:basedOn w:val="1"/>
    <w:next w:val="1"/>
    <w:link w:val="55"/>
    <w:autoRedefine/>
    <w:qFormat/>
    <w:uiPriority w:val="99"/>
    <w:pPr>
      <w:widowControl/>
      <w:overflowPunct w:val="0"/>
      <w:autoSpaceDE w:val="0"/>
      <w:autoSpaceDN w:val="0"/>
      <w:adjustRightInd w:val="0"/>
      <w:jc w:val="center"/>
      <w:textAlignment w:val="baseline"/>
    </w:pPr>
    <w:rPr>
      <w:b/>
      <w:bCs/>
      <w:kern w:val="0"/>
      <w:sz w:val="24"/>
      <w:szCs w:val="24"/>
    </w:rPr>
  </w:style>
  <w:style w:type="paragraph" w:styleId="27">
    <w:name w:val="annotation subject"/>
    <w:basedOn w:val="9"/>
    <w:next w:val="9"/>
    <w:link w:val="56"/>
    <w:autoRedefine/>
    <w:qFormat/>
    <w:uiPriority w:val="99"/>
    <w:rPr>
      <w:b/>
      <w:bCs/>
    </w:rPr>
  </w:style>
  <w:style w:type="paragraph" w:styleId="28">
    <w:name w:val="Body Text First Indent 2"/>
    <w:basedOn w:val="12"/>
    <w:next w:val="1"/>
    <w:link w:val="57"/>
    <w:autoRedefine/>
    <w:qFormat/>
    <w:uiPriority w:val="99"/>
    <w:pPr>
      <w:ind w:firstLine="420"/>
    </w:pPr>
  </w:style>
  <w:style w:type="table" w:styleId="30">
    <w:name w:val="Table Grid"/>
    <w:basedOn w:val="29"/>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1">
    <w:name w:val="Table Elegant"/>
    <w:basedOn w:val="29"/>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33">
    <w:name w:val="Strong"/>
    <w:autoRedefine/>
    <w:qFormat/>
    <w:uiPriority w:val="99"/>
    <w:rPr>
      <w:rFonts w:ascii="Times New Roman" w:hAnsi="Times New Roman" w:eastAsia="宋体" w:cs="Times New Roman"/>
      <w:b/>
      <w:bCs/>
    </w:rPr>
  </w:style>
  <w:style w:type="character" w:styleId="34">
    <w:name w:val="Hyperlink"/>
    <w:autoRedefine/>
    <w:qFormat/>
    <w:uiPriority w:val="99"/>
    <w:rPr>
      <w:rFonts w:ascii="Times New Roman" w:hAnsi="Times New Roman" w:eastAsia="宋体" w:cs="Times New Roman"/>
      <w:color w:val="0000FF"/>
      <w:u w:val="single"/>
    </w:rPr>
  </w:style>
  <w:style w:type="character" w:styleId="35">
    <w:name w:val="annotation reference"/>
    <w:autoRedefine/>
    <w:qFormat/>
    <w:uiPriority w:val="99"/>
    <w:rPr>
      <w:rFonts w:ascii="Times New Roman" w:hAnsi="Times New Roman" w:eastAsia="宋体" w:cs="Times New Roman"/>
      <w:sz w:val="21"/>
      <w:szCs w:val="21"/>
    </w:rPr>
  </w:style>
  <w:style w:type="character" w:styleId="36">
    <w:name w:val="footnote reference"/>
    <w:basedOn w:val="32"/>
    <w:autoRedefine/>
    <w:qFormat/>
    <w:uiPriority w:val="99"/>
    <w:rPr>
      <w:vertAlign w:val="superscript"/>
    </w:rPr>
  </w:style>
  <w:style w:type="paragraph" w:customStyle="1" w:styleId="37">
    <w:name w:val="段落"/>
    <w:autoRedefine/>
    <w:qFormat/>
    <w:uiPriority w:val="0"/>
    <w:pPr>
      <w:adjustRightInd w:val="0"/>
      <w:snapToGrid w:val="0"/>
      <w:spacing w:before="120" w:after="120" w:line="360" w:lineRule="auto"/>
      <w:ind w:firstLine="560" w:firstLineChars="200"/>
      <w:jc w:val="both"/>
    </w:pPr>
    <w:rPr>
      <w:rFonts w:ascii="Times New Roman" w:hAnsi="Times New Roman" w:eastAsia="仿宋_GB2312" w:cs="Times New Roman"/>
      <w:kern w:val="2"/>
      <w:sz w:val="28"/>
      <w:szCs w:val="24"/>
      <w:lang w:val="en-US" w:eastAsia="zh-CN" w:bidi="ar-SA"/>
    </w:rPr>
  </w:style>
  <w:style w:type="paragraph" w:customStyle="1" w:styleId="38">
    <w:name w:val="xl53"/>
    <w:basedOn w:val="1"/>
    <w:next w:val="1"/>
    <w:autoRedefine/>
    <w:qFormat/>
    <w:uiPriority w:val="0"/>
    <w:pPr>
      <w:spacing w:before="280" w:after="280" w:line="100" w:lineRule="exact"/>
      <w:jc w:val="center"/>
    </w:pPr>
    <w:rPr>
      <w:b/>
      <w:sz w:val="20"/>
    </w:rPr>
  </w:style>
  <w:style w:type="paragraph" w:customStyle="1" w:styleId="39">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0">
    <w:name w:val="无间隔1"/>
    <w:autoRedefine/>
    <w:qFormat/>
    <w:uiPriority w:val="99"/>
    <w:pPr>
      <w:adjustRightInd w:val="0"/>
      <w:snapToGrid w:val="0"/>
    </w:pPr>
    <w:rPr>
      <w:rFonts w:ascii="Tahoma" w:hAnsi="Tahoma" w:eastAsia="微软雅黑" w:cs="Tahoma"/>
      <w:sz w:val="22"/>
      <w:szCs w:val="22"/>
      <w:lang w:val="en-US" w:eastAsia="zh-CN" w:bidi="ar-SA"/>
    </w:rPr>
  </w:style>
  <w:style w:type="paragraph" w:customStyle="1" w:styleId="41">
    <w:name w:val="表格文字"/>
    <w:basedOn w:val="1"/>
    <w:next w:val="10"/>
    <w:autoRedefine/>
    <w:qFormat/>
    <w:uiPriority w:val="99"/>
    <w:pPr>
      <w:adjustRightInd w:val="0"/>
      <w:spacing w:line="420" w:lineRule="atLeast"/>
      <w:jc w:val="left"/>
      <w:textAlignment w:val="baseline"/>
    </w:pPr>
    <w:rPr>
      <w:kern w:val="0"/>
    </w:rPr>
  </w:style>
  <w:style w:type="character" w:customStyle="1" w:styleId="42">
    <w:name w:val="标题 1 字符"/>
    <w:link w:val="2"/>
    <w:autoRedefine/>
    <w:qFormat/>
    <w:uiPriority w:val="99"/>
    <w:rPr>
      <w:rFonts w:ascii="Times New Roman" w:hAnsi="Times New Roman" w:eastAsia="宋体" w:cs="Times New Roman"/>
      <w:b/>
      <w:bCs/>
      <w:kern w:val="44"/>
      <w:sz w:val="44"/>
      <w:szCs w:val="44"/>
    </w:rPr>
  </w:style>
  <w:style w:type="character" w:customStyle="1" w:styleId="43">
    <w:name w:val="标题 2 字符"/>
    <w:link w:val="3"/>
    <w:autoRedefine/>
    <w:qFormat/>
    <w:uiPriority w:val="99"/>
    <w:rPr>
      <w:rFonts w:ascii="Cambria" w:hAnsi="Cambria" w:eastAsia="宋体" w:cs="Cambria"/>
      <w:b/>
      <w:bCs/>
      <w:sz w:val="32"/>
      <w:szCs w:val="32"/>
    </w:rPr>
  </w:style>
  <w:style w:type="character" w:customStyle="1" w:styleId="44">
    <w:name w:val="标题 3 字符"/>
    <w:link w:val="4"/>
    <w:autoRedefine/>
    <w:qFormat/>
    <w:uiPriority w:val="99"/>
    <w:rPr>
      <w:rFonts w:ascii="Times New Roman" w:hAnsi="Times New Roman" w:eastAsia="宋体" w:cs="Times New Roman"/>
      <w:b/>
      <w:bCs/>
      <w:sz w:val="32"/>
      <w:szCs w:val="32"/>
    </w:rPr>
  </w:style>
  <w:style w:type="character" w:customStyle="1" w:styleId="45">
    <w:name w:val="批注文字 字符"/>
    <w:link w:val="9"/>
    <w:autoRedefine/>
    <w:qFormat/>
    <w:uiPriority w:val="99"/>
    <w:rPr>
      <w:rFonts w:ascii="Times New Roman" w:hAnsi="Times New Roman" w:eastAsia="宋体" w:cs="Times New Roman"/>
      <w:kern w:val="2"/>
      <w:sz w:val="24"/>
      <w:szCs w:val="24"/>
    </w:rPr>
  </w:style>
  <w:style w:type="character" w:customStyle="1" w:styleId="46">
    <w:name w:val="正文文本 字符"/>
    <w:link w:val="10"/>
    <w:autoRedefine/>
    <w:qFormat/>
    <w:uiPriority w:val="99"/>
    <w:rPr>
      <w:rFonts w:ascii="Times New Roman" w:hAnsi="Times New Roman" w:eastAsia="宋体" w:cs="Times New Roman"/>
      <w:sz w:val="24"/>
      <w:szCs w:val="24"/>
    </w:rPr>
  </w:style>
  <w:style w:type="character" w:customStyle="1" w:styleId="47">
    <w:name w:val="正文文本首行缩进 字符"/>
    <w:link w:val="11"/>
    <w:autoRedefine/>
    <w:qFormat/>
    <w:uiPriority w:val="99"/>
    <w:rPr>
      <w:rFonts w:ascii="Times New Roman" w:hAnsi="Times New Roman" w:eastAsia="宋体" w:cs="Times New Roman"/>
      <w:sz w:val="21"/>
      <w:szCs w:val="21"/>
    </w:rPr>
  </w:style>
  <w:style w:type="character" w:customStyle="1" w:styleId="48">
    <w:name w:val="正文文本缩进 字符"/>
    <w:link w:val="12"/>
    <w:autoRedefine/>
    <w:qFormat/>
    <w:uiPriority w:val="99"/>
    <w:rPr>
      <w:rFonts w:ascii="Times New Roman" w:hAnsi="Times New Roman" w:eastAsia="宋体" w:cs="Times New Roman"/>
      <w:kern w:val="2"/>
      <w:sz w:val="24"/>
      <w:szCs w:val="24"/>
    </w:rPr>
  </w:style>
  <w:style w:type="character" w:customStyle="1" w:styleId="49">
    <w:name w:val="纯文本 字符"/>
    <w:link w:val="14"/>
    <w:autoRedefine/>
    <w:qFormat/>
    <w:uiPriority w:val="99"/>
    <w:rPr>
      <w:rFonts w:ascii="宋体" w:hAnsi="Courier New" w:eastAsia="宋体" w:cs="宋体"/>
      <w:sz w:val="21"/>
      <w:szCs w:val="21"/>
    </w:rPr>
  </w:style>
  <w:style w:type="character" w:customStyle="1" w:styleId="50">
    <w:name w:val="日期 字符"/>
    <w:link w:val="15"/>
    <w:autoRedefine/>
    <w:qFormat/>
    <w:uiPriority w:val="99"/>
    <w:rPr>
      <w:rFonts w:ascii="Times New Roman" w:hAnsi="Times New Roman" w:eastAsia="宋体" w:cs="Times New Roman"/>
      <w:sz w:val="24"/>
      <w:szCs w:val="24"/>
    </w:rPr>
  </w:style>
  <w:style w:type="character" w:customStyle="1" w:styleId="51">
    <w:name w:val="批注框文本 字符"/>
    <w:link w:val="16"/>
    <w:autoRedefine/>
    <w:qFormat/>
    <w:uiPriority w:val="99"/>
    <w:rPr>
      <w:rFonts w:ascii="Times New Roman" w:hAnsi="Times New Roman" w:eastAsia="宋体" w:cs="Times New Roman"/>
      <w:kern w:val="2"/>
      <w:sz w:val="18"/>
      <w:szCs w:val="18"/>
    </w:rPr>
  </w:style>
  <w:style w:type="character" w:customStyle="1" w:styleId="52">
    <w:name w:val="页脚 字符"/>
    <w:link w:val="17"/>
    <w:autoRedefine/>
    <w:qFormat/>
    <w:uiPriority w:val="0"/>
    <w:rPr>
      <w:rFonts w:ascii="Times New Roman" w:hAnsi="Times New Roman" w:eastAsia="宋体" w:cs="Times New Roman"/>
      <w:sz w:val="18"/>
      <w:szCs w:val="18"/>
    </w:rPr>
  </w:style>
  <w:style w:type="character" w:customStyle="1" w:styleId="53">
    <w:name w:val="页眉 字符"/>
    <w:link w:val="19"/>
    <w:autoRedefine/>
    <w:qFormat/>
    <w:uiPriority w:val="0"/>
    <w:rPr>
      <w:rFonts w:ascii="Times New Roman" w:hAnsi="Times New Roman" w:eastAsia="宋体" w:cs="Times New Roman"/>
      <w:sz w:val="18"/>
      <w:szCs w:val="18"/>
    </w:rPr>
  </w:style>
  <w:style w:type="character" w:customStyle="1" w:styleId="54">
    <w:name w:val="脚注文本 字符"/>
    <w:link w:val="21"/>
    <w:autoRedefine/>
    <w:qFormat/>
    <w:uiPriority w:val="99"/>
    <w:rPr>
      <w:sz w:val="18"/>
      <w:szCs w:val="18"/>
    </w:rPr>
  </w:style>
  <w:style w:type="character" w:customStyle="1" w:styleId="55">
    <w:name w:val="标题 字符"/>
    <w:link w:val="26"/>
    <w:autoRedefine/>
    <w:qFormat/>
    <w:uiPriority w:val="99"/>
    <w:rPr>
      <w:rFonts w:ascii="Cambria" w:hAnsi="Cambria" w:cs="Cambria"/>
      <w:b/>
      <w:bCs/>
      <w:sz w:val="32"/>
      <w:szCs w:val="32"/>
    </w:rPr>
  </w:style>
  <w:style w:type="character" w:customStyle="1" w:styleId="56">
    <w:name w:val="批注主题 字符"/>
    <w:link w:val="27"/>
    <w:autoRedefine/>
    <w:qFormat/>
    <w:uiPriority w:val="99"/>
    <w:rPr>
      <w:rFonts w:ascii="Times New Roman" w:hAnsi="Times New Roman" w:eastAsia="宋体" w:cs="Times New Roman"/>
      <w:b/>
      <w:bCs/>
      <w:kern w:val="2"/>
      <w:sz w:val="24"/>
      <w:szCs w:val="24"/>
    </w:rPr>
  </w:style>
  <w:style w:type="character" w:customStyle="1" w:styleId="57">
    <w:name w:val="正文文本首行缩进 2 字符"/>
    <w:link w:val="28"/>
    <w:autoRedefine/>
    <w:qFormat/>
    <w:uiPriority w:val="99"/>
    <w:rPr>
      <w:rFonts w:ascii="Times New Roman" w:hAnsi="Times New Roman" w:eastAsia="宋体" w:cs="Times New Roman"/>
      <w:kern w:val="2"/>
      <w:sz w:val="21"/>
      <w:szCs w:val="21"/>
    </w:rPr>
  </w:style>
  <w:style w:type="paragraph" w:customStyle="1" w:styleId="58">
    <w:name w:val="BodyText1I2"/>
    <w:basedOn w:val="59"/>
    <w:next w:val="1"/>
    <w:autoRedefine/>
    <w:qFormat/>
    <w:uiPriority w:val="99"/>
    <w:pPr>
      <w:tabs>
        <w:tab w:val="left" w:pos="1680"/>
      </w:tabs>
      <w:spacing w:before="0" w:after="120" w:line="360" w:lineRule="auto"/>
      <w:ind w:left="420" w:leftChars="200" w:firstLine="420" w:firstLineChars="200"/>
      <w:textAlignment w:val="auto"/>
    </w:pPr>
    <w:rPr>
      <w:rFonts w:ascii="Calibri" w:hAnsi="Calibri" w:cs="Calibri"/>
      <w:kern w:val="2"/>
      <w:sz w:val="21"/>
      <w:szCs w:val="21"/>
    </w:rPr>
  </w:style>
  <w:style w:type="paragraph" w:customStyle="1" w:styleId="59">
    <w:name w:val="BodyTextIndent"/>
    <w:basedOn w:val="1"/>
    <w:next w:val="1"/>
    <w:autoRedefine/>
    <w:qFormat/>
    <w:uiPriority w:val="99"/>
    <w:pPr>
      <w:widowControl/>
      <w:snapToGrid w:val="0"/>
      <w:spacing w:before="120" w:line="400" w:lineRule="atLeast"/>
      <w:ind w:firstLine="570"/>
      <w:textAlignment w:val="bottom"/>
    </w:pPr>
    <w:rPr>
      <w:rFonts w:ascii="宋体" w:cs="宋体"/>
      <w:kern w:val="0"/>
      <w:sz w:val="24"/>
      <w:szCs w:val="24"/>
    </w:rPr>
  </w:style>
  <w:style w:type="paragraph" w:customStyle="1" w:styleId="60">
    <w:name w:val="正文（首行缩进2字符）"/>
    <w:basedOn w:val="1"/>
    <w:autoRedefine/>
    <w:qFormat/>
    <w:uiPriority w:val="99"/>
    <w:pPr>
      <w:spacing w:line="360" w:lineRule="auto"/>
      <w:ind w:firstLine="420" w:firstLineChars="200"/>
    </w:pPr>
  </w:style>
  <w:style w:type="paragraph" w:customStyle="1" w:styleId="61">
    <w:name w:val="章正文"/>
    <w:basedOn w:val="1"/>
    <w:autoRedefine/>
    <w:qFormat/>
    <w:uiPriority w:val="99"/>
    <w:pPr>
      <w:spacing w:beforeLines="50" w:after="120" w:line="300" w:lineRule="auto"/>
      <w:ind w:firstLine="480"/>
    </w:pPr>
    <w:rPr>
      <w:rFonts w:ascii="Helvetica" w:hAnsi="Helvetica" w:cs="Helvetica"/>
      <w:kern w:val="0"/>
      <w:sz w:val="24"/>
      <w:szCs w:val="24"/>
    </w:rPr>
  </w:style>
  <w:style w:type="character" w:customStyle="1" w:styleId="62">
    <w:name w:val="font01"/>
    <w:basedOn w:val="32"/>
    <w:autoRedefine/>
    <w:qFormat/>
    <w:uiPriority w:val="99"/>
    <w:rPr>
      <w:rFonts w:ascii="宋体" w:hAnsi="宋体" w:eastAsia="宋体" w:cs="宋体"/>
      <w:color w:val="000000"/>
      <w:sz w:val="24"/>
      <w:szCs w:val="24"/>
      <w:u w:val="none"/>
    </w:rPr>
  </w:style>
  <w:style w:type="character" w:customStyle="1" w:styleId="63">
    <w:name w:val="font11"/>
    <w:autoRedefine/>
    <w:qFormat/>
    <w:uiPriority w:val="99"/>
    <w:rPr>
      <w:rFonts w:ascii="Times New Roman" w:hAnsi="Times New Roman" w:eastAsia="宋体" w:cs="Times New Roman"/>
      <w:color w:val="000000"/>
      <w:sz w:val="24"/>
      <w:szCs w:val="24"/>
      <w:u w:val="none"/>
    </w:rPr>
  </w:style>
  <w:style w:type="character" w:customStyle="1" w:styleId="64">
    <w:name w:val="font31"/>
    <w:autoRedefine/>
    <w:qFormat/>
    <w:uiPriority w:val="99"/>
    <w:rPr>
      <w:rFonts w:ascii="宋体" w:hAnsi="宋体" w:eastAsia="宋体" w:cs="宋体"/>
      <w:color w:val="000000"/>
      <w:sz w:val="24"/>
      <w:szCs w:val="24"/>
      <w:u w:val="none"/>
    </w:rPr>
  </w:style>
  <w:style w:type="paragraph" w:customStyle="1" w:styleId="65">
    <w:name w:val="纯文本_3"/>
    <w:basedOn w:val="66"/>
    <w:autoRedefine/>
    <w:qFormat/>
    <w:uiPriority w:val="99"/>
    <w:pPr>
      <w:widowControl/>
      <w:jc w:val="left"/>
    </w:pPr>
    <w:rPr>
      <w:rFonts w:ascii="宋体" w:hAnsi="Courier New" w:cs="宋体"/>
    </w:rPr>
  </w:style>
  <w:style w:type="paragraph" w:customStyle="1" w:styleId="66">
    <w:name w:val="正文_1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7">
    <w:name w:val="正文_17"/>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8">
    <w:name w:val="纯文本_0_1"/>
    <w:basedOn w:val="1"/>
    <w:autoRedefine/>
    <w:qFormat/>
    <w:uiPriority w:val="99"/>
    <w:pPr>
      <w:widowControl/>
      <w:jc w:val="left"/>
    </w:pPr>
    <w:rPr>
      <w:rFonts w:ascii="宋体" w:hAnsi="Courier New" w:cs="宋体"/>
    </w:rPr>
  </w:style>
  <w:style w:type="paragraph" w:customStyle="1" w:styleId="69">
    <w:name w:val="zw"/>
    <w:basedOn w:val="1"/>
    <w:autoRedefine/>
    <w:qFormat/>
    <w:uiPriority w:val="99"/>
    <w:pPr>
      <w:widowControl/>
      <w:spacing w:before="30"/>
      <w:ind w:left="100" w:right="100"/>
    </w:pPr>
    <w:rPr>
      <w:rFonts w:ascii="方正书宋简体" w:hAnsi="宋体" w:eastAsia="Times New Roman" w:cs="方正书宋简体"/>
      <w:color w:val="000000"/>
      <w:kern w:val="0"/>
    </w:rPr>
  </w:style>
  <w:style w:type="paragraph" w:customStyle="1" w:styleId="70">
    <w:name w:val="Normal_15"/>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71">
    <w:name w:val="正文_4"/>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2">
    <w:name w:val="reader-word-laye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3">
    <w:name w:val="页眉与页脚"/>
    <w:autoRedefine/>
    <w:qFormat/>
    <w:uiPriority w:val="99"/>
    <w:pPr>
      <w:tabs>
        <w:tab w:val="right" w:pos="9020"/>
      </w:tabs>
    </w:pPr>
    <w:rPr>
      <w:rFonts w:ascii="Helvetica" w:hAnsi="Helvetica" w:eastAsia="宋体" w:cs="Helvetica"/>
      <w:color w:val="000000"/>
      <w:sz w:val="24"/>
      <w:szCs w:val="24"/>
      <w:lang w:val="en-US" w:eastAsia="zh-CN" w:bidi="ar-SA"/>
    </w:rPr>
  </w:style>
  <w:style w:type="paragraph" w:customStyle="1" w:styleId="74">
    <w:name w:val="无间隔11"/>
    <w:autoRedefine/>
    <w:qFormat/>
    <w:uiPriority w:val="99"/>
    <w:pPr>
      <w:adjustRightInd w:val="0"/>
      <w:snapToGrid w:val="0"/>
    </w:pPr>
    <w:rPr>
      <w:rFonts w:ascii="Tahoma" w:hAnsi="Tahoma" w:eastAsia="微软雅黑" w:cs="Tahoma"/>
      <w:sz w:val="22"/>
      <w:szCs w:val="22"/>
      <w:lang w:val="en-US" w:eastAsia="zh-CN" w:bidi="ar-SA"/>
    </w:rPr>
  </w:style>
  <w:style w:type="paragraph" w:customStyle="1" w:styleId="75">
    <w:name w:val="正文_5"/>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6">
    <w:name w:val="正文_3_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7">
    <w:name w:val="正文_14"/>
    <w:autoRedefine/>
    <w:qFormat/>
    <w:uiPriority w:val="99"/>
    <w:rPr>
      <w:rFonts w:ascii="Times New Roman" w:hAnsi="Times New Roman" w:eastAsia="宋体" w:cs="Times New Roman"/>
      <w:sz w:val="21"/>
      <w:szCs w:val="21"/>
      <w:lang w:val="en-US" w:eastAsia="zh-CN" w:bidi="ar-SA"/>
    </w:rPr>
  </w:style>
  <w:style w:type="paragraph" w:customStyle="1" w:styleId="78">
    <w:name w:val="正文_6"/>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9">
    <w:name w:val="正文_2_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80">
    <w:name w:val="列出段落1"/>
    <w:basedOn w:val="1"/>
    <w:autoRedefine/>
    <w:qFormat/>
    <w:uiPriority w:val="99"/>
    <w:pPr>
      <w:ind w:firstLine="420" w:firstLineChars="200"/>
    </w:pPr>
    <w:rPr>
      <w:rFonts w:ascii="Calibri" w:hAnsi="Calibri" w:cs="Calibri"/>
      <w:kern w:val="0"/>
    </w:rPr>
  </w:style>
  <w:style w:type="paragraph" w:customStyle="1" w:styleId="81">
    <w:name w:val="正文2"/>
    <w:basedOn w:val="1"/>
    <w:autoRedefine/>
    <w:qFormat/>
    <w:uiPriority w:val="99"/>
    <w:pPr>
      <w:spacing w:before="156" w:line="360" w:lineRule="auto"/>
      <w:ind w:firstLine="510" w:firstLineChars="200"/>
    </w:pPr>
    <w:rPr>
      <w:sz w:val="24"/>
      <w:szCs w:val="24"/>
    </w:rPr>
  </w:style>
  <w:style w:type="paragraph" w:customStyle="1" w:styleId="82">
    <w:name w:val="正文 A"/>
    <w:autoRedefine/>
    <w:qFormat/>
    <w:uiPriority w:val="99"/>
    <w:pPr>
      <w:widowControl w:val="0"/>
      <w:jc w:val="both"/>
    </w:pPr>
    <w:rPr>
      <w:rFonts w:ascii="Calibri" w:hAnsi="Calibri" w:eastAsia="宋体" w:cs="Calibri"/>
      <w:color w:val="000000"/>
      <w:kern w:val="2"/>
      <w:sz w:val="21"/>
      <w:szCs w:val="21"/>
      <w:lang w:val="en-US" w:eastAsia="zh-CN" w:bidi="ar-SA"/>
    </w:rPr>
  </w:style>
  <w:style w:type="paragraph" w:customStyle="1" w:styleId="83">
    <w:name w:val="列出段落2"/>
    <w:basedOn w:val="1"/>
    <w:autoRedefine/>
    <w:qFormat/>
    <w:uiPriority w:val="99"/>
    <w:pPr>
      <w:ind w:firstLine="420" w:firstLineChars="200"/>
    </w:pPr>
    <w:rPr>
      <w:rFonts w:ascii="Calibri" w:hAnsi="Calibri" w:cs="Calibri"/>
    </w:rPr>
  </w:style>
  <w:style w:type="paragraph" w:customStyle="1" w:styleId="84">
    <w:name w:val="正文段"/>
    <w:basedOn w:val="1"/>
    <w:autoRedefine/>
    <w:qFormat/>
    <w:uiPriority w:val="99"/>
    <w:pPr>
      <w:widowControl/>
      <w:snapToGrid w:val="0"/>
      <w:spacing w:afterLines="50"/>
      <w:ind w:firstLine="200" w:firstLineChars="200"/>
    </w:pPr>
    <w:rPr>
      <w:kern w:val="0"/>
      <w:sz w:val="24"/>
      <w:szCs w:val="24"/>
    </w:rPr>
  </w:style>
  <w:style w:type="paragraph" w:customStyle="1" w:styleId="85">
    <w:name w:val="p0"/>
    <w:basedOn w:val="1"/>
    <w:autoRedefine/>
    <w:qFormat/>
    <w:uiPriority w:val="99"/>
    <w:pPr>
      <w:widowControl/>
    </w:pPr>
    <w:rPr>
      <w:kern w:val="0"/>
    </w:rPr>
  </w:style>
  <w:style w:type="paragraph" w:customStyle="1" w:styleId="86">
    <w:name w:val="列表段落1"/>
    <w:basedOn w:val="1"/>
    <w:autoRedefine/>
    <w:qFormat/>
    <w:uiPriority w:val="99"/>
    <w:pPr>
      <w:ind w:firstLine="420" w:firstLineChars="200"/>
    </w:pPr>
    <w:rPr>
      <w:rFonts w:ascii="Calibri" w:hAnsi="Calibri" w:cs="Calibri"/>
    </w:rPr>
  </w:style>
  <w:style w:type="paragraph" w:customStyle="1" w:styleId="87">
    <w:name w:val="Plain Text1"/>
    <w:basedOn w:val="1"/>
    <w:autoRedefine/>
    <w:qFormat/>
    <w:uiPriority w:val="99"/>
    <w:rPr>
      <w:rFonts w:ascii="宋体" w:hAnsi="Courier New" w:cs="宋体"/>
    </w:rPr>
  </w:style>
  <w:style w:type="paragraph" w:customStyle="1" w:styleId="88">
    <w:name w:val="列出段落3"/>
    <w:next w:val="89"/>
    <w:autoRedefine/>
    <w:qFormat/>
    <w:uiPriority w:val="99"/>
    <w:pPr>
      <w:widowControl w:val="0"/>
      <w:ind w:firstLine="200" w:firstLineChars="200"/>
      <w:jc w:val="both"/>
    </w:pPr>
    <w:rPr>
      <w:rFonts w:ascii="Times New Roman" w:hAnsi="Times New Roman" w:eastAsia="宋体" w:cs="Times New Roman"/>
      <w:kern w:val="2"/>
      <w:sz w:val="21"/>
      <w:szCs w:val="21"/>
      <w:lang w:val="en-US" w:eastAsia="zh-CN" w:bidi="ar-SA"/>
    </w:rPr>
  </w:style>
  <w:style w:type="paragraph" w:customStyle="1" w:styleId="89">
    <w:name w:val="段"/>
    <w:autoRedefine/>
    <w:qFormat/>
    <w:uiPriority w:val="99"/>
    <w:pPr>
      <w:autoSpaceDE w:val="0"/>
      <w:autoSpaceDN w:val="0"/>
      <w:ind w:firstLine="200" w:firstLineChars="200"/>
      <w:jc w:val="both"/>
    </w:pPr>
    <w:rPr>
      <w:rFonts w:ascii="Arial" w:hAnsi="Arial" w:eastAsia="宋体" w:cs="Arial"/>
      <w:kern w:val="2"/>
      <w:sz w:val="21"/>
      <w:szCs w:val="21"/>
      <w:lang w:val="en-US" w:eastAsia="zh-CN" w:bidi="ar-SA"/>
    </w:rPr>
  </w:style>
  <w:style w:type="paragraph" w:customStyle="1" w:styleId="90">
    <w:name w:val="xiao b"/>
    <w:autoRedefine/>
    <w:qFormat/>
    <w:uiPriority w:val="99"/>
    <w:pPr>
      <w:widowControl w:val="0"/>
      <w:jc w:val="center"/>
    </w:pPr>
    <w:rPr>
      <w:rFonts w:ascii="Times New Roman" w:hAnsi="Times New Roman" w:eastAsia="黑体" w:cs="Times New Roman"/>
      <w:kern w:val="2"/>
      <w:sz w:val="24"/>
      <w:szCs w:val="24"/>
      <w:lang w:val="en-US" w:eastAsia="zh-CN" w:bidi="ar-SA"/>
    </w:rPr>
  </w:style>
  <w:style w:type="character" w:customStyle="1" w:styleId="91">
    <w:name w:val="font121"/>
    <w:autoRedefine/>
    <w:qFormat/>
    <w:uiPriority w:val="99"/>
    <w:rPr>
      <w:rFonts w:ascii="宋体" w:eastAsia="宋体" w:cs="宋体"/>
      <w:color w:val="000000"/>
      <w:sz w:val="22"/>
      <w:szCs w:val="22"/>
      <w:u w:val="none"/>
    </w:rPr>
  </w:style>
  <w:style w:type="paragraph" w:styleId="92">
    <w:name w:val="List Paragraph"/>
    <w:basedOn w:val="1"/>
    <w:autoRedefine/>
    <w:qFormat/>
    <w:uiPriority w:val="34"/>
    <w:pPr>
      <w:ind w:firstLine="420" w:firstLineChars="200"/>
    </w:pPr>
    <w:rPr>
      <w:rFonts w:ascii="Calibri" w:hAnsi="Calibri"/>
      <w:szCs w:val="22"/>
    </w:rPr>
  </w:style>
  <w:style w:type="character" w:customStyle="1" w:styleId="93">
    <w:name w:val="font51"/>
    <w:basedOn w:val="32"/>
    <w:autoRedefine/>
    <w:qFormat/>
    <w:uiPriority w:val="0"/>
    <w:rPr>
      <w:rFonts w:hint="eastAsia" w:ascii="宋体" w:hAnsi="宋体" w:eastAsia="宋体" w:cs="宋体"/>
      <w:color w:val="000000"/>
      <w:sz w:val="21"/>
      <w:szCs w:val="21"/>
      <w:u w:val="none"/>
    </w:rPr>
  </w:style>
  <w:style w:type="character" w:customStyle="1" w:styleId="94">
    <w:name w:val="font81"/>
    <w:basedOn w:val="32"/>
    <w:autoRedefine/>
    <w:qFormat/>
    <w:uiPriority w:val="0"/>
    <w:rPr>
      <w:rFonts w:hint="eastAsia" w:ascii="宋体" w:hAnsi="宋体" w:eastAsia="宋体" w:cs="宋体"/>
      <w:b/>
      <w:bCs/>
      <w:color w:val="000000"/>
      <w:sz w:val="21"/>
      <w:szCs w:val="21"/>
      <w:u w:val="none"/>
    </w:rPr>
  </w:style>
  <w:style w:type="character" w:customStyle="1" w:styleId="95">
    <w:name w:val="font91"/>
    <w:basedOn w:val="32"/>
    <w:autoRedefine/>
    <w:qFormat/>
    <w:uiPriority w:val="0"/>
    <w:rPr>
      <w:rFonts w:hint="eastAsia" w:ascii="宋体" w:hAnsi="宋体" w:eastAsia="宋体" w:cs="宋体"/>
      <w:color w:val="000000"/>
      <w:sz w:val="21"/>
      <w:szCs w:val="21"/>
      <w:u w:val="none"/>
    </w:rPr>
  </w:style>
  <w:style w:type="character" w:customStyle="1" w:styleId="96">
    <w:name w:val="font41"/>
    <w:basedOn w:val="32"/>
    <w:autoRedefine/>
    <w:qFormat/>
    <w:uiPriority w:val="0"/>
    <w:rPr>
      <w:rFonts w:hint="eastAsia" w:ascii="宋体" w:hAnsi="宋体" w:eastAsia="宋体" w:cs="宋体"/>
      <w:color w:val="FF0000"/>
      <w:sz w:val="21"/>
      <w:szCs w:val="21"/>
      <w:u w:val="none"/>
    </w:rPr>
  </w:style>
  <w:style w:type="character" w:customStyle="1" w:styleId="97">
    <w:name w:val="font71"/>
    <w:basedOn w:val="32"/>
    <w:autoRedefine/>
    <w:qFormat/>
    <w:uiPriority w:val="0"/>
    <w:rPr>
      <w:rFonts w:hint="eastAsia" w:ascii="宋体" w:hAnsi="宋体" w:eastAsia="宋体" w:cs="宋体"/>
      <w:color w:val="000000"/>
      <w:sz w:val="24"/>
      <w:szCs w:val="24"/>
      <w:u w:val="none"/>
    </w:rPr>
  </w:style>
  <w:style w:type="paragraph" w:customStyle="1" w:styleId="98">
    <w:name w:val="_Style 6"/>
    <w:basedOn w:val="1"/>
    <w:autoRedefine/>
    <w:qFormat/>
    <w:uiPriority w:val="0"/>
    <w:rPr>
      <w:sz w:val="24"/>
    </w:rPr>
  </w:style>
  <w:style w:type="character" w:customStyle="1" w:styleId="99">
    <w:name w:val="文档结构图 字符"/>
    <w:basedOn w:val="32"/>
    <w:link w:val="8"/>
    <w:autoRedefine/>
    <w:qFormat/>
    <w:uiPriority w:val="0"/>
    <w:rPr>
      <w:rFonts w:ascii="宋体"/>
      <w:kern w:val="2"/>
      <w:sz w:val="18"/>
      <w:szCs w:val="18"/>
    </w:rPr>
  </w:style>
  <w:style w:type="character" w:customStyle="1" w:styleId="100">
    <w:name w:val="font21"/>
    <w:basedOn w:val="32"/>
    <w:autoRedefine/>
    <w:qFormat/>
    <w:uiPriority w:val="0"/>
    <w:rPr>
      <w:rFonts w:hint="default" w:ascii="Times New Roman" w:hAnsi="Times New Roman" w:cs="Times New Roman"/>
      <w:color w:val="000000"/>
      <w:sz w:val="21"/>
      <w:szCs w:val="21"/>
      <w:u w:val="none"/>
    </w:rPr>
  </w:style>
  <w:style w:type="character" w:customStyle="1" w:styleId="101">
    <w:name w:val="Anrede1IhrZeichen"/>
    <w:autoRedefine/>
    <w:qFormat/>
    <w:uiPriority w:val="0"/>
    <w:rPr>
      <w:rFonts w:hint="default" w:ascii="Arial" w:hAnsi="Arial"/>
      <w:sz w:val="20"/>
    </w:rPr>
  </w:style>
  <w:style w:type="paragraph" w:customStyle="1" w:styleId="102">
    <w:name w:val="_Style 3"/>
    <w:basedOn w:val="1"/>
    <w:autoRedefine/>
    <w:qFormat/>
    <w:uiPriority w:val="1"/>
    <w:pPr>
      <w:ind w:firstLine="420" w:firstLineChars="200"/>
    </w:pPr>
    <w:rPr>
      <w:rFonts w:eastAsia="仿宋_GB2312"/>
      <w:sz w:val="28"/>
    </w:rPr>
  </w:style>
  <w:style w:type="character" w:customStyle="1" w:styleId="103">
    <w:name w:val="font61"/>
    <w:basedOn w:val="32"/>
    <w:autoRedefine/>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115</Pages>
  <Words>36111</Words>
  <Characters>40296</Characters>
  <Lines>309</Lines>
  <Paragraphs>87</Paragraphs>
  <TotalTime>4</TotalTime>
  <ScaleCrop>false</ScaleCrop>
  <LinksUpToDate>false</LinksUpToDate>
  <CharactersWithSpaces>41475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2024-02-05T03:52:00Z</dcterms:created>
  <dc:creator>S-mile</dc:creator>
  <cp:lastModifiedBy>弄白白白</cp:lastModifiedBy>
  <cp:lastPrinted>2020-05-13T09:08:00Z</cp:lastPrinted>
  <dcterms:modified xsi:type="dcterms:W3CDTF">2024-04-03T03:01:28Z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7C93F0925C994D2EABC61ED8EEF41164_13</vt:lpwstr>
  </property>
</Properties>
</file>