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r>
        <w:rPr>
          <w:rFonts w:ascii="宋体" w:hAnsi="宋体" w:cs="宋体"/>
          <w:color w:val="auto"/>
          <w:sz w:val="28"/>
          <w:szCs w:val="28"/>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lum contrast="12000"/>
                    </a:blip>
                    <a:stretch>
                      <a:fillRect/>
                    </a:stretch>
                  </pic:blipFill>
                  <pic:spPr>
                    <a:xfrm>
                      <a:off x="0" y="0"/>
                      <a:ext cx="2971800" cy="2091690"/>
                    </a:xfrm>
                    <a:prstGeom prst="rect">
                      <a:avLst/>
                    </a:prstGeom>
                    <a:noFill/>
                    <a:ln>
                      <a:noFill/>
                    </a:ln>
                  </pic:spPr>
                </pic:pic>
              </a:graphicData>
            </a:graphic>
          </wp:anchor>
        </w:drawing>
      </w:r>
    </w:p>
    <w:p>
      <w:pPr>
        <w:spacing w:line="360" w:lineRule="auto"/>
        <w:rPr>
          <w:rFonts w:ascii="宋体" w:hAnsi="宋体" w:cs="宋体"/>
          <w:color w:val="auto"/>
          <w:sz w:val="28"/>
          <w:szCs w:val="28"/>
          <w:highlight w:val="none"/>
        </w:rPr>
      </w:pPr>
    </w:p>
    <w:p>
      <w:pPr>
        <w:jc w:val="center"/>
        <w:rPr>
          <w:rFonts w:ascii="宋体"/>
          <w:color w:val="auto"/>
          <w:sz w:val="72"/>
          <w:szCs w:val="72"/>
          <w:highlight w:val="none"/>
        </w:rPr>
      </w:pPr>
      <w:r>
        <w:rPr>
          <w:rFonts w:ascii="宋体" w:hAnsi="宋体" w:cs="宋体"/>
          <w:color w:val="auto"/>
          <w:sz w:val="72"/>
          <w:szCs w:val="72"/>
          <w:highlight w:val="none"/>
        </w:rPr>
        <w:t xml:space="preserve">         F-STONE</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ZJWS2023-LQ07</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autoSpaceDE w:val="0"/>
        <w:autoSpaceDN w:val="0"/>
        <w:adjustRightInd w:val="0"/>
        <w:spacing w:line="360" w:lineRule="auto"/>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工伤保险业务服务委托商业保险公司协助经办和运营管理项目</w:t>
      </w:r>
    </w:p>
    <w:p>
      <w:pPr>
        <w:autoSpaceDE w:val="0"/>
        <w:autoSpaceDN w:val="0"/>
        <w:adjustRightInd w:val="0"/>
        <w:spacing w:line="360" w:lineRule="auto"/>
        <w:jc w:val="both"/>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台州市路桥区人力资源和社会保障局</w:t>
      </w:r>
    </w:p>
    <w:p>
      <w:pPr>
        <w:autoSpaceDE w:val="0"/>
        <w:autoSpaceDN w:val="0"/>
        <w:adjustRightInd w:val="0"/>
        <w:spacing w:line="360" w:lineRule="auto"/>
        <w:jc w:val="both"/>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pPr>
        <w:pStyle w:val="4"/>
        <w:rPr>
          <w:color w:val="auto"/>
          <w:highlight w:val="none"/>
        </w:rPr>
      </w:pPr>
    </w:p>
    <w:p>
      <w:pPr>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3</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w:t>
      </w:r>
      <w:r>
        <w:rPr>
          <w:rFonts w:hint="eastAsia" w:ascii="宋体" w:hAnsi="宋体" w:cs="宋体"/>
          <w:color w:val="auto"/>
          <w:kern w:val="0"/>
          <w:sz w:val="28"/>
          <w:szCs w:val="28"/>
          <w:highlight w:val="none"/>
        </w:rPr>
        <w:t>月</w:t>
      </w:r>
    </w:p>
    <w:p>
      <w:pPr>
        <w:jc w:val="center"/>
        <w:rPr>
          <w:rFonts w:hint="eastAsia" w:ascii="宋体" w:hAnsi="宋体" w:cs="宋体"/>
          <w:b/>
          <w:bCs/>
          <w:color w:val="auto"/>
          <w:sz w:val="36"/>
          <w:szCs w:val="36"/>
          <w:highlight w:val="none"/>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4"/>
        <w:rPr>
          <w:rFonts w:hint="eastAsia"/>
          <w:color w:val="auto"/>
          <w:highlight w:val="none"/>
        </w:rPr>
      </w:pPr>
    </w:p>
    <w:p>
      <w:pP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pPr>
        <w:spacing w:line="360" w:lineRule="auto"/>
        <w:rPr>
          <w:rFonts w:ascii="宋体" w:hAnsi="宋体" w:cs="宋体"/>
          <w:color w:val="auto"/>
          <w:sz w:val="24"/>
          <w:szCs w:val="24"/>
          <w:highlight w:val="none"/>
        </w:rPr>
      </w:pP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公开招标采购公告</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投标人须知</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评标办法及评分标准</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公开招标需求</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政府采购合同主要条款指引</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投标文件格式附件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9"/>
        <w:rPr>
          <w:color w:val="auto"/>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 公开招标采购公告</w:t>
      </w:r>
    </w:p>
    <w:p>
      <w:pPr>
        <w:spacing w:line="360" w:lineRule="auto"/>
        <w:rPr>
          <w:rFonts w:ascii="宋体"/>
          <w:b/>
          <w:bCs/>
          <w:color w:val="auto"/>
          <w:sz w:val="24"/>
          <w:szCs w:val="24"/>
          <w:highlight w:val="none"/>
        </w:rPr>
      </w:pPr>
      <w:r>
        <w:rPr>
          <w:rFonts w:ascii="宋体"/>
          <w:b/>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ge">
                  <wp:posOffset>1511300</wp:posOffset>
                </wp:positionV>
                <wp:extent cx="5833745" cy="1286510"/>
                <wp:effectExtent l="7620" t="8255" r="10795" b="15875"/>
                <wp:wrapTopAndBottom/>
                <wp:docPr id="9" name="文本框 9"/>
                <wp:cNvGraphicFramePr/>
                <a:graphic xmlns:a="http://schemas.openxmlformats.org/drawingml/2006/main">
                  <a:graphicData uri="http://schemas.microsoft.com/office/word/2010/wordprocessingShape">
                    <wps:wsp>
                      <wps:cNvSpPr txBox="1"/>
                      <wps:spPr>
                        <a:xfrm>
                          <a:off x="0" y="0"/>
                          <a:ext cx="5833745" cy="145796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spacing w:line="360" w:lineRule="auto"/>
                              <w:rPr>
                                <w:rFonts w:ascii="宋体" w:hAnsi="宋体" w:cs="宋体"/>
                                <w:sz w:val="24"/>
                                <w:szCs w:val="24"/>
                              </w:rPr>
                            </w:pPr>
                            <w:r>
                              <w:rPr>
                                <w:rFonts w:hint="eastAsia" w:ascii="宋体" w:hAnsi="宋体" w:cs="宋体"/>
                                <w:sz w:val="24"/>
                                <w:szCs w:val="24"/>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工伤保险业务服务委托商业保险公司协助经办和运营管理项目</w:t>
                            </w:r>
                            <w:r>
                              <w:rPr>
                                <w:rFonts w:hint="eastAsia" w:ascii="宋体" w:hAnsi="宋体" w:cs="宋体"/>
                                <w:sz w:val="24"/>
                                <w:szCs w:val="24"/>
                              </w:rPr>
                              <w:t>招标项目的潜在投标人应在政采云平台（http：//zfcg.czt.zj.gov.cn）获取（下载）招标文件，</w:t>
                            </w:r>
                            <w:r>
                              <w:rPr>
                                <w:rFonts w:hint="eastAsia" w:ascii="宋体" w:hAnsi="宋体" w:eastAsia="宋体" w:cs="宋体"/>
                                <w:color w:val="auto"/>
                                <w:sz w:val="24"/>
                                <w:szCs w:val="24"/>
                              </w:rPr>
                              <w:t>并于</w:t>
                            </w:r>
                            <w:r>
                              <w:rPr>
                                <w:rFonts w:hint="default" w:ascii="宋体" w:hAnsi="宋体" w:cs="宋体"/>
                                <w:color w:val="auto"/>
                                <w:sz w:val="24"/>
                                <w:szCs w:val="24"/>
                                <w:lang w:eastAsia="zh-CN"/>
                              </w:rPr>
                              <w:t>2023年2月9日  14:00</w:t>
                            </w:r>
                            <w:r>
                              <w:rPr>
                                <w:rFonts w:hint="eastAsia" w:ascii="宋体" w:hAnsi="宋体" w:eastAsia="宋体" w:cs="宋体"/>
                                <w:color w:val="auto"/>
                                <w:sz w:val="24"/>
                                <w:szCs w:val="24"/>
                              </w:rPr>
                              <w:t>（</w:t>
                            </w:r>
                            <w:r>
                              <w:rPr>
                                <w:rFonts w:hint="eastAsia" w:ascii="宋体" w:hAnsi="宋体" w:eastAsia="宋体" w:cs="宋体"/>
                                <w:sz w:val="24"/>
                                <w:szCs w:val="24"/>
                              </w:rPr>
                              <w:t>北京时间）前递交（上传）投标文件。</w:t>
                            </w:r>
                          </w:p>
                          <w:p>
                            <w:pPr>
                              <w:spacing w:line="360" w:lineRule="auto"/>
                              <w:ind w:firstLine="480" w:firstLineChars="200"/>
                              <w:rPr>
                                <w:rFonts w:ascii="宋体" w:hAnsi="宋体" w:cs="宋体"/>
                                <w:sz w:val="24"/>
                                <w:szCs w:val="24"/>
                              </w:rPr>
                            </w:pPr>
                          </w:p>
                        </w:txbxContent>
                      </wps:txbx>
                      <wps:bodyPr/>
                    </wps:wsp>
                  </a:graphicData>
                </a:graphic>
              </wp:anchor>
            </w:drawing>
          </mc:Choice>
          <mc:Fallback>
            <w:pict>
              <v:shape id="_x0000_s1026" o:spid="_x0000_s1026" o:spt="202" type="#_x0000_t202" style="position:absolute;left:0pt;margin-left:-22.15pt;margin-top:119pt;height:101.3pt;width:459.35pt;mso-position-vertical-relative:page;mso-wrap-distance-bottom:0pt;mso-wrap-distance-top:0pt;z-index:251659264;mso-width-relative:page;mso-height-relative:page;" fillcolor="#FFFFFF" filled="t" stroked="t" coordsize="21600,21600" o:gfxdata="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Hbfp+9kAAAALAQAADwAAAAAAAAABACAAAAA4AAAAZHJzL2Rvd25yZXYueG1sUEsBAhQAFAAAAAgA&#10;h07iQAc/bHNHAgAAwQQAAA4AAAAAAAAAAQAgAAAAPgEAAGRycy9lMm9Eb2MueG1sUEsFBgAAAAAG&#10;AAYAWQEAAPcFAAAAAA==&#10;">
                <v:fill type="gradient" on="t" color2="#FFFFFF" angle="90" focus="100%" focussize="0,0">
                  <o:fill type="gradientUnscaled" v:ext="backwardCompatible"/>
                </v:fill>
                <v:stroke weight="1.25pt" color="#000000" joinstyle="miter"/>
                <v:imagedata o:title=""/>
                <o:lock v:ext="edit" aspectratio="f"/>
                <v:textbox>
                  <w:txbxContent>
                    <w:p>
                      <w:pPr>
                        <w:spacing w:line="360" w:lineRule="auto"/>
                        <w:rPr>
                          <w:rFonts w:ascii="宋体" w:hAnsi="宋体" w:cs="宋体"/>
                          <w:sz w:val="24"/>
                          <w:szCs w:val="24"/>
                        </w:rPr>
                      </w:pPr>
                      <w:r>
                        <w:rPr>
                          <w:rFonts w:hint="eastAsia" w:ascii="宋体" w:hAnsi="宋体" w:cs="宋体"/>
                          <w:sz w:val="24"/>
                          <w:szCs w:val="24"/>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工伤保险业务服务委托商业保险公司协助经办和运营管理项目</w:t>
                      </w:r>
                      <w:r>
                        <w:rPr>
                          <w:rFonts w:hint="eastAsia" w:ascii="宋体" w:hAnsi="宋体" w:cs="宋体"/>
                          <w:sz w:val="24"/>
                          <w:szCs w:val="24"/>
                        </w:rPr>
                        <w:t>招标项目的潜在投标人应在政采云平台（http：//zfcg.czt.zj.gov.cn）获取（下载）招标文件，</w:t>
                      </w:r>
                      <w:r>
                        <w:rPr>
                          <w:rFonts w:hint="eastAsia" w:ascii="宋体" w:hAnsi="宋体" w:eastAsia="宋体" w:cs="宋体"/>
                          <w:color w:val="auto"/>
                          <w:sz w:val="24"/>
                          <w:szCs w:val="24"/>
                        </w:rPr>
                        <w:t>并于</w:t>
                      </w:r>
                      <w:r>
                        <w:rPr>
                          <w:rFonts w:hint="default" w:ascii="宋体" w:hAnsi="宋体" w:cs="宋体"/>
                          <w:color w:val="auto"/>
                          <w:sz w:val="24"/>
                          <w:szCs w:val="24"/>
                          <w:lang w:eastAsia="zh-CN"/>
                        </w:rPr>
                        <w:t>2023年2月9日  14:00</w:t>
                      </w:r>
                      <w:r>
                        <w:rPr>
                          <w:rFonts w:hint="eastAsia" w:ascii="宋体" w:hAnsi="宋体" w:eastAsia="宋体" w:cs="宋体"/>
                          <w:color w:val="auto"/>
                          <w:sz w:val="24"/>
                          <w:szCs w:val="24"/>
                        </w:rPr>
                        <w:t>（</w:t>
                      </w:r>
                      <w:r>
                        <w:rPr>
                          <w:rFonts w:hint="eastAsia" w:ascii="宋体" w:hAnsi="宋体" w:eastAsia="宋体" w:cs="宋体"/>
                          <w:sz w:val="24"/>
                          <w:szCs w:val="24"/>
                        </w:rPr>
                        <w:t>北京时间）前递交（上传）投标文件。</w:t>
                      </w:r>
                    </w:p>
                    <w:p>
                      <w:pPr>
                        <w:spacing w:line="360" w:lineRule="auto"/>
                        <w:ind w:firstLine="480" w:firstLineChars="200"/>
                        <w:rPr>
                          <w:rFonts w:ascii="宋体" w:hAnsi="宋体" w:cs="宋体"/>
                          <w:sz w:val="24"/>
                          <w:szCs w:val="24"/>
                        </w:rPr>
                      </w:pPr>
                    </w:p>
                  </w:txbxContent>
                </v:textbox>
                <w10:wrap type="topAndBottom"/>
              </v:shape>
            </w:pict>
          </mc:Fallback>
        </mc:AlternateContent>
      </w:r>
      <w:r>
        <w:rPr>
          <w:rFonts w:hint="eastAsia" w:ascii="宋体"/>
          <w:b/>
          <w:bCs/>
          <w:color w:val="auto"/>
          <w:sz w:val="24"/>
          <w:szCs w:val="24"/>
          <w:highlight w:val="none"/>
        </w:rPr>
        <w:t>一、项目基本情况</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ZJWS2023-LQ07</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工伤保险业务服务委托商业保险公司协助经办和运营管理项目</w:t>
      </w:r>
    </w:p>
    <w:p>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lang w:val="en-US" w:eastAsia="zh-CN"/>
        </w:rPr>
        <w:t>5700000</w:t>
      </w:r>
    </w:p>
    <w:p>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最高限价（元）：</w:t>
      </w:r>
      <w:r>
        <w:rPr>
          <w:rFonts w:hint="eastAsia" w:ascii="宋体" w:hAnsi="宋体" w:cs="宋体"/>
          <w:color w:val="auto"/>
          <w:sz w:val="24"/>
          <w:szCs w:val="24"/>
          <w:highlight w:val="none"/>
          <w:lang w:val="en-US" w:eastAsia="zh-CN"/>
        </w:rPr>
        <w:t>5700000</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标项名称：</w:t>
      </w:r>
      <w:r>
        <w:rPr>
          <w:rFonts w:hint="eastAsia" w:ascii="宋体" w:hAnsi="宋体" w:cs="宋体"/>
          <w:color w:val="auto"/>
          <w:sz w:val="24"/>
          <w:szCs w:val="24"/>
          <w:highlight w:val="none"/>
          <w:lang w:eastAsia="zh-CN"/>
        </w:rPr>
        <w:t>工伤保险业务服务委托商业保险公司协助经办和运营管理项目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数量：三年</w:t>
      </w:r>
    </w:p>
    <w:p>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lang w:val="en-US" w:eastAsia="zh-CN"/>
        </w:rPr>
        <w:t>5700000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简要规格描述或项目基本概况介绍、用途：具体详见招标需求。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合同履约期限：</w:t>
      </w:r>
      <w:r>
        <w:rPr>
          <w:rFonts w:hint="eastAsia" w:ascii="宋体"/>
          <w:color w:val="auto"/>
          <w:kern w:val="0"/>
          <w:sz w:val="24"/>
          <w:highlight w:val="none"/>
        </w:rPr>
        <w:t>3年（202</w:t>
      </w:r>
      <w:r>
        <w:rPr>
          <w:rFonts w:hint="eastAsia" w:ascii="宋体"/>
          <w:color w:val="auto"/>
          <w:kern w:val="0"/>
          <w:sz w:val="24"/>
          <w:highlight w:val="none"/>
          <w:lang w:val="en-US" w:eastAsia="zh-CN"/>
        </w:rPr>
        <w:t>3</w:t>
      </w:r>
      <w:r>
        <w:rPr>
          <w:rFonts w:hint="eastAsia" w:ascii="宋体"/>
          <w:color w:val="auto"/>
          <w:kern w:val="0"/>
          <w:sz w:val="24"/>
          <w:highlight w:val="none"/>
        </w:rPr>
        <w:t>年</w:t>
      </w:r>
      <w:r>
        <w:rPr>
          <w:rFonts w:hint="eastAsia" w:ascii="宋体"/>
          <w:color w:val="auto"/>
          <w:kern w:val="0"/>
          <w:sz w:val="24"/>
          <w:highlight w:val="none"/>
          <w:lang w:val="en-US" w:eastAsia="zh-CN"/>
        </w:rPr>
        <w:t>3</w:t>
      </w:r>
      <w:r>
        <w:rPr>
          <w:rFonts w:hint="eastAsia" w:ascii="宋体"/>
          <w:color w:val="auto"/>
          <w:kern w:val="0"/>
          <w:sz w:val="24"/>
          <w:highlight w:val="none"/>
        </w:rPr>
        <w:t>月1日-202</w:t>
      </w:r>
      <w:r>
        <w:rPr>
          <w:rFonts w:hint="eastAsia" w:ascii="宋体"/>
          <w:color w:val="auto"/>
          <w:kern w:val="0"/>
          <w:sz w:val="24"/>
          <w:highlight w:val="none"/>
          <w:lang w:val="en-US" w:eastAsia="zh-CN"/>
        </w:rPr>
        <w:t>6</w:t>
      </w:r>
      <w:r>
        <w:rPr>
          <w:rFonts w:hint="eastAsia" w:ascii="宋体"/>
          <w:color w:val="auto"/>
          <w:kern w:val="0"/>
          <w:sz w:val="24"/>
          <w:highlight w:val="none"/>
        </w:rPr>
        <w:t>年</w:t>
      </w:r>
      <w:r>
        <w:rPr>
          <w:rFonts w:hint="eastAsia" w:ascii="宋体"/>
          <w:color w:val="auto"/>
          <w:kern w:val="0"/>
          <w:sz w:val="24"/>
          <w:highlight w:val="none"/>
          <w:lang w:val="en-US" w:eastAsia="zh-CN"/>
        </w:rPr>
        <w:t>2</w:t>
      </w:r>
      <w:r>
        <w:rPr>
          <w:rFonts w:hint="eastAsia" w:ascii="宋体"/>
          <w:color w:val="auto"/>
          <w:kern w:val="0"/>
          <w:sz w:val="24"/>
          <w:highlight w:val="none"/>
        </w:rPr>
        <w:t>月</w:t>
      </w:r>
      <w:r>
        <w:rPr>
          <w:rFonts w:hint="eastAsia" w:ascii="宋体"/>
          <w:color w:val="auto"/>
          <w:kern w:val="0"/>
          <w:sz w:val="24"/>
          <w:highlight w:val="none"/>
          <w:lang w:val="en-US" w:eastAsia="zh-CN"/>
        </w:rPr>
        <w:t>28</w:t>
      </w:r>
      <w:r>
        <w:rPr>
          <w:rFonts w:hint="eastAsia" w:ascii="宋体"/>
          <w:color w:val="auto"/>
          <w:kern w:val="0"/>
          <w:sz w:val="24"/>
          <w:highlight w:val="none"/>
        </w:rPr>
        <w:t>日）</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rPr>
        <w:t>接受联合体投标。</w:t>
      </w:r>
    </w:p>
    <w:p>
      <w:pPr>
        <w:spacing w:line="360" w:lineRule="auto"/>
        <w:rPr>
          <w:rFonts w:ascii="宋体"/>
          <w:b/>
          <w:bCs/>
          <w:color w:val="auto"/>
          <w:sz w:val="24"/>
          <w:szCs w:val="24"/>
          <w:highlight w:val="none"/>
        </w:rPr>
      </w:pPr>
      <w:r>
        <w:rPr>
          <w:rFonts w:hint="eastAsia" w:ascii="宋体"/>
          <w:b/>
          <w:bCs/>
          <w:color w:val="auto"/>
          <w:sz w:val="24"/>
          <w:szCs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pPr>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highlight w:val="none"/>
        </w:rPr>
        <w:t>3.本项目的特定资格要求：</w:t>
      </w:r>
      <w:r>
        <w:rPr>
          <w:rFonts w:hint="eastAsia" w:ascii="宋体" w:hAnsi="宋体" w:cs="宋体"/>
          <w:color w:val="auto"/>
          <w:sz w:val="24"/>
          <w:szCs w:val="24"/>
          <w:highlight w:val="none"/>
          <w:lang w:val="en-US" w:eastAsia="zh-CN"/>
        </w:rPr>
        <w:t>投标人须具有中国保险监督管理委员会或中国银行保险监督管理委员会颁发的《中华人民共和国经营保险业务许可证》，经营业务范围包括健康保险和意外伤害保险业务。同一家公司仅允许一家分支机构代表总公司参加本项目。</w:t>
      </w:r>
    </w:p>
    <w:p>
      <w:pPr>
        <w:spacing w:line="360" w:lineRule="auto"/>
        <w:rPr>
          <w:rFonts w:ascii="宋体"/>
          <w:b/>
          <w:bCs/>
          <w:color w:val="auto"/>
          <w:sz w:val="24"/>
          <w:szCs w:val="24"/>
          <w:highlight w:val="none"/>
        </w:rPr>
      </w:pPr>
      <w:r>
        <w:rPr>
          <w:rFonts w:hint="eastAsia" w:ascii="宋体"/>
          <w:b/>
          <w:bCs/>
          <w:color w:val="auto"/>
          <w:sz w:val="24"/>
          <w:szCs w:val="24"/>
          <w:highlight w:val="none"/>
        </w:rPr>
        <w:t>三、获取招标文件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时间：/至2023年</w:t>
      </w:r>
      <w:r>
        <w:rPr>
          <w:rFonts w:hint="default" w:ascii="宋体" w:hAnsi="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月</w:t>
      </w:r>
      <w:r>
        <w:rPr>
          <w:rFonts w:hint="default" w:ascii="宋体" w:hAnsi="宋体" w:cs="宋体"/>
          <w:color w:val="auto"/>
          <w:sz w:val="24"/>
          <w:szCs w:val="24"/>
          <w:highlight w:val="none"/>
          <w:lang w:eastAsia="zh-CN"/>
        </w:rPr>
        <w:t>9</w:t>
      </w:r>
      <w:r>
        <w:rPr>
          <w:rFonts w:hint="eastAsia" w:ascii="宋体" w:hAnsi="宋体" w:eastAsia="宋体" w:cs="宋体"/>
          <w:color w:val="auto"/>
          <w:sz w:val="24"/>
          <w:szCs w:val="24"/>
          <w:highlight w:val="none"/>
          <w:lang w:eastAsia="zh-CN"/>
        </w:rPr>
        <w:t>日，每天上午00:00至12:00，下午12:00至23:59（北京时间，线上获取法定节假日均可，线下获取文件法定节假日除外）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地点（网址）：政采云平台（http：//zfcg.czt.zj.gov.cn）</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方式：供应商登录政采云平台https://www.zcygov.cn/在线申请获取采购文件（进入“项目采购”应用，在获取采购文件菜单中选择项目，申请获取采购文件）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售价（元）：0</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rPr>
          <w:rFonts w:ascii="宋体"/>
          <w:b/>
          <w:bCs/>
          <w:color w:val="auto"/>
          <w:sz w:val="24"/>
          <w:szCs w:val="24"/>
          <w:highlight w:val="none"/>
        </w:rPr>
      </w:pPr>
      <w:r>
        <w:rPr>
          <w:rFonts w:hint="eastAsia" w:ascii="宋体"/>
          <w:b/>
          <w:bCs/>
          <w:color w:val="auto"/>
          <w:sz w:val="24"/>
          <w:szCs w:val="24"/>
          <w:highlight w:val="none"/>
        </w:rPr>
        <w:t>四、提交投标文件截止时间、开标时间和地点</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提交投标文件截止时间：</w:t>
      </w:r>
      <w:r>
        <w:rPr>
          <w:rFonts w:hint="default" w:ascii="宋体" w:hAnsi="宋体" w:cs="宋体"/>
          <w:color w:val="auto"/>
          <w:sz w:val="24"/>
          <w:szCs w:val="24"/>
          <w:highlight w:val="none"/>
          <w:lang w:eastAsia="zh-CN"/>
        </w:rPr>
        <w:t>2023年2月9日  14:00</w:t>
      </w:r>
      <w:r>
        <w:rPr>
          <w:rFonts w:hint="eastAsia" w:ascii="宋体" w:hAnsi="宋体" w:eastAsia="宋体" w:cs="宋体"/>
          <w:color w:val="auto"/>
          <w:sz w:val="24"/>
          <w:szCs w:val="24"/>
          <w:highlight w:val="none"/>
          <w:lang w:eastAsia="zh-CN"/>
        </w:rPr>
        <w:t>（北京时间）</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投标地点（网址）：电子加密投标文件上传至：政府采购云平台（www.zcygov.cn）</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w:t>
      </w:r>
      <w:r>
        <w:rPr>
          <w:rFonts w:hint="default" w:ascii="宋体" w:hAnsi="宋体" w:cs="宋体"/>
          <w:color w:val="auto"/>
          <w:sz w:val="24"/>
          <w:szCs w:val="24"/>
          <w:highlight w:val="none"/>
          <w:lang w:eastAsia="zh-CN"/>
        </w:rPr>
        <w:t>2023年2月9日  14:00</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开标地点（网址）：</w:t>
      </w:r>
      <w:r>
        <w:rPr>
          <w:rFonts w:hint="default" w:ascii="宋体" w:hAnsi="宋体" w:cs="宋体"/>
          <w:color w:val="auto"/>
          <w:sz w:val="24"/>
          <w:szCs w:val="24"/>
          <w:highlight w:val="none"/>
          <w:lang w:eastAsia="zh-CN"/>
        </w:rPr>
        <w:t>台州市路桥区财富大道999号区政府商城办公区（商城国际）五楼政府采购中心开标室（二）</w:t>
      </w:r>
    </w:p>
    <w:p>
      <w:pPr>
        <w:spacing w:line="360" w:lineRule="auto"/>
        <w:rPr>
          <w:rFonts w:ascii="宋体"/>
          <w:b/>
          <w:bCs/>
          <w:color w:val="auto"/>
          <w:sz w:val="24"/>
          <w:szCs w:val="24"/>
          <w:highlight w:val="none"/>
        </w:rPr>
      </w:pPr>
      <w:r>
        <w:rPr>
          <w:rFonts w:hint="eastAsia" w:ascii="宋体"/>
          <w:b/>
          <w:bCs/>
          <w:color w:val="auto"/>
          <w:sz w:val="24"/>
          <w:szCs w:val="24"/>
          <w:highlight w:val="none"/>
        </w:rPr>
        <w:t>五、公告期限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pPr>
        <w:spacing w:line="360" w:lineRule="auto"/>
        <w:rPr>
          <w:rFonts w:ascii="宋体"/>
          <w:b/>
          <w:bCs/>
          <w:color w:val="auto"/>
          <w:sz w:val="24"/>
          <w:szCs w:val="24"/>
          <w:highlight w:val="none"/>
        </w:rPr>
      </w:pPr>
      <w:r>
        <w:rPr>
          <w:rFonts w:hint="eastAsia" w:ascii="宋体"/>
          <w:b/>
          <w:bCs/>
          <w:color w:val="auto"/>
          <w:sz w:val="24"/>
          <w:szCs w:val="24"/>
          <w:highlight w:val="none"/>
        </w:rPr>
        <w:t>六、其他补充事宜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4.其他事项：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4.2投标人通过政采云平台电子投标工具制作投标文件，电子投标工具请供应商自行前往浙江政府采购网下载并安装（下载网址：http://zfcg.czt.zj.gov.cn/bidClientTemplate/2019-05-27/12946.html）。</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4.3投标人应在开标前完成CA数字证书办理。（办理流程详见http://zfcg.czt.zj.gov.cn/bidClientTemplate/2019-05-27/12945.html，完成CA数字证书办理预计一周左右，请各投标人自行把握时间）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4.5供应商如对采购文件有异议应按规定的时间提出，逾期提出的，采购组织机构可不予受理、答复。</w:t>
      </w:r>
    </w:p>
    <w:p>
      <w:pPr>
        <w:spacing w:line="360" w:lineRule="auto"/>
        <w:rPr>
          <w:rFonts w:ascii="宋体"/>
          <w:b/>
          <w:bCs/>
          <w:color w:val="auto"/>
          <w:sz w:val="24"/>
          <w:szCs w:val="24"/>
          <w:highlight w:val="none"/>
        </w:rPr>
      </w:pPr>
      <w:r>
        <w:rPr>
          <w:rFonts w:hint="eastAsia" w:ascii="宋体"/>
          <w:b/>
          <w:bCs/>
          <w:color w:val="auto"/>
          <w:sz w:val="24"/>
          <w:szCs w:val="24"/>
          <w:highlight w:val="none"/>
        </w:rPr>
        <w:t>七、对本次采购提出询问、质疑、投诉，请按以下方式联系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台州市路桥区人力资源和社会保障局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r>
        <w:rPr>
          <w:color w:val="auto"/>
          <w:highlight w:val="none"/>
        </w:rPr>
        <w:fldChar w:fldCharType="begin"/>
      </w:r>
      <w:r>
        <w:rPr>
          <w:color w:val="auto"/>
          <w:highlight w:val="none"/>
        </w:rPr>
        <w:instrText xml:space="preserve"> HYPERLINK "https://ditu.so.com/?pid=9148b0cc1d56e195&amp;src=onebox" \t "https://www.so.com/_blank" </w:instrText>
      </w:r>
      <w:r>
        <w:rPr>
          <w:color w:val="auto"/>
          <w:highlight w:val="none"/>
        </w:rPr>
        <w:fldChar w:fldCharType="separate"/>
      </w:r>
      <w:r>
        <w:rPr>
          <w:rFonts w:hint="eastAsia" w:ascii="宋体" w:hAnsi="宋体" w:cs="宋体"/>
          <w:color w:val="auto"/>
          <w:sz w:val="24"/>
          <w:szCs w:val="24"/>
          <w:highlight w:val="none"/>
          <w:lang w:eastAsia="zh-CN"/>
        </w:rPr>
        <w:t>浙江省台州市路桥区银安街661号</w:t>
      </w:r>
      <w:r>
        <w:rPr>
          <w:rFonts w:ascii="宋体" w:hAnsi="宋体" w:cs="宋体"/>
          <w:color w:val="auto"/>
          <w:sz w:val="24"/>
          <w:szCs w:val="24"/>
          <w:highlight w:val="none"/>
        </w:rPr>
        <w:fldChar w:fldCharType="end"/>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毛</w:t>
      </w:r>
      <w:r>
        <w:rPr>
          <w:rFonts w:hint="eastAsia" w:ascii="宋体" w:hAnsi="宋体" w:cs="宋体"/>
          <w:color w:val="auto"/>
          <w:sz w:val="24"/>
          <w:szCs w:val="24"/>
          <w:highlight w:val="none"/>
        </w:rPr>
        <w:t>先生</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项目联系方式（询问）：0576-</w:t>
      </w:r>
      <w:r>
        <w:rPr>
          <w:rFonts w:hint="eastAsia" w:ascii="宋体" w:hAnsi="宋体" w:cs="宋体"/>
          <w:color w:val="auto"/>
          <w:sz w:val="24"/>
          <w:szCs w:val="24"/>
          <w:highlight w:val="none"/>
          <w:lang w:val="en-US" w:eastAsia="zh-CN"/>
        </w:rPr>
        <w:t>82420027</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俞先生</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质疑联系方式：0576-</w:t>
      </w:r>
      <w:r>
        <w:rPr>
          <w:rFonts w:hint="eastAsia" w:ascii="宋体" w:hAnsi="宋体" w:cs="宋体"/>
          <w:color w:val="auto"/>
          <w:sz w:val="24"/>
          <w:szCs w:val="24"/>
          <w:highlight w:val="none"/>
          <w:lang w:val="en-US" w:eastAsia="zh-CN"/>
        </w:rPr>
        <w:t>82520260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     称：浙江五石中正工程咨询有限公司</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址：杭州市拱墅区白石路318号中国（杭州）人力资源服务产业园北楼512室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     真：0571-85342190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项目联系人（询问）：周丽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项目联系方式（询问）：0576-88781913</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质疑联系人：徐少媚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质疑联系方式：0576-88785265</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3.同级政府采购监督管理部门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  称：台州市路桥区财政局监督绩效管理与采购监管科</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址：浙江省台州市路桥区西路桥大道58号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联系人：吴女士</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监督投诉电话：0576-82517851</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其余事项：</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中标供应商可根据项目情况及自身需求向以下银行申请企业贷款，利率从优。</w:t>
      </w:r>
    </w:p>
    <w:tbl>
      <w:tblPr>
        <w:tblStyle w:val="25"/>
        <w:tblW w:w="9974" w:type="dxa"/>
        <w:jc w:val="center"/>
        <w:tblLayout w:type="fixed"/>
        <w:tblCellMar>
          <w:top w:w="0" w:type="dxa"/>
          <w:left w:w="0" w:type="dxa"/>
          <w:bottom w:w="0" w:type="dxa"/>
          <w:right w:w="0" w:type="dxa"/>
        </w:tblCellMar>
      </w:tblPr>
      <w:tblGrid>
        <w:gridCol w:w="644"/>
        <w:gridCol w:w="5352"/>
        <w:gridCol w:w="1530"/>
        <w:gridCol w:w="960"/>
        <w:gridCol w:w="1488"/>
      </w:tblGrid>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 行 名 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政采贷年利率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中国建设银行股份有限公司台州路桥支行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徐剑鸿</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15167671223</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中国工商银行股份有限公司台州路桥支行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倪  昊</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15968680259</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中国农业银行股份有限公司台州路桥支行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丁道兵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13606668045</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  斌</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13750661198</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台州银行股份有限公司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黄红芹</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13968689000</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浙江泰隆商业银行股份有限公司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冯观凤</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17858683988</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中国邮政储蓄银行股份有限公司台州市路桥区支行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沈丹华</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13306566969</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刘鲁浙</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15968662111</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兴业银行股份有限公司台州路桥支行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蒋  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13586088395</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中信银行股份有限公司台州路桥支行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曹筱婕</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18105768199</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浙商银行股份有限公司台州路桥小微企业专营支行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庄道勇</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13867611023</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广发银行股份有限公司台州路桥小微企业专营支行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  春</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13858687790</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平安银行股份有限公司台州路桥小微企业专营支行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李俊丽</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15906861025</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宁波银行股份有限公司台州路桥小微企业专营支行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李诚杰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13395745558</w:t>
            </w:r>
          </w:p>
        </w:tc>
      </w:tr>
      <w:tr>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浙江台州路桥富民村镇银行股份有限公司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金根灵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13157608788</w:t>
            </w:r>
          </w:p>
        </w:tc>
      </w:tr>
    </w:tbl>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浙江五石中正工程咨询有限公司</w:t>
      </w:r>
    </w:p>
    <w:p>
      <w:pPr>
        <w:keepNext w:val="0"/>
        <w:keepLines w:val="0"/>
        <w:pageBreakBefore w:val="0"/>
        <w:kinsoku/>
        <w:wordWrap/>
        <w:overflowPunct/>
        <w:topLinePunct w:val="0"/>
        <w:autoSpaceDE/>
        <w:autoSpaceDN/>
        <w:bidi w:val="0"/>
        <w:adjustRightInd/>
        <w:snapToGrid/>
        <w:spacing w:line="360" w:lineRule="auto"/>
        <w:ind w:firstLine="6240" w:firstLineChars="2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bookmarkStart w:id="0" w:name="_GoBack"/>
      <w:bookmarkEnd w:id="0"/>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pStyle w:val="34"/>
        <w:rPr>
          <w:rFonts w:ascii="宋体" w:hAnsi="宋体" w:cs="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前附表</w:t>
      </w:r>
    </w:p>
    <w:tbl>
      <w:tblPr>
        <w:tblStyle w:val="2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72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54"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w:t>
            </w:r>
          </w:p>
        </w:tc>
        <w:tc>
          <w:tcPr>
            <w:tcW w:w="7214"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5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721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5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答疑会或现场踏勘</w:t>
            </w:r>
          </w:p>
        </w:tc>
        <w:tc>
          <w:tcPr>
            <w:tcW w:w="721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各投标单位自行前往勘察现场和周围环境，所产生的费用由投标单位自理。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5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投标文件递交要求</w:t>
            </w:r>
          </w:p>
        </w:tc>
        <w:tc>
          <w:tcPr>
            <w:tcW w:w="721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本项目实行电子投标，供应商应准备电子投标文件、还可以提供以介质存储的数据电文形式的备份投标文件、纸质备份投标文件：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2.经政采云加密处理、以介质存储的数据电文形式的备份投标文件，按政采云平台项目采购-电子招投标操作指南中上传的电子投标文件格式，以U盘形式提供。数量为1份。</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3.纸质备份投标文件以纸质文件的形式编制，</w:t>
            </w:r>
            <w:r>
              <w:rPr>
                <w:rFonts w:hint="eastAsia" w:ascii="宋体" w:hAnsi="宋体" w:cs="宋体"/>
                <w:color w:val="auto"/>
                <w:sz w:val="24"/>
                <w:highlight w:val="none"/>
                <w:lang w:eastAsia="zh-CN"/>
              </w:rPr>
              <w:t>按资格证明文件、商务技术文件、报价文件三部分分别编制并单独装订成册，数量均为2份（一正一副）。资格证明文件、商务技术文件、报价文件三部分须分别密封封装，资格证明文件、商务技术文件、报价文件三部分未分别密封的投标文件将为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5.未传输递交电子投标文件的，投标无效。未按规定提供相应的备份投标文件，如发生电子投标文件无法正常开启的情况，造成项目开评标活动无法进行下去的，投标无效。仅递交备份文件的，投标无效。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建议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5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21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5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721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截止时间：北京时间</w:t>
            </w:r>
            <w:r>
              <w:rPr>
                <w:rFonts w:hint="default" w:ascii="宋体" w:hAnsi="宋体" w:cs="宋体"/>
                <w:color w:val="auto"/>
                <w:sz w:val="24"/>
                <w:highlight w:val="none"/>
                <w:lang w:eastAsia="zh-CN"/>
              </w:rPr>
              <w:t>2023年2月9日  14:00</w:t>
            </w:r>
            <w:r>
              <w:rPr>
                <w:rFonts w:hint="eastAsia" w:ascii="宋体" w:hAnsi="宋体" w:cs="宋体"/>
                <w:color w:val="auto"/>
                <w:sz w:val="24"/>
                <w:highlight w:val="none"/>
                <w:lang w:eastAsia="zh-CN"/>
              </w:rPr>
              <w:t>整</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5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7214"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时间：北京时间</w:t>
            </w:r>
            <w:r>
              <w:rPr>
                <w:rFonts w:hint="default" w:ascii="宋体" w:hAnsi="宋体" w:cs="宋体"/>
                <w:color w:val="auto"/>
                <w:sz w:val="24"/>
                <w:highlight w:val="none"/>
                <w:lang w:eastAsia="zh-CN"/>
              </w:rPr>
              <w:t>2023年2月9日  14:00</w:t>
            </w:r>
            <w:r>
              <w:rPr>
                <w:rFonts w:hint="eastAsia" w:ascii="宋体" w:hAnsi="宋体" w:cs="宋体"/>
                <w:color w:val="auto"/>
                <w:sz w:val="24"/>
                <w:highlight w:val="none"/>
                <w:lang w:eastAsia="zh-CN"/>
              </w:rPr>
              <w:t>整</w:t>
            </w:r>
          </w:p>
          <w:p>
            <w:pPr>
              <w:spacing w:line="360" w:lineRule="auto"/>
              <w:rPr>
                <w:rFonts w:hint="default" w:ascii="宋体" w:hAnsi="宋体" w:eastAsia="宋体" w:cs="宋体"/>
                <w:color w:val="auto"/>
                <w:sz w:val="24"/>
                <w:highlight w:val="none"/>
                <w:lang w:eastAsia="zh-CN"/>
              </w:rPr>
            </w:pPr>
            <w:r>
              <w:rPr>
                <w:rFonts w:hint="eastAsia" w:ascii="宋体" w:hAnsi="宋体" w:cs="宋体"/>
                <w:color w:val="auto"/>
                <w:sz w:val="24"/>
                <w:highlight w:val="none"/>
              </w:rPr>
              <w:t>地点：</w:t>
            </w:r>
            <w:r>
              <w:rPr>
                <w:rFonts w:hint="default" w:ascii="宋体" w:hAnsi="宋体" w:cs="宋体"/>
                <w:color w:val="auto"/>
                <w:sz w:val="24"/>
                <w:highlight w:val="none"/>
                <w:lang w:eastAsia="zh-CN"/>
              </w:rPr>
              <w:t>台州市路桥区财富大道999号区政府商城办公区（商城国际）五楼政府采购中心开标室（二）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5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信用记录相关说明</w:t>
            </w:r>
          </w:p>
        </w:tc>
        <w:tc>
          <w:tcPr>
            <w:tcW w:w="721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1）信用信息查询的截止时点：开标后评标前；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2）查询渠道：“信用中国”（www.creditchina.gov.cn）、“中国政府采购网”（www.ccgp.gov.cn）；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3）信用信息查询记录和证据留存具体方式：采购代理机构经办人和监督人员将查询网页打印与其他采购相关文件一并保存；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4）信用信息的使用规则：投标人存在不良信用记录的，其投标将被作为无效投标被拒绝。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不良信用记录指：被列入失信被执行人、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5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721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54" w:type="dxa"/>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szCs w:val="24"/>
                <w:highlight w:val="none"/>
                <w:lang w:val="zh-CN"/>
              </w:rPr>
              <w:t>是否提供样品</w:t>
            </w:r>
            <w:r>
              <w:rPr>
                <w:rFonts w:hint="eastAsia" w:ascii="宋体" w:hAnsi="宋体" w:cs="宋体"/>
                <w:color w:val="auto"/>
                <w:sz w:val="24"/>
                <w:szCs w:val="24"/>
                <w:highlight w:val="none"/>
              </w:rPr>
              <w:t>及演示</w:t>
            </w:r>
          </w:p>
        </w:tc>
        <w:tc>
          <w:tcPr>
            <w:tcW w:w="7214" w:type="dxa"/>
            <w:vAlign w:val="center"/>
          </w:tcPr>
          <w:p>
            <w:pPr>
              <w:autoSpaceDE w:val="0"/>
              <w:autoSpaceDN w:val="0"/>
              <w:adjustRightInd w:val="0"/>
              <w:spacing w:line="360" w:lineRule="auto"/>
              <w:rPr>
                <w:rFonts w:ascii="宋体" w:hAnsi="宋体" w:cs="宋体"/>
                <w:color w:val="auto"/>
                <w:sz w:val="24"/>
                <w:highlight w:val="none"/>
                <w:lang w:val="zh-CN"/>
              </w:rPr>
            </w:pPr>
            <w:r>
              <w:rPr>
                <w:rFonts w:hint="eastAsia" w:ascii="宋体" w:hAnsi="宋体" w:cs="宋体"/>
                <w:color w:val="auto"/>
                <w:sz w:val="24"/>
                <w:szCs w:val="24"/>
                <w:highlight w:val="none"/>
              </w:rPr>
              <w:t>否</w:t>
            </w:r>
            <w:r>
              <w:rPr>
                <w:rFonts w:hint="eastAsia" w:ascii="宋体" w:hAnsi="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54" w:type="dxa"/>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szCs w:val="24"/>
                <w:highlight w:val="none"/>
                <w:lang w:bidi="ar"/>
              </w:rPr>
              <w:t>是否专门面向中小微企业采购</w:t>
            </w:r>
          </w:p>
        </w:tc>
        <w:tc>
          <w:tcPr>
            <w:tcW w:w="7214" w:type="dxa"/>
            <w:vAlign w:val="center"/>
          </w:tcPr>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sym w:font="Wingdings" w:char="00A8"/>
            </w:r>
            <w:r>
              <w:rPr>
                <w:rFonts w:hint="eastAsia" w:ascii="宋体" w:hAnsi="宋体" w:eastAsia="宋体" w:cs="宋体"/>
                <w:color w:val="auto"/>
                <w:kern w:val="0"/>
                <w:sz w:val="24"/>
                <w:highlight w:val="none"/>
                <w:lang w:bidi="ar"/>
              </w:rPr>
              <w:t xml:space="preserve">是 </w:t>
            </w:r>
          </w:p>
          <w:p>
            <w:pPr>
              <w:widowControl/>
              <w:spacing w:line="360" w:lineRule="auto"/>
              <w:jc w:val="left"/>
              <w:rPr>
                <w:rFonts w:ascii="宋体" w:hAnsi="宋体" w:cs="宋体"/>
                <w:color w:val="auto"/>
                <w:sz w:val="24"/>
                <w:highlight w:val="none"/>
              </w:rPr>
            </w:pPr>
            <w:r>
              <w:rPr>
                <w:rFonts w:hint="eastAsia" w:ascii="宋体" w:hAnsi="宋体" w:eastAsia="宋体" w:cs="宋体"/>
                <w:color w:val="auto"/>
                <w:kern w:val="0"/>
                <w:sz w:val="24"/>
                <w:highlight w:val="none"/>
                <w:lang w:bidi="ar"/>
              </w:rPr>
              <w:sym w:font="Wingdings" w:char="00FE"/>
            </w:r>
            <w:r>
              <w:rPr>
                <w:rFonts w:hint="eastAsia" w:ascii="宋体" w:hAnsi="宋体" w:eastAsia="宋体" w:cs="宋体"/>
                <w:color w:val="auto"/>
                <w:kern w:val="0"/>
                <w:sz w:val="24"/>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55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214" w:type="dxa"/>
            <w:vAlign w:val="center"/>
          </w:tcPr>
          <w:p>
            <w:pPr>
              <w:spacing w:line="360" w:lineRule="auto"/>
              <w:jc w:val="left"/>
              <w:rPr>
                <w:rFonts w:ascii="宋体" w:hAnsi="宋体" w:cs="宋体"/>
                <w:color w:val="auto"/>
                <w:sz w:val="24"/>
                <w:highlight w:val="none"/>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rPr>
              <w:t>保险</w:t>
            </w:r>
            <w:r>
              <w:rPr>
                <w:rFonts w:hint="eastAsia" w:ascii="宋体" w:hAnsi="宋体" w:eastAsia="宋体" w:cs="宋体"/>
                <w:color w:val="auto"/>
                <w:sz w:val="24"/>
                <w:highlight w:val="none"/>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554" w:type="dxa"/>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节能环保</w:t>
            </w:r>
          </w:p>
        </w:tc>
        <w:tc>
          <w:tcPr>
            <w:tcW w:w="721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1、节能产品的强制采购政策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pPr>
              <w:spacing w:line="360"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2" w:hRule="atLeast"/>
          <w:jc w:val="center"/>
        </w:trPr>
        <w:tc>
          <w:tcPr>
            <w:tcW w:w="72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55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7214" w:type="dxa"/>
            <w:vAlign w:val="center"/>
          </w:tcPr>
          <w:p>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在签订合同</w:t>
            </w:r>
            <w:r>
              <w:rPr>
                <w:rFonts w:hint="eastAsia" w:ascii="宋体" w:hAnsi="宋体" w:eastAsia="宋体" w:cs="宋体"/>
                <w:color w:val="auto"/>
                <w:sz w:val="24"/>
                <w:szCs w:val="24"/>
                <w:highlight w:val="none"/>
                <w:lang w:val="en-US" w:eastAsia="zh-CN"/>
              </w:rPr>
              <w:t>后7个工作日内</w:t>
            </w:r>
            <w:r>
              <w:rPr>
                <w:rFonts w:hint="eastAsia" w:ascii="宋体" w:hAnsi="宋体" w:eastAsia="宋体" w:cs="宋体"/>
                <w:color w:val="auto"/>
                <w:sz w:val="24"/>
                <w:szCs w:val="24"/>
                <w:highlight w:val="none"/>
              </w:rPr>
              <w:t>须交纳本项目履约保证金，金额为合同总金额的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履约完毕</w:t>
            </w:r>
            <w:r>
              <w:rPr>
                <w:rFonts w:hint="eastAsia" w:ascii="宋体" w:hAnsi="宋体" w:eastAsia="宋体" w:cs="宋体"/>
                <w:color w:val="auto"/>
                <w:sz w:val="24"/>
                <w:szCs w:val="24"/>
                <w:highlight w:val="none"/>
              </w:rPr>
              <w:t>7个工作日内全额无息退还</w:t>
            </w:r>
            <w:r>
              <w:rPr>
                <w:rFonts w:hint="eastAsia" w:ascii="宋体" w:hAnsi="宋体" w:eastAsia="宋体" w:cs="宋体"/>
                <w:color w:val="auto"/>
                <w:sz w:val="24"/>
                <w:szCs w:val="24"/>
                <w:highlight w:val="none"/>
                <w:lang w:val="en-US" w:eastAsia="zh-CN"/>
              </w:rPr>
              <w:t>履约保证金或解除保函</w:t>
            </w:r>
            <w:r>
              <w:rPr>
                <w:rFonts w:hint="eastAsia" w:ascii="宋体" w:hAnsi="宋体" w:eastAsia="宋体" w:cs="宋体"/>
                <w:color w:val="auto"/>
                <w:sz w:val="24"/>
                <w:szCs w:val="24"/>
                <w:highlight w:val="none"/>
              </w:rPr>
              <w:t>。（履约保证金可以采用保函、担保、保险单等形式）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729"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554"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214"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spacing w:line="360" w:lineRule="auto"/>
              <w:rPr>
                <w:rFonts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本招标文件适用于本次项目的招标、投标、评标、定标、验收、合同履约、付款等行为（法律、法规另有规定的，从其规定）。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“采购组织机构”指采购人委托组织招标的采购代理机构。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2、采购人：是指委托采购代理机构采购本次项目的国家机关、事业单位和团体组织。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3、投标人：是指向采购</w:t>
      </w:r>
      <w:r>
        <w:rPr>
          <w:rFonts w:hint="eastAsia" w:ascii="宋体" w:hAnsi="宋体" w:eastAsia="宋体" w:cs="宋体"/>
          <w:color w:val="auto"/>
          <w:sz w:val="24"/>
          <w:szCs w:val="24"/>
          <w:highlight w:val="none"/>
          <w:lang w:val="zh-CN"/>
        </w:rPr>
        <w:t>组织</w:t>
      </w:r>
      <w:r>
        <w:rPr>
          <w:rFonts w:hint="eastAsia" w:ascii="宋体" w:hAnsi="宋体" w:eastAsia="宋体" w:cs="宋体"/>
          <w:color w:val="auto"/>
          <w:sz w:val="24"/>
          <w:szCs w:val="24"/>
          <w:highlight w:val="none"/>
        </w:rPr>
        <w:t>机构提交投标文件的单位或个人。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5、服务：是指除货物和工程以外的政府采购对象，包括各类专业服务、信息网络开发服务、金融保险服务、运输服务，以及养护与维护服务等。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不论投标结果如何，投标人均应自行承担所有与投标有关的全部费用（招标文件有相关规定除外）。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（四）特别说明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5、投标文件格式中的表格式样可以根据项目差别做适当调整,但应当保持表格样式基本形态不变。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（一）招标文件由招标文件总目录所列内容组成。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（二）招标文件的澄清或修改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（一）</w:t>
      </w:r>
      <w:r>
        <w:rPr>
          <w:rFonts w:hint="eastAsia" w:ascii="宋体" w:hAnsi="宋体" w:eastAsia="宋体" w:cs="宋体"/>
          <w:b/>
          <w:bCs/>
          <w:color w:val="auto"/>
          <w:sz w:val="24"/>
          <w:szCs w:val="24"/>
          <w:highlight w:val="none"/>
        </w:rPr>
        <w:t>投标文件的组成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投标人接到招标文件后，按照采购组织机构的要求提供：资格证明文件、商务与技术文件和报价文件。</w:t>
      </w:r>
      <w:r>
        <w:rPr>
          <w:rFonts w:hint="eastAsia" w:ascii="宋体" w:hAnsi="宋体" w:eastAsia="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1、资格证明文件的组成：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（1）投标声明书（附件2）；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（2）授权委托书（附件3）；（</w:t>
      </w:r>
      <w:r>
        <w:rPr>
          <w:rFonts w:hint="eastAsia" w:ascii="宋体" w:hAnsi="宋体" w:cs="宋体"/>
          <w:color w:val="auto"/>
          <w:sz w:val="24"/>
          <w:szCs w:val="32"/>
          <w:highlight w:val="none"/>
          <w:lang w:eastAsia="zh-CN"/>
        </w:rPr>
        <w:t>法定代表人（单位负责人）</w:t>
      </w:r>
      <w:r>
        <w:rPr>
          <w:rFonts w:hint="eastAsia" w:ascii="宋体" w:hAnsi="宋体" w:eastAsia="宋体" w:cs="宋体"/>
          <w:color w:val="auto"/>
          <w:sz w:val="24"/>
          <w:szCs w:val="32"/>
          <w:highlight w:val="none"/>
        </w:rPr>
        <w:t>亲自办理投标事宜的，则无需提交）；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eastAsia="zh-CN"/>
        </w:rPr>
        <w:t>良好财务状况证明材料及没有税收缴纳、社会保障等方面的失信记录的承诺函</w:t>
      </w:r>
      <w:r>
        <w:rPr>
          <w:rFonts w:hint="eastAsia" w:ascii="宋体" w:hAnsi="宋体" w:eastAsia="宋体" w:cs="宋体"/>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（5）提供采购公告中符合供应商特定条件的有效资质证书复印件（</w:t>
      </w:r>
      <w:r>
        <w:rPr>
          <w:rFonts w:hint="eastAsia" w:ascii="宋体" w:hAnsi="宋体" w:cs="宋体"/>
          <w:color w:val="auto"/>
          <w:sz w:val="24"/>
          <w:szCs w:val="32"/>
          <w:highlight w:val="none"/>
          <w:lang w:eastAsia="zh-CN"/>
        </w:rPr>
        <w:t>《</w:t>
      </w:r>
      <w:r>
        <w:rPr>
          <w:rFonts w:hint="eastAsia" w:ascii="宋体" w:hAnsi="宋体" w:cs="宋体"/>
          <w:color w:val="auto"/>
          <w:sz w:val="24"/>
          <w:szCs w:val="24"/>
          <w:highlight w:val="none"/>
          <w:lang w:val="en-US" w:eastAsia="zh-CN"/>
        </w:rPr>
        <w:t>中华人民共和国经营保险业务许可证》</w:t>
      </w:r>
      <w:r>
        <w:rPr>
          <w:rFonts w:hint="eastAsia" w:ascii="宋体" w:hAnsi="宋体" w:eastAsia="宋体" w:cs="宋体"/>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（6）需要说明的其他资料。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2、商务与技术文件的组成：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（1）投标人情况介绍（附件5）；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（2）投标方案描述：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项目需求的理解与分析（投标人对项目现状及需求的理解情况，对项目现状和需求描述的全面性、准确性、针对性，对项目重点、难点的把握，解决方案及合理化建议）作的实际要求如何实现这些要求，如何保质保量按时完成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项目组织实施方案（包括确保项目服务质量的措施或方案，可根据投标人对招标任务的理解和自身情况编制，利用投标文件中承诺提供的设备、人员等资源围绕采购人的服务质量要求、工作的实际要求如何实现这些要求，如何保质保量按时完成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（3）项目实施人员一览表（附件6）；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（4）项目负责人资格情况表（附件7）；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（5）投标描述及相关资料（附件8）；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（6）技术需求响应表（附件9）；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（7）证书一览表（附件10）；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（8）投标人类似项目实施情况一览表（附件11）；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（9）商务需求响应表（附件12）；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（10）售后服务情况表（附件13）；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（11）投标人需要说明的其他内容。（包括可能影响投标人商务与技术文件评分的各类证明材料）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3、报价文件的组成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（1）报价文件由开标一览表、报价明细表、中小企业等声明函（不符合中小企业要求的无需提供）以及投标人认为其他需要说明的内容组成。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（2）此报价为投标人一次性报出唯一的最终价格，包含其它一切所要涉及到的费用，有选择的报价将被拒绝。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投标报价为完成本项目服务及要求所包含的所有费用，投标人应考虑企业自身实力、经验及项目实施过程中的各种因素，在投标报价中应充分考虑所有可能发生的费用，否则采购人将视投标总价中已包括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政府采购优惠政策相关资料（如有）。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（5）相关报价单需打印或用不</w:t>
      </w:r>
      <w:r>
        <w:rPr>
          <w:rFonts w:hint="eastAsia" w:ascii="宋体" w:hAnsi="宋体" w:eastAsia="宋体" w:cs="宋体"/>
          <w:color w:val="auto"/>
          <w:sz w:val="24"/>
          <w:szCs w:val="24"/>
          <w:highlight w:val="none"/>
          <w:lang w:val="en-US" w:eastAsia="zh-CN"/>
        </w:rPr>
        <w:t>褪色</w:t>
      </w:r>
      <w:r>
        <w:rPr>
          <w:rFonts w:hint="eastAsia" w:ascii="宋体" w:hAnsi="宋体" w:eastAsia="宋体" w:cs="宋体"/>
          <w:color w:val="auto"/>
          <w:sz w:val="24"/>
          <w:szCs w:val="24"/>
          <w:highlight w:val="none"/>
        </w:rPr>
        <w:t>的墨水填写，投标报价单不得涂改和增删，如有错漏必须修改，修改处须由同一签署人签字或盖章。由于字迹模糊或表达不清引起的后果由投标人负责。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（6）投标报价应按招标文件中相关附表格式填写。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（二）投标文件的制作及递交要求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1、投标文件的制作要求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（1）投标人应按照投标文件组成内容及项目招标需求制作投标文件，不按招标文件要求制作投标文件的将视情处理（拒收、扣分等），由此产生的责任由投标人自行承担。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（2）投标人应对所提供的全部资料的真实性承担法律责任，</w:t>
      </w:r>
      <w:r>
        <w:rPr>
          <w:rFonts w:hint="eastAsia" w:ascii="宋体" w:hAnsi="宋体" w:eastAsia="宋体" w:cs="宋体"/>
          <w:color w:val="auto"/>
          <w:sz w:val="24"/>
          <w:szCs w:val="24"/>
          <w:highlight w:val="none"/>
          <w:lang w:val="zh-CN"/>
        </w:rPr>
        <w:t>投标文件内容中有要求盖章或签字的地方，必须加盖投标人的公章以及</w:t>
      </w:r>
      <w:r>
        <w:rPr>
          <w:rFonts w:hint="eastAsia" w:ascii="宋体" w:hAnsi="宋体" w:cs="宋体"/>
          <w:color w:val="auto"/>
          <w:sz w:val="24"/>
          <w:szCs w:val="24"/>
          <w:highlight w:val="none"/>
          <w:lang w:val="zh-CN"/>
        </w:rPr>
        <w:t>法定代表人（单位负责人）</w:t>
      </w:r>
      <w:r>
        <w:rPr>
          <w:rFonts w:hint="eastAsia" w:ascii="宋体" w:hAnsi="宋体" w:eastAsia="宋体" w:cs="宋体"/>
          <w:color w:val="auto"/>
          <w:sz w:val="24"/>
          <w:szCs w:val="24"/>
          <w:highlight w:val="none"/>
          <w:lang w:val="zh-CN"/>
        </w:rPr>
        <w:t>或授权委托代理人盖章或签字。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（5）若投标人不按招标文件的要求提供资格审查材料，其风险由投标人自行承担。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（6）与本次投标无关的内容请不要制作在内，确保投标文件有针对性、简洁明了。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投标文件的编制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本项目实行电子投标，</w:t>
      </w:r>
      <w:r>
        <w:rPr>
          <w:rFonts w:hint="eastAsia" w:ascii="宋体" w:hAnsi="宋体" w:eastAsia="宋体" w:cs="宋体"/>
          <w:color w:val="auto"/>
          <w:sz w:val="24"/>
          <w:highlight w:val="none"/>
        </w:rPr>
        <w:t>还可以提供以介质存储的数据电文形式的备份投标文件、纸质备份投标文件</w:t>
      </w:r>
      <w:r>
        <w:rPr>
          <w:rFonts w:hint="eastAsia" w:ascii="宋体" w:hAnsi="宋体" w:eastAsia="宋体" w:cs="宋体"/>
          <w:color w:val="auto"/>
          <w:sz w:val="24"/>
          <w:szCs w:val="24"/>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按政采云平台项目采购--电子招投标操作指南及本招标文件要求编制。</w:t>
      </w:r>
      <w:r>
        <w:rPr>
          <w:rFonts w:hint="eastAsia" w:ascii="宋体" w:hAnsi="宋体" w:eastAsia="宋体" w:cs="宋体"/>
          <w:color w:val="auto"/>
          <w:sz w:val="24"/>
          <w:szCs w:val="24"/>
          <w:highlight w:val="none"/>
          <w:lang w:val="en-GB"/>
        </w:rPr>
        <w:t>投标人应通过“政采云电子交易客户端”，并按照本招标文件和“政府采购云平台”的要求编制并加密投标文件。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电子投标文件如内容不完整、编排混乱导致投标文件被误读、漏读，或者在按采购文件规定的部位查找不到相关内容的，由投标人自行承担。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温馨提醒：CA签章上目前没有法人或授权委托代理人签字信息，需要投标人联系</w:t>
      </w:r>
      <w:r>
        <w:rPr>
          <w:rFonts w:hint="eastAsia" w:ascii="宋体" w:hAnsi="宋体" w:eastAsia="宋体" w:cs="宋体"/>
          <w:b/>
          <w:bCs/>
          <w:color w:val="auto"/>
          <w:sz w:val="24"/>
          <w:szCs w:val="24"/>
          <w:highlight w:val="none"/>
        </w:rPr>
        <w:t>浙江杭州汇信科技有限公司（400-8884636）</w:t>
      </w:r>
      <w:r>
        <w:rPr>
          <w:rFonts w:hint="eastAsia" w:ascii="宋体" w:hAnsi="宋体" w:eastAsia="宋体" w:cs="宋体"/>
          <w:color w:val="auto"/>
          <w:sz w:val="24"/>
          <w:szCs w:val="24"/>
          <w:highlight w:val="none"/>
        </w:rPr>
        <w:t>等相应公司进行办理，或在投标文件中涉及到签字的位置线下签好字然后扫描或者拍照做成PDF的格式亦可。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GB" w:eastAsia="zh-CN"/>
        </w:rPr>
        <w:t>）</w:t>
      </w:r>
      <w:r>
        <w:rPr>
          <w:rFonts w:hint="eastAsia" w:ascii="宋体" w:hAnsi="宋体" w:eastAsia="宋体" w:cs="宋体"/>
          <w:color w:val="auto"/>
          <w:sz w:val="24"/>
          <w:szCs w:val="24"/>
          <w:highlight w:val="none"/>
          <w:lang w:val="en-GB"/>
        </w:rPr>
        <w:t>投标人应当按照本章节 “投标文件组成”规定的内容及顺序在“政采云电子交易客户端”编制投标文件。其中《</w:t>
      </w:r>
      <w:r>
        <w:rPr>
          <w:rFonts w:hint="eastAsia" w:ascii="宋体" w:hAnsi="宋体" w:eastAsia="宋体" w:cs="宋体"/>
          <w:color w:val="auto"/>
          <w:sz w:val="24"/>
          <w:szCs w:val="24"/>
          <w:highlight w:val="none"/>
        </w:rPr>
        <w:t>资格证明文件</w:t>
      </w:r>
      <w:r>
        <w:rPr>
          <w:rFonts w:hint="eastAsia" w:ascii="宋体" w:hAnsi="宋体" w:eastAsia="宋体" w:cs="宋体"/>
          <w:color w:val="auto"/>
          <w:sz w:val="24"/>
          <w:szCs w:val="24"/>
          <w:highlight w:val="none"/>
          <w:lang w:val="en-GB"/>
        </w:rPr>
        <w:t>》和《</w:t>
      </w:r>
      <w:r>
        <w:rPr>
          <w:rFonts w:hint="eastAsia" w:ascii="宋体" w:hAnsi="宋体" w:eastAsia="宋体" w:cs="宋体"/>
          <w:color w:val="auto"/>
          <w:sz w:val="24"/>
          <w:szCs w:val="24"/>
          <w:highlight w:val="none"/>
        </w:rPr>
        <w:t>商务技术文件</w:t>
      </w:r>
      <w:r>
        <w:rPr>
          <w:rFonts w:hint="eastAsia" w:ascii="宋体" w:hAnsi="宋体" w:eastAsia="宋体" w:cs="宋体"/>
          <w:color w:val="auto"/>
          <w:sz w:val="24"/>
          <w:szCs w:val="24"/>
          <w:highlight w:val="none"/>
          <w:lang w:val="en-GB"/>
        </w:rPr>
        <w:t>》中不得出现本项目投标报价，如因投标人原因提前泄露投标报价，是投标人的责任。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）投标文件分为</w:t>
      </w:r>
      <w:r>
        <w:rPr>
          <w:rFonts w:hint="eastAsia" w:ascii="宋体" w:hAnsi="宋体" w:eastAsia="宋体" w:cs="宋体"/>
          <w:color w:val="auto"/>
          <w:sz w:val="24"/>
          <w:szCs w:val="24"/>
          <w:highlight w:val="none"/>
          <w:lang w:val="en-GB"/>
        </w:rPr>
        <w:t>资格证明文件、商务技术文件、报价文件三部分</w:t>
      </w:r>
      <w:r>
        <w:rPr>
          <w:rFonts w:hint="eastAsia" w:ascii="宋体" w:hAnsi="宋体" w:eastAsia="宋体" w:cs="宋体"/>
          <w:color w:val="auto"/>
          <w:sz w:val="24"/>
          <w:szCs w:val="24"/>
          <w:highlight w:val="none"/>
          <w:lang w:val="zh-CN"/>
        </w:rPr>
        <w:t>。各投标人在编制投标文件时请按照采购文件第六章规定的格式进行，</w:t>
      </w:r>
      <w:r>
        <w:rPr>
          <w:rFonts w:hint="eastAsia" w:ascii="宋体" w:hAnsi="宋体" w:eastAsia="宋体" w:cs="宋体"/>
          <w:color w:val="auto"/>
          <w:sz w:val="24"/>
          <w:szCs w:val="24"/>
          <w:highlight w:val="none"/>
          <w:lang w:val="en-GB"/>
        </w:rPr>
        <w:t>并按格式要求在指定位置根据要求进行签章，否则视为未提供，未提供格式的，请各投标人自行拟定格式，并加盖单位公章并由</w:t>
      </w:r>
      <w:r>
        <w:rPr>
          <w:rFonts w:hint="eastAsia" w:ascii="宋体" w:hAnsi="宋体" w:cs="宋体"/>
          <w:color w:val="auto"/>
          <w:sz w:val="24"/>
          <w:szCs w:val="24"/>
          <w:highlight w:val="none"/>
          <w:lang w:val="en-GB" w:eastAsia="zh-CN"/>
        </w:rPr>
        <w:t>法定代表人（单位负责人）</w:t>
      </w:r>
      <w:r>
        <w:rPr>
          <w:rFonts w:hint="eastAsia" w:ascii="宋体" w:hAnsi="宋体" w:eastAsia="宋体" w:cs="宋体"/>
          <w:color w:val="auto"/>
          <w:sz w:val="24"/>
          <w:szCs w:val="24"/>
          <w:highlight w:val="none"/>
          <w:lang w:val="en-GB"/>
        </w:rPr>
        <w:t>或其授权委托代理人签署（签字或盖章），否则视为未提供。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eastAsia="zh-CN"/>
        </w:rPr>
        <w:t>）</w:t>
      </w:r>
      <w:r>
        <w:rPr>
          <w:rFonts w:hint="eastAsia" w:ascii="宋体" w:hAnsi="宋体" w:eastAsia="宋体" w:cs="宋体"/>
          <w:color w:val="auto"/>
          <w:sz w:val="24"/>
          <w:szCs w:val="24"/>
          <w:highlight w:val="none"/>
          <w:lang w:val="en-GB"/>
        </w:rPr>
        <w:t>《投标文件》内容不完整、</w:t>
      </w:r>
      <w:r>
        <w:rPr>
          <w:rFonts w:hint="eastAsia" w:ascii="宋体" w:hAnsi="宋体" w:eastAsia="宋体" w:cs="宋体"/>
          <w:color w:val="auto"/>
          <w:sz w:val="24"/>
          <w:szCs w:val="24"/>
          <w:highlight w:val="none"/>
          <w:lang w:val="zh-CN"/>
        </w:rPr>
        <w:t>混乱的编排导致投标文件被误读或评标委员会查找不到有效文件是投标人的责任。</w:t>
      </w:r>
      <w:r>
        <w:rPr>
          <w:rFonts w:hint="eastAsia" w:ascii="宋体" w:hAnsi="宋体" w:eastAsia="宋体" w:cs="宋体"/>
          <w:color w:val="auto"/>
          <w:sz w:val="24"/>
          <w:szCs w:val="24"/>
          <w:highlight w:val="none"/>
          <w:lang w:val="en-GB"/>
        </w:rPr>
        <w:t>《投标文件》因字迹潦草或表达不清所引起的后果由投标人负责。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以介质（U盘）存储的数据电文形式的备份投标文件，按政采云平台项目采购-电子招投标操作指南中上传的电子投标文件格式，以U盘形式提供。数量为1份。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纸质备份投标文件以纸质文件的形式编制，按</w:t>
      </w:r>
      <w:r>
        <w:rPr>
          <w:rFonts w:hint="eastAsia" w:ascii="宋体" w:hAnsi="宋体" w:eastAsia="宋体" w:cs="宋体"/>
          <w:color w:val="auto"/>
          <w:sz w:val="24"/>
          <w:szCs w:val="24"/>
          <w:highlight w:val="none"/>
          <w:lang w:val="zh-CN"/>
        </w:rPr>
        <w:t>资格证明文件、商务技术文件、报价文件三部分</w:t>
      </w:r>
      <w:r>
        <w:rPr>
          <w:rFonts w:hint="eastAsia" w:ascii="宋体" w:hAnsi="宋体" w:eastAsia="宋体" w:cs="宋体"/>
          <w:color w:val="auto"/>
          <w:sz w:val="24"/>
          <w:szCs w:val="24"/>
          <w:highlight w:val="none"/>
        </w:rPr>
        <w:t>分别编制并单独装订成册，</w:t>
      </w:r>
      <w:r>
        <w:rPr>
          <w:rFonts w:hint="eastAsia" w:ascii="宋体" w:hAnsi="宋体" w:eastAsia="宋体" w:cs="宋体"/>
          <w:b/>
          <w:bCs/>
          <w:color w:val="auto"/>
          <w:sz w:val="24"/>
          <w:szCs w:val="24"/>
          <w:highlight w:val="none"/>
        </w:rPr>
        <w:t>数量均为2份（一正一副）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资格证明文件、商务技术文件、报价文件三部分</w:t>
      </w:r>
      <w:r>
        <w:rPr>
          <w:rFonts w:hint="eastAsia" w:ascii="宋体" w:hAnsi="宋体" w:eastAsia="宋体" w:cs="宋体"/>
          <w:color w:val="auto"/>
          <w:sz w:val="24"/>
          <w:szCs w:val="24"/>
          <w:highlight w:val="none"/>
        </w:rPr>
        <w:t>须分别密封封装，</w:t>
      </w:r>
      <w:r>
        <w:rPr>
          <w:rFonts w:hint="eastAsia" w:ascii="宋体" w:hAnsi="宋体" w:eastAsia="宋体" w:cs="宋体"/>
          <w:color w:val="auto"/>
          <w:sz w:val="24"/>
          <w:szCs w:val="24"/>
          <w:highlight w:val="none"/>
          <w:lang w:val="zh-CN"/>
        </w:rPr>
        <w:t>资格证明文件、商务技术文件、报价文件三部分</w:t>
      </w:r>
      <w:r>
        <w:rPr>
          <w:rFonts w:hint="eastAsia" w:ascii="宋体" w:hAnsi="宋体" w:eastAsia="宋体" w:cs="宋体"/>
          <w:color w:val="auto"/>
          <w:sz w:val="24"/>
          <w:szCs w:val="24"/>
          <w:highlight w:val="none"/>
        </w:rPr>
        <w:t>未分别密封的投标文件将为无效。除报价文件外其余一律不准出现数字报价。如有不同标段，请按标段号分别装订，密封要求同上。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、投标文件的递交要求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GB"/>
        </w:rPr>
        <w:t>）“投标文件”的上传、递交：见《前附表》。未传输递交电子投标文件的，投标无效。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32"/>
          <w:highlight w:val="none"/>
          <w:lang w:val="en-GB"/>
        </w:rPr>
        <w:t>投标人还可以在投标截止时间将以介质存储的数据电文形式的备份投标文件和纸质备份投标文件分别密封送交到招标公告规定的投标地点。未按规定提供相应的备份投标文件，如电子备份文件无法正常启用，造成项目开评标活动无法进行下去的，投标无效。采购机构将拒绝接受逾期送达的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（3）如有特殊情况，采购组织机构延长截止时间和开标时间，采购组织机构和投标人的权利和义务将受到新的截止时间和开标时间的约束。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GB"/>
        </w:rPr>
        <w:t>）投标文件的备选方案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投标人不得递交任何的投标备选（替代）方案，否则其投标文件将作无效标处理。与“电子加密投标文件”同时生成的“备份投标文件”不是投标备选（替代）方案。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GB"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GB" w:eastAsia="zh-CN"/>
        </w:rPr>
        <w:t>投标文件的补充、修改、撤回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eastAsia="zh-CN"/>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lang w:val="en-GB" w:eastAsia="zh-CN"/>
        </w:rPr>
        <w:t>）</w:t>
      </w:r>
      <w:r>
        <w:rPr>
          <w:rFonts w:hint="eastAsia" w:ascii="宋体" w:hAnsi="宋体" w:eastAsia="宋体" w:cs="宋体"/>
          <w:color w:val="auto"/>
          <w:sz w:val="24"/>
          <w:szCs w:val="32"/>
          <w:highlight w:val="none"/>
          <w:lang w:val="en-GB"/>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eastAsia="zh-CN"/>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lang w:val="en-GB" w:eastAsia="zh-CN"/>
        </w:rPr>
        <w:t>）</w:t>
      </w:r>
      <w:r>
        <w:rPr>
          <w:rFonts w:hint="eastAsia" w:ascii="宋体" w:hAnsi="宋体" w:eastAsia="宋体" w:cs="宋体"/>
          <w:color w:val="auto"/>
          <w:sz w:val="24"/>
          <w:szCs w:val="32"/>
          <w:highlight w:val="none"/>
          <w:lang w:val="en-GB"/>
        </w:rPr>
        <w:t>投标截止时间后，投标</w:t>
      </w:r>
      <w:r>
        <w:rPr>
          <w:rFonts w:hint="eastAsia" w:ascii="宋体" w:hAnsi="宋体" w:eastAsia="宋体" w:cs="宋体"/>
          <w:color w:val="auto"/>
          <w:sz w:val="24"/>
          <w:szCs w:val="32"/>
          <w:highlight w:val="none"/>
        </w:rPr>
        <w:t>人</w:t>
      </w:r>
      <w:r>
        <w:rPr>
          <w:rFonts w:hint="eastAsia" w:ascii="宋体" w:hAnsi="宋体" w:eastAsia="宋体" w:cs="宋体"/>
          <w:color w:val="auto"/>
          <w:sz w:val="24"/>
          <w:szCs w:val="32"/>
          <w:highlight w:val="none"/>
          <w:lang w:val="en-GB"/>
        </w:rPr>
        <w:t>不得撤回、修改投标文件。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GB"/>
        </w:rPr>
        <w:t>在开标后规定的投标有效期内，投标人不能撤销投标文件。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（三）投标文件的有效期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GB"/>
        </w:rPr>
        <w:t>自投标截止日起90天投标文件应保持有效。有效期不足的投标文件将被拒绝。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在特殊情况下，采购人可与投标人协商延长投标文件的有效期，这种要求和答复均以书面形式进行。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3.中标供应商的投标文件自开标之日起至合同履行完毕均应保持有效。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四、</w:t>
      </w:r>
      <w:r>
        <w:rPr>
          <w:rFonts w:hint="eastAsia" w:ascii="宋体" w:hAnsi="宋体" w:eastAsia="宋体" w:cs="宋体"/>
          <w:b/>
          <w:bCs/>
          <w:color w:val="auto"/>
          <w:sz w:val="24"/>
          <w:szCs w:val="24"/>
          <w:highlight w:val="none"/>
        </w:rPr>
        <w:t>开标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采购组织机构在“招标公告”规定的时间和地点公开开标，本次招标采用先评审商务资格和技术服务方案，后公开并评审报价的办法实施。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特别说明：如遇政府采购云平台电子化开标或评审程序调整的，按调整后程序执行。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（4）病毒导致不能进行正常操作的；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开标程序：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1、开标会由招标项目负责人主持，主持人宣布开标会议开始；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2、主持人介绍参加开标会的人员名单；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3、主持人宣布评标期间的有关事项，告知应当回避的情形，提请有关人员回避；对投标人进行签到验证。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4、向各投标人发出电子加密投标文件【开始解密】通知，由投标人按招标文件规定的时间内自行进行投标文件解密。投标文件的制作和解密应使用同一个数字证书，否则将可能解密失败。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5、采购组织机构点击【开启标书信息】，开启标书成功后进入开标流程。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资格证明文件和商务技术文件</w:t>
      </w:r>
      <w:r>
        <w:rPr>
          <w:rFonts w:hint="eastAsia" w:ascii="宋体" w:hAnsi="宋体" w:eastAsia="宋体" w:cs="宋体"/>
          <w:color w:val="auto"/>
          <w:sz w:val="24"/>
          <w:szCs w:val="24"/>
          <w:highlight w:val="none"/>
        </w:rPr>
        <w:t>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7、由主持人公布无效投标的投标人名单、投标无效的原因及其他有效投标的评分汇总分；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8、开启报价响应文件：采购代理机构成功开启报价响应文件后，方可查看各供应商报价情况。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9、报价文件评审；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10、由主持人公布无效投标的投标人名单、投标无效的原因及其他有效投标的报价文件得分；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11、宣布综合得分结果及中标候选人名单；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12、开标会议结束。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（一）组建评标委员会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评标委员会由采购人代表和评审专家组成，成员人数为5人以上单数，其中评审专家不得少于成员总数的三分之二。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（二）评标程序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2、符合性审查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3、综合比较与评价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（3）评标时，评标委员会各成员应当独立对每个投标人的投标文件进行评价，并汇总每个投标人的得分。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4、得分确认及评审报告编写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（1）评标委员会对报价文件进行复核，对于系统计算出的价格分及总得分进行确认；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（3）评标委员会按评标原则及得分情况编写评审报告。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采购组织机构对评标委员会评审专家进行评价。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（三）澄清问题的形式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（四）错误修正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投标文件报价出现前后不一致的，除招标文件另有规定外，按照下列规定修正：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同时出现两种以上不一致的，按照前款规定的顺序修正。修正应当采用书面形式，并加盖公章，或者由</w:t>
      </w:r>
      <w:r>
        <w:rPr>
          <w:rFonts w:hint="eastAsia" w:ascii="宋体" w:hAnsi="宋体" w:cs="宋体"/>
          <w:color w:val="auto"/>
          <w:sz w:val="24"/>
          <w:szCs w:val="24"/>
          <w:highlight w:val="none"/>
          <w:lang w:eastAsia="zh-CN"/>
        </w:rPr>
        <w:t>法定代表人（单位负责人）</w:t>
      </w:r>
      <w:r>
        <w:rPr>
          <w:rFonts w:hint="eastAsia" w:ascii="宋体" w:hAnsi="宋体" w:eastAsia="宋体" w:cs="宋体"/>
          <w:color w:val="auto"/>
          <w:sz w:val="24"/>
          <w:szCs w:val="24"/>
          <w:highlight w:val="none"/>
        </w:rPr>
        <w:t>或其授权委托代理人签字。修正后的报价经投标人确认后产生约束力，投标人不确认的，其投标无效。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（五）投标人存在下列情况之一的，投标无效：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1、电子投标文件及纸质备份投标文件在指定页面无</w:t>
      </w:r>
      <w:r>
        <w:rPr>
          <w:rFonts w:hint="eastAsia" w:ascii="宋体" w:hAnsi="宋体" w:cs="宋体"/>
          <w:color w:val="auto"/>
          <w:sz w:val="24"/>
          <w:szCs w:val="24"/>
          <w:highlight w:val="none"/>
          <w:lang w:eastAsia="zh-CN"/>
        </w:rPr>
        <w:t>法定代表人（单位负责人）</w:t>
      </w:r>
      <w:r>
        <w:rPr>
          <w:rFonts w:hint="eastAsia" w:ascii="宋体" w:hAnsi="宋体" w:eastAsia="宋体" w:cs="宋体"/>
          <w:color w:val="auto"/>
          <w:sz w:val="24"/>
          <w:szCs w:val="24"/>
          <w:highlight w:val="none"/>
        </w:rPr>
        <w:t>盖章或签字、未在指定页面盖公章、在指定页面无被授权委托代理人签字或未提供</w:t>
      </w:r>
      <w:r>
        <w:rPr>
          <w:rFonts w:hint="eastAsia" w:ascii="宋体" w:hAnsi="宋体" w:cs="宋体"/>
          <w:color w:val="auto"/>
          <w:sz w:val="24"/>
          <w:szCs w:val="24"/>
          <w:highlight w:val="none"/>
          <w:lang w:eastAsia="zh-CN"/>
        </w:rPr>
        <w:t>法定代表人（单位负责人）</w:t>
      </w:r>
      <w:r>
        <w:rPr>
          <w:rFonts w:hint="eastAsia" w:ascii="宋体" w:hAnsi="宋体" w:eastAsia="宋体" w:cs="宋体"/>
          <w:color w:val="auto"/>
          <w:sz w:val="24"/>
          <w:szCs w:val="24"/>
          <w:highlight w:val="none"/>
        </w:rPr>
        <w:t>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资格证明文件、商务技术文件</w:t>
      </w:r>
      <w:r>
        <w:rPr>
          <w:rFonts w:hint="eastAsia" w:ascii="宋体" w:hAnsi="宋体" w:eastAsia="宋体" w:cs="宋体"/>
          <w:color w:val="auto"/>
          <w:sz w:val="24"/>
          <w:szCs w:val="24"/>
          <w:highlight w:val="none"/>
        </w:rPr>
        <w:t>跟报价文件出现混装或在</w:t>
      </w:r>
      <w:r>
        <w:rPr>
          <w:rFonts w:hint="eastAsia" w:ascii="宋体" w:hAnsi="宋体" w:eastAsia="宋体" w:cs="宋体"/>
          <w:color w:val="auto"/>
          <w:sz w:val="24"/>
          <w:szCs w:val="24"/>
          <w:highlight w:val="none"/>
          <w:lang w:val="zh-CN"/>
        </w:rPr>
        <w:t>资格证明文件、商务技术文件</w:t>
      </w:r>
      <w:r>
        <w:rPr>
          <w:rFonts w:hint="eastAsia" w:ascii="宋体" w:hAnsi="宋体" w:eastAsia="宋体" w:cs="宋体"/>
          <w:color w:val="auto"/>
          <w:sz w:val="24"/>
          <w:szCs w:val="24"/>
          <w:highlight w:val="none"/>
        </w:rPr>
        <w:t>中出现投标报价的，或者报价文件中报价的货物跟</w:t>
      </w:r>
      <w:r>
        <w:rPr>
          <w:rFonts w:hint="eastAsia" w:ascii="宋体" w:hAnsi="宋体" w:eastAsia="宋体" w:cs="宋体"/>
          <w:color w:val="auto"/>
          <w:sz w:val="24"/>
          <w:szCs w:val="24"/>
          <w:highlight w:val="none"/>
          <w:lang w:val="zh-CN"/>
        </w:rPr>
        <w:t>资格证明文件、商务技术文件</w:t>
      </w:r>
      <w:r>
        <w:rPr>
          <w:rFonts w:hint="eastAsia" w:ascii="宋体" w:hAnsi="宋体" w:eastAsia="宋体" w:cs="宋体"/>
          <w:color w:val="auto"/>
          <w:sz w:val="24"/>
          <w:szCs w:val="24"/>
          <w:highlight w:val="none"/>
        </w:rPr>
        <w:t>中的投标货物出现重大偏差的。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3、不具备招标文件中规定的资格要求的。</w:t>
      </w:r>
      <w:r>
        <w:rPr>
          <w:rFonts w:hint="eastAsia" w:ascii="宋体" w:hAnsi="宋体" w:eastAsia="宋体" w:cs="宋体"/>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4、投标文件含有采购人不能接受的附加条件的。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5、授权委托代理人未能出具身份证明或与</w:t>
      </w:r>
      <w:r>
        <w:rPr>
          <w:rFonts w:hint="eastAsia" w:ascii="宋体" w:hAnsi="宋体" w:cs="宋体"/>
          <w:color w:val="auto"/>
          <w:sz w:val="24"/>
          <w:szCs w:val="24"/>
          <w:highlight w:val="none"/>
          <w:lang w:eastAsia="zh-CN"/>
        </w:rPr>
        <w:t>法定代表人（单位负责人）</w:t>
      </w:r>
      <w:r>
        <w:rPr>
          <w:rFonts w:hint="eastAsia" w:ascii="宋体" w:hAnsi="宋体" w:eastAsia="宋体" w:cs="宋体"/>
          <w:color w:val="auto"/>
          <w:sz w:val="24"/>
          <w:szCs w:val="24"/>
          <w:highlight w:val="none"/>
        </w:rPr>
        <w:t>授权委托代理人身份不符的。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7、报价超过招标文件中规定的预算金额/最高限价。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8、投标参数未如实填写，完全复制粘贴招标参数的。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9、投标文件提供虚假材料的。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、不符合中华人民共和国财政部令第87号《政府采购货物和服务招标投标管理办法》第三十七条情形之一的，视为投标人串通投标，其投标无效，并移送采购监管部门：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（1）不同投标人的投标文件由同一单位或者个人编制；不同投标人的投标文件，由同一台电脑编制；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、不符合法律、法规和招标文件中规定的其他实质性要求的（招标文件中打“▲”内容及被拒绝的条款）。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、未传输递交电子投标文件的或者未按规定提供相应的备份投标文件，造成项目开评标活动无法进行下去的。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（六）有下列情况之一的，本次招标作为废标处理：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2、评标委员会发现招标文件存在歧义、重大缺陷导致评标工作无法进行，或者招标文件内容违反国家有关强制性规定的；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4、法律、法规和招标文件规定的其他导致评标结果无效的。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（七）评标原则和评标办法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2、评标办法。具体评标内容及评分标准等详见《第三章 评标办法及评分标准》。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（八）评标过程的监控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中标供应商。评标委员会根据采购单位的《授权意见确认书》，推荐中标候选人或确定中标供应商。其中推荐中标候选人的，采购组织机构在评审结束后2个工作日内将评标报告送采购人，采购人自收到评审报告之日起5个工作日内在评审报告推荐的中标候选人中按顺序确定中标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布中标结果公告。采购组织机构应当自中标供应商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3、发出中标通知书。采购组织机构在发布中标结果的同时，向中标供应商发出中标通知书。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中标供应商在领取通知书之后，应向招标代理机构交纳招标代理服务费。若中标供应商未在约定时间内支付招标代理服务费，从逾期之日起按日利率千分之一承担违约金。若中标供应商未按上述规定办理，需承担招标代理机构为实现债权的所有费用（包括但不限于律师费、催讨车旅费、保全担保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32"/>
          <w:highlight w:val="none"/>
        </w:rPr>
        <w:t>招标代理费：</w:t>
      </w:r>
      <w:r>
        <w:rPr>
          <w:rFonts w:hint="eastAsia" w:ascii="宋体" w:hAnsi="宋体" w:eastAsia="宋体" w:cs="宋体"/>
          <w:color w:val="auto"/>
          <w:sz w:val="24"/>
          <w:szCs w:val="24"/>
          <w:highlight w:val="none"/>
        </w:rPr>
        <w:t>招标代理费用按照</w:t>
      </w:r>
      <w:r>
        <w:rPr>
          <w:rFonts w:hint="eastAsia" w:ascii="宋体" w:hAnsi="宋体" w:eastAsia="宋体" w:cs="宋体"/>
          <w:color w:val="auto"/>
          <w:sz w:val="24"/>
          <w:szCs w:val="24"/>
          <w:highlight w:val="none"/>
          <w:lang w:val="zh-CN"/>
        </w:rPr>
        <w:t>《国家发展改革委关于进一步放开建设项目专业服务价格的通知》（发改价格2015 299号）执行，</w:t>
      </w:r>
      <w:r>
        <w:rPr>
          <w:rFonts w:hint="eastAsia" w:ascii="宋体" w:hAnsi="宋体" w:eastAsia="宋体" w:cs="宋体"/>
          <w:color w:val="auto"/>
          <w:sz w:val="24"/>
          <w:szCs w:val="24"/>
          <w:highlight w:val="none"/>
        </w:rPr>
        <w:t>按照中标金额的1%向中标单位收取招标代理费。中标方须在中标通知书发出5日内一次性付清。（户名：浙江五石中正工程咨询有限公司；账号：1202003209900014176；开户银行：中国工商银行杭州市潮王路支行）财务电话：0571-88271625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七、合同签订及公告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1、采购人应当自中标通知书发出之日起30天内，按照招标文件和中标供应商投标文件的规定，与中标供应商签订书面合同。所签订的合同不得对招标文件确定的事项和中标供应商投标文件作实质性修改。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、中标供应商无故拖延、拒签合同的，取消中标资格。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（二）合同公告及备案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1、采购人应当自政府采购合同签订之日起2个工作日内，在省级以上财政部门指定的政府采购信息发布媒体及相关网站上公告。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2、采购人应当自政府采购合同签订之日起7个工作日内，将政府采购合同副本报同级人民政府财政部门备案以及采购组织机构存档。</w:t>
      </w: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spacing w:line="360" w:lineRule="auto"/>
        <w:jc w:val="both"/>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评标办法及评分标准</w:t>
      </w:r>
    </w:p>
    <w:p>
      <w:pPr>
        <w:autoSpaceDE w:val="0"/>
        <w:autoSpaceDN w:val="0"/>
        <w:spacing w:line="360" w:lineRule="auto"/>
        <w:ind w:firstLine="480" w:firstLineChars="200"/>
        <w:rPr>
          <w:rFonts w:hint="eastAsia" w:ascii="宋体" w:hAnsi="宋体" w:cs="宋体"/>
          <w:color w:val="auto"/>
          <w:kern w:val="0"/>
          <w:sz w:val="24"/>
          <w:highlight w:val="none"/>
        </w:rPr>
      </w:pPr>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lang w:val="en-US" w:eastAsia="zh-CN"/>
        </w:rPr>
        <w:t>90</w:t>
      </w:r>
      <w:r>
        <w:rPr>
          <w:rFonts w:hint="eastAsia" w:ascii="宋体" w:hAnsi="宋体" w:cs="宋体"/>
          <w:color w:val="auto"/>
          <w:kern w:val="0"/>
          <w:sz w:val="24"/>
          <w:highlight w:val="none"/>
          <w:lang w:val="zh-CN"/>
        </w:rPr>
        <w:t>分，投标报价分值</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rPr>
        <w:t>。评标标准按评分细化条款及分值进行评审。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商务技术文件中的客观分由评标委员会讨论后统一打分；其余在规定的分值内单独评定打分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pPr>
        <w:autoSpaceDE w:val="0"/>
        <w:autoSpaceDN w:val="0"/>
        <w:spacing w:line="360" w:lineRule="auto"/>
        <w:ind w:firstLine="480" w:firstLineChars="200"/>
        <w:rPr>
          <w:rFonts w:hint="eastAsia" w:cs="宋体"/>
          <w:bCs/>
          <w:color w:val="auto"/>
          <w:sz w:val="24"/>
          <w:szCs w:val="24"/>
          <w:highlight w:val="none"/>
          <w:lang w:val="en-US" w:eastAsia="zh-CN"/>
        </w:rPr>
      </w:pPr>
      <w:r>
        <w:rPr>
          <w:rFonts w:hint="eastAsia" w:ascii="宋体" w:hAnsi="宋体" w:cs="宋体"/>
          <w:color w:val="auto"/>
          <w:kern w:val="0"/>
          <w:sz w:val="24"/>
          <w:highlight w:val="none"/>
          <w:u w:val="single"/>
        </w:rPr>
        <w:t>投标报价得分=（评标基准价／投标报价）×</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0%×100 。</w:t>
      </w:r>
    </w:p>
    <w:p>
      <w:pPr>
        <w:autoSpaceDE w:val="0"/>
        <w:autoSpaceDN w:val="0"/>
        <w:spacing w:line="360" w:lineRule="auto"/>
        <w:ind w:firstLine="480" w:firstLineChars="200"/>
        <w:rPr>
          <w:rFonts w:hint="eastAsia" w:cs="宋体"/>
          <w:bCs/>
          <w:color w:val="auto"/>
          <w:sz w:val="24"/>
          <w:szCs w:val="24"/>
          <w:highlight w:val="none"/>
          <w:lang w:val="en-US" w:eastAsia="zh-CN"/>
        </w:rPr>
      </w:pPr>
      <w:r>
        <w:rPr>
          <w:rFonts w:hint="eastAsia" w:cs="宋体"/>
          <w:bCs/>
          <w:color w:val="auto"/>
          <w:sz w:val="24"/>
          <w:szCs w:val="24"/>
          <w:highlight w:val="none"/>
          <w:lang w:val="en-US" w:eastAsia="zh-CN"/>
        </w:rPr>
        <w:t>注：投标人以明显低于合理价格中标的（投标价低于预算价10%及以上），年度盈亏结算过程中，超出10%以上部分，由中标人全额承担。</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（五）政府采购政策及优惠：</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）根据浙江省财政厅发布的《浙江省财政厅关于进一步加大政府采购支持中小企业力度</w:t>
      </w:r>
      <w:r>
        <w:rPr>
          <w:rFonts w:hint="eastAsia" w:ascii="宋体" w:hAnsi="宋体" w:cs="宋体"/>
          <w:color w:val="auto"/>
          <w:sz w:val="24"/>
          <w:szCs w:val="32"/>
          <w:highlight w:val="none"/>
        </w:rPr>
        <w:t xml:space="preserve"> 助力扎实稳住经济</w:t>
      </w:r>
      <w:r>
        <w:rPr>
          <w:rFonts w:hint="eastAsia" w:ascii="宋体" w:hAnsi="宋体" w:cs="宋体"/>
          <w:color w:val="auto"/>
          <w:sz w:val="24"/>
          <w:szCs w:val="32"/>
          <w:highlight w:val="none"/>
          <w:lang w:val="zh-CN"/>
        </w:rPr>
        <w:t>的通知》【浙财采监〔2022〕</w:t>
      </w:r>
      <w:r>
        <w:rPr>
          <w:rFonts w:hint="eastAsia" w:ascii="宋体" w:hAnsi="宋体" w:cs="宋体"/>
          <w:color w:val="auto"/>
          <w:sz w:val="24"/>
          <w:szCs w:val="32"/>
          <w:highlight w:val="none"/>
        </w:rPr>
        <w:t>8</w:t>
      </w:r>
      <w:r>
        <w:rPr>
          <w:rFonts w:hint="eastAsia" w:ascii="宋体" w:hAnsi="宋体" w:cs="宋体"/>
          <w:color w:val="auto"/>
          <w:sz w:val="24"/>
          <w:szCs w:val="32"/>
          <w:highlight w:val="none"/>
          <w:lang w:val="zh-CN"/>
        </w:rPr>
        <w:t>号】规定，落实财政部、工业和信息化部发布的《政府采购促进中小企业发展管理办法》【财库（2020）46号】和《财政部关于进一步加大政府采购支持中小企业力度的通知》【财库（</w:t>
      </w:r>
      <w:r>
        <w:rPr>
          <w:rFonts w:hint="eastAsia" w:ascii="宋体" w:hAnsi="宋体" w:cs="宋体"/>
          <w:color w:val="auto"/>
          <w:sz w:val="24"/>
          <w:szCs w:val="32"/>
          <w:highlight w:val="none"/>
        </w:rPr>
        <w:t>2022</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19号</w:t>
      </w:r>
      <w:r>
        <w:rPr>
          <w:rFonts w:hint="eastAsia" w:ascii="宋体" w:hAnsi="宋体" w:cs="宋体"/>
          <w:color w:val="auto"/>
          <w:sz w:val="24"/>
          <w:szCs w:val="32"/>
          <w:highlight w:val="none"/>
          <w:lang w:val="zh-CN"/>
        </w:rPr>
        <w:t>】有关规定，货物和服务项目中未预留份额专门面向中小企业采购的，以及预留份额项目中的非预留部分采购包，采购单位、采购代理机构应当对符合规定的小微企业报价给予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0%的扣除，用扣除后的价格参加评审。</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的扣除，用扣除后的价格参加评审。</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投标文件中须同时出具《政府采购促进中小企业发展管理办法》【财库（2020）46号】规定的《中小企业声明函》，否则不得享受价格扣除。</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rPr>
        <w:t>20</w:t>
      </w:r>
      <w:r>
        <w:rPr>
          <w:rFonts w:hint="eastAsia" w:ascii="宋体" w:hAnsi="宋体" w:cs="宋体"/>
          <w:color w:val="auto"/>
          <w:sz w:val="24"/>
          <w:szCs w:val="32"/>
          <w:highlight w:val="none"/>
          <w:lang w:val="zh-CN"/>
        </w:rPr>
        <w:t>%的扣除。</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zh-CN"/>
        </w:rPr>
        <w:t>%后参与评审。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三、在最大限度地满足招标文件实质性要求前提下，评标委员会按照招标文件中规定的各项因素进行综合评审后，并按评标报告推荐的顺序确定排名第一的中标候选人为中标人。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四、如综合得分相同，投标报价低者为先；如综合得分且投标报价相同的，货物类采购项目以</w:t>
      </w:r>
      <w:r>
        <w:rPr>
          <w:rFonts w:hint="eastAsia" w:ascii="宋体" w:hAnsi="宋体" w:cs="宋体"/>
          <w:color w:val="auto"/>
          <w:kern w:val="0"/>
          <w:sz w:val="24"/>
          <w:highlight w:val="none"/>
          <w:lang w:val="en-US" w:eastAsia="zh-CN"/>
        </w:rPr>
        <w:t>商务技术</w:t>
      </w:r>
      <w:r>
        <w:rPr>
          <w:rFonts w:hint="eastAsia" w:ascii="宋体" w:hAnsi="宋体" w:cs="宋体"/>
          <w:color w:val="auto"/>
          <w:kern w:val="0"/>
          <w:sz w:val="24"/>
          <w:highlight w:val="none"/>
          <w:lang w:val="zh-CN"/>
        </w:rPr>
        <w:t>分（</w:t>
      </w:r>
      <w:r>
        <w:rPr>
          <w:rFonts w:hint="eastAsia" w:ascii="宋体" w:hAnsi="宋体" w:cs="宋体"/>
          <w:color w:val="auto"/>
          <w:sz w:val="24"/>
          <w:szCs w:val="24"/>
          <w:highlight w:val="none"/>
        </w:rPr>
        <w:t>技术功能符合度</w:t>
      </w:r>
      <w:r>
        <w:rPr>
          <w:rFonts w:hint="eastAsia" w:ascii="宋体" w:hAnsi="宋体" w:cs="宋体"/>
          <w:color w:val="auto"/>
          <w:kern w:val="0"/>
          <w:sz w:val="24"/>
          <w:highlight w:val="none"/>
          <w:lang w:val="zh-CN"/>
        </w:rPr>
        <w:t>）较高者为先，服务类采购项目以</w:t>
      </w:r>
      <w:r>
        <w:rPr>
          <w:rFonts w:hint="eastAsia" w:ascii="宋体" w:hAnsi="宋体" w:cs="宋体"/>
          <w:color w:val="auto"/>
          <w:kern w:val="0"/>
          <w:sz w:val="24"/>
          <w:highlight w:val="none"/>
          <w:lang w:val="en-US" w:eastAsia="zh-CN"/>
        </w:rPr>
        <w:t>服务能力</w:t>
      </w:r>
      <w:r>
        <w:rPr>
          <w:rFonts w:hint="eastAsia" w:ascii="宋体" w:hAnsi="宋体" w:cs="宋体"/>
          <w:color w:val="auto"/>
          <w:kern w:val="0"/>
          <w:sz w:val="24"/>
          <w:highlight w:val="none"/>
          <w:lang w:val="zh-CN"/>
        </w:rPr>
        <w:t>得分较高者为先。</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五、本次评分具体分值细化条款如下表：</w:t>
      </w:r>
    </w:p>
    <w:tbl>
      <w:tblPr>
        <w:tblStyle w:val="25"/>
        <w:tblW w:w="8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8"/>
        <w:gridCol w:w="994"/>
        <w:gridCol w:w="893"/>
        <w:gridCol w:w="604"/>
        <w:gridCol w:w="5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jc w:val="center"/>
        </w:trPr>
        <w:tc>
          <w:tcPr>
            <w:tcW w:w="588"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auto"/>
                <w:kern w:val="2"/>
                <w:sz w:val="24"/>
                <w:szCs w:val="24"/>
                <w:highlight w:val="none"/>
              </w:rPr>
            </w:pPr>
            <w:r>
              <w:rPr>
                <w:rFonts w:hint="eastAsia" w:ascii="宋体" w:hAnsi="宋体" w:eastAsia="宋体" w:cs="宋体"/>
                <w:b/>
                <w:i w:val="0"/>
                <w:color w:val="auto"/>
                <w:kern w:val="0"/>
                <w:sz w:val="24"/>
                <w:szCs w:val="24"/>
                <w:highlight w:val="none"/>
                <w:lang w:val="en-US" w:eastAsia="zh-CN" w:bidi="ar"/>
              </w:rPr>
              <w:t>序号</w:t>
            </w:r>
          </w:p>
        </w:tc>
        <w:tc>
          <w:tcPr>
            <w:tcW w:w="994" w:type="dxa"/>
            <w:tcBorders>
              <w:top w:val="single" w:color="000000" w:sz="12"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宋体" w:hAnsi="宋体" w:eastAsia="宋体" w:cs="宋体"/>
                <w:i w:val="0"/>
                <w:color w:val="auto"/>
                <w:kern w:val="2"/>
                <w:sz w:val="24"/>
                <w:szCs w:val="24"/>
                <w:highlight w:val="none"/>
              </w:rPr>
            </w:pPr>
          </w:p>
        </w:tc>
        <w:tc>
          <w:tcPr>
            <w:tcW w:w="89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auto"/>
                <w:kern w:val="2"/>
                <w:sz w:val="24"/>
                <w:szCs w:val="24"/>
                <w:highlight w:val="none"/>
              </w:rPr>
            </w:pPr>
            <w:r>
              <w:rPr>
                <w:rFonts w:hint="eastAsia" w:ascii="宋体" w:hAnsi="宋体" w:eastAsia="宋体" w:cs="宋体"/>
                <w:b/>
                <w:i w:val="0"/>
                <w:color w:val="auto"/>
                <w:kern w:val="0"/>
                <w:sz w:val="24"/>
                <w:szCs w:val="24"/>
                <w:highlight w:val="none"/>
                <w:lang w:val="en-US" w:eastAsia="zh-CN" w:bidi="ar"/>
              </w:rPr>
              <w:t>评标项目</w:t>
            </w:r>
          </w:p>
        </w:tc>
        <w:tc>
          <w:tcPr>
            <w:tcW w:w="604"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auto"/>
                <w:kern w:val="2"/>
                <w:sz w:val="24"/>
                <w:szCs w:val="24"/>
                <w:highlight w:val="none"/>
              </w:rPr>
            </w:pPr>
            <w:r>
              <w:rPr>
                <w:rFonts w:hint="eastAsia" w:ascii="宋体" w:hAnsi="宋体" w:eastAsia="宋体" w:cs="宋体"/>
                <w:b/>
                <w:i w:val="0"/>
                <w:color w:val="auto"/>
                <w:kern w:val="0"/>
                <w:sz w:val="24"/>
                <w:szCs w:val="24"/>
                <w:highlight w:val="none"/>
                <w:lang w:val="en-US" w:eastAsia="zh-CN" w:bidi="ar"/>
              </w:rPr>
              <w:t>分值</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auto"/>
                <w:kern w:val="2"/>
                <w:sz w:val="24"/>
                <w:szCs w:val="24"/>
                <w:highlight w:val="none"/>
              </w:rPr>
            </w:pPr>
            <w:r>
              <w:rPr>
                <w:rFonts w:hint="eastAsia" w:ascii="宋体" w:hAnsi="宋体" w:eastAsia="宋体" w:cs="宋体"/>
                <w:b/>
                <w:i w:val="0"/>
                <w:color w:val="auto"/>
                <w:kern w:val="0"/>
                <w:sz w:val="24"/>
                <w:szCs w:val="24"/>
                <w:highlight w:val="none"/>
                <w:lang w:val="en-US" w:eastAsia="zh-CN" w:bidi="ar"/>
              </w:rPr>
              <w:t>评标细则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5" w:hRule="atLeast"/>
          <w:jc w:val="center"/>
        </w:trPr>
        <w:tc>
          <w:tcPr>
            <w:tcW w:w="588"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1</w:t>
            </w:r>
          </w:p>
        </w:tc>
        <w:tc>
          <w:tcPr>
            <w:tcW w:w="994"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商务资信部分（40分）</w:t>
            </w:r>
          </w:p>
        </w:tc>
        <w:tc>
          <w:tcPr>
            <w:tcW w:w="89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偿付能力</w:t>
            </w:r>
          </w:p>
        </w:tc>
        <w:tc>
          <w:tcPr>
            <w:tcW w:w="604" w:type="dxa"/>
            <w:tcBorders>
              <w:top w:val="single" w:color="000000" w:sz="12"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8</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lang w:val="en-US" w:eastAsia="zh-CN" w:bidi="ar"/>
              </w:rPr>
              <w:t>根据投标人总公司2019-2021年度平均综合偿付能力（以下简称“偿付能力”），偿付能力＜200%不得分，偿付能力=200%得1分，201%≤偿付能力＜210%得2分，210%≤偿付能力＜220%得3分，以此类推，此项最高得8分。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注：需提供经审计的偿付能力报告等相关证明材料。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jc w:val="center"/>
        </w:trPr>
        <w:tc>
          <w:tcPr>
            <w:tcW w:w="588"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2</w:t>
            </w:r>
          </w:p>
        </w:tc>
        <w:tc>
          <w:tcPr>
            <w:tcW w:w="994"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c>
          <w:tcPr>
            <w:tcW w:w="89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风险评级</w:t>
            </w:r>
          </w:p>
        </w:tc>
        <w:tc>
          <w:tcPr>
            <w:tcW w:w="604" w:type="dxa"/>
            <w:tcBorders>
              <w:top w:val="single" w:color="000000" w:sz="12"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5</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根据投标人总公司最新一期（2022年三季度）风险评级结果评分，AAA级得5分，AA级得4.5分，A级得4分，BBB级得3.5分，BB级得3分，B级得2.5分，C级得2分，D级得1分。（证明材料：中国保险行业协会网站公布截图）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5" w:hRule="atLeast"/>
          <w:jc w:val="center"/>
        </w:trPr>
        <w:tc>
          <w:tcPr>
            <w:tcW w:w="588"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3</w:t>
            </w:r>
          </w:p>
        </w:tc>
        <w:tc>
          <w:tcPr>
            <w:tcW w:w="994"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c>
          <w:tcPr>
            <w:tcW w:w="89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经营评价</w:t>
            </w:r>
          </w:p>
        </w:tc>
        <w:tc>
          <w:tcPr>
            <w:tcW w:w="604" w:type="dxa"/>
            <w:tcBorders>
              <w:top w:val="single" w:color="000000" w:sz="12"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5</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根据投标人总公司最新年度公司法人机构经营评价结果评分，A级得5分，B级得3分，C级得1分，D级不得分。（证明材料：中国保险行业协会网站公布截图）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5" w:hRule="atLeast"/>
          <w:jc w:val="center"/>
        </w:trPr>
        <w:tc>
          <w:tcPr>
            <w:tcW w:w="588"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4</w:t>
            </w:r>
          </w:p>
        </w:tc>
        <w:tc>
          <w:tcPr>
            <w:tcW w:w="994"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c>
          <w:tcPr>
            <w:tcW w:w="89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穆迪信用评级</w:t>
            </w:r>
          </w:p>
        </w:tc>
        <w:tc>
          <w:tcPr>
            <w:tcW w:w="604"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5</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根据穆迪对投标人总公司最新信用评级进行评分：A1以上得5分，A1得4分，A2得3分，A3得2分，A3以下得1分，无穆迪评级的不得分（证明材料：提供穆迪评级报告）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2" w:hRule="atLeast"/>
          <w:jc w:val="center"/>
        </w:trPr>
        <w:tc>
          <w:tcPr>
            <w:tcW w:w="588"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5</w:t>
            </w:r>
          </w:p>
        </w:tc>
        <w:tc>
          <w:tcPr>
            <w:tcW w:w="994"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c>
          <w:tcPr>
            <w:tcW w:w="89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消费者满意度</w:t>
            </w:r>
          </w:p>
        </w:tc>
        <w:tc>
          <w:tcPr>
            <w:tcW w:w="604" w:type="dxa"/>
            <w:tcBorders>
              <w:top w:val="single" w:color="000000" w:sz="12"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7</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lang w:val="en-US" w:eastAsia="zh-CN" w:bidi="ar"/>
              </w:rPr>
              <w:t>根据中国银保监会公布的关于2021年保险消费投诉情况的通报“亿元保费投诉量”由低到高进行排名。                                                                                          2021年亿元保费投诉量</w:t>
            </w:r>
            <w:r>
              <w:rPr>
                <w:rFonts w:hint="eastAsia" w:ascii="宋体" w:hAnsi="宋体" w:cs="宋体"/>
                <w:i w:val="0"/>
                <w:color w:val="auto"/>
                <w:kern w:val="0"/>
                <w:sz w:val="24"/>
                <w:szCs w:val="24"/>
                <w:highlight w:val="none"/>
                <w:lang w:val="en-US" w:eastAsia="zh-CN" w:bidi="ar"/>
              </w:rPr>
              <w:t>0件</w:t>
            </w:r>
            <w:r>
              <w:rPr>
                <w:rFonts w:hint="eastAsia" w:ascii="宋体" w:hAnsi="宋体" w:eastAsia="宋体" w:cs="宋体"/>
                <w:i w:val="0"/>
                <w:color w:val="auto"/>
                <w:kern w:val="0"/>
                <w:sz w:val="24"/>
                <w:szCs w:val="24"/>
                <w:highlight w:val="none"/>
                <w:lang w:val="en-US" w:eastAsia="zh-CN" w:bidi="ar"/>
              </w:rPr>
              <w:t>，得7分；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2021年</w:t>
            </w:r>
            <w:r>
              <w:rPr>
                <w:rFonts w:hint="eastAsia" w:ascii="宋体" w:hAnsi="宋体" w:eastAsia="宋体" w:cs="宋体"/>
                <w:i w:val="0"/>
                <w:color w:val="auto"/>
                <w:kern w:val="0"/>
                <w:sz w:val="24"/>
                <w:szCs w:val="24"/>
                <w:highlight w:val="none"/>
                <w:lang w:val="en-US" w:eastAsia="zh-CN" w:bidi="ar"/>
              </w:rPr>
              <w:t>亿元保费投诉量≤</w:t>
            </w:r>
            <w:r>
              <w:rPr>
                <w:rFonts w:hint="eastAsia" w:ascii="宋体" w:hAnsi="宋体" w:cs="宋体"/>
                <w:i w:val="0"/>
                <w:color w:val="auto"/>
                <w:kern w:val="0"/>
                <w:sz w:val="24"/>
                <w:szCs w:val="24"/>
                <w:highlight w:val="none"/>
                <w:lang w:val="en-US" w:eastAsia="zh-CN" w:bidi="ar"/>
              </w:rPr>
              <w:t>4件</w:t>
            </w:r>
            <w:r>
              <w:rPr>
                <w:rFonts w:hint="eastAsia" w:ascii="宋体" w:hAnsi="宋体" w:eastAsia="宋体" w:cs="宋体"/>
                <w:i w:val="0"/>
                <w:color w:val="auto"/>
                <w:kern w:val="0"/>
                <w:sz w:val="24"/>
                <w:szCs w:val="24"/>
                <w:highlight w:val="none"/>
                <w:lang w:val="en-US" w:eastAsia="zh-CN" w:bidi="ar"/>
              </w:rPr>
              <w:t>，得</w:t>
            </w:r>
            <w:r>
              <w:rPr>
                <w:rFonts w:hint="eastAsia" w:ascii="宋体" w:hAnsi="宋体" w:cs="宋体"/>
                <w:i w:val="0"/>
                <w:color w:val="auto"/>
                <w:kern w:val="0"/>
                <w:sz w:val="24"/>
                <w:szCs w:val="24"/>
                <w:highlight w:val="none"/>
                <w:lang w:val="en-US" w:eastAsia="zh-CN" w:bidi="ar"/>
              </w:rPr>
              <w:t>5</w:t>
            </w:r>
            <w:r>
              <w:rPr>
                <w:rFonts w:hint="eastAsia" w:ascii="宋体" w:hAnsi="宋体" w:eastAsia="宋体" w:cs="宋体"/>
                <w:i w:val="0"/>
                <w:color w:val="auto"/>
                <w:kern w:val="0"/>
                <w:sz w:val="24"/>
                <w:szCs w:val="24"/>
                <w:highlight w:val="none"/>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4件/亿元＜2021年亿元保费投诉量≤7件/亿元，得</w:t>
            </w:r>
            <w:r>
              <w:rPr>
                <w:rFonts w:hint="eastAsia" w:ascii="宋体" w:hAnsi="宋体" w:cs="宋体"/>
                <w:i w:val="0"/>
                <w:color w:val="auto"/>
                <w:kern w:val="0"/>
                <w:sz w:val="24"/>
                <w:szCs w:val="24"/>
                <w:highlight w:val="none"/>
                <w:lang w:val="en-US" w:eastAsia="zh-CN" w:bidi="ar"/>
              </w:rPr>
              <w:t>3</w:t>
            </w:r>
            <w:r>
              <w:rPr>
                <w:rFonts w:hint="eastAsia" w:ascii="宋体" w:hAnsi="宋体" w:eastAsia="宋体" w:cs="宋体"/>
                <w:i w:val="0"/>
                <w:color w:val="auto"/>
                <w:kern w:val="0"/>
                <w:sz w:val="24"/>
                <w:szCs w:val="24"/>
                <w:highlight w:val="none"/>
                <w:lang w:val="en-US" w:eastAsia="zh-CN" w:bidi="ar"/>
              </w:rPr>
              <w:t>分；                                                                                                                                 7件/亿元＜2021年亿元保费投诉量≤10件/亿元，得1分；                                                                                                                                        2021年亿元保费投诉量＞10件/亿元，不得分。（证明材料：中国银保监网站公布截图）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5" w:hRule="atLeast"/>
          <w:jc w:val="center"/>
        </w:trPr>
        <w:tc>
          <w:tcPr>
            <w:tcW w:w="588"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6</w:t>
            </w:r>
          </w:p>
        </w:tc>
        <w:tc>
          <w:tcPr>
            <w:tcW w:w="994"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c>
          <w:tcPr>
            <w:tcW w:w="89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合规经营</w:t>
            </w:r>
          </w:p>
        </w:tc>
        <w:tc>
          <w:tcPr>
            <w:tcW w:w="604" w:type="dxa"/>
            <w:tcBorders>
              <w:top w:val="single" w:color="000000" w:sz="12"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10</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根据投标人及所属地市级公司（2019年1月1日至今）受保险监管部门处罚情况，未受处罚的得10分，处罚1次扣3分，扣完为止。（以投标人所属中国银行保险监督管理委员会项目所在地分局提供的依据为准</w:t>
            </w:r>
            <w:r>
              <w:rPr>
                <w:rFonts w:hint="eastAsia" w:ascii="宋体" w:hAnsi="宋体" w:cs="宋体"/>
                <w:i w:val="0"/>
                <w:color w:val="auto"/>
                <w:kern w:val="0"/>
                <w:sz w:val="24"/>
                <w:szCs w:val="24"/>
                <w:highlight w:val="none"/>
                <w:lang w:val="en-US" w:eastAsia="zh-CN" w:bidi="ar"/>
              </w:rPr>
              <w:t>，投标人提供未受处罚承诺书或处罚依据，未提供不得分</w:t>
            </w:r>
            <w:r>
              <w:rPr>
                <w:rFonts w:hint="eastAsia" w:ascii="宋体" w:hAnsi="宋体" w:eastAsia="宋体" w:cs="宋体"/>
                <w:i w:val="0"/>
                <w:color w:val="auto"/>
                <w:kern w:val="0"/>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5" w:hRule="atLeast"/>
          <w:jc w:val="center"/>
        </w:trPr>
        <w:tc>
          <w:tcPr>
            <w:tcW w:w="588"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lang w:val="en-US" w:eastAsia="zh-CN" w:bidi="ar"/>
              </w:rPr>
              <w:t>7</w:t>
            </w:r>
          </w:p>
        </w:tc>
        <w:tc>
          <w:tcPr>
            <w:tcW w:w="994" w:type="dxa"/>
            <w:vMerge w:val="restart"/>
            <w:tcBorders>
              <w:top w:val="nil"/>
              <w:left w:val="nil"/>
              <w:right w:val="single" w:color="000000"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项目实施方案（50分）</w:t>
            </w:r>
          </w:p>
        </w:tc>
        <w:tc>
          <w:tcPr>
            <w:tcW w:w="89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理解</w:t>
            </w:r>
          </w:p>
        </w:tc>
        <w:tc>
          <w:tcPr>
            <w:tcW w:w="604" w:type="dxa"/>
            <w:tcBorders>
              <w:top w:val="single" w:color="000000" w:sz="12"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5</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0"/>
                <w:sz w:val="24"/>
                <w:szCs w:val="24"/>
                <w:highlight w:val="none"/>
                <w:lang w:val="en-US" w:eastAsia="zh-CN" w:bidi="ar"/>
              </w:rPr>
            </w:pPr>
            <w:r>
              <w:rPr>
                <w:rFonts w:hint="eastAsia" w:ascii="宋体" w:hAnsi="宋体" w:cs="宋体"/>
                <w:color w:val="auto"/>
                <w:sz w:val="24"/>
                <w:szCs w:val="24"/>
                <w:highlight w:val="none"/>
              </w:rPr>
              <w:t>投标人对项目现状及需求的理解情况，对项目现状和需求描述的全面性、准确性、针对性，对项目重点、难点的把握，解决方案及合理化建议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理解透彻和</w:t>
            </w:r>
            <w:r>
              <w:rPr>
                <w:rFonts w:hint="eastAsia" w:ascii="宋体" w:hAnsi="宋体" w:cs="宋体"/>
                <w:i w:val="0"/>
                <w:color w:val="auto"/>
                <w:kern w:val="0"/>
                <w:sz w:val="24"/>
                <w:szCs w:val="24"/>
                <w:highlight w:val="none"/>
                <w:lang w:val="en-US" w:eastAsia="zh-CN" w:bidi="ar"/>
              </w:rPr>
              <w:t>建议</w:t>
            </w:r>
            <w:r>
              <w:rPr>
                <w:rFonts w:hint="eastAsia" w:ascii="宋体" w:hAnsi="宋体" w:eastAsia="宋体" w:cs="宋体"/>
                <w:i w:val="0"/>
                <w:color w:val="auto"/>
                <w:kern w:val="0"/>
                <w:sz w:val="24"/>
                <w:szCs w:val="24"/>
                <w:highlight w:val="none"/>
                <w:lang w:val="en-US" w:eastAsia="zh-CN" w:bidi="ar"/>
              </w:rPr>
              <w:t>可行性高得</w:t>
            </w:r>
            <w:r>
              <w:rPr>
                <w:rFonts w:hint="eastAsia" w:ascii="宋体" w:hAnsi="宋体" w:cs="宋体"/>
                <w:i w:val="0"/>
                <w:color w:val="auto"/>
                <w:kern w:val="0"/>
                <w:sz w:val="24"/>
                <w:szCs w:val="24"/>
                <w:highlight w:val="none"/>
                <w:lang w:val="en-US" w:eastAsia="zh-CN" w:bidi="ar"/>
              </w:rPr>
              <w:t>4</w:t>
            </w:r>
            <w:r>
              <w:rPr>
                <w:rFonts w:hint="eastAsia" w:ascii="宋体" w:hAnsi="宋体" w:eastAsia="宋体" w:cs="宋体"/>
                <w:i w:val="0"/>
                <w:color w:val="auto"/>
                <w:kern w:val="0"/>
                <w:sz w:val="24"/>
                <w:szCs w:val="24"/>
                <w:highlight w:val="none"/>
                <w:lang w:val="en-US" w:eastAsia="zh-CN" w:bidi="ar"/>
              </w:rPr>
              <w:t>-</w:t>
            </w:r>
            <w:r>
              <w:rPr>
                <w:rFonts w:hint="eastAsia" w:ascii="宋体" w:hAnsi="宋体" w:cs="宋体"/>
                <w:i w:val="0"/>
                <w:color w:val="auto"/>
                <w:kern w:val="0"/>
                <w:sz w:val="24"/>
                <w:szCs w:val="24"/>
                <w:highlight w:val="none"/>
                <w:lang w:val="en-US" w:eastAsia="zh-CN" w:bidi="ar"/>
              </w:rPr>
              <w:t>5</w:t>
            </w:r>
            <w:r>
              <w:rPr>
                <w:rFonts w:hint="eastAsia" w:ascii="宋体" w:hAnsi="宋体" w:eastAsia="宋体" w:cs="宋体"/>
                <w:i w:val="0"/>
                <w:color w:val="auto"/>
                <w:kern w:val="0"/>
                <w:sz w:val="24"/>
                <w:szCs w:val="24"/>
                <w:highlight w:val="none"/>
                <w:lang w:val="en-US" w:eastAsia="zh-CN" w:bidi="ar"/>
              </w:rPr>
              <w:t>分，</w:t>
            </w:r>
            <w:r>
              <w:rPr>
                <w:rFonts w:hint="eastAsia" w:ascii="宋体" w:hAnsi="宋体" w:cs="宋体"/>
                <w:color w:val="auto"/>
                <w:sz w:val="24"/>
                <w:szCs w:val="24"/>
                <w:highlight w:val="none"/>
                <w:lang w:val="en-US" w:eastAsia="zh-CN"/>
              </w:rPr>
              <w:t>理解全面和</w:t>
            </w:r>
            <w:r>
              <w:rPr>
                <w:rFonts w:hint="eastAsia" w:ascii="宋体" w:hAnsi="宋体" w:cs="宋体"/>
                <w:i w:val="0"/>
                <w:color w:val="auto"/>
                <w:kern w:val="0"/>
                <w:sz w:val="24"/>
                <w:szCs w:val="24"/>
                <w:highlight w:val="none"/>
                <w:lang w:val="en-US" w:eastAsia="zh-CN" w:bidi="ar"/>
              </w:rPr>
              <w:t>建议</w:t>
            </w:r>
            <w:r>
              <w:rPr>
                <w:rFonts w:hint="eastAsia" w:ascii="宋体" w:hAnsi="宋体" w:eastAsia="宋体" w:cs="宋体"/>
                <w:i w:val="0"/>
                <w:color w:val="auto"/>
                <w:kern w:val="0"/>
                <w:sz w:val="24"/>
                <w:szCs w:val="24"/>
                <w:highlight w:val="none"/>
                <w:lang w:val="en-US" w:eastAsia="zh-CN" w:bidi="ar"/>
              </w:rPr>
              <w:t>可行性</w:t>
            </w:r>
            <w:r>
              <w:rPr>
                <w:rFonts w:hint="eastAsia" w:ascii="宋体" w:hAnsi="宋体" w:cs="宋体"/>
                <w:i w:val="0"/>
                <w:color w:val="auto"/>
                <w:kern w:val="0"/>
                <w:sz w:val="24"/>
                <w:szCs w:val="24"/>
                <w:highlight w:val="none"/>
                <w:lang w:val="en-US" w:eastAsia="zh-CN" w:bidi="ar"/>
              </w:rPr>
              <w:t>较</w:t>
            </w:r>
            <w:r>
              <w:rPr>
                <w:rFonts w:hint="eastAsia" w:ascii="宋体" w:hAnsi="宋体" w:eastAsia="宋体" w:cs="宋体"/>
                <w:i w:val="0"/>
                <w:color w:val="auto"/>
                <w:kern w:val="0"/>
                <w:sz w:val="24"/>
                <w:szCs w:val="24"/>
                <w:highlight w:val="none"/>
                <w:lang w:val="en-US" w:eastAsia="zh-CN" w:bidi="ar"/>
              </w:rPr>
              <w:t>高得</w:t>
            </w:r>
            <w:r>
              <w:rPr>
                <w:rFonts w:hint="eastAsia" w:ascii="宋体" w:hAnsi="宋体" w:cs="宋体"/>
                <w:i w:val="0"/>
                <w:color w:val="auto"/>
                <w:kern w:val="0"/>
                <w:sz w:val="24"/>
                <w:szCs w:val="24"/>
                <w:highlight w:val="none"/>
                <w:lang w:val="en-US" w:eastAsia="zh-CN" w:bidi="ar"/>
              </w:rPr>
              <w:t>2</w:t>
            </w:r>
            <w:r>
              <w:rPr>
                <w:rFonts w:hint="eastAsia" w:ascii="宋体" w:hAnsi="宋体" w:eastAsia="宋体" w:cs="宋体"/>
                <w:i w:val="0"/>
                <w:color w:val="auto"/>
                <w:kern w:val="0"/>
                <w:sz w:val="24"/>
                <w:szCs w:val="24"/>
                <w:highlight w:val="none"/>
                <w:lang w:val="en-US" w:eastAsia="zh-CN" w:bidi="ar"/>
              </w:rPr>
              <w:t>-</w:t>
            </w:r>
            <w:r>
              <w:rPr>
                <w:rFonts w:hint="eastAsia" w:ascii="宋体" w:hAnsi="宋体" w:cs="宋体"/>
                <w:i w:val="0"/>
                <w:color w:val="auto"/>
                <w:kern w:val="0"/>
                <w:sz w:val="24"/>
                <w:szCs w:val="24"/>
                <w:highlight w:val="none"/>
                <w:lang w:val="en-US" w:eastAsia="zh-CN" w:bidi="ar"/>
              </w:rPr>
              <w:t>3.9</w:t>
            </w:r>
            <w:r>
              <w:rPr>
                <w:rFonts w:hint="eastAsia" w:ascii="宋体" w:hAnsi="宋体" w:eastAsia="宋体" w:cs="宋体"/>
                <w:i w:val="0"/>
                <w:color w:val="auto"/>
                <w:kern w:val="0"/>
                <w:sz w:val="24"/>
                <w:szCs w:val="24"/>
                <w:highlight w:val="none"/>
                <w:lang w:val="en-US" w:eastAsia="zh-CN" w:bidi="ar"/>
              </w:rPr>
              <w:t>分，</w:t>
            </w:r>
            <w:r>
              <w:rPr>
                <w:rFonts w:hint="eastAsia" w:ascii="宋体" w:hAnsi="宋体" w:cs="宋体"/>
                <w:color w:val="auto"/>
                <w:sz w:val="24"/>
                <w:szCs w:val="24"/>
                <w:highlight w:val="none"/>
                <w:lang w:val="en-US" w:eastAsia="zh-CN"/>
              </w:rPr>
              <w:t>理解到位和</w:t>
            </w:r>
            <w:r>
              <w:rPr>
                <w:rFonts w:hint="eastAsia" w:ascii="宋体" w:hAnsi="宋体" w:cs="宋体"/>
                <w:i w:val="0"/>
                <w:color w:val="auto"/>
                <w:kern w:val="0"/>
                <w:sz w:val="24"/>
                <w:szCs w:val="24"/>
                <w:highlight w:val="none"/>
                <w:lang w:val="en-US" w:eastAsia="zh-CN" w:bidi="ar"/>
              </w:rPr>
              <w:t>建议</w:t>
            </w:r>
            <w:r>
              <w:rPr>
                <w:rFonts w:hint="eastAsia" w:ascii="宋体" w:hAnsi="宋体" w:eastAsia="宋体" w:cs="宋体"/>
                <w:i w:val="0"/>
                <w:color w:val="auto"/>
                <w:kern w:val="0"/>
                <w:sz w:val="24"/>
                <w:szCs w:val="24"/>
                <w:highlight w:val="none"/>
                <w:lang w:val="en-US" w:eastAsia="zh-CN" w:bidi="ar"/>
              </w:rPr>
              <w:t>可行性一般得0-</w:t>
            </w:r>
            <w:r>
              <w:rPr>
                <w:rFonts w:hint="eastAsia" w:ascii="宋体" w:hAnsi="宋体" w:cs="宋体"/>
                <w:i w:val="0"/>
                <w:color w:val="auto"/>
                <w:kern w:val="0"/>
                <w:sz w:val="24"/>
                <w:szCs w:val="24"/>
                <w:highlight w:val="none"/>
                <w:lang w:val="en-US" w:eastAsia="zh-CN" w:bidi="ar"/>
              </w:rPr>
              <w:t>1</w:t>
            </w:r>
            <w:r>
              <w:rPr>
                <w:rFonts w:hint="eastAsia" w:ascii="宋体" w:hAnsi="宋体" w:eastAsia="宋体" w:cs="宋体"/>
                <w:i w:val="0"/>
                <w:color w:val="auto"/>
                <w:kern w:val="0"/>
                <w:sz w:val="24"/>
                <w:szCs w:val="24"/>
                <w:highlight w:val="none"/>
                <w:lang w:val="en-US" w:eastAsia="zh-CN" w:bidi="ar"/>
              </w:rPr>
              <w:t>.9分。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5" w:hRule="atLeast"/>
          <w:jc w:val="center"/>
        </w:trPr>
        <w:tc>
          <w:tcPr>
            <w:tcW w:w="588" w:type="dxa"/>
            <w:tcBorders>
              <w:top w:val="single" w:color="000000" w:sz="12" w:space="0"/>
              <w:left w:val="single" w:color="000000" w:sz="12" w:space="0"/>
              <w:bottom w:val="single" w:color="auto"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8</w:t>
            </w:r>
          </w:p>
        </w:tc>
        <w:tc>
          <w:tcPr>
            <w:tcW w:w="994" w:type="dxa"/>
            <w:vMerge w:val="continue"/>
            <w:tcBorders>
              <w:left w:val="nil"/>
              <w:bottom w:val="single" w:color="auto" w:sz="12" w:space="0"/>
              <w:right w:val="single" w:color="000000"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cs="宋体"/>
                <w:color w:val="auto"/>
                <w:sz w:val="24"/>
                <w:szCs w:val="24"/>
                <w:highlight w:val="none"/>
                <w:lang w:val="en-US" w:eastAsia="zh-CN"/>
              </w:rPr>
            </w:pPr>
          </w:p>
        </w:tc>
        <w:tc>
          <w:tcPr>
            <w:tcW w:w="893" w:type="dxa"/>
            <w:tcBorders>
              <w:top w:val="single" w:color="000000" w:sz="12" w:space="0"/>
              <w:left w:val="nil"/>
              <w:bottom w:val="single" w:color="auto"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方案</w:t>
            </w:r>
          </w:p>
        </w:tc>
        <w:tc>
          <w:tcPr>
            <w:tcW w:w="604" w:type="dxa"/>
            <w:tcBorders>
              <w:top w:val="single" w:color="000000" w:sz="12" w:space="0"/>
              <w:left w:val="nil"/>
              <w:bottom w:val="single" w:color="auto"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center"/>
              <w:rPr>
                <w:rFonts w:hint="eastAsia" w:ascii="宋体" w:hAnsi="宋体" w:eastAsia="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15</w:t>
            </w:r>
          </w:p>
        </w:tc>
        <w:tc>
          <w:tcPr>
            <w:tcW w:w="5816" w:type="dxa"/>
            <w:tcBorders>
              <w:top w:val="single" w:color="000000" w:sz="12" w:space="0"/>
              <w:left w:val="nil"/>
              <w:bottom w:val="single" w:color="auto"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center"/>
              <w:rPr>
                <w:rFonts w:hint="eastAsia" w:ascii="宋体" w:hAnsi="宋体" w:eastAsia="宋体" w:cs="宋体"/>
                <w:i w:val="0"/>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lang w:val="en-US" w:eastAsia="zh-CN" w:bidi="ar"/>
              </w:rPr>
              <w:t>提供工伤保险经办服务方案，优化经办流程</w:t>
            </w:r>
            <w:r>
              <w:rPr>
                <w:rFonts w:hint="eastAsia" w:ascii="宋体" w:hAnsi="宋体" w:cs="宋体"/>
                <w:i w:val="0"/>
                <w:color w:val="auto"/>
                <w:kern w:val="0"/>
                <w:sz w:val="24"/>
                <w:szCs w:val="24"/>
                <w:highlight w:val="none"/>
                <w:lang w:val="en-US" w:eastAsia="zh-CN" w:bidi="ar"/>
              </w:rPr>
              <w:t>，有效降低工伤发生率和工伤案件数量</w:t>
            </w:r>
            <w:r>
              <w:rPr>
                <w:rFonts w:hint="eastAsia" w:ascii="宋体" w:hAnsi="宋体" w:eastAsia="宋体" w:cs="宋体"/>
                <w:i w:val="0"/>
                <w:color w:val="auto"/>
                <w:kern w:val="0"/>
                <w:sz w:val="24"/>
                <w:szCs w:val="24"/>
                <w:highlight w:val="none"/>
                <w:lang w:val="en-US" w:eastAsia="zh-CN" w:bidi="ar"/>
              </w:rPr>
              <w:t>。方案可行</w:t>
            </w:r>
            <w:r>
              <w:rPr>
                <w:rFonts w:hint="eastAsia" w:ascii="宋体" w:hAnsi="宋体" w:cs="宋体"/>
                <w:i w:val="0"/>
                <w:color w:val="auto"/>
                <w:kern w:val="0"/>
                <w:sz w:val="24"/>
                <w:szCs w:val="24"/>
                <w:highlight w:val="none"/>
                <w:lang w:val="en-US" w:eastAsia="zh-CN" w:bidi="ar"/>
              </w:rPr>
              <w:t>性</w:t>
            </w:r>
            <w:r>
              <w:rPr>
                <w:rFonts w:hint="eastAsia" w:ascii="宋体" w:hAnsi="宋体" w:eastAsia="宋体" w:cs="宋体"/>
                <w:i w:val="0"/>
                <w:color w:val="auto"/>
                <w:kern w:val="0"/>
                <w:sz w:val="24"/>
                <w:szCs w:val="24"/>
                <w:highlight w:val="none"/>
                <w:lang w:val="en-US" w:eastAsia="zh-CN" w:bidi="ar"/>
              </w:rPr>
              <w:t>、便捷性高得</w:t>
            </w:r>
            <w:r>
              <w:rPr>
                <w:rFonts w:hint="eastAsia" w:ascii="宋体" w:hAnsi="宋体" w:cs="宋体"/>
                <w:i w:val="0"/>
                <w:color w:val="auto"/>
                <w:kern w:val="0"/>
                <w:sz w:val="24"/>
                <w:szCs w:val="24"/>
                <w:highlight w:val="none"/>
                <w:lang w:val="en-US" w:eastAsia="zh-CN" w:bidi="ar"/>
              </w:rPr>
              <w:t>10</w:t>
            </w:r>
            <w:r>
              <w:rPr>
                <w:rFonts w:hint="eastAsia" w:ascii="宋体" w:hAnsi="宋体" w:eastAsia="宋体" w:cs="宋体"/>
                <w:i w:val="0"/>
                <w:color w:val="auto"/>
                <w:kern w:val="0"/>
                <w:sz w:val="24"/>
                <w:szCs w:val="24"/>
                <w:highlight w:val="none"/>
                <w:lang w:val="en-US" w:eastAsia="zh-CN" w:bidi="ar"/>
              </w:rPr>
              <w:t>-1</w:t>
            </w:r>
            <w:r>
              <w:rPr>
                <w:rFonts w:hint="eastAsia" w:ascii="宋体" w:hAnsi="宋体" w:cs="宋体"/>
                <w:i w:val="0"/>
                <w:color w:val="auto"/>
                <w:kern w:val="0"/>
                <w:sz w:val="24"/>
                <w:szCs w:val="24"/>
                <w:highlight w:val="none"/>
                <w:lang w:val="en-US" w:eastAsia="zh-CN" w:bidi="ar"/>
              </w:rPr>
              <w:t>5</w:t>
            </w:r>
            <w:r>
              <w:rPr>
                <w:rFonts w:hint="eastAsia" w:ascii="宋体" w:hAnsi="宋体" w:eastAsia="宋体" w:cs="宋体"/>
                <w:i w:val="0"/>
                <w:color w:val="auto"/>
                <w:kern w:val="0"/>
                <w:sz w:val="24"/>
                <w:szCs w:val="24"/>
                <w:highlight w:val="none"/>
                <w:lang w:val="en-US" w:eastAsia="zh-CN" w:bidi="ar"/>
              </w:rPr>
              <w:t>分，方案可行</w:t>
            </w:r>
            <w:r>
              <w:rPr>
                <w:rFonts w:hint="eastAsia" w:ascii="宋体" w:hAnsi="宋体" w:cs="宋体"/>
                <w:i w:val="0"/>
                <w:color w:val="auto"/>
                <w:kern w:val="0"/>
                <w:sz w:val="24"/>
                <w:szCs w:val="24"/>
                <w:highlight w:val="none"/>
                <w:lang w:val="en-US" w:eastAsia="zh-CN" w:bidi="ar"/>
              </w:rPr>
              <w:t>性</w:t>
            </w:r>
            <w:r>
              <w:rPr>
                <w:rFonts w:hint="eastAsia" w:ascii="宋体" w:hAnsi="宋体" w:eastAsia="宋体" w:cs="宋体"/>
                <w:i w:val="0"/>
                <w:color w:val="auto"/>
                <w:kern w:val="0"/>
                <w:sz w:val="24"/>
                <w:szCs w:val="24"/>
                <w:highlight w:val="none"/>
                <w:lang w:val="en-US" w:eastAsia="zh-CN" w:bidi="ar"/>
              </w:rPr>
              <w:t>、便捷性较高得5-</w:t>
            </w:r>
            <w:r>
              <w:rPr>
                <w:rFonts w:hint="eastAsia" w:ascii="宋体" w:hAnsi="宋体" w:cs="宋体"/>
                <w:i w:val="0"/>
                <w:color w:val="auto"/>
                <w:kern w:val="0"/>
                <w:sz w:val="24"/>
                <w:szCs w:val="24"/>
                <w:highlight w:val="none"/>
                <w:lang w:val="en-US" w:eastAsia="zh-CN" w:bidi="ar"/>
              </w:rPr>
              <w:t>9</w:t>
            </w:r>
            <w:r>
              <w:rPr>
                <w:rFonts w:hint="eastAsia" w:ascii="宋体" w:hAnsi="宋体" w:eastAsia="宋体" w:cs="宋体"/>
                <w:i w:val="0"/>
                <w:color w:val="auto"/>
                <w:kern w:val="0"/>
                <w:sz w:val="24"/>
                <w:szCs w:val="24"/>
                <w:highlight w:val="none"/>
                <w:lang w:val="en-US" w:eastAsia="zh-CN" w:bidi="ar"/>
              </w:rPr>
              <w:t>.9分，方案可行</w:t>
            </w:r>
            <w:r>
              <w:rPr>
                <w:rFonts w:hint="eastAsia" w:ascii="宋体" w:hAnsi="宋体" w:cs="宋体"/>
                <w:i w:val="0"/>
                <w:color w:val="auto"/>
                <w:kern w:val="0"/>
                <w:sz w:val="24"/>
                <w:szCs w:val="24"/>
                <w:highlight w:val="none"/>
                <w:lang w:val="en-US" w:eastAsia="zh-CN" w:bidi="ar"/>
              </w:rPr>
              <w:t>性</w:t>
            </w:r>
            <w:r>
              <w:rPr>
                <w:rFonts w:hint="eastAsia" w:ascii="宋体" w:hAnsi="宋体" w:eastAsia="宋体" w:cs="宋体"/>
                <w:i w:val="0"/>
                <w:color w:val="auto"/>
                <w:kern w:val="0"/>
                <w:sz w:val="24"/>
                <w:szCs w:val="24"/>
                <w:highlight w:val="none"/>
                <w:lang w:val="en-US" w:eastAsia="zh-CN" w:bidi="ar"/>
              </w:rPr>
              <w:t>、便捷性一般得0-4.9分。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7" w:hRule="atLeast"/>
          <w:jc w:val="center"/>
        </w:trPr>
        <w:tc>
          <w:tcPr>
            <w:tcW w:w="588" w:type="dxa"/>
            <w:tcBorders>
              <w:top w:val="single" w:color="auto" w:sz="12" w:space="0"/>
              <w:left w:val="single" w:color="auto" w:sz="12" w:space="0"/>
              <w:bottom w:val="single" w:color="auto" w:sz="12" w:space="0"/>
              <w:right w:val="single" w:color="auto"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cs="宋体"/>
                <w:i w:val="0"/>
                <w:color w:val="auto"/>
                <w:kern w:val="0"/>
                <w:sz w:val="24"/>
                <w:szCs w:val="24"/>
                <w:highlight w:val="none"/>
                <w:lang w:val="en-US" w:eastAsia="zh-CN" w:bidi="ar"/>
              </w:rPr>
              <w:t>9</w:t>
            </w:r>
          </w:p>
        </w:tc>
        <w:tc>
          <w:tcPr>
            <w:tcW w:w="994" w:type="dxa"/>
            <w:vMerge w:val="continue"/>
            <w:tcBorders>
              <w:top w:val="single" w:color="auto" w:sz="12" w:space="0"/>
              <w:left w:val="single" w:color="auto" w:sz="12" w:space="0"/>
              <w:bottom w:val="single" w:color="auto" w:sz="12" w:space="0"/>
              <w:right w:val="single" w:color="auto"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c>
          <w:tcPr>
            <w:tcW w:w="893" w:type="dxa"/>
            <w:tcBorders>
              <w:top w:val="single" w:color="auto" w:sz="12" w:space="0"/>
              <w:left w:val="single" w:color="auto" w:sz="12" w:space="0"/>
              <w:bottom w:val="single" w:color="auto" w:sz="12" w:space="0"/>
              <w:right w:val="single" w:color="auto" w:sz="12"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cs="宋体"/>
                <w:i w:val="0"/>
                <w:color w:val="auto"/>
                <w:kern w:val="2"/>
                <w:sz w:val="24"/>
                <w:szCs w:val="24"/>
                <w:highlight w:val="none"/>
                <w:lang w:val="en-US" w:eastAsia="zh-CN"/>
              </w:rPr>
            </w:pPr>
            <w:r>
              <w:rPr>
                <w:rFonts w:hint="eastAsia" w:ascii="宋体" w:hAnsi="宋体" w:cs="宋体"/>
                <w:i w:val="0"/>
                <w:color w:val="auto"/>
                <w:kern w:val="2"/>
                <w:sz w:val="24"/>
                <w:szCs w:val="24"/>
                <w:highlight w:val="none"/>
                <w:lang w:val="en-US" w:eastAsia="zh-CN"/>
              </w:rPr>
              <w:t>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i w:val="0"/>
                <w:color w:val="auto"/>
                <w:kern w:val="2"/>
                <w:sz w:val="24"/>
                <w:szCs w:val="24"/>
                <w:highlight w:val="none"/>
                <w:lang w:val="en-US" w:eastAsia="zh-CN"/>
              </w:rPr>
            </w:pPr>
            <w:r>
              <w:rPr>
                <w:rFonts w:hint="eastAsia" w:ascii="宋体" w:hAnsi="宋体" w:cs="宋体"/>
                <w:i w:val="0"/>
                <w:color w:val="auto"/>
                <w:kern w:val="2"/>
                <w:sz w:val="24"/>
                <w:szCs w:val="24"/>
                <w:highlight w:val="none"/>
                <w:lang w:val="en-US" w:eastAsia="zh-CN"/>
              </w:rPr>
              <w:t>配置</w:t>
            </w:r>
          </w:p>
        </w:tc>
        <w:tc>
          <w:tcPr>
            <w:tcW w:w="604" w:type="dxa"/>
            <w:tcBorders>
              <w:top w:val="single" w:color="auto" w:sz="12" w:space="0"/>
              <w:left w:val="single" w:color="auto" w:sz="12" w:space="0"/>
              <w:bottom w:val="single" w:color="auto" w:sz="12" w:space="0"/>
              <w:right w:val="single" w:color="auto" w:sz="12"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3</w:t>
            </w:r>
          </w:p>
        </w:tc>
        <w:tc>
          <w:tcPr>
            <w:tcW w:w="5816" w:type="dxa"/>
            <w:tcBorders>
              <w:top w:val="single" w:color="auto" w:sz="12" w:space="0"/>
              <w:left w:val="single" w:color="auto" w:sz="12" w:space="0"/>
              <w:bottom w:val="single" w:color="auto" w:sz="12" w:space="0"/>
              <w:right w:val="single" w:color="auto"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根据投标人承诺配备本项目的到岗人员进行打分，要求具有大学以上学历，专业以社会保障、医学、法律等为主，有相关工作经验优先，平均年龄在35周岁以下，其中男性不少于5人，具有法律、医学背景的不少于2人，具有三年以上驾龄且近三年无发生重大交通事故的不少于2人。投标人承诺配备符合上述要求的到岗人员15人得3分，承诺人数不足15人或相关人员不符合上述要求，每不符合一人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jc w:val="center"/>
        </w:trPr>
        <w:tc>
          <w:tcPr>
            <w:tcW w:w="588" w:type="dxa"/>
            <w:vMerge w:val="restart"/>
            <w:tcBorders>
              <w:top w:val="single" w:color="auto" w:sz="12" w:space="0"/>
              <w:left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i w:val="0"/>
                <w:color w:val="auto"/>
                <w:kern w:val="2"/>
                <w:sz w:val="24"/>
                <w:szCs w:val="24"/>
                <w:highlight w:val="none"/>
                <w:lang w:val="en-US"/>
              </w:rPr>
            </w:pPr>
            <w:r>
              <w:rPr>
                <w:rFonts w:hint="eastAsia" w:ascii="宋体" w:hAnsi="宋体" w:cs="宋体"/>
                <w:i w:val="0"/>
                <w:color w:val="auto"/>
                <w:kern w:val="0"/>
                <w:sz w:val="24"/>
                <w:szCs w:val="24"/>
                <w:highlight w:val="none"/>
                <w:lang w:val="en-US" w:eastAsia="zh-CN" w:bidi="ar"/>
              </w:rPr>
              <w:t>10</w:t>
            </w:r>
          </w:p>
        </w:tc>
        <w:tc>
          <w:tcPr>
            <w:tcW w:w="994" w:type="dxa"/>
            <w:vMerge w:val="continue"/>
            <w:tcBorders>
              <w:top w:val="single" w:color="auto" w:sz="12" w:space="0"/>
              <w:left w:val="nil"/>
              <w:right w:val="single" w:color="000000"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c>
          <w:tcPr>
            <w:tcW w:w="893" w:type="dxa"/>
            <w:vMerge w:val="restart"/>
            <w:tcBorders>
              <w:top w:val="single" w:color="auto" w:sz="12" w:space="0"/>
              <w:left w:val="single" w:color="auto" w:sz="12" w:space="0"/>
              <w:right w:val="single" w:color="auto" w:sz="12"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风控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i w:val="0"/>
                <w:color w:val="auto"/>
                <w:kern w:val="2"/>
                <w:sz w:val="24"/>
                <w:szCs w:val="24"/>
                <w:highlight w:val="none"/>
                <w:lang w:val="en-US" w:eastAsia="zh-CN"/>
              </w:rPr>
            </w:pPr>
            <w:r>
              <w:rPr>
                <w:rFonts w:hint="eastAsia" w:ascii="宋体" w:hAnsi="宋体" w:cs="宋体"/>
                <w:color w:val="auto"/>
                <w:sz w:val="24"/>
                <w:szCs w:val="24"/>
                <w:highlight w:val="none"/>
                <w:lang w:val="en-US" w:eastAsia="zh-CN"/>
              </w:rPr>
              <w:t>方案</w:t>
            </w:r>
          </w:p>
        </w:tc>
        <w:tc>
          <w:tcPr>
            <w:tcW w:w="604" w:type="dxa"/>
            <w:tcBorders>
              <w:top w:val="single" w:color="auto" w:sz="12" w:space="0"/>
              <w:left w:val="single" w:color="auto" w:sz="12" w:space="0"/>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i w:val="0"/>
                <w:color w:val="auto"/>
                <w:kern w:val="2"/>
                <w:sz w:val="24"/>
                <w:szCs w:val="24"/>
                <w:highlight w:val="none"/>
                <w:lang w:val="en-US"/>
              </w:rPr>
            </w:pPr>
            <w:r>
              <w:rPr>
                <w:rFonts w:hint="eastAsia" w:ascii="宋体" w:hAnsi="宋体" w:cs="宋体"/>
                <w:i w:val="0"/>
                <w:color w:val="auto"/>
                <w:kern w:val="0"/>
                <w:sz w:val="24"/>
                <w:szCs w:val="24"/>
                <w:highlight w:val="none"/>
                <w:lang w:val="en-US" w:eastAsia="zh-CN" w:bidi="ar"/>
              </w:rPr>
              <w:t>10</w:t>
            </w:r>
          </w:p>
        </w:tc>
        <w:tc>
          <w:tcPr>
            <w:tcW w:w="5816" w:type="dxa"/>
            <w:tcBorders>
              <w:top w:val="single" w:color="auto"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i w:val="0"/>
                <w:color w:val="auto"/>
                <w:kern w:val="0"/>
                <w:sz w:val="24"/>
                <w:szCs w:val="24"/>
                <w:highlight w:val="none"/>
                <w:lang w:val="en-US" w:eastAsia="zh-CN" w:bidi="ar"/>
              </w:rPr>
              <w:t>工伤控费管理方案，确保工伤基金安全运营，</w:t>
            </w:r>
            <w:r>
              <w:rPr>
                <w:rFonts w:hint="eastAsia" w:ascii="宋体" w:hAnsi="宋体" w:cs="宋体"/>
                <w:i w:val="0"/>
                <w:color w:val="auto"/>
                <w:kern w:val="0"/>
                <w:sz w:val="24"/>
                <w:szCs w:val="24"/>
                <w:highlight w:val="none"/>
                <w:lang w:val="en-US" w:eastAsia="zh-CN" w:bidi="ar"/>
              </w:rPr>
              <w:t>做好工伤保险扩面工作，</w:t>
            </w:r>
            <w:r>
              <w:rPr>
                <w:rFonts w:hint="eastAsia" w:ascii="宋体" w:hAnsi="宋体" w:eastAsia="宋体" w:cs="宋体"/>
                <w:color w:val="auto"/>
                <w:sz w:val="24"/>
                <w:szCs w:val="24"/>
                <w:highlight w:val="none"/>
              </w:rPr>
              <w:t>切实降低</w:t>
            </w:r>
            <w:r>
              <w:rPr>
                <w:rFonts w:hint="eastAsia" w:ascii="宋体" w:hAnsi="宋体" w:cs="宋体"/>
                <w:color w:val="auto"/>
                <w:sz w:val="24"/>
                <w:szCs w:val="24"/>
                <w:highlight w:val="none"/>
                <w:lang w:eastAsia="zh-CN"/>
              </w:rPr>
              <w:t>工伤医疗</w:t>
            </w:r>
            <w:r>
              <w:rPr>
                <w:rFonts w:hint="eastAsia" w:ascii="宋体" w:hAnsi="宋体" w:eastAsia="宋体" w:cs="宋体"/>
                <w:color w:val="auto"/>
                <w:sz w:val="24"/>
                <w:szCs w:val="24"/>
                <w:highlight w:val="none"/>
              </w:rPr>
              <w:t>不合理费用支出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根据方案可行性综合评分。方案合理且操作性强的得</w:t>
            </w:r>
            <w:r>
              <w:rPr>
                <w:rFonts w:hint="eastAsia" w:ascii="宋体" w:hAnsi="宋体" w:eastAsia="宋体" w:cs="宋体"/>
                <w:i w:val="0"/>
                <w:color w:val="auto"/>
                <w:kern w:val="0"/>
                <w:sz w:val="24"/>
                <w:szCs w:val="24"/>
                <w:highlight w:val="none"/>
                <w:lang w:val="en-US" w:eastAsia="zh-CN" w:bidi="ar"/>
              </w:rPr>
              <w:t>8-10</w:t>
            </w:r>
            <w:r>
              <w:rPr>
                <w:rFonts w:hint="eastAsia" w:ascii="宋体" w:hAnsi="宋体" w:eastAsia="宋体" w:cs="宋体"/>
                <w:color w:val="auto"/>
                <w:sz w:val="24"/>
                <w:szCs w:val="24"/>
                <w:highlight w:val="none"/>
                <w:lang w:val="en-US" w:eastAsia="zh-CN"/>
              </w:rPr>
              <w:t>分，方案及操作性一般的得</w:t>
            </w:r>
            <w:r>
              <w:rPr>
                <w:rFonts w:hint="eastAsia" w:ascii="宋体" w:hAnsi="宋体" w:eastAsia="宋体" w:cs="宋体"/>
                <w:i w:val="0"/>
                <w:color w:val="auto"/>
                <w:kern w:val="0"/>
                <w:sz w:val="24"/>
                <w:szCs w:val="24"/>
                <w:highlight w:val="none"/>
                <w:lang w:val="en-US" w:eastAsia="zh-CN" w:bidi="ar"/>
              </w:rPr>
              <w:t>5-7.9</w:t>
            </w:r>
            <w:r>
              <w:rPr>
                <w:rFonts w:hint="eastAsia" w:ascii="宋体" w:hAnsi="宋体" w:eastAsia="宋体" w:cs="宋体"/>
                <w:color w:val="auto"/>
                <w:sz w:val="24"/>
                <w:szCs w:val="24"/>
                <w:highlight w:val="none"/>
                <w:lang w:val="en-US" w:eastAsia="zh-CN"/>
              </w:rPr>
              <w:t>分，方案及操作性较差的得</w:t>
            </w:r>
            <w:r>
              <w:rPr>
                <w:rFonts w:hint="eastAsia" w:ascii="宋体" w:hAnsi="宋体" w:eastAsia="宋体" w:cs="宋体"/>
                <w:i w:val="0"/>
                <w:color w:val="auto"/>
                <w:kern w:val="0"/>
                <w:sz w:val="24"/>
                <w:szCs w:val="24"/>
                <w:highlight w:val="none"/>
                <w:lang w:val="en-US" w:eastAsia="zh-CN" w:bidi="ar"/>
              </w:rPr>
              <w:t>0-4.9</w:t>
            </w:r>
            <w:r>
              <w:rPr>
                <w:rFonts w:hint="eastAsia" w:ascii="宋体" w:hAnsi="宋体" w:eastAsia="宋体" w:cs="宋体"/>
                <w:color w:val="auto"/>
                <w:sz w:val="24"/>
                <w:szCs w:val="24"/>
                <w:highlight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jc w:val="center"/>
        </w:trPr>
        <w:tc>
          <w:tcPr>
            <w:tcW w:w="588" w:type="dxa"/>
            <w:vMerge w:val="continue"/>
            <w:tcBorders>
              <w:left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c>
          <w:tcPr>
            <w:tcW w:w="994" w:type="dxa"/>
            <w:vMerge w:val="continue"/>
            <w:tcBorders>
              <w:left w:val="nil"/>
              <w:right w:val="single" w:color="000000"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c>
          <w:tcPr>
            <w:tcW w:w="893" w:type="dxa"/>
            <w:vMerge w:val="continue"/>
            <w:tcBorders>
              <w:left w:val="single" w:color="auto" w:sz="12" w:space="0"/>
              <w:right w:val="single" w:color="auto" w:sz="12"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c>
          <w:tcPr>
            <w:tcW w:w="604" w:type="dxa"/>
            <w:tcBorders>
              <w:top w:val="single" w:color="000000" w:sz="12" w:space="0"/>
              <w:left w:val="single" w:color="auto"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cs="宋体"/>
                <w:i w:val="0"/>
                <w:color w:val="auto"/>
                <w:kern w:val="0"/>
                <w:sz w:val="24"/>
                <w:szCs w:val="24"/>
                <w:highlight w:val="none"/>
                <w:lang w:val="en-US" w:eastAsia="zh-CN" w:bidi="ar"/>
              </w:rPr>
              <w:t>5</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color w:val="auto"/>
                <w:sz w:val="24"/>
                <w:szCs w:val="24"/>
                <w:highlight w:val="none"/>
              </w:rPr>
              <w:t>提供理赔调查实施方案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及时客观</w:t>
            </w:r>
            <w:r>
              <w:rPr>
                <w:rFonts w:hint="eastAsia" w:ascii="宋体" w:hAnsi="宋体" w:cs="宋体"/>
                <w:color w:val="auto"/>
                <w:sz w:val="24"/>
                <w:szCs w:val="24"/>
                <w:highlight w:val="none"/>
                <w:lang w:eastAsia="zh-CN"/>
              </w:rPr>
              <w:t>协助调查</w:t>
            </w:r>
            <w:r>
              <w:rPr>
                <w:rFonts w:hint="eastAsia" w:ascii="宋体" w:hAnsi="宋体" w:eastAsia="宋体" w:cs="宋体"/>
                <w:color w:val="auto"/>
                <w:sz w:val="24"/>
                <w:szCs w:val="24"/>
                <w:highlight w:val="none"/>
              </w:rPr>
              <w:t>参保人事故发生原因、核实报销费用支出的合理性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根据方案合理性综合评分。</w:t>
            </w:r>
            <w:r>
              <w:rPr>
                <w:rFonts w:hint="eastAsia" w:ascii="宋体" w:hAnsi="宋体" w:eastAsia="宋体" w:cs="宋体"/>
                <w:i w:val="0"/>
                <w:color w:val="auto"/>
                <w:kern w:val="0"/>
                <w:sz w:val="24"/>
                <w:szCs w:val="24"/>
                <w:highlight w:val="none"/>
                <w:lang w:val="en-US" w:eastAsia="zh-CN" w:bidi="ar"/>
              </w:rPr>
              <w:t>方案全面科学合理可行性高得</w:t>
            </w:r>
            <w:r>
              <w:rPr>
                <w:rFonts w:hint="eastAsia" w:ascii="宋体" w:hAnsi="宋体" w:eastAsia="宋体" w:cs="宋体"/>
                <w:color w:val="auto"/>
                <w:sz w:val="24"/>
                <w:szCs w:val="24"/>
                <w:highlight w:val="none"/>
                <w:lang w:val="en-US" w:eastAsia="zh-CN"/>
              </w:rPr>
              <w:t>4-5</w:t>
            </w:r>
            <w:r>
              <w:rPr>
                <w:rFonts w:hint="eastAsia" w:ascii="宋体" w:hAnsi="宋体" w:eastAsia="宋体" w:cs="宋体"/>
                <w:i w:val="0"/>
                <w:color w:val="auto"/>
                <w:kern w:val="0"/>
                <w:sz w:val="24"/>
                <w:szCs w:val="24"/>
                <w:highlight w:val="none"/>
                <w:lang w:val="en-US" w:eastAsia="zh-CN" w:bidi="ar"/>
              </w:rPr>
              <w:t>分，方案全面科学合理可行性较高得</w:t>
            </w:r>
            <w:r>
              <w:rPr>
                <w:rFonts w:hint="eastAsia" w:ascii="宋体" w:hAnsi="宋体" w:eastAsia="宋体" w:cs="宋体"/>
                <w:color w:val="auto"/>
                <w:sz w:val="24"/>
                <w:szCs w:val="24"/>
                <w:highlight w:val="none"/>
                <w:lang w:val="en-US" w:eastAsia="zh-CN"/>
              </w:rPr>
              <w:t>2-3.9</w:t>
            </w:r>
            <w:r>
              <w:rPr>
                <w:rFonts w:hint="eastAsia" w:ascii="宋体" w:hAnsi="宋体" w:eastAsia="宋体" w:cs="宋体"/>
                <w:i w:val="0"/>
                <w:color w:val="auto"/>
                <w:kern w:val="0"/>
                <w:sz w:val="24"/>
                <w:szCs w:val="24"/>
                <w:highlight w:val="none"/>
                <w:lang w:val="en-US" w:eastAsia="zh-CN" w:bidi="ar"/>
              </w:rPr>
              <w:t>分，方案全面科学合理可行性一般得</w:t>
            </w:r>
            <w:r>
              <w:rPr>
                <w:rFonts w:hint="eastAsia" w:ascii="宋体" w:hAnsi="宋体" w:eastAsia="宋体" w:cs="宋体"/>
                <w:color w:val="auto"/>
                <w:sz w:val="24"/>
                <w:szCs w:val="24"/>
                <w:highlight w:val="none"/>
                <w:lang w:val="en-US" w:eastAsia="zh-CN"/>
              </w:rPr>
              <w:t>0-1.9</w:t>
            </w:r>
            <w:r>
              <w:rPr>
                <w:rFonts w:hint="eastAsia" w:ascii="宋体" w:hAnsi="宋体" w:eastAsia="宋体" w:cs="宋体"/>
                <w:i w:val="0"/>
                <w:color w:val="auto"/>
                <w:kern w:val="0"/>
                <w:sz w:val="24"/>
                <w:szCs w:val="24"/>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5" w:hRule="atLeast"/>
          <w:jc w:val="center"/>
        </w:trPr>
        <w:tc>
          <w:tcPr>
            <w:tcW w:w="588" w:type="dxa"/>
            <w:vMerge w:val="continue"/>
            <w:tcBorders>
              <w:left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994" w:type="dxa"/>
            <w:vMerge w:val="continue"/>
            <w:tcBorders>
              <w:left w:val="nil"/>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93" w:type="dxa"/>
            <w:vMerge w:val="continue"/>
            <w:tcBorders>
              <w:left w:val="single" w:color="auto" w:sz="12" w:space="0"/>
              <w:right w:val="single" w:color="auto" w:sz="12"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604" w:type="dxa"/>
            <w:tcBorders>
              <w:top w:val="single" w:color="000000" w:sz="12" w:space="0"/>
              <w:left w:val="single" w:color="auto"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4</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工伤保险政策宣传</w:t>
            </w:r>
            <w:r>
              <w:rPr>
                <w:rFonts w:hint="eastAsia" w:ascii="宋体" w:hAnsi="宋体" w:eastAsia="宋体" w:cs="宋体"/>
                <w:color w:val="auto"/>
                <w:sz w:val="24"/>
                <w:szCs w:val="24"/>
                <w:highlight w:val="none"/>
                <w:lang w:val="en-US" w:eastAsia="zh-CN"/>
              </w:rPr>
              <w:t>推广方案</w:t>
            </w:r>
            <w:r>
              <w:rPr>
                <w:rFonts w:hint="eastAsia" w:ascii="宋体" w:hAnsi="宋体" w:eastAsia="宋体" w:cs="宋体"/>
                <w:color w:val="auto"/>
                <w:sz w:val="24"/>
                <w:szCs w:val="24"/>
                <w:highlight w:val="none"/>
              </w:rPr>
              <w:t>，配合人力社保局做好工伤</w:t>
            </w:r>
            <w:r>
              <w:rPr>
                <w:rFonts w:hint="eastAsia" w:ascii="宋体" w:hAnsi="宋体" w:cs="宋体"/>
                <w:color w:val="auto"/>
                <w:sz w:val="24"/>
                <w:szCs w:val="24"/>
                <w:highlight w:val="none"/>
                <w:lang w:eastAsia="zh-CN"/>
              </w:rPr>
              <w:t>源头</w:t>
            </w:r>
            <w:r>
              <w:rPr>
                <w:rFonts w:hint="eastAsia" w:ascii="宋体" w:hAnsi="宋体" w:eastAsia="宋体" w:cs="宋体"/>
                <w:color w:val="auto"/>
                <w:sz w:val="24"/>
                <w:szCs w:val="24"/>
                <w:highlight w:val="none"/>
              </w:rPr>
              <w:t>预防工作。</w:t>
            </w:r>
            <w:r>
              <w:rPr>
                <w:rFonts w:hint="eastAsia" w:ascii="宋体" w:hAnsi="宋体" w:eastAsia="宋体" w:cs="宋体"/>
                <w:i w:val="0"/>
                <w:color w:val="auto"/>
                <w:kern w:val="0"/>
                <w:sz w:val="24"/>
                <w:szCs w:val="24"/>
                <w:highlight w:val="none"/>
                <w:lang w:val="en-US" w:eastAsia="zh-CN" w:bidi="ar"/>
              </w:rPr>
              <w:t>方案全面科学合理可行性高得</w:t>
            </w:r>
            <w:r>
              <w:rPr>
                <w:rFonts w:hint="eastAsia" w:ascii="宋体" w:hAnsi="宋体" w:cs="宋体"/>
                <w:i w:val="0"/>
                <w:color w:val="auto"/>
                <w:kern w:val="0"/>
                <w:sz w:val="24"/>
                <w:szCs w:val="24"/>
                <w:highlight w:val="none"/>
                <w:lang w:val="en-US" w:eastAsia="zh-CN" w:bidi="ar"/>
              </w:rPr>
              <w:t>2</w:t>
            </w:r>
            <w:r>
              <w:rPr>
                <w:rFonts w:hint="eastAsia" w:ascii="宋体" w:hAnsi="宋体" w:eastAsia="宋体" w:cs="宋体"/>
                <w:i w:val="0"/>
                <w:color w:val="auto"/>
                <w:kern w:val="0"/>
                <w:sz w:val="24"/>
                <w:szCs w:val="24"/>
                <w:highlight w:val="none"/>
                <w:lang w:val="en-US" w:eastAsia="zh-CN" w:bidi="ar"/>
              </w:rPr>
              <w:t>-</w:t>
            </w:r>
            <w:r>
              <w:rPr>
                <w:rFonts w:hint="eastAsia" w:ascii="宋体" w:hAnsi="宋体" w:cs="宋体"/>
                <w:i w:val="0"/>
                <w:color w:val="auto"/>
                <w:kern w:val="0"/>
                <w:sz w:val="24"/>
                <w:szCs w:val="24"/>
                <w:highlight w:val="none"/>
                <w:lang w:val="en-US" w:eastAsia="zh-CN" w:bidi="ar"/>
              </w:rPr>
              <w:t>4</w:t>
            </w:r>
            <w:r>
              <w:rPr>
                <w:rFonts w:hint="eastAsia" w:ascii="宋体" w:hAnsi="宋体" w:eastAsia="宋体" w:cs="宋体"/>
                <w:i w:val="0"/>
                <w:color w:val="auto"/>
                <w:kern w:val="0"/>
                <w:sz w:val="24"/>
                <w:szCs w:val="24"/>
                <w:highlight w:val="none"/>
                <w:lang w:val="en-US" w:eastAsia="zh-CN" w:bidi="ar"/>
              </w:rPr>
              <w:t>分，方案全面科学合理可行性较高得</w:t>
            </w:r>
            <w:r>
              <w:rPr>
                <w:rFonts w:hint="eastAsia" w:ascii="宋体" w:hAnsi="宋体" w:cs="宋体"/>
                <w:i w:val="0"/>
                <w:color w:val="auto"/>
                <w:kern w:val="0"/>
                <w:sz w:val="24"/>
                <w:szCs w:val="24"/>
                <w:highlight w:val="none"/>
                <w:lang w:val="en-US" w:eastAsia="zh-CN" w:bidi="ar"/>
              </w:rPr>
              <w:t>1</w:t>
            </w:r>
            <w:r>
              <w:rPr>
                <w:rFonts w:hint="eastAsia" w:ascii="宋体" w:hAnsi="宋体" w:eastAsia="宋体" w:cs="宋体"/>
                <w:i w:val="0"/>
                <w:color w:val="auto"/>
                <w:kern w:val="0"/>
                <w:sz w:val="24"/>
                <w:szCs w:val="24"/>
                <w:highlight w:val="none"/>
                <w:lang w:val="en-US" w:eastAsia="zh-CN" w:bidi="ar"/>
              </w:rPr>
              <w:t>-</w:t>
            </w:r>
            <w:r>
              <w:rPr>
                <w:rFonts w:hint="eastAsia" w:ascii="宋体" w:hAnsi="宋体" w:cs="宋体"/>
                <w:i w:val="0"/>
                <w:color w:val="auto"/>
                <w:kern w:val="0"/>
                <w:sz w:val="24"/>
                <w:szCs w:val="24"/>
                <w:highlight w:val="none"/>
                <w:lang w:val="en-US" w:eastAsia="zh-CN" w:bidi="ar"/>
              </w:rPr>
              <w:t>1</w:t>
            </w:r>
            <w:r>
              <w:rPr>
                <w:rFonts w:hint="eastAsia" w:ascii="宋体" w:hAnsi="宋体" w:eastAsia="宋体" w:cs="宋体"/>
                <w:i w:val="0"/>
                <w:color w:val="auto"/>
                <w:kern w:val="0"/>
                <w:sz w:val="24"/>
                <w:szCs w:val="24"/>
                <w:highlight w:val="none"/>
                <w:lang w:val="en-US" w:eastAsia="zh-CN" w:bidi="ar"/>
              </w:rPr>
              <w:t>.9分，方案全面科学合理可行性一般得0-</w:t>
            </w:r>
            <w:r>
              <w:rPr>
                <w:rFonts w:hint="eastAsia" w:ascii="宋体" w:hAnsi="宋体" w:cs="宋体"/>
                <w:i w:val="0"/>
                <w:color w:val="auto"/>
                <w:kern w:val="0"/>
                <w:sz w:val="24"/>
                <w:szCs w:val="24"/>
                <w:highlight w:val="none"/>
                <w:lang w:val="en-US" w:eastAsia="zh-CN" w:bidi="ar"/>
              </w:rPr>
              <w:t>0</w:t>
            </w:r>
            <w:r>
              <w:rPr>
                <w:rFonts w:hint="eastAsia" w:ascii="宋体" w:hAnsi="宋体" w:eastAsia="宋体" w:cs="宋体"/>
                <w:i w:val="0"/>
                <w:color w:val="auto"/>
                <w:kern w:val="0"/>
                <w:sz w:val="24"/>
                <w:szCs w:val="24"/>
                <w:highlight w:val="none"/>
                <w:lang w:val="en-US" w:eastAsia="zh-CN" w:bidi="ar"/>
              </w:rPr>
              <w:t>.9分。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6" w:hRule="atLeast"/>
          <w:jc w:val="center"/>
        </w:trPr>
        <w:tc>
          <w:tcPr>
            <w:tcW w:w="588" w:type="dxa"/>
            <w:vMerge w:val="continue"/>
            <w:tcBorders>
              <w:left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lang w:eastAsia="zh-CN"/>
              </w:rPr>
            </w:pPr>
          </w:p>
        </w:tc>
        <w:tc>
          <w:tcPr>
            <w:tcW w:w="994" w:type="dxa"/>
            <w:vMerge w:val="continue"/>
            <w:tcBorders>
              <w:left w:val="nil"/>
              <w:right w:val="single" w:color="000000" w:sz="12"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tc>
        <w:tc>
          <w:tcPr>
            <w:tcW w:w="893" w:type="dxa"/>
            <w:vMerge w:val="continue"/>
            <w:tcBorders>
              <w:left w:val="single" w:color="auto" w:sz="12" w:space="0"/>
              <w:right w:val="single" w:color="auto"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p>
        </w:tc>
        <w:tc>
          <w:tcPr>
            <w:tcW w:w="604" w:type="dxa"/>
            <w:tcBorders>
              <w:top w:val="single" w:color="000000" w:sz="12" w:space="0"/>
              <w:left w:val="single" w:color="auto"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cs="宋体"/>
                <w:i w:val="0"/>
                <w:color w:val="auto"/>
                <w:kern w:val="0"/>
                <w:sz w:val="24"/>
                <w:szCs w:val="24"/>
                <w:highlight w:val="none"/>
                <w:lang w:val="en-US" w:eastAsia="zh-CN" w:bidi="ar"/>
              </w:rPr>
              <w:t>4</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color w:val="auto"/>
                <w:sz w:val="24"/>
                <w:szCs w:val="24"/>
                <w:highlight w:val="none"/>
              </w:rPr>
              <w:t>承诺承保期间现场核查赔付人数占当地工伤保险赔付总人数比例不低于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分，未承诺此项不得分</w:t>
            </w:r>
            <w:r>
              <w:rPr>
                <w:rFonts w:hint="eastAsia" w:ascii="宋体" w:hAnsi="宋体" w:eastAsia="宋体" w:cs="宋体"/>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jc w:val="center"/>
        </w:trPr>
        <w:tc>
          <w:tcPr>
            <w:tcW w:w="588" w:type="dxa"/>
            <w:vMerge w:val="continue"/>
            <w:tcBorders>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0"/>
                <w:sz w:val="24"/>
                <w:szCs w:val="24"/>
                <w:highlight w:val="none"/>
                <w:lang w:val="en-US" w:eastAsia="zh-CN" w:bidi="ar"/>
              </w:rPr>
            </w:pPr>
          </w:p>
        </w:tc>
        <w:tc>
          <w:tcPr>
            <w:tcW w:w="994" w:type="dxa"/>
            <w:vMerge w:val="continue"/>
            <w:tcBorders>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0"/>
                <w:sz w:val="24"/>
                <w:szCs w:val="24"/>
                <w:highlight w:val="none"/>
                <w:lang w:val="en-US" w:eastAsia="zh-CN" w:bidi="ar"/>
              </w:rPr>
            </w:pPr>
          </w:p>
        </w:tc>
        <w:tc>
          <w:tcPr>
            <w:tcW w:w="893" w:type="dxa"/>
            <w:vMerge w:val="continue"/>
            <w:tcBorders>
              <w:left w:val="single" w:color="auto" w:sz="12" w:space="0"/>
              <w:bottom w:val="single" w:color="000000" w:sz="12" w:space="0"/>
              <w:right w:val="single" w:color="auto"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0"/>
                <w:sz w:val="24"/>
                <w:szCs w:val="24"/>
                <w:highlight w:val="none"/>
                <w:lang w:val="en-US" w:eastAsia="zh-CN" w:bidi="ar"/>
              </w:rPr>
            </w:pPr>
          </w:p>
        </w:tc>
        <w:tc>
          <w:tcPr>
            <w:tcW w:w="604" w:type="dxa"/>
            <w:tcBorders>
              <w:top w:val="single" w:color="000000" w:sz="12"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0"/>
                <w:sz w:val="24"/>
                <w:szCs w:val="24"/>
                <w:highlight w:val="none"/>
                <w:lang w:val="en-US" w:eastAsia="zh-CN" w:bidi="ar"/>
              </w:rPr>
            </w:pPr>
            <w:r>
              <w:rPr>
                <w:rFonts w:hint="eastAsia" w:ascii="宋体" w:hAnsi="宋体" w:cs="宋体"/>
                <w:i w:val="0"/>
                <w:color w:val="auto"/>
                <w:kern w:val="0"/>
                <w:sz w:val="24"/>
                <w:szCs w:val="24"/>
                <w:highlight w:val="none"/>
                <w:lang w:val="en-US" w:eastAsia="zh-CN" w:bidi="ar"/>
              </w:rPr>
              <w:t>4</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auto"/>
                <w:kern w:val="0"/>
                <w:sz w:val="24"/>
                <w:szCs w:val="24"/>
                <w:highlight w:val="none"/>
                <w:lang w:val="en-US" w:eastAsia="zh-CN" w:bidi="ar"/>
              </w:rPr>
            </w:pPr>
            <w:r>
              <w:rPr>
                <w:rFonts w:hint="eastAsia" w:ascii="宋体" w:hAnsi="宋体" w:eastAsia="宋体" w:cs="宋体"/>
                <w:color w:val="auto"/>
                <w:sz w:val="24"/>
                <w:szCs w:val="24"/>
                <w:highlight w:val="none"/>
              </w:rPr>
              <w:t>承诺承保期间现场核查赔付金额占当地工伤保险赔付总金额比例不低于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分，未承诺此项不得分</w:t>
            </w:r>
            <w:r>
              <w:rPr>
                <w:rFonts w:hint="eastAsia" w:ascii="宋体" w:hAnsi="宋体" w:eastAsia="宋体" w:cs="宋体"/>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588"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i w:val="0"/>
                <w:color w:val="auto"/>
                <w:kern w:val="2"/>
                <w:sz w:val="24"/>
                <w:szCs w:val="24"/>
                <w:highlight w:val="none"/>
                <w:lang w:val="en-US"/>
              </w:rPr>
            </w:pPr>
            <w:r>
              <w:rPr>
                <w:rFonts w:hint="eastAsia" w:ascii="宋体" w:hAnsi="宋体" w:cs="宋体"/>
                <w:i w:val="0"/>
                <w:color w:val="auto"/>
                <w:kern w:val="0"/>
                <w:sz w:val="24"/>
                <w:szCs w:val="24"/>
                <w:highlight w:val="none"/>
                <w:lang w:val="en-US" w:eastAsia="zh-CN" w:bidi="ar"/>
              </w:rPr>
              <w:t>11</w:t>
            </w:r>
          </w:p>
        </w:tc>
        <w:tc>
          <w:tcPr>
            <w:tcW w:w="994"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报价部分（10分）</w:t>
            </w:r>
          </w:p>
        </w:tc>
        <w:tc>
          <w:tcPr>
            <w:tcW w:w="89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报价</w:t>
            </w:r>
          </w:p>
        </w:tc>
        <w:tc>
          <w:tcPr>
            <w:tcW w:w="604" w:type="dxa"/>
            <w:tcBorders>
              <w:top w:val="single" w:color="000000" w:sz="12"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auto"/>
                <w:kern w:val="2"/>
                <w:sz w:val="24"/>
                <w:szCs w:val="24"/>
                <w:highlight w:val="none"/>
              </w:rPr>
            </w:pPr>
            <w:r>
              <w:rPr>
                <w:rFonts w:hint="eastAsia" w:ascii="宋体" w:hAnsi="宋体" w:eastAsia="宋体" w:cs="宋体"/>
                <w:i w:val="0"/>
                <w:color w:val="auto"/>
                <w:kern w:val="0"/>
                <w:sz w:val="24"/>
                <w:szCs w:val="24"/>
                <w:highlight w:val="none"/>
                <w:lang w:val="en-US" w:eastAsia="zh-CN" w:bidi="ar"/>
              </w:rPr>
              <w:t>10</w:t>
            </w:r>
          </w:p>
        </w:tc>
        <w:tc>
          <w:tcPr>
            <w:tcW w:w="5816"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eastAsia="宋体"/>
                <w:color w:val="auto"/>
                <w:highlight w:val="none"/>
                <w:lang w:eastAsia="zh-CN"/>
              </w:rPr>
            </w:pPr>
            <w:r>
              <w:rPr>
                <w:rFonts w:hint="eastAsia" w:ascii="宋体" w:hAnsi="宋体" w:eastAsia="宋体" w:cs="宋体"/>
                <w:color w:val="auto"/>
                <w:sz w:val="24"/>
                <w:szCs w:val="24"/>
                <w:highlight w:val="none"/>
                <w:lang w:val="en-US" w:eastAsia="zh-CN"/>
              </w:rPr>
              <w:t>采用低价优先法计算，即满足招标文件要求且最低的投标报价为评标基准价，其价格分为满分。其他报价得分= (评标基准价/投标报价)×10%×100。</w:t>
            </w:r>
          </w:p>
        </w:tc>
      </w:tr>
    </w:tbl>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ascii="宋体" w:hAnsi="宋体" w:cs="宋体"/>
          <w:b/>
          <w:bCs/>
          <w:color w:val="auto"/>
          <w:sz w:val="36"/>
          <w:szCs w:val="36"/>
          <w:highlight w:val="none"/>
          <w:lang w:val="en-US" w:eastAsia="zh-CN"/>
        </w:rPr>
      </w:pPr>
    </w:p>
    <w:p>
      <w:pPr>
        <w:spacing w:line="360" w:lineRule="auto"/>
        <w:jc w:val="center"/>
        <w:rPr>
          <w:rFonts w:hint="eastAsia"/>
          <w:color w:val="auto"/>
          <w:highlight w:val="none"/>
        </w:rPr>
      </w:pPr>
      <w:r>
        <w:rPr>
          <w:rFonts w:hint="eastAsia" w:ascii="宋体" w:hAnsi="宋体" w:cs="宋体"/>
          <w:b/>
          <w:bCs/>
          <w:color w:val="auto"/>
          <w:sz w:val="36"/>
          <w:szCs w:val="36"/>
          <w:highlight w:val="none"/>
          <w:lang w:val="en-US" w:eastAsia="zh-CN"/>
        </w:rPr>
        <w:t xml:space="preserve">第四章  </w:t>
      </w:r>
      <w:r>
        <w:rPr>
          <w:rFonts w:hint="eastAsia" w:ascii="宋体" w:hAnsi="宋体" w:cs="宋体"/>
          <w:b/>
          <w:bCs/>
          <w:color w:val="auto"/>
          <w:sz w:val="36"/>
          <w:szCs w:val="36"/>
          <w:highlight w:val="none"/>
        </w:rPr>
        <w:t>公开招标需求</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p>
    <w:p>
      <w:pPr>
        <w:pageBreakBefore w:val="0"/>
        <w:kinsoku/>
        <w:wordWrap/>
        <w:overflowPunct/>
        <w:topLinePunct w:val="0"/>
        <w:bidi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一、招标项目一览表</w:t>
      </w:r>
    </w:p>
    <w:p>
      <w:pPr>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个标段，具体内容如下表：</w:t>
      </w:r>
    </w:p>
    <w:tbl>
      <w:tblPr>
        <w:tblStyle w:val="25"/>
        <w:tblW w:w="914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399"/>
        <w:gridCol w:w="830"/>
        <w:gridCol w:w="1188"/>
        <w:gridCol w:w="265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right"/>
        </w:trPr>
        <w:tc>
          <w:tcPr>
            <w:tcW w:w="705"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w:t>
            </w:r>
          </w:p>
        </w:tc>
        <w:tc>
          <w:tcPr>
            <w:tcW w:w="2399"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830"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188"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预算价/最高限价</w:t>
            </w:r>
          </w:p>
        </w:tc>
        <w:tc>
          <w:tcPr>
            <w:tcW w:w="2659"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服务期</w:t>
            </w:r>
          </w:p>
        </w:tc>
        <w:tc>
          <w:tcPr>
            <w:tcW w:w="1368"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jc w:val="right"/>
        </w:trPr>
        <w:tc>
          <w:tcPr>
            <w:tcW w:w="705"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99"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eastAsia="zh-CN"/>
              </w:rPr>
              <w:t>工伤保险业务服务委托商业保险公司协助经办和运营管理项目</w:t>
            </w:r>
          </w:p>
        </w:tc>
        <w:tc>
          <w:tcPr>
            <w:tcW w:w="830"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三年</w:t>
            </w:r>
          </w:p>
        </w:tc>
        <w:tc>
          <w:tcPr>
            <w:tcW w:w="1188"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5700000</w:t>
            </w:r>
          </w:p>
        </w:tc>
        <w:tc>
          <w:tcPr>
            <w:tcW w:w="2659"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3年（202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月1日-202</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日）</w:t>
            </w:r>
          </w:p>
        </w:tc>
        <w:tc>
          <w:tcPr>
            <w:tcW w:w="1368" w:type="dxa"/>
            <w:vAlign w:val="center"/>
          </w:tcPr>
          <w:p>
            <w:pPr>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具体详见招标需求</w:t>
            </w:r>
          </w:p>
        </w:tc>
      </w:tr>
    </w:tbl>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cs="宋体"/>
          <w:bCs/>
          <w:color w:val="auto"/>
          <w:sz w:val="24"/>
          <w:szCs w:val="24"/>
          <w:highlight w:val="none"/>
          <w:lang w:val="en-US" w:eastAsia="zh-CN"/>
        </w:rPr>
      </w:pPr>
      <w:r>
        <w:rPr>
          <w:rFonts w:hint="eastAsia" w:cs="宋体"/>
          <w:bCs/>
          <w:color w:val="auto"/>
          <w:sz w:val="24"/>
          <w:szCs w:val="24"/>
          <w:highlight w:val="none"/>
          <w:lang w:val="en-US" w:eastAsia="zh-CN"/>
        </w:rPr>
        <w:t>注：1、服务期三年，费用分年结算，预算190万元/每年，后续年份的预算在当年专项资金到位后执行。</w:t>
      </w: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b/>
          <w:color w:val="auto"/>
          <w:sz w:val="24"/>
          <w:szCs w:val="24"/>
          <w:highlight w:val="none"/>
          <w:lang w:val="en-US"/>
        </w:rPr>
      </w:pPr>
      <w:r>
        <w:rPr>
          <w:rFonts w:hint="eastAsia" w:cs="宋体"/>
          <w:bCs/>
          <w:color w:val="auto"/>
          <w:sz w:val="24"/>
          <w:szCs w:val="24"/>
          <w:highlight w:val="none"/>
          <w:lang w:val="en-US" w:eastAsia="zh-CN"/>
        </w:rPr>
        <w:t>2、投标人以明显低于合理价格中标的（投标价低于预算价10%及以上），年度盈亏结算过程中，超出10%以上部分，由中标人全额承担。</w:t>
      </w:r>
    </w:p>
    <w:p>
      <w:pPr>
        <w:pStyle w:val="1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二、具体技术需求</w:t>
      </w:r>
      <w:r>
        <w:rPr>
          <w:rFonts w:hint="eastAsia" w:ascii="宋体" w:hAnsi="宋体" w:eastAsia="宋体" w:cs="宋体"/>
          <w:color w:val="auto"/>
          <w:sz w:val="24"/>
          <w:szCs w:val="24"/>
          <w:highlight w:val="none"/>
        </w:rPr>
        <w:t xml:space="preserve"> </w:t>
      </w:r>
    </w:p>
    <w:p>
      <w:pPr>
        <w:autoSpaceDE w:val="0"/>
        <w:autoSpaceDN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w:t>
      </w:r>
      <w:r>
        <w:rPr>
          <w:rFonts w:hint="eastAsia" w:ascii="宋体" w:hAnsi="宋体" w:cs="宋体"/>
          <w:b/>
          <w:bCs/>
          <w:color w:val="auto"/>
          <w:kern w:val="0"/>
          <w:sz w:val="24"/>
          <w:highlight w:val="none"/>
          <w:lang w:val="en-US" w:eastAsia="zh-CN"/>
        </w:rPr>
        <w:t>工伤保险责任</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ascii="宋体" w:hAnsi="宋体" w:eastAsia="宋体" w:cs="宋体"/>
          <w:color w:val="auto"/>
          <w:kern w:val="0"/>
          <w:sz w:val="24"/>
          <w:highlight w:val="none"/>
          <w:lang w:val="zh-CN"/>
        </w:rPr>
        <w:t>工伤保险是指</w:t>
      </w:r>
      <w:r>
        <w:rPr>
          <w:rFonts w:hint="eastAsia" w:ascii="宋体" w:hAnsi="宋体" w:eastAsia="宋体" w:cs="宋体"/>
          <w:color w:val="auto"/>
          <w:kern w:val="0"/>
          <w:sz w:val="24"/>
          <w:highlight w:val="none"/>
          <w:lang w:val="zh-CN"/>
        </w:rPr>
        <w:t>劳动者因工作原因遭受伤害或者患职业病，并由此造成暂时或者永久丧失劳动能力、死亡时，从工伤保险基金获得法定的治疗、康复所需费</w:t>
      </w:r>
      <w:r>
        <w:rPr>
          <w:rFonts w:ascii="宋体" w:hAnsi="宋体" w:eastAsia="宋体" w:cs="宋体"/>
          <w:color w:val="auto"/>
          <w:kern w:val="0"/>
          <w:sz w:val="24"/>
          <w:highlight w:val="none"/>
          <w:lang w:val="zh-CN"/>
        </w:rPr>
        <w:t>用</w:t>
      </w:r>
      <w:r>
        <w:rPr>
          <w:rFonts w:hint="eastAsia" w:ascii="宋体" w:hAnsi="宋体" w:eastAsia="宋体" w:cs="宋体"/>
          <w:color w:val="auto"/>
          <w:kern w:val="0"/>
          <w:sz w:val="24"/>
          <w:highlight w:val="none"/>
          <w:lang w:val="zh-CN"/>
        </w:rPr>
        <w:t>，或者给予职工及其供养人员必要经济补偿和生活费</w:t>
      </w:r>
      <w:r>
        <w:rPr>
          <w:rFonts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rPr>
        <w:t>具体赔付范围</w:t>
      </w:r>
      <w:r>
        <w:rPr>
          <w:rFonts w:ascii="宋体" w:hAnsi="宋体" w:eastAsia="宋体" w:cs="宋体"/>
          <w:color w:val="auto"/>
          <w:kern w:val="0"/>
          <w:sz w:val="24"/>
          <w:highlight w:val="none"/>
          <w:lang w:val="zh-CN"/>
        </w:rPr>
        <w:t>为符合工伤保险待遇支付的各项费用。</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该项目的责任范围按《工伤保险条例》（国务院令第586号）、《社会保险基金行政监督办法》（人力资源和社会保障部令第48号）、《浙江省工伤保险条例》（省人大常委会公告第64号）及相关配套文件等规定执行。工伤保险新法律、法规、政策出台，按新法律、法规、政策规定执行。</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lang w:val="zh-CN"/>
        </w:rPr>
        <w:t>总体说明</w:t>
      </w:r>
    </w:p>
    <w:p>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台州市路桥区工伤保险业务协助经办政府购买服务项目将按照平等投标、公开评标、择优定标的原则，以公开招标的方式确定一家具备健康保险经营资质的商业保险机构承办202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-202</w:t>
      </w:r>
      <w:r>
        <w:rPr>
          <w:rFonts w:ascii="宋体" w:hAnsi="宋体" w:eastAsia="宋体" w:cs="宋体"/>
          <w:color w:val="auto"/>
          <w:kern w:val="0"/>
          <w:sz w:val="24"/>
          <w:highlight w:val="none"/>
          <w:lang w:val="zh-CN"/>
        </w:rPr>
        <w:t>5</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月1日-202</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highlight w:val="none"/>
          <w:lang w:val="zh-CN"/>
        </w:rPr>
        <w:t>）工伤保险业务协助经办。</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路桥区</w:t>
      </w:r>
      <w:r>
        <w:rPr>
          <w:rFonts w:hint="eastAsia" w:ascii="宋体" w:hAnsi="宋体" w:eastAsia="宋体" w:cs="宋体"/>
          <w:color w:val="auto"/>
          <w:kern w:val="0"/>
          <w:sz w:val="24"/>
          <w:highlight w:val="none"/>
          <w:lang w:val="zh-CN"/>
        </w:rPr>
        <w:t>工伤保险相关业务基本情况：</w:t>
      </w:r>
    </w:p>
    <w:tbl>
      <w:tblPr>
        <w:tblStyle w:val="25"/>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852"/>
        <w:gridCol w:w="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07" w:type="dxa"/>
            <w:noWrap w:val="0"/>
            <w:vAlign w:val="center"/>
          </w:tcPr>
          <w:p>
            <w:pPr>
              <w:autoSpaceDE w:val="0"/>
              <w:autoSpaceDN w:val="0"/>
              <w:spacing w:line="36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年度</w:t>
            </w:r>
          </w:p>
        </w:tc>
        <w:tc>
          <w:tcPr>
            <w:tcW w:w="2852" w:type="dxa"/>
            <w:noWrap w:val="0"/>
            <w:vAlign w:val="center"/>
          </w:tcPr>
          <w:p>
            <w:pPr>
              <w:autoSpaceDE w:val="0"/>
              <w:autoSpaceDN w:val="0"/>
              <w:spacing w:line="36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工伤认定数量（件）</w:t>
            </w:r>
          </w:p>
        </w:tc>
        <w:tc>
          <w:tcPr>
            <w:tcW w:w="3920" w:type="dxa"/>
            <w:noWrap w:val="0"/>
            <w:vAlign w:val="center"/>
          </w:tcPr>
          <w:p>
            <w:pPr>
              <w:autoSpaceDE w:val="0"/>
              <w:autoSpaceDN w:val="0"/>
              <w:spacing w:line="36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劳动能力鉴定上门服务数量（人）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07" w:type="dxa"/>
            <w:noWrap w:val="0"/>
            <w:vAlign w:val="top"/>
          </w:tcPr>
          <w:p>
            <w:pPr>
              <w:autoSpaceDE w:val="0"/>
              <w:autoSpaceDN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2019</w:t>
            </w:r>
          </w:p>
        </w:tc>
        <w:tc>
          <w:tcPr>
            <w:tcW w:w="2852" w:type="dxa"/>
            <w:noWrap w:val="0"/>
            <w:vAlign w:val="top"/>
          </w:tcPr>
          <w:p>
            <w:pPr>
              <w:autoSpaceDE w:val="0"/>
              <w:autoSpaceDN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1897</w:t>
            </w:r>
          </w:p>
        </w:tc>
        <w:tc>
          <w:tcPr>
            <w:tcW w:w="3920" w:type="dxa"/>
            <w:noWrap w:val="0"/>
            <w:vAlign w:val="top"/>
          </w:tcPr>
          <w:p>
            <w:pPr>
              <w:autoSpaceDE w:val="0"/>
              <w:autoSpaceDN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07" w:type="dxa"/>
            <w:noWrap w:val="0"/>
            <w:vAlign w:val="top"/>
          </w:tcPr>
          <w:p>
            <w:pPr>
              <w:autoSpaceDE w:val="0"/>
              <w:autoSpaceDN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20</w:t>
            </w:r>
            <w:r>
              <w:rPr>
                <w:rFonts w:hint="eastAsia" w:ascii="宋体" w:hAnsi="宋体" w:eastAsia="宋体" w:cs="宋体"/>
                <w:color w:val="auto"/>
                <w:kern w:val="0"/>
                <w:sz w:val="24"/>
                <w:highlight w:val="none"/>
                <w:lang w:val="en-US" w:eastAsia="zh-CN"/>
              </w:rPr>
              <w:t>20</w:t>
            </w:r>
          </w:p>
        </w:tc>
        <w:tc>
          <w:tcPr>
            <w:tcW w:w="2852" w:type="dxa"/>
            <w:noWrap w:val="0"/>
            <w:vAlign w:val="top"/>
          </w:tcPr>
          <w:p>
            <w:pPr>
              <w:autoSpaceDE w:val="0"/>
              <w:autoSpaceDN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2106</w:t>
            </w:r>
          </w:p>
        </w:tc>
        <w:tc>
          <w:tcPr>
            <w:tcW w:w="3920" w:type="dxa"/>
            <w:noWrap w:val="0"/>
            <w:vAlign w:val="top"/>
          </w:tcPr>
          <w:p>
            <w:pPr>
              <w:autoSpaceDE w:val="0"/>
              <w:autoSpaceDN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jc w:val="center"/>
        </w:trPr>
        <w:tc>
          <w:tcPr>
            <w:tcW w:w="1207" w:type="dxa"/>
            <w:noWrap w:val="0"/>
            <w:vAlign w:val="top"/>
          </w:tcPr>
          <w:p>
            <w:pPr>
              <w:autoSpaceDE w:val="0"/>
              <w:autoSpaceDN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20</w:t>
            </w:r>
            <w:r>
              <w:rPr>
                <w:rFonts w:hint="eastAsia" w:ascii="宋体" w:hAnsi="宋体" w:eastAsia="宋体" w:cs="宋体"/>
                <w:color w:val="auto"/>
                <w:kern w:val="0"/>
                <w:sz w:val="24"/>
                <w:highlight w:val="none"/>
                <w:lang w:val="en-US" w:eastAsia="zh-CN"/>
              </w:rPr>
              <w:t>21</w:t>
            </w:r>
          </w:p>
        </w:tc>
        <w:tc>
          <w:tcPr>
            <w:tcW w:w="2852" w:type="dxa"/>
            <w:noWrap w:val="0"/>
            <w:vAlign w:val="top"/>
          </w:tcPr>
          <w:p>
            <w:pPr>
              <w:autoSpaceDE w:val="0"/>
              <w:autoSpaceDN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2806</w:t>
            </w:r>
          </w:p>
        </w:tc>
        <w:tc>
          <w:tcPr>
            <w:tcW w:w="3920" w:type="dxa"/>
            <w:noWrap w:val="0"/>
            <w:vAlign w:val="top"/>
          </w:tcPr>
          <w:p>
            <w:pPr>
              <w:autoSpaceDE w:val="0"/>
              <w:autoSpaceDN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r>
    </w:tbl>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路桥区</w:t>
      </w:r>
      <w:r>
        <w:rPr>
          <w:rFonts w:hint="eastAsia" w:ascii="宋体" w:hAnsi="宋体" w:eastAsia="宋体" w:cs="宋体"/>
          <w:color w:val="auto"/>
          <w:kern w:val="0"/>
          <w:sz w:val="24"/>
          <w:highlight w:val="none"/>
          <w:lang w:val="zh-CN"/>
        </w:rPr>
        <w:t>参加工伤保险的</w:t>
      </w:r>
      <w:r>
        <w:rPr>
          <w:rFonts w:hint="eastAsia" w:ascii="宋体" w:hAnsi="宋体" w:eastAsia="宋体" w:cs="宋体"/>
          <w:color w:val="auto"/>
          <w:kern w:val="0"/>
          <w:sz w:val="24"/>
          <w:highlight w:val="none"/>
          <w:lang w:val="en-US" w:eastAsia="zh-CN"/>
        </w:rPr>
        <w:t>单位16329户</w:t>
      </w:r>
      <w:r>
        <w:rPr>
          <w:rFonts w:hint="eastAsia" w:ascii="宋体" w:hAnsi="宋体" w:eastAsia="宋体" w:cs="宋体"/>
          <w:color w:val="auto"/>
          <w:kern w:val="0"/>
          <w:sz w:val="24"/>
          <w:highlight w:val="none"/>
          <w:lang w:val="zh-CN"/>
        </w:rPr>
        <w:t>，规模以上企业</w:t>
      </w:r>
      <w:r>
        <w:rPr>
          <w:rFonts w:hint="eastAsia" w:ascii="宋体" w:hAnsi="宋体" w:eastAsia="宋体" w:cs="宋体"/>
          <w:color w:val="auto"/>
          <w:kern w:val="0"/>
          <w:sz w:val="24"/>
          <w:highlight w:val="none"/>
          <w:lang w:val="en-US" w:eastAsia="zh-CN"/>
        </w:rPr>
        <w:t>380</w:t>
      </w:r>
      <w:r>
        <w:rPr>
          <w:rFonts w:hint="eastAsia" w:ascii="宋体" w:hAnsi="宋体" w:eastAsia="宋体" w:cs="宋体"/>
          <w:color w:val="auto"/>
          <w:kern w:val="0"/>
          <w:sz w:val="24"/>
          <w:highlight w:val="none"/>
          <w:lang w:val="zh-CN"/>
        </w:rPr>
        <w:t>家。</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lang w:val="zh-CN"/>
        </w:rPr>
        <w:t>.服务内容</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w:t>
      </w:r>
      <w:r>
        <w:rPr>
          <w:rFonts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zh-CN"/>
        </w:rPr>
        <w:t>协助做好工伤控费管理工作；</w:t>
      </w:r>
    </w:p>
    <w:p>
      <w:pPr>
        <w:autoSpaceDE w:val="0"/>
        <w:autoSpaceDN w:val="0"/>
        <w:spacing w:line="360" w:lineRule="auto"/>
        <w:rPr>
          <w:rFonts w:hint="eastAsia" w:ascii="宋体" w:hAnsi="宋体" w:eastAsia="宋体" w:cs="宋体"/>
          <w:color w:val="auto"/>
          <w:kern w:val="0"/>
          <w:sz w:val="24"/>
          <w:highlight w:val="none"/>
          <w:lang w:val="zh-CN"/>
        </w:rPr>
      </w:pPr>
      <w:r>
        <w:rPr>
          <w:rFonts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w:t>
      </w:r>
      <w:r>
        <w:rPr>
          <w:rFonts w:ascii="宋体" w:hAnsi="宋体" w:eastAsia="宋体" w:cs="宋体"/>
          <w:color w:val="auto"/>
          <w:kern w:val="0"/>
          <w:sz w:val="24"/>
          <w:highlight w:val="none"/>
          <w:lang w:val="zh-CN"/>
        </w:rPr>
        <w:t xml:space="preserve">2 </w:t>
      </w:r>
      <w:r>
        <w:rPr>
          <w:rFonts w:hint="eastAsia" w:ascii="宋体" w:hAnsi="宋体" w:eastAsia="宋体" w:cs="宋体"/>
          <w:color w:val="auto"/>
          <w:kern w:val="0"/>
          <w:sz w:val="24"/>
          <w:highlight w:val="none"/>
          <w:lang w:val="zh-CN"/>
        </w:rPr>
        <w:t>协助做好数据化便民举措实施；</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w:t>
      </w:r>
      <w:r>
        <w:rPr>
          <w:rFonts w:ascii="宋体" w:hAnsi="宋体" w:eastAsia="宋体" w:cs="宋体"/>
          <w:color w:val="auto"/>
          <w:kern w:val="0"/>
          <w:sz w:val="24"/>
          <w:highlight w:val="none"/>
          <w:lang w:val="zh-CN"/>
        </w:rPr>
        <w:t>3</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协助做好工伤事故调查核实工作，协助做好工伤保险和工伤预防的政策宣传、培训工作，配合劳动能力鉴定上门服务有关工作；</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w:t>
      </w:r>
      <w:r>
        <w:rPr>
          <w:rFonts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lang w:val="zh-CN"/>
        </w:rPr>
        <w:t>按要求向人力社保部门选派</w:t>
      </w:r>
      <w:r>
        <w:rPr>
          <w:rFonts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val="zh-CN"/>
        </w:rPr>
        <w:t>名专业工作人员，要求：具有大学以上学历，专业以社会保障、医学、法律为主，具有三年以上驾龄且近三年无发生重大交通事故的不少于</w:t>
      </w:r>
      <w:r>
        <w:rPr>
          <w:rFonts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lang w:val="zh-CN"/>
        </w:rPr>
        <w:t>人，平均年龄在35周岁以下，从事事故理赔调查工作年限平均不少于2年；平均薪酬（不含五险一金单位缴费部分）不低于上年度台州市在岗职工平均工资水平；</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w:t>
      </w:r>
      <w:r>
        <w:rPr>
          <w:rFonts w:ascii="宋体" w:hAnsi="宋体" w:eastAsia="宋体" w:cs="宋体"/>
          <w:color w:val="auto"/>
          <w:kern w:val="0"/>
          <w:sz w:val="24"/>
          <w:highlight w:val="none"/>
          <w:lang w:val="zh-CN"/>
        </w:rPr>
        <w:t>5</w:t>
      </w:r>
      <w:r>
        <w:rPr>
          <w:rFonts w:hint="eastAsia" w:ascii="宋体" w:hAnsi="宋体" w:eastAsia="宋体" w:cs="宋体"/>
          <w:color w:val="auto"/>
          <w:kern w:val="0"/>
          <w:sz w:val="24"/>
          <w:highlight w:val="none"/>
          <w:lang w:val="zh-CN"/>
        </w:rPr>
        <w:t>按人力社保部门的规定</w:t>
      </w:r>
      <w:r>
        <w:rPr>
          <w:rFonts w:hint="eastAsia" w:ascii="宋体" w:hAnsi="宋体" w:cs="宋体"/>
          <w:color w:val="auto"/>
          <w:kern w:val="0"/>
          <w:sz w:val="24"/>
          <w:highlight w:val="none"/>
          <w:lang w:val="zh-CN"/>
        </w:rPr>
        <w:t>协助</w:t>
      </w:r>
      <w:r>
        <w:rPr>
          <w:rFonts w:hint="eastAsia" w:ascii="宋体" w:hAnsi="宋体" w:eastAsia="宋体" w:cs="宋体"/>
          <w:color w:val="auto"/>
          <w:kern w:val="0"/>
          <w:sz w:val="24"/>
          <w:highlight w:val="none"/>
          <w:lang w:val="zh-CN"/>
        </w:rPr>
        <w:t>完成每一件工伤事故的调查核实，且区人力社保部门对案件评价合格率达到98%以上；每年度组织不少于</w:t>
      </w:r>
      <w:r>
        <w:rPr>
          <w:rFonts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zh-CN"/>
        </w:rPr>
        <w:t>次的工伤保险和工伤预防政策集中宣传培训活动；每年度做好不少于5次的配合劳动能力鉴定上门服务等有关工作。</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w:t>
      </w:r>
      <w:r>
        <w:rPr>
          <w:rFonts w:ascii="宋体" w:hAnsi="宋体" w:eastAsia="宋体" w:cs="宋体"/>
          <w:color w:val="auto"/>
          <w:kern w:val="0"/>
          <w:sz w:val="24"/>
          <w:highlight w:val="none"/>
          <w:lang w:val="zh-CN"/>
        </w:rPr>
        <w:t>6</w:t>
      </w:r>
      <w:r>
        <w:rPr>
          <w:rFonts w:hint="eastAsia" w:ascii="宋体" w:hAnsi="宋体" w:eastAsia="宋体" w:cs="宋体"/>
          <w:color w:val="auto"/>
          <w:kern w:val="0"/>
          <w:sz w:val="24"/>
          <w:highlight w:val="none"/>
          <w:lang w:val="zh-CN"/>
        </w:rPr>
        <w:t>提供工伤调查需要的车辆</w:t>
      </w:r>
      <w:r>
        <w:rPr>
          <w:rFonts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lang w:val="zh-CN"/>
        </w:rPr>
        <w:t>台（车辆行驶里程要求在10万公里以内）和符合需求的相应办公设备；</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w:t>
      </w:r>
      <w:r>
        <w:rPr>
          <w:rFonts w:ascii="宋体" w:hAnsi="宋体" w:eastAsia="宋体" w:cs="宋体"/>
          <w:color w:val="auto"/>
          <w:kern w:val="0"/>
          <w:sz w:val="24"/>
          <w:highlight w:val="none"/>
          <w:lang w:val="zh-CN"/>
        </w:rPr>
        <w:t>7</w:t>
      </w:r>
      <w:r>
        <w:rPr>
          <w:rFonts w:hint="eastAsia" w:ascii="宋体" w:hAnsi="宋体" w:eastAsia="宋体" w:cs="宋体"/>
          <w:color w:val="auto"/>
          <w:kern w:val="0"/>
          <w:sz w:val="24"/>
          <w:highlight w:val="none"/>
          <w:lang w:val="zh-CN"/>
        </w:rPr>
        <w:t>实现投标承诺中提供的延伸服务；</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w:t>
      </w:r>
      <w:r>
        <w:rPr>
          <w:rFonts w:ascii="宋体" w:hAnsi="宋体" w:eastAsia="宋体" w:cs="宋体"/>
          <w:color w:val="auto"/>
          <w:kern w:val="0"/>
          <w:sz w:val="24"/>
          <w:highlight w:val="none"/>
          <w:lang w:val="zh-CN"/>
        </w:rPr>
        <w:t>8</w:t>
      </w:r>
      <w:r>
        <w:rPr>
          <w:rFonts w:hint="eastAsia" w:ascii="宋体" w:hAnsi="宋体" w:eastAsia="宋体" w:cs="宋体"/>
          <w:color w:val="auto"/>
          <w:kern w:val="0"/>
          <w:sz w:val="24"/>
          <w:highlight w:val="none"/>
          <w:lang w:val="zh-CN"/>
        </w:rPr>
        <w:t>做好人力社保部门交办的其它工作；</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zh-CN"/>
        </w:rPr>
        <w:t>项目环境</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1工作环境：人力社保部门和中标单位双方采用合署办公的形式开展工伤保险业务协助经办工作，中标单位派出人员纳入中标单位和人力社保部门双重管理。人力社保部门为中标单位提供日常工作所需的办公坐席及业务操作规程，中标单位必须严格遵照执行。</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标单位按工作要求，建立专门的工伤保险业务协助经办管理机构，设有分管领导、专职联系人员，制定规范的内部工作制度和操作流程（派出人员日常所需办公设备、调查车辆及办公经费等由中标单位自行负责）。</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.2信息技术环境：中标单位应具备良好的信息支持能力，按照人力社保部门提供的业务经办系统和管理要求，确保服务项目内容录入及时、信息清晰、内容齐全；确保人力社保部门和个人信息安全保密。</w:t>
      </w:r>
    </w:p>
    <w:p>
      <w:pPr>
        <w:autoSpaceDE w:val="0"/>
        <w:autoSpaceDN w:val="0"/>
        <w:spacing w:line="360" w:lineRule="auto"/>
        <w:ind w:firstLine="480" w:firstLineChars="200"/>
        <w:rPr>
          <w:rFonts w:ascii="宋体" w:hAnsi="宋体" w:eastAsia="宋体" w:cs="宋体"/>
          <w:color w:val="auto"/>
          <w:kern w:val="0"/>
          <w:sz w:val="24"/>
          <w:highlight w:val="none"/>
          <w:lang w:val="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zh-CN"/>
        </w:rPr>
        <w:t>.项目考核</w:t>
      </w:r>
    </w:p>
    <w:p>
      <w:pPr>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标单位应建立考核评价制度，对工作人员日常的工作成效进行考评并建立考核结果的台账。人力社保部门对中标单位日常工作开展情况进行全程监管，组织对中标单位工伤保险业务协助经办工作开展情况进行年终考核。因中标单位违规操作、审核不严造成社保基金损失的，中标单位要承担相应的经济和法律责任。中标单位在服务评分标准中承诺的各项服务以及在投标书中承诺的合作支持等内容，将列为合作的履约必要条款，并作为考核中标单位年度业绩情况的依据之一，如在年度考核中未达到承诺要求时，根据考核办法扣减相应服务费用。</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val="zh-CN"/>
        </w:rPr>
        <w:t>其它服务要求</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本项目按照平等投标、公开评标、择优定标的原则，以公开招标的方式确定一家商业保险机构承办本保险项目。</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中标人配合采购人做好工伤保险政策宣传工作。</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中标人对工伤保险业务的资料、信息操作系统必须落实安全和保密责任，承诺所有涉及相关项目内容不用于其它领域。</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中标人需在网点设立专职经办人员，负责用人单位及职工工伤认定申请受理及解释等相关工作。</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4</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其他采购方要求的工伤保险业务。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7.合作方式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7.1 </w:t>
      </w:r>
      <w:r>
        <w:rPr>
          <w:rFonts w:hint="eastAsia" w:ascii="宋体" w:hAnsi="宋体" w:eastAsia="宋体" w:cs="宋体"/>
          <w:color w:val="auto"/>
          <w:sz w:val="24"/>
          <w:szCs w:val="24"/>
          <w:highlight w:val="none"/>
        </w:rPr>
        <w:t>本项目以政府购买服务的方式合作，</w:t>
      </w:r>
      <w:r>
        <w:rPr>
          <w:rFonts w:hint="eastAsia" w:ascii="宋体" w:hAnsi="宋体" w:cs="宋体"/>
          <w:color w:val="auto"/>
          <w:sz w:val="24"/>
          <w:szCs w:val="24"/>
          <w:highlight w:val="none"/>
          <w:lang w:val="en-US" w:eastAsia="zh-CN"/>
        </w:rPr>
        <w:t>合作期3年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年度考核结算与年度工伤结余率挂钩。</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采购人将工伤保险的预防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受理、结报、案件调查、数据分析、档案整理等内容委托商业保险公司参与的方式，其服务过程接受委托部门和相关部门的全程管理。</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en-US" w:eastAsia="zh-CN"/>
        </w:rPr>
        <w:t>7.</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lang w:val="zh-CN" w:eastAsia="zh-CN"/>
        </w:rPr>
        <w:t>工伤案件的具体经办流程（详见下表）：</w:t>
      </w:r>
    </w:p>
    <w:tbl>
      <w:tblPr>
        <w:tblStyle w:val="25"/>
        <w:tblW w:w="8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1056"/>
        <w:gridCol w:w="1984"/>
        <w:gridCol w:w="2550"/>
        <w:gridCol w:w="2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jc w:val="center"/>
        </w:trPr>
        <w:tc>
          <w:tcPr>
            <w:tcW w:w="893" w:type="dxa"/>
            <w:noWrap w:val="0"/>
            <w:vAlign w:val="top"/>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1056" w:type="dxa"/>
            <w:noWrap w:val="0"/>
            <w:vAlign w:val="top"/>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程序</w:t>
            </w:r>
          </w:p>
        </w:tc>
        <w:tc>
          <w:tcPr>
            <w:tcW w:w="1984" w:type="dxa"/>
            <w:noWrap w:val="0"/>
            <w:vAlign w:val="top"/>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2550" w:type="dxa"/>
            <w:noWrap w:val="0"/>
            <w:vAlign w:val="top"/>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承诺时效</w:t>
            </w:r>
          </w:p>
        </w:tc>
        <w:tc>
          <w:tcPr>
            <w:tcW w:w="2034" w:type="dxa"/>
            <w:noWrap w:val="0"/>
            <w:vAlign w:val="top"/>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8" w:hRule="atLeast"/>
          <w:jc w:val="center"/>
        </w:trPr>
        <w:tc>
          <w:tcPr>
            <w:tcW w:w="893"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05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申请受理</w:t>
            </w:r>
          </w:p>
        </w:tc>
        <w:tc>
          <w:tcPr>
            <w:tcW w:w="1984"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全区网点</w:t>
            </w:r>
          </w:p>
        </w:tc>
        <w:tc>
          <w:tcPr>
            <w:tcW w:w="2550"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收到申请材料经审核后5日内作出是否受理决定</w:t>
            </w:r>
          </w:p>
        </w:tc>
        <w:tc>
          <w:tcPr>
            <w:tcW w:w="2034"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按《工伤保险条例》、《浙江省工伤保险条例》及《工伤认定办法》等规定办理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2" w:hRule="atLeast"/>
          <w:jc w:val="center"/>
        </w:trPr>
        <w:tc>
          <w:tcPr>
            <w:tcW w:w="893" w:type="dxa"/>
            <w:vMerge w:val="restart"/>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056" w:type="dxa"/>
            <w:vMerge w:val="restart"/>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调查</w:t>
            </w:r>
          </w:p>
        </w:tc>
        <w:tc>
          <w:tcPr>
            <w:tcW w:w="1984"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事实清楚、权利义务明确的工伤案件</w:t>
            </w:r>
          </w:p>
        </w:tc>
        <w:tc>
          <w:tcPr>
            <w:tcW w:w="255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受理之日起7日内调查终结</w:t>
            </w:r>
          </w:p>
        </w:tc>
        <w:tc>
          <w:tcPr>
            <w:tcW w:w="2034" w:type="dxa"/>
            <w:vMerge w:val="restart"/>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特别重大、复杂疑难案件，经人力社保部门许可后可适当延长调查时限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jc w:val="center"/>
        </w:trPr>
        <w:tc>
          <w:tcPr>
            <w:tcW w:w="893" w:type="dxa"/>
            <w:vMerge w:val="continue"/>
            <w:noWrap w:val="0"/>
            <w:vAlign w:val="center"/>
          </w:tcPr>
          <w:p>
            <w:pPr>
              <w:keepNext w:val="0"/>
              <w:keepLines w:val="0"/>
              <w:pageBreakBefore w:val="0"/>
              <w:widowControl w:val="0"/>
              <w:kinsoku/>
              <w:wordWrap/>
              <w:overflowPunct/>
              <w:topLinePunct w:val="0"/>
              <w:autoSpaceDE w:val="0"/>
              <w:autoSpaceDN w:val="0"/>
              <w:bidi w:val="0"/>
              <w:snapToGrid/>
              <w:spacing w:line="360" w:lineRule="auto"/>
              <w:ind w:firstLine="480" w:firstLineChars="200"/>
              <w:jc w:val="center"/>
              <w:textAlignment w:val="auto"/>
              <w:rPr>
                <w:rFonts w:hint="eastAsia" w:ascii="宋体" w:hAnsi="宋体" w:eastAsia="宋体" w:cs="宋体"/>
                <w:color w:val="auto"/>
                <w:kern w:val="0"/>
                <w:sz w:val="24"/>
                <w:szCs w:val="24"/>
                <w:highlight w:val="none"/>
                <w:lang w:val="zh-CN"/>
              </w:rPr>
            </w:pPr>
          </w:p>
        </w:tc>
        <w:tc>
          <w:tcPr>
            <w:tcW w:w="1056" w:type="dxa"/>
            <w:vMerge w:val="continue"/>
            <w:noWrap w:val="0"/>
            <w:vAlign w:val="center"/>
          </w:tcPr>
          <w:p>
            <w:pPr>
              <w:keepNext w:val="0"/>
              <w:keepLines w:val="0"/>
              <w:pageBreakBefore w:val="0"/>
              <w:widowControl w:val="0"/>
              <w:kinsoku/>
              <w:wordWrap/>
              <w:overflowPunct/>
              <w:topLinePunct w:val="0"/>
              <w:autoSpaceDE w:val="0"/>
              <w:autoSpaceDN w:val="0"/>
              <w:bidi w:val="0"/>
              <w:snapToGrid/>
              <w:spacing w:line="360" w:lineRule="auto"/>
              <w:ind w:firstLine="480" w:firstLineChars="200"/>
              <w:jc w:val="center"/>
              <w:textAlignment w:val="auto"/>
              <w:rPr>
                <w:rFonts w:hint="eastAsia" w:ascii="宋体" w:hAnsi="宋体" w:eastAsia="宋体" w:cs="宋体"/>
                <w:color w:val="auto"/>
                <w:kern w:val="0"/>
                <w:sz w:val="24"/>
                <w:szCs w:val="24"/>
                <w:highlight w:val="none"/>
                <w:lang w:val="zh-CN"/>
              </w:rPr>
            </w:pPr>
          </w:p>
        </w:tc>
        <w:tc>
          <w:tcPr>
            <w:tcW w:w="1984"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重大及涉及死亡的工伤案件</w:t>
            </w:r>
          </w:p>
        </w:tc>
        <w:tc>
          <w:tcPr>
            <w:tcW w:w="2550"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受理之日起20日内调查终结</w:t>
            </w:r>
          </w:p>
        </w:tc>
        <w:tc>
          <w:tcPr>
            <w:tcW w:w="2034" w:type="dxa"/>
            <w:vMerge w:val="continue"/>
            <w:noWrap w:val="0"/>
            <w:vAlign w:val="center"/>
          </w:tcPr>
          <w:p>
            <w:pPr>
              <w:keepNext w:val="0"/>
              <w:keepLines w:val="0"/>
              <w:pageBreakBefore w:val="0"/>
              <w:widowControl w:val="0"/>
              <w:kinsoku/>
              <w:wordWrap/>
              <w:overflowPunct/>
              <w:topLinePunct w:val="0"/>
              <w:autoSpaceDE w:val="0"/>
              <w:autoSpaceDN w:val="0"/>
              <w:bidi w:val="0"/>
              <w:snapToGrid/>
              <w:spacing w:line="360" w:lineRule="auto"/>
              <w:ind w:firstLine="480" w:firstLineChars="200"/>
              <w:jc w:val="center"/>
              <w:textAlignment w:val="auto"/>
              <w:rPr>
                <w:rFonts w:hint="eastAsia" w:ascii="宋体" w:hAnsi="宋体" w:eastAsia="宋体" w:cs="宋体"/>
                <w:color w:val="auto"/>
                <w:kern w:val="0"/>
                <w:sz w:val="24"/>
                <w:szCs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jc w:val="center"/>
        </w:trPr>
        <w:tc>
          <w:tcPr>
            <w:tcW w:w="893" w:type="dxa"/>
            <w:vMerge w:val="restart"/>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w:t>
            </w:r>
          </w:p>
        </w:tc>
        <w:tc>
          <w:tcPr>
            <w:tcW w:w="1056" w:type="dxa"/>
            <w:vMerge w:val="restart"/>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认定</w:t>
            </w:r>
          </w:p>
        </w:tc>
        <w:tc>
          <w:tcPr>
            <w:tcW w:w="1984"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事实清楚、权利义务明确的工伤案件</w:t>
            </w:r>
          </w:p>
        </w:tc>
        <w:tc>
          <w:tcPr>
            <w:tcW w:w="255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调查终结后书面材料2日内报送社会保险行政部门，经业务科室审批后作出是否属于工伤的认定</w:t>
            </w:r>
          </w:p>
        </w:tc>
        <w:tc>
          <w:tcPr>
            <w:tcW w:w="2034"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按《工伤保险条例》、《浙江省工伤保险条例》及《工伤认定办法》等规定办理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4" w:hRule="atLeast"/>
          <w:jc w:val="center"/>
        </w:trPr>
        <w:tc>
          <w:tcPr>
            <w:tcW w:w="893" w:type="dxa"/>
            <w:vMerge w:val="continue"/>
            <w:noWrap w:val="0"/>
            <w:vAlign w:val="center"/>
          </w:tcPr>
          <w:p>
            <w:pPr>
              <w:keepNext w:val="0"/>
              <w:keepLines w:val="0"/>
              <w:pageBreakBefore w:val="0"/>
              <w:widowControl w:val="0"/>
              <w:kinsoku/>
              <w:wordWrap/>
              <w:overflowPunct/>
              <w:topLinePunct w:val="0"/>
              <w:autoSpaceDE w:val="0"/>
              <w:autoSpaceDN w:val="0"/>
              <w:bidi w:val="0"/>
              <w:snapToGrid/>
              <w:spacing w:line="360" w:lineRule="auto"/>
              <w:ind w:firstLine="480" w:firstLineChars="200"/>
              <w:jc w:val="center"/>
              <w:textAlignment w:val="auto"/>
              <w:rPr>
                <w:rFonts w:hint="eastAsia" w:ascii="宋体" w:hAnsi="宋体" w:eastAsia="宋体" w:cs="宋体"/>
                <w:color w:val="auto"/>
                <w:kern w:val="0"/>
                <w:sz w:val="24"/>
                <w:szCs w:val="24"/>
                <w:highlight w:val="none"/>
                <w:lang w:val="zh-CN"/>
              </w:rPr>
            </w:pPr>
          </w:p>
        </w:tc>
        <w:tc>
          <w:tcPr>
            <w:tcW w:w="1056" w:type="dxa"/>
            <w:vMerge w:val="continue"/>
            <w:noWrap w:val="0"/>
            <w:vAlign w:val="center"/>
          </w:tcPr>
          <w:p>
            <w:pPr>
              <w:keepNext w:val="0"/>
              <w:keepLines w:val="0"/>
              <w:pageBreakBefore w:val="0"/>
              <w:widowControl w:val="0"/>
              <w:kinsoku/>
              <w:wordWrap/>
              <w:overflowPunct/>
              <w:topLinePunct w:val="0"/>
              <w:autoSpaceDE w:val="0"/>
              <w:autoSpaceDN w:val="0"/>
              <w:bidi w:val="0"/>
              <w:snapToGrid/>
              <w:spacing w:line="360" w:lineRule="auto"/>
              <w:ind w:firstLine="480" w:firstLineChars="200"/>
              <w:jc w:val="center"/>
              <w:textAlignment w:val="auto"/>
              <w:rPr>
                <w:rFonts w:hint="eastAsia" w:ascii="宋体" w:hAnsi="宋体" w:eastAsia="宋体" w:cs="宋体"/>
                <w:color w:val="auto"/>
                <w:kern w:val="0"/>
                <w:sz w:val="24"/>
                <w:szCs w:val="24"/>
                <w:highlight w:val="none"/>
                <w:lang w:val="zh-CN"/>
              </w:rPr>
            </w:pPr>
          </w:p>
        </w:tc>
        <w:tc>
          <w:tcPr>
            <w:tcW w:w="1984"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重大及涉及死亡的工伤案件</w:t>
            </w:r>
          </w:p>
        </w:tc>
        <w:tc>
          <w:tcPr>
            <w:tcW w:w="2550"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调查终结后书面材料2日内报送社会保险行政部门，先经业务科室审核，再报请局分管领导审批后作出是否属于工伤的认定</w:t>
            </w:r>
          </w:p>
        </w:tc>
        <w:tc>
          <w:tcPr>
            <w:tcW w:w="2034"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按《工伤保险条例》、《浙江省工伤保险条例》及《工伤认定办法》等规定办理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0" w:hRule="atLeast"/>
          <w:jc w:val="center"/>
        </w:trPr>
        <w:tc>
          <w:tcPr>
            <w:tcW w:w="89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w:t>
            </w:r>
          </w:p>
        </w:tc>
        <w:tc>
          <w:tcPr>
            <w:tcW w:w="1056"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文书送达</w:t>
            </w:r>
          </w:p>
        </w:tc>
        <w:tc>
          <w:tcPr>
            <w:tcW w:w="1984"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《认定工伤决定书》、《不予认定工伤决定书》</w:t>
            </w:r>
          </w:p>
        </w:tc>
        <w:tc>
          <w:tcPr>
            <w:tcW w:w="255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决定作出之日起10日内</w:t>
            </w:r>
          </w:p>
        </w:tc>
        <w:tc>
          <w:tcPr>
            <w:tcW w:w="2034"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《工伤保险条例》、《浙江省工伤保险条例》及《工伤认定办法》等规定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jc w:val="center"/>
        </w:trPr>
        <w:tc>
          <w:tcPr>
            <w:tcW w:w="893"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w:t>
            </w:r>
          </w:p>
        </w:tc>
        <w:tc>
          <w:tcPr>
            <w:tcW w:w="1056"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其他</w:t>
            </w:r>
          </w:p>
        </w:tc>
        <w:tc>
          <w:tcPr>
            <w:tcW w:w="1984"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业务档案整理归档后由采购人保存</w:t>
            </w:r>
          </w:p>
        </w:tc>
        <w:tc>
          <w:tcPr>
            <w:tcW w:w="2550"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按月整理归档</w:t>
            </w:r>
          </w:p>
        </w:tc>
        <w:tc>
          <w:tcPr>
            <w:tcW w:w="2034"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配合行政复议、诉讼、追偿等</w:t>
            </w:r>
          </w:p>
        </w:tc>
      </w:tr>
    </w:tbl>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7.</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工伤保险待遇支付具体经办流程（详见下表）：</w:t>
      </w:r>
    </w:p>
    <w:tbl>
      <w:tblPr>
        <w:tblStyle w:val="25"/>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1056"/>
        <w:gridCol w:w="1984"/>
        <w:gridCol w:w="2550"/>
        <w:gridCol w:w="2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893" w:type="dxa"/>
            <w:noWrap w:val="0"/>
            <w:vAlign w:val="top"/>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1056" w:type="dxa"/>
            <w:noWrap w:val="0"/>
            <w:vAlign w:val="top"/>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程序</w:t>
            </w:r>
          </w:p>
        </w:tc>
        <w:tc>
          <w:tcPr>
            <w:tcW w:w="1984" w:type="dxa"/>
            <w:noWrap w:val="0"/>
            <w:vAlign w:val="top"/>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2550" w:type="dxa"/>
            <w:noWrap w:val="0"/>
            <w:vAlign w:val="top"/>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承诺内容</w:t>
            </w:r>
          </w:p>
        </w:tc>
        <w:tc>
          <w:tcPr>
            <w:tcW w:w="2034" w:type="dxa"/>
            <w:noWrap w:val="0"/>
            <w:vAlign w:val="top"/>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3" w:hRule="atLeast"/>
        </w:trPr>
        <w:tc>
          <w:tcPr>
            <w:tcW w:w="893"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05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受理</w:t>
            </w:r>
          </w:p>
        </w:tc>
        <w:tc>
          <w:tcPr>
            <w:tcW w:w="1984"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中标人网点及便民中心人社综合窗口</w:t>
            </w:r>
          </w:p>
        </w:tc>
        <w:tc>
          <w:tcPr>
            <w:tcW w:w="2550"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中标人网点收到申请资料登记受理次日统一送到社保待遇科。</w:t>
            </w:r>
          </w:p>
        </w:tc>
        <w:tc>
          <w:tcPr>
            <w:tcW w:w="2034"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现场受理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62" w:hRule="atLeast"/>
        </w:trPr>
        <w:tc>
          <w:tcPr>
            <w:tcW w:w="893"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05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初审</w:t>
            </w:r>
          </w:p>
        </w:tc>
        <w:tc>
          <w:tcPr>
            <w:tcW w:w="1984"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初审人员</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jc w:val="center"/>
              <w:textAlignment w:val="auto"/>
              <w:rPr>
                <w:rFonts w:hint="eastAsia" w:ascii="宋体" w:hAnsi="宋体" w:eastAsia="宋体" w:cs="宋体"/>
                <w:color w:val="auto"/>
                <w:kern w:val="0"/>
                <w:sz w:val="24"/>
                <w:szCs w:val="24"/>
                <w:highlight w:val="none"/>
                <w:lang w:val="zh-CN"/>
              </w:rPr>
            </w:pPr>
          </w:p>
        </w:tc>
        <w:tc>
          <w:tcPr>
            <w:tcW w:w="2550"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初审人员对各项诊疗费用及药品按照目录规定进行分类审核，根据政策规定，计算各项工伤保险待遇；经办人员将《工伤保险待遇申请表》、《工伤保险待遇核定表》、医疗发票和相关报销资料汇总并做好档案整理工作，按日生成《社会保险事业管理服务中心工伤保险待遇支付结算汇总表》，复核后经领导审批，交财务科支付。</w:t>
            </w:r>
          </w:p>
        </w:tc>
        <w:tc>
          <w:tcPr>
            <w:tcW w:w="2034"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受理之日起3个工作日内完成初审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2" w:hRule="atLeast"/>
        </w:trPr>
        <w:tc>
          <w:tcPr>
            <w:tcW w:w="893"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w:t>
            </w:r>
          </w:p>
        </w:tc>
        <w:tc>
          <w:tcPr>
            <w:tcW w:w="105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复审</w:t>
            </w:r>
          </w:p>
        </w:tc>
        <w:tc>
          <w:tcPr>
            <w:tcW w:w="1984"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复审人员</w:t>
            </w:r>
          </w:p>
        </w:tc>
        <w:tc>
          <w:tcPr>
            <w:tcW w:w="2550"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复审人员进行复核确认，进行系统录入，打印《工伤保险待遇核定表》。</w:t>
            </w:r>
          </w:p>
        </w:tc>
        <w:tc>
          <w:tcPr>
            <w:tcW w:w="2034"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初审完成之日起3个工作日内完成复审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1" w:hRule="atLeast"/>
        </w:trPr>
        <w:tc>
          <w:tcPr>
            <w:tcW w:w="89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w:t>
            </w:r>
          </w:p>
        </w:tc>
        <w:tc>
          <w:tcPr>
            <w:tcW w:w="1056"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审批</w:t>
            </w:r>
          </w:p>
        </w:tc>
        <w:tc>
          <w:tcPr>
            <w:tcW w:w="1984"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科室长（主持工作）审批，大金额由科室长（主持工作）、分管领导、主要领导逐级签字审批</w:t>
            </w:r>
          </w:p>
        </w:tc>
        <w:tc>
          <w:tcPr>
            <w:tcW w:w="255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交通事故（包括因交通事故肇事逃逸无法确定第三人）被认定为工伤的，医疗发票遗失及建筑工地农民工发生工伤后进行补报的等特殊情形，应严格按内控制度有关规定执行加强审核审批。</w:t>
            </w:r>
          </w:p>
        </w:tc>
        <w:tc>
          <w:tcPr>
            <w:tcW w:w="2034"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复审完成之日起3个工作日内完成审批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1" w:hRule="atLeast"/>
        </w:trPr>
        <w:tc>
          <w:tcPr>
            <w:tcW w:w="893"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w:t>
            </w:r>
          </w:p>
        </w:tc>
        <w:tc>
          <w:tcPr>
            <w:tcW w:w="1056"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其他</w:t>
            </w:r>
          </w:p>
        </w:tc>
        <w:tc>
          <w:tcPr>
            <w:tcW w:w="1984"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业务档案整理归档保存</w:t>
            </w:r>
          </w:p>
        </w:tc>
        <w:tc>
          <w:tcPr>
            <w:tcW w:w="2550"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审批后1个工作日内整理归档</w:t>
            </w:r>
          </w:p>
        </w:tc>
        <w:tc>
          <w:tcPr>
            <w:tcW w:w="2034"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配合相关科室行政复议、诉讼、追偿等。</w:t>
            </w:r>
          </w:p>
        </w:tc>
      </w:tr>
    </w:tbl>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lang w:val="zh-CN"/>
        </w:rPr>
        <w:t>2019-202</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val="zh-CN"/>
        </w:rPr>
        <w:t>年历史数据情况</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表：</w:t>
      </w:r>
      <w:r>
        <w:rPr>
          <w:rFonts w:hint="eastAsia" w:ascii="宋体" w:hAnsi="宋体" w:eastAsia="宋体" w:cs="宋体"/>
          <w:color w:val="auto"/>
          <w:kern w:val="0"/>
          <w:sz w:val="24"/>
          <w:szCs w:val="24"/>
          <w:highlight w:val="none"/>
          <w:lang w:val="zh-CN"/>
        </w:rPr>
        <w:t>近3年区工伤基金情况</w:t>
      </w:r>
    </w:p>
    <w:tbl>
      <w:tblPr>
        <w:tblStyle w:val="25"/>
        <w:tblW w:w="7998" w:type="dxa"/>
        <w:jc w:val="center"/>
        <w:tblLayout w:type="fixed"/>
        <w:tblCellMar>
          <w:top w:w="0" w:type="dxa"/>
          <w:left w:w="108" w:type="dxa"/>
          <w:bottom w:w="0" w:type="dxa"/>
          <w:right w:w="108" w:type="dxa"/>
        </w:tblCellMar>
      </w:tblPr>
      <w:tblGrid>
        <w:gridCol w:w="1543"/>
        <w:gridCol w:w="1967"/>
        <w:gridCol w:w="2323"/>
        <w:gridCol w:w="2165"/>
      </w:tblGrid>
      <w:tr>
        <w:trPr>
          <w:trHeight w:val="339"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年份</w:t>
            </w:r>
          </w:p>
        </w:tc>
        <w:tc>
          <w:tcPr>
            <w:tcW w:w="19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参保人数（万人）</w:t>
            </w:r>
          </w:p>
        </w:tc>
        <w:tc>
          <w:tcPr>
            <w:tcW w:w="2323" w:type="dxa"/>
            <w:tcBorders>
              <w:top w:val="single" w:color="auto" w:sz="4" w:space="0"/>
              <w:left w:val="nil"/>
              <w:bottom w:val="single" w:color="auto" w:sz="4" w:space="0"/>
              <w:right w:val="single" w:color="auto" w:sz="4" w:space="0"/>
            </w:tcBorders>
            <w:noWrap w:val="0"/>
            <w:vAlign w:val="center"/>
          </w:tcPr>
          <w:p>
            <w:pPr>
              <w:ind w:firstLine="480" w:firstLineChars="20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收入</w:t>
            </w:r>
            <w:r>
              <w:rPr>
                <w:rFonts w:hint="eastAsia" w:ascii="宋体" w:hAnsi="宋体" w:eastAsia="宋体" w:cs="宋体"/>
                <w:color w:val="auto"/>
                <w:kern w:val="0"/>
                <w:sz w:val="24"/>
                <w:szCs w:val="24"/>
                <w:highlight w:val="none"/>
                <w:lang w:val="zh-CN"/>
              </w:rPr>
              <w:t>（万元）</w:t>
            </w:r>
          </w:p>
        </w:tc>
        <w:tc>
          <w:tcPr>
            <w:tcW w:w="2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支出 (万元）</w:t>
            </w:r>
          </w:p>
        </w:tc>
      </w:tr>
      <w:tr>
        <w:trPr>
          <w:trHeight w:val="90" w:hRule="atLeast"/>
          <w:jc w:val="center"/>
        </w:trPr>
        <w:tc>
          <w:tcPr>
            <w:tcW w:w="15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2019年</w:t>
            </w:r>
          </w:p>
        </w:tc>
        <w:tc>
          <w:tcPr>
            <w:tcW w:w="19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23.6</w:t>
            </w:r>
          </w:p>
        </w:tc>
        <w:tc>
          <w:tcPr>
            <w:tcW w:w="232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4401.6</w:t>
            </w:r>
          </w:p>
        </w:tc>
        <w:tc>
          <w:tcPr>
            <w:tcW w:w="216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5401.6</w:t>
            </w:r>
          </w:p>
        </w:tc>
      </w:tr>
      <w:tr>
        <w:trPr>
          <w:trHeight w:val="90" w:hRule="atLeast"/>
          <w:jc w:val="center"/>
        </w:trPr>
        <w:tc>
          <w:tcPr>
            <w:tcW w:w="15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2020年</w:t>
            </w:r>
          </w:p>
        </w:tc>
        <w:tc>
          <w:tcPr>
            <w:tcW w:w="19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25.8</w:t>
            </w:r>
          </w:p>
        </w:tc>
        <w:tc>
          <w:tcPr>
            <w:tcW w:w="232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1869</w:t>
            </w:r>
          </w:p>
        </w:tc>
        <w:tc>
          <w:tcPr>
            <w:tcW w:w="216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7631.0</w:t>
            </w:r>
          </w:p>
        </w:tc>
      </w:tr>
      <w:tr>
        <w:trPr>
          <w:trHeight w:val="90" w:hRule="atLeast"/>
          <w:jc w:val="center"/>
        </w:trPr>
        <w:tc>
          <w:tcPr>
            <w:tcW w:w="15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2021年</w:t>
            </w:r>
          </w:p>
        </w:tc>
        <w:tc>
          <w:tcPr>
            <w:tcW w:w="19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24.0</w:t>
            </w:r>
          </w:p>
        </w:tc>
        <w:tc>
          <w:tcPr>
            <w:tcW w:w="232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6571.8</w:t>
            </w:r>
          </w:p>
        </w:tc>
        <w:tc>
          <w:tcPr>
            <w:tcW w:w="216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9872.5</w:t>
            </w:r>
          </w:p>
        </w:tc>
      </w:tr>
    </w:tbl>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b/>
          <w:bCs/>
          <w:color w:val="auto"/>
          <w:kern w:val="0"/>
          <w:sz w:val="24"/>
          <w:szCs w:val="24"/>
          <w:highlight w:val="none"/>
          <w:lang w:val="zh-CN"/>
        </w:rPr>
      </w:pP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三、商务需求</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1、服务期：</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月1日-202</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lang w:val="zh-CN"/>
        </w:rPr>
        <w:t>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2、</w:t>
      </w:r>
      <w:r>
        <w:rPr>
          <w:rFonts w:hint="eastAsia" w:ascii="宋体" w:hAnsi="宋体" w:eastAsia="宋体" w:cs="宋体"/>
          <w:b/>
          <w:bCs/>
          <w:color w:val="auto"/>
          <w:kern w:val="0"/>
          <w:sz w:val="24"/>
          <w:szCs w:val="24"/>
          <w:highlight w:val="none"/>
          <w:lang w:val="zh-CN" w:eastAsia="zh-CN"/>
        </w:rPr>
        <w:t>服务费</w:t>
      </w:r>
      <w:r>
        <w:rPr>
          <w:rFonts w:hint="eastAsia" w:ascii="宋体" w:hAnsi="宋体" w:eastAsia="宋体" w:cs="宋体"/>
          <w:b/>
          <w:bCs/>
          <w:color w:val="auto"/>
          <w:kern w:val="0"/>
          <w:sz w:val="24"/>
          <w:szCs w:val="24"/>
          <w:highlight w:val="none"/>
          <w:lang w:val="zh-CN"/>
        </w:rPr>
        <w:t>盈亏分摊及支付办法</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结余率=（当年预算支出-当年实际支出）÷当年预算支出×100％。</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当年预算支出依据上一年度工伤保险实际支出进行预设（含当年的自然增长率）。</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 该项目不论盈亏，采购人每年支付给中标人的基础服务费用为170万元；</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2.2 </w:t>
      </w:r>
      <w:r>
        <w:rPr>
          <w:rFonts w:hint="eastAsia" w:ascii="宋体" w:hAnsi="宋体" w:cs="宋体"/>
          <w:color w:val="auto"/>
          <w:sz w:val="24"/>
          <w:szCs w:val="24"/>
          <w:highlight w:val="none"/>
          <w:lang w:val="en-US" w:eastAsia="zh-CN"/>
        </w:rPr>
        <w:t>当结余率</w:t>
      </w:r>
      <w:r>
        <w:rPr>
          <w:rFonts w:hint="eastAsia" w:ascii="宋体" w:hAnsi="宋体" w:eastAsia="宋体" w:cs="宋体"/>
          <w:color w:val="auto"/>
          <w:sz w:val="24"/>
          <w:szCs w:val="24"/>
          <w:highlight w:val="none"/>
          <w:lang w:val="en-US" w:eastAsia="zh-CN"/>
        </w:rPr>
        <w:t>&lt;0%，中标人承担当年亏损部分的1%，采购人不需要支付盈利服务费用；当项目出现盈利时，盈利服务费用根据以下方式计算：</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当0%&lt;</w:t>
      </w:r>
      <w:r>
        <w:rPr>
          <w:rFonts w:hint="eastAsia" w:ascii="宋体" w:hAnsi="宋体" w:eastAsia="宋体" w:cs="宋体"/>
          <w:color w:val="auto"/>
          <w:sz w:val="24"/>
          <w:szCs w:val="24"/>
          <w:highlight w:val="none"/>
          <w:lang w:val="en-US"/>
        </w:rPr>
        <w:t>当年</w:t>
      </w:r>
      <w:r>
        <w:rPr>
          <w:rFonts w:hint="eastAsia" w:ascii="宋体" w:hAnsi="宋体" w:eastAsia="宋体" w:cs="宋体"/>
          <w:color w:val="auto"/>
          <w:sz w:val="24"/>
          <w:szCs w:val="24"/>
          <w:highlight w:val="none"/>
          <w:lang w:val="en-US" w:eastAsia="zh-CN"/>
        </w:rPr>
        <w:t>结余率≤5%时，采购人支付盈利服务费用5万*中标折扣率；</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当5%&lt;</w:t>
      </w:r>
      <w:r>
        <w:rPr>
          <w:rFonts w:hint="eastAsia" w:ascii="宋体" w:hAnsi="宋体" w:eastAsia="宋体" w:cs="宋体"/>
          <w:color w:val="auto"/>
          <w:sz w:val="24"/>
          <w:szCs w:val="24"/>
          <w:highlight w:val="none"/>
          <w:lang w:val="en-US"/>
        </w:rPr>
        <w:t>当年</w:t>
      </w:r>
      <w:r>
        <w:rPr>
          <w:rFonts w:hint="eastAsia" w:ascii="宋体" w:hAnsi="宋体" w:eastAsia="宋体" w:cs="宋体"/>
          <w:color w:val="auto"/>
          <w:sz w:val="24"/>
          <w:szCs w:val="24"/>
          <w:highlight w:val="none"/>
          <w:lang w:val="en-US" w:eastAsia="zh-CN"/>
        </w:rPr>
        <w:t>结余率≤10%时，采购人支付盈利服务费用10万*中标折扣率；</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当10%&lt;</w:t>
      </w:r>
      <w:r>
        <w:rPr>
          <w:rFonts w:hint="eastAsia" w:ascii="宋体" w:hAnsi="宋体" w:eastAsia="宋体" w:cs="宋体"/>
          <w:color w:val="auto"/>
          <w:sz w:val="24"/>
          <w:szCs w:val="24"/>
          <w:highlight w:val="none"/>
          <w:lang w:val="en-US"/>
        </w:rPr>
        <w:t>当年</w:t>
      </w:r>
      <w:r>
        <w:rPr>
          <w:rFonts w:hint="eastAsia" w:ascii="宋体" w:hAnsi="宋体" w:eastAsia="宋体" w:cs="宋体"/>
          <w:color w:val="auto"/>
          <w:sz w:val="24"/>
          <w:szCs w:val="24"/>
          <w:highlight w:val="none"/>
          <w:lang w:val="en-US" w:eastAsia="zh-CN"/>
        </w:rPr>
        <w:t>结余率≤15%时，采购人支付盈利服务费用15万*中标折扣率；</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w:t>
      </w:r>
      <w:r>
        <w:rPr>
          <w:rFonts w:hint="eastAsia" w:ascii="宋体" w:hAnsi="宋体" w:eastAsia="宋体" w:cs="宋体"/>
          <w:color w:val="auto"/>
          <w:sz w:val="24"/>
          <w:szCs w:val="24"/>
          <w:highlight w:val="none"/>
          <w:lang w:val="en-US"/>
        </w:rPr>
        <w:t>当年</w:t>
      </w:r>
      <w:r>
        <w:rPr>
          <w:rFonts w:hint="eastAsia" w:ascii="宋体" w:hAnsi="宋体" w:eastAsia="宋体" w:cs="宋体"/>
          <w:color w:val="auto"/>
          <w:sz w:val="24"/>
          <w:szCs w:val="24"/>
          <w:highlight w:val="none"/>
          <w:lang w:val="en-US" w:eastAsia="zh-CN"/>
        </w:rPr>
        <w:t>结余率＞15%时，采购人支付盈利服务费用20万*中标折扣率。</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合作期间，风险准备金、工伤政策调整、应保而未保人员的先行垫付赔款、按月支付的伤残津贴和供养亲属抚恤金等由工伤保险基金单独支付，均不计入上述结余率。</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xml:space="preserve">保费、赔款及服务费支付。 </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 工伤保险每年保费收支依据上一年度工伤保险实际收支进行预设，每月按实际发生额结算，并生成月度控费成果报告。</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 通过窗口结报的费用，</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应参与做好控费审核，并按</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经办审核流程办理，由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的工伤基金渠道拨付。</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3.3 </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在自然年度结束后进行年度控费成果清算，</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根据该项目的当年度工伤保险基金结余率情况支付给</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最终的服务费(次年3月底前）</w:t>
      </w:r>
      <w:r>
        <w:rPr>
          <w:rFonts w:hint="eastAsia" w:ascii="宋体" w:hAnsi="宋体" w:cs="宋体"/>
          <w:color w:val="auto"/>
          <w:sz w:val="24"/>
          <w:szCs w:val="24"/>
          <w:highlight w:val="none"/>
          <w:lang w:val="en-US" w:eastAsia="zh-CN"/>
        </w:rPr>
        <w:t>。</w:t>
      </w:r>
    </w:p>
    <w:p>
      <w:pPr>
        <w:keepNext w:val="0"/>
        <w:keepLines w:val="0"/>
        <w:pageBreakBefore w:val="0"/>
        <w:kinsoku/>
        <w:wordWrap/>
        <w:overflowPunct/>
        <w:topLinePunct w:val="0"/>
        <w:bidi w:val="0"/>
        <w:spacing w:line="360" w:lineRule="auto"/>
        <w:ind w:firstLine="480" w:firstLineChars="200"/>
        <w:contextualSpacing/>
        <w:jc w:val="left"/>
        <w:rPr>
          <w:rFonts w:hint="default"/>
          <w:color w:val="auto"/>
          <w:highlight w:val="none"/>
          <w:lang w:val="en-US" w:eastAsia="zh-CN"/>
        </w:rPr>
      </w:pPr>
      <w:r>
        <w:rPr>
          <w:rFonts w:hint="eastAsia" w:ascii="宋体" w:hAnsi="宋体" w:eastAsia="宋体" w:cs="宋体"/>
          <w:b/>
          <w:bCs/>
          <w:color w:val="auto"/>
          <w:sz w:val="24"/>
          <w:szCs w:val="24"/>
          <w:highlight w:val="none"/>
          <w:lang w:val="en-US" w:eastAsia="zh-CN"/>
        </w:rPr>
        <w:t>4、其他服务要求</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须完成以下工作指标</w:t>
      </w:r>
      <w:r>
        <w:rPr>
          <w:rFonts w:hint="eastAsia" w:ascii="宋体" w:hAnsi="宋体" w:cs="宋体"/>
          <w:color w:val="auto"/>
          <w:sz w:val="24"/>
          <w:szCs w:val="24"/>
          <w:highlight w:val="none"/>
          <w:lang w:eastAsia="zh-CN"/>
        </w:rPr>
        <w:t>：</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每年度完成不少于500件工伤事故的调查核实，且</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对案件评价合格率达到90%的；</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每年度组织不少于1次的工伤保险和工伤预防政策集中宣传培训活动；</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每年度做好不少于5次的劳动能力鉴定上门服务交通保障工作；</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按照</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提供的业务经办系统和管理要求办理线上业务，差错率不超过5%。</w:t>
      </w:r>
    </w:p>
    <w:p>
      <w:pPr>
        <w:pStyle w:val="7"/>
        <w:rPr>
          <w:rFonts w:hint="eastAsia" w:ascii="宋体" w:hAnsi="宋体" w:cs="宋体"/>
          <w:color w:val="auto"/>
          <w:sz w:val="24"/>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pStyle w:val="2"/>
        <w:rPr>
          <w:rFonts w:hint="eastAsia" w:ascii="宋体" w:hAnsi="宋体" w:cs="宋体"/>
          <w:b/>
          <w:bCs/>
          <w:color w:val="auto"/>
          <w:sz w:val="36"/>
          <w:szCs w:val="36"/>
          <w:highlight w:val="none"/>
        </w:rPr>
      </w:pPr>
    </w:p>
    <w:p>
      <w:pPr>
        <w:rPr>
          <w:rFonts w:hint="eastAsia" w:ascii="宋体" w:hAnsi="宋体" w:cs="宋体"/>
          <w:b/>
          <w:bCs/>
          <w:color w:val="auto"/>
          <w:sz w:val="36"/>
          <w:szCs w:val="36"/>
          <w:highlight w:val="none"/>
        </w:rPr>
      </w:pPr>
    </w:p>
    <w:p>
      <w:pPr>
        <w:rPr>
          <w:rFonts w:hint="eastAsia"/>
          <w:color w:val="auto"/>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合同主要条款</w:t>
      </w:r>
    </w:p>
    <w:p>
      <w:pPr>
        <w:keepNext w:val="0"/>
        <w:keepLines w:val="0"/>
        <w:pageBreakBefore w:val="0"/>
        <w:kinsoku/>
        <w:wordWrap/>
        <w:overflowPunct/>
        <w:topLinePunct w:val="0"/>
        <w:bidi w:val="0"/>
        <w:spacing w:line="460" w:lineRule="exact"/>
        <w:ind w:firstLine="480" w:firstLineChars="200"/>
        <w:jc w:val="left"/>
        <w:rPr>
          <w:rFonts w:hint="eastAsia" w:ascii="宋体" w:hAnsi="宋体" w:cs="宋体"/>
          <w:color w:val="auto"/>
          <w:sz w:val="24"/>
          <w:szCs w:val="32"/>
          <w:highlight w:val="none"/>
        </w:rPr>
      </w:pPr>
    </w:p>
    <w:p>
      <w:pPr>
        <w:keepNext w:val="0"/>
        <w:keepLines w:val="0"/>
        <w:pageBreakBefore w:val="0"/>
        <w:kinsoku/>
        <w:wordWrap/>
        <w:overflowPunct/>
        <w:topLinePunct w:val="0"/>
        <w:bidi w:val="0"/>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pPr>
        <w:keepNext w:val="0"/>
        <w:keepLines w:val="0"/>
        <w:pageBreakBefore w:val="0"/>
        <w:kinsoku/>
        <w:wordWrap/>
        <w:overflowPunct/>
        <w:topLinePunct w:val="0"/>
        <w:bidi w:val="0"/>
        <w:spacing w:line="360" w:lineRule="auto"/>
        <w:rPr>
          <w:rFonts w:hint="eastAsia" w:ascii="宋体" w:hAnsi="宋体" w:cs="宋体"/>
          <w:color w:val="auto"/>
          <w:sz w:val="24"/>
          <w:szCs w:val="32"/>
          <w:highlight w:val="none"/>
          <w:lang w:val="zh-CN"/>
        </w:rPr>
      </w:pPr>
    </w:p>
    <w:p>
      <w:pPr>
        <w:keepNext w:val="0"/>
        <w:keepLines w:val="0"/>
        <w:pageBreakBefore w:val="0"/>
        <w:kinsoku/>
        <w:wordWrap/>
        <w:overflowPunct/>
        <w:topLinePunct w:val="0"/>
        <w:bidi w:val="0"/>
        <w:spacing w:line="360" w:lineRule="auto"/>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项目名称：</w:t>
      </w:r>
      <w:r>
        <w:rPr>
          <w:rFonts w:hint="eastAsia" w:ascii="宋体" w:hAnsi="宋体" w:cs="宋体"/>
          <w:b/>
          <w:bCs/>
          <w:color w:val="auto"/>
          <w:sz w:val="24"/>
          <w:szCs w:val="32"/>
          <w:highlight w:val="none"/>
          <w:u w:val="single"/>
          <w:lang w:val="zh-CN"/>
        </w:rPr>
        <w:t>工伤保险业务服务委托商业保险公司协助经办和运营管理项目</w:t>
      </w:r>
    </w:p>
    <w:p>
      <w:pPr>
        <w:keepNext w:val="0"/>
        <w:keepLines w:val="0"/>
        <w:pageBreakBefore w:val="0"/>
        <w:kinsoku/>
        <w:wordWrap/>
        <w:overflowPunct/>
        <w:topLinePunct w:val="0"/>
        <w:bidi w:val="0"/>
        <w:spacing w:line="360" w:lineRule="auto"/>
        <w:rPr>
          <w:rFonts w:ascii="宋体" w:hAnsi="宋体" w:cs="宋体"/>
          <w:b/>
          <w:bCs/>
          <w:color w:val="auto"/>
          <w:sz w:val="24"/>
          <w:szCs w:val="32"/>
          <w:highlight w:val="none"/>
          <w:u w:val="single"/>
          <w:lang w:val="zh-CN"/>
        </w:rPr>
      </w:pPr>
      <w:r>
        <w:rPr>
          <w:rFonts w:hint="eastAsia" w:ascii="宋体" w:hAnsi="宋体" w:cs="宋体"/>
          <w:b/>
          <w:bCs/>
          <w:color w:val="auto"/>
          <w:sz w:val="24"/>
          <w:szCs w:val="32"/>
          <w:highlight w:val="none"/>
          <w:lang w:val="zh-CN"/>
        </w:rPr>
        <w:t>项目编号：</w:t>
      </w:r>
      <w:r>
        <w:rPr>
          <w:rFonts w:hint="eastAsia" w:ascii="宋体" w:hAnsi="宋体" w:cs="宋体"/>
          <w:b/>
          <w:bCs/>
          <w:color w:val="auto"/>
          <w:sz w:val="24"/>
          <w:szCs w:val="32"/>
          <w:highlight w:val="none"/>
          <w:u w:val="single"/>
          <w:lang w:val="zh-CN"/>
        </w:rPr>
        <w:t>ZJWS2023-LQ07</w:t>
      </w:r>
    </w:p>
    <w:p>
      <w:pPr>
        <w:keepNext w:val="0"/>
        <w:keepLines w:val="0"/>
        <w:pageBreakBefore w:val="0"/>
        <w:kinsoku/>
        <w:wordWrap/>
        <w:overflowPunct/>
        <w:topLinePunct w:val="0"/>
        <w:bidi w:val="0"/>
        <w:spacing w:line="360" w:lineRule="auto"/>
        <w:rPr>
          <w:rFonts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甲</w:t>
      </w:r>
      <w:r>
        <w:rPr>
          <w:rFonts w:hint="eastAsia" w:ascii="宋体" w:hAnsi="宋体" w:cs="宋体"/>
          <w:b/>
          <w:bCs/>
          <w:color w:val="auto"/>
          <w:sz w:val="24"/>
          <w:szCs w:val="32"/>
          <w:highlight w:val="none"/>
        </w:rPr>
        <w:t xml:space="preserve">  </w:t>
      </w:r>
      <w:r>
        <w:rPr>
          <w:rFonts w:hint="eastAsia" w:ascii="宋体" w:hAnsi="宋体" w:cs="宋体"/>
          <w:b/>
          <w:bCs/>
          <w:color w:val="auto"/>
          <w:sz w:val="24"/>
          <w:szCs w:val="32"/>
          <w:highlight w:val="none"/>
          <w:lang w:val="zh-CN"/>
        </w:rPr>
        <w:t>方（采购人）：</w:t>
      </w:r>
      <w:r>
        <w:rPr>
          <w:rFonts w:hint="eastAsia" w:ascii="宋体" w:hAnsi="宋体" w:cs="宋体"/>
          <w:b/>
          <w:bCs/>
          <w:color w:val="auto"/>
          <w:sz w:val="24"/>
          <w:szCs w:val="32"/>
          <w:highlight w:val="none"/>
          <w:u w:val="single"/>
          <w:lang w:val="zh-CN"/>
        </w:rPr>
        <w:t>台州市路桥区人力资源和社会保障局</w:t>
      </w:r>
    </w:p>
    <w:p>
      <w:pPr>
        <w:keepNext w:val="0"/>
        <w:keepLines w:val="0"/>
        <w:pageBreakBefore w:val="0"/>
        <w:kinsoku/>
        <w:wordWrap/>
        <w:overflowPunct/>
        <w:topLinePunct w:val="0"/>
        <w:bidi w:val="0"/>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乙</w:t>
      </w:r>
      <w:r>
        <w:rPr>
          <w:rFonts w:hint="eastAsia" w:ascii="宋体" w:hAnsi="宋体" w:cs="宋体"/>
          <w:b/>
          <w:bCs/>
          <w:color w:val="auto"/>
          <w:sz w:val="24"/>
          <w:szCs w:val="32"/>
          <w:highlight w:val="none"/>
        </w:rPr>
        <w:t xml:space="preserve">  </w:t>
      </w:r>
      <w:r>
        <w:rPr>
          <w:rFonts w:hint="eastAsia" w:ascii="宋体" w:hAnsi="宋体" w:cs="宋体"/>
          <w:b/>
          <w:bCs/>
          <w:color w:val="auto"/>
          <w:sz w:val="24"/>
          <w:szCs w:val="32"/>
          <w:highlight w:val="none"/>
          <w:lang w:val="zh-CN"/>
        </w:rPr>
        <w:t>方（中标人）：</w:t>
      </w:r>
      <w:r>
        <w:rPr>
          <w:rFonts w:hint="eastAsia" w:ascii="宋体" w:hAnsi="宋体" w:cs="宋体"/>
          <w:b/>
          <w:bCs/>
          <w:color w:val="auto"/>
          <w:sz w:val="24"/>
          <w:szCs w:val="32"/>
          <w:highlight w:val="none"/>
          <w:u w:val="single"/>
        </w:rPr>
        <w:t xml:space="preserve">                                </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根据</w:t>
      </w:r>
      <w:r>
        <w:rPr>
          <w:rFonts w:hint="eastAsia" w:ascii="宋体" w:hAnsi="宋体" w:cs="宋体"/>
          <w:b/>
          <w:bCs/>
          <w:color w:val="auto"/>
          <w:sz w:val="24"/>
          <w:szCs w:val="32"/>
          <w:highlight w:val="none"/>
          <w:u w:val="single"/>
          <w:lang w:val="zh-CN"/>
        </w:rPr>
        <w:t>工伤保险业务服务委托商业保险公司协助经办和运营管理项目</w:t>
      </w:r>
      <w:r>
        <w:rPr>
          <w:rFonts w:hint="eastAsia" w:ascii="宋体" w:hAnsi="宋体" w:cs="宋体"/>
          <w:color w:val="auto"/>
          <w:sz w:val="24"/>
          <w:szCs w:val="32"/>
          <w:highlight w:val="none"/>
          <w:lang w:val="zh-CN"/>
        </w:rPr>
        <w:t>的招标结果，经双方协商一致，达成以下条款：</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lang w:val="zh-CN"/>
        </w:rPr>
      </w:pPr>
      <w:r>
        <w:rPr>
          <w:rFonts w:hint="eastAsia" w:ascii="宋体" w:hAnsi="宋体" w:cs="宋体"/>
          <w:b/>
          <w:bCs/>
          <w:color w:val="auto"/>
          <w:sz w:val="24"/>
          <w:szCs w:val="24"/>
          <w:highlight w:val="none"/>
        </w:rPr>
        <w:t>第一条</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zh-CN"/>
        </w:rPr>
        <w:t>合同文件</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1.合同条款。</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2.中标通知书。</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3.更正补充文件。</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4.招标文件。</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5.中标供应商投标文件。</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6.其他。</w:t>
      </w:r>
    </w:p>
    <w:p>
      <w:pPr>
        <w:pStyle w:val="14"/>
        <w:keepNext w:val="0"/>
        <w:keepLines w:val="0"/>
        <w:pageBreakBefore w:val="0"/>
        <w:kinsoku/>
        <w:wordWrap/>
        <w:overflowPunct/>
        <w:topLinePunct w:val="0"/>
        <w:bidi w:val="0"/>
        <w:snapToGrid w:val="0"/>
        <w:spacing w:line="360" w:lineRule="auto"/>
        <w:ind w:firstLine="480" w:firstLineChars="200"/>
        <w:rPr>
          <w:rFonts w:hAnsi="宋体"/>
          <w:color w:val="auto"/>
          <w:sz w:val="24"/>
          <w:szCs w:val="24"/>
          <w:highlight w:val="none"/>
          <w:lang w:val="zh-CN"/>
        </w:rPr>
      </w:pPr>
      <w:r>
        <w:rPr>
          <w:rFonts w:hint="eastAsia" w:hAnsi="宋体"/>
          <w:color w:val="auto"/>
          <w:sz w:val="24"/>
          <w:szCs w:val="24"/>
          <w:highlight w:val="none"/>
          <w:lang w:val="zh-CN"/>
        </w:rPr>
        <w:t>上述所指合同文件应认为是互相补充和解释的，但是有模棱两可或互相矛盾之处，以其所列内容顺序为准。</w:t>
      </w:r>
    </w:p>
    <w:p>
      <w:pPr>
        <w:keepNext w:val="0"/>
        <w:keepLines w:val="0"/>
        <w:pageBreakBefore w:val="0"/>
        <w:kinsoku/>
        <w:wordWrap/>
        <w:overflowPunct/>
        <w:topLinePunct w:val="0"/>
        <w:bidi w:val="0"/>
        <w:spacing w:line="360" w:lineRule="auto"/>
        <w:ind w:firstLine="480"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第二条 购买范围</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台州市路桥区范围内工伤保险业务，由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向</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购买协助经办</w:t>
      </w:r>
      <w:r>
        <w:rPr>
          <w:rFonts w:hint="eastAsia" w:ascii="宋体" w:hAnsi="宋体" w:cs="宋体"/>
          <w:color w:val="auto"/>
          <w:sz w:val="24"/>
          <w:szCs w:val="24"/>
          <w:highlight w:val="none"/>
          <w:lang w:val="en-US" w:eastAsia="zh-CN"/>
        </w:rPr>
        <w:t>和运营管理服务</w:t>
      </w:r>
      <w:r>
        <w:rPr>
          <w:rFonts w:hint="eastAsia" w:ascii="宋体" w:hAnsi="宋体" w:cs="宋体"/>
          <w:color w:val="auto"/>
          <w:sz w:val="24"/>
          <w:szCs w:val="24"/>
          <w:highlight w:val="none"/>
        </w:rPr>
        <w:t>。</w:t>
      </w:r>
    </w:p>
    <w:p>
      <w:pPr>
        <w:keepNext w:val="0"/>
        <w:keepLines w:val="0"/>
        <w:pageBreakBefore w:val="0"/>
        <w:kinsoku/>
        <w:wordWrap/>
        <w:overflowPunct/>
        <w:topLinePunct w:val="0"/>
        <w:bidi w:val="0"/>
        <w:spacing w:line="360" w:lineRule="auto"/>
        <w:ind w:firstLine="480"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第三条 购买项目</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向</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购买工伤保险业务协助经办项目</w:t>
      </w:r>
      <w:r>
        <w:rPr>
          <w:rFonts w:hint="eastAsia" w:ascii="宋体" w:hAnsi="宋体" w:cs="宋体"/>
          <w:color w:val="auto"/>
          <w:sz w:val="24"/>
          <w:szCs w:val="24"/>
          <w:highlight w:val="none"/>
          <w:lang w:val="en-US" w:eastAsia="zh-CN"/>
        </w:rPr>
        <w:t>和运营管理服务</w:t>
      </w:r>
      <w:r>
        <w:rPr>
          <w:rFonts w:hint="eastAsia" w:ascii="宋体" w:hAnsi="宋体" w:cs="宋体"/>
          <w:color w:val="auto"/>
          <w:sz w:val="24"/>
          <w:szCs w:val="24"/>
          <w:highlight w:val="none"/>
        </w:rPr>
        <w:t>如下：</w:t>
      </w:r>
    </w:p>
    <w:p>
      <w:pPr>
        <w:pStyle w:val="14"/>
        <w:keepNext w:val="0"/>
        <w:keepLines w:val="0"/>
        <w:pageBreakBefore w:val="0"/>
        <w:kinsoku/>
        <w:wordWrap/>
        <w:overflowPunct/>
        <w:topLinePunct w:val="0"/>
        <w:bidi w:val="0"/>
        <w:snapToGrid w:val="0"/>
        <w:spacing w:line="360" w:lineRule="auto"/>
        <w:ind w:firstLine="480" w:firstLineChars="200"/>
        <w:rPr>
          <w:rFonts w:hAnsi="宋体"/>
          <w:color w:val="auto"/>
          <w:sz w:val="24"/>
          <w:szCs w:val="24"/>
          <w:highlight w:val="none"/>
          <w:lang w:val="zh-CN"/>
        </w:rPr>
      </w:pPr>
      <w:r>
        <w:rPr>
          <w:rFonts w:hAnsi="宋体"/>
          <w:color w:val="auto"/>
          <w:sz w:val="24"/>
          <w:szCs w:val="24"/>
          <w:highlight w:val="none"/>
          <w:lang w:val="zh-CN"/>
        </w:rPr>
        <w:t>1</w:t>
      </w:r>
      <w:r>
        <w:rPr>
          <w:rFonts w:hint="eastAsia" w:hAnsi="宋体"/>
          <w:color w:val="auto"/>
          <w:sz w:val="24"/>
          <w:szCs w:val="24"/>
          <w:highlight w:val="none"/>
          <w:lang w:val="zh-CN"/>
        </w:rPr>
        <w:t>.协助做好工伤控费管理工作；</w:t>
      </w:r>
    </w:p>
    <w:p>
      <w:pPr>
        <w:pStyle w:val="14"/>
        <w:keepNext w:val="0"/>
        <w:keepLines w:val="0"/>
        <w:pageBreakBefore w:val="0"/>
        <w:kinsoku/>
        <w:wordWrap/>
        <w:overflowPunct/>
        <w:topLinePunct w:val="0"/>
        <w:bidi w:val="0"/>
        <w:snapToGrid w:val="0"/>
        <w:spacing w:line="360" w:lineRule="auto"/>
        <w:ind w:firstLine="480" w:firstLineChars="200"/>
        <w:rPr>
          <w:rFonts w:hAnsi="宋体"/>
          <w:color w:val="auto"/>
          <w:sz w:val="24"/>
          <w:szCs w:val="24"/>
          <w:highlight w:val="none"/>
          <w:lang w:val="zh-CN"/>
        </w:rPr>
      </w:pPr>
      <w:r>
        <w:rPr>
          <w:rFonts w:hAnsi="宋体"/>
          <w:color w:val="auto"/>
          <w:sz w:val="24"/>
          <w:szCs w:val="24"/>
          <w:highlight w:val="none"/>
          <w:lang w:val="zh-CN"/>
        </w:rPr>
        <w:t>2</w:t>
      </w:r>
      <w:r>
        <w:rPr>
          <w:rFonts w:hint="eastAsia" w:hAnsi="宋体"/>
          <w:color w:val="auto"/>
          <w:sz w:val="24"/>
          <w:szCs w:val="24"/>
          <w:highlight w:val="none"/>
          <w:lang w:val="zh-CN"/>
        </w:rPr>
        <w:t>.协助做好数据化便民举措实施；</w:t>
      </w:r>
    </w:p>
    <w:p>
      <w:pPr>
        <w:pStyle w:val="14"/>
        <w:keepNext w:val="0"/>
        <w:keepLines w:val="0"/>
        <w:pageBreakBefore w:val="0"/>
        <w:kinsoku/>
        <w:wordWrap/>
        <w:overflowPunct/>
        <w:topLinePunct w:val="0"/>
        <w:bidi w:val="0"/>
        <w:snapToGrid w:val="0"/>
        <w:spacing w:line="360" w:lineRule="auto"/>
        <w:ind w:firstLine="480" w:firstLineChars="200"/>
        <w:rPr>
          <w:rFonts w:hAnsi="宋体"/>
          <w:color w:val="auto"/>
          <w:sz w:val="24"/>
          <w:szCs w:val="24"/>
          <w:highlight w:val="none"/>
          <w:lang w:val="zh-CN"/>
        </w:rPr>
      </w:pPr>
      <w:r>
        <w:rPr>
          <w:rFonts w:hAnsi="宋体"/>
          <w:color w:val="auto"/>
          <w:sz w:val="24"/>
          <w:szCs w:val="24"/>
          <w:highlight w:val="none"/>
          <w:lang w:val="zh-CN"/>
        </w:rPr>
        <w:t>3</w:t>
      </w:r>
      <w:r>
        <w:rPr>
          <w:rFonts w:hint="eastAsia" w:hAnsi="宋体"/>
          <w:color w:val="auto"/>
          <w:sz w:val="24"/>
          <w:szCs w:val="24"/>
          <w:highlight w:val="none"/>
          <w:lang w:val="zh-CN"/>
        </w:rPr>
        <w:t>.协助做好工伤事故调查核实工作；</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.协助做好工伤保险和工伤预防的政策宣传、培训工作；</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.配合劳动能力鉴定上门服务有关工作。</w:t>
      </w:r>
    </w:p>
    <w:p>
      <w:pPr>
        <w:pStyle w:val="87"/>
        <w:keepNext w:val="0"/>
        <w:keepLines w:val="0"/>
        <w:pageBreakBefore w:val="0"/>
        <w:kinsoku/>
        <w:wordWrap/>
        <w:overflowPunct/>
        <w:topLinePunct w:val="0"/>
        <w:bidi w:val="0"/>
        <w:spacing w:line="360" w:lineRule="auto"/>
        <w:ind w:firstLine="480" w:firstLineChars="200"/>
        <w:rPr>
          <w:rFonts w:cs="宋体"/>
          <w:color w:val="auto"/>
          <w:szCs w:val="24"/>
          <w:highlight w:val="none"/>
        </w:rPr>
      </w:pPr>
      <w:r>
        <w:rPr>
          <w:rFonts w:cs="宋体"/>
          <w:color w:val="auto"/>
          <w:szCs w:val="24"/>
          <w:highlight w:val="none"/>
        </w:rPr>
        <w:t>6</w:t>
      </w:r>
      <w:r>
        <w:rPr>
          <w:rFonts w:hint="eastAsia" w:cs="宋体"/>
          <w:color w:val="auto"/>
          <w:kern w:val="2"/>
          <w:szCs w:val="24"/>
          <w:highlight w:val="none"/>
          <w:lang w:val="en-US"/>
        </w:rPr>
        <w:t>.做好其他相关工作。</w:t>
      </w:r>
    </w:p>
    <w:p>
      <w:pPr>
        <w:keepNext w:val="0"/>
        <w:keepLines w:val="0"/>
        <w:pageBreakBefore w:val="0"/>
        <w:kinsoku/>
        <w:wordWrap/>
        <w:overflowPunct/>
        <w:topLinePunct w:val="0"/>
        <w:bidi w:val="0"/>
        <w:spacing w:line="360" w:lineRule="auto"/>
        <w:ind w:firstLine="471" w:firstLineChars="196"/>
        <w:rPr>
          <w:rFonts w:ascii="宋体" w:hAnsi="宋体" w:cs="宋体"/>
          <w:b/>
          <w:color w:val="auto"/>
          <w:sz w:val="24"/>
          <w:szCs w:val="24"/>
          <w:highlight w:val="none"/>
        </w:rPr>
      </w:pPr>
      <w:r>
        <w:rPr>
          <w:rFonts w:hint="eastAsia" w:ascii="宋体" w:hAnsi="宋体" w:cs="宋体"/>
          <w:b/>
          <w:color w:val="auto"/>
          <w:sz w:val="24"/>
          <w:szCs w:val="24"/>
          <w:highlight w:val="none"/>
        </w:rPr>
        <w:t>第四条　服务项目内容</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协助</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做好工伤事故调查核实工作。</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在接到</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工伤认定部门《协助调查工伤事故交办单》后，应及时派出工作人员到事故现场或其他有关场所</w:t>
      </w:r>
      <w:r>
        <w:rPr>
          <w:rFonts w:hint="eastAsia" w:ascii="宋体" w:hAnsi="宋体" w:cs="宋体"/>
          <w:color w:val="auto"/>
          <w:sz w:val="24"/>
          <w:szCs w:val="24"/>
          <w:highlight w:val="none"/>
          <w:lang w:eastAsia="zh-CN"/>
        </w:rPr>
        <w:t>协助</w:t>
      </w:r>
      <w:r>
        <w:rPr>
          <w:rFonts w:hint="eastAsia" w:ascii="宋体" w:hAnsi="宋体" w:cs="宋体"/>
          <w:color w:val="auto"/>
          <w:sz w:val="24"/>
          <w:szCs w:val="24"/>
          <w:highlight w:val="none"/>
        </w:rPr>
        <w:t>进行勘查、核实、取证，做到用人单位、用工单位、人员身份、受伤经过、人员伤情五者真实一致，同时</w:t>
      </w:r>
      <w:r>
        <w:rPr>
          <w:rFonts w:hint="eastAsia" w:ascii="宋体" w:hAnsi="宋体" w:cs="宋体"/>
          <w:color w:val="auto"/>
          <w:sz w:val="24"/>
          <w:szCs w:val="24"/>
          <w:highlight w:val="none"/>
          <w:lang w:eastAsia="zh-CN"/>
        </w:rPr>
        <w:t>辅助</w:t>
      </w:r>
      <w:r>
        <w:rPr>
          <w:rFonts w:hint="eastAsia" w:ascii="宋体" w:hAnsi="宋体" w:cs="宋体"/>
          <w:color w:val="auto"/>
          <w:sz w:val="24"/>
          <w:szCs w:val="24"/>
          <w:highlight w:val="none"/>
        </w:rPr>
        <w:t>做好影像、书面、文档等记录工作，</w:t>
      </w:r>
      <w:r>
        <w:rPr>
          <w:rFonts w:hint="eastAsia" w:ascii="宋体" w:hAnsi="宋体" w:cs="宋体"/>
          <w:color w:val="auto"/>
          <w:sz w:val="24"/>
          <w:szCs w:val="24"/>
          <w:highlight w:val="none"/>
          <w:lang w:eastAsia="zh-CN"/>
        </w:rPr>
        <w:t>协助</w:t>
      </w:r>
      <w:r>
        <w:rPr>
          <w:rFonts w:hint="eastAsia" w:ascii="宋体" w:hAnsi="宋体" w:cs="宋体"/>
          <w:color w:val="auto"/>
          <w:sz w:val="24"/>
          <w:szCs w:val="24"/>
          <w:highlight w:val="none"/>
        </w:rPr>
        <w:t>形成调查结论一并移交给工伤认定部门。</w:t>
      </w:r>
    </w:p>
    <w:p>
      <w:pPr>
        <w:keepNext w:val="0"/>
        <w:keepLines w:val="0"/>
        <w:pageBreakBefore w:val="0"/>
        <w:kinsoku/>
        <w:wordWrap/>
        <w:overflowPunct/>
        <w:topLinePunct w:val="0"/>
        <w:bidi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协助</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做好工伤保险和工伤预防的政策宣传、培训工作。</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在工伤事故调查核实同时，对用人单位开展工伤保险和工伤预防政策的宣传培训。</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（三）配合劳动能力鉴定上门服务有关工作。</w:t>
      </w:r>
    </w:p>
    <w:p>
      <w:pPr>
        <w:keepNext w:val="0"/>
        <w:keepLines w:val="0"/>
        <w:pageBreakBefore w:val="0"/>
        <w:kinsoku/>
        <w:wordWrap/>
        <w:overflowPunct/>
        <w:topLinePunct w:val="0"/>
        <w:bidi w:val="0"/>
        <w:spacing w:line="360" w:lineRule="auto"/>
        <w:ind w:firstLine="480" w:firstLineChars="20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第五条  履约保证金</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在签订合同</w:t>
      </w:r>
      <w:r>
        <w:rPr>
          <w:rFonts w:hint="eastAsia" w:ascii="宋体" w:hAnsi="宋体" w:eastAsia="宋体" w:cs="宋体"/>
          <w:color w:val="auto"/>
          <w:sz w:val="24"/>
          <w:szCs w:val="24"/>
          <w:highlight w:val="none"/>
          <w:lang w:val="en-US" w:eastAsia="zh-CN"/>
        </w:rPr>
        <w:t>后7个工作日内</w:t>
      </w:r>
      <w:r>
        <w:rPr>
          <w:rFonts w:hint="eastAsia" w:ascii="宋体" w:hAnsi="宋体" w:eastAsia="宋体" w:cs="宋体"/>
          <w:color w:val="auto"/>
          <w:sz w:val="24"/>
          <w:szCs w:val="24"/>
          <w:highlight w:val="none"/>
        </w:rPr>
        <w:t>须交纳本项目履约保证金，金额为合同总金额的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经甲方确认</w:t>
      </w:r>
      <w:r>
        <w:rPr>
          <w:rFonts w:hint="eastAsia" w:ascii="宋体" w:hAnsi="宋体" w:eastAsia="宋体" w:cs="宋体"/>
          <w:color w:val="auto"/>
          <w:sz w:val="24"/>
          <w:szCs w:val="24"/>
          <w:highlight w:val="none"/>
          <w:lang w:val="en-US" w:eastAsia="zh-CN"/>
        </w:rPr>
        <w:t>履约完毕</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7个工作日内全额无息退还</w:t>
      </w:r>
      <w:r>
        <w:rPr>
          <w:rFonts w:hint="eastAsia" w:ascii="宋体" w:hAnsi="宋体" w:eastAsia="宋体" w:cs="宋体"/>
          <w:color w:val="auto"/>
          <w:sz w:val="24"/>
          <w:szCs w:val="24"/>
          <w:highlight w:val="none"/>
          <w:lang w:val="en-US" w:eastAsia="zh-CN"/>
        </w:rPr>
        <w:t>履约保证金或解除保函</w:t>
      </w:r>
      <w:r>
        <w:rPr>
          <w:rFonts w:hint="eastAsia" w:ascii="宋体" w:hAnsi="宋体" w:eastAsia="宋体" w:cs="宋体"/>
          <w:color w:val="auto"/>
          <w:sz w:val="24"/>
          <w:szCs w:val="24"/>
          <w:highlight w:val="none"/>
        </w:rPr>
        <w:t>。（履约保证金可以采用保函、担保、保险单等形式）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第六条  合作方式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本项目以政府购买服务的方式合作，</w:t>
      </w:r>
      <w:r>
        <w:rPr>
          <w:rFonts w:hint="eastAsia" w:ascii="宋体" w:hAnsi="宋体" w:cs="宋体"/>
          <w:color w:val="auto"/>
          <w:sz w:val="24"/>
          <w:szCs w:val="24"/>
          <w:highlight w:val="none"/>
          <w:lang w:val="en-US" w:eastAsia="zh-CN"/>
        </w:rPr>
        <w:t>合作期3年，年度考核结算与年度工伤结余率挂钩。</w:t>
      </w:r>
    </w:p>
    <w:p>
      <w:pPr>
        <w:keepNext w:val="0"/>
        <w:keepLines w:val="0"/>
        <w:pageBreakBefore w:val="0"/>
        <w:kinsoku/>
        <w:wordWrap/>
        <w:overflowPunct/>
        <w:topLinePunct w:val="0"/>
        <w:bidi w:val="0"/>
        <w:spacing w:line="360" w:lineRule="auto"/>
        <w:ind w:firstLine="480" w:firstLineChars="200"/>
        <w:rPr>
          <w:rFonts w:hint="default" w:ascii="宋体" w:hAnsi="宋体" w:eastAsia="宋体" w:cs="宋体"/>
          <w:b/>
          <w:bCs w:val="0"/>
          <w:color w:val="auto"/>
          <w:sz w:val="24"/>
          <w:szCs w:val="24"/>
          <w:highlight w:val="none"/>
          <w:lang w:val="en-US" w:eastAsia="zh-CN"/>
        </w:rPr>
      </w:pP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将工伤保险的预防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受理、结报、案件调查、数据分析、档案整理等内容委托</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参与的方式，其服务过程接受委托部门和相关部门的全程管理。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bCs/>
          <w:color w:val="auto"/>
          <w:kern w:val="0"/>
          <w:sz w:val="24"/>
          <w:szCs w:val="24"/>
          <w:highlight w:val="none"/>
          <w:lang w:val="zh-CN"/>
        </w:rPr>
      </w:pPr>
      <w:r>
        <w:rPr>
          <w:rFonts w:hint="eastAsia" w:ascii="宋体" w:hAnsi="宋体" w:cs="宋体"/>
          <w:b/>
          <w:bCs w:val="0"/>
          <w:color w:val="auto"/>
          <w:sz w:val="24"/>
          <w:szCs w:val="24"/>
          <w:highlight w:val="none"/>
        </w:rPr>
        <w:t>第</w:t>
      </w:r>
      <w:r>
        <w:rPr>
          <w:rFonts w:hint="eastAsia" w:ascii="宋体" w:hAnsi="宋体" w:cs="宋体"/>
          <w:b/>
          <w:bCs w:val="0"/>
          <w:color w:val="auto"/>
          <w:sz w:val="24"/>
          <w:szCs w:val="24"/>
          <w:highlight w:val="none"/>
          <w:lang w:val="en-US" w:eastAsia="zh-CN"/>
        </w:rPr>
        <w:t>七</w:t>
      </w:r>
      <w:r>
        <w:rPr>
          <w:rFonts w:hint="eastAsia" w:ascii="宋体" w:hAnsi="宋体" w:cs="宋体"/>
          <w:b/>
          <w:bCs w:val="0"/>
          <w:color w:val="auto"/>
          <w:sz w:val="24"/>
          <w:szCs w:val="24"/>
          <w:highlight w:val="none"/>
        </w:rPr>
        <w:t>条</w:t>
      </w: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bCs/>
          <w:color w:val="auto"/>
          <w:kern w:val="0"/>
          <w:sz w:val="24"/>
          <w:szCs w:val="24"/>
          <w:highlight w:val="none"/>
          <w:lang w:val="zh-CN" w:eastAsia="zh-CN"/>
        </w:rPr>
        <w:t>服务费</w:t>
      </w:r>
      <w:r>
        <w:rPr>
          <w:rFonts w:hint="eastAsia" w:ascii="宋体" w:hAnsi="宋体" w:eastAsia="宋体" w:cs="宋体"/>
          <w:b/>
          <w:bCs/>
          <w:color w:val="auto"/>
          <w:kern w:val="0"/>
          <w:sz w:val="24"/>
          <w:szCs w:val="24"/>
          <w:highlight w:val="none"/>
          <w:lang w:val="zh-CN"/>
        </w:rPr>
        <w:t>盈亏分摊及支付办法</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结余率=（当年预算支出-当年实际支出）÷当年预算支出×100％。</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当年预算支出依据上一年度工伤保险实际支出进行预设（含当年的自然增长率）。</w:t>
      </w:r>
    </w:p>
    <w:p>
      <w:pPr>
        <w:keepNext w:val="0"/>
        <w:keepLines w:val="0"/>
        <w:pageBreakBefore w:val="0"/>
        <w:numPr>
          <w:ilvl w:val="0"/>
          <w:numId w:val="3"/>
        </w:numPr>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该项目不论盈亏，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每年支付给</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的基础服务费用为170万元；</w:t>
      </w:r>
    </w:p>
    <w:p>
      <w:pPr>
        <w:keepNext w:val="0"/>
        <w:keepLines w:val="0"/>
        <w:pageBreakBefore w:val="0"/>
        <w:numPr>
          <w:ilvl w:val="0"/>
          <w:numId w:val="0"/>
        </w:numPr>
        <w:tabs>
          <w:tab w:val="left" w:pos="8280"/>
        </w:tabs>
        <w:kinsoku/>
        <w:wordWrap/>
        <w:overflowPunct/>
        <w:topLinePunct w:val="0"/>
        <w:autoSpaceDE w:val="0"/>
        <w:autoSpaceDN w:val="0"/>
        <w:bidi w:val="0"/>
        <w:adjustRightInd w:val="0"/>
        <w:spacing w:line="360" w:lineRule="auto"/>
        <w:ind w:right="25"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当结余率</w:t>
      </w:r>
      <w:r>
        <w:rPr>
          <w:rFonts w:hint="eastAsia" w:ascii="宋体" w:hAnsi="宋体" w:eastAsia="宋体" w:cs="宋体"/>
          <w:color w:val="auto"/>
          <w:sz w:val="24"/>
          <w:szCs w:val="24"/>
          <w:highlight w:val="none"/>
          <w:lang w:val="en-US" w:eastAsia="zh-CN"/>
        </w:rPr>
        <w:t>&lt;0%，</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承担当年亏损部分的1%，</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不需要支付盈利服务费用；当项目出现盈利时，盈利服务费用根据以下方式计算：</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当0%&lt;</w:t>
      </w:r>
      <w:r>
        <w:rPr>
          <w:rFonts w:hint="eastAsia" w:ascii="宋体" w:hAnsi="宋体" w:eastAsia="宋体" w:cs="宋体"/>
          <w:color w:val="auto"/>
          <w:sz w:val="24"/>
          <w:szCs w:val="24"/>
          <w:highlight w:val="none"/>
          <w:lang w:val="en-US"/>
        </w:rPr>
        <w:t>当年</w:t>
      </w:r>
      <w:r>
        <w:rPr>
          <w:rFonts w:hint="eastAsia" w:ascii="宋体" w:hAnsi="宋体" w:eastAsia="宋体" w:cs="宋体"/>
          <w:color w:val="auto"/>
          <w:sz w:val="24"/>
          <w:szCs w:val="24"/>
          <w:highlight w:val="none"/>
          <w:lang w:val="en-US" w:eastAsia="zh-CN"/>
        </w:rPr>
        <w:t>结余率≤5%时，</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支付盈利服务费用5万*中标折扣率；</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当5%&lt;</w:t>
      </w:r>
      <w:r>
        <w:rPr>
          <w:rFonts w:hint="eastAsia" w:ascii="宋体" w:hAnsi="宋体" w:eastAsia="宋体" w:cs="宋体"/>
          <w:color w:val="auto"/>
          <w:sz w:val="24"/>
          <w:szCs w:val="24"/>
          <w:highlight w:val="none"/>
          <w:lang w:val="en-US"/>
        </w:rPr>
        <w:t>当年</w:t>
      </w:r>
      <w:r>
        <w:rPr>
          <w:rFonts w:hint="eastAsia" w:ascii="宋体" w:hAnsi="宋体" w:eastAsia="宋体" w:cs="宋体"/>
          <w:color w:val="auto"/>
          <w:sz w:val="24"/>
          <w:szCs w:val="24"/>
          <w:highlight w:val="none"/>
          <w:lang w:val="en-US" w:eastAsia="zh-CN"/>
        </w:rPr>
        <w:t>结余率≤10%时，</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支付盈利服务费用10万*中标折扣率；</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当10%&lt;</w:t>
      </w:r>
      <w:r>
        <w:rPr>
          <w:rFonts w:hint="eastAsia" w:ascii="宋体" w:hAnsi="宋体" w:eastAsia="宋体" w:cs="宋体"/>
          <w:color w:val="auto"/>
          <w:sz w:val="24"/>
          <w:szCs w:val="24"/>
          <w:highlight w:val="none"/>
          <w:lang w:val="en-US"/>
        </w:rPr>
        <w:t>当年</w:t>
      </w:r>
      <w:r>
        <w:rPr>
          <w:rFonts w:hint="eastAsia" w:ascii="宋体" w:hAnsi="宋体" w:eastAsia="宋体" w:cs="宋体"/>
          <w:color w:val="auto"/>
          <w:sz w:val="24"/>
          <w:szCs w:val="24"/>
          <w:highlight w:val="none"/>
          <w:lang w:val="en-US" w:eastAsia="zh-CN"/>
        </w:rPr>
        <w:t>结余率≤15%时，</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支付盈利服务费用15万*中标折扣率；</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w:t>
      </w:r>
      <w:r>
        <w:rPr>
          <w:rFonts w:hint="eastAsia" w:ascii="宋体" w:hAnsi="宋体" w:eastAsia="宋体" w:cs="宋体"/>
          <w:color w:val="auto"/>
          <w:sz w:val="24"/>
          <w:szCs w:val="24"/>
          <w:highlight w:val="none"/>
          <w:lang w:val="en-US"/>
        </w:rPr>
        <w:t>当年</w:t>
      </w:r>
      <w:r>
        <w:rPr>
          <w:rFonts w:hint="eastAsia" w:ascii="宋体" w:hAnsi="宋体" w:eastAsia="宋体" w:cs="宋体"/>
          <w:color w:val="auto"/>
          <w:sz w:val="24"/>
          <w:szCs w:val="24"/>
          <w:highlight w:val="none"/>
          <w:lang w:val="en-US" w:eastAsia="zh-CN"/>
        </w:rPr>
        <w:t>结余率＞15%时，</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支付盈利服务费用20万*中标折扣率。</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合作期间，风险准备金、工伤政策调整、应保而未保人员的先行垫付赔款、按月支付的伤残津贴和供养亲属抚恤金等由工伤保险基金单独支付，均不计入上述结余率。</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 工伤保险每年保费收支依据上一年度工伤保险实际收支进行预设，每月按实际发生额结算，并生成月度控费成果报告。</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 通过窗口结报的费用，乙方应参与做好控费审核，并按甲方经办审核流程办理，由甲方的工伤基金渠道拨付。</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 乙方在自然年度结束后进行年度控费成果清算，甲方根据该项目的当年度工伤保险基金结余率情况支付给乙方最终的服务费(次年3月底前）</w:t>
      </w:r>
      <w:r>
        <w:rPr>
          <w:rFonts w:hint="eastAsia" w:ascii="宋体" w:hAnsi="宋体" w:cs="宋体"/>
          <w:color w:val="auto"/>
          <w:sz w:val="24"/>
          <w:szCs w:val="24"/>
          <w:highlight w:val="none"/>
          <w:lang w:val="en-US" w:eastAsia="zh-CN"/>
        </w:rPr>
        <w:t>。</w:t>
      </w:r>
    </w:p>
    <w:p>
      <w:pPr>
        <w:keepNext w:val="0"/>
        <w:keepLines w:val="0"/>
        <w:pageBreakBefore w:val="0"/>
        <w:kinsoku/>
        <w:wordWrap/>
        <w:overflowPunct/>
        <w:topLinePunct w:val="0"/>
        <w:bidi w:val="0"/>
        <w:spacing w:line="360" w:lineRule="auto"/>
        <w:ind w:firstLine="480" w:firstLineChars="200"/>
        <w:contextualSpacing/>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b/>
          <w:bCs/>
          <w:color w:val="auto"/>
          <w:sz w:val="24"/>
          <w:szCs w:val="24"/>
          <w:highlight w:val="none"/>
        </w:rPr>
        <w:t>第</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rPr>
        <w:t>条　合同期限与终止</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（一）合同的期限为3年。在合同期内，如</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需补充或调整相关内容的，经双方协商后，可签订补充协议。合同期限自202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月1日至202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日。</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（二）合同终止</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1.合同期满；</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甲方或乙方</w:t>
      </w:r>
      <w:r>
        <w:rPr>
          <w:rFonts w:hint="eastAsia" w:ascii="宋体" w:hAnsi="宋体" w:cs="宋体"/>
          <w:color w:val="auto"/>
          <w:sz w:val="24"/>
          <w:szCs w:val="24"/>
          <w:highlight w:val="none"/>
        </w:rPr>
        <w:t>违反合同约定的；</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服务能力丧失，致使服务无法正常进行的；</w:t>
      </w:r>
    </w:p>
    <w:p>
      <w:pPr>
        <w:keepNext w:val="0"/>
        <w:keepLines w:val="0"/>
        <w:pageBreakBefore w:val="0"/>
        <w:tabs>
          <w:tab w:val="left" w:pos="8280"/>
        </w:tabs>
        <w:kinsoku/>
        <w:wordWrap/>
        <w:overflowPunct/>
        <w:topLinePunct w:val="0"/>
        <w:autoSpaceDE w:val="0"/>
        <w:autoSpaceDN w:val="0"/>
        <w:bidi w:val="0"/>
        <w:adjustRightInd w:val="0"/>
        <w:spacing w:line="360" w:lineRule="auto"/>
        <w:ind w:right="25"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4.在履行合同过程中，发现</w:t>
      </w:r>
      <w:r>
        <w:rPr>
          <w:rFonts w:hint="eastAsia" w:ascii="宋体" w:hAnsi="宋体" w:cs="宋体"/>
          <w:color w:val="auto"/>
          <w:sz w:val="24"/>
          <w:szCs w:val="24"/>
          <w:highlight w:val="none"/>
          <w:lang w:eastAsia="zh-CN"/>
        </w:rPr>
        <w:t>乙方协助</w:t>
      </w:r>
      <w:r>
        <w:rPr>
          <w:rFonts w:hint="eastAsia" w:ascii="宋体" w:hAnsi="宋体" w:cs="宋体"/>
          <w:color w:val="auto"/>
          <w:sz w:val="24"/>
          <w:szCs w:val="24"/>
          <w:highlight w:val="none"/>
        </w:rPr>
        <w:t>调查核实相关业务事项事实不清、证据不足，导致</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行政复议、行政诉讼案件败诉的，或因工作失职造成工伤保险基金损失较大的，或发生严重损害当事人权益情况的，或造成</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政府形象严重受损的。</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与</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在合同期内正常履行各项合同条款且非双方所违约或问题造成需解除合同的，双方均应提前3个月通知对方，经双方协商后方可解除合同。</w:t>
      </w:r>
    </w:p>
    <w:p>
      <w:pPr>
        <w:keepNext w:val="0"/>
        <w:keepLines w:val="0"/>
        <w:pageBreakBefore w:val="0"/>
        <w:kinsoku/>
        <w:wordWrap/>
        <w:overflowPunct/>
        <w:topLinePunct w:val="0"/>
        <w:bidi w:val="0"/>
        <w:spacing w:line="360" w:lineRule="auto"/>
        <w:ind w:firstLine="480" w:firstLineChars="200"/>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第</w:t>
      </w:r>
      <w:r>
        <w:rPr>
          <w:rFonts w:hint="eastAsia" w:ascii="宋体" w:hAnsi="宋体" w:cs="宋体"/>
          <w:b/>
          <w:bCs w:val="0"/>
          <w:color w:val="auto"/>
          <w:sz w:val="24"/>
          <w:szCs w:val="24"/>
          <w:highlight w:val="none"/>
          <w:lang w:val="en-US" w:eastAsia="zh-CN"/>
        </w:rPr>
        <w:t>九</w:t>
      </w:r>
      <w:r>
        <w:rPr>
          <w:rFonts w:hint="eastAsia" w:ascii="宋体" w:hAnsi="宋体" w:cs="宋体"/>
          <w:b/>
          <w:bCs w:val="0"/>
          <w:color w:val="auto"/>
          <w:sz w:val="24"/>
          <w:szCs w:val="24"/>
          <w:highlight w:val="none"/>
        </w:rPr>
        <w:t>条 双方权利和义务</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权利和义务</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1.在项目实施合同期限内，</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可以随时向</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了解掌握服务质量情况，并要求</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提供项目服务相关情况和资料。</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依托社会保险信息系统，向</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提供必要的用人单位及相关人员相关信息。</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协助</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协调与用人单位、医药机构的关系，为</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进入用人单位、医药机构完成工伤保险业务协助经办工作提供必要支持。</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权利和义务</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可要求</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按本合同规定按时足额拨付项目服务经费。</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须在签订本合同后的一个月内设立工伤保险业务协助经办管理部门，设分管领导及专职联系人，并配备相应专业工作人员、专用车辆及办公设备，开发符合</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业务要求的协助经办系统和网络管理平台，并实现与</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信息对接。</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应在合同生效一周内，将项目负责经办人员相关信息与联系方式等以书面形式交</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备案，变更项目负责经办人员应及时将调整后的人员名单报</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 xml:space="preserve">备案。  </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应根据</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要求，及时完成并提供</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所需的阶段性相关业务情况分析报告及业务总结报告。</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（三）共同权利和义务</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与</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应及时沟通和共同研究业务管理制度、工作流程服务监管等内容。</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2.工伤保险政策发生调整时，</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应及时告知</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应及时作出调整；</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在协助经办时出现新情况或遭遇突发事件，应及时通报</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与</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应定期对工作人员进行工伤保险政策、管理知识等培训。</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在协助经办时发现的违规违法嫌疑案件要及时通报给</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，实现信息共享，其中</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在审核检查过程要把握政策、提出规范要求，</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要积极做好配合工作，提供必要的后勤保障工作。</w:t>
      </w:r>
    </w:p>
    <w:p>
      <w:pPr>
        <w:keepNext w:val="0"/>
        <w:keepLines w:val="0"/>
        <w:pageBreakBefore w:val="0"/>
        <w:kinsoku/>
        <w:wordWrap/>
        <w:overflowPunct/>
        <w:topLinePunct w:val="0"/>
        <w:bidi w:val="0"/>
        <w:spacing w:line="360" w:lineRule="auto"/>
        <w:ind w:firstLine="480"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w:t>
      </w:r>
      <w:r>
        <w:rPr>
          <w:rFonts w:hint="eastAsia" w:ascii="宋体" w:hAnsi="宋体" w:cs="宋体"/>
          <w:b/>
          <w:color w:val="auto"/>
          <w:sz w:val="24"/>
          <w:szCs w:val="24"/>
          <w:highlight w:val="none"/>
          <w:lang w:val="en-US" w:eastAsia="zh-CN"/>
        </w:rPr>
        <w:t>十</w:t>
      </w:r>
      <w:r>
        <w:rPr>
          <w:rFonts w:hint="eastAsia" w:ascii="宋体" w:hAnsi="宋体" w:cs="宋体"/>
          <w:b/>
          <w:color w:val="auto"/>
          <w:sz w:val="24"/>
          <w:szCs w:val="24"/>
          <w:highlight w:val="none"/>
        </w:rPr>
        <w:t>条 监督管理</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工伤保险业务协助经办工作进行监督，监督内容包括合同履行、业务管理、服务质量等情况，</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 xml:space="preserve">应积极配合。    </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（二）在合同履行过程中，双方因违约或重大过失造成对方经济损失的应当赔偿。</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工作人员在项目实施中，出现营私舞弊、失职、渎职等违规行为，造成工伤保险业务差错或基金损失的，由</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承担全部责任。情节严重的，应依法追究法律责任。</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工作人员协助调查工伤事故，与当事人存在利害关系或近亲属关系的，应及时报告</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并采取回避。</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提供的参保人员信息以及相关资料应承担保密责任，不得用于其他用途，不得向第三方泄露。</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应采取对信息系统权限控制、数据拷贝和存储过程中内外网隔离等管理手段履行保密义务。如查实有泄密或用于其他用途的，由</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负责消除不良影响，情节严重的，应依法追究法律责任。</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利用专业技术和行业信息优势之便，故意隐瞒和掩盖自身过失，违背投标承诺和未尽义务，</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可追究</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的责任并要求赔偿，且不受合同时效的限制。</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与</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在履行合同时发生争议的事项，可通过协商解决；协商不成的，可提请地方政府调解，或依法向当地人民法院提起诉讼。调解或诉讼期间，本合同应继续执行。</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与</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由于不可抗力（包括战争、严重火灾、洪水、台风、地震、瘟疫等）影响合同履行时，经权威机构证明或双方确认，可部分或全部免除责任。</w:t>
      </w:r>
    </w:p>
    <w:p>
      <w:pPr>
        <w:keepNext w:val="0"/>
        <w:keepLines w:val="0"/>
        <w:pageBreakBefore w:val="0"/>
        <w:kinsoku/>
        <w:wordWrap/>
        <w:overflowPunct/>
        <w:topLinePunct w:val="0"/>
        <w:bidi w:val="0"/>
        <w:spacing w:line="360" w:lineRule="auto"/>
        <w:ind w:firstLine="471" w:firstLineChars="196"/>
        <w:rPr>
          <w:rFonts w:ascii="宋体" w:hAnsi="宋体" w:cs="宋体"/>
          <w:b/>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rPr>
        <w:t>条 其他事项</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（一）与本合同有关的招标文件（包括补充文件）、中标通知书、</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投标文件、现场澄清文件等均为本合同不可分割的部分。本合同未尽事宜，可以签订补充合同或协议加以补充。补充合同或协议与本合同具有同等法律效力。</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（二）反商业贿赂条款是本合同之必备条款，与本合同其它条款具有同等法律效力，</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与</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同意签订并遵守如下反商业贿赂条款：</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与</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都清楚并愿意严格遵守中华人民共和国反商业贿赂的法律规定，双方都清楚任何形式的贿赂和贪渎行为都将触犯法律，并将受到法律的严惩。</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或</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严格禁止</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经办人员的任何商业贿赂行为。</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经办人发生本款第二项所列示的任何一种行为，都是违反</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公司制度的，都将受到</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公司制度和国家法律的惩处。</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郑重提示：</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反对</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或</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经办人员为了本合同之目的与本合同以外的任何第三方发生本款第二项所列示的任何一种行为，该行为都是违反国家法律的行为，并将受到国家法律的惩处。</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与</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或其经办人违反本款第二项、第三项、第四项之规定，给对方造成损失的，应承担损害赔偿责任。</w:t>
      </w:r>
    </w:p>
    <w:p>
      <w:pPr>
        <w:keepNext w:val="0"/>
        <w:keepLines w:val="0"/>
        <w:pageBreakBefore w:val="0"/>
        <w:kinsoku/>
        <w:wordWrap/>
        <w:overflowPunct/>
        <w:topLinePunct w:val="0"/>
        <w:bidi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6.本条所称“其他相关人员”是指</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经办人以外的与合同有直接或间接利益关系的人员，包括合同经办人的亲友。</w:t>
      </w:r>
    </w:p>
    <w:p>
      <w:pPr>
        <w:keepNext w:val="0"/>
        <w:keepLines w:val="0"/>
        <w:pageBreakBefore w:val="0"/>
        <w:kinsoku/>
        <w:wordWrap/>
        <w:overflowPunct/>
        <w:topLinePunct w:val="0"/>
        <w:bidi w:val="0"/>
        <w:spacing w:line="360" w:lineRule="auto"/>
        <w:ind w:firstLine="480" w:firstLineChars="200"/>
        <w:rPr>
          <w:rFonts w:hAnsi="宋体"/>
          <w:b/>
          <w:color w:val="auto"/>
          <w:sz w:val="24"/>
          <w:szCs w:val="24"/>
          <w:highlight w:val="none"/>
        </w:rPr>
      </w:pPr>
      <w:r>
        <w:rPr>
          <w:rFonts w:hint="eastAsia" w:hAnsi="宋体"/>
          <w:b/>
          <w:color w:val="auto"/>
          <w:sz w:val="24"/>
          <w:szCs w:val="24"/>
          <w:highlight w:val="none"/>
          <w:lang w:val="en-US" w:eastAsia="zh-CN"/>
        </w:rPr>
        <w:t xml:space="preserve">第十二条 </w:t>
      </w:r>
      <w:r>
        <w:rPr>
          <w:rFonts w:hint="eastAsia" w:hAnsi="宋体"/>
          <w:b/>
          <w:color w:val="auto"/>
          <w:sz w:val="24"/>
          <w:szCs w:val="24"/>
          <w:highlight w:val="none"/>
        </w:rPr>
        <w:t>合同生效及其它</w:t>
      </w:r>
      <w:r>
        <w:rPr>
          <w:rFonts w:hint="eastAsia" w:hAnsi="宋体"/>
          <w:b/>
          <w:color w:val="auto"/>
          <w:sz w:val="24"/>
          <w:szCs w:val="24"/>
          <w:highlight w:val="none"/>
        </w:rPr>
        <w:tab/>
      </w:r>
    </w:p>
    <w:p>
      <w:pPr>
        <w:pStyle w:val="9"/>
        <w:keepNext w:val="0"/>
        <w:keepLines w:val="0"/>
        <w:pageBreakBefore w:val="0"/>
        <w:widowControl/>
        <w:kinsoku/>
        <w:wordWrap/>
        <w:overflowPunct/>
        <w:topLinePunct w:val="0"/>
        <w:bidi w:val="0"/>
        <w:spacing w:line="360" w:lineRule="auto"/>
        <w:ind w:right="-88" w:firstLine="480" w:firstLineChars="200"/>
        <w:rPr>
          <w:rFonts w:ascii="宋体" w:hAnsi="宋体" w:cs="宋体"/>
          <w:color w:val="auto"/>
          <w:highlight w:val="none"/>
        </w:rPr>
      </w:pPr>
      <w:r>
        <w:rPr>
          <w:rFonts w:hint="eastAsia" w:ascii="宋体" w:hAnsi="宋体" w:cs="宋体"/>
          <w:color w:val="auto"/>
          <w:highlight w:val="none"/>
        </w:rPr>
        <w:t>1. 合同经双方</w:t>
      </w:r>
      <w:r>
        <w:rPr>
          <w:rFonts w:hint="eastAsia" w:ascii="宋体" w:hAnsi="宋体" w:cs="宋体"/>
          <w:color w:val="auto"/>
          <w:highlight w:val="none"/>
          <w:lang w:eastAsia="zh-CN"/>
        </w:rPr>
        <w:t>法定代表人（单位负责人）</w:t>
      </w:r>
      <w:r>
        <w:rPr>
          <w:rFonts w:hint="eastAsia" w:ascii="宋体" w:hAnsi="宋体" w:cs="宋体"/>
          <w:color w:val="auto"/>
          <w:highlight w:val="none"/>
        </w:rPr>
        <w:t>或授权代表签字并加盖单位公章后生效。</w:t>
      </w:r>
    </w:p>
    <w:p>
      <w:pPr>
        <w:pStyle w:val="9"/>
        <w:keepNext w:val="0"/>
        <w:keepLines w:val="0"/>
        <w:pageBreakBefore w:val="0"/>
        <w:widowControl/>
        <w:kinsoku/>
        <w:wordWrap/>
        <w:overflowPunct/>
        <w:topLinePunct w:val="0"/>
        <w:bidi w:val="0"/>
        <w:spacing w:line="360" w:lineRule="auto"/>
        <w:ind w:right="-88" w:firstLine="480" w:firstLineChars="200"/>
        <w:rPr>
          <w:rFonts w:ascii="宋体" w:hAnsi="宋体" w:cs="宋体"/>
          <w:color w:val="auto"/>
          <w:highlight w:val="none"/>
        </w:rPr>
      </w:pPr>
      <w:r>
        <w:rPr>
          <w:rFonts w:hint="eastAsia" w:ascii="宋体" w:hAnsi="宋体" w:cs="宋体"/>
          <w:color w:val="auto"/>
          <w:highlight w:val="none"/>
        </w:rPr>
        <w:t>2. 本合同未尽事宜，遵照《民法典》有关条文执行。</w:t>
      </w:r>
    </w:p>
    <w:p>
      <w:pPr>
        <w:pStyle w:val="9"/>
        <w:keepNext w:val="0"/>
        <w:keepLines w:val="0"/>
        <w:pageBreakBefore w:val="0"/>
        <w:widowControl/>
        <w:kinsoku/>
        <w:wordWrap/>
        <w:overflowPunct/>
        <w:topLinePunct w:val="0"/>
        <w:bidi w:val="0"/>
        <w:spacing w:line="360" w:lineRule="auto"/>
        <w:ind w:right="-88" w:firstLine="480" w:firstLineChars="200"/>
        <w:rPr>
          <w:rFonts w:hint="eastAsia" w:ascii="宋体" w:hAnsi="宋体" w:cs="宋体"/>
          <w:color w:val="auto"/>
          <w:highlight w:val="none"/>
        </w:rPr>
      </w:pPr>
      <w:r>
        <w:rPr>
          <w:rFonts w:hint="eastAsia" w:ascii="宋体" w:hAnsi="宋体" w:cs="宋体"/>
          <w:color w:val="auto"/>
          <w:highlight w:val="none"/>
        </w:rPr>
        <w:t>3. 本合同一式陆份。甲、乙双方各执贰份，采购组织机构及同级人民政府财政部门各执一份。本项目未尽事宜以招标文件、投标文件及澄清文件等为准。</w:t>
      </w:r>
    </w:p>
    <w:p>
      <w:pPr>
        <w:pStyle w:val="10"/>
        <w:rPr>
          <w:rFonts w:hint="eastAsia"/>
          <w:color w:val="auto"/>
          <w:highlight w:val="none"/>
        </w:rPr>
      </w:pPr>
    </w:p>
    <w:p>
      <w:pPr>
        <w:rPr>
          <w:rFonts w:hint="eastAsia"/>
          <w:color w:val="auto"/>
          <w:highlight w:val="none"/>
        </w:rPr>
      </w:pPr>
    </w:p>
    <w:p>
      <w:pPr>
        <w:keepNext w:val="0"/>
        <w:keepLines w:val="0"/>
        <w:pageBreakBefore w:val="0"/>
        <w:kinsoku/>
        <w:wordWrap/>
        <w:overflowPunct/>
        <w:topLinePunct w:val="0"/>
        <w:bidi w:val="0"/>
        <w:spacing w:line="360" w:lineRule="auto"/>
        <w:textAlignment w:val="baseline"/>
        <w:rPr>
          <w:rStyle w:val="92"/>
          <w:rFonts w:ascii="宋体" w:hAnsi="宋体" w:cs="宋体"/>
          <w:color w:val="auto"/>
          <w:sz w:val="24"/>
          <w:szCs w:val="32"/>
          <w:highlight w:val="none"/>
        </w:rPr>
      </w:pPr>
      <w:r>
        <w:rPr>
          <w:rStyle w:val="92"/>
          <w:rFonts w:hint="eastAsia" w:ascii="宋体" w:hAnsi="宋体" w:cs="宋体"/>
          <w:color w:val="auto"/>
          <w:sz w:val="24"/>
          <w:szCs w:val="32"/>
          <w:highlight w:val="none"/>
        </w:rPr>
        <w:t xml:space="preserve">甲方（公章）：                          </w:t>
      </w:r>
      <w:r>
        <w:rPr>
          <w:rStyle w:val="92"/>
          <w:rFonts w:hint="eastAsia" w:ascii="宋体" w:hAnsi="宋体" w:cs="宋体"/>
          <w:color w:val="auto"/>
          <w:sz w:val="24"/>
          <w:szCs w:val="32"/>
          <w:highlight w:val="none"/>
          <w:lang w:val="en-US"/>
        </w:rPr>
        <w:t xml:space="preserve"> </w:t>
      </w:r>
      <w:r>
        <w:rPr>
          <w:rStyle w:val="92"/>
          <w:rFonts w:hint="eastAsia" w:ascii="宋体" w:hAnsi="宋体" w:cs="宋体"/>
          <w:color w:val="auto"/>
          <w:sz w:val="24"/>
          <w:szCs w:val="32"/>
          <w:highlight w:val="none"/>
        </w:rPr>
        <w:t>乙方（公章）：</w:t>
      </w:r>
    </w:p>
    <w:p>
      <w:pPr>
        <w:keepNext w:val="0"/>
        <w:keepLines w:val="0"/>
        <w:pageBreakBefore w:val="0"/>
        <w:kinsoku/>
        <w:wordWrap/>
        <w:overflowPunct/>
        <w:topLinePunct w:val="0"/>
        <w:bidi w:val="0"/>
        <w:spacing w:line="360" w:lineRule="auto"/>
        <w:textAlignment w:val="baseline"/>
        <w:rPr>
          <w:rStyle w:val="92"/>
          <w:rFonts w:ascii="宋体" w:hAnsi="宋体" w:cs="宋体"/>
          <w:color w:val="auto"/>
          <w:sz w:val="24"/>
          <w:szCs w:val="32"/>
          <w:highlight w:val="none"/>
        </w:rPr>
      </w:pPr>
      <w:r>
        <w:rPr>
          <w:rStyle w:val="92"/>
          <w:rFonts w:hint="eastAsia" w:ascii="宋体" w:hAnsi="宋体" w:cs="宋体"/>
          <w:color w:val="auto"/>
          <w:sz w:val="24"/>
          <w:szCs w:val="32"/>
          <w:highlight w:val="none"/>
        </w:rPr>
        <w:t xml:space="preserve">法定代表人（单位负责人）或             </w:t>
      </w:r>
      <w:r>
        <w:rPr>
          <w:rStyle w:val="92"/>
          <w:rFonts w:hint="eastAsia" w:ascii="宋体" w:hAnsi="宋体" w:cs="宋体"/>
          <w:color w:val="auto"/>
          <w:sz w:val="24"/>
          <w:szCs w:val="32"/>
          <w:highlight w:val="none"/>
          <w:lang w:val="en-US"/>
        </w:rPr>
        <w:t xml:space="preserve"> </w:t>
      </w:r>
      <w:r>
        <w:rPr>
          <w:rStyle w:val="92"/>
          <w:rFonts w:hint="eastAsia" w:ascii="宋体" w:hAnsi="宋体" w:cs="宋体"/>
          <w:color w:val="auto"/>
          <w:sz w:val="24"/>
          <w:szCs w:val="32"/>
          <w:highlight w:val="none"/>
        </w:rPr>
        <w:t>法定代表人（单位负责人）或</w:t>
      </w:r>
    </w:p>
    <w:p>
      <w:pPr>
        <w:keepNext w:val="0"/>
        <w:keepLines w:val="0"/>
        <w:pageBreakBefore w:val="0"/>
        <w:kinsoku/>
        <w:wordWrap/>
        <w:overflowPunct/>
        <w:topLinePunct w:val="0"/>
        <w:bidi w:val="0"/>
        <w:spacing w:line="360" w:lineRule="auto"/>
        <w:textAlignment w:val="baseline"/>
        <w:rPr>
          <w:rStyle w:val="92"/>
          <w:rFonts w:ascii="宋体" w:hAnsi="宋体" w:cs="宋体"/>
          <w:color w:val="auto"/>
          <w:sz w:val="24"/>
          <w:szCs w:val="32"/>
          <w:highlight w:val="none"/>
        </w:rPr>
      </w:pPr>
      <w:r>
        <w:rPr>
          <w:rStyle w:val="92"/>
          <w:rFonts w:hint="eastAsia" w:ascii="宋体" w:hAnsi="宋体" w:cs="宋体"/>
          <w:color w:val="auto"/>
          <w:sz w:val="24"/>
          <w:szCs w:val="32"/>
          <w:highlight w:val="none"/>
        </w:rPr>
        <w:t xml:space="preserve">授权委托代理人（签章）：                </w:t>
      </w:r>
      <w:r>
        <w:rPr>
          <w:rStyle w:val="92"/>
          <w:rFonts w:hint="eastAsia" w:ascii="宋体" w:hAnsi="宋体" w:cs="宋体"/>
          <w:color w:val="auto"/>
          <w:sz w:val="24"/>
          <w:szCs w:val="32"/>
          <w:highlight w:val="none"/>
          <w:lang w:val="en-US"/>
        </w:rPr>
        <w:t xml:space="preserve"> </w:t>
      </w:r>
      <w:r>
        <w:rPr>
          <w:rStyle w:val="92"/>
          <w:rFonts w:hint="eastAsia" w:ascii="宋体" w:hAnsi="宋体" w:cs="宋体"/>
          <w:color w:val="auto"/>
          <w:sz w:val="24"/>
          <w:szCs w:val="32"/>
          <w:highlight w:val="none"/>
        </w:rPr>
        <w:t>授权委托代理人（签章）：</w:t>
      </w:r>
    </w:p>
    <w:p>
      <w:pPr>
        <w:keepNext w:val="0"/>
        <w:keepLines w:val="0"/>
        <w:pageBreakBefore w:val="0"/>
        <w:kinsoku/>
        <w:wordWrap/>
        <w:overflowPunct/>
        <w:topLinePunct w:val="0"/>
        <w:bidi w:val="0"/>
        <w:spacing w:line="360" w:lineRule="auto"/>
        <w:textAlignment w:val="baseline"/>
        <w:rPr>
          <w:rStyle w:val="92"/>
          <w:rFonts w:ascii="宋体" w:hAnsi="宋体" w:cs="宋体"/>
          <w:color w:val="auto"/>
          <w:sz w:val="24"/>
          <w:szCs w:val="32"/>
          <w:highlight w:val="none"/>
        </w:rPr>
      </w:pPr>
      <w:r>
        <w:rPr>
          <w:rStyle w:val="92"/>
          <w:rFonts w:hint="eastAsia" w:ascii="宋体" w:hAnsi="宋体" w:cs="宋体"/>
          <w:color w:val="auto"/>
          <w:sz w:val="24"/>
          <w:szCs w:val="32"/>
          <w:highlight w:val="none"/>
        </w:rPr>
        <w:t>联系电话：                              联系电话：</w:t>
      </w:r>
    </w:p>
    <w:p>
      <w:pPr>
        <w:keepNext w:val="0"/>
        <w:keepLines w:val="0"/>
        <w:pageBreakBefore w:val="0"/>
        <w:kinsoku/>
        <w:wordWrap/>
        <w:overflowPunct/>
        <w:topLinePunct w:val="0"/>
        <w:bidi w:val="0"/>
        <w:spacing w:line="360" w:lineRule="auto"/>
        <w:textAlignment w:val="baseline"/>
        <w:rPr>
          <w:rStyle w:val="92"/>
          <w:rFonts w:ascii="宋体" w:hAnsi="宋体" w:cs="宋体"/>
          <w:color w:val="auto"/>
          <w:sz w:val="24"/>
          <w:szCs w:val="32"/>
          <w:highlight w:val="none"/>
        </w:rPr>
      </w:pPr>
      <w:r>
        <w:rPr>
          <w:rStyle w:val="92"/>
          <w:rFonts w:hint="eastAsia" w:ascii="宋体" w:hAnsi="宋体" w:cs="宋体"/>
          <w:color w:val="auto"/>
          <w:sz w:val="24"/>
          <w:szCs w:val="32"/>
          <w:highlight w:val="none"/>
        </w:rPr>
        <w:t>户    名：                              户    名：</w:t>
      </w:r>
    </w:p>
    <w:p>
      <w:pPr>
        <w:keepNext w:val="0"/>
        <w:keepLines w:val="0"/>
        <w:pageBreakBefore w:val="0"/>
        <w:kinsoku/>
        <w:wordWrap/>
        <w:overflowPunct/>
        <w:topLinePunct w:val="0"/>
        <w:bidi w:val="0"/>
        <w:spacing w:line="360" w:lineRule="auto"/>
        <w:textAlignment w:val="baseline"/>
        <w:rPr>
          <w:rStyle w:val="92"/>
          <w:rFonts w:ascii="宋体" w:hAnsi="宋体" w:cs="宋体"/>
          <w:color w:val="auto"/>
          <w:sz w:val="24"/>
          <w:szCs w:val="32"/>
          <w:highlight w:val="none"/>
        </w:rPr>
      </w:pPr>
      <w:r>
        <w:rPr>
          <w:rStyle w:val="92"/>
          <w:rFonts w:hint="eastAsia" w:ascii="宋体" w:hAnsi="宋体" w:cs="宋体"/>
          <w:color w:val="auto"/>
          <w:sz w:val="24"/>
          <w:szCs w:val="32"/>
          <w:highlight w:val="none"/>
        </w:rPr>
        <w:t>开户银行：                              开户银行（必填）：</w:t>
      </w:r>
    </w:p>
    <w:p>
      <w:pPr>
        <w:keepNext w:val="0"/>
        <w:keepLines w:val="0"/>
        <w:pageBreakBefore w:val="0"/>
        <w:kinsoku/>
        <w:wordWrap/>
        <w:overflowPunct/>
        <w:topLinePunct w:val="0"/>
        <w:bidi w:val="0"/>
        <w:spacing w:line="360" w:lineRule="auto"/>
        <w:textAlignment w:val="baseline"/>
        <w:rPr>
          <w:rStyle w:val="92"/>
          <w:rFonts w:ascii="宋体" w:hAnsi="宋体" w:cs="宋体"/>
          <w:color w:val="auto"/>
          <w:sz w:val="24"/>
          <w:szCs w:val="32"/>
          <w:highlight w:val="none"/>
        </w:rPr>
      </w:pPr>
      <w:r>
        <w:rPr>
          <w:rStyle w:val="92"/>
          <w:rFonts w:hint="eastAsia" w:ascii="宋体" w:hAnsi="宋体" w:cs="宋体"/>
          <w:color w:val="auto"/>
          <w:sz w:val="24"/>
          <w:szCs w:val="32"/>
          <w:highlight w:val="none"/>
        </w:rPr>
        <w:t>账    号：                              账    号（必填）：</w:t>
      </w:r>
    </w:p>
    <w:p>
      <w:pPr>
        <w:keepNext w:val="0"/>
        <w:keepLines w:val="0"/>
        <w:pageBreakBefore w:val="0"/>
        <w:kinsoku/>
        <w:wordWrap/>
        <w:overflowPunct/>
        <w:topLinePunct w:val="0"/>
        <w:bidi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日    期： </w:t>
      </w:r>
    </w:p>
    <w:p>
      <w:pPr>
        <w:pStyle w:val="2"/>
        <w:rPr>
          <w:rFonts w:hint="eastAsia" w:ascii="宋体" w:hAnsi="宋体" w:cs="宋体"/>
          <w:color w:val="auto"/>
          <w:sz w:val="24"/>
          <w:szCs w:val="24"/>
          <w:highlight w:val="none"/>
        </w:rPr>
      </w:pPr>
    </w:p>
    <w:p>
      <w:pPr>
        <w:spacing w:line="360" w:lineRule="auto"/>
        <w:jc w:val="both"/>
        <w:rPr>
          <w:rFonts w:ascii="宋体" w:hAnsi="宋体" w:cs="宋体"/>
          <w:color w:val="auto"/>
          <w:sz w:val="24"/>
          <w:szCs w:val="24"/>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投标文件格式附件</w:t>
      </w:r>
    </w:p>
    <w:p>
      <w:pP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pPr>
        <w:spacing w:line="360" w:lineRule="auto"/>
        <w:rPr>
          <w:rFonts w:ascii="宋体"/>
          <w:b/>
          <w:bCs/>
          <w:color w:val="auto"/>
          <w:sz w:val="30"/>
          <w:szCs w:val="30"/>
          <w:highlight w:val="none"/>
        </w:rPr>
      </w:pPr>
    </w:p>
    <w:p>
      <w:pP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pPr>
        <w:autoSpaceDE w:val="0"/>
        <w:autoSpaceDN w:val="0"/>
        <w:adjustRightInd w:val="0"/>
        <w:spacing w:line="360" w:lineRule="auto"/>
        <w:jc w:val="center"/>
        <w:rPr>
          <w:rFonts w:ascii="宋体"/>
          <w:color w:val="auto"/>
          <w:sz w:val="84"/>
          <w:szCs w:val="84"/>
          <w:highlight w:val="none"/>
          <w:lang w:val="zh-CN"/>
        </w:rPr>
      </w:pP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jc w:val="center"/>
        <w:rPr>
          <w:rFonts w:ascii="宋体"/>
          <w:b/>
          <w:bCs/>
          <w:color w:val="auto"/>
          <w:spacing w:val="40"/>
          <w:sz w:val="36"/>
          <w:szCs w:val="36"/>
          <w:highlight w:val="none"/>
        </w:rPr>
      </w:pPr>
      <w:r>
        <w:rPr>
          <w:rFonts w:hint="eastAsia" w:ascii="宋体" w:hAnsi="宋体" w:cs="宋体"/>
          <w:color w:val="auto"/>
          <w:sz w:val="36"/>
          <w:szCs w:val="36"/>
          <w:highlight w:val="none"/>
          <w:lang w:val="zh-CN"/>
        </w:rPr>
        <w:t>（资格</w:t>
      </w:r>
      <w:r>
        <w:rPr>
          <w:rFonts w:hint="eastAsia" w:ascii="宋体" w:hAnsi="宋体" w:cs="宋体"/>
          <w:color w:val="auto"/>
          <w:sz w:val="36"/>
          <w:szCs w:val="36"/>
          <w:highlight w:val="none"/>
        </w:rPr>
        <w:t>证明</w:t>
      </w:r>
      <w:r>
        <w:rPr>
          <w:rFonts w:hint="eastAsia" w:ascii="宋体" w:hAnsi="宋体" w:cs="宋体"/>
          <w:color w:val="auto"/>
          <w:sz w:val="36"/>
          <w:szCs w:val="36"/>
          <w:highlight w:val="none"/>
          <w:lang w:val="zh-CN"/>
        </w:rPr>
        <w:t>文件</w:t>
      </w:r>
      <w:r>
        <w:rPr>
          <w:rFonts w:hint="eastAsia" w:ascii="宋体" w:hAnsi="宋体" w:cs="宋体"/>
          <w:color w:val="auto"/>
          <w:spacing w:val="40"/>
          <w:sz w:val="36"/>
          <w:szCs w:val="36"/>
          <w:highlight w:val="none"/>
        </w:rPr>
        <w:t>）</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资格证明文件目录</w:t>
      </w:r>
    </w:p>
    <w:p>
      <w:pPr>
        <w:spacing w:line="360" w:lineRule="auto"/>
        <w:rPr>
          <w:rFonts w:ascii="宋体"/>
          <w:color w:val="auto"/>
          <w:sz w:val="24"/>
          <w:szCs w:val="24"/>
          <w:highlight w:val="none"/>
        </w:rPr>
      </w:pP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投标声明书（附件2）；</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授权委托书（附件3）；（法定代表人（单位负责人）亲自办理投标事宜的，则无需提交）；</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法人或者其他组织的营业执照等证明文件，自然人的身份证明；</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32"/>
          <w:highlight w:val="none"/>
          <w:lang w:eastAsia="zh-CN"/>
        </w:rPr>
        <w:t>良好财务状况证明材料及没有税收缴纳、社会保障等方面的失信记录的承诺函</w:t>
      </w:r>
      <w:r>
        <w:rPr>
          <w:rFonts w:hint="eastAsia" w:ascii="宋体" w:hAnsi="宋体" w:cs="宋体"/>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rPr>
        <w:t>提供采购公告中符合供应商特定条件的有效资质证书复印件（</w:t>
      </w:r>
      <w:r>
        <w:rPr>
          <w:rFonts w:hint="eastAsia" w:ascii="宋体" w:hAnsi="宋体" w:cs="宋体"/>
          <w:color w:val="auto"/>
          <w:sz w:val="24"/>
          <w:szCs w:val="32"/>
          <w:highlight w:val="none"/>
          <w:lang w:eastAsia="zh-CN"/>
        </w:rPr>
        <w:t>《</w:t>
      </w:r>
      <w:r>
        <w:rPr>
          <w:rFonts w:hint="eastAsia" w:ascii="宋体" w:hAnsi="宋体" w:cs="宋体"/>
          <w:color w:val="auto"/>
          <w:sz w:val="24"/>
          <w:szCs w:val="24"/>
          <w:highlight w:val="none"/>
          <w:lang w:val="en-US" w:eastAsia="zh-CN"/>
        </w:rPr>
        <w:t>中华人民共和国经营保险业务许可证》</w:t>
      </w:r>
      <w:r>
        <w:rPr>
          <w:rFonts w:hint="eastAsia" w:ascii="宋体" w:hAnsi="宋体" w:eastAsia="宋体" w:cs="宋体"/>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rPr>
        <w:t>需要说明的其他资料。</w:t>
      </w:r>
    </w:p>
    <w:p>
      <w:pPr>
        <w:pStyle w:val="33"/>
        <w:rPr>
          <w:color w:val="auto"/>
          <w:highlight w:val="none"/>
        </w:rPr>
      </w:pPr>
    </w:p>
    <w:p>
      <w:pPr>
        <w:spacing w:line="360" w:lineRule="auto"/>
        <w:ind w:firstLine="560" w:firstLineChars="200"/>
        <w:jc w:val="left"/>
        <w:rPr>
          <w:rFonts w:ascii="宋体"/>
          <w:color w:val="auto"/>
          <w:sz w:val="28"/>
          <w:szCs w:val="28"/>
          <w:highlight w:val="none"/>
        </w:rPr>
      </w:pPr>
    </w:p>
    <w:p>
      <w:pPr>
        <w:spacing w:line="360" w:lineRule="auto"/>
        <w:ind w:firstLine="560" w:firstLineChars="200"/>
        <w:jc w:val="left"/>
        <w:rPr>
          <w:rFonts w:ascii="宋体"/>
          <w:color w:val="auto"/>
          <w:sz w:val="28"/>
          <w:szCs w:val="28"/>
          <w:highlight w:val="none"/>
        </w:rPr>
      </w:pPr>
    </w:p>
    <w:p>
      <w:pPr>
        <w:pStyle w:val="5"/>
        <w:rPr>
          <w:rFonts w:ascii="宋体"/>
          <w:color w:val="auto"/>
          <w:highlight w:val="none"/>
        </w:rPr>
      </w:pPr>
    </w:p>
    <w:p>
      <w:pPr>
        <w:rPr>
          <w:rFonts w:ascii="宋体"/>
          <w:color w:val="auto"/>
          <w:sz w:val="28"/>
          <w:szCs w:val="28"/>
          <w:highlight w:val="none"/>
        </w:rPr>
      </w:pPr>
    </w:p>
    <w:p>
      <w:pPr>
        <w:pStyle w:val="5"/>
        <w:rPr>
          <w:rFonts w:ascii="宋体"/>
          <w:color w:val="auto"/>
          <w:highlight w:val="none"/>
        </w:rPr>
      </w:pPr>
    </w:p>
    <w:p>
      <w:pPr>
        <w:rPr>
          <w:color w:val="auto"/>
          <w:highlight w:val="none"/>
        </w:rPr>
      </w:pPr>
    </w:p>
    <w:p>
      <w:pPr>
        <w:spacing w:line="360" w:lineRule="auto"/>
        <w:ind w:firstLine="560" w:firstLineChars="200"/>
        <w:jc w:val="left"/>
        <w:rPr>
          <w:rFonts w:ascii="宋体"/>
          <w:color w:val="auto"/>
          <w:sz w:val="28"/>
          <w:szCs w:val="28"/>
          <w:highlight w:val="none"/>
        </w:rPr>
      </w:pPr>
    </w:p>
    <w:p>
      <w:pPr>
        <w:pStyle w:val="9"/>
        <w:rPr>
          <w:rFonts w:ascii="宋体"/>
          <w:color w:val="auto"/>
          <w:sz w:val="28"/>
          <w:szCs w:val="28"/>
          <w:highlight w:val="none"/>
        </w:rPr>
      </w:pPr>
    </w:p>
    <w:p>
      <w:pPr>
        <w:pStyle w:val="10"/>
        <w:rPr>
          <w:rFonts w:ascii="宋体"/>
          <w:color w:val="auto"/>
          <w:sz w:val="28"/>
          <w:szCs w:val="28"/>
          <w:highlight w:val="none"/>
        </w:rPr>
      </w:pPr>
    </w:p>
    <w:p>
      <w:pPr>
        <w:pStyle w:val="11"/>
        <w:rPr>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hint="eastAsia" w:ascii="宋体" w:hAnsi="宋体" w:cs="宋体"/>
          <w:b/>
          <w:bCs/>
          <w:color w:val="auto"/>
          <w:sz w:val="28"/>
          <w:szCs w:val="28"/>
          <w:highlight w:val="none"/>
        </w:rPr>
      </w:pPr>
    </w:p>
    <w:p>
      <w:pPr>
        <w:spacing w:line="360" w:lineRule="auto"/>
        <w:rPr>
          <w:rFonts w:hint="eastAsia" w:ascii="宋体" w:hAnsi="宋体" w:cs="宋体"/>
          <w:b/>
          <w:bCs/>
          <w:color w:val="auto"/>
          <w:kern w:val="0"/>
          <w:sz w:val="32"/>
          <w:szCs w:val="32"/>
          <w:highlight w:val="none"/>
          <w:lang w:val="zh-CN"/>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2                  </w:t>
      </w:r>
      <w:r>
        <w:rPr>
          <w:rFonts w:hint="eastAsia" w:ascii="宋体" w:hAnsi="宋体" w:cs="宋体"/>
          <w:b/>
          <w:bCs/>
          <w:color w:val="auto"/>
          <w:kern w:val="0"/>
          <w:sz w:val="32"/>
          <w:szCs w:val="32"/>
          <w:highlight w:val="none"/>
          <w:lang w:val="zh-CN"/>
        </w:rPr>
        <w:t>投标声明书</w:t>
      </w:r>
    </w:p>
    <w:p>
      <w:pPr>
        <w:pStyle w:val="33"/>
        <w:rPr>
          <w:color w:val="auto"/>
          <w:highlight w:val="none"/>
          <w:lang w:val="zh-CN"/>
        </w:rPr>
      </w:pPr>
    </w:p>
    <w:p>
      <w:pPr>
        <w:spacing w:line="440" w:lineRule="exac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系中华人民共和国合法企业，经营地址。</w:t>
      </w:r>
    </w:p>
    <w:p>
      <w:pP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，我公司自愿参加贵方组织的（</w:t>
      </w:r>
      <w:r>
        <w:rPr>
          <w:rFonts w:hint="eastAsia" w:ascii="宋体" w:hAnsi="宋体" w:cs="宋体"/>
          <w:color w:val="auto"/>
          <w:sz w:val="24"/>
          <w:szCs w:val="24"/>
          <w:highlight w:val="none"/>
          <w:u w:val="single"/>
          <w:lang w:eastAsia="zh-CN"/>
        </w:rPr>
        <w:t>工伤保险业务服务委托商业保险公司协助经办和运营管理项目</w:t>
      </w:r>
      <w:r>
        <w:rPr>
          <w:rFonts w:hint="eastAsia" w:ascii="宋体" w:hAnsi="宋体" w:cs="宋体"/>
          <w:color w:val="auto"/>
          <w:sz w:val="24"/>
          <w:szCs w:val="24"/>
          <w:highlight w:val="none"/>
        </w:rPr>
        <w:t>）（编号为：</w:t>
      </w:r>
      <w:r>
        <w:rPr>
          <w:rFonts w:hint="eastAsia" w:ascii="宋体" w:hAnsi="宋体" w:cs="宋体"/>
          <w:color w:val="auto"/>
          <w:sz w:val="24"/>
          <w:szCs w:val="24"/>
          <w:highlight w:val="none"/>
          <w:u w:val="single"/>
          <w:lang w:eastAsia="zh-CN"/>
        </w:rPr>
        <w:t>ZJWS2023-LQ07</w:t>
      </w:r>
      <w:r>
        <w:rPr>
          <w:rFonts w:hint="eastAsia" w:ascii="宋体" w:hAnsi="宋体" w:cs="宋体"/>
          <w:color w:val="auto"/>
          <w:sz w:val="24"/>
          <w:szCs w:val="24"/>
          <w:highlight w:val="none"/>
        </w:rPr>
        <w:t>）的投标，为此，我公司就本次投标有关事项郑重声明如下：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rPr>
        <w:t>不是采购人的附属机构；在获知本项目采购信息后，与采购人聘请的为此项目提供咨询服务的公司及其附属机构没有任何联系。</w:t>
      </w:r>
    </w:p>
    <w:p>
      <w:pPr>
        <w:spacing w:line="360" w:lineRule="auto"/>
        <w:ind w:firstLine="480" w:firstLineChars="200"/>
        <w:rPr>
          <w:rFonts w:ascii="宋体"/>
          <w:color w:val="auto"/>
          <w:sz w:val="24"/>
          <w:szCs w:val="24"/>
          <w:highlight w:val="none"/>
          <w:lang w:val="af-ZA"/>
        </w:rPr>
      </w:pPr>
      <w:r>
        <w:rPr>
          <w:rFonts w:ascii="宋体" w:hAnsi="宋体" w:cs="宋体"/>
          <w:color w:val="auto"/>
          <w:sz w:val="24"/>
          <w:szCs w:val="24"/>
          <w:highlight w:val="none"/>
        </w:rPr>
        <w:t>4</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rPr>
        <w:t>保证，</w:t>
      </w:r>
      <w:r>
        <w:rPr>
          <w:rFonts w:hint="eastAsia" w:ascii="宋体" w:hAnsi="宋体" w:cs="宋体"/>
          <w:color w:val="auto"/>
          <w:sz w:val="24"/>
          <w:szCs w:val="24"/>
          <w:highlight w:val="none"/>
          <w:lang w:val="af-ZA"/>
        </w:rPr>
        <w:t>采购人在中华人民共和国境内使用</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lang w:val="af-ZA"/>
        </w:rPr>
        <w:t>5</w:t>
      </w:r>
      <w:r>
        <w:rPr>
          <w:rFonts w:hint="eastAsia" w:ascii="宋体" w:hAnsi="宋体" w:cs="宋体"/>
          <w:color w:val="auto"/>
          <w:sz w:val="24"/>
          <w:szCs w:val="24"/>
          <w:highlight w:val="none"/>
          <w:lang w:val="af-ZA"/>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lang w:val="af-ZA"/>
        </w:rPr>
        <w:t>严格履行政府采购合同，不降低合同约定的产品质量和服务，不擅自变更、中止、终止合同，或拒绝履行合同义务；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、以上事项如有虚假或隐瞒，我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rPr>
        <w:t>愿意承担一切后果，并不再寻求任何旨在减轻或免除法律责任的辩解。</w:t>
      </w:r>
    </w:p>
    <w:p>
      <w:pPr>
        <w:spacing w:line="360" w:lineRule="auto"/>
        <w:ind w:firstLine="4320" w:firstLineChars="1800"/>
        <w:rPr>
          <w:rFonts w:ascii="宋体"/>
          <w:color w:val="auto"/>
          <w:sz w:val="24"/>
          <w:szCs w:val="24"/>
          <w:highlight w:val="none"/>
          <w:lang w:val="zh-CN"/>
        </w:rPr>
      </w:pPr>
      <w:r>
        <w:rPr>
          <w:rFonts w:hint="eastAsia" w:ascii="宋体" w:hAnsi="宋体" w:cs="宋体"/>
          <w:color w:val="auto"/>
          <w:sz w:val="24"/>
          <w:szCs w:val="24"/>
          <w:highlight w:val="none"/>
          <w:lang w:val="zh-CN"/>
        </w:rPr>
        <w:t>投标人名称（公章）：</w:t>
      </w:r>
    </w:p>
    <w:p>
      <w:pPr>
        <w:spacing w:line="360" w:lineRule="auto"/>
        <w:ind w:firstLine="1680" w:firstLineChars="700"/>
        <w:rPr>
          <w:rFonts w:ascii="宋体"/>
          <w:color w:val="auto"/>
          <w:sz w:val="24"/>
          <w:szCs w:val="24"/>
          <w:highlight w:val="none"/>
          <w:lang w:val="zh-CN"/>
        </w:rPr>
      </w:pPr>
      <w:r>
        <w:rPr>
          <w:rFonts w:hint="eastAsia" w:ascii="宋体" w:hAnsi="宋体" w:cs="宋体"/>
          <w:color w:val="auto"/>
          <w:sz w:val="24"/>
          <w:szCs w:val="24"/>
          <w:highlight w:val="none"/>
          <w:lang w:val="zh-CN"/>
        </w:rPr>
        <w:t>法定代表人（单位负责人）或授权委托代理人（签字</w:t>
      </w:r>
      <w:r>
        <w:rPr>
          <w:rFonts w:hint="eastAsia" w:ascii="宋体" w:hAnsi="宋体" w:cs="宋体"/>
          <w:color w:val="auto"/>
          <w:sz w:val="24"/>
          <w:szCs w:val="24"/>
          <w:highlight w:val="none"/>
        </w:rPr>
        <w:t>或盖章</w:t>
      </w:r>
      <w:r>
        <w:rPr>
          <w:rFonts w:hint="eastAsia" w:ascii="宋体" w:hAnsi="宋体" w:cs="宋体"/>
          <w:color w:val="auto"/>
          <w:sz w:val="24"/>
          <w:szCs w:val="24"/>
          <w:highlight w:val="none"/>
          <w:lang w:val="zh-CN"/>
        </w:rPr>
        <w:t>）：</w:t>
      </w:r>
    </w:p>
    <w:p>
      <w:pPr>
        <w:spacing w:line="360" w:lineRule="auto"/>
        <w:ind w:firstLine="4320" w:firstLineChars="18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zh-CN"/>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zh-CN"/>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zh-CN"/>
        </w:rPr>
        <w:t>日</w:t>
      </w:r>
    </w:p>
    <w:p>
      <w:pPr>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3                   </w:t>
      </w:r>
      <w:r>
        <w:rPr>
          <w:rFonts w:hint="eastAsia" w:ascii="宋体" w:hAnsi="宋体" w:cs="宋体"/>
          <w:b/>
          <w:bCs/>
          <w:color w:val="auto"/>
          <w:sz w:val="28"/>
          <w:szCs w:val="28"/>
          <w:highlight w:val="none"/>
        </w:rPr>
        <w:t>授权委托书</w:t>
      </w:r>
    </w:p>
    <w:p>
      <w:pPr>
        <w:pStyle w:val="33"/>
        <w:rPr>
          <w:color w:val="auto"/>
          <w:highlight w:val="none"/>
        </w:rPr>
      </w:pPr>
    </w:p>
    <w:p>
      <w:pPr>
        <w:spacing w:line="360" w:lineRule="auto"/>
        <w:jc w:val="lef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（投标人全称）</w:t>
      </w: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（或营业执照中单位负责人）</w:t>
      </w:r>
      <w:r>
        <w:rPr>
          <w:rFonts w:ascii="宋体"/>
          <w:color w:val="auto"/>
          <w:sz w:val="24"/>
          <w:szCs w:val="24"/>
          <w:highlight w:val="none"/>
          <w:u w:val="single"/>
        </w:rPr>
        <w:tab/>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法定代表人（单位负责人）</w:t>
      </w:r>
      <w:r>
        <w:rPr>
          <w:rFonts w:hint="eastAsia" w:ascii="宋体" w:hAnsi="宋体" w:cs="宋体"/>
          <w:color w:val="auto"/>
          <w:sz w:val="24"/>
          <w:szCs w:val="24"/>
          <w:highlight w:val="none"/>
          <w:u w:val="single"/>
        </w:rPr>
        <w:t>或营业执照中单位负责人姓名）</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（授权委托代理人姓名）</w:t>
      </w:r>
      <w:r>
        <w:rPr>
          <w:rFonts w:hint="eastAsia" w:ascii="宋体" w:hAnsi="宋体" w:cs="宋体"/>
          <w:color w:val="auto"/>
          <w:sz w:val="24"/>
          <w:szCs w:val="24"/>
          <w:highlight w:val="none"/>
        </w:rPr>
        <w:t>为授权委托代理人，参加贵单位组织的</w:t>
      </w:r>
      <w:r>
        <w:rPr>
          <w:rFonts w:hint="eastAsia" w:ascii="宋体" w:hAnsi="宋体" w:cs="宋体"/>
          <w:color w:val="auto"/>
          <w:sz w:val="24"/>
          <w:szCs w:val="24"/>
          <w:highlight w:val="none"/>
          <w:u w:val="single"/>
          <w:lang w:eastAsia="zh-CN"/>
        </w:rPr>
        <w:t>工伤保险业务服务委托商业保险公司协助经办和运营管理项目</w:t>
      </w:r>
      <w:r>
        <w:rPr>
          <w:rFonts w:hint="eastAsia" w:ascii="宋体" w:hAnsi="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授权委托代理人无转委托权，特此委托。</w:t>
      </w:r>
    </w:p>
    <w:p>
      <w:pPr>
        <w:spacing w:line="360" w:lineRule="auto"/>
        <w:ind w:firstLine="480" w:firstLineChars="200"/>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签字或盖章：</w:t>
      </w: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投标人全称（公章）：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日期：</w:t>
      </w:r>
    </w:p>
    <w:p>
      <w:pPr>
        <w:spacing w:line="360" w:lineRule="auto"/>
        <w:ind w:firstLine="480" w:firstLineChars="200"/>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法定代表身份证复印件粘帖处</w:t>
            </w:r>
          </w:p>
        </w:tc>
      </w:tr>
    </w:tbl>
    <w:p>
      <w:pPr>
        <w:spacing w:line="360" w:lineRule="auto"/>
        <w:rPr>
          <w:rFonts w:ascii="宋体"/>
          <w:color w:val="auto"/>
          <w:sz w:val="24"/>
          <w:szCs w:val="24"/>
          <w:highlight w:val="none"/>
        </w:rPr>
      </w:pPr>
      <w:r>
        <w:rPr>
          <w:rFonts w:hint="eastAsia" w:ascii="宋体" w:hAnsi="宋体" w:cs="宋体"/>
          <w:color w:val="auto"/>
          <w:sz w:val="24"/>
          <w:szCs w:val="24"/>
          <w:highlight w:val="none"/>
          <w:lang w:eastAsia="zh-CN"/>
        </w:rPr>
        <w:t>法定代表人（单位负责人）</w:t>
      </w:r>
      <w:r>
        <w:rPr>
          <w:rFonts w:hint="eastAsia" w:ascii="宋体" w:hAnsi="宋体" w:cs="宋体"/>
          <w:color w:val="auto"/>
          <w:sz w:val="24"/>
          <w:szCs w:val="24"/>
          <w:highlight w:val="none"/>
        </w:rPr>
        <w:t>姓名：</w:t>
      </w:r>
    </w:p>
    <w:p>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pacing w:line="360" w:lineRule="auto"/>
        <w:rPr>
          <w:rFonts w:ascii="宋体"/>
          <w:b/>
          <w:bCs/>
          <w:color w:val="auto"/>
          <w:sz w:val="24"/>
          <w:szCs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授权委托代理人身份证复印件粘帖处</w:t>
            </w:r>
          </w:p>
        </w:tc>
      </w:tr>
    </w:tbl>
    <w:p>
      <w:pP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授权委托代理人姓名：</w:t>
      </w:r>
    </w:p>
    <w:p>
      <w:pPr>
        <w:spacing w:line="360" w:lineRule="auto"/>
        <w:rPr>
          <w:rFonts w:ascii="宋体"/>
          <w:color w:val="auto"/>
          <w:sz w:val="24"/>
          <w:szCs w:val="24"/>
          <w:highlight w:val="none"/>
        </w:rPr>
      </w:pPr>
      <w:r>
        <w:rPr>
          <w:rFonts w:hint="eastAsia" w:ascii="宋体" w:hAnsi="宋体" w:cs="宋体"/>
          <w:color w:val="auto"/>
          <w:sz w:val="24"/>
          <w:szCs w:val="24"/>
          <w:highlight w:val="none"/>
        </w:rPr>
        <w:t>职务：</w:t>
      </w:r>
    </w:p>
    <w:p>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pacing w:line="360" w:lineRule="auto"/>
        <w:rPr>
          <w:rFonts w:ascii="宋体" w:hAnsi="宋体" w:cs="宋体"/>
          <w:b/>
          <w:bCs/>
          <w:color w:val="auto"/>
          <w:sz w:val="24"/>
          <w:szCs w:val="32"/>
          <w:highlight w:val="none"/>
        </w:rPr>
      </w:pPr>
      <w:r>
        <w:rPr>
          <w:rFonts w:ascii="宋体"/>
          <w:b/>
          <w:bCs/>
          <w:color w:val="auto"/>
          <w:sz w:val="28"/>
          <w:szCs w:val="28"/>
          <w:highlight w:val="none"/>
        </w:rPr>
        <w:br w:type="page"/>
      </w: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4</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pPr>
        <w:spacing w:line="360" w:lineRule="auto"/>
        <w:rPr>
          <w:rFonts w:ascii="宋体"/>
          <w:color w:val="auto"/>
          <w:sz w:val="24"/>
          <w:szCs w:val="24"/>
          <w:highlight w:val="none"/>
        </w:rPr>
      </w:pPr>
    </w:p>
    <w:p>
      <w:pPr>
        <w:pStyle w:val="34"/>
        <w:rPr>
          <w:color w:val="auto"/>
          <w:highlight w:val="none"/>
        </w:rPr>
      </w:pPr>
    </w:p>
    <w:p>
      <w:pP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pPr>
        <w:autoSpaceDE w:val="0"/>
        <w:autoSpaceDN w:val="0"/>
        <w:adjustRightInd w:val="0"/>
        <w:spacing w:line="360" w:lineRule="auto"/>
        <w:jc w:val="center"/>
        <w:rPr>
          <w:rFonts w:ascii="宋体"/>
          <w:color w:val="auto"/>
          <w:sz w:val="84"/>
          <w:szCs w:val="84"/>
          <w:highlight w:val="none"/>
          <w:lang w:val="zh-CN"/>
        </w:rPr>
      </w:pP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商务与技术文件目录</w:t>
      </w:r>
    </w:p>
    <w:p>
      <w:pPr>
        <w:pStyle w:val="33"/>
        <w:rPr>
          <w:color w:val="auto"/>
          <w:highlight w:val="none"/>
          <w:lang w:val="zh-CN"/>
        </w:rPr>
      </w:pP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、投标人情况介绍（附件5）；</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、投标方案描述：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项目需求的理解与分析（投标人对项目现状及需求的理解情况，对项目现状和需求描述的全面性、准确性、针对性，对项目重点、难点的把握，解决方案及合理化建议）作的实际要求如何实现这些要求，如何保质保量按时完成任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项目组织实施方案（包括确保项目服务质量的措施或方案，可根据投标人对招标任务的理解和自身情况编制，利用投标文件中承诺提供的设备、人员等资源围绕采购人的服务质量要求、工作的实际要求如何实现这些要求，如何保质保量按时完成任务）。</w:t>
      </w:r>
    </w:p>
    <w:p>
      <w:pPr>
        <w:spacing w:line="360" w:lineRule="auto"/>
        <w:ind w:firstLine="480" w:firstLineChars="200"/>
        <w:rPr>
          <w:rFonts w:ascii="宋体" w:hAnsi="宋体" w:cs="宋体"/>
          <w:color w:val="auto"/>
          <w:sz w:val="24"/>
          <w:szCs w:val="32"/>
          <w:highlight w:val="none"/>
          <w:shd w:val="clear" w:color="auto" w:fill="auto"/>
        </w:rPr>
      </w:pPr>
      <w:r>
        <w:rPr>
          <w:rFonts w:hint="eastAsia" w:ascii="宋体" w:hAnsi="宋体" w:cs="宋体"/>
          <w:color w:val="auto"/>
          <w:sz w:val="24"/>
          <w:szCs w:val="32"/>
          <w:highlight w:val="none"/>
          <w:shd w:val="clear" w:color="auto" w:fill="auto"/>
        </w:rPr>
        <w:t>3、项目实施人员一览表（附件6）；</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4、项目负责人资格情况表（附件7）；</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5、投标描述及相关资料（附件8）；</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6、技术需求响应表（附件9）；</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7、证书一览表（附件10）；</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8、投标人类似项目实施情况一览表（附件11）；</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9、商务需求响应表（附件12）；</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10、售后服务情况表（附件13）；</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11、投标人需要说明的其他内容。（包括可能影响投标人商务与技术文件评分的各类证明材料）</w:t>
      </w:r>
    </w:p>
    <w:p>
      <w:pPr>
        <w:spacing w:line="360" w:lineRule="auto"/>
        <w:ind w:firstLine="480" w:firstLineChars="200"/>
        <w:rPr>
          <w:rFonts w:hint="eastAsia" w:ascii="宋体" w:hAnsi="宋体" w:cs="宋体"/>
          <w:color w:val="auto"/>
          <w:sz w:val="24"/>
          <w:szCs w:val="32"/>
          <w:highlight w:val="none"/>
        </w:rPr>
      </w:pPr>
    </w:p>
    <w:p>
      <w:pPr>
        <w:pStyle w:val="33"/>
        <w:rPr>
          <w:rFonts w:hint="eastAsia" w:ascii="宋体" w:hAnsi="宋体" w:cs="宋体"/>
          <w:color w:val="auto"/>
          <w:sz w:val="24"/>
          <w:szCs w:val="32"/>
          <w:highlight w:val="none"/>
        </w:rPr>
      </w:pPr>
    </w:p>
    <w:p>
      <w:pPr>
        <w:pStyle w:val="33"/>
        <w:rPr>
          <w:rFonts w:hint="eastAsia" w:ascii="宋体" w:hAnsi="宋体" w:cs="宋体"/>
          <w:color w:val="auto"/>
          <w:sz w:val="24"/>
          <w:szCs w:val="32"/>
          <w:highlight w:val="none"/>
        </w:rPr>
      </w:pPr>
    </w:p>
    <w:p>
      <w:pPr>
        <w:pStyle w:val="33"/>
        <w:rPr>
          <w:rFonts w:hint="eastAsia" w:ascii="宋体" w:hAnsi="宋体" w:cs="宋体"/>
          <w:color w:val="auto"/>
          <w:sz w:val="24"/>
          <w:szCs w:val="32"/>
          <w:highlight w:val="none"/>
        </w:rPr>
      </w:pPr>
    </w:p>
    <w:p>
      <w:pPr>
        <w:pStyle w:val="33"/>
        <w:rPr>
          <w:rFonts w:hint="eastAsia" w:ascii="宋体" w:hAnsi="宋体" w:cs="宋体"/>
          <w:color w:val="auto"/>
          <w:sz w:val="24"/>
          <w:szCs w:val="32"/>
          <w:highlight w:val="none"/>
        </w:rPr>
      </w:pPr>
    </w:p>
    <w:p>
      <w:pPr>
        <w:pStyle w:val="33"/>
        <w:rPr>
          <w:rFonts w:hint="eastAsia" w:ascii="宋体" w:hAnsi="宋体" w:cs="宋体"/>
          <w:color w:val="auto"/>
          <w:sz w:val="24"/>
          <w:szCs w:val="32"/>
          <w:highlight w:val="none"/>
        </w:rPr>
      </w:pPr>
    </w:p>
    <w:p>
      <w:pPr>
        <w:pStyle w:val="33"/>
        <w:rPr>
          <w:rFonts w:hint="eastAsia" w:ascii="宋体" w:hAnsi="宋体" w:cs="宋体"/>
          <w:color w:val="auto"/>
          <w:sz w:val="24"/>
          <w:szCs w:val="32"/>
          <w:highlight w:val="none"/>
        </w:rPr>
      </w:pPr>
    </w:p>
    <w:p>
      <w:pPr>
        <w:pStyle w:val="34"/>
        <w:rPr>
          <w:rFonts w:ascii="宋体" w:hAnsi="宋体" w:eastAsia="宋体" w:cs="宋体"/>
          <w:color w:val="auto"/>
          <w:sz w:val="24"/>
          <w:szCs w:val="24"/>
          <w:highlight w:val="none"/>
        </w:rPr>
      </w:pPr>
    </w:p>
    <w:p>
      <w:pPr>
        <w:pStyle w:val="34"/>
        <w:rPr>
          <w:rFonts w:ascii="宋体" w:hAnsi="宋体" w:eastAsia="宋体" w:cs="宋体"/>
          <w:color w:val="auto"/>
          <w:sz w:val="24"/>
          <w:szCs w:val="24"/>
          <w:highlight w:val="none"/>
        </w:rPr>
      </w:pPr>
    </w:p>
    <w:p>
      <w:pPr>
        <w:pStyle w:val="34"/>
        <w:rPr>
          <w:rFonts w:ascii="宋体" w:hAnsi="宋体" w:eastAsia="宋体" w:cs="宋体"/>
          <w:color w:val="auto"/>
          <w:sz w:val="24"/>
          <w:szCs w:val="24"/>
          <w:highlight w:val="none"/>
        </w:rPr>
      </w:pPr>
    </w:p>
    <w:p>
      <w:pPr>
        <w:pStyle w:val="34"/>
        <w:rPr>
          <w:rFonts w:ascii="宋体" w:hAnsi="宋体" w:eastAsia="宋体" w:cs="宋体"/>
          <w:color w:val="auto"/>
          <w:sz w:val="24"/>
          <w:szCs w:val="24"/>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5</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pPr>
        <w:spacing w:line="360" w:lineRule="auto"/>
        <w:rPr>
          <w:rFonts w:ascii="宋体"/>
          <w:color w:val="auto"/>
          <w:sz w:val="24"/>
          <w:szCs w:val="24"/>
          <w:highlight w:val="none"/>
        </w:rPr>
      </w:pPr>
    </w:p>
    <w:tbl>
      <w:tblPr>
        <w:tblStyle w:val="25"/>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pPr>
              <w:spacing w:line="360" w:lineRule="auto"/>
              <w:jc w:val="center"/>
              <w:rPr>
                <w:rFonts w:ascii="宋体"/>
                <w:color w:val="auto"/>
                <w:sz w:val="24"/>
                <w:szCs w:val="24"/>
                <w:highlight w:val="none"/>
              </w:rPr>
            </w:pPr>
          </w:p>
        </w:tc>
      </w:tr>
      <w:tr>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pPr>
              <w:spacing w:line="360" w:lineRule="auto"/>
              <w:jc w:val="center"/>
              <w:rPr>
                <w:rFonts w:ascii="宋体"/>
                <w:color w:val="auto"/>
                <w:sz w:val="24"/>
                <w:szCs w:val="24"/>
                <w:highlight w:val="none"/>
              </w:rPr>
            </w:pPr>
          </w:p>
        </w:tc>
        <w:tc>
          <w:tcPr>
            <w:tcW w:w="910"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pPr>
              <w:spacing w:line="360" w:lineRule="auto"/>
              <w:jc w:val="center"/>
              <w:rPr>
                <w:rFonts w:ascii="宋体"/>
                <w:color w:val="auto"/>
                <w:sz w:val="24"/>
                <w:szCs w:val="24"/>
                <w:highlight w:val="none"/>
              </w:rPr>
            </w:pPr>
          </w:p>
        </w:tc>
        <w:tc>
          <w:tcPr>
            <w:tcW w:w="910" w:type="dxa"/>
            <w:gridSpan w:val="2"/>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Merge w:val="continue"/>
            <w:vAlign w:val="center"/>
          </w:tcPr>
          <w:p>
            <w:pPr>
              <w:spacing w:line="360" w:lineRule="auto"/>
              <w:jc w:val="center"/>
              <w:rPr>
                <w:rFonts w:ascii="宋体"/>
                <w:color w:val="auto"/>
                <w:sz w:val="24"/>
                <w:szCs w:val="24"/>
                <w:highlight w:val="none"/>
              </w:rPr>
            </w:pPr>
          </w:p>
        </w:tc>
        <w:tc>
          <w:tcPr>
            <w:tcW w:w="910"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pPr>
              <w:spacing w:line="360" w:lineRule="auto"/>
              <w:jc w:val="center"/>
              <w:rPr>
                <w:rFonts w:ascii="宋体"/>
                <w:color w:val="auto"/>
                <w:sz w:val="24"/>
                <w:szCs w:val="24"/>
                <w:highlight w:val="none"/>
              </w:rPr>
            </w:pPr>
          </w:p>
        </w:tc>
        <w:tc>
          <w:tcPr>
            <w:tcW w:w="2001" w:type="dxa"/>
            <w:gridSpan w:val="3"/>
            <w:vMerge w:val="continue"/>
            <w:vAlign w:val="center"/>
          </w:tcPr>
          <w:p>
            <w:pPr>
              <w:spacing w:line="360" w:lineRule="auto"/>
              <w:jc w:val="center"/>
              <w:rPr>
                <w:rFonts w:ascii="宋体"/>
                <w:color w:val="auto"/>
                <w:sz w:val="24"/>
                <w:szCs w:val="24"/>
                <w:highlight w:val="none"/>
              </w:rPr>
            </w:pPr>
          </w:p>
        </w:tc>
        <w:tc>
          <w:tcPr>
            <w:tcW w:w="2151" w:type="dxa"/>
            <w:gridSpan w:val="2"/>
            <w:vMerge w:val="continue"/>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pPr>
              <w:spacing w:line="360" w:lineRule="auto"/>
              <w:jc w:val="center"/>
              <w:rPr>
                <w:rFonts w:ascii="宋体"/>
                <w:color w:val="auto"/>
                <w:sz w:val="24"/>
                <w:szCs w:val="24"/>
                <w:highlight w:val="none"/>
              </w:rPr>
            </w:pPr>
          </w:p>
        </w:tc>
        <w:tc>
          <w:tcPr>
            <w:tcW w:w="1163" w:type="dxa"/>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pPr>
              <w:spacing w:line="360" w:lineRule="auto"/>
              <w:jc w:val="center"/>
              <w:rPr>
                <w:rFonts w:ascii="宋体"/>
                <w:color w:val="auto"/>
                <w:sz w:val="24"/>
                <w:szCs w:val="24"/>
                <w:highlight w:val="none"/>
              </w:rPr>
            </w:pPr>
          </w:p>
        </w:tc>
        <w:tc>
          <w:tcPr>
            <w:tcW w:w="116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pPr>
              <w:spacing w:line="360" w:lineRule="auto"/>
              <w:jc w:val="center"/>
              <w:rPr>
                <w:rFonts w:ascii="宋体"/>
                <w:color w:val="auto"/>
                <w:sz w:val="24"/>
                <w:szCs w:val="24"/>
                <w:highlight w:val="none"/>
              </w:rPr>
            </w:pPr>
          </w:p>
        </w:tc>
        <w:tc>
          <w:tcPr>
            <w:tcW w:w="116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1218"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8131" w:type="dxa"/>
            <w:gridSpan w:val="11"/>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Merge w:val="continue"/>
            <w:vAlign w:val="center"/>
          </w:tcPr>
          <w:p>
            <w:pPr>
              <w:spacing w:line="360" w:lineRule="auto"/>
              <w:jc w:val="center"/>
              <w:rPr>
                <w:rFonts w:ascii="宋体"/>
                <w:color w:val="auto"/>
                <w:sz w:val="24"/>
                <w:szCs w:val="24"/>
                <w:highlight w:val="none"/>
              </w:rPr>
            </w:pPr>
          </w:p>
        </w:tc>
        <w:tc>
          <w:tcPr>
            <w:tcW w:w="1333" w:type="dxa"/>
            <w:gridSpan w:val="3"/>
            <w:vAlign w:val="center"/>
          </w:tcPr>
          <w:p>
            <w:pPr>
              <w:spacing w:line="360" w:lineRule="auto"/>
              <w:jc w:val="center"/>
              <w:rPr>
                <w:rFonts w:ascii="宋体"/>
                <w:color w:val="auto"/>
                <w:sz w:val="24"/>
                <w:szCs w:val="24"/>
                <w:highlight w:val="none"/>
              </w:rPr>
            </w:pPr>
          </w:p>
        </w:tc>
        <w:tc>
          <w:tcPr>
            <w:tcW w:w="1418" w:type="dxa"/>
            <w:gridSpan w:val="2"/>
            <w:vAlign w:val="center"/>
          </w:tcPr>
          <w:p>
            <w:pPr>
              <w:spacing w:line="360" w:lineRule="auto"/>
              <w:jc w:val="center"/>
              <w:rPr>
                <w:rFonts w:ascii="宋体"/>
                <w:color w:val="auto"/>
                <w:sz w:val="24"/>
                <w:szCs w:val="24"/>
                <w:highlight w:val="none"/>
              </w:rPr>
            </w:pPr>
          </w:p>
        </w:tc>
        <w:tc>
          <w:tcPr>
            <w:tcW w:w="1276" w:type="dxa"/>
            <w:vAlign w:val="center"/>
          </w:tcPr>
          <w:p>
            <w:pPr>
              <w:spacing w:line="360" w:lineRule="auto"/>
              <w:jc w:val="center"/>
              <w:rPr>
                <w:rFonts w:ascii="宋体"/>
                <w:color w:val="auto"/>
                <w:sz w:val="24"/>
                <w:szCs w:val="24"/>
                <w:highlight w:val="none"/>
              </w:rPr>
            </w:pPr>
          </w:p>
        </w:tc>
        <w:tc>
          <w:tcPr>
            <w:tcW w:w="2551" w:type="dxa"/>
            <w:gridSpan w:val="3"/>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法定代表人（单位负责人）</w:t>
      </w:r>
      <w:r>
        <w:rPr>
          <w:rFonts w:hint="eastAsia" w:ascii="宋体" w:hAnsi="宋体"/>
          <w:color w:val="auto"/>
          <w:sz w:val="24"/>
          <w:highlight w:val="none"/>
        </w:rPr>
        <w:t>或授权委托代理人签字或盖章：</w:t>
      </w:r>
      <w:r>
        <w:rPr>
          <w:rFonts w:hint="eastAsia" w:ascii="宋体" w:hAnsi="宋体"/>
          <w:color w:val="auto"/>
          <w:sz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6</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5"/>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9"/>
        <w:gridCol w:w="756"/>
        <w:gridCol w:w="756"/>
        <w:gridCol w:w="780"/>
        <w:gridCol w:w="1088"/>
        <w:gridCol w:w="1275"/>
        <w:gridCol w:w="1561"/>
        <w:gridCol w:w="1983"/>
      </w:tblGrid>
      <w:tr>
        <w:trPr>
          <w:jc w:val="center"/>
        </w:trPr>
        <w:tc>
          <w:tcPr>
            <w:tcW w:w="699" w:type="dxa"/>
            <w:tcBorders>
              <w:top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75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75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561"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1983" w:type="dxa"/>
            <w:tcBorders>
              <w:top w:val="single" w:color="auto" w:sz="4" w:space="0"/>
              <w:left w:val="single" w:color="auto" w:sz="4" w:space="0"/>
              <w:bottom w:val="single" w:color="auto" w:sz="4" w:space="0"/>
            </w:tcBorders>
            <w:vAlign w:val="center"/>
          </w:tcPr>
          <w:p>
            <w:pPr>
              <w:snapToGrid w:val="0"/>
              <w:spacing w:before="159"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trPr>
          <w:jc w:val="center"/>
        </w:trPr>
        <w:tc>
          <w:tcPr>
            <w:tcW w:w="699"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color w:val="auto"/>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983"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color w:val="auto"/>
                <w:kern w:val="44"/>
                <w:sz w:val="24"/>
                <w:szCs w:val="24"/>
                <w:highlight w:val="none"/>
              </w:rPr>
            </w:pPr>
          </w:p>
        </w:tc>
      </w:tr>
      <w:tr>
        <w:trPr>
          <w:jc w:val="center"/>
        </w:trPr>
        <w:tc>
          <w:tcPr>
            <w:tcW w:w="699"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color w:val="auto"/>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983"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color w:val="auto"/>
                <w:kern w:val="44"/>
                <w:sz w:val="24"/>
                <w:szCs w:val="24"/>
                <w:highlight w:val="none"/>
              </w:rPr>
            </w:pPr>
          </w:p>
        </w:tc>
      </w:tr>
      <w:tr>
        <w:trPr>
          <w:jc w:val="center"/>
        </w:trPr>
        <w:tc>
          <w:tcPr>
            <w:tcW w:w="699"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color w:val="auto"/>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pPr>
              <w:pStyle w:val="16"/>
              <w:snapToGrid w:val="0"/>
              <w:spacing w:before="159" w:beforeLines="50" w:after="50" w:line="360" w:lineRule="auto"/>
              <w:ind w:left="5250"/>
              <w:rPr>
                <w:rFonts w:ascii="宋体" w:hAnsi="宋体" w:eastAsia="宋体" w:cs="Times New Roman"/>
                <w:b/>
                <w:bCs/>
                <w:color w:val="auto"/>
                <w:kern w:val="44"/>
                <w:sz w:val="24"/>
                <w:szCs w:val="24"/>
                <w:highlight w:val="none"/>
              </w:rPr>
            </w:pPr>
          </w:p>
        </w:tc>
        <w:tc>
          <w:tcPr>
            <w:tcW w:w="1088" w:type="dxa"/>
            <w:tcBorders>
              <w:top w:val="single" w:color="auto" w:sz="4" w:space="0"/>
              <w:left w:val="single" w:color="auto" w:sz="4" w:space="0"/>
              <w:bottom w:val="single" w:color="auto" w:sz="4" w:space="0"/>
              <w:right w:val="single" w:color="auto" w:sz="4" w:space="0"/>
            </w:tcBorders>
          </w:tcPr>
          <w:p>
            <w:pPr>
              <w:pStyle w:val="16"/>
              <w:snapToGrid w:val="0"/>
              <w:spacing w:before="159"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6"/>
              <w:spacing w:line="360" w:lineRule="auto"/>
              <w:ind w:left="5250"/>
              <w:rPr>
                <w:rFonts w:ascii="宋体" w:hAnsi="宋体" w:eastAsia="宋体" w:cs="Times New Roman"/>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color w:val="auto"/>
                <w:sz w:val="24"/>
                <w:szCs w:val="24"/>
                <w:highlight w:val="none"/>
              </w:rPr>
            </w:pPr>
          </w:p>
        </w:tc>
        <w:tc>
          <w:tcPr>
            <w:tcW w:w="1983"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color w:val="auto"/>
                <w:kern w:val="44"/>
                <w:sz w:val="24"/>
                <w:szCs w:val="24"/>
                <w:highlight w:val="none"/>
              </w:rPr>
            </w:pPr>
          </w:p>
        </w:tc>
      </w:tr>
      <w:tr>
        <w:trPr>
          <w:jc w:val="center"/>
        </w:trPr>
        <w:tc>
          <w:tcPr>
            <w:tcW w:w="699"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color w:val="auto"/>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983"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color w:val="auto"/>
                <w:kern w:val="44"/>
                <w:sz w:val="24"/>
                <w:szCs w:val="24"/>
                <w:highlight w:val="none"/>
              </w:rPr>
            </w:pPr>
          </w:p>
        </w:tc>
      </w:tr>
      <w:tr>
        <w:trPr>
          <w:jc w:val="center"/>
        </w:trPr>
        <w:tc>
          <w:tcPr>
            <w:tcW w:w="699"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color w:val="auto"/>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983"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color w:val="auto"/>
                <w:kern w:val="44"/>
                <w:sz w:val="24"/>
                <w:szCs w:val="24"/>
                <w:highlight w:val="none"/>
              </w:rPr>
            </w:pPr>
          </w:p>
        </w:tc>
      </w:tr>
      <w:tr>
        <w:trPr>
          <w:jc w:val="center"/>
        </w:trPr>
        <w:tc>
          <w:tcPr>
            <w:tcW w:w="699"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color w:val="auto"/>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983"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color w:val="auto"/>
                <w:kern w:val="44"/>
                <w:sz w:val="24"/>
                <w:szCs w:val="24"/>
                <w:highlight w:val="none"/>
              </w:rPr>
            </w:pPr>
          </w:p>
        </w:tc>
      </w:tr>
      <w:tr>
        <w:trPr>
          <w:jc w:val="center"/>
        </w:trPr>
        <w:tc>
          <w:tcPr>
            <w:tcW w:w="699"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color w:val="auto"/>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983"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color w:val="auto"/>
                <w:kern w:val="44"/>
                <w:sz w:val="24"/>
                <w:szCs w:val="24"/>
                <w:highlight w:val="none"/>
              </w:rPr>
            </w:pPr>
          </w:p>
        </w:tc>
      </w:tr>
      <w:tr>
        <w:trPr>
          <w:jc w:val="center"/>
        </w:trPr>
        <w:tc>
          <w:tcPr>
            <w:tcW w:w="699" w:type="dxa"/>
            <w:tcBorders>
              <w:top w:val="single" w:color="auto" w:sz="4" w:space="0"/>
              <w:bottom w:val="single" w:color="auto" w:sz="4" w:space="0"/>
              <w:right w:val="single" w:color="auto" w:sz="4" w:space="0"/>
            </w:tcBorders>
          </w:tcPr>
          <w:p>
            <w:pPr>
              <w:snapToGrid w:val="0"/>
              <w:spacing w:before="159" w:beforeLines="50" w:after="50" w:line="360" w:lineRule="auto"/>
              <w:rPr>
                <w:rFonts w:ascii="宋体"/>
                <w:color w:val="auto"/>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5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08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b/>
                <w:bCs/>
                <w:color w:val="auto"/>
                <w:kern w:val="44"/>
                <w:sz w:val="24"/>
                <w:szCs w:val="24"/>
                <w:highlight w:val="none"/>
              </w:rPr>
            </w:pPr>
          </w:p>
        </w:tc>
        <w:tc>
          <w:tcPr>
            <w:tcW w:w="1983" w:type="dxa"/>
            <w:tcBorders>
              <w:top w:val="single" w:color="auto" w:sz="4" w:space="0"/>
              <w:left w:val="single" w:color="auto" w:sz="4" w:space="0"/>
              <w:bottom w:val="single" w:color="auto" w:sz="4" w:space="0"/>
            </w:tcBorders>
          </w:tcPr>
          <w:p>
            <w:pPr>
              <w:snapToGrid w:val="0"/>
              <w:spacing w:before="159" w:beforeLines="50" w:after="50" w:line="360" w:lineRule="auto"/>
              <w:rPr>
                <w:rFonts w:ascii="宋体"/>
                <w:b/>
                <w:bCs/>
                <w:color w:val="auto"/>
                <w:kern w:val="44"/>
                <w:sz w:val="24"/>
                <w:szCs w:val="24"/>
                <w:highlight w:val="none"/>
              </w:rPr>
            </w:pPr>
          </w:p>
        </w:tc>
      </w:tr>
    </w:tbl>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出具上述人员在本单位服务的外部证明，如：投标截止日之前六个月以内的代缴个税税单、参加社会保险的《投保单》或《社会保险参保人员证明》等。</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法定代表人（单位负责人）</w:t>
      </w:r>
      <w:r>
        <w:rPr>
          <w:rFonts w:hint="eastAsia" w:ascii="宋体" w:hAnsi="宋体"/>
          <w:color w:val="auto"/>
          <w:sz w:val="24"/>
          <w:highlight w:val="none"/>
        </w:rPr>
        <w:t>或授权委托代理人签字或盖章：</w:t>
      </w:r>
      <w:r>
        <w:rPr>
          <w:rFonts w:hint="eastAsia" w:ascii="宋体" w:hAnsi="宋体"/>
          <w:color w:val="auto"/>
          <w:sz w:val="24"/>
          <w:highlight w:val="none"/>
          <w:u w:val="single"/>
        </w:rPr>
        <w:t xml:space="preserve">                   </w:t>
      </w:r>
    </w:p>
    <w:p>
      <w:pPr>
        <w:spacing w:line="36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hint="eastAsia" w:ascii="宋体" w:hAnsi="宋体" w:cs="宋体"/>
          <w:b/>
          <w:bCs/>
          <w:color w:val="auto"/>
          <w:sz w:val="28"/>
          <w:szCs w:val="28"/>
          <w:highlight w:val="none"/>
        </w:rPr>
      </w:pP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7</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采购编号：</w:t>
      </w:r>
    </w:p>
    <w:tbl>
      <w:tblPr>
        <w:tblStyle w:val="25"/>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rPr>
          <w:trHeight w:val="863" w:hRule="atLeast"/>
          <w:jc w:val="center"/>
        </w:trPr>
        <w:tc>
          <w:tcPr>
            <w:tcW w:w="1974" w:type="dxa"/>
            <w:tcBorders>
              <w:top w:val="single" w:color="auto" w:sz="12" w:space="0"/>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pP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pP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pP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pP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rPr>
          <w:trHeight w:val="863" w:hRule="atLeast"/>
          <w:jc w:val="center"/>
        </w:trPr>
        <w:tc>
          <w:tcPr>
            <w:tcW w:w="1974" w:type="dxa"/>
            <w:tcBorders>
              <w:left w:val="single" w:color="auto" w:sz="12" w:space="0"/>
              <w:bottom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jc w:val="center"/>
              <w:rPr>
                <w:rFonts w:ascii="宋体"/>
                <w:color w:val="auto"/>
                <w:sz w:val="24"/>
                <w:szCs w:val="24"/>
                <w:highlight w:val="none"/>
                <w:lang w:val="zh-CN"/>
              </w:rPr>
            </w:pPr>
          </w:p>
        </w:tc>
      </w:tr>
    </w:tbl>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法定代表人（单位负责人）</w:t>
      </w:r>
      <w:r>
        <w:rPr>
          <w:rFonts w:hint="eastAsia" w:ascii="宋体" w:hAnsi="宋体"/>
          <w:color w:val="auto"/>
          <w:sz w:val="24"/>
          <w:highlight w:val="none"/>
        </w:rPr>
        <w:t>或授权委托代理人签字或盖章：</w:t>
      </w:r>
      <w:r>
        <w:rPr>
          <w:rFonts w:hint="eastAsia" w:ascii="宋体" w:hAnsi="宋体"/>
          <w:color w:val="auto"/>
          <w:sz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8</w:t>
      </w:r>
    </w:p>
    <w:p>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投标描述及相关资料</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pP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color w:val="auto"/>
          <w:sz w:val="24"/>
          <w:szCs w:val="24"/>
          <w:highlight w:val="none"/>
        </w:rPr>
        <w:t>格式自拟</w:t>
      </w:r>
    </w:p>
    <w:p>
      <w:pPr>
        <w:pStyle w:val="34"/>
        <w:rPr>
          <w:rFonts w:ascii="宋体"/>
          <w:color w:val="auto"/>
          <w:sz w:val="24"/>
          <w:szCs w:val="24"/>
          <w:highlight w:val="none"/>
        </w:rPr>
      </w:pPr>
    </w:p>
    <w:p>
      <w:pPr>
        <w:pStyle w:val="34"/>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法定代表人（单位负责人）</w:t>
      </w:r>
      <w:r>
        <w:rPr>
          <w:rFonts w:hint="eastAsia" w:ascii="宋体" w:hAnsi="宋体"/>
          <w:color w:val="auto"/>
          <w:sz w:val="24"/>
          <w:highlight w:val="none"/>
        </w:rPr>
        <w:t>或授权委托代理人签字或盖章：</w:t>
      </w:r>
      <w:r>
        <w:rPr>
          <w:rFonts w:hint="eastAsia" w:ascii="宋体" w:hAnsi="宋体"/>
          <w:color w:val="auto"/>
          <w:sz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9"/>
        <w:rPr>
          <w:rFonts w:ascii="宋体"/>
          <w:color w:val="auto"/>
          <w:highlight w:val="none"/>
        </w:rPr>
      </w:pPr>
    </w:p>
    <w:p>
      <w:pPr>
        <w:pStyle w:val="9"/>
        <w:rPr>
          <w:rFonts w:ascii="宋体"/>
          <w:color w:val="auto"/>
          <w:highlight w:val="none"/>
        </w:rPr>
      </w:pPr>
    </w:p>
    <w:p>
      <w:pPr>
        <w:pStyle w:val="10"/>
        <w:rPr>
          <w:rFonts w:ascii="宋体"/>
          <w:color w:val="auto"/>
          <w:highlight w:val="none"/>
        </w:rPr>
      </w:pPr>
    </w:p>
    <w:p>
      <w:pPr>
        <w:pStyle w:val="11"/>
        <w:rPr>
          <w:rFonts w:ascii="宋体"/>
          <w:color w:val="auto"/>
          <w:highlight w:val="none"/>
        </w:rPr>
      </w:pPr>
    </w:p>
    <w:p>
      <w:pPr>
        <w:rPr>
          <w:rFonts w:ascii="宋体"/>
          <w:color w:val="auto"/>
          <w:highlight w:val="none"/>
        </w:rPr>
      </w:pPr>
    </w:p>
    <w:p>
      <w:pPr>
        <w:pStyle w:val="34"/>
        <w:rPr>
          <w:rFonts w:ascii="宋体"/>
          <w:color w:val="auto"/>
          <w:highlight w:val="none"/>
        </w:rPr>
      </w:pPr>
    </w:p>
    <w:p>
      <w:pPr>
        <w:pStyle w:val="34"/>
        <w:rPr>
          <w:rFonts w:ascii="宋体"/>
          <w:color w:val="auto"/>
          <w:highlight w:val="none"/>
        </w:rPr>
      </w:pPr>
    </w:p>
    <w:p>
      <w:pPr>
        <w:pStyle w:val="34"/>
        <w:rPr>
          <w:rFonts w:ascii="宋体"/>
          <w:color w:val="auto"/>
          <w:highlight w:val="none"/>
        </w:rPr>
      </w:pPr>
    </w:p>
    <w:p>
      <w:pPr>
        <w:pStyle w:val="34"/>
        <w:rPr>
          <w:rFonts w:ascii="宋体"/>
          <w:color w:val="auto"/>
          <w:highlight w:val="none"/>
        </w:rPr>
      </w:pPr>
    </w:p>
    <w:p>
      <w:pPr>
        <w:pStyle w:val="34"/>
        <w:rPr>
          <w:rFonts w:ascii="宋体"/>
          <w:color w:val="auto"/>
          <w:highlight w:val="none"/>
        </w:rPr>
      </w:pPr>
    </w:p>
    <w:p>
      <w:pPr>
        <w:pStyle w:val="34"/>
        <w:rPr>
          <w:rFonts w:ascii="宋体"/>
          <w:color w:val="auto"/>
          <w:highlight w:val="none"/>
        </w:rPr>
      </w:pPr>
    </w:p>
    <w:p>
      <w:pPr>
        <w:pStyle w:val="34"/>
        <w:rPr>
          <w:rFonts w:ascii="宋体"/>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rPr>
        <w:t>9</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2" w:leftChars="6" w:firstLine="480"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r>
      <w:tr>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asci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本表参照本招标文件第四章“公开招标需求”内容填制，投标人应根据投标的服务指标，对照招标文件要求在“偏离情况”栏注明“正偏离”、“负偏离”或“无偏离”。</w:t>
      </w:r>
    </w:p>
    <w:p>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法定代表人（单位负责人）</w:t>
      </w:r>
      <w:r>
        <w:rPr>
          <w:rFonts w:hint="eastAsia" w:ascii="宋体" w:hAnsi="宋体"/>
          <w:color w:val="auto"/>
          <w:sz w:val="24"/>
          <w:highlight w:val="none"/>
        </w:rPr>
        <w:t>或授权委托代理人签字或盖章：</w:t>
      </w:r>
      <w:r>
        <w:rPr>
          <w:rFonts w:hint="eastAsia" w:ascii="宋体" w:hAnsi="宋体"/>
          <w:color w:val="auto"/>
          <w:sz w:val="24"/>
          <w:highlight w:val="none"/>
          <w:u w:val="single"/>
        </w:rPr>
        <w:t xml:space="preserve">                   </w:t>
      </w:r>
    </w:p>
    <w:p>
      <w:pP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pPr>
        <w:spacing w:line="360" w:lineRule="auto"/>
        <w:rPr>
          <w:rFonts w:ascii="宋体"/>
          <w:color w:val="auto"/>
          <w:sz w:val="24"/>
          <w:highlight w:val="none"/>
        </w:rPr>
      </w:pPr>
    </w:p>
    <w:p>
      <w:pPr>
        <w:pStyle w:val="13"/>
        <w:rPr>
          <w:color w:val="auto"/>
          <w:highlight w:val="none"/>
        </w:rPr>
      </w:pPr>
    </w:p>
    <w:p>
      <w:pPr>
        <w:spacing w:line="360" w:lineRule="auto"/>
        <w:rPr>
          <w:rFonts w:ascii="宋体"/>
          <w:color w:val="auto"/>
          <w:sz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10</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pPr>
        <w:spacing w:line="360" w:lineRule="auto"/>
        <w:rPr>
          <w:rFonts w:ascii="宋体"/>
          <w:color w:val="auto"/>
          <w:sz w:val="24"/>
          <w:szCs w:val="24"/>
          <w:highlight w:val="none"/>
        </w:rPr>
      </w:pPr>
    </w:p>
    <w:tbl>
      <w:tblPr>
        <w:tblStyle w:val="2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rPr>
          <w:trHeight w:val="468" w:hRule="atLeast"/>
          <w:jc w:val="center"/>
        </w:trPr>
        <w:tc>
          <w:tcPr>
            <w:tcW w:w="1867" w:type="dxa"/>
            <w:tcBorders>
              <w:top w:val="double" w:color="auto" w:sz="4" w:space="0"/>
              <w:lef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rPr>
          <w:trHeight w:val="468" w:hRule="atLeast"/>
          <w:jc w:val="center"/>
        </w:trPr>
        <w:tc>
          <w:tcPr>
            <w:tcW w:w="1867" w:type="dxa"/>
            <w:tcBorders>
              <w:left w:val="single" w:color="auto" w:sz="4" w:space="0"/>
              <w:bottom w:val="double" w:color="auto" w:sz="4" w:space="0"/>
            </w:tcBorders>
            <w:vAlign w:val="center"/>
          </w:tcPr>
          <w:p>
            <w:pPr>
              <w:spacing w:line="360" w:lineRule="auto"/>
              <w:jc w:val="center"/>
              <w:rPr>
                <w:rFonts w:ascii="宋体"/>
                <w:color w:val="auto"/>
                <w:sz w:val="24"/>
                <w:szCs w:val="24"/>
                <w:highlight w:val="none"/>
              </w:rPr>
            </w:pPr>
          </w:p>
        </w:tc>
        <w:tc>
          <w:tcPr>
            <w:tcW w:w="2258" w:type="dxa"/>
            <w:tcBorders>
              <w:bottom w:val="double" w:color="auto" w:sz="4" w:space="0"/>
            </w:tcBorders>
            <w:vAlign w:val="center"/>
          </w:tcPr>
          <w:p>
            <w:pPr>
              <w:spacing w:line="360" w:lineRule="auto"/>
              <w:jc w:val="center"/>
              <w:rPr>
                <w:rFonts w:ascii="宋体"/>
                <w:color w:val="auto"/>
                <w:sz w:val="24"/>
                <w:szCs w:val="24"/>
                <w:highlight w:val="none"/>
              </w:rPr>
            </w:pPr>
          </w:p>
        </w:tc>
        <w:tc>
          <w:tcPr>
            <w:tcW w:w="2260" w:type="dxa"/>
            <w:tcBorders>
              <w:bottom w:val="double" w:color="auto" w:sz="4" w:space="0"/>
            </w:tcBorders>
            <w:vAlign w:val="center"/>
          </w:tcPr>
          <w:p>
            <w:pP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法定代表人（单位负责人）</w:t>
      </w:r>
      <w:r>
        <w:rPr>
          <w:rFonts w:hint="eastAsia" w:ascii="宋体" w:hAnsi="宋体"/>
          <w:color w:val="auto"/>
          <w:sz w:val="24"/>
          <w:highlight w:val="none"/>
        </w:rPr>
        <w:t>或授权委托代理人签字或盖章：</w:t>
      </w:r>
      <w:r>
        <w:rPr>
          <w:rFonts w:hint="eastAsia" w:ascii="宋体" w:hAnsi="宋体"/>
          <w:color w:val="auto"/>
          <w:sz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ascii="宋体" w:hAnsi="宋体" w:cs="宋体"/>
          <w:b/>
          <w:bCs/>
          <w:color w:val="auto"/>
          <w:sz w:val="28"/>
          <w:szCs w:val="28"/>
          <w:highlight w:val="none"/>
        </w:rPr>
        <w:t>1</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pPr>
        <w:spacing w:line="360" w:lineRule="auto"/>
        <w:jc w:val="left"/>
        <w:rPr>
          <w:rFonts w:ascii="宋体"/>
          <w:b/>
          <w:bCs/>
          <w:color w:val="auto"/>
          <w:sz w:val="24"/>
          <w:szCs w:val="24"/>
          <w:highlight w:val="none"/>
          <w:lang w:val="zh-CN"/>
        </w:rPr>
      </w:pPr>
    </w:p>
    <w:tbl>
      <w:tblPr>
        <w:tblStyle w:val="2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法定代表人（单位负责人）</w:t>
      </w:r>
      <w:r>
        <w:rPr>
          <w:rFonts w:hint="eastAsia" w:ascii="宋体" w:hAnsi="宋体"/>
          <w:color w:val="auto"/>
          <w:sz w:val="24"/>
          <w:highlight w:val="none"/>
        </w:rPr>
        <w:t>或授权委托代理人签字或盖章：</w:t>
      </w:r>
      <w:r>
        <w:rPr>
          <w:rFonts w:hint="eastAsia" w:ascii="宋体" w:hAnsi="宋体"/>
          <w:color w:val="auto"/>
          <w:sz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lang w:val="zh-CN"/>
        </w:rPr>
        <w:t>1</w:t>
      </w:r>
      <w:r>
        <w:rPr>
          <w:rFonts w:ascii="宋体" w:hAnsi="宋体" w:cs="宋体"/>
          <w:b/>
          <w:bCs/>
          <w:color w:val="auto"/>
          <w:sz w:val="28"/>
          <w:szCs w:val="36"/>
          <w:highlight w:val="none"/>
        </w:rPr>
        <w:t>2</w:t>
      </w:r>
    </w:p>
    <w:p>
      <w:pP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商务需求响应表</w:t>
      </w:r>
    </w:p>
    <w:p>
      <w:pPr>
        <w:spacing w:line="360" w:lineRule="auto"/>
        <w:rPr>
          <w:rFonts w:ascii="宋体"/>
          <w:b/>
          <w:color w:val="auto"/>
          <w:sz w:val="24"/>
          <w:highlight w:val="none"/>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pPr>
              <w:ind w:left="53" w:leftChars="25" w:firstLine="240"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rPr>
          <w:cantSplit/>
          <w:trHeight w:val="54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rPr>
          <w:cantSplit/>
          <w:trHeight w:val="48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法定代表人（单位负责人）</w:t>
      </w:r>
      <w:r>
        <w:rPr>
          <w:rFonts w:hint="eastAsia" w:ascii="宋体" w:hAnsi="宋体"/>
          <w:color w:val="auto"/>
          <w:sz w:val="24"/>
          <w:highlight w:val="none"/>
        </w:rPr>
        <w:t>或授权委托代理人签字或盖章：</w:t>
      </w:r>
      <w:r>
        <w:rPr>
          <w:rFonts w:hint="eastAsia" w:ascii="宋体" w:hAnsi="宋体"/>
          <w:color w:val="auto"/>
          <w:sz w:val="24"/>
          <w:highlight w:val="none"/>
          <w:u w:val="single"/>
        </w:rPr>
        <w:t xml:space="preserve">                   </w:t>
      </w:r>
    </w:p>
    <w:p>
      <w:pP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pStyle w:val="13"/>
        <w:rPr>
          <w:color w:val="auto"/>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13</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ascii="宋体"/>
          <w:b/>
          <w:color w:val="auto"/>
          <w:sz w:val="24"/>
          <w:highlight w:val="none"/>
        </w:rPr>
      </w:pPr>
    </w:p>
    <w:tbl>
      <w:tblPr>
        <w:tblStyle w:val="2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18" w:hRule="atLeast"/>
          <w:jc w:val="center"/>
        </w:trPr>
        <w:tc>
          <w:tcPr>
            <w:tcW w:w="739" w:type="dxa"/>
            <w:tcBorders>
              <w:top w:val="single" w:color="auto" w:sz="4" w:space="0"/>
            </w:tcBorders>
            <w:vAlign w:val="center"/>
          </w:tcPr>
          <w:p>
            <w:pPr>
              <w:pStyle w:val="60"/>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60"/>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60"/>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60"/>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318" w:hRule="atLeast"/>
          <w:jc w:val="center"/>
        </w:trPr>
        <w:tc>
          <w:tcPr>
            <w:tcW w:w="739" w:type="dxa"/>
            <w:vAlign w:val="center"/>
          </w:tcPr>
          <w:p>
            <w:pPr>
              <w:spacing w:line="360" w:lineRule="auto"/>
              <w:jc w:val="center"/>
              <w:rPr>
                <w:rFonts w:ascii="宋体" w:cs="Arial"/>
                <w:bCs/>
                <w:color w:val="auto"/>
                <w:sz w:val="24"/>
                <w:highlight w:val="none"/>
              </w:rPr>
            </w:pPr>
            <w:r>
              <w:rPr>
                <w:rFonts w:hint="eastAsia" w:ascii="宋体" w:hAnsi="宋体" w:cs="宋体"/>
                <w:color w:val="auto"/>
                <w:sz w:val="24"/>
                <w:highlight w:val="none"/>
              </w:rPr>
              <w:t>1</w:t>
            </w:r>
          </w:p>
        </w:tc>
        <w:tc>
          <w:tcPr>
            <w:tcW w:w="2355" w:type="dxa"/>
            <w:vAlign w:val="center"/>
          </w:tcPr>
          <w:p>
            <w:pPr>
              <w:spacing w:line="360" w:lineRule="auto"/>
              <w:jc w:val="center"/>
              <w:rPr>
                <w:rFonts w:ascii="宋体" w:cs="Arial"/>
                <w:bCs/>
                <w:color w:val="auto"/>
                <w:sz w:val="24"/>
                <w:highlight w:val="none"/>
              </w:rPr>
            </w:pPr>
            <w:r>
              <w:rPr>
                <w:rFonts w:hint="eastAsia" w:ascii="宋体" w:hAnsi="宋体" w:cs="宋体"/>
                <w:color w:val="auto"/>
                <w:sz w:val="24"/>
                <w:highlight w:val="none"/>
              </w:rPr>
              <w:t>售后服务情况（服务方式、服务网点、售后服务的内容和措施等等，可用附页和宣传材料）</w:t>
            </w:r>
          </w:p>
        </w:tc>
        <w:tc>
          <w:tcPr>
            <w:tcW w:w="4061" w:type="dxa"/>
            <w:vAlign w:val="center"/>
          </w:tcPr>
          <w:p>
            <w:pPr>
              <w:spacing w:line="360" w:lineRule="auto"/>
              <w:jc w:val="center"/>
              <w:rPr>
                <w:rFonts w:ascii="宋体" w:cs="Arial"/>
                <w:bCs/>
                <w:color w:val="auto"/>
                <w:sz w:val="24"/>
                <w:highlight w:val="none"/>
              </w:rPr>
            </w:pPr>
          </w:p>
        </w:tc>
        <w:tc>
          <w:tcPr>
            <w:tcW w:w="1373" w:type="dxa"/>
          </w:tcPr>
          <w:p>
            <w:pPr>
              <w:pStyle w:val="60"/>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exact"/>
          <w:jc w:val="center"/>
        </w:trPr>
        <w:tc>
          <w:tcPr>
            <w:tcW w:w="739" w:type="dxa"/>
            <w:vAlign w:val="center"/>
          </w:tcPr>
          <w:p>
            <w:pPr>
              <w:spacing w:line="360" w:lineRule="auto"/>
              <w:jc w:val="center"/>
              <w:rPr>
                <w:rFonts w:ascii="宋体" w:cs="Arial"/>
                <w:bCs/>
                <w:color w:val="auto"/>
                <w:sz w:val="24"/>
                <w:highlight w:val="none"/>
              </w:rPr>
            </w:pPr>
            <w:r>
              <w:rPr>
                <w:rFonts w:hint="eastAsia" w:ascii="宋体" w:hAnsi="宋体" w:cs="宋体"/>
                <w:color w:val="auto"/>
                <w:sz w:val="24"/>
                <w:highlight w:val="none"/>
              </w:rPr>
              <w:t>2</w:t>
            </w:r>
          </w:p>
        </w:tc>
        <w:tc>
          <w:tcPr>
            <w:tcW w:w="2355" w:type="dxa"/>
            <w:vAlign w:val="center"/>
          </w:tcPr>
          <w:p>
            <w:pPr>
              <w:spacing w:line="360" w:lineRule="auto"/>
              <w:jc w:val="center"/>
              <w:rPr>
                <w:rFonts w:ascii="宋体" w:cs="Arial"/>
                <w:bCs/>
                <w:color w:val="auto"/>
                <w:sz w:val="24"/>
                <w:highlight w:val="none"/>
              </w:rPr>
            </w:pPr>
          </w:p>
        </w:tc>
        <w:tc>
          <w:tcPr>
            <w:tcW w:w="4061" w:type="dxa"/>
            <w:vAlign w:val="center"/>
          </w:tcPr>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cs="Arial"/>
                <w:bCs/>
                <w:color w:val="auto"/>
                <w:sz w:val="24"/>
                <w:highlight w:val="none"/>
              </w:rPr>
            </w:pPr>
          </w:p>
        </w:tc>
        <w:tc>
          <w:tcPr>
            <w:tcW w:w="1373" w:type="dxa"/>
          </w:tcPr>
          <w:p>
            <w:pPr>
              <w:pStyle w:val="60"/>
              <w:widowControl/>
              <w:spacing w:line="360" w:lineRule="auto"/>
              <w:jc w:val="left"/>
              <w:rPr>
                <w:rFonts w:ascii="宋体" w:cs="Arial"/>
                <w:bCs/>
                <w:color w:val="auto"/>
                <w:sz w:val="24"/>
                <w:highlight w:val="none"/>
              </w:rPr>
            </w:pPr>
          </w:p>
          <w:p>
            <w:pPr>
              <w:pStyle w:val="60"/>
              <w:widowControl/>
              <w:spacing w:line="360" w:lineRule="auto"/>
              <w:jc w:val="left"/>
              <w:rPr>
                <w:rFonts w:ascii="宋体" w:cs="Arial"/>
                <w:bCs/>
                <w:color w:val="auto"/>
                <w:sz w:val="24"/>
                <w:highlight w:val="none"/>
              </w:rPr>
            </w:pPr>
          </w:p>
          <w:p>
            <w:pPr>
              <w:pStyle w:val="60"/>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620" w:hRule="exact"/>
          <w:jc w:val="center"/>
        </w:trPr>
        <w:tc>
          <w:tcPr>
            <w:tcW w:w="739" w:type="dxa"/>
            <w:vAlign w:val="center"/>
          </w:tcPr>
          <w:p>
            <w:pPr>
              <w:spacing w:line="360" w:lineRule="auto"/>
              <w:jc w:val="center"/>
              <w:rPr>
                <w:rFonts w:ascii="宋体" w:cs="Arial"/>
                <w:bCs/>
                <w:color w:val="auto"/>
                <w:sz w:val="24"/>
                <w:highlight w:val="none"/>
              </w:rPr>
            </w:pPr>
            <w:r>
              <w:rPr>
                <w:rFonts w:hint="eastAsia" w:ascii="宋体" w:hAnsi="宋体" w:cs="宋体"/>
                <w:color w:val="auto"/>
                <w:sz w:val="24"/>
                <w:highlight w:val="none"/>
              </w:rPr>
              <w:t>3</w:t>
            </w:r>
          </w:p>
        </w:tc>
        <w:tc>
          <w:tcPr>
            <w:tcW w:w="2355" w:type="dxa"/>
            <w:vAlign w:val="center"/>
          </w:tcPr>
          <w:p>
            <w:pPr>
              <w:spacing w:line="360" w:lineRule="auto"/>
              <w:jc w:val="center"/>
              <w:rPr>
                <w:rFonts w:ascii="宋体" w:cs="Arial"/>
                <w:bCs/>
                <w:color w:val="auto"/>
                <w:sz w:val="24"/>
                <w:highlight w:val="none"/>
              </w:rPr>
            </w:pPr>
          </w:p>
        </w:tc>
        <w:tc>
          <w:tcPr>
            <w:tcW w:w="4061" w:type="dxa"/>
            <w:vAlign w:val="center"/>
          </w:tcPr>
          <w:p>
            <w:pPr>
              <w:spacing w:line="360" w:lineRule="auto"/>
              <w:jc w:val="center"/>
              <w:rPr>
                <w:rFonts w:ascii="宋体" w:hAnsi="宋体" w:cs="宋体"/>
                <w:color w:val="auto"/>
                <w:sz w:val="24"/>
                <w:highlight w:val="none"/>
              </w:rPr>
            </w:pPr>
          </w:p>
          <w:p>
            <w:pPr>
              <w:spacing w:line="360" w:lineRule="auto"/>
              <w:jc w:val="center"/>
              <w:rPr>
                <w:rFonts w:ascii="宋体" w:cs="Arial"/>
                <w:bCs/>
                <w:i/>
                <w:color w:val="auto"/>
                <w:sz w:val="24"/>
                <w:highlight w:val="none"/>
              </w:rPr>
            </w:pPr>
          </w:p>
        </w:tc>
        <w:tc>
          <w:tcPr>
            <w:tcW w:w="1373" w:type="dxa"/>
          </w:tcPr>
          <w:p>
            <w:pPr>
              <w:pStyle w:val="60"/>
              <w:widowControl/>
              <w:spacing w:line="360" w:lineRule="auto"/>
              <w:jc w:val="left"/>
              <w:rPr>
                <w:rFonts w:ascii="宋体" w:cs="Arial"/>
                <w:bCs/>
                <w:i/>
                <w:color w:val="auto"/>
                <w:sz w:val="24"/>
                <w:highlight w:val="none"/>
              </w:rPr>
            </w:pPr>
          </w:p>
          <w:p>
            <w:pPr>
              <w:pStyle w:val="60"/>
              <w:widowControl/>
              <w:spacing w:line="360" w:lineRule="auto"/>
              <w:jc w:val="left"/>
              <w:rPr>
                <w:rFonts w:ascii="宋体" w:cs="Arial"/>
                <w:bCs/>
                <w:i/>
                <w:color w:val="auto"/>
                <w:sz w:val="24"/>
                <w:highlight w:val="none"/>
              </w:rPr>
            </w:pPr>
          </w:p>
          <w:p>
            <w:pPr>
              <w:pStyle w:val="60"/>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89" w:hRule="exact"/>
          <w:jc w:val="center"/>
        </w:trPr>
        <w:tc>
          <w:tcPr>
            <w:tcW w:w="739" w:type="dxa"/>
            <w:tcBorders>
              <w:bottom w:val="single" w:color="auto" w:sz="4" w:space="0"/>
            </w:tcBorders>
            <w:vAlign w:val="center"/>
          </w:tcPr>
          <w:p>
            <w:pPr>
              <w:spacing w:line="360" w:lineRule="auto"/>
              <w:jc w:val="center"/>
              <w:rPr>
                <w:rFonts w:ascii="宋体" w:cs="Arial"/>
                <w:bCs/>
                <w:color w:val="auto"/>
                <w:sz w:val="24"/>
                <w:highlight w:val="none"/>
              </w:rPr>
            </w:pPr>
            <w:r>
              <w:rPr>
                <w:rFonts w:hint="eastAsia" w:ascii="宋体" w:hAnsi="宋体" w:cs="宋体"/>
                <w:color w:val="auto"/>
                <w:sz w:val="24"/>
                <w:highlight w:val="none"/>
              </w:rPr>
              <w:t>……</w:t>
            </w:r>
          </w:p>
        </w:tc>
        <w:tc>
          <w:tcPr>
            <w:tcW w:w="2355" w:type="dxa"/>
            <w:tcBorders>
              <w:bottom w:val="single" w:color="auto" w:sz="4" w:space="0"/>
            </w:tcBorders>
            <w:vAlign w:val="center"/>
          </w:tcPr>
          <w:p>
            <w:pPr>
              <w:spacing w:line="360" w:lineRule="auto"/>
              <w:jc w:val="center"/>
              <w:rPr>
                <w:rFonts w:ascii="宋体" w:cs="Arial"/>
                <w:bCs/>
                <w:color w:val="auto"/>
                <w:sz w:val="24"/>
                <w:highlight w:val="none"/>
              </w:rPr>
            </w:pPr>
            <w:r>
              <w:rPr>
                <w:rFonts w:hint="eastAsia" w:ascii="宋体" w:hAnsi="宋体" w:cs="宋体"/>
                <w:color w:val="auto"/>
                <w:sz w:val="24"/>
                <w:highlight w:val="none"/>
              </w:rPr>
              <w:t>……</w:t>
            </w:r>
          </w:p>
        </w:tc>
        <w:tc>
          <w:tcPr>
            <w:tcW w:w="4061" w:type="dxa"/>
            <w:tcBorders>
              <w:bottom w:val="single" w:color="auto" w:sz="4" w:space="0"/>
            </w:tcBorders>
            <w:vAlign w:val="center"/>
          </w:tcPr>
          <w:p>
            <w:pPr>
              <w:spacing w:line="360" w:lineRule="auto"/>
              <w:jc w:val="center"/>
              <w:rPr>
                <w:rFonts w:ascii="宋体" w:cs="Arial"/>
                <w:bCs/>
                <w:color w:val="auto"/>
                <w:sz w:val="24"/>
                <w:highlight w:val="none"/>
              </w:rPr>
            </w:pPr>
            <w:r>
              <w:rPr>
                <w:rFonts w:hint="eastAsia" w:ascii="宋体" w:hAnsi="宋体" w:cs="宋体"/>
                <w:color w:val="auto"/>
                <w:sz w:val="24"/>
                <w:highlight w:val="none"/>
              </w:rPr>
              <w:t>……</w:t>
            </w:r>
          </w:p>
        </w:tc>
        <w:tc>
          <w:tcPr>
            <w:tcW w:w="1373" w:type="dxa"/>
            <w:tcBorders>
              <w:bottom w:val="single" w:color="auto" w:sz="4" w:space="0"/>
            </w:tcBorders>
          </w:tcPr>
          <w:p>
            <w:pPr>
              <w:pStyle w:val="60"/>
              <w:widowControl/>
              <w:spacing w:line="360" w:lineRule="auto"/>
              <w:jc w:val="left"/>
              <w:rPr>
                <w:rFonts w:ascii="宋体" w:cs="Arial"/>
                <w:bCs/>
                <w:color w:val="auto"/>
                <w:sz w:val="24"/>
                <w:highlight w:val="none"/>
              </w:rPr>
            </w:pPr>
          </w:p>
        </w:tc>
      </w:tr>
    </w:tbl>
    <w:p>
      <w:pPr>
        <w:spacing w:line="360" w:lineRule="auto"/>
        <w:ind w:left="549" w:hanging="548" w:hangingChars="171"/>
        <w:jc w:val="center"/>
        <w:rPr>
          <w:rFonts w:ascii="宋体"/>
          <w:b/>
          <w:color w:val="auto"/>
          <w:sz w:val="32"/>
          <w:szCs w:val="32"/>
          <w:highlight w:val="none"/>
        </w:rPr>
      </w:pPr>
    </w:p>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法定代表人（单位负责人）</w:t>
      </w:r>
      <w:r>
        <w:rPr>
          <w:rFonts w:hint="eastAsia" w:ascii="宋体" w:hAnsi="宋体"/>
          <w:color w:val="auto"/>
          <w:sz w:val="24"/>
          <w:highlight w:val="none"/>
        </w:rPr>
        <w:t>或授权委托代理人签字或盖章：</w:t>
      </w:r>
      <w:r>
        <w:rPr>
          <w:rFonts w:hint="eastAsia" w:ascii="宋体" w:hAnsi="宋体"/>
          <w:color w:val="auto"/>
          <w:sz w:val="24"/>
          <w:highlight w:val="none"/>
          <w:u w:val="single"/>
        </w:rPr>
        <w:t xml:space="preserve">                   </w:t>
      </w:r>
    </w:p>
    <w:p>
      <w:pP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pPr>
        <w:spacing w:line="360" w:lineRule="auto"/>
        <w:rPr>
          <w:rFonts w:ascii="宋体" w:cs="宋体"/>
          <w:color w:val="auto"/>
          <w:sz w:val="24"/>
          <w:szCs w:val="32"/>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4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pP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jc w:val="center"/>
        <w:rPr>
          <w:rFonts w:ascii="宋体"/>
          <w:color w:val="auto"/>
          <w:sz w:val="36"/>
          <w:szCs w:val="36"/>
          <w:highlight w:val="none"/>
        </w:rPr>
      </w:pPr>
      <w:r>
        <w:rPr>
          <w:rFonts w:hint="eastAsia" w:ascii="宋体" w:hAnsi="宋体" w:cs="宋体"/>
          <w:color w:val="auto"/>
          <w:sz w:val="36"/>
          <w:szCs w:val="36"/>
          <w:highlight w:val="none"/>
        </w:rPr>
        <w:t>项目编号：</w:t>
      </w:r>
    </w:p>
    <w:p>
      <w:pPr>
        <w:jc w:val="center"/>
        <w:rPr>
          <w:rFonts w:ascii="宋体"/>
          <w:b/>
          <w:bCs/>
          <w:color w:val="auto"/>
          <w:spacing w:val="40"/>
          <w:sz w:val="84"/>
          <w:szCs w:val="84"/>
          <w:highlight w:val="none"/>
        </w:rPr>
      </w:pP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pPr>
        <w:jc w:val="center"/>
        <w:rPr>
          <w:rFonts w:ascii="宋体"/>
          <w:color w:val="auto"/>
          <w:sz w:val="36"/>
          <w:szCs w:val="36"/>
          <w:highlight w:val="none"/>
        </w:rPr>
      </w:pPr>
    </w:p>
    <w:p>
      <w:pPr>
        <w:jc w:val="center"/>
        <w:rPr>
          <w:rFonts w:ascii="宋体"/>
          <w:color w:val="auto"/>
          <w:sz w:val="36"/>
          <w:szCs w:val="36"/>
          <w:highlight w:val="none"/>
        </w:rPr>
      </w:pPr>
    </w:p>
    <w:p>
      <w:pPr>
        <w:spacing w:line="360" w:lineRule="auto"/>
        <w:ind w:right="532"/>
        <w:jc w:val="center"/>
        <w:rPr>
          <w:rFonts w:ascii="宋体"/>
          <w:color w:val="auto"/>
          <w:sz w:val="36"/>
          <w:szCs w:val="36"/>
          <w:highlight w:val="none"/>
        </w:rPr>
      </w:pPr>
    </w:p>
    <w:p>
      <w:pPr>
        <w:rPr>
          <w:rFonts w:ascii="宋体"/>
          <w:color w:val="auto"/>
          <w:sz w:val="36"/>
          <w:szCs w:val="36"/>
          <w:highlight w:val="none"/>
        </w:rPr>
      </w:pPr>
      <w:r>
        <w:rPr>
          <w:rFonts w:hint="eastAsia" w:ascii="宋体" w:hAnsi="宋体" w:cs="宋体"/>
          <w:color w:val="auto"/>
          <w:sz w:val="36"/>
          <w:szCs w:val="36"/>
          <w:highlight w:val="none"/>
        </w:rPr>
        <w:t>供应商全称（公章）：</w:t>
      </w:r>
    </w:p>
    <w:p>
      <w:pPr>
        <w:rPr>
          <w:rFonts w:ascii="宋体"/>
          <w:color w:val="auto"/>
          <w:sz w:val="36"/>
          <w:szCs w:val="36"/>
          <w:highlight w:val="none"/>
        </w:rPr>
      </w:pPr>
      <w:r>
        <w:rPr>
          <w:rFonts w:hint="eastAsia" w:ascii="宋体" w:hAnsi="宋体" w:cs="宋体"/>
          <w:color w:val="auto"/>
          <w:sz w:val="36"/>
          <w:szCs w:val="36"/>
          <w:highlight w:val="none"/>
        </w:rPr>
        <w:t>地址：</w:t>
      </w:r>
    </w:p>
    <w:p>
      <w:pPr>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5）；</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2、报价明细表（附件16）；</w:t>
      </w:r>
    </w:p>
    <w:p>
      <w:pP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pP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4、中小企业等声明函（附件</w:t>
      </w:r>
      <w:r>
        <w:rPr>
          <w:rFonts w:ascii="宋体" w:hAnsi="宋体" w:cs="宋体"/>
          <w:color w:val="auto"/>
          <w:sz w:val="28"/>
          <w:szCs w:val="28"/>
          <w:highlight w:val="none"/>
        </w:rPr>
        <w:t>1</w:t>
      </w:r>
      <w:r>
        <w:rPr>
          <w:rFonts w:hint="eastAsia" w:ascii="宋体" w:hAnsi="宋体" w:cs="宋体"/>
          <w:color w:val="auto"/>
          <w:sz w:val="28"/>
          <w:szCs w:val="28"/>
          <w:highlight w:val="none"/>
        </w:rPr>
        <w:t>7）。（如有需提供）</w:t>
      </w:r>
    </w:p>
    <w:p>
      <w:pPr>
        <w:spacing w:line="360" w:lineRule="auto"/>
        <w:rPr>
          <w:rFonts w:ascii="宋体"/>
          <w:color w:val="auto"/>
          <w:sz w:val="24"/>
          <w:szCs w:val="24"/>
          <w:highlight w:val="none"/>
        </w:rPr>
      </w:pPr>
    </w:p>
    <w:p>
      <w:pPr>
        <w:spacing w:line="360" w:lineRule="auto"/>
        <w:rPr>
          <w:rFonts w:ascii="宋体" w:hAnsi="宋体" w:cs="宋体"/>
          <w:color w:val="auto"/>
          <w:sz w:val="24"/>
          <w:szCs w:val="32"/>
          <w:highlight w:val="none"/>
        </w:rPr>
      </w:pPr>
    </w:p>
    <w:p>
      <w:pPr>
        <w:pStyle w:val="5"/>
        <w:rPr>
          <w:rFonts w:ascii="宋体" w:hAnsi="宋体" w:cs="宋体"/>
          <w:color w:val="auto"/>
          <w:sz w:val="24"/>
          <w:szCs w:val="32"/>
          <w:highlight w:val="none"/>
        </w:rPr>
      </w:pPr>
    </w:p>
    <w:p>
      <w:pPr>
        <w:rPr>
          <w:rFonts w:ascii="宋体" w:hAnsi="宋体" w:cs="宋体"/>
          <w:color w:val="auto"/>
          <w:sz w:val="24"/>
          <w:szCs w:val="32"/>
          <w:highlight w:val="none"/>
        </w:rPr>
      </w:pPr>
    </w:p>
    <w:p>
      <w:pPr>
        <w:pStyle w:val="5"/>
        <w:rPr>
          <w:rFonts w:ascii="宋体" w:hAnsi="宋体" w:cs="宋体"/>
          <w:color w:val="auto"/>
          <w:sz w:val="24"/>
          <w:szCs w:val="32"/>
          <w:highlight w:val="none"/>
        </w:rPr>
      </w:pPr>
    </w:p>
    <w:p>
      <w:pPr>
        <w:rPr>
          <w:rFonts w:ascii="宋体" w:hAnsi="宋体" w:cs="宋体"/>
          <w:color w:val="auto"/>
          <w:sz w:val="24"/>
          <w:szCs w:val="32"/>
          <w:highlight w:val="none"/>
        </w:rPr>
      </w:pPr>
    </w:p>
    <w:p>
      <w:pPr>
        <w:pStyle w:val="5"/>
        <w:rPr>
          <w:rFonts w:ascii="宋体" w:hAnsi="宋体" w:cs="宋体"/>
          <w:color w:val="auto"/>
          <w:sz w:val="24"/>
          <w:szCs w:val="32"/>
          <w:highlight w:val="none"/>
        </w:rPr>
      </w:pPr>
    </w:p>
    <w:p>
      <w:pPr>
        <w:rPr>
          <w:rFonts w:ascii="宋体" w:hAnsi="宋体" w:cs="宋体"/>
          <w:color w:val="auto"/>
          <w:sz w:val="24"/>
          <w:szCs w:val="32"/>
          <w:highlight w:val="none"/>
        </w:rPr>
      </w:pPr>
    </w:p>
    <w:p>
      <w:pPr>
        <w:pStyle w:val="5"/>
        <w:rPr>
          <w:rFonts w:ascii="宋体" w:hAnsi="宋体" w:cs="宋体"/>
          <w:color w:val="auto"/>
          <w:sz w:val="24"/>
          <w:szCs w:val="32"/>
          <w:highlight w:val="none"/>
        </w:rPr>
      </w:pPr>
    </w:p>
    <w:p>
      <w:pPr>
        <w:rPr>
          <w:rFonts w:ascii="宋体" w:hAnsi="宋体" w:cs="宋体"/>
          <w:color w:val="auto"/>
          <w:sz w:val="24"/>
          <w:szCs w:val="32"/>
          <w:highlight w:val="none"/>
        </w:rPr>
      </w:pPr>
    </w:p>
    <w:p>
      <w:pPr>
        <w:pStyle w:val="5"/>
        <w:rPr>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b/>
          <w:bCs/>
          <w:color w:val="auto"/>
          <w:sz w:val="28"/>
          <w:szCs w:val="28"/>
          <w:highlight w:val="none"/>
          <w:lang w:val="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5</w:t>
      </w: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pP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投标总报价（元）</w:t>
            </w:r>
          </w:p>
        </w:tc>
        <w:tc>
          <w:tcPr>
            <w:tcW w:w="1349" w:type="dxa"/>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vAlign w:val="center"/>
          </w:tcPr>
          <w:p>
            <w:pPr>
              <w:autoSpaceDE w:val="0"/>
              <w:autoSpaceDN w:val="0"/>
              <w:spacing w:line="450" w:lineRule="exact"/>
              <w:jc w:val="center"/>
              <w:textAlignment w:val="bottom"/>
              <w:rPr>
                <w:rFonts w:ascii="宋体"/>
                <w:color w:val="auto"/>
                <w:sz w:val="24"/>
                <w:szCs w:val="24"/>
                <w:highlight w:val="none"/>
              </w:rPr>
            </w:pPr>
          </w:p>
        </w:tc>
      </w:tr>
      <w:tr>
        <w:trPr>
          <w:cantSplit/>
          <w:trHeight w:val="1200" w:hRule="atLeast"/>
          <w:jc w:val="center"/>
        </w:trPr>
        <w:tc>
          <w:tcPr>
            <w:tcW w:w="2694" w:type="dxa"/>
            <w:vMerge w:val="continue"/>
            <w:vAlign w:val="center"/>
          </w:tcPr>
          <w:p>
            <w:pPr>
              <w:rPr>
                <w:rFonts w:ascii="宋体"/>
                <w:color w:val="auto"/>
                <w:sz w:val="24"/>
                <w:szCs w:val="24"/>
                <w:highlight w:val="none"/>
              </w:rPr>
            </w:pPr>
          </w:p>
        </w:tc>
        <w:tc>
          <w:tcPr>
            <w:tcW w:w="1349" w:type="dxa"/>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vAlign w:val="center"/>
          </w:tcPr>
          <w:p>
            <w:pPr>
              <w:autoSpaceDE w:val="0"/>
              <w:autoSpaceDN w:val="0"/>
              <w:spacing w:line="450" w:lineRule="exact"/>
              <w:jc w:val="center"/>
              <w:textAlignment w:val="bottom"/>
              <w:rPr>
                <w:rFonts w:ascii="宋体"/>
                <w:color w:val="auto"/>
                <w:sz w:val="24"/>
                <w:szCs w:val="24"/>
                <w:highlight w:val="none"/>
              </w:rPr>
            </w:pPr>
          </w:p>
        </w:tc>
      </w:tr>
    </w:tbl>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p>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投标报价为完成本项目服务及要求所包含的所有费用，投标人应考虑企业自身实力、经验及项目实施过程中的各种因素，在投标报价中应充分考虑所有可能发生的费用，否则采购人将视投标总价中已包括所有费用。</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2、报价一经涂改，应在涂改处加盖单位公章，或者由法定代表人（</w:t>
      </w:r>
      <w:r>
        <w:rPr>
          <w:rFonts w:hint="eastAsia" w:ascii="宋体" w:hAnsi="宋体" w:cs="宋体"/>
          <w:color w:val="auto"/>
          <w:sz w:val="24"/>
          <w:szCs w:val="32"/>
          <w:highlight w:val="none"/>
          <w:lang w:val="en-US" w:eastAsia="zh-CN"/>
        </w:rPr>
        <w:t>单位</w:t>
      </w:r>
      <w:r>
        <w:rPr>
          <w:rFonts w:hint="eastAsia" w:ascii="宋体" w:hAnsi="宋体" w:cs="宋体"/>
          <w:color w:val="auto"/>
          <w:sz w:val="24"/>
          <w:szCs w:val="32"/>
          <w:highlight w:val="none"/>
          <w:lang w:val="zh-CN"/>
        </w:rPr>
        <w:t>负责人）或授权委托代理人签字或盖章。</w:t>
      </w:r>
    </w:p>
    <w:p>
      <w:pPr>
        <w:spacing w:line="360" w:lineRule="auto"/>
        <w:rPr>
          <w:rFonts w:ascii="宋体"/>
          <w:color w:val="auto"/>
          <w:sz w:val="24"/>
          <w:szCs w:val="24"/>
          <w:highlight w:val="none"/>
        </w:rPr>
      </w:pPr>
    </w:p>
    <w:p>
      <w:pPr>
        <w:pStyle w:val="4"/>
        <w:rPr>
          <w:color w:val="auto"/>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法定代表人（单位负责人）</w:t>
      </w:r>
      <w:r>
        <w:rPr>
          <w:rFonts w:hint="eastAsia" w:ascii="宋体" w:hAnsi="宋体"/>
          <w:color w:val="auto"/>
          <w:sz w:val="24"/>
          <w:highlight w:val="none"/>
        </w:rPr>
        <w:t>或授权委托代理人签字或盖章：</w:t>
      </w:r>
      <w:r>
        <w:rPr>
          <w:rFonts w:hint="eastAsia" w:ascii="宋体" w:hAnsi="宋体"/>
          <w:color w:val="auto"/>
          <w:sz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rPr>
          <w:rFonts w:ascii="宋体"/>
          <w:b/>
          <w:bCs/>
          <w:color w:val="auto"/>
          <w:sz w:val="28"/>
          <w:szCs w:val="28"/>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6</w:t>
      </w:r>
    </w:p>
    <w:p>
      <w:pPr>
        <w:rPr>
          <w:rFonts w:ascii="宋体"/>
          <w:b/>
          <w:bCs/>
          <w:color w:val="auto"/>
          <w:sz w:val="28"/>
          <w:szCs w:val="28"/>
          <w:highlight w:val="none"/>
        </w:rPr>
      </w:pP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报价明细表</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rPr>
          <w:rFonts w:ascii="宋体" w:hAnsi="宋体"/>
          <w:color w:val="auto"/>
          <w:sz w:val="24"/>
          <w:highlight w:val="none"/>
        </w:rPr>
      </w:pPr>
      <w:r>
        <w:rPr>
          <w:rFonts w:hint="eastAsia" w:ascii="宋体" w:hAnsi="宋体"/>
          <w:color w:val="auto"/>
          <w:sz w:val="24"/>
          <w:highlight w:val="none"/>
        </w:rPr>
        <w:t>项目编号：                                      [货币单位：人民币元]</w:t>
      </w:r>
    </w:p>
    <w:tbl>
      <w:tblPr>
        <w:tblStyle w:val="2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trPr>
          <w:cantSplit/>
          <w:trHeight w:val="640" w:hRule="atLeast"/>
          <w:jc w:val="center"/>
        </w:trPr>
        <w:tc>
          <w:tcPr>
            <w:tcW w:w="7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536"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报价项目</w:t>
            </w:r>
          </w:p>
        </w:tc>
        <w:tc>
          <w:tcPr>
            <w:tcW w:w="851"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992"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单价</w:t>
            </w:r>
          </w:p>
        </w:tc>
        <w:tc>
          <w:tcPr>
            <w:tcW w:w="992"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小计</w:t>
            </w:r>
          </w:p>
        </w:tc>
        <w:tc>
          <w:tcPr>
            <w:tcW w:w="7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trPr>
          <w:cantSplit/>
          <w:trHeight w:val="540" w:hRule="atLeast"/>
          <w:jc w:val="center"/>
        </w:trPr>
        <w:tc>
          <w:tcPr>
            <w:tcW w:w="7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4536"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rPr>
          <w:cantSplit/>
          <w:trHeight w:val="480" w:hRule="atLeast"/>
          <w:jc w:val="center"/>
        </w:trPr>
        <w:tc>
          <w:tcPr>
            <w:tcW w:w="7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w:t>
            </w:r>
          </w:p>
        </w:tc>
        <w:tc>
          <w:tcPr>
            <w:tcW w:w="4536"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rPr>
          <w:cantSplit/>
          <w:trHeight w:val="500" w:hRule="atLeast"/>
          <w:jc w:val="center"/>
        </w:trPr>
        <w:tc>
          <w:tcPr>
            <w:tcW w:w="7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3</w:t>
            </w:r>
          </w:p>
        </w:tc>
        <w:tc>
          <w:tcPr>
            <w:tcW w:w="4536" w:type="dxa"/>
            <w:vAlign w:val="center"/>
          </w:tcPr>
          <w:p>
            <w:pPr>
              <w:spacing w:line="360" w:lineRule="auto"/>
              <w:jc w:val="center"/>
              <w:rPr>
                <w:rFonts w:ascii="宋体" w:hAnsi="宋体" w:cs="宋体"/>
                <w:color w:val="auto"/>
                <w:sz w:val="24"/>
                <w:highlight w:val="none"/>
              </w:rPr>
            </w:pPr>
          </w:p>
        </w:tc>
        <w:tc>
          <w:tcPr>
            <w:tcW w:w="851"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992" w:type="dxa"/>
            <w:vAlign w:val="center"/>
          </w:tcPr>
          <w:p>
            <w:pPr>
              <w:spacing w:line="360" w:lineRule="auto"/>
              <w:jc w:val="center"/>
              <w:rPr>
                <w:rFonts w:ascii="宋体" w:hAnsi="宋体" w:cs="宋体"/>
                <w:color w:val="auto"/>
                <w:sz w:val="24"/>
                <w:highlight w:val="none"/>
              </w:rPr>
            </w:pPr>
          </w:p>
        </w:tc>
        <w:tc>
          <w:tcPr>
            <w:tcW w:w="709" w:type="dxa"/>
            <w:vAlign w:val="center"/>
          </w:tcPr>
          <w:p>
            <w:pPr>
              <w:spacing w:line="360" w:lineRule="auto"/>
              <w:jc w:val="center"/>
              <w:rPr>
                <w:rFonts w:ascii="宋体" w:hAnsi="宋体" w:cs="宋体"/>
                <w:color w:val="auto"/>
                <w:sz w:val="24"/>
                <w:highlight w:val="none"/>
              </w:rPr>
            </w:pPr>
          </w:p>
        </w:tc>
      </w:tr>
      <w:tr>
        <w:trPr>
          <w:cantSplit/>
          <w:trHeight w:val="500" w:hRule="atLeast"/>
          <w:jc w:val="center"/>
        </w:trPr>
        <w:tc>
          <w:tcPr>
            <w:tcW w:w="709" w:type="dxa"/>
            <w:vAlign w:val="center"/>
          </w:tcPr>
          <w:p>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w:t>
            </w:r>
          </w:p>
        </w:tc>
        <w:tc>
          <w:tcPr>
            <w:tcW w:w="453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85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09"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r>
      <w:tr>
        <w:trPr>
          <w:cantSplit/>
          <w:trHeight w:val="776" w:hRule="atLeast"/>
          <w:jc w:val="center"/>
        </w:trPr>
        <w:tc>
          <w:tcPr>
            <w:tcW w:w="8789" w:type="dxa"/>
            <w:gridSpan w:val="6"/>
            <w:tcBorders>
              <w:bottom w:val="single" w:color="auto" w:sz="4" w:space="0"/>
            </w:tcBorders>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合计：大写 人民币</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元；小写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元</w:t>
            </w: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本表为《开标一览表》的报价明细表，如有缺项、漏项，视为投标报价中已包含相关费用，采购人无需另外支付任何费用。</w:t>
      </w:r>
    </w:p>
    <w:p>
      <w:pP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hint="eastAsia" w:ascii="宋体" w:hAnsi="宋体" w:cs="宋体"/>
          <w:color w:val="auto"/>
          <w:sz w:val="24"/>
          <w:szCs w:val="24"/>
          <w:highlight w:val="none"/>
          <w:lang w:val="zh-CN"/>
        </w:rPr>
        <w:t>“报价明细表”中的报价合计应与“开标一览表”中的投标总报价相一致，不一致时，以开标一览表为准。</w:t>
      </w:r>
    </w:p>
    <w:p>
      <w:pPr>
        <w:spacing w:line="360" w:lineRule="auto"/>
        <w:ind w:firstLine="480" w:firstLineChars="200"/>
        <w:rPr>
          <w:rFonts w:ascii="宋体"/>
          <w:color w:val="auto"/>
          <w:sz w:val="24"/>
          <w:szCs w:val="24"/>
          <w:highlight w:val="none"/>
          <w:lang w:val="zh-CN"/>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法定代表人（单位负责人）</w:t>
      </w:r>
      <w:r>
        <w:rPr>
          <w:rFonts w:hint="eastAsia" w:ascii="宋体" w:hAnsi="宋体"/>
          <w:color w:val="auto"/>
          <w:sz w:val="24"/>
          <w:highlight w:val="none"/>
        </w:rPr>
        <w:t>或授权委托代理人签字或盖章：</w:t>
      </w:r>
      <w:r>
        <w:rPr>
          <w:rFonts w:hint="eastAsia" w:ascii="宋体" w:hAnsi="宋体"/>
          <w:color w:val="auto"/>
          <w:sz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7</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本公司（联合体）郑重声明，根据《政府采购促进中小企业发展管理办法》（财库﹝2020﹞46号）的规定，本公司（联合体）参加</w:t>
      </w:r>
      <w:r>
        <w:rPr>
          <w:rFonts w:hint="eastAsia" w:ascii="宋体" w:hAnsi="宋体" w:cs="宋体"/>
          <w:bCs/>
          <w:color w:val="auto"/>
          <w:sz w:val="24"/>
          <w:highlight w:val="none"/>
          <w:u w:val="single"/>
        </w:rPr>
        <w:t xml:space="preserve">        （单位名称）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 xml:space="preserve">                         （项目名称）</w:t>
      </w:r>
      <w:r>
        <w:rPr>
          <w:rFonts w:hint="eastAsia" w:ascii="宋体" w:hAnsi="宋体" w:cs="宋体"/>
          <w:bCs/>
          <w:color w:val="auto"/>
          <w:sz w:val="24"/>
          <w:highlight w:val="none"/>
        </w:rPr>
        <w:t>采购活动，工程的施工单位全部为符合政策要求的中小企业（或者：服务全部由符合政策要求的中小企业承接）。相关企业的具体情况如下：</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2"/>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pacing w:line="360" w:lineRule="auto"/>
        <w:rPr>
          <w:rFonts w:ascii="宋体" w:hAnsi="宋体" w:cs="宋体"/>
          <w:bCs/>
          <w:color w:val="auto"/>
          <w:sz w:val="24"/>
          <w:highlight w:val="none"/>
        </w:rPr>
      </w:pPr>
    </w:p>
    <w:p>
      <w:pPr>
        <w:spacing w:line="360" w:lineRule="auto"/>
        <w:ind w:firstLine="4800" w:firstLineChars="2000"/>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rPr>
          <w:rFonts w:ascii="宋体" w:hAnsi="宋体" w:cs="宋体"/>
          <w:bCs/>
          <w:color w:val="auto"/>
          <w:sz w:val="24"/>
          <w:highlight w:val="none"/>
        </w:rPr>
      </w:pPr>
      <w:r>
        <w:rPr>
          <w:rFonts w:hint="eastAsia" w:ascii="宋体" w:hAnsi="宋体" w:cs="宋体"/>
          <w:bCs/>
          <w:color w:val="auto"/>
          <w:sz w:val="24"/>
          <w:highlight w:val="none"/>
        </w:rPr>
        <w:t>日 期：</w:t>
      </w:r>
    </w:p>
    <w:p>
      <w:pPr>
        <w:spacing w:line="360" w:lineRule="auto"/>
        <w:rPr>
          <w:rFonts w:ascii="宋体" w:hAnsi="宋体" w:cs="宋体"/>
          <w:bCs/>
          <w:color w:val="auto"/>
          <w:sz w:val="24"/>
          <w:highlight w:val="none"/>
        </w:rPr>
      </w:pPr>
    </w:p>
    <w:p>
      <w:pPr>
        <w:spacing w:line="360" w:lineRule="auto"/>
        <w:rPr>
          <w:rFonts w:ascii="宋体" w:hAnsi="宋体" w:cs="宋体"/>
          <w:bCs/>
          <w:color w:val="auto"/>
          <w:sz w:val="24"/>
          <w:highlight w:val="none"/>
          <w:lang w:val="en-GB"/>
        </w:rPr>
      </w:pPr>
    </w:p>
    <w:p>
      <w:pPr>
        <w:spacing w:line="360" w:lineRule="auto"/>
        <w:rPr>
          <w:rFonts w:ascii="宋体" w:hAnsi="宋体" w:cs="宋体"/>
          <w:bCs/>
          <w:color w:val="auto"/>
          <w:sz w:val="24"/>
          <w:highlight w:val="none"/>
          <w:lang w:val="en-GB"/>
        </w:rPr>
      </w:pPr>
    </w:p>
    <w:p>
      <w:pPr>
        <w:pStyle w:val="2"/>
        <w:rPr>
          <w:color w:val="auto"/>
          <w:highlight w:val="none"/>
          <w:lang w:val="en-GB"/>
        </w:rPr>
      </w:pPr>
    </w:p>
    <w:p>
      <w:pPr>
        <w:spacing w:line="360" w:lineRule="auto"/>
        <w:rPr>
          <w:rFonts w:ascii="宋体" w:hAnsi="宋体" w:cs="宋体"/>
          <w:bCs/>
          <w:color w:val="auto"/>
          <w:sz w:val="24"/>
          <w:highlight w:val="none"/>
          <w:lang w:val="en-GB"/>
        </w:rPr>
      </w:pPr>
    </w:p>
    <w:p>
      <w:pPr>
        <w:spacing w:line="360" w:lineRule="auto"/>
        <w:rPr>
          <w:rFonts w:ascii="宋体" w:hAnsi="宋体" w:cs="宋体"/>
          <w:bCs/>
          <w:color w:val="auto"/>
          <w:sz w:val="24"/>
          <w:highlight w:val="none"/>
          <w:lang w:val="en-GB"/>
        </w:rPr>
      </w:pPr>
    </w:p>
    <w:p>
      <w:pP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pP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spacing w:line="360" w:lineRule="auto"/>
        <w:rPr>
          <w:rFonts w:ascii="宋体" w:hAnsi="宋体" w:cs="宋体"/>
          <w:bCs/>
          <w:color w:val="auto"/>
          <w:sz w:val="24"/>
          <w:highlight w:val="none"/>
        </w:rPr>
      </w:pPr>
    </w:p>
    <w:p>
      <w:pPr>
        <w:spacing w:line="360" w:lineRule="auto"/>
        <w:rPr>
          <w:rFonts w:ascii="宋体" w:hAnsi="宋体" w:cs="宋体"/>
          <w:bCs/>
          <w:color w:val="auto"/>
          <w:sz w:val="24"/>
          <w:highlight w:val="none"/>
        </w:rPr>
      </w:pPr>
    </w:p>
    <w:p>
      <w:pPr>
        <w:spacing w:line="360" w:lineRule="auto"/>
        <w:rPr>
          <w:rFonts w:ascii="宋体" w:hAnsi="宋体" w:cs="宋体"/>
          <w:bCs/>
          <w:color w:val="auto"/>
          <w:sz w:val="24"/>
          <w:highlight w:val="none"/>
        </w:rPr>
      </w:pPr>
    </w:p>
    <w:p>
      <w:pPr>
        <w:spacing w:line="360" w:lineRule="auto"/>
        <w:rPr>
          <w:rFonts w:ascii="宋体" w:hAnsi="宋体" w:cs="宋体"/>
          <w:bCs/>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3、供应商未提供《中小企业声明函》的、《中小企业声明函》中内容应填写而未进行填写或未如实填写的，将不给予供应商小微企业报价优惠扣除。</w:t>
      </w:r>
    </w:p>
    <w:p>
      <w:pPr>
        <w:spacing w:line="360" w:lineRule="auto"/>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预成交供应商享受小微企业报价优惠扣除的，将按规定公开预成交供应商的《中小企业声明函》。</w:t>
      </w:r>
    </w:p>
    <w:p>
      <w:pPr>
        <w:spacing w:line="360" w:lineRule="auto"/>
        <w:ind w:firstLine="480" w:firstLineChars="200"/>
        <w:rPr>
          <w:rFonts w:ascii="宋体" w:hAnsi="宋体" w:cs="宋体"/>
          <w:b/>
          <w:bCs/>
          <w:color w:val="auto"/>
          <w:sz w:val="24"/>
          <w:highlight w:val="none"/>
          <w:lang w:val="zh-CN"/>
        </w:rPr>
      </w:pPr>
      <w:r>
        <w:rPr>
          <w:rFonts w:hint="eastAsia" w:ascii="宋体" w:hAnsi="宋体" w:cs="宋体"/>
          <w:b/>
          <w:bCs/>
          <w:color w:val="auto"/>
          <w:sz w:val="24"/>
          <w:highlight w:val="none"/>
        </w:rPr>
        <w:t>4、如国家对中小企业划型标准有新的规定的，从其规定。 </w:t>
      </w:r>
    </w:p>
    <w:p>
      <w:pPr>
        <w:spacing w:line="360" w:lineRule="auto"/>
        <w:rPr>
          <w:rFonts w:ascii="宋体" w:hAnsi="宋体" w:cs="宋体"/>
          <w:bCs/>
          <w:color w:val="auto"/>
          <w:sz w:val="24"/>
          <w:highlight w:val="none"/>
          <w:lang w:val="zh-CN"/>
        </w:rPr>
      </w:pPr>
    </w:p>
    <w:p>
      <w:pPr>
        <w:spacing w:line="360" w:lineRule="auto"/>
        <w:rPr>
          <w:rFonts w:ascii="宋体" w:hAnsi="宋体" w:cs="宋体"/>
          <w:bCs/>
          <w:color w:val="auto"/>
          <w:sz w:val="24"/>
          <w:highlight w:val="none"/>
          <w:lang w:val="zh-CN"/>
        </w:rPr>
      </w:pPr>
    </w:p>
    <w:p>
      <w:pPr>
        <w:spacing w:line="360" w:lineRule="auto"/>
        <w:rPr>
          <w:rFonts w:ascii="宋体" w:hAnsi="宋体" w:cs="宋体"/>
          <w:bCs/>
          <w:color w:val="auto"/>
          <w:sz w:val="24"/>
          <w:highlight w:val="none"/>
          <w:lang w:val="zh-CN"/>
        </w:rPr>
      </w:pPr>
    </w:p>
    <w:p>
      <w:pPr>
        <w:spacing w:line="420" w:lineRule="exact"/>
        <w:rPr>
          <w:rFonts w:ascii="宋体" w:hAnsi="宋体"/>
          <w:b/>
          <w:color w:val="auto"/>
          <w:sz w:val="28"/>
          <w:szCs w:val="28"/>
          <w:highlight w:val="none"/>
          <w:lang w:val="en-GB"/>
        </w:rPr>
      </w:pPr>
      <w:r>
        <w:rPr>
          <w:rFonts w:hint="eastAsia" w:ascii="宋体" w:hAnsi="宋体"/>
          <w:b/>
          <w:color w:val="auto"/>
          <w:sz w:val="28"/>
          <w:szCs w:val="28"/>
          <w:highlight w:val="none"/>
        </w:rPr>
        <w:t xml:space="preserve">附件：             </w:t>
      </w:r>
      <w:r>
        <w:rPr>
          <w:rFonts w:hint="eastAsia" w:ascii="宋体" w:hAnsi="宋体"/>
          <w:b/>
          <w:color w:val="auto"/>
          <w:sz w:val="28"/>
          <w:szCs w:val="28"/>
          <w:highlight w:val="none"/>
          <w:lang w:val="en-GB"/>
        </w:rPr>
        <w:t>政府采购活动现场确认声明书</w:t>
      </w:r>
    </w:p>
    <w:p>
      <w:pPr>
        <w:snapToGrid w:val="0"/>
        <w:spacing w:line="400" w:lineRule="exact"/>
        <w:rPr>
          <w:rFonts w:ascii="宋体" w:hAnsi="宋体" w:cs="宋体"/>
          <w:b/>
          <w:color w:val="auto"/>
          <w:sz w:val="24"/>
          <w:szCs w:val="24"/>
          <w:highlight w:val="none"/>
        </w:rPr>
      </w:pPr>
      <w:r>
        <w:rPr>
          <w:rFonts w:hint="eastAsia" w:ascii="宋体" w:hAnsi="宋体" w:cs="宋体"/>
          <w:color w:val="auto"/>
          <w:kern w:val="0"/>
          <w:sz w:val="24"/>
          <w:szCs w:val="24"/>
          <w:highlight w:val="none"/>
          <w:u w:val="single"/>
        </w:rPr>
        <w:t>浙江五石中正工程咨询有限公司</w:t>
      </w:r>
      <w:r>
        <w:rPr>
          <w:rFonts w:hint="eastAsia" w:ascii="宋体" w:hAnsi="宋体" w:cs="宋体"/>
          <w:color w:val="auto"/>
          <w:kern w:val="0"/>
          <w:sz w:val="24"/>
          <w:szCs w:val="24"/>
          <w:highlight w:val="none"/>
        </w:rPr>
        <w:t>（采购组织机构名称）：</w:t>
      </w:r>
    </w:p>
    <w:p>
      <w:pPr>
        <w:widowControl/>
        <w:spacing w:line="400" w:lineRule="exact"/>
        <w:ind w:firstLine="504" w:firstLineChars="200"/>
        <w:jc w:val="left"/>
        <w:rPr>
          <w:rFonts w:ascii="宋体" w:hAnsi="宋体" w:cs="宋体"/>
          <w:color w:val="auto"/>
          <w:kern w:val="0"/>
          <w:sz w:val="24"/>
          <w:szCs w:val="24"/>
          <w:highlight w:val="none"/>
          <w:lang w:val="zh-CN"/>
        </w:rPr>
      </w:pPr>
      <w:r>
        <w:rPr>
          <w:rFonts w:hint="eastAsia" w:ascii="宋体" w:hAnsi="宋体" w:cs="宋体"/>
          <w:color w:val="auto"/>
          <w:spacing w:val="6"/>
          <w:kern w:val="0"/>
          <w:sz w:val="24"/>
          <w:szCs w:val="24"/>
          <w:highlight w:val="none"/>
          <w:lang w:val="zh-CN"/>
        </w:rPr>
        <w:t>本人经由</w:t>
      </w:r>
      <w:r>
        <w:rPr>
          <w:rFonts w:hint="eastAsia" w:ascii="宋体" w:hAnsi="宋体" w:cs="宋体"/>
          <w:color w:val="auto"/>
          <w:spacing w:val="6"/>
          <w:kern w:val="0"/>
          <w:sz w:val="24"/>
          <w:szCs w:val="24"/>
          <w:highlight w:val="none"/>
        </w:rPr>
        <w:t>（投标人全称）</w:t>
      </w:r>
      <w:r>
        <w:rPr>
          <w:rFonts w:hint="eastAsia" w:ascii="宋体" w:hAnsi="宋体" w:cs="宋体"/>
          <w:color w:val="auto"/>
          <w:spacing w:val="6"/>
          <w:kern w:val="0"/>
          <w:sz w:val="24"/>
          <w:szCs w:val="24"/>
          <w:highlight w:val="none"/>
          <w:u w:val="single"/>
          <w:lang w:val="zh-CN"/>
        </w:rPr>
        <w:t xml:space="preserve">  </w:t>
      </w:r>
      <w:r>
        <w:rPr>
          <w:rFonts w:hint="eastAsia" w:ascii="宋体" w:hAnsi="宋体" w:cs="宋体"/>
          <w:color w:val="auto"/>
          <w:spacing w:val="6"/>
          <w:kern w:val="0"/>
          <w:sz w:val="24"/>
          <w:szCs w:val="24"/>
          <w:highlight w:val="none"/>
          <w:u w:val="single"/>
        </w:rPr>
        <w:t xml:space="preserve">          </w:t>
      </w:r>
      <w:r>
        <w:rPr>
          <w:rFonts w:hint="eastAsia" w:ascii="宋体" w:hAnsi="宋体" w:cs="宋体"/>
          <w:color w:val="auto"/>
          <w:spacing w:val="6"/>
          <w:kern w:val="0"/>
          <w:sz w:val="24"/>
          <w:szCs w:val="24"/>
          <w:highlight w:val="none"/>
          <w:lang w:val="zh-CN"/>
        </w:rPr>
        <w:t>（法人代表）</w:t>
      </w:r>
      <w:r>
        <w:rPr>
          <w:rFonts w:hint="eastAsia" w:ascii="宋体" w:hAnsi="宋体" w:cs="宋体"/>
          <w:color w:val="auto"/>
          <w:spacing w:val="6"/>
          <w:kern w:val="0"/>
          <w:sz w:val="24"/>
          <w:szCs w:val="24"/>
          <w:highlight w:val="none"/>
          <w:u w:val="single"/>
        </w:rPr>
        <w:t xml:space="preserve">          </w:t>
      </w:r>
      <w:r>
        <w:rPr>
          <w:rFonts w:hint="eastAsia" w:ascii="宋体" w:hAnsi="宋体" w:cs="宋体"/>
          <w:color w:val="auto"/>
          <w:spacing w:val="6"/>
          <w:kern w:val="0"/>
          <w:sz w:val="24"/>
          <w:szCs w:val="24"/>
          <w:highlight w:val="none"/>
          <w:lang w:val="zh-CN"/>
        </w:rPr>
        <w:t>合法授权参加</w:t>
      </w:r>
      <w:r>
        <w:rPr>
          <w:rFonts w:hint="eastAsia" w:ascii="宋体" w:hAnsi="宋体" w:cs="宋体"/>
          <w:b/>
          <w:bCs/>
          <w:color w:val="auto"/>
          <w:spacing w:val="6"/>
          <w:kern w:val="0"/>
          <w:sz w:val="24"/>
          <w:szCs w:val="24"/>
          <w:highlight w:val="none"/>
          <w:u w:val="single"/>
          <w:lang w:val="zh-CN"/>
        </w:rPr>
        <w:t>工伤保险业务服务委托商业保险公司协助经办和运营管理项目</w:t>
      </w:r>
      <w:r>
        <w:rPr>
          <w:rFonts w:hint="eastAsia" w:ascii="宋体" w:hAnsi="宋体" w:cs="宋体"/>
          <w:color w:val="auto"/>
          <w:spacing w:val="6"/>
          <w:kern w:val="0"/>
          <w:sz w:val="24"/>
          <w:szCs w:val="24"/>
          <w:highlight w:val="none"/>
          <w:lang w:val="zh-CN"/>
        </w:rPr>
        <w:t>（</w:t>
      </w:r>
      <w:r>
        <w:rPr>
          <w:rFonts w:hint="eastAsia" w:ascii="宋体" w:hAnsi="宋体" w:cs="宋体"/>
          <w:color w:val="auto"/>
          <w:spacing w:val="6"/>
          <w:kern w:val="0"/>
          <w:sz w:val="24"/>
          <w:szCs w:val="24"/>
          <w:highlight w:val="none"/>
        </w:rPr>
        <w:t>项目</w:t>
      </w:r>
      <w:r>
        <w:rPr>
          <w:rFonts w:hint="eastAsia" w:ascii="宋体" w:hAnsi="宋体" w:cs="宋体"/>
          <w:color w:val="auto"/>
          <w:spacing w:val="6"/>
          <w:kern w:val="0"/>
          <w:sz w:val="24"/>
          <w:szCs w:val="24"/>
          <w:highlight w:val="none"/>
          <w:lang w:val="zh-CN"/>
        </w:rPr>
        <w:t>编号：</w:t>
      </w:r>
      <w:r>
        <w:rPr>
          <w:rFonts w:hint="eastAsia" w:ascii="宋体" w:hAnsi="宋体" w:cs="宋体"/>
          <w:b/>
          <w:bCs/>
          <w:color w:val="auto"/>
          <w:spacing w:val="6"/>
          <w:kern w:val="0"/>
          <w:sz w:val="24"/>
          <w:szCs w:val="24"/>
          <w:highlight w:val="none"/>
          <w:u w:val="single"/>
          <w:lang w:val="zh-CN"/>
        </w:rPr>
        <w:t>ZJWS2023-LQ07</w:t>
      </w:r>
      <w:r>
        <w:rPr>
          <w:rFonts w:hint="eastAsia" w:ascii="宋体" w:hAnsi="宋体" w:cs="宋体"/>
          <w:color w:val="auto"/>
          <w:spacing w:val="6"/>
          <w:kern w:val="0"/>
          <w:sz w:val="24"/>
          <w:szCs w:val="24"/>
          <w:highlight w:val="none"/>
          <w:lang w:val="zh-CN"/>
        </w:rPr>
        <w:t>）政府采购活动，经与本单位法人代表（负责人）联系确认，现就有关公平竞争事项郑重声明如下：</w:t>
      </w:r>
    </w:p>
    <w:p>
      <w:pPr>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pPr>
        <w:spacing w:line="420" w:lineRule="exact"/>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pPr>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pPr>
        <w:spacing w:line="420" w:lineRule="exact"/>
        <w:ind w:firstLine="4805"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pPr>
        <w:spacing w:line="420" w:lineRule="exact"/>
        <w:jc w:val="right"/>
        <w:rPr>
          <w:rFonts w:ascii="宋体" w:hAnsi="宋体" w:cs="宋体"/>
          <w:color w:val="auto"/>
          <w:sz w:val="24"/>
          <w:highlight w:val="none"/>
        </w:rPr>
      </w:pPr>
      <w:r>
        <w:rPr>
          <w:rFonts w:hint="eastAsia" w:ascii="宋体" w:hAnsi="宋体" w:cs="宋体"/>
          <w:color w:val="auto"/>
          <w:sz w:val="24"/>
          <w:highlight w:val="none"/>
          <w:lang w:eastAsia="zh-CN"/>
        </w:rPr>
        <w:t xml:space="preserve">       年</w:t>
      </w:r>
      <w:r>
        <w:rPr>
          <w:rFonts w:hint="eastAsia" w:ascii="宋体" w:hAnsi="宋体" w:cs="宋体"/>
          <w:color w:val="auto"/>
          <w:sz w:val="24"/>
          <w:highlight w:val="none"/>
        </w:rPr>
        <w:t xml:space="preserve">  月  日</w:t>
      </w:r>
    </w:p>
    <w:p>
      <w:pP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szCs w:val="24"/>
          <w:highlight w:val="none"/>
        </w:rPr>
        <w:t>说明：商务技术文件开启后30分钟内，供应商通过邮件形式将经授权委托代理人签署的《</w:t>
      </w:r>
      <w:r>
        <w:rPr>
          <w:rFonts w:hint="eastAsia" w:ascii="宋体" w:hAnsi="宋体" w:cs="宋体"/>
          <w:b/>
          <w:bCs/>
          <w:color w:val="auto"/>
          <w:kern w:val="0"/>
          <w:sz w:val="24"/>
          <w:szCs w:val="24"/>
          <w:highlight w:val="none"/>
          <w:lang w:val="en-GB"/>
        </w:rPr>
        <w:t>政府采购活动现场确认声明书</w:t>
      </w:r>
      <w:r>
        <w:rPr>
          <w:rFonts w:hint="eastAsia" w:ascii="宋体" w:hAnsi="宋体" w:cs="宋体"/>
          <w:b/>
          <w:bCs/>
          <w:color w:val="auto"/>
          <w:kern w:val="0"/>
          <w:sz w:val="24"/>
          <w:szCs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szCs w:val="24"/>
          <w:highlight w:val="none"/>
        </w:rPr>
        <w:t>303054329@qq.com）；</w:t>
      </w:r>
      <w:r>
        <w:rPr>
          <w:rFonts w:hint="eastAsia" w:ascii="宋体" w:hAnsi="宋体" w:cs="宋体"/>
          <w:b/>
          <w:bCs/>
          <w:color w:val="auto"/>
          <w:kern w:val="0"/>
          <w:sz w:val="24"/>
          <w:szCs w:val="24"/>
          <w:highlight w:val="none"/>
        </w:rPr>
        <w:fldChar w:fldCharType="end"/>
      </w:r>
      <w:r>
        <w:rPr>
          <w:rFonts w:hint="eastAsia" w:ascii="宋体" w:hAnsi="宋体" w:cs="宋体"/>
          <w:b/>
          <w:bCs/>
          <w:color w:val="auto"/>
          <w:kern w:val="0"/>
          <w:sz w:val="24"/>
          <w:szCs w:val="24"/>
          <w:highlight w:val="none"/>
        </w:rPr>
        <w:t>不填写或未按规定发出邮件的，视同默认不存在确认声明书中的相关违规情形。</w:t>
      </w:r>
    </w:p>
    <w:sectPr>
      <w:head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200001FF"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楷体_GB2312">
    <w:altName w:val="汉仪楷体简"/>
    <w:panose1 w:val="00000000000000000000"/>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Helvetica">
    <w:panose1 w:val="00000000000000000000"/>
    <w:charset w:val="00"/>
    <w:family w:val="swiss"/>
    <w:pitch w:val="default"/>
    <w:sig w:usb0="00000000" w:usb1="00000000" w:usb2="00000000" w:usb3="00000000" w:csb0="00000000" w:csb1="00000000"/>
  </w:font>
  <w:font w:name="方正书宋简体">
    <w:altName w:val="Thonburi"/>
    <w:panose1 w:val="00000000000000000000"/>
    <w:charset w:val="7A"/>
    <w:family w:val="script"/>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Lucida Sans">
    <w:altName w:val="苹方-简"/>
    <w:panose1 w:val="020B0602030504020204"/>
    <w:charset w:val="00"/>
    <w:family w:val="swiss"/>
    <w:pitch w:val="default"/>
    <w:sig w:usb0="00000000" w:usb1="00000000" w:usb2="00000000" w:usb3="00000000" w:csb0="20000001"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29"/>
                              <w:rFonts w:ascii="宋体" w:hAnsi="宋体"/>
                              <w:sz w:val="28"/>
                              <w:szCs w:val="28"/>
                            </w:rPr>
                          </w:pPr>
                          <w:r>
                            <w:rPr>
                              <w:rStyle w:val="29"/>
                              <w:rFonts w:hint="eastAsia" w:ascii="宋体" w:hAnsi="宋体"/>
                              <w:sz w:val="21"/>
                              <w:szCs w:val="21"/>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42</w:t>
                          </w:r>
                          <w:r>
                            <w:rPr>
                              <w:rFonts w:ascii="宋体" w:hAnsi="宋体"/>
                              <w:sz w:val="21"/>
                              <w:szCs w:val="21"/>
                            </w:rPr>
                            <w:fldChar w:fldCharType="end"/>
                          </w:r>
                          <w:r>
                            <w:rPr>
                              <w:rStyle w:val="29"/>
                              <w:rFonts w:hint="eastAsia" w:ascii="宋体" w:hAnsi="宋体"/>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UByWHCAQAAj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ZuQaE20PCwqWfjDpCTcVwSoXRtFF5DR7fS9bD&#10;X7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lAclhwgEAAI0DAAAOAAAAAAAAAAEAIAAA&#10;ADQBAABkcnMvZTJvRG9jLnhtbFBLBQYAAAAABgAGAFkBAABoBQAAAAA=&#10;">
              <v:fill on="f" focussize="0,0"/>
              <v:stroke on="f"/>
              <v:imagedata o:title=""/>
              <o:lock v:ext="edit" aspectratio="f"/>
              <v:textbox inset="0mm,0mm,0mm,0mm" style="mso-fit-shape-to-text:t;">
                <w:txbxContent>
                  <w:p>
                    <w:pPr>
                      <w:pStyle w:val="18"/>
                      <w:rPr>
                        <w:rStyle w:val="29"/>
                        <w:rFonts w:ascii="宋体" w:hAnsi="宋体"/>
                        <w:sz w:val="28"/>
                        <w:szCs w:val="28"/>
                      </w:rPr>
                    </w:pPr>
                    <w:r>
                      <w:rPr>
                        <w:rStyle w:val="29"/>
                        <w:rFonts w:hint="eastAsia" w:ascii="宋体" w:hAnsi="宋体"/>
                        <w:sz w:val="21"/>
                        <w:szCs w:val="21"/>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42</w:t>
                    </w:r>
                    <w:r>
                      <w:rPr>
                        <w:rFonts w:ascii="宋体" w:hAnsi="宋体"/>
                        <w:sz w:val="21"/>
                        <w:szCs w:val="21"/>
                      </w:rPr>
                      <w:fldChar w:fldCharType="end"/>
                    </w:r>
                    <w:r>
                      <w:rPr>
                        <w:rStyle w:val="29"/>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0"/>
        <w:ind w:firstLine="360"/>
      </w:pPr>
      <w:r>
        <w:rPr>
          <w:rStyle w:val="32"/>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cs="宋体"/>
        <w:b/>
        <w:bCs/>
        <w:i/>
        <w:iCs/>
        <w:color w:val="000000"/>
        <w:kern w:val="0"/>
        <w:sz w:val="18"/>
        <w:szCs w:val="18"/>
        <w:u w:val="single"/>
      </w:rPr>
      <w:t>台州市路桥区政府采购招标文件</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31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57</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1196A"/>
    <w:multiLevelType w:val="singleLevel"/>
    <w:tmpl w:val="A6A1196A"/>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pStyle w:val="6"/>
      <w:lvlText w:val="%1."/>
      <w:lvlJc w:val="left"/>
      <w:pPr>
        <w:tabs>
          <w:tab w:val="left" w:pos="360"/>
        </w:tabs>
        <w:ind w:left="360" w:hanging="360"/>
      </w:pPr>
    </w:lvl>
  </w:abstractNum>
  <w:abstractNum w:abstractNumId="2">
    <w:nsid w:val="7E7D3886"/>
    <w:multiLevelType w:val="singleLevel"/>
    <w:tmpl w:val="7E7D388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NotTrackMoves/>
  <w:documentProtection w:enforcement="0"/>
  <w:defaultTabStop w:val="420"/>
  <w:doNotHyphenateCaps/>
  <w:drawingGridVerticalSpacing w:val="159"/>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OWZmMzAyMGJkYzM2ODk4OGRlM2FlYmU5YmM3MmEifQ=="/>
    <w:docVar w:name="KSO_WPS_MARK_KEY" w:val="30a7a11f-8abc-4803-8c19-e4b4c14037f5"/>
  </w:docVars>
  <w:rsids>
    <w:rsidRoot w:val="007D4BD7"/>
    <w:rsid w:val="000040CD"/>
    <w:rsid w:val="000201C9"/>
    <w:rsid w:val="00024B73"/>
    <w:rsid w:val="000510F3"/>
    <w:rsid w:val="00052A18"/>
    <w:rsid w:val="0007747E"/>
    <w:rsid w:val="000E5137"/>
    <w:rsid w:val="000F154B"/>
    <w:rsid w:val="000F2AAA"/>
    <w:rsid w:val="00151449"/>
    <w:rsid w:val="001716A4"/>
    <w:rsid w:val="001F4A80"/>
    <w:rsid w:val="00221D82"/>
    <w:rsid w:val="00233816"/>
    <w:rsid w:val="00285574"/>
    <w:rsid w:val="002956A0"/>
    <w:rsid w:val="002A0868"/>
    <w:rsid w:val="002F4603"/>
    <w:rsid w:val="003B1911"/>
    <w:rsid w:val="003B7D97"/>
    <w:rsid w:val="003C461C"/>
    <w:rsid w:val="003D6441"/>
    <w:rsid w:val="003F130D"/>
    <w:rsid w:val="003F4193"/>
    <w:rsid w:val="00426B10"/>
    <w:rsid w:val="00454131"/>
    <w:rsid w:val="00483A0A"/>
    <w:rsid w:val="004A0BD9"/>
    <w:rsid w:val="004E01EA"/>
    <w:rsid w:val="005236F8"/>
    <w:rsid w:val="00547687"/>
    <w:rsid w:val="005670C3"/>
    <w:rsid w:val="00584329"/>
    <w:rsid w:val="005920C2"/>
    <w:rsid w:val="005B39AF"/>
    <w:rsid w:val="005F51E8"/>
    <w:rsid w:val="006360BC"/>
    <w:rsid w:val="00651F50"/>
    <w:rsid w:val="007073AB"/>
    <w:rsid w:val="007B0FC0"/>
    <w:rsid w:val="007D4BD7"/>
    <w:rsid w:val="007D6086"/>
    <w:rsid w:val="007E4346"/>
    <w:rsid w:val="007E7260"/>
    <w:rsid w:val="00800238"/>
    <w:rsid w:val="00841301"/>
    <w:rsid w:val="00864FB5"/>
    <w:rsid w:val="008848A6"/>
    <w:rsid w:val="00887D6D"/>
    <w:rsid w:val="008B0D56"/>
    <w:rsid w:val="008B1D68"/>
    <w:rsid w:val="008E6B79"/>
    <w:rsid w:val="009310F2"/>
    <w:rsid w:val="009A22E0"/>
    <w:rsid w:val="009D38D2"/>
    <w:rsid w:val="009E0D1D"/>
    <w:rsid w:val="009E2144"/>
    <w:rsid w:val="009F020D"/>
    <w:rsid w:val="00A310B1"/>
    <w:rsid w:val="00A50905"/>
    <w:rsid w:val="00AA4C70"/>
    <w:rsid w:val="00B04C46"/>
    <w:rsid w:val="00B66B9A"/>
    <w:rsid w:val="00BC4EE1"/>
    <w:rsid w:val="00BD1071"/>
    <w:rsid w:val="00BD74A4"/>
    <w:rsid w:val="00C97787"/>
    <w:rsid w:val="00CB411E"/>
    <w:rsid w:val="00D03D2D"/>
    <w:rsid w:val="00D0610D"/>
    <w:rsid w:val="00D327C0"/>
    <w:rsid w:val="00D50BC4"/>
    <w:rsid w:val="00D718F0"/>
    <w:rsid w:val="00D764E5"/>
    <w:rsid w:val="00DB1590"/>
    <w:rsid w:val="00DB4875"/>
    <w:rsid w:val="00DD06BF"/>
    <w:rsid w:val="00DD0AF1"/>
    <w:rsid w:val="00DD7E83"/>
    <w:rsid w:val="00E27231"/>
    <w:rsid w:val="00E87054"/>
    <w:rsid w:val="00E965E3"/>
    <w:rsid w:val="00EB52D1"/>
    <w:rsid w:val="00EF0474"/>
    <w:rsid w:val="00EF0D46"/>
    <w:rsid w:val="00F467F6"/>
    <w:rsid w:val="00FB6A30"/>
    <w:rsid w:val="00FE7EBC"/>
    <w:rsid w:val="013E7A05"/>
    <w:rsid w:val="016814B1"/>
    <w:rsid w:val="01AA010F"/>
    <w:rsid w:val="01B34E22"/>
    <w:rsid w:val="01B84D0D"/>
    <w:rsid w:val="01C02CF8"/>
    <w:rsid w:val="01D163FF"/>
    <w:rsid w:val="01E52B01"/>
    <w:rsid w:val="02447828"/>
    <w:rsid w:val="027B56B6"/>
    <w:rsid w:val="02830038"/>
    <w:rsid w:val="02DA1F3A"/>
    <w:rsid w:val="030007F2"/>
    <w:rsid w:val="03351106"/>
    <w:rsid w:val="03555AF0"/>
    <w:rsid w:val="03892E31"/>
    <w:rsid w:val="03BF256F"/>
    <w:rsid w:val="03DA48E8"/>
    <w:rsid w:val="04155647"/>
    <w:rsid w:val="04345B23"/>
    <w:rsid w:val="043D09D3"/>
    <w:rsid w:val="047D1717"/>
    <w:rsid w:val="04B3418F"/>
    <w:rsid w:val="04C335CE"/>
    <w:rsid w:val="05673EA9"/>
    <w:rsid w:val="05677E3A"/>
    <w:rsid w:val="05B232F5"/>
    <w:rsid w:val="06300EDA"/>
    <w:rsid w:val="06406019"/>
    <w:rsid w:val="064A387B"/>
    <w:rsid w:val="07235E66"/>
    <w:rsid w:val="075F110E"/>
    <w:rsid w:val="080F60A9"/>
    <w:rsid w:val="082532DF"/>
    <w:rsid w:val="08616323"/>
    <w:rsid w:val="087A54E0"/>
    <w:rsid w:val="08852D35"/>
    <w:rsid w:val="088B06A7"/>
    <w:rsid w:val="089C227D"/>
    <w:rsid w:val="08A54306"/>
    <w:rsid w:val="08F301FA"/>
    <w:rsid w:val="092A53C9"/>
    <w:rsid w:val="093132B6"/>
    <w:rsid w:val="095C3965"/>
    <w:rsid w:val="0966277A"/>
    <w:rsid w:val="09B95534"/>
    <w:rsid w:val="09BD2F75"/>
    <w:rsid w:val="0A1E195E"/>
    <w:rsid w:val="0A402FCB"/>
    <w:rsid w:val="0A7F4FD9"/>
    <w:rsid w:val="0AA417AC"/>
    <w:rsid w:val="0B330D82"/>
    <w:rsid w:val="0B337F96"/>
    <w:rsid w:val="0B386AB7"/>
    <w:rsid w:val="0B8C1B65"/>
    <w:rsid w:val="0BBB57A1"/>
    <w:rsid w:val="0BF027CF"/>
    <w:rsid w:val="0C337E29"/>
    <w:rsid w:val="0C3D6E4B"/>
    <w:rsid w:val="0C63393F"/>
    <w:rsid w:val="0CD12600"/>
    <w:rsid w:val="0D780CCE"/>
    <w:rsid w:val="0D885072"/>
    <w:rsid w:val="0DB22432"/>
    <w:rsid w:val="0E1C5AFD"/>
    <w:rsid w:val="0E35096D"/>
    <w:rsid w:val="0E3717FA"/>
    <w:rsid w:val="0E4F7C80"/>
    <w:rsid w:val="0E5057A7"/>
    <w:rsid w:val="0E8207A2"/>
    <w:rsid w:val="0E9F3DF8"/>
    <w:rsid w:val="0EF1655F"/>
    <w:rsid w:val="0F711E78"/>
    <w:rsid w:val="0FB80C68"/>
    <w:rsid w:val="0FEA1995"/>
    <w:rsid w:val="103231FA"/>
    <w:rsid w:val="10484987"/>
    <w:rsid w:val="10B1077E"/>
    <w:rsid w:val="10C5422A"/>
    <w:rsid w:val="1119062D"/>
    <w:rsid w:val="11357601"/>
    <w:rsid w:val="11737DE5"/>
    <w:rsid w:val="12555A81"/>
    <w:rsid w:val="126C1F8E"/>
    <w:rsid w:val="12D312F0"/>
    <w:rsid w:val="13693592"/>
    <w:rsid w:val="137D3D41"/>
    <w:rsid w:val="1389152D"/>
    <w:rsid w:val="13900717"/>
    <w:rsid w:val="1399101D"/>
    <w:rsid w:val="143A4F2F"/>
    <w:rsid w:val="1441136E"/>
    <w:rsid w:val="146D0617"/>
    <w:rsid w:val="14ED2FA2"/>
    <w:rsid w:val="15007F26"/>
    <w:rsid w:val="157E0E4B"/>
    <w:rsid w:val="159462DD"/>
    <w:rsid w:val="15A421CE"/>
    <w:rsid w:val="15D32DA7"/>
    <w:rsid w:val="15DE04A7"/>
    <w:rsid w:val="15F80BFE"/>
    <w:rsid w:val="15FA4976"/>
    <w:rsid w:val="1602382A"/>
    <w:rsid w:val="160463B2"/>
    <w:rsid w:val="163A2FC4"/>
    <w:rsid w:val="165F2A2B"/>
    <w:rsid w:val="16FA6B4C"/>
    <w:rsid w:val="17786967"/>
    <w:rsid w:val="178E0675"/>
    <w:rsid w:val="17B355D0"/>
    <w:rsid w:val="17D64F6F"/>
    <w:rsid w:val="18005C8D"/>
    <w:rsid w:val="18094F0A"/>
    <w:rsid w:val="18786F58"/>
    <w:rsid w:val="18820694"/>
    <w:rsid w:val="196A0064"/>
    <w:rsid w:val="19AE63B6"/>
    <w:rsid w:val="19B27638"/>
    <w:rsid w:val="19EB5D6A"/>
    <w:rsid w:val="1A7D0A97"/>
    <w:rsid w:val="1A903AFB"/>
    <w:rsid w:val="1ADD646F"/>
    <w:rsid w:val="1B180D5A"/>
    <w:rsid w:val="1B1A5C2E"/>
    <w:rsid w:val="1B1A7868"/>
    <w:rsid w:val="1C5D199B"/>
    <w:rsid w:val="1C742C35"/>
    <w:rsid w:val="1D056282"/>
    <w:rsid w:val="1D074FE8"/>
    <w:rsid w:val="1D0F4F5B"/>
    <w:rsid w:val="1D9531D6"/>
    <w:rsid w:val="1DAE216C"/>
    <w:rsid w:val="1DC574DB"/>
    <w:rsid w:val="1DC9515D"/>
    <w:rsid w:val="1E0F24D3"/>
    <w:rsid w:val="1E2D340E"/>
    <w:rsid w:val="1EB12D29"/>
    <w:rsid w:val="1EB30779"/>
    <w:rsid w:val="1F5615B1"/>
    <w:rsid w:val="1F775289"/>
    <w:rsid w:val="1F934808"/>
    <w:rsid w:val="1FA15E62"/>
    <w:rsid w:val="1FBB33C8"/>
    <w:rsid w:val="1FE65D75"/>
    <w:rsid w:val="20511636"/>
    <w:rsid w:val="207C03C9"/>
    <w:rsid w:val="20873762"/>
    <w:rsid w:val="20F052F3"/>
    <w:rsid w:val="20F070A1"/>
    <w:rsid w:val="21621C08"/>
    <w:rsid w:val="21AB4214"/>
    <w:rsid w:val="224528AF"/>
    <w:rsid w:val="225B1F52"/>
    <w:rsid w:val="227073E3"/>
    <w:rsid w:val="227B6E3E"/>
    <w:rsid w:val="22CC7C59"/>
    <w:rsid w:val="22E04EF3"/>
    <w:rsid w:val="22E07031"/>
    <w:rsid w:val="230A0F8C"/>
    <w:rsid w:val="231D6147"/>
    <w:rsid w:val="232D29B8"/>
    <w:rsid w:val="23560428"/>
    <w:rsid w:val="23DA16A7"/>
    <w:rsid w:val="23F0560A"/>
    <w:rsid w:val="23F07F98"/>
    <w:rsid w:val="241F6D85"/>
    <w:rsid w:val="245168ED"/>
    <w:rsid w:val="245E5852"/>
    <w:rsid w:val="24A73F1B"/>
    <w:rsid w:val="24B246F8"/>
    <w:rsid w:val="24C4201C"/>
    <w:rsid w:val="250205EE"/>
    <w:rsid w:val="252347A5"/>
    <w:rsid w:val="256B1D99"/>
    <w:rsid w:val="25987F62"/>
    <w:rsid w:val="259D531E"/>
    <w:rsid w:val="25F92911"/>
    <w:rsid w:val="26213859"/>
    <w:rsid w:val="267947AD"/>
    <w:rsid w:val="26880813"/>
    <w:rsid w:val="26B41E2F"/>
    <w:rsid w:val="26C30100"/>
    <w:rsid w:val="2721510D"/>
    <w:rsid w:val="27383550"/>
    <w:rsid w:val="27787DF7"/>
    <w:rsid w:val="2782156C"/>
    <w:rsid w:val="279F465A"/>
    <w:rsid w:val="287F6261"/>
    <w:rsid w:val="28C82430"/>
    <w:rsid w:val="28DC63C5"/>
    <w:rsid w:val="28E374EB"/>
    <w:rsid w:val="28FF4306"/>
    <w:rsid w:val="2937347B"/>
    <w:rsid w:val="2937635E"/>
    <w:rsid w:val="295503E3"/>
    <w:rsid w:val="2B0F186C"/>
    <w:rsid w:val="2B76702D"/>
    <w:rsid w:val="2B792EEF"/>
    <w:rsid w:val="2BD158A3"/>
    <w:rsid w:val="2BDD3CFB"/>
    <w:rsid w:val="2BE10829"/>
    <w:rsid w:val="2C271DE5"/>
    <w:rsid w:val="2CA36247"/>
    <w:rsid w:val="2CCE402E"/>
    <w:rsid w:val="2CD258AD"/>
    <w:rsid w:val="2D2F73CA"/>
    <w:rsid w:val="2D3227EF"/>
    <w:rsid w:val="2D593FAE"/>
    <w:rsid w:val="2D5A2029"/>
    <w:rsid w:val="2D686D71"/>
    <w:rsid w:val="2D855015"/>
    <w:rsid w:val="2E262A4B"/>
    <w:rsid w:val="2E4C78E1"/>
    <w:rsid w:val="2EC1207D"/>
    <w:rsid w:val="2ECE6548"/>
    <w:rsid w:val="2EFA1D42"/>
    <w:rsid w:val="2FF12F99"/>
    <w:rsid w:val="2FF65D56"/>
    <w:rsid w:val="302D60DF"/>
    <w:rsid w:val="3052731C"/>
    <w:rsid w:val="309B43D2"/>
    <w:rsid w:val="30F027A5"/>
    <w:rsid w:val="314D70F1"/>
    <w:rsid w:val="31550F5F"/>
    <w:rsid w:val="316640EC"/>
    <w:rsid w:val="31903179"/>
    <w:rsid w:val="322035A0"/>
    <w:rsid w:val="3236068C"/>
    <w:rsid w:val="324B53E2"/>
    <w:rsid w:val="325056E6"/>
    <w:rsid w:val="327959AC"/>
    <w:rsid w:val="32B709F5"/>
    <w:rsid w:val="32FC7CDA"/>
    <w:rsid w:val="32FD3D94"/>
    <w:rsid w:val="3300550F"/>
    <w:rsid w:val="337121BA"/>
    <w:rsid w:val="33723946"/>
    <w:rsid w:val="33901689"/>
    <w:rsid w:val="34243C41"/>
    <w:rsid w:val="34270C61"/>
    <w:rsid w:val="34297AD3"/>
    <w:rsid w:val="34420637"/>
    <w:rsid w:val="34536D94"/>
    <w:rsid w:val="34D262F6"/>
    <w:rsid w:val="34DF14AF"/>
    <w:rsid w:val="35051C53"/>
    <w:rsid w:val="351A01AE"/>
    <w:rsid w:val="352B0250"/>
    <w:rsid w:val="35613C72"/>
    <w:rsid w:val="356B7AD2"/>
    <w:rsid w:val="357A4D33"/>
    <w:rsid w:val="35866EF6"/>
    <w:rsid w:val="359E58E5"/>
    <w:rsid w:val="35F32391"/>
    <w:rsid w:val="37F85221"/>
    <w:rsid w:val="38123949"/>
    <w:rsid w:val="38161E7F"/>
    <w:rsid w:val="38667794"/>
    <w:rsid w:val="38951E5B"/>
    <w:rsid w:val="38A82012"/>
    <w:rsid w:val="38E946AA"/>
    <w:rsid w:val="38EE0943"/>
    <w:rsid w:val="391458B3"/>
    <w:rsid w:val="397523E2"/>
    <w:rsid w:val="39B6596D"/>
    <w:rsid w:val="3A2972B1"/>
    <w:rsid w:val="3A9748B5"/>
    <w:rsid w:val="3AA27206"/>
    <w:rsid w:val="3AAC45C1"/>
    <w:rsid w:val="3ACD2867"/>
    <w:rsid w:val="3ACF742A"/>
    <w:rsid w:val="3AE471B3"/>
    <w:rsid w:val="3AFD67F2"/>
    <w:rsid w:val="3B1518B9"/>
    <w:rsid w:val="3B50603D"/>
    <w:rsid w:val="3B5433AB"/>
    <w:rsid w:val="3B5611A3"/>
    <w:rsid w:val="3B586E14"/>
    <w:rsid w:val="3BA75866"/>
    <w:rsid w:val="3BC1190E"/>
    <w:rsid w:val="3C0E2679"/>
    <w:rsid w:val="3C406CD7"/>
    <w:rsid w:val="3C6365C6"/>
    <w:rsid w:val="3C770CFE"/>
    <w:rsid w:val="3CED04E1"/>
    <w:rsid w:val="3CF17FD1"/>
    <w:rsid w:val="3CF74AC6"/>
    <w:rsid w:val="3CF958BB"/>
    <w:rsid w:val="3D3567DA"/>
    <w:rsid w:val="3D6112AB"/>
    <w:rsid w:val="3D7C21E8"/>
    <w:rsid w:val="3DA96B07"/>
    <w:rsid w:val="3DE25B6C"/>
    <w:rsid w:val="3E491EE2"/>
    <w:rsid w:val="3E62690F"/>
    <w:rsid w:val="3E741C8F"/>
    <w:rsid w:val="3EB057BB"/>
    <w:rsid w:val="3ECC2AA4"/>
    <w:rsid w:val="3EF56E90"/>
    <w:rsid w:val="3F03031F"/>
    <w:rsid w:val="3F35563C"/>
    <w:rsid w:val="3F4C4821"/>
    <w:rsid w:val="3FB452E6"/>
    <w:rsid w:val="3FD6525C"/>
    <w:rsid w:val="3FEA19FA"/>
    <w:rsid w:val="40167171"/>
    <w:rsid w:val="401A5C24"/>
    <w:rsid w:val="401D072E"/>
    <w:rsid w:val="40977B71"/>
    <w:rsid w:val="40E83499"/>
    <w:rsid w:val="40EB0276"/>
    <w:rsid w:val="412B568A"/>
    <w:rsid w:val="418E4360"/>
    <w:rsid w:val="41935DB4"/>
    <w:rsid w:val="41B07D24"/>
    <w:rsid w:val="41C232B8"/>
    <w:rsid w:val="41D66198"/>
    <w:rsid w:val="41DD249B"/>
    <w:rsid w:val="41EE2D31"/>
    <w:rsid w:val="41EE3223"/>
    <w:rsid w:val="422D1F9F"/>
    <w:rsid w:val="42477F39"/>
    <w:rsid w:val="425D13D7"/>
    <w:rsid w:val="43657E34"/>
    <w:rsid w:val="445804CA"/>
    <w:rsid w:val="44B05E2A"/>
    <w:rsid w:val="44C935E1"/>
    <w:rsid w:val="44E346A3"/>
    <w:rsid w:val="44EA5775"/>
    <w:rsid w:val="4541177A"/>
    <w:rsid w:val="45677EA6"/>
    <w:rsid w:val="45DE130F"/>
    <w:rsid w:val="460F771A"/>
    <w:rsid w:val="465B2B1C"/>
    <w:rsid w:val="4670462D"/>
    <w:rsid w:val="467D0B27"/>
    <w:rsid w:val="46982F69"/>
    <w:rsid w:val="4726421B"/>
    <w:rsid w:val="47266AC9"/>
    <w:rsid w:val="4737731C"/>
    <w:rsid w:val="47887784"/>
    <w:rsid w:val="487370AF"/>
    <w:rsid w:val="48EF6DCA"/>
    <w:rsid w:val="49143A4A"/>
    <w:rsid w:val="49267DE4"/>
    <w:rsid w:val="4936259B"/>
    <w:rsid w:val="49453F21"/>
    <w:rsid w:val="49935F6C"/>
    <w:rsid w:val="499E46DF"/>
    <w:rsid w:val="49D90416"/>
    <w:rsid w:val="49DE1798"/>
    <w:rsid w:val="4A24303A"/>
    <w:rsid w:val="4A435BE4"/>
    <w:rsid w:val="4A4938BA"/>
    <w:rsid w:val="4A604F1A"/>
    <w:rsid w:val="4A67531E"/>
    <w:rsid w:val="4AA40703"/>
    <w:rsid w:val="4B887D52"/>
    <w:rsid w:val="4B985ABC"/>
    <w:rsid w:val="4B9E245D"/>
    <w:rsid w:val="4BB96577"/>
    <w:rsid w:val="4BDA351D"/>
    <w:rsid w:val="4BDC009E"/>
    <w:rsid w:val="4BF9172C"/>
    <w:rsid w:val="4C15710C"/>
    <w:rsid w:val="4C3145CD"/>
    <w:rsid w:val="4C387642"/>
    <w:rsid w:val="4CA5636C"/>
    <w:rsid w:val="4CC356D1"/>
    <w:rsid w:val="4D226714"/>
    <w:rsid w:val="4D5D29C4"/>
    <w:rsid w:val="4D5E3185"/>
    <w:rsid w:val="4D624CD0"/>
    <w:rsid w:val="4DD74FC1"/>
    <w:rsid w:val="4E3B49EE"/>
    <w:rsid w:val="4EA330F5"/>
    <w:rsid w:val="4EFA49BE"/>
    <w:rsid w:val="4F302BDB"/>
    <w:rsid w:val="4F3B2A5E"/>
    <w:rsid w:val="4FD034E9"/>
    <w:rsid w:val="4FFA0AF3"/>
    <w:rsid w:val="504D43E4"/>
    <w:rsid w:val="50641834"/>
    <w:rsid w:val="50645087"/>
    <w:rsid w:val="506E10CE"/>
    <w:rsid w:val="50A76E4B"/>
    <w:rsid w:val="50BE5114"/>
    <w:rsid w:val="50DB26D2"/>
    <w:rsid w:val="50E33C7D"/>
    <w:rsid w:val="51256358"/>
    <w:rsid w:val="518E5997"/>
    <w:rsid w:val="51926905"/>
    <w:rsid w:val="51F46531"/>
    <w:rsid w:val="520E4373"/>
    <w:rsid w:val="523A5B1F"/>
    <w:rsid w:val="526565AE"/>
    <w:rsid w:val="526A5639"/>
    <w:rsid w:val="528154FB"/>
    <w:rsid w:val="52916A4F"/>
    <w:rsid w:val="52DC6673"/>
    <w:rsid w:val="52DD22BD"/>
    <w:rsid w:val="53191BD8"/>
    <w:rsid w:val="53445490"/>
    <w:rsid w:val="536A7421"/>
    <w:rsid w:val="53A96AB8"/>
    <w:rsid w:val="53BF0089"/>
    <w:rsid w:val="53E977FC"/>
    <w:rsid w:val="54E01862"/>
    <w:rsid w:val="54ED4B88"/>
    <w:rsid w:val="5581666A"/>
    <w:rsid w:val="562B7C58"/>
    <w:rsid w:val="56422331"/>
    <w:rsid w:val="5668404C"/>
    <w:rsid w:val="567710EF"/>
    <w:rsid w:val="568502F5"/>
    <w:rsid w:val="57405C29"/>
    <w:rsid w:val="578D049F"/>
    <w:rsid w:val="579B2F9E"/>
    <w:rsid w:val="57DD4A67"/>
    <w:rsid w:val="57E502DB"/>
    <w:rsid w:val="581B7A3E"/>
    <w:rsid w:val="58360B36"/>
    <w:rsid w:val="58B80AAB"/>
    <w:rsid w:val="59441031"/>
    <w:rsid w:val="594B0611"/>
    <w:rsid w:val="59636150"/>
    <w:rsid w:val="59907957"/>
    <w:rsid w:val="59A15B10"/>
    <w:rsid w:val="5A0F163F"/>
    <w:rsid w:val="5A2A70C7"/>
    <w:rsid w:val="5AAB1367"/>
    <w:rsid w:val="5ABB593A"/>
    <w:rsid w:val="5AE605F2"/>
    <w:rsid w:val="5B210C78"/>
    <w:rsid w:val="5B3F5F54"/>
    <w:rsid w:val="5BC319D5"/>
    <w:rsid w:val="5BF8522A"/>
    <w:rsid w:val="5C871960"/>
    <w:rsid w:val="5C943FA8"/>
    <w:rsid w:val="5CB03DCC"/>
    <w:rsid w:val="5D487342"/>
    <w:rsid w:val="5D5B35B7"/>
    <w:rsid w:val="5D616655"/>
    <w:rsid w:val="5DA56542"/>
    <w:rsid w:val="5DCB6217"/>
    <w:rsid w:val="5DDD28BB"/>
    <w:rsid w:val="5DF503D8"/>
    <w:rsid w:val="5E301273"/>
    <w:rsid w:val="5E652175"/>
    <w:rsid w:val="5E9465B6"/>
    <w:rsid w:val="5EB804F7"/>
    <w:rsid w:val="5EB82565"/>
    <w:rsid w:val="5F48709B"/>
    <w:rsid w:val="5F6661A5"/>
    <w:rsid w:val="5F744410"/>
    <w:rsid w:val="601E6F86"/>
    <w:rsid w:val="608A4A7E"/>
    <w:rsid w:val="60AC408B"/>
    <w:rsid w:val="610B51F0"/>
    <w:rsid w:val="617E53B4"/>
    <w:rsid w:val="619743F4"/>
    <w:rsid w:val="61CB5D9C"/>
    <w:rsid w:val="61DD5EB3"/>
    <w:rsid w:val="621A0E74"/>
    <w:rsid w:val="62930527"/>
    <w:rsid w:val="62D2152E"/>
    <w:rsid w:val="63E46486"/>
    <w:rsid w:val="64373C6C"/>
    <w:rsid w:val="64D21BE7"/>
    <w:rsid w:val="65420B1A"/>
    <w:rsid w:val="658723F5"/>
    <w:rsid w:val="65A813DC"/>
    <w:rsid w:val="65C0401D"/>
    <w:rsid w:val="660B5DA4"/>
    <w:rsid w:val="6692162D"/>
    <w:rsid w:val="66B912B0"/>
    <w:rsid w:val="66D045C0"/>
    <w:rsid w:val="66EB6240"/>
    <w:rsid w:val="66F4361F"/>
    <w:rsid w:val="674F071E"/>
    <w:rsid w:val="67616BD1"/>
    <w:rsid w:val="67A94E81"/>
    <w:rsid w:val="67AB5867"/>
    <w:rsid w:val="67BA0E3C"/>
    <w:rsid w:val="67C43A69"/>
    <w:rsid w:val="67C7679C"/>
    <w:rsid w:val="6876707C"/>
    <w:rsid w:val="68AA66DB"/>
    <w:rsid w:val="6940538B"/>
    <w:rsid w:val="695619A4"/>
    <w:rsid w:val="695A15B4"/>
    <w:rsid w:val="695F613F"/>
    <w:rsid w:val="69DD4EAC"/>
    <w:rsid w:val="6A1136EA"/>
    <w:rsid w:val="6A6B7C0A"/>
    <w:rsid w:val="6A823180"/>
    <w:rsid w:val="6A8B4D12"/>
    <w:rsid w:val="6AA3205B"/>
    <w:rsid w:val="6AC84E72"/>
    <w:rsid w:val="6ACB15B2"/>
    <w:rsid w:val="6AEB755E"/>
    <w:rsid w:val="6B112190"/>
    <w:rsid w:val="6B1E39F6"/>
    <w:rsid w:val="6B5724DD"/>
    <w:rsid w:val="6BD34BC2"/>
    <w:rsid w:val="6CB122EF"/>
    <w:rsid w:val="6D046247"/>
    <w:rsid w:val="6DBE53FE"/>
    <w:rsid w:val="6E685499"/>
    <w:rsid w:val="6EE449F0"/>
    <w:rsid w:val="6EEE3AC1"/>
    <w:rsid w:val="6F596B1B"/>
    <w:rsid w:val="6F5F5335"/>
    <w:rsid w:val="6FC50CC6"/>
    <w:rsid w:val="6FF06F0A"/>
    <w:rsid w:val="701337DF"/>
    <w:rsid w:val="704812DB"/>
    <w:rsid w:val="70980188"/>
    <w:rsid w:val="70DD422D"/>
    <w:rsid w:val="712E4E73"/>
    <w:rsid w:val="7138470A"/>
    <w:rsid w:val="713959FF"/>
    <w:rsid w:val="71931991"/>
    <w:rsid w:val="71BE5F87"/>
    <w:rsid w:val="71C83BD9"/>
    <w:rsid w:val="726376B6"/>
    <w:rsid w:val="74253AE1"/>
    <w:rsid w:val="74264660"/>
    <w:rsid w:val="742835D1"/>
    <w:rsid w:val="75120509"/>
    <w:rsid w:val="75210DC6"/>
    <w:rsid w:val="755E1D17"/>
    <w:rsid w:val="75842285"/>
    <w:rsid w:val="75CE7728"/>
    <w:rsid w:val="761A7523"/>
    <w:rsid w:val="768960A6"/>
    <w:rsid w:val="76D044A0"/>
    <w:rsid w:val="76DF163C"/>
    <w:rsid w:val="76F67DCB"/>
    <w:rsid w:val="77182123"/>
    <w:rsid w:val="77215997"/>
    <w:rsid w:val="7775752F"/>
    <w:rsid w:val="77D44011"/>
    <w:rsid w:val="77D833BB"/>
    <w:rsid w:val="784474F4"/>
    <w:rsid w:val="7911045C"/>
    <w:rsid w:val="795B549A"/>
    <w:rsid w:val="795E6C6F"/>
    <w:rsid w:val="796A417C"/>
    <w:rsid w:val="79D73ACF"/>
    <w:rsid w:val="79D84996"/>
    <w:rsid w:val="7A3C3932"/>
    <w:rsid w:val="7A504584"/>
    <w:rsid w:val="7A8F6E39"/>
    <w:rsid w:val="7B4B167A"/>
    <w:rsid w:val="7BDC717B"/>
    <w:rsid w:val="7C176405"/>
    <w:rsid w:val="7C31725B"/>
    <w:rsid w:val="7C3824B3"/>
    <w:rsid w:val="7C8D4118"/>
    <w:rsid w:val="7CC70BC5"/>
    <w:rsid w:val="7CD95FD3"/>
    <w:rsid w:val="7D0C7F34"/>
    <w:rsid w:val="7D230DDA"/>
    <w:rsid w:val="7D8C0592"/>
    <w:rsid w:val="7E030AED"/>
    <w:rsid w:val="7E172196"/>
    <w:rsid w:val="7E2841D5"/>
    <w:rsid w:val="7E3615B3"/>
    <w:rsid w:val="7EAA2A42"/>
    <w:rsid w:val="7EC30004"/>
    <w:rsid w:val="7ED758B9"/>
    <w:rsid w:val="7F174BE2"/>
    <w:rsid w:val="7F6A54F6"/>
    <w:rsid w:val="7FC40295"/>
    <w:rsid w:val="DB7F71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uiPriority="39"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6"/>
    <w:qFormat/>
    <w:uiPriority w:val="99"/>
    <w:pPr>
      <w:spacing w:before="340" w:after="330" w:line="578" w:lineRule="auto"/>
      <w:outlineLvl w:val="0"/>
    </w:pPr>
    <w:rPr>
      <w:kern w:val="44"/>
      <w:sz w:val="44"/>
      <w:szCs w:val="44"/>
    </w:rPr>
  </w:style>
  <w:style w:type="paragraph" w:styleId="2">
    <w:name w:val="heading 2"/>
    <w:basedOn w:val="1"/>
    <w:next w:val="1"/>
    <w:link w:val="37"/>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link w:val="38"/>
    <w:qFormat/>
    <w:uiPriority w:val="99"/>
    <w:pPr>
      <w:keepNext/>
      <w:keepLines/>
      <w:spacing w:before="260" w:after="260" w:line="416" w:lineRule="auto"/>
      <w:outlineLvl w:val="2"/>
    </w:pPr>
    <w:rPr>
      <w:b/>
      <w:bCs/>
      <w:sz w:val="32"/>
      <w:szCs w:val="32"/>
    </w:rPr>
  </w:style>
  <w:style w:type="paragraph" w:styleId="5">
    <w:name w:val="heading 4"/>
    <w:basedOn w:val="1"/>
    <w:next w:val="1"/>
    <w:qFormat/>
    <w:locked/>
    <w:uiPriority w:val="0"/>
    <w:pPr>
      <w:keepNext/>
      <w:keepLines/>
      <w:spacing w:before="280" w:after="290" w:line="376" w:lineRule="auto"/>
      <w:outlineLvl w:val="3"/>
    </w:pPr>
    <w:rPr>
      <w:rFonts w:ascii="Cambria" w:hAnsi="Cambria"/>
      <w:b/>
      <w:bCs/>
      <w:sz w:val="28"/>
      <w:szCs w:val="28"/>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1"/>
      </w:numPr>
    </w:pPr>
  </w:style>
  <w:style w:type="paragraph" w:styleId="7">
    <w:name w:val="Normal Indent"/>
    <w:basedOn w:val="1"/>
    <w:next w:val="1"/>
    <w:qFormat/>
    <w:uiPriority w:val="99"/>
    <w:pPr>
      <w:ind w:firstLine="420"/>
    </w:pPr>
  </w:style>
  <w:style w:type="paragraph" w:styleId="8">
    <w:name w:val="annotation text"/>
    <w:basedOn w:val="1"/>
    <w:link w:val="39"/>
    <w:semiHidden/>
    <w:qFormat/>
    <w:uiPriority w:val="99"/>
    <w:pPr>
      <w:jc w:val="left"/>
    </w:pPr>
  </w:style>
  <w:style w:type="paragraph" w:styleId="9">
    <w:name w:val="Body Text"/>
    <w:basedOn w:val="1"/>
    <w:next w:val="10"/>
    <w:link w:val="40"/>
    <w:qFormat/>
    <w:uiPriority w:val="99"/>
    <w:pPr>
      <w:spacing w:line="360" w:lineRule="exact"/>
    </w:pPr>
    <w:rPr>
      <w:sz w:val="24"/>
      <w:szCs w:val="24"/>
    </w:rPr>
  </w:style>
  <w:style w:type="paragraph" w:styleId="10">
    <w:name w:val="Body Text First Indent"/>
    <w:basedOn w:val="9"/>
    <w:next w:val="11"/>
    <w:link w:val="41"/>
    <w:qFormat/>
    <w:uiPriority w:val="99"/>
    <w:pPr>
      <w:ind w:firstLine="420"/>
    </w:pPr>
    <w:rPr>
      <w:sz w:val="21"/>
      <w:szCs w:val="21"/>
    </w:rPr>
  </w:style>
  <w:style w:type="paragraph" w:styleId="11">
    <w:name w:val="toc 6"/>
    <w:basedOn w:val="1"/>
    <w:next w:val="1"/>
    <w:semiHidden/>
    <w:qFormat/>
    <w:uiPriority w:val="99"/>
    <w:pPr>
      <w:widowControl/>
      <w:ind w:left="1000"/>
      <w:jc w:val="left"/>
    </w:pPr>
    <w:rPr>
      <w:kern w:val="0"/>
      <w:sz w:val="18"/>
      <w:szCs w:val="18"/>
    </w:rPr>
  </w:style>
  <w:style w:type="paragraph" w:styleId="12">
    <w:name w:val="Body Text Indent"/>
    <w:basedOn w:val="1"/>
    <w:next w:val="1"/>
    <w:link w:val="42"/>
    <w:qFormat/>
    <w:uiPriority w:val="99"/>
    <w:pPr>
      <w:spacing w:after="120"/>
      <w:ind w:left="420" w:leftChars="200"/>
    </w:pPr>
  </w:style>
  <w:style w:type="paragraph" w:styleId="13">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4">
    <w:name w:val="Plain Text"/>
    <w:basedOn w:val="1"/>
    <w:next w:val="15"/>
    <w:link w:val="43"/>
    <w:qFormat/>
    <w:uiPriority w:val="99"/>
    <w:rPr>
      <w:rFonts w:ascii="宋体" w:hAnsi="Courier New" w:cs="宋体"/>
    </w:rPr>
  </w:style>
  <w:style w:type="paragraph" w:styleId="15">
    <w:name w:val="toc 2"/>
    <w:basedOn w:val="1"/>
    <w:next w:val="1"/>
    <w:semiHidden/>
    <w:qFormat/>
    <w:uiPriority w:val="99"/>
    <w:pPr>
      <w:ind w:left="420" w:leftChars="200"/>
    </w:pPr>
  </w:style>
  <w:style w:type="paragraph" w:styleId="16">
    <w:name w:val="Date"/>
    <w:basedOn w:val="1"/>
    <w:next w:val="1"/>
    <w:link w:val="44"/>
    <w:qFormat/>
    <w:uiPriority w:val="99"/>
    <w:pPr>
      <w:ind w:left="2500" w:leftChars="2500"/>
    </w:pPr>
    <w:rPr>
      <w:rFonts w:ascii="Calibri" w:hAnsi="Calibri" w:eastAsia="楷体_GB2312" w:cs="Calibri"/>
      <w:sz w:val="32"/>
      <w:szCs w:val="32"/>
    </w:rPr>
  </w:style>
  <w:style w:type="paragraph" w:styleId="17">
    <w:name w:val="Balloon Text"/>
    <w:basedOn w:val="1"/>
    <w:link w:val="45"/>
    <w:semiHidden/>
    <w:qFormat/>
    <w:uiPriority w:val="99"/>
    <w:rPr>
      <w:sz w:val="18"/>
      <w:szCs w:val="18"/>
    </w:rPr>
  </w:style>
  <w:style w:type="paragraph" w:styleId="18">
    <w:name w:val="footer"/>
    <w:basedOn w:val="1"/>
    <w:link w:val="46"/>
    <w:qFormat/>
    <w:uiPriority w:val="99"/>
    <w:pPr>
      <w:tabs>
        <w:tab w:val="center" w:pos="4153"/>
        <w:tab w:val="right" w:pos="8306"/>
      </w:tabs>
      <w:snapToGrid w:val="0"/>
      <w:jc w:val="left"/>
    </w:pPr>
    <w:rPr>
      <w:sz w:val="18"/>
      <w:szCs w:val="18"/>
    </w:rPr>
  </w:style>
  <w:style w:type="paragraph" w:styleId="19">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footnote text"/>
    <w:basedOn w:val="1"/>
    <w:link w:val="48"/>
    <w:semiHidden/>
    <w:qFormat/>
    <w:uiPriority w:val="99"/>
    <w:pPr>
      <w:snapToGrid w:val="0"/>
      <w:jc w:val="left"/>
    </w:pPr>
    <w:rPr>
      <w:sz w:val="18"/>
      <w:szCs w:val="18"/>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49"/>
    <w:qFormat/>
    <w:uiPriority w:val="99"/>
    <w:pPr>
      <w:widowControl/>
      <w:overflowPunct w:val="0"/>
      <w:autoSpaceDE w:val="0"/>
      <w:autoSpaceDN w:val="0"/>
      <w:adjustRightInd w:val="0"/>
      <w:jc w:val="center"/>
      <w:textAlignment w:val="baseline"/>
    </w:pPr>
    <w:rPr>
      <w:b/>
      <w:bCs/>
      <w:kern w:val="0"/>
      <w:sz w:val="24"/>
      <w:szCs w:val="24"/>
    </w:rPr>
  </w:style>
  <w:style w:type="paragraph" w:styleId="23">
    <w:name w:val="annotation subject"/>
    <w:basedOn w:val="8"/>
    <w:next w:val="8"/>
    <w:link w:val="50"/>
    <w:semiHidden/>
    <w:qFormat/>
    <w:uiPriority w:val="99"/>
    <w:rPr>
      <w:b/>
      <w:bCs/>
    </w:rPr>
  </w:style>
  <w:style w:type="paragraph" w:styleId="24">
    <w:name w:val="Body Text First Indent 2"/>
    <w:basedOn w:val="12"/>
    <w:link w:val="51"/>
    <w:qFormat/>
    <w:uiPriority w:val="99"/>
    <w:pPr>
      <w:ind w:firstLine="420"/>
    </w:p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99"/>
    <w:rPr>
      <w:rFonts w:ascii="Times New Roman" w:hAnsi="Times New Roman" w:eastAsia="宋体" w:cs="Times New Roman"/>
      <w:b/>
      <w:bCs/>
    </w:rPr>
  </w:style>
  <w:style w:type="character" w:styleId="29">
    <w:name w:val="page number"/>
    <w:qFormat/>
    <w:locked/>
    <w:uiPriority w:val="0"/>
  </w:style>
  <w:style w:type="character" w:styleId="30">
    <w:name w:val="Hyperlink"/>
    <w:qFormat/>
    <w:uiPriority w:val="99"/>
    <w:rPr>
      <w:rFonts w:ascii="Times New Roman" w:hAnsi="Times New Roman" w:eastAsia="宋体" w:cs="Times New Roman"/>
      <w:color w:val="0000FF"/>
      <w:u w:val="single"/>
    </w:rPr>
  </w:style>
  <w:style w:type="character" w:styleId="31">
    <w:name w:val="annotation reference"/>
    <w:semiHidden/>
    <w:qFormat/>
    <w:uiPriority w:val="99"/>
    <w:rPr>
      <w:rFonts w:ascii="Times New Roman" w:hAnsi="Times New Roman" w:eastAsia="宋体" w:cs="Times New Roman"/>
      <w:sz w:val="21"/>
      <w:szCs w:val="21"/>
    </w:rPr>
  </w:style>
  <w:style w:type="character" w:styleId="32">
    <w:name w:val="footnote reference"/>
    <w:basedOn w:val="27"/>
    <w:semiHidden/>
    <w:qFormat/>
    <w:uiPriority w:val="99"/>
    <w:rPr>
      <w:vertAlign w:val="superscript"/>
    </w:rPr>
  </w:style>
  <w:style w:type="paragraph" w:customStyle="1" w:styleId="33">
    <w:name w:val="标书正文"/>
    <w:basedOn w:val="1"/>
    <w:qFormat/>
    <w:uiPriority w:val="0"/>
    <w:pPr>
      <w:suppressAutoHyphens/>
      <w:autoSpaceDE w:val="0"/>
      <w:autoSpaceDN w:val="0"/>
      <w:adjustRightInd w:val="0"/>
      <w:snapToGrid w:val="0"/>
    </w:pPr>
    <w:rPr>
      <w:rFonts w:hAnsi="Times New Roman"/>
      <w:szCs w:val="24"/>
    </w:rPr>
  </w:style>
  <w:style w:type="paragraph" w:customStyle="1" w:styleId="34">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35">
    <w:name w:val="表格文字"/>
    <w:basedOn w:val="1"/>
    <w:next w:val="9"/>
    <w:qFormat/>
    <w:uiPriority w:val="99"/>
    <w:pPr>
      <w:adjustRightInd w:val="0"/>
      <w:spacing w:line="420" w:lineRule="atLeast"/>
      <w:jc w:val="left"/>
      <w:textAlignment w:val="baseline"/>
    </w:pPr>
    <w:rPr>
      <w:kern w:val="0"/>
    </w:rPr>
  </w:style>
  <w:style w:type="character" w:customStyle="1" w:styleId="36">
    <w:name w:val="标题 1 字符"/>
    <w:link w:val="3"/>
    <w:qFormat/>
    <w:locked/>
    <w:uiPriority w:val="99"/>
    <w:rPr>
      <w:rFonts w:ascii="Times New Roman" w:hAnsi="Times New Roman" w:eastAsia="宋体" w:cs="Times New Roman"/>
      <w:b/>
      <w:bCs/>
      <w:kern w:val="44"/>
      <w:sz w:val="44"/>
      <w:szCs w:val="44"/>
    </w:rPr>
  </w:style>
  <w:style w:type="character" w:customStyle="1" w:styleId="37">
    <w:name w:val="标题 2 字符"/>
    <w:link w:val="2"/>
    <w:qFormat/>
    <w:locked/>
    <w:uiPriority w:val="99"/>
    <w:rPr>
      <w:rFonts w:ascii="Cambria" w:hAnsi="Cambria" w:eastAsia="宋体" w:cs="Cambria"/>
      <w:b/>
      <w:bCs/>
      <w:sz w:val="32"/>
      <w:szCs w:val="32"/>
    </w:rPr>
  </w:style>
  <w:style w:type="character" w:customStyle="1" w:styleId="38">
    <w:name w:val="标题 3 字符"/>
    <w:link w:val="4"/>
    <w:qFormat/>
    <w:locked/>
    <w:uiPriority w:val="99"/>
    <w:rPr>
      <w:rFonts w:ascii="Times New Roman" w:hAnsi="Times New Roman" w:eastAsia="宋体" w:cs="Times New Roman"/>
      <w:b/>
      <w:bCs/>
      <w:sz w:val="32"/>
      <w:szCs w:val="32"/>
    </w:rPr>
  </w:style>
  <w:style w:type="character" w:customStyle="1" w:styleId="39">
    <w:name w:val="批注文字 字符"/>
    <w:link w:val="8"/>
    <w:qFormat/>
    <w:locked/>
    <w:uiPriority w:val="99"/>
    <w:rPr>
      <w:rFonts w:ascii="Times New Roman" w:hAnsi="Times New Roman" w:eastAsia="宋体" w:cs="Times New Roman"/>
      <w:kern w:val="2"/>
      <w:sz w:val="24"/>
      <w:szCs w:val="24"/>
    </w:rPr>
  </w:style>
  <w:style w:type="character" w:customStyle="1" w:styleId="40">
    <w:name w:val="正文文本 字符"/>
    <w:link w:val="9"/>
    <w:qFormat/>
    <w:locked/>
    <w:uiPriority w:val="99"/>
    <w:rPr>
      <w:rFonts w:ascii="Times New Roman" w:hAnsi="Times New Roman" w:eastAsia="宋体" w:cs="Times New Roman"/>
      <w:sz w:val="24"/>
      <w:szCs w:val="24"/>
    </w:rPr>
  </w:style>
  <w:style w:type="character" w:customStyle="1" w:styleId="41">
    <w:name w:val="正文文本首行缩进 字符"/>
    <w:link w:val="10"/>
    <w:semiHidden/>
    <w:qFormat/>
    <w:locked/>
    <w:uiPriority w:val="99"/>
    <w:rPr>
      <w:rFonts w:ascii="Times New Roman" w:hAnsi="Times New Roman" w:eastAsia="宋体" w:cs="Times New Roman"/>
      <w:sz w:val="21"/>
      <w:szCs w:val="21"/>
    </w:rPr>
  </w:style>
  <w:style w:type="character" w:customStyle="1" w:styleId="42">
    <w:name w:val="正文文本缩进 字符"/>
    <w:link w:val="12"/>
    <w:qFormat/>
    <w:locked/>
    <w:uiPriority w:val="99"/>
    <w:rPr>
      <w:rFonts w:ascii="Times New Roman" w:hAnsi="Times New Roman" w:eastAsia="宋体" w:cs="Times New Roman"/>
      <w:kern w:val="2"/>
      <w:sz w:val="24"/>
      <w:szCs w:val="24"/>
    </w:rPr>
  </w:style>
  <w:style w:type="character" w:customStyle="1" w:styleId="43">
    <w:name w:val="纯文本 字符"/>
    <w:link w:val="14"/>
    <w:qFormat/>
    <w:locked/>
    <w:uiPriority w:val="99"/>
    <w:rPr>
      <w:rFonts w:ascii="宋体" w:hAnsi="Courier New" w:eastAsia="宋体" w:cs="宋体"/>
      <w:sz w:val="21"/>
      <w:szCs w:val="21"/>
    </w:rPr>
  </w:style>
  <w:style w:type="character" w:customStyle="1" w:styleId="44">
    <w:name w:val="日期 字符"/>
    <w:link w:val="16"/>
    <w:qFormat/>
    <w:locked/>
    <w:uiPriority w:val="99"/>
    <w:rPr>
      <w:rFonts w:ascii="Times New Roman" w:hAnsi="Times New Roman" w:eastAsia="宋体" w:cs="Times New Roman"/>
      <w:sz w:val="24"/>
      <w:szCs w:val="24"/>
    </w:rPr>
  </w:style>
  <w:style w:type="character" w:customStyle="1" w:styleId="45">
    <w:name w:val="批注框文本 字符"/>
    <w:link w:val="17"/>
    <w:qFormat/>
    <w:locked/>
    <w:uiPriority w:val="99"/>
    <w:rPr>
      <w:rFonts w:ascii="Times New Roman" w:hAnsi="Times New Roman" w:eastAsia="宋体" w:cs="Times New Roman"/>
      <w:kern w:val="2"/>
      <w:sz w:val="18"/>
      <w:szCs w:val="18"/>
    </w:rPr>
  </w:style>
  <w:style w:type="character" w:customStyle="1" w:styleId="46">
    <w:name w:val="页脚 字符"/>
    <w:link w:val="18"/>
    <w:qFormat/>
    <w:locked/>
    <w:uiPriority w:val="99"/>
    <w:rPr>
      <w:rFonts w:ascii="Times New Roman" w:hAnsi="Times New Roman" w:eastAsia="宋体" w:cs="Times New Roman"/>
      <w:sz w:val="18"/>
      <w:szCs w:val="18"/>
    </w:rPr>
  </w:style>
  <w:style w:type="character" w:customStyle="1" w:styleId="47">
    <w:name w:val="页眉 字符"/>
    <w:link w:val="19"/>
    <w:qFormat/>
    <w:locked/>
    <w:uiPriority w:val="99"/>
    <w:rPr>
      <w:rFonts w:ascii="Times New Roman" w:hAnsi="Times New Roman" w:eastAsia="宋体" w:cs="Times New Roman"/>
      <w:sz w:val="18"/>
      <w:szCs w:val="18"/>
    </w:rPr>
  </w:style>
  <w:style w:type="character" w:customStyle="1" w:styleId="48">
    <w:name w:val="脚注文本 字符"/>
    <w:link w:val="20"/>
    <w:semiHidden/>
    <w:qFormat/>
    <w:locked/>
    <w:uiPriority w:val="99"/>
    <w:rPr>
      <w:sz w:val="18"/>
      <w:szCs w:val="18"/>
    </w:rPr>
  </w:style>
  <w:style w:type="character" w:customStyle="1" w:styleId="49">
    <w:name w:val="标题 字符"/>
    <w:link w:val="22"/>
    <w:qFormat/>
    <w:locked/>
    <w:uiPriority w:val="99"/>
    <w:rPr>
      <w:rFonts w:ascii="Cambria" w:hAnsi="Cambria" w:cs="Cambria"/>
      <w:b/>
      <w:bCs/>
      <w:sz w:val="32"/>
      <w:szCs w:val="32"/>
    </w:rPr>
  </w:style>
  <w:style w:type="character" w:customStyle="1" w:styleId="50">
    <w:name w:val="批注主题 字符"/>
    <w:link w:val="23"/>
    <w:qFormat/>
    <w:locked/>
    <w:uiPriority w:val="99"/>
    <w:rPr>
      <w:rFonts w:ascii="Times New Roman" w:hAnsi="Times New Roman" w:eastAsia="宋体" w:cs="Times New Roman"/>
      <w:b/>
      <w:bCs/>
      <w:kern w:val="2"/>
      <w:sz w:val="24"/>
      <w:szCs w:val="24"/>
    </w:rPr>
  </w:style>
  <w:style w:type="character" w:customStyle="1" w:styleId="51">
    <w:name w:val="正文文本首行缩进 2 字符"/>
    <w:link w:val="24"/>
    <w:semiHidden/>
    <w:qFormat/>
    <w:locked/>
    <w:uiPriority w:val="99"/>
    <w:rPr>
      <w:rFonts w:ascii="Times New Roman" w:hAnsi="Times New Roman" w:eastAsia="宋体" w:cs="Times New Roman"/>
      <w:kern w:val="2"/>
      <w:sz w:val="21"/>
      <w:szCs w:val="21"/>
    </w:rPr>
  </w:style>
  <w:style w:type="paragraph" w:customStyle="1" w:styleId="52">
    <w:name w:val="BodyText1I2"/>
    <w:basedOn w:val="53"/>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3">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4">
    <w:name w:val="正文（首行缩进2字符）"/>
    <w:basedOn w:val="1"/>
    <w:qFormat/>
    <w:uiPriority w:val="99"/>
    <w:pPr>
      <w:spacing w:line="360" w:lineRule="auto"/>
      <w:ind w:firstLine="420" w:firstLineChars="200"/>
    </w:pPr>
  </w:style>
  <w:style w:type="paragraph" w:customStyle="1" w:styleId="55">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6">
    <w:name w:val="font01"/>
    <w:qFormat/>
    <w:uiPriority w:val="99"/>
    <w:rPr>
      <w:rFonts w:ascii="宋体" w:hAnsi="宋体" w:eastAsia="宋体" w:cs="宋体"/>
      <w:color w:val="000000"/>
      <w:sz w:val="24"/>
      <w:szCs w:val="24"/>
      <w:u w:val="none"/>
    </w:rPr>
  </w:style>
  <w:style w:type="character" w:customStyle="1" w:styleId="57">
    <w:name w:val="font11"/>
    <w:qFormat/>
    <w:uiPriority w:val="99"/>
    <w:rPr>
      <w:rFonts w:ascii="Times New Roman" w:hAnsi="Times New Roman" w:eastAsia="宋体" w:cs="Times New Roman"/>
      <w:color w:val="000000"/>
      <w:sz w:val="24"/>
      <w:szCs w:val="24"/>
      <w:u w:val="none"/>
    </w:rPr>
  </w:style>
  <w:style w:type="character" w:customStyle="1" w:styleId="58">
    <w:name w:val="font31"/>
    <w:qFormat/>
    <w:uiPriority w:val="99"/>
    <w:rPr>
      <w:rFonts w:ascii="宋体" w:hAnsi="宋体" w:eastAsia="宋体" w:cs="宋体"/>
      <w:color w:val="000000"/>
      <w:sz w:val="24"/>
      <w:szCs w:val="24"/>
      <w:u w:val="none"/>
    </w:rPr>
  </w:style>
  <w:style w:type="paragraph" w:customStyle="1" w:styleId="59">
    <w:name w:val="纯文本_3"/>
    <w:basedOn w:val="60"/>
    <w:qFormat/>
    <w:uiPriority w:val="99"/>
    <w:pPr>
      <w:widowControl/>
      <w:jc w:val="left"/>
    </w:pPr>
    <w:rPr>
      <w:rFonts w:ascii="宋体" w:hAnsi="Courier New" w:cs="宋体"/>
    </w:rPr>
  </w:style>
  <w:style w:type="paragraph" w:customStyle="1" w:styleId="60">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纯文本_0_1"/>
    <w:basedOn w:val="1"/>
    <w:qFormat/>
    <w:uiPriority w:val="99"/>
    <w:pPr>
      <w:widowControl/>
      <w:jc w:val="left"/>
    </w:pPr>
    <w:rPr>
      <w:rFonts w:ascii="宋体" w:hAnsi="Courier New" w:cs="宋体"/>
    </w:rPr>
  </w:style>
  <w:style w:type="paragraph" w:customStyle="1" w:styleId="63">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4">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5">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7">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68">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69">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正文_14"/>
    <w:qFormat/>
    <w:uiPriority w:val="99"/>
    <w:rPr>
      <w:rFonts w:ascii="Times New Roman" w:hAnsi="Times New Roman" w:eastAsia="宋体" w:cs="Times New Roman"/>
      <w:sz w:val="21"/>
      <w:szCs w:val="21"/>
      <w:lang w:val="en-US" w:eastAsia="zh-CN" w:bidi="ar-SA"/>
    </w:rPr>
  </w:style>
  <w:style w:type="paragraph" w:customStyle="1" w:styleId="72">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列出段落1"/>
    <w:basedOn w:val="1"/>
    <w:qFormat/>
    <w:uiPriority w:val="99"/>
    <w:pPr>
      <w:ind w:firstLine="420" w:firstLineChars="200"/>
    </w:pPr>
    <w:rPr>
      <w:rFonts w:ascii="Calibri" w:hAnsi="Calibri" w:cs="Calibri"/>
      <w:kern w:val="0"/>
    </w:rPr>
  </w:style>
  <w:style w:type="paragraph" w:customStyle="1" w:styleId="75">
    <w:name w:val="正文2"/>
    <w:basedOn w:val="1"/>
    <w:qFormat/>
    <w:uiPriority w:val="99"/>
    <w:pPr>
      <w:spacing w:before="156" w:line="360" w:lineRule="auto"/>
      <w:ind w:firstLine="510" w:firstLineChars="200"/>
    </w:pPr>
    <w:rPr>
      <w:sz w:val="24"/>
      <w:szCs w:val="24"/>
    </w:rPr>
  </w:style>
  <w:style w:type="paragraph" w:customStyle="1" w:styleId="76">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7">
    <w:name w:val="列出段落2"/>
    <w:basedOn w:val="1"/>
    <w:qFormat/>
    <w:uiPriority w:val="99"/>
    <w:pPr>
      <w:ind w:firstLine="420" w:firstLineChars="200"/>
    </w:pPr>
    <w:rPr>
      <w:rFonts w:ascii="Calibri" w:hAnsi="Calibri" w:cs="Calibri"/>
    </w:rPr>
  </w:style>
  <w:style w:type="paragraph" w:customStyle="1" w:styleId="78">
    <w:name w:val="正文段"/>
    <w:basedOn w:val="1"/>
    <w:qFormat/>
    <w:uiPriority w:val="99"/>
    <w:pPr>
      <w:widowControl/>
      <w:snapToGrid w:val="0"/>
      <w:spacing w:afterLines="50"/>
      <w:ind w:firstLine="200" w:firstLineChars="200"/>
    </w:pPr>
    <w:rPr>
      <w:kern w:val="0"/>
      <w:sz w:val="24"/>
      <w:szCs w:val="24"/>
    </w:rPr>
  </w:style>
  <w:style w:type="paragraph" w:customStyle="1" w:styleId="79">
    <w:name w:val="p0"/>
    <w:basedOn w:val="1"/>
    <w:qFormat/>
    <w:uiPriority w:val="99"/>
    <w:pPr>
      <w:widowControl/>
    </w:pPr>
    <w:rPr>
      <w:kern w:val="0"/>
    </w:rPr>
  </w:style>
  <w:style w:type="paragraph" w:customStyle="1" w:styleId="80">
    <w:name w:val="列表段落1"/>
    <w:basedOn w:val="1"/>
    <w:qFormat/>
    <w:uiPriority w:val="99"/>
    <w:pPr>
      <w:ind w:firstLine="420" w:firstLineChars="200"/>
    </w:pPr>
    <w:rPr>
      <w:rFonts w:ascii="Calibri" w:hAnsi="Calibri" w:cs="Calibri"/>
    </w:rPr>
  </w:style>
  <w:style w:type="paragraph" w:customStyle="1" w:styleId="81">
    <w:name w:val="Plain Text1"/>
    <w:basedOn w:val="1"/>
    <w:qFormat/>
    <w:uiPriority w:val="99"/>
    <w:rPr>
      <w:rFonts w:ascii="宋体" w:hAnsi="Courier New" w:cs="宋体"/>
    </w:rPr>
  </w:style>
  <w:style w:type="paragraph" w:customStyle="1" w:styleId="82">
    <w:name w:val="列出段落3"/>
    <w:next w:val="83"/>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3">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4">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5">
    <w:name w:val="font121"/>
    <w:qFormat/>
    <w:uiPriority w:val="99"/>
    <w:rPr>
      <w:rFonts w:ascii="宋体" w:eastAsia="宋体" w:cs="宋体"/>
      <w:color w:val="000000"/>
      <w:sz w:val="22"/>
      <w:szCs w:val="22"/>
      <w:u w:val="none"/>
    </w:rPr>
  </w:style>
  <w:style w:type="paragraph" w:styleId="86">
    <w:name w:val="List Paragraph"/>
    <w:basedOn w:val="1"/>
    <w:qFormat/>
    <w:uiPriority w:val="34"/>
    <w:pPr>
      <w:ind w:firstLine="420" w:firstLineChars="200"/>
    </w:pPr>
    <w:rPr>
      <w:rFonts w:ascii="Calibri" w:hAnsi="Calibri"/>
      <w:szCs w:val="22"/>
    </w:rPr>
  </w:style>
  <w:style w:type="paragraph" w:customStyle="1" w:styleId="87">
    <w:name w:val="[Normal]"/>
    <w:qFormat/>
    <w:uiPriority w:val="0"/>
    <w:rPr>
      <w:rFonts w:ascii="宋体" w:hAnsi="宋体" w:eastAsia="宋体" w:cs="Times New Roman"/>
      <w:sz w:val="24"/>
      <w:szCs w:val="22"/>
      <w:lang w:val="zh-CN" w:eastAsia="zh-CN" w:bidi="ar-SA"/>
    </w:rPr>
  </w:style>
  <w:style w:type="character" w:customStyle="1" w:styleId="88">
    <w:name w:val="font41"/>
    <w:basedOn w:val="27"/>
    <w:qFormat/>
    <w:uiPriority w:val="0"/>
    <w:rPr>
      <w:rFonts w:hint="eastAsia" w:ascii="宋体" w:hAnsi="宋体" w:eastAsia="宋体" w:cs="宋体"/>
      <w:color w:val="FF0000"/>
      <w:sz w:val="24"/>
      <w:szCs w:val="24"/>
      <w:u w:val="none"/>
    </w:rPr>
  </w:style>
  <w:style w:type="character" w:customStyle="1" w:styleId="89">
    <w:name w:val="font21"/>
    <w:basedOn w:val="27"/>
    <w:qFormat/>
    <w:uiPriority w:val="0"/>
    <w:rPr>
      <w:rFonts w:hint="eastAsia" w:ascii="宋体" w:hAnsi="宋体" w:eastAsia="宋体" w:cs="宋体"/>
      <w:color w:val="000000"/>
      <w:sz w:val="24"/>
      <w:szCs w:val="24"/>
      <w:u w:val="none"/>
    </w:rPr>
  </w:style>
  <w:style w:type="character" w:customStyle="1" w:styleId="90">
    <w:name w:val="font51"/>
    <w:basedOn w:val="27"/>
    <w:qFormat/>
    <w:uiPriority w:val="0"/>
    <w:rPr>
      <w:rFonts w:hint="eastAsia" w:ascii="宋体" w:hAnsi="宋体" w:eastAsia="宋体" w:cs="宋体"/>
      <w:color w:val="000000"/>
      <w:sz w:val="24"/>
      <w:szCs w:val="24"/>
      <w:u w:val="none"/>
    </w:rPr>
  </w:style>
  <w:style w:type="paragraph" w:customStyle="1" w:styleId="91">
    <w:name w:val="正文首行缩进1"/>
    <w:basedOn w:val="9"/>
    <w:qFormat/>
    <w:uiPriority w:val="0"/>
    <w:pPr>
      <w:autoSpaceDE w:val="0"/>
      <w:autoSpaceDN w:val="0"/>
      <w:adjustRightInd w:val="0"/>
      <w:spacing w:after="0" w:line="360" w:lineRule="auto"/>
      <w:ind w:firstLine="420" w:firstLineChars="200"/>
      <w:jc w:val="left"/>
    </w:pPr>
    <w:rPr>
      <w:rFonts w:ascii="宋体" w:hAnsi="宋体" w:cs="Lucida Sans"/>
      <w:sz w:val="30"/>
      <w:lang w:val="zh-CN"/>
    </w:rPr>
  </w:style>
  <w:style w:type="character" w:customStyle="1" w:styleId="92">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30362</Words>
  <Characters>31834</Characters>
  <Lines>1</Lines>
  <Paragraphs>1</Paragraphs>
  <TotalTime>43</TotalTime>
  <ScaleCrop>false</ScaleCrop>
  <LinksUpToDate>false</LinksUpToDate>
  <CharactersWithSpaces>34123</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2020-10-26T18:08:00Z</dcterms:created>
  <dc:creator>S-mile</dc:creator>
  <cp:lastModifiedBy>叽叽呱呱</cp:lastModifiedBy>
  <cp:lastPrinted>2020-05-13T17:08:00Z</cp:lastPrinted>
  <dcterms:modified xsi:type="dcterms:W3CDTF">2023-01-19T12:58:21Z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D630D963207A4932AFEACE2F9065FE18</vt:lpwstr>
  </property>
</Properties>
</file>