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ascii="宋体" w:hAnsi="宋体" w:cs="宋体"/>
          <w:color w:val="auto"/>
          <w:sz w:val="28"/>
          <w:szCs w:val="28"/>
          <w:highlight w:val="none"/>
        </w:rPr>
      </w:pPr>
      <w:bookmarkStart w:id="2" w:name="_GoBack"/>
      <w:bookmarkEnd w:id="2"/>
    </w:p>
    <w:p>
      <w:pPr>
        <w:spacing w:line="360" w:lineRule="auto"/>
        <w:rPr>
          <w:rFonts w:ascii="宋体" w:hAnsi="宋体" w:cs="宋体"/>
          <w:color w:val="auto"/>
          <w:sz w:val="28"/>
          <w:szCs w:val="28"/>
          <w:highlight w:val="none"/>
        </w:rPr>
      </w:pPr>
    </w:p>
    <w:p>
      <w:pPr>
        <w:spacing w:line="360" w:lineRule="auto"/>
        <w:rPr>
          <w:rFonts w:ascii="宋体" w:hAnsi="宋体" w:cs="宋体"/>
          <w:color w:val="auto"/>
          <w:sz w:val="28"/>
          <w:szCs w:val="28"/>
          <w:highlight w:val="none"/>
        </w:rPr>
      </w:pPr>
      <w:r>
        <w:rPr>
          <w:rFonts w:hint="eastAsia" w:ascii="宋体" w:hAnsi="宋体" w:cs="宋体"/>
          <w:color w:val="auto"/>
          <w:sz w:val="28"/>
          <w:szCs w:val="28"/>
          <w:highlight w:val="none"/>
        </w:rPr>
        <w:drawing>
          <wp:anchor distT="0" distB="0" distL="114300" distR="114300" simplePos="0" relativeHeight="251659264" behindDoc="1" locked="0" layoutInCell="1" allowOverlap="1">
            <wp:simplePos x="0" y="0"/>
            <wp:positionH relativeFrom="page">
              <wp:posOffset>1371600</wp:posOffset>
            </wp:positionH>
            <wp:positionV relativeFrom="page">
              <wp:posOffset>1310640</wp:posOffset>
            </wp:positionV>
            <wp:extent cx="2971800" cy="2091690"/>
            <wp:effectExtent l="0" t="0" r="0" b="3810"/>
            <wp:wrapNone/>
            <wp:docPr id="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pic:cNvPicPr>
                      <a:picLocks noChangeAspect="1"/>
                    </pic:cNvPicPr>
                  </pic:nvPicPr>
                  <pic:blipFill>
                    <a:blip r:embed="rId6">
                      <a:lum contrast="11999"/>
                    </a:blip>
                    <a:stretch>
                      <a:fillRect/>
                    </a:stretch>
                  </pic:blipFill>
                  <pic:spPr>
                    <a:xfrm>
                      <a:off x="0" y="0"/>
                      <a:ext cx="2971800" cy="2091690"/>
                    </a:xfrm>
                    <a:prstGeom prst="rect">
                      <a:avLst/>
                    </a:prstGeom>
                    <a:noFill/>
                    <a:ln>
                      <a:noFill/>
                    </a:ln>
                  </pic:spPr>
                </pic:pic>
              </a:graphicData>
            </a:graphic>
          </wp:anchor>
        </w:drawing>
      </w:r>
    </w:p>
    <w:p>
      <w:pPr>
        <w:spacing w:line="360" w:lineRule="auto"/>
        <w:rPr>
          <w:rFonts w:ascii="宋体" w:hAnsi="宋体" w:cs="宋体"/>
          <w:color w:val="auto"/>
          <w:sz w:val="28"/>
          <w:szCs w:val="28"/>
          <w:highlight w:val="none"/>
        </w:rPr>
      </w:pPr>
    </w:p>
    <w:p>
      <w:pPr>
        <w:spacing w:line="360" w:lineRule="auto"/>
        <w:jc w:val="center"/>
        <w:rPr>
          <w:rFonts w:ascii="宋体"/>
          <w:color w:val="auto"/>
          <w:sz w:val="72"/>
          <w:szCs w:val="72"/>
          <w:highlight w:val="none"/>
        </w:rPr>
      </w:pPr>
      <w:r>
        <w:rPr>
          <w:rFonts w:hint="eastAsia" w:ascii="宋体" w:hAnsi="宋体" w:cs="宋体"/>
          <w:color w:val="auto"/>
          <w:sz w:val="72"/>
          <w:szCs w:val="72"/>
          <w:highlight w:val="none"/>
          <w:lang w:val="en-US" w:eastAsia="zh-CN"/>
        </w:rPr>
        <w:t xml:space="preserve">         </w:t>
      </w:r>
      <w:r>
        <w:rPr>
          <w:rFonts w:ascii="宋体" w:hAnsi="宋体" w:cs="宋体"/>
          <w:color w:val="auto"/>
          <w:sz w:val="72"/>
          <w:szCs w:val="72"/>
          <w:highlight w:val="none"/>
        </w:rPr>
        <w:t>F-STONE</w:t>
      </w:r>
    </w:p>
    <w:p>
      <w:pPr>
        <w:spacing w:line="360" w:lineRule="auto"/>
        <w:rPr>
          <w:rFonts w:ascii="宋体" w:hAnsi="宋体" w:cs="宋体"/>
          <w:color w:val="auto"/>
          <w:sz w:val="28"/>
          <w:szCs w:val="28"/>
          <w:highlight w:val="none"/>
        </w:rPr>
      </w:pPr>
    </w:p>
    <w:p>
      <w:pPr>
        <w:spacing w:line="360" w:lineRule="auto"/>
        <w:rPr>
          <w:rFonts w:ascii="宋体" w:hAnsi="宋体" w:cs="宋体"/>
          <w:color w:val="auto"/>
          <w:sz w:val="28"/>
          <w:szCs w:val="28"/>
          <w:highlight w:val="none"/>
        </w:rPr>
      </w:pPr>
    </w:p>
    <w:p>
      <w:pPr>
        <w:spacing w:line="360" w:lineRule="auto"/>
        <w:rPr>
          <w:rFonts w:ascii="宋体" w:hAnsi="宋体" w:cs="宋体"/>
          <w:color w:val="auto"/>
          <w:sz w:val="28"/>
          <w:szCs w:val="28"/>
          <w:highlight w:val="none"/>
        </w:rPr>
      </w:pPr>
    </w:p>
    <w:p>
      <w:pPr>
        <w:spacing w:line="360" w:lineRule="auto"/>
        <w:jc w:val="center"/>
        <w:textAlignment w:val="bottom"/>
        <w:rPr>
          <w:rFonts w:ascii="宋体"/>
          <w:b/>
          <w:bCs/>
          <w:color w:val="auto"/>
          <w:kern w:val="0"/>
          <w:sz w:val="52"/>
          <w:szCs w:val="52"/>
          <w:highlight w:val="none"/>
        </w:rPr>
      </w:pPr>
      <w:r>
        <w:rPr>
          <w:rFonts w:hint="eastAsia" w:ascii="宋体" w:hAnsi="宋体" w:cs="宋体"/>
          <w:b/>
          <w:bCs/>
          <w:color w:val="auto"/>
          <w:kern w:val="0"/>
          <w:sz w:val="52"/>
          <w:szCs w:val="52"/>
          <w:highlight w:val="none"/>
        </w:rPr>
        <w:t>政府采购电子招标文件</w:t>
      </w:r>
    </w:p>
    <w:p>
      <w:pPr>
        <w:spacing w:line="360" w:lineRule="auto"/>
        <w:rPr>
          <w:rFonts w:ascii="宋体" w:hAnsi="宋体" w:cs="宋体"/>
          <w:color w:val="auto"/>
          <w:sz w:val="28"/>
          <w:szCs w:val="28"/>
          <w:highlight w:val="none"/>
        </w:rPr>
      </w:pPr>
    </w:p>
    <w:p>
      <w:pPr>
        <w:spacing w:line="360" w:lineRule="auto"/>
        <w:rPr>
          <w:rFonts w:ascii="宋体" w:hAnsi="宋体" w:cs="宋体"/>
          <w:color w:val="auto"/>
          <w:sz w:val="28"/>
          <w:szCs w:val="28"/>
          <w:highlight w:val="none"/>
        </w:rPr>
      </w:pPr>
    </w:p>
    <w:p>
      <w:pPr>
        <w:spacing w:line="360" w:lineRule="auto"/>
        <w:jc w:val="center"/>
        <w:textAlignment w:val="bottom"/>
        <w:rPr>
          <w:rFonts w:hint="eastAsia" w:ascii="宋体" w:eastAsia="宋体"/>
          <w:color w:val="auto"/>
          <w:sz w:val="28"/>
          <w:szCs w:val="28"/>
          <w:highlight w:val="none"/>
          <w:lang w:eastAsia="zh-CN"/>
        </w:rPr>
      </w:pPr>
      <w:r>
        <w:rPr>
          <w:rFonts w:hint="eastAsia" w:ascii="宋体" w:hAnsi="宋体" w:cs="宋体"/>
          <w:color w:val="auto"/>
          <w:sz w:val="28"/>
          <w:szCs w:val="28"/>
          <w:highlight w:val="none"/>
        </w:rPr>
        <w:t>项目编号：</w:t>
      </w:r>
      <w:r>
        <w:rPr>
          <w:rFonts w:hint="eastAsia" w:ascii="宋体" w:hAnsi="宋体" w:cs="宋体"/>
          <w:color w:val="auto"/>
          <w:sz w:val="28"/>
          <w:szCs w:val="28"/>
          <w:highlight w:val="none"/>
          <w:lang w:eastAsia="zh-CN"/>
        </w:rPr>
        <w:t>ZJWS2022-HYCMJT09</w:t>
      </w:r>
    </w:p>
    <w:p>
      <w:pPr>
        <w:spacing w:line="360" w:lineRule="auto"/>
        <w:rPr>
          <w:rFonts w:ascii="宋体" w:hAnsi="宋体" w:cs="宋体"/>
          <w:color w:val="auto"/>
          <w:sz w:val="28"/>
          <w:szCs w:val="28"/>
          <w:highlight w:val="none"/>
        </w:rPr>
      </w:pPr>
    </w:p>
    <w:p>
      <w:pPr>
        <w:autoSpaceDE w:val="0"/>
        <w:autoSpaceDN w:val="0"/>
        <w:adjustRightInd w:val="0"/>
        <w:spacing w:line="360" w:lineRule="auto"/>
        <w:ind w:left="1959" w:leftChars="266" w:hanging="1400" w:hangingChars="500"/>
        <w:jc w:val="both"/>
        <w:rPr>
          <w:rFonts w:hint="eastAsia" w:ascii="宋体" w:eastAsia="宋体"/>
          <w:color w:val="auto"/>
          <w:kern w:val="0"/>
          <w:sz w:val="28"/>
          <w:szCs w:val="28"/>
          <w:highlight w:val="none"/>
          <w:lang w:eastAsia="zh-CN"/>
        </w:rPr>
      </w:pPr>
      <w:r>
        <w:rPr>
          <w:rFonts w:hint="eastAsia" w:ascii="宋体" w:hAnsi="宋体" w:cs="宋体"/>
          <w:color w:val="auto"/>
          <w:kern w:val="0"/>
          <w:sz w:val="28"/>
          <w:szCs w:val="28"/>
          <w:highlight w:val="none"/>
        </w:rPr>
        <w:t>采购项目：</w:t>
      </w:r>
      <w:r>
        <w:rPr>
          <w:rFonts w:hint="eastAsia" w:ascii="宋体" w:hAnsi="宋体" w:cs="宋体"/>
          <w:color w:val="auto"/>
          <w:kern w:val="0"/>
          <w:sz w:val="28"/>
          <w:szCs w:val="28"/>
          <w:highlight w:val="none"/>
          <w:lang w:eastAsia="zh-CN"/>
        </w:rPr>
        <w:t>“数字黄岩”智慧城市基础设施提升工程--智慧公安（基层治理能力提升工程-行指舆情）</w:t>
      </w:r>
    </w:p>
    <w:p>
      <w:pPr>
        <w:autoSpaceDE w:val="0"/>
        <w:autoSpaceDN w:val="0"/>
        <w:adjustRightInd w:val="0"/>
        <w:spacing w:line="360" w:lineRule="auto"/>
        <w:ind w:firstLine="560" w:firstLineChars="200"/>
        <w:jc w:val="both"/>
        <w:rPr>
          <w:rFonts w:hint="eastAsia" w:ascii="宋体" w:eastAsia="宋体"/>
          <w:color w:val="auto"/>
          <w:kern w:val="0"/>
          <w:sz w:val="28"/>
          <w:szCs w:val="28"/>
          <w:highlight w:val="none"/>
          <w:lang w:eastAsia="zh-CN"/>
        </w:rPr>
      </w:pPr>
      <w:r>
        <w:rPr>
          <w:rFonts w:hint="eastAsia" w:ascii="宋体" w:hAnsi="宋体" w:cs="宋体"/>
          <w:color w:val="auto"/>
          <w:kern w:val="0"/>
          <w:sz w:val="28"/>
          <w:szCs w:val="28"/>
          <w:highlight w:val="none"/>
        </w:rPr>
        <w:t>采购单位：</w:t>
      </w:r>
      <w:r>
        <w:rPr>
          <w:rFonts w:hint="eastAsia" w:ascii="宋体" w:hAnsi="宋体" w:cs="宋体"/>
          <w:color w:val="auto"/>
          <w:kern w:val="0"/>
          <w:sz w:val="28"/>
          <w:szCs w:val="28"/>
          <w:highlight w:val="none"/>
          <w:lang w:eastAsia="zh-CN"/>
        </w:rPr>
        <w:t>台州市黄岩区传媒集团（台州市黄岩区广播电视台）</w:t>
      </w:r>
    </w:p>
    <w:p>
      <w:pPr>
        <w:spacing w:line="360" w:lineRule="auto"/>
        <w:rPr>
          <w:rFonts w:ascii="宋体" w:hAnsi="宋体" w:cs="宋体"/>
          <w:color w:val="auto"/>
          <w:sz w:val="28"/>
          <w:szCs w:val="28"/>
          <w:highlight w:val="none"/>
        </w:rPr>
      </w:pPr>
    </w:p>
    <w:p>
      <w:pPr>
        <w:spacing w:line="360" w:lineRule="auto"/>
        <w:rPr>
          <w:rFonts w:ascii="宋体" w:hAnsi="宋体" w:cs="宋体"/>
          <w:color w:val="auto"/>
          <w:sz w:val="28"/>
          <w:szCs w:val="28"/>
          <w:highlight w:val="none"/>
        </w:rPr>
      </w:pPr>
    </w:p>
    <w:p>
      <w:pPr>
        <w:autoSpaceDE w:val="0"/>
        <w:autoSpaceDN w:val="0"/>
        <w:adjustRightInd w:val="0"/>
        <w:spacing w:line="360" w:lineRule="auto"/>
        <w:jc w:val="center"/>
        <w:rPr>
          <w:rFonts w:ascii="宋体"/>
          <w:color w:val="auto"/>
          <w:kern w:val="0"/>
          <w:sz w:val="28"/>
          <w:szCs w:val="28"/>
          <w:highlight w:val="none"/>
        </w:rPr>
      </w:pPr>
      <w:r>
        <w:rPr>
          <w:rFonts w:hint="eastAsia" w:ascii="宋体" w:hAnsi="宋体" w:cs="宋体"/>
          <w:color w:val="auto"/>
          <w:kern w:val="0"/>
          <w:sz w:val="28"/>
          <w:szCs w:val="28"/>
          <w:highlight w:val="none"/>
        </w:rPr>
        <w:t>采购代理机构：浙江五石中正工程咨询有限公司</w:t>
      </w:r>
    </w:p>
    <w:p>
      <w:pPr>
        <w:autoSpaceDE w:val="0"/>
        <w:autoSpaceDN w:val="0"/>
        <w:adjustRightInd w:val="0"/>
        <w:spacing w:line="360" w:lineRule="auto"/>
        <w:jc w:val="center"/>
        <w:rPr>
          <w:rFonts w:hint="eastAsia" w:ascii="宋体" w:hAnsi="宋体" w:cs="宋体"/>
          <w:color w:val="auto"/>
          <w:kern w:val="0"/>
          <w:sz w:val="28"/>
          <w:szCs w:val="28"/>
          <w:highlight w:val="none"/>
        </w:rPr>
      </w:pPr>
      <w:r>
        <w:rPr>
          <w:rFonts w:hint="eastAsia" w:ascii="宋体" w:hAnsi="宋体" w:cs="宋体"/>
          <w:color w:val="auto"/>
          <w:kern w:val="0"/>
          <w:sz w:val="28"/>
          <w:szCs w:val="28"/>
          <w:highlight w:val="none"/>
        </w:rPr>
        <w:t>2022年</w:t>
      </w:r>
      <w:r>
        <w:rPr>
          <w:rFonts w:hint="eastAsia" w:ascii="宋体" w:hAnsi="宋体" w:cs="宋体"/>
          <w:color w:val="auto"/>
          <w:kern w:val="0"/>
          <w:sz w:val="28"/>
          <w:szCs w:val="28"/>
          <w:highlight w:val="none"/>
          <w:lang w:val="en-US" w:eastAsia="zh-CN"/>
        </w:rPr>
        <w:t>7</w:t>
      </w:r>
      <w:r>
        <w:rPr>
          <w:rFonts w:hint="eastAsia" w:ascii="宋体" w:hAnsi="宋体" w:cs="宋体"/>
          <w:color w:val="auto"/>
          <w:kern w:val="0"/>
          <w:sz w:val="28"/>
          <w:szCs w:val="28"/>
          <w:highlight w:val="none"/>
        </w:rPr>
        <w:t>月</w:t>
      </w:r>
    </w:p>
    <w:p>
      <w:pPr>
        <w:jc w:val="center"/>
        <w:rPr>
          <w:rFonts w:hint="eastAsia" w:ascii="宋体" w:hAnsi="宋体" w:cs="宋体"/>
          <w:b/>
          <w:bCs/>
          <w:color w:val="auto"/>
          <w:sz w:val="36"/>
          <w:szCs w:val="36"/>
          <w:highlight w:val="none"/>
        </w:rPr>
      </w:pPr>
    </w:p>
    <w:p>
      <w:pPr>
        <w:jc w:val="center"/>
        <w:rPr>
          <w:rFonts w:ascii="宋体"/>
          <w:b/>
          <w:bCs/>
          <w:color w:val="auto"/>
          <w:sz w:val="36"/>
          <w:szCs w:val="36"/>
          <w:highlight w:val="none"/>
        </w:rPr>
      </w:pPr>
      <w:r>
        <w:rPr>
          <w:rFonts w:hint="eastAsia" w:ascii="宋体" w:hAnsi="宋体" w:cs="宋体"/>
          <w:b/>
          <w:bCs/>
          <w:color w:val="auto"/>
          <w:sz w:val="36"/>
          <w:szCs w:val="36"/>
          <w:highlight w:val="none"/>
        </w:rPr>
        <w:t>目  录</w:t>
      </w:r>
    </w:p>
    <w:p>
      <w:pPr>
        <w:spacing w:line="360" w:lineRule="auto"/>
        <w:rPr>
          <w:rFonts w:ascii="宋体" w:hAnsi="宋体" w:cs="宋体"/>
          <w:color w:val="auto"/>
          <w:sz w:val="24"/>
          <w:szCs w:val="24"/>
          <w:highlight w:val="none"/>
        </w:rPr>
      </w:pPr>
    </w:p>
    <w:p>
      <w:pPr>
        <w:spacing w:line="360" w:lineRule="auto"/>
        <w:rPr>
          <w:rFonts w:ascii="宋体"/>
          <w:b/>
          <w:bCs/>
          <w:color w:val="auto"/>
          <w:sz w:val="32"/>
          <w:szCs w:val="32"/>
          <w:highlight w:val="none"/>
        </w:rPr>
      </w:pPr>
      <w:r>
        <w:rPr>
          <w:rFonts w:hint="eastAsia" w:ascii="宋体" w:hAnsi="宋体" w:cs="宋体"/>
          <w:b/>
          <w:bCs/>
          <w:color w:val="auto"/>
          <w:sz w:val="32"/>
          <w:szCs w:val="32"/>
          <w:highlight w:val="none"/>
        </w:rPr>
        <w:t>第一章 公开招标采购公告</w:t>
      </w:r>
    </w:p>
    <w:p>
      <w:pPr>
        <w:spacing w:line="360" w:lineRule="auto"/>
        <w:rPr>
          <w:rFonts w:ascii="宋体"/>
          <w:b/>
          <w:bCs/>
          <w:color w:val="auto"/>
          <w:sz w:val="32"/>
          <w:szCs w:val="32"/>
          <w:highlight w:val="none"/>
        </w:rPr>
      </w:pPr>
      <w:r>
        <w:rPr>
          <w:rFonts w:hint="eastAsia" w:ascii="宋体" w:hAnsi="宋体" w:cs="宋体"/>
          <w:b/>
          <w:bCs/>
          <w:color w:val="auto"/>
          <w:sz w:val="32"/>
          <w:szCs w:val="32"/>
          <w:highlight w:val="none"/>
        </w:rPr>
        <w:t>第二章 投标人须知</w:t>
      </w:r>
    </w:p>
    <w:p>
      <w:pPr>
        <w:spacing w:line="360" w:lineRule="auto"/>
        <w:rPr>
          <w:rFonts w:ascii="宋体"/>
          <w:b/>
          <w:bCs/>
          <w:color w:val="auto"/>
          <w:sz w:val="32"/>
          <w:szCs w:val="32"/>
          <w:highlight w:val="none"/>
        </w:rPr>
      </w:pPr>
      <w:r>
        <w:rPr>
          <w:rFonts w:hint="eastAsia" w:ascii="宋体" w:hAnsi="宋体" w:cs="宋体"/>
          <w:b/>
          <w:bCs/>
          <w:color w:val="auto"/>
          <w:sz w:val="32"/>
          <w:szCs w:val="32"/>
          <w:highlight w:val="none"/>
        </w:rPr>
        <w:t>第三章 评标办法及评分标准</w:t>
      </w:r>
    </w:p>
    <w:p>
      <w:pPr>
        <w:spacing w:line="360" w:lineRule="auto"/>
        <w:rPr>
          <w:rFonts w:ascii="宋体"/>
          <w:b/>
          <w:bCs/>
          <w:color w:val="auto"/>
          <w:sz w:val="32"/>
          <w:szCs w:val="32"/>
          <w:highlight w:val="none"/>
        </w:rPr>
      </w:pPr>
      <w:r>
        <w:rPr>
          <w:rFonts w:hint="eastAsia" w:ascii="宋体" w:hAnsi="宋体" w:cs="宋体"/>
          <w:b/>
          <w:bCs/>
          <w:color w:val="auto"/>
          <w:sz w:val="32"/>
          <w:szCs w:val="32"/>
          <w:highlight w:val="none"/>
        </w:rPr>
        <w:t>第四章 公开招标需求</w:t>
      </w:r>
    </w:p>
    <w:p>
      <w:pPr>
        <w:spacing w:line="360" w:lineRule="auto"/>
        <w:rPr>
          <w:rFonts w:ascii="宋体"/>
          <w:b/>
          <w:bCs/>
          <w:color w:val="auto"/>
          <w:sz w:val="32"/>
          <w:szCs w:val="32"/>
          <w:highlight w:val="none"/>
        </w:rPr>
      </w:pPr>
      <w:r>
        <w:rPr>
          <w:rFonts w:hint="eastAsia" w:ascii="宋体" w:hAnsi="宋体" w:cs="宋体"/>
          <w:b/>
          <w:bCs/>
          <w:color w:val="auto"/>
          <w:sz w:val="32"/>
          <w:szCs w:val="32"/>
          <w:highlight w:val="none"/>
        </w:rPr>
        <w:t>第五章 政府采购合同主要条款指引</w:t>
      </w:r>
    </w:p>
    <w:p>
      <w:pPr>
        <w:spacing w:line="360" w:lineRule="auto"/>
        <w:rPr>
          <w:rFonts w:ascii="宋体"/>
          <w:b/>
          <w:bCs/>
          <w:color w:val="auto"/>
          <w:sz w:val="32"/>
          <w:szCs w:val="32"/>
          <w:highlight w:val="none"/>
        </w:rPr>
      </w:pPr>
      <w:r>
        <w:rPr>
          <w:rFonts w:hint="eastAsia" w:ascii="宋体" w:hAnsi="宋体" w:cs="宋体"/>
          <w:b/>
          <w:bCs/>
          <w:color w:val="auto"/>
          <w:sz w:val="32"/>
          <w:szCs w:val="32"/>
          <w:highlight w:val="none"/>
        </w:rPr>
        <w:t>第六章 投标文件格式附件</w:t>
      </w:r>
    </w:p>
    <w:p>
      <w:pPr>
        <w:spacing w:line="360" w:lineRule="auto"/>
        <w:rPr>
          <w:rFonts w:ascii="宋体" w:hAnsi="宋体" w:eastAsia="宋体" w:cs="宋体"/>
          <w:color w:val="auto"/>
          <w:sz w:val="24"/>
          <w:szCs w:val="24"/>
          <w:highlight w:val="none"/>
        </w:rPr>
      </w:pPr>
    </w:p>
    <w:p>
      <w:pPr>
        <w:spacing w:line="360" w:lineRule="auto"/>
        <w:rPr>
          <w:rFonts w:ascii="宋体" w:hAnsi="宋体" w:eastAsia="宋体" w:cs="宋体"/>
          <w:color w:val="auto"/>
          <w:sz w:val="24"/>
          <w:szCs w:val="24"/>
          <w:highlight w:val="none"/>
        </w:rPr>
      </w:pPr>
    </w:p>
    <w:p>
      <w:pPr>
        <w:spacing w:line="360" w:lineRule="auto"/>
        <w:rPr>
          <w:rFonts w:ascii="宋体" w:hAnsi="宋体" w:eastAsia="宋体" w:cs="宋体"/>
          <w:color w:val="auto"/>
          <w:sz w:val="24"/>
          <w:szCs w:val="24"/>
          <w:highlight w:val="none"/>
        </w:rPr>
      </w:pPr>
    </w:p>
    <w:p>
      <w:pPr>
        <w:spacing w:line="360" w:lineRule="auto"/>
        <w:rPr>
          <w:rFonts w:ascii="宋体" w:hAnsi="宋体" w:eastAsia="宋体" w:cs="宋体"/>
          <w:color w:val="auto"/>
          <w:sz w:val="24"/>
          <w:szCs w:val="24"/>
          <w:highlight w:val="none"/>
        </w:rPr>
      </w:pPr>
    </w:p>
    <w:p>
      <w:pPr>
        <w:spacing w:line="360" w:lineRule="auto"/>
        <w:rPr>
          <w:rFonts w:ascii="宋体" w:hAnsi="宋体" w:eastAsia="宋体" w:cs="宋体"/>
          <w:color w:val="auto"/>
          <w:sz w:val="24"/>
          <w:szCs w:val="24"/>
          <w:highlight w:val="none"/>
        </w:rPr>
      </w:pPr>
    </w:p>
    <w:p>
      <w:pPr>
        <w:spacing w:line="360" w:lineRule="auto"/>
        <w:rPr>
          <w:rFonts w:ascii="宋体" w:hAnsi="宋体" w:eastAsia="宋体" w:cs="宋体"/>
          <w:color w:val="auto"/>
          <w:sz w:val="24"/>
          <w:szCs w:val="24"/>
          <w:highlight w:val="none"/>
        </w:rPr>
      </w:pPr>
    </w:p>
    <w:p>
      <w:pPr>
        <w:spacing w:line="360" w:lineRule="auto"/>
        <w:rPr>
          <w:rFonts w:ascii="宋体" w:hAnsi="宋体" w:eastAsia="宋体" w:cs="宋体"/>
          <w:color w:val="auto"/>
          <w:sz w:val="24"/>
          <w:szCs w:val="24"/>
          <w:highlight w:val="none"/>
        </w:rPr>
      </w:pPr>
    </w:p>
    <w:p>
      <w:pPr>
        <w:spacing w:line="360" w:lineRule="auto"/>
        <w:rPr>
          <w:rFonts w:ascii="宋体" w:hAnsi="宋体" w:eastAsia="宋体" w:cs="宋体"/>
          <w:color w:val="auto"/>
          <w:sz w:val="24"/>
          <w:szCs w:val="24"/>
          <w:highlight w:val="none"/>
        </w:rPr>
      </w:pPr>
    </w:p>
    <w:p>
      <w:pPr>
        <w:spacing w:line="360" w:lineRule="auto"/>
        <w:rPr>
          <w:rFonts w:ascii="宋体" w:hAnsi="宋体" w:eastAsia="宋体" w:cs="宋体"/>
          <w:color w:val="auto"/>
          <w:sz w:val="24"/>
          <w:szCs w:val="24"/>
          <w:highlight w:val="none"/>
        </w:rPr>
      </w:pPr>
    </w:p>
    <w:p>
      <w:pPr>
        <w:spacing w:line="360" w:lineRule="auto"/>
        <w:rPr>
          <w:rFonts w:ascii="宋体" w:hAnsi="宋体" w:eastAsia="宋体" w:cs="宋体"/>
          <w:color w:val="auto"/>
          <w:sz w:val="24"/>
          <w:szCs w:val="24"/>
          <w:highlight w:val="none"/>
        </w:rPr>
      </w:pPr>
    </w:p>
    <w:p>
      <w:pPr>
        <w:spacing w:line="360" w:lineRule="auto"/>
        <w:rPr>
          <w:rFonts w:ascii="宋体" w:hAnsi="宋体" w:eastAsia="宋体" w:cs="宋体"/>
          <w:color w:val="auto"/>
          <w:sz w:val="24"/>
          <w:szCs w:val="24"/>
          <w:highlight w:val="none"/>
        </w:rPr>
      </w:pPr>
    </w:p>
    <w:p>
      <w:pPr>
        <w:spacing w:line="360" w:lineRule="auto"/>
        <w:rPr>
          <w:rFonts w:ascii="宋体" w:hAnsi="宋体" w:eastAsia="宋体" w:cs="宋体"/>
          <w:color w:val="auto"/>
          <w:sz w:val="24"/>
          <w:szCs w:val="24"/>
          <w:highlight w:val="none"/>
        </w:rPr>
      </w:pPr>
    </w:p>
    <w:p>
      <w:pPr>
        <w:spacing w:line="360" w:lineRule="auto"/>
        <w:rPr>
          <w:rFonts w:ascii="宋体" w:hAnsi="宋体" w:eastAsia="宋体" w:cs="宋体"/>
          <w:color w:val="auto"/>
          <w:sz w:val="24"/>
          <w:szCs w:val="24"/>
          <w:highlight w:val="none"/>
        </w:rPr>
      </w:pPr>
    </w:p>
    <w:p>
      <w:pPr>
        <w:spacing w:line="360" w:lineRule="auto"/>
        <w:rPr>
          <w:rFonts w:ascii="宋体" w:hAnsi="宋体" w:eastAsia="宋体" w:cs="宋体"/>
          <w:color w:val="auto"/>
          <w:sz w:val="24"/>
          <w:szCs w:val="24"/>
          <w:highlight w:val="none"/>
        </w:rPr>
      </w:pPr>
    </w:p>
    <w:p>
      <w:pPr>
        <w:spacing w:line="360" w:lineRule="auto"/>
        <w:rPr>
          <w:rFonts w:ascii="宋体" w:hAnsi="宋体" w:eastAsia="宋体" w:cs="宋体"/>
          <w:color w:val="auto"/>
          <w:sz w:val="24"/>
          <w:szCs w:val="24"/>
          <w:highlight w:val="none"/>
        </w:rPr>
      </w:pPr>
    </w:p>
    <w:p>
      <w:pPr>
        <w:spacing w:line="360" w:lineRule="auto"/>
        <w:rPr>
          <w:rFonts w:ascii="宋体" w:hAnsi="宋体" w:eastAsia="宋体" w:cs="宋体"/>
          <w:color w:val="auto"/>
          <w:sz w:val="24"/>
          <w:szCs w:val="24"/>
          <w:highlight w:val="none"/>
        </w:rPr>
      </w:pPr>
    </w:p>
    <w:p>
      <w:pPr>
        <w:spacing w:line="360" w:lineRule="auto"/>
        <w:rPr>
          <w:rFonts w:ascii="宋体" w:hAnsi="宋体" w:eastAsia="宋体" w:cs="宋体"/>
          <w:color w:val="auto"/>
          <w:sz w:val="24"/>
          <w:szCs w:val="24"/>
          <w:highlight w:val="none"/>
        </w:rPr>
      </w:pPr>
    </w:p>
    <w:p>
      <w:pPr>
        <w:spacing w:line="360" w:lineRule="auto"/>
        <w:rPr>
          <w:rFonts w:ascii="宋体" w:hAnsi="宋体" w:eastAsia="宋体" w:cs="宋体"/>
          <w:color w:val="auto"/>
          <w:sz w:val="24"/>
          <w:szCs w:val="24"/>
          <w:highlight w:val="none"/>
        </w:rPr>
      </w:pPr>
    </w:p>
    <w:p>
      <w:pPr>
        <w:spacing w:line="360" w:lineRule="auto"/>
        <w:rPr>
          <w:rFonts w:ascii="宋体" w:hAnsi="宋体" w:eastAsia="宋体" w:cs="宋体"/>
          <w:color w:val="auto"/>
          <w:sz w:val="24"/>
          <w:szCs w:val="24"/>
          <w:highlight w:val="none"/>
        </w:rPr>
      </w:pPr>
    </w:p>
    <w:p>
      <w:pPr>
        <w:spacing w:line="360" w:lineRule="auto"/>
        <w:jc w:val="center"/>
        <w:rPr>
          <w:rFonts w:ascii="宋体"/>
          <w:b/>
          <w:bCs/>
          <w:color w:val="auto"/>
          <w:sz w:val="36"/>
          <w:szCs w:val="36"/>
          <w:highlight w:val="none"/>
        </w:rPr>
      </w:pPr>
      <w:r>
        <w:rPr>
          <w:rFonts w:hint="eastAsia" w:ascii="宋体" w:hAnsi="宋体" w:cs="宋体"/>
          <w:b/>
          <w:bCs/>
          <w:color w:val="auto"/>
          <w:sz w:val="36"/>
          <w:szCs w:val="36"/>
          <w:highlight w:val="none"/>
        </w:rPr>
        <w:t>第一章</w:t>
      </w:r>
      <w:r>
        <w:rPr>
          <w:rFonts w:hint="eastAsia" w:ascii="宋体" w:hAnsi="宋体" w:cs="宋体"/>
          <w:b/>
          <w:bCs/>
          <w:color w:val="auto"/>
          <w:sz w:val="36"/>
          <w:szCs w:val="36"/>
          <w:highlight w:val="none"/>
          <w:lang w:val="en-US" w:eastAsia="zh-CN"/>
        </w:rPr>
        <w:t xml:space="preserve"> </w:t>
      </w:r>
      <w:r>
        <w:rPr>
          <w:rFonts w:hint="eastAsia" w:ascii="宋体" w:hAnsi="宋体" w:cs="宋体"/>
          <w:b/>
          <w:bCs/>
          <w:color w:val="auto"/>
          <w:sz w:val="36"/>
          <w:szCs w:val="36"/>
          <w:highlight w:val="none"/>
        </w:rPr>
        <w:t>公开招标采购公告</w:t>
      </w:r>
    </w:p>
    <w:p>
      <w:pPr>
        <w:bidi w:val="0"/>
        <w:spacing w:line="360" w:lineRule="auto"/>
        <w:rPr>
          <w:rFonts w:hint="eastAsia" w:ascii="宋体" w:hAnsi="宋体" w:eastAsia="宋体" w:cs="宋体"/>
          <w:b/>
          <w:bCs/>
          <w:color w:val="auto"/>
          <w:sz w:val="24"/>
          <w:szCs w:val="24"/>
          <w:highlight w:val="none"/>
        </w:rPr>
      </w:pPr>
      <w:r>
        <w:rPr>
          <w:color w:val="auto"/>
          <w:highlight w:val="none"/>
        </w:rPr>
        <mc:AlternateContent>
          <mc:Choice Requires="wps">
            <w:drawing>
              <wp:anchor distT="0" distB="0" distL="114300" distR="114300" simplePos="0" relativeHeight="251660288" behindDoc="0" locked="0" layoutInCell="1" allowOverlap="1">
                <wp:simplePos x="0" y="0"/>
                <wp:positionH relativeFrom="column">
                  <wp:posOffset>-240030</wp:posOffset>
                </wp:positionH>
                <wp:positionV relativeFrom="page">
                  <wp:posOffset>1320800</wp:posOffset>
                </wp:positionV>
                <wp:extent cx="5833745" cy="1543050"/>
                <wp:effectExtent l="7620" t="7620" r="26035" b="11430"/>
                <wp:wrapTopAndBottom/>
                <wp:docPr id="9" name="文本框 9"/>
                <wp:cNvGraphicFramePr/>
                <a:graphic xmlns:a="http://schemas.openxmlformats.org/drawingml/2006/main">
                  <a:graphicData uri="http://schemas.microsoft.com/office/word/2010/wordprocessingShape">
                    <wps:wsp>
                      <wps:cNvSpPr txBox="1"/>
                      <wps:spPr>
                        <a:xfrm>
                          <a:off x="0" y="0"/>
                          <a:ext cx="5833745" cy="1457960"/>
                        </a:xfrm>
                        <a:prstGeom prst="rect">
                          <a:avLst/>
                        </a:prstGeom>
                        <a:gradFill rotWithShape="0">
                          <a:gsLst>
                            <a:gs pos="0">
                              <a:srgbClr val="FFFFFF"/>
                            </a:gs>
                            <a:gs pos="100000">
                              <a:srgbClr val="FFFFFF"/>
                            </a:gs>
                          </a:gsLst>
                          <a:lin ang="0"/>
                          <a:tileRect/>
                        </a:gradFill>
                        <a:ln w="15875" cap="flat" cmpd="sng">
                          <a:solidFill>
                            <a:srgbClr val="000000"/>
                          </a:solidFill>
                          <a:prstDash val="solid"/>
                          <a:miter/>
                          <a:headEnd type="none" w="med" len="med"/>
                          <a:tailEnd type="none" w="med" len="med"/>
                        </a:ln>
                        <a:effectLst/>
                      </wps:spPr>
                      <wps:txbx>
                        <w:txbxContent>
                          <w:p>
                            <w:pPr>
                              <w:bidi w:val="0"/>
                              <w:spacing w:line="360" w:lineRule="auto"/>
                              <w:rPr>
                                <w:rFonts w:hint="eastAsia" w:ascii="宋体" w:hAnsi="宋体" w:eastAsia="宋体" w:cs="宋体"/>
                                <w:sz w:val="24"/>
                                <w:szCs w:val="24"/>
                              </w:rPr>
                            </w:pPr>
                            <w:r>
                              <w:rPr>
                                <w:rFonts w:hint="eastAsia" w:ascii="宋体" w:hAnsi="宋体" w:eastAsia="宋体" w:cs="宋体"/>
                                <w:sz w:val="24"/>
                                <w:szCs w:val="24"/>
                              </w:rPr>
                              <w:t>项目概况</w:t>
                            </w:r>
                          </w:p>
                          <w:p>
                            <w:pPr>
                              <w:bidi w:val="0"/>
                              <w:spacing w:line="360" w:lineRule="auto"/>
                              <w:ind w:firstLine="480" w:firstLineChars="200"/>
                              <w:rPr>
                                <w:rFonts w:hint="eastAsia" w:ascii="宋体" w:hAnsi="宋体" w:eastAsia="宋体" w:cs="宋体"/>
                                <w:sz w:val="24"/>
                                <w:szCs w:val="24"/>
                              </w:rPr>
                            </w:pPr>
                            <w:r>
                              <w:rPr>
                                <w:rFonts w:hint="eastAsia" w:ascii="宋体" w:hAnsi="宋体" w:cs="宋体"/>
                                <w:sz w:val="24"/>
                                <w:szCs w:val="24"/>
                                <w:lang w:eastAsia="zh-CN"/>
                              </w:rPr>
                              <w:t>“数字黄岩”智慧城市基础设施提升工程--智慧公安（基层治理能力提升工程-行指舆情）</w:t>
                            </w:r>
                            <w:r>
                              <w:rPr>
                                <w:rFonts w:hint="eastAsia" w:ascii="宋体" w:hAnsi="宋体" w:eastAsia="宋体" w:cs="宋体"/>
                                <w:sz w:val="24"/>
                                <w:szCs w:val="24"/>
                              </w:rPr>
                              <w:t>招标项目的潜在投</w:t>
                            </w:r>
                            <w:r>
                              <w:rPr>
                                <w:rFonts w:hint="eastAsia" w:ascii="宋体" w:hAnsi="宋体" w:eastAsia="宋体" w:cs="宋体"/>
                                <w:color w:val="auto"/>
                                <w:sz w:val="24"/>
                                <w:szCs w:val="24"/>
                              </w:rPr>
                              <w:t>标人应在政采云平台（http：//zfcg.czt.zj.gov.cn）获取（下载）招标文件，并于</w:t>
                            </w:r>
                            <w:r>
                              <w:rPr>
                                <w:rFonts w:hint="eastAsia" w:ascii="宋体" w:hAnsi="宋体" w:eastAsia="宋体" w:cs="宋体"/>
                                <w:color w:val="auto"/>
                                <w:sz w:val="24"/>
                                <w:szCs w:val="24"/>
                                <w:lang w:eastAsia="zh-CN"/>
                              </w:rPr>
                              <w:t>2022年8月1日  14:30</w:t>
                            </w:r>
                            <w:r>
                              <w:rPr>
                                <w:rFonts w:hint="eastAsia" w:ascii="宋体" w:hAnsi="宋体" w:eastAsia="宋体" w:cs="宋体"/>
                                <w:color w:val="auto"/>
                                <w:sz w:val="24"/>
                                <w:szCs w:val="24"/>
                              </w:rPr>
                              <w:t>（</w:t>
                            </w:r>
                            <w:r>
                              <w:rPr>
                                <w:rFonts w:hint="eastAsia" w:ascii="宋体" w:hAnsi="宋体" w:eastAsia="宋体" w:cs="宋体"/>
                                <w:sz w:val="24"/>
                                <w:szCs w:val="24"/>
                              </w:rPr>
                              <w:t>北京时间）前递交（上传）投标文件。</w:t>
                            </w:r>
                          </w:p>
                        </w:txbxContent>
                      </wps:txbx>
                      <wps:bodyPr vert="horz" wrap="square" anchor="t" anchorCtr="0"/>
                    </wps:wsp>
                  </a:graphicData>
                </a:graphic>
              </wp:anchor>
            </w:drawing>
          </mc:Choice>
          <mc:Fallback>
            <w:pict>
              <v:shape id="_x0000_s1026" o:spid="_x0000_s1026" o:spt="202" type="#_x0000_t202" style="position:absolute;left:0pt;margin-left:-18.9pt;margin-top:104pt;height:121.5pt;width:459.35pt;mso-position-vertical-relative:page;mso-wrap-distance-bottom:0pt;mso-wrap-distance-top:0pt;z-index:251660288;mso-width-relative:page;mso-height-relative:page;" fillcolor="#FFFFFF" filled="t" stroked="t" coordsize="21600,21600" o:gfxdata="UEsDBAoAAAAAAIdO4kAAAAAAAAAAAAAAAAAEAAAAZHJzL1BLAwQUAAAACACHTuJAUMuOXNkAAAAL AQAADwAAAGRycy9kb3ducmV2LnhtbE2PzU7DMBCE70i8g7VIXFBrJ1AaQjYVqsQDUKJydeMljuqf yHabwtNjTnAczWjmm2ZzsYadKcTRO4RiKYCR670a3YDQvb8uKmAxSaek8Y4QvijCpr2+amSt/Oze 6LxLA8slLtYSQac01ZzHXpOVceknctn79MHKlGUYuApyzuXW8FKIR27l6PKClhNtNfXH3ckirMxH WYS0neY7/dIdad+t998d4u1NIZ6BJbqkvzD84md0aDPTwZ+ciswgLO7XGT0hlKLKp3KiqsQTsAPC w6oQwNuG///Q/gBQSwMEFAAAAAgAh07iQHPXX0NlAgAA9AQAAA4AAABkcnMvZTJvRG9jLnhtbK1U zW4TMRC+I/EOlu90k7Zp0yibSjSECwJEQZwdrzdryX/YTrLhAeANeuLCnefKc/DZu01LkVAO7GF3 dmb8zcw3M55et1qRjfBBWlPS4cmAEmG4raRZlfTTx8WLMSUhMlMxZY0o6U4Eej17/my6dRNxahur KuEJQEyYbF1JmxjdpCgCb4Rm4cQ6YWCsrdcs4tevisqzLdC1Kk4Hg4tia33lvOUiBGjnnZH2iP4Y QFvXkou55WstTOxQvVAsoqTQSBfoLGdb14LHd3UdRCSqpKg05jeCQF6mdzGbssnKM9dI3qfAjknh SU2aSYOgB6g5i4ysvfwLSkvubbB1POFWF10hmRFUMRw84ea2YU7kWkB1cAfSw/+D5W837z2RVUmv KDFMo+H7u+/7H7/2P7+Rq0TP1oUJvG4d/GL70rYYmnt9gDJV3dZepy/qIbCD3N2BXNFGwqEcjc/O Ls9HlHDYhuejy6uLTH/xcNz5EF8Lq0kSSurRvUwq27wJEanA9d6l57paSKWIt/GzjE2mK8XNxoAz nUCcBWOdOvjV8kZ5smEYiEV+UjFAXoXH3sNBejLSv4/kk30oJQ1haY36uYpSiQ8oog/gWU43hVGG bMHCaHyZCGFYoxrjC1E7tCKYVRfZKnk48kcaObt7+sJjt0TQnIWmqzCbuiHXMgqPTNikEax6ZSoS dw7tNthymrLRoqJECVwKScqekUl1jCdIUCZBi7xyfbfS5HQTkqTYLluAJnFpqx2mCZcQutxY/xXx sYIo/MuaeWTDDIe6pGCkE29i3tlEZALAMnQ96xY3bdvj/+z1cFnNfgNQSwMECgAAAAAAh07iQAAA AAAAAAAAAAAAAAYAAABfcmVscy9QSwMEFAAAAAgAh07iQIoUZjzRAAAAlAEAAAsAAABfcmVscy8u cmVsc6WQwWrDMAyG74O9g9F9cZrDGKNOL6PQa+kewNiKYxpbRjLZ+vbzDoNl9LajfqHvE//+8JkW tSJLpGxg1/WgMDvyMQcD75fj0wsoqTZ7u1BGAzcUOIyPD/szLra2I5ljEdUoWQzMtZZXrcXNmKx0 VDC3zUScbG0jB12su9qAeuj7Z82/GTBumOrkDfDJD6Aut9LMf9gpOiahqXaOkqZpiu4eVQe2ZY7u yDbhG7lGsxywGvAsGgdqWdd+BH1fv/un3tNHPuO61X6HjOuPV2+6HL8AUEsDBBQAAAAIAIdO4kB+ 5uUg9wAAAOEBAAATAAAAW0NvbnRlbnRfVHlwZXNdLnhtbJWRQU7DMBBF90jcwfIWJU67QAgl6YK0 S0CoHGBkTxKLZGx5TGhvj5O2G0SRWNoz/78nu9wcxkFMGNg6quQqL6RA0s5Y6ir5vt9lD1JwBDIw OMJKHpHlpr69KfdHjyxSmriSfYz+USnWPY7AufNIadK6MEJMx9ApD/oDOlTrorhX2lFEilmcO2Rd NtjC5xDF9pCuTyYBB5bi6bQ4syoJ3g9WQ0ymaiLzg5KdCXlKLjvcW893SUOqXwnz5DrgnHtJTxOs QfEKIT7DmDSUCayM+6KAU/53yWw5cuba1mrMm8BNir3hdLG61o5r1zj93/Ltkrp0q+WD6m9QSwEC FAAUAAAACACHTuJAfublIPcAAADhAQAAEwAAAAAAAAABACAAAADXBAAAW0NvbnRlbnRfVHlwZXNd LnhtbFBLAQIUAAoAAAAAAIdO4kAAAAAAAAAAAAAAAAAGAAAAAAAAAAAAEAAAALkDAABfcmVscy9Q SwECFAAUAAAACACHTuJAihRmPNEAAACUAQAACwAAAAAAAAABACAAAADdAwAAX3JlbHMvLnJlbHNQ SwECFAAKAAAAAACHTuJAAAAAAAAAAAAAAAAABAAAAAAAAAAAABAAAAAAAAAAZHJzL1BLAQIUABQA AAAIAIdO4kBQy45c2QAAAAsBAAAPAAAAAAAAAAEAIAAAACIAAABkcnMvZG93bnJldi54bWxQSwEC FAAUAAAACACHTuJAc9dfQ2UCAAD0BAAADgAAAAAAAAABACAAAAAoAQAAZHJzL2Uyb0RvYy54bWxQ SwUGAAAAAAYABgBZAQAA/wUAAAAA ">
                <v:fill type="gradient" on="t" color2="#FFFFFF" angle="90" focus="100%" focussize="0,0">
                  <o:fill type="gradientUnscaled" v:ext="backwardCompatible"/>
                </v:fill>
                <v:stroke weight="1.25pt" color="#000000" joinstyle="miter"/>
                <v:imagedata o:title=""/>
                <o:lock v:ext="edit" aspectratio="f"/>
                <v:textbox>
                  <w:txbxContent>
                    <w:p>
                      <w:pPr>
                        <w:bidi w:val="0"/>
                        <w:spacing w:line="360" w:lineRule="auto"/>
                        <w:rPr>
                          <w:rFonts w:hint="eastAsia" w:ascii="宋体" w:hAnsi="宋体" w:eastAsia="宋体" w:cs="宋体"/>
                          <w:sz w:val="24"/>
                          <w:szCs w:val="24"/>
                        </w:rPr>
                      </w:pPr>
                      <w:r>
                        <w:rPr>
                          <w:rFonts w:hint="eastAsia" w:ascii="宋体" w:hAnsi="宋体" w:eastAsia="宋体" w:cs="宋体"/>
                          <w:sz w:val="24"/>
                          <w:szCs w:val="24"/>
                        </w:rPr>
                        <w:t>项目概况</w:t>
                      </w:r>
                    </w:p>
                    <w:p>
                      <w:pPr>
                        <w:bidi w:val="0"/>
                        <w:spacing w:line="360" w:lineRule="auto"/>
                        <w:ind w:firstLine="480" w:firstLineChars="200"/>
                        <w:rPr>
                          <w:rFonts w:hint="eastAsia" w:ascii="宋体" w:hAnsi="宋体" w:eastAsia="宋体" w:cs="宋体"/>
                          <w:sz w:val="24"/>
                          <w:szCs w:val="24"/>
                        </w:rPr>
                      </w:pPr>
                      <w:r>
                        <w:rPr>
                          <w:rFonts w:hint="eastAsia" w:ascii="宋体" w:hAnsi="宋体" w:cs="宋体"/>
                          <w:sz w:val="24"/>
                          <w:szCs w:val="24"/>
                          <w:lang w:eastAsia="zh-CN"/>
                        </w:rPr>
                        <w:t>“数字黄岩”智慧城市基础设施提升工程--智慧公安（基层治理能力提升工程-行指舆情）</w:t>
                      </w:r>
                      <w:r>
                        <w:rPr>
                          <w:rFonts w:hint="eastAsia" w:ascii="宋体" w:hAnsi="宋体" w:eastAsia="宋体" w:cs="宋体"/>
                          <w:sz w:val="24"/>
                          <w:szCs w:val="24"/>
                        </w:rPr>
                        <w:t>招标项目的潜在投</w:t>
                      </w:r>
                      <w:r>
                        <w:rPr>
                          <w:rFonts w:hint="eastAsia" w:ascii="宋体" w:hAnsi="宋体" w:eastAsia="宋体" w:cs="宋体"/>
                          <w:color w:val="auto"/>
                          <w:sz w:val="24"/>
                          <w:szCs w:val="24"/>
                        </w:rPr>
                        <w:t>标人应在政采云平台（http：//zfcg.czt.zj.gov.cn）获取（下载）招标文件，并于</w:t>
                      </w:r>
                      <w:r>
                        <w:rPr>
                          <w:rFonts w:hint="eastAsia" w:ascii="宋体" w:hAnsi="宋体" w:eastAsia="宋体" w:cs="宋体"/>
                          <w:color w:val="auto"/>
                          <w:sz w:val="24"/>
                          <w:szCs w:val="24"/>
                          <w:lang w:eastAsia="zh-CN"/>
                        </w:rPr>
                        <w:t>2022年8月1日  14:30</w:t>
                      </w:r>
                      <w:r>
                        <w:rPr>
                          <w:rFonts w:hint="eastAsia" w:ascii="宋体" w:hAnsi="宋体" w:eastAsia="宋体" w:cs="宋体"/>
                          <w:color w:val="auto"/>
                          <w:sz w:val="24"/>
                          <w:szCs w:val="24"/>
                        </w:rPr>
                        <w:t>（</w:t>
                      </w:r>
                      <w:r>
                        <w:rPr>
                          <w:rFonts w:hint="eastAsia" w:ascii="宋体" w:hAnsi="宋体" w:eastAsia="宋体" w:cs="宋体"/>
                          <w:sz w:val="24"/>
                          <w:szCs w:val="24"/>
                        </w:rPr>
                        <w:t>北京时间）前递交（上传）投标文件。</w:t>
                      </w:r>
                    </w:p>
                  </w:txbxContent>
                </v:textbox>
                <w10:wrap type="topAndBottom"/>
              </v:shape>
            </w:pict>
          </mc:Fallback>
        </mc:AlternateContent>
      </w:r>
      <w:r>
        <w:rPr>
          <w:rFonts w:hint="eastAsia" w:ascii="宋体" w:hAnsi="宋体" w:eastAsia="宋体" w:cs="宋体"/>
          <w:b/>
          <w:bCs/>
          <w:color w:val="auto"/>
          <w:sz w:val="24"/>
          <w:szCs w:val="24"/>
          <w:highlight w:val="none"/>
        </w:rPr>
        <w:t>一、项目基本情况</w:t>
      </w:r>
    </w:p>
    <w:p>
      <w:pPr>
        <w:bidi w:val="0"/>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项目编号：</w:t>
      </w:r>
      <w:r>
        <w:rPr>
          <w:rFonts w:hint="eastAsia" w:ascii="宋体" w:hAnsi="宋体" w:cs="宋体"/>
          <w:color w:val="auto"/>
          <w:sz w:val="24"/>
          <w:szCs w:val="24"/>
          <w:highlight w:val="none"/>
          <w:lang w:eastAsia="zh-CN"/>
        </w:rPr>
        <w:t>ZJWS2022-HYCMJT09</w:t>
      </w:r>
    </w:p>
    <w:p>
      <w:pPr>
        <w:bidi w:val="0"/>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项目名称：</w:t>
      </w:r>
      <w:r>
        <w:rPr>
          <w:rFonts w:hint="eastAsia" w:ascii="宋体" w:hAnsi="宋体" w:cs="宋体"/>
          <w:color w:val="auto"/>
          <w:sz w:val="24"/>
          <w:szCs w:val="24"/>
          <w:highlight w:val="none"/>
          <w:lang w:eastAsia="zh-CN"/>
        </w:rPr>
        <w:t>“数字黄岩”智慧城市基础设施提升工程--智慧公安（基层治理能力提升工程-行指舆情）</w:t>
      </w:r>
    </w:p>
    <w:p>
      <w:pPr>
        <w:bidi w:val="0"/>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预算金额（元）：</w:t>
      </w:r>
      <w:r>
        <w:rPr>
          <w:rFonts w:hint="eastAsia" w:ascii="宋体" w:hAnsi="宋体" w:cs="宋体"/>
          <w:color w:val="auto"/>
          <w:sz w:val="24"/>
          <w:szCs w:val="24"/>
          <w:highlight w:val="none"/>
          <w:lang w:eastAsia="zh-CN"/>
        </w:rPr>
        <w:t>5545264.00</w:t>
      </w:r>
    </w:p>
    <w:p>
      <w:pPr>
        <w:bidi w:val="0"/>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最高限价（元）：</w:t>
      </w:r>
      <w:r>
        <w:rPr>
          <w:rFonts w:hint="eastAsia" w:ascii="宋体" w:hAnsi="宋体" w:cs="宋体"/>
          <w:color w:val="auto"/>
          <w:sz w:val="24"/>
          <w:szCs w:val="24"/>
          <w:highlight w:val="none"/>
          <w:lang w:eastAsia="zh-CN"/>
        </w:rPr>
        <w:t>5545264.00</w:t>
      </w:r>
    </w:p>
    <w:p>
      <w:pPr>
        <w:bidi w:val="0"/>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采购需求：</w:t>
      </w:r>
    </w:p>
    <w:p>
      <w:pPr>
        <w:bidi w:val="0"/>
        <w:spacing w:line="360" w:lineRule="auto"/>
        <w:ind w:firstLine="480" w:firstLineChars="200"/>
        <w:rPr>
          <w:rFonts w:hint="eastAsia" w:ascii="宋体" w:hAnsi="宋体" w:eastAsia="宋体" w:cs="宋体"/>
          <w:color w:val="auto"/>
          <w:sz w:val="24"/>
          <w:szCs w:val="24"/>
          <w:highlight w:val="none"/>
          <w:lang w:eastAsia="zh-CN"/>
        </w:rPr>
      </w:pPr>
    </w:p>
    <w:p>
      <w:pPr>
        <w:bidi w:val="0"/>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标项名称：</w:t>
      </w:r>
      <w:r>
        <w:rPr>
          <w:rFonts w:hint="eastAsia" w:ascii="宋体" w:hAnsi="宋体" w:cs="宋体"/>
          <w:color w:val="auto"/>
          <w:sz w:val="24"/>
          <w:szCs w:val="24"/>
          <w:highlight w:val="none"/>
          <w:lang w:eastAsia="zh-CN"/>
        </w:rPr>
        <w:t>“数字黄岩”智慧城市基础设施提升工程--智慧公安（基层治理能力提升工程-行指舆情）</w:t>
      </w:r>
    </w:p>
    <w:p>
      <w:pPr>
        <w:bidi w:val="0"/>
        <w:spacing w:line="360" w:lineRule="auto"/>
        <w:ind w:firstLine="480" w:firstLineChars="20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数量：</w:t>
      </w:r>
      <w:r>
        <w:rPr>
          <w:rFonts w:hint="eastAsia" w:ascii="宋体" w:hAnsi="宋体" w:cs="宋体"/>
          <w:color w:val="auto"/>
          <w:sz w:val="24"/>
          <w:szCs w:val="24"/>
          <w:highlight w:val="none"/>
          <w:lang w:val="en-US" w:eastAsia="zh-CN"/>
        </w:rPr>
        <w:t>1批</w:t>
      </w:r>
    </w:p>
    <w:p>
      <w:pPr>
        <w:bidi w:val="0"/>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预算金额（元）：</w:t>
      </w:r>
      <w:r>
        <w:rPr>
          <w:rFonts w:hint="eastAsia" w:ascii="宋体" w:hAnsi="宋体" w:cs="宋体"/>
          <w:color w:val="auto"/>
          <w:sz w:val="24"/>
          <w:szCs w:val="24"/>
          <w:highlight w:val="none"/>
          <w:lang w:eastAsia="zh-CN"/>
        </w:rPr>
        <w:t>5545264.00</w:t>
      </w:r>
    </w:p>
    <w:p>
      <w:pPr>
        <w:bidi w:val="0"/>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简要规格描述或项目基本概况介绍、用途：具体详见招标需求。</w:t>
      </w:r>
    </w:p>
    <w:p>
      <w:pPr>
        <w:bidi w:val="0"/>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备注：无</w:t>
      </w:r>
    </w:p>
    <w:p>
      <w:pPr>
        <w:bidi w:val="0"/>
        <w:spacing w:line="360" w:lineRule="auto"/>
        <w:ind w:firstLine="480" w:firstLineChars="200"/>
        <w:rPr>
          <w:rFonts w:hint="eastAsia" w:ascii="宋体" w:hAnsi="宋体" w:eastAsia="宋体" w:cs="宋体"/>
          <w:color w:val="auto"/>
          <w:sz w:val="24"/>
          <w:szCs w:val="24"/>
          <w:highlight w:val="none"/>
          <w:lang w:eastAsia="zh-CN"/>
        </w:rPr>
      </w:pPr>
    </w:p>
    <w:p>
      <w:pPr>
        <w:bidi w:val="0"/>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合同履约期限：</w:t>
      </w:r>
      <w:r>
        <w:rPr>
          <w:rFonts w:hint="eastAsia" w:ascii="宋体" w:hAnsi="宋体" w:eastAsia="宋体" w:cs="宋体"/>
          <w:color w:val="auto"/>
          <w:sz w:val="24"/>
          <w:szCs w:val="24"/>
          <w:highlight w:val="none"/>
        </w:rPr>
        <w:t>建设期：合同签订后90天内完成供货、安装、调试、验收等工作。</w:t>
      </w:r>
    </w:p>
    <w:p>
      <w:pPr>
        <w:bidi w:val="0"/>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本项目（</w:t>
      </w:r>
      <w:r>
        <w:rPr>
          <w:rFonts w:hint="eastAsia" w:ascii="宋体" w:hAnsi="宋体" w:cs="宋体"/>
          <w:color w:val="auto"/>
          <w:sz w:val="24"/>
          <w:szCs w:val="24"/>
          <w:highlight w:val="none"/>
          <w:lang w:val="en-US" w:eastAsia="zh-CN"/>
        </w:rPr>
        <w:t>是</w:t>
      </w:r>
      <w:r>
        <w:rPr>
          <w:rFonts w:hint="eastAsia" w:ascii="宋体" w:hAnsi="宋体" w:eastAsia="宋体" w:cs="宋体"/>
          <w:color w:val="auto"/>
          <w:sz w:val="24"/>
          <w:szCs w:val="24"/>
          <w:highlight w:val="none"/>
          <w:lang w:eastAsia="zh-CN"/>
        </w:rPr>
        <w:t>）接受联合体投标。</w:t>
      </w:r>
    </w:p>
    <w:p>
      <w:pPr>
        <w:bidi w:val="0"/>
        <w:spacing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二、申请人的资格要求：</w:t>
      </w:r>
    </w:p>
    <w:p>
      <w:pPr>
        <w:bidi w:val="0"/>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1.满足《中华人民共和国政府采购法》第二十二条规定；未被“信用中国”（www.creditchina.gov.cn</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lang w:eastAsia="zh-CN"/>
        </w:rPr>
        <w:t>、中国政府采购网（www.ccgp.gov.cn）列入失信被执行人、重大税收违法案件当事人名单、政府采购严重违法失信行为记录名单。</w:t>
      </w:r>
    </w:p>
    <w:p>
      <w:pPr>
        <w:bidi w:val="0"/>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2.落实政府采购政策需满足的资格要求：</w:t>
      </w:r>
      <w:r>
        <w:rPr>
          <w:rFonts w:hint="eastAsia" w:ascii="宋体" w:hAnsi="宋体" w:cs="宋体"/>
          <w:color w:val="auto"/>
          <w:sz w:val="24"/>
          <w:szCs w:val="24"/>
          <w:highlight w:val="none"/>
          <w:lang w:val="en-US" w:eastAsia="zh-CN"/>
        </w:rPr>
        <w:t>无</w:t>
      </w:r>
      <w:r>
        <w:rPr>
          <w:rFonts w:hint="eastAsia" w:ascii="宋体" w:hAnsi="宋体" w:eastAsia="宋体" w:cs="宋体"/>
          <w:color w:val="auto"/>
          <w:sz w:val="24"/>
          <w:szCs w:val="24"/>
          <w:highlight w:val="none"/>
          <w:lang w:eastAsia="zh-CN"/>
        </w:rPr>
        <w:t>。</w:t>
      </w:r>
    </w:p>
    <w:p>
      <w:pPr>
        <w:bidi w:val="0"/>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3.本项目的特定资格要求：投标人具备电子与智能化工程专业承包资质二级及以上。</w:t>
      </w:r>
    </w:p>
    <w:p>
      <w:pPr>
        <w:bidi w:val="0"/>
        <w:spacing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三、获取招标文件</w:t>
      </w:r>
    </w:p>
    <w:p>
      <w:pPr>
        <w:bidi w:val="0"/>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时间：/至2022年8月1日，每天上午00:00至12:00，下午12:00至23:59（北京时间，线上获取法定节假日均可，线下获取文件法定节假日除外）</w:t>
      </w:r>
    </w:p>
    <w:p>
      <w:pPr>
        <w:bidi w:val="0"/>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地点（网址）：政采云平台（http：//zfcg.czt.zj.gov.cn）</w:t>
      </w:r>
    </w:p>
    <w:p>
      <w:pPr>
        <w:bidi w:val="0"/>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方式：供应商登录政采云平台https://www.zcygov.cn/在线申请获取采购文件（进入“项目采购”应用，在获取采购文件菜单中选择项目，申请获取采购文件）</w:t>
      </w:r>
    </w:p>
    <w:p>
      <w:pPr>
        <w:bidi w:val="0"/>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售价（元）：0</w:t>
      </w:r>
    </w:p>
    <w:p>
      <w:pPr>
        <w:bidi w:val="0"/>
        <w:spacing w:line="360" w:lineRule="auto"/>
        <w:rPr>
          <w:rFonts w:hint="eastAsia" w:ascii="宋体" w:hAnsi="宋体" w:eastAsia="宋体" w:cs="宋体"/>
          <w:b/>
          <w:bCs/>
          <w:color w:val="auto"/>
          <w:sz w:val="24"/>
          <w:szCs w:val="24"/>
          <w:highlight w:val="none"/>
        </w:rPr>
      </w:pPr>
      <w:r>
        <w:rPr>
          <w:rFonts w:hint="eastAsia" w:ascii="宋体" w:hAnsi="宋体" w:cs="宋体"/>
          <w:b/>
          <w:bCs/>
          <w:color w:val="auto"/>
          <w:sz w:val="24"/>
          <w:szCs w:val="24"/>
          <w:highlight w:val="none"/>
          <w:lang w:eastAsia="zh-CN"/>
        </w:rPr>
        <w:t>四、</w:t>
      </w:r>
      <w:r>
        <w:rPr>
          <w:rFonts w:hint="eastAsia" w:ascii="宋体" w:hAnsi="宋体" w:eastAsia="宋体" w:cs="宋体"/>
          <w:b/>
          <w:bCs/>
          <w:color w:val="auto"/>
          <w:sz w:val="24"/>
          <w:szCs w:val="24"/>
          <w:highlight w:val="none"/>
        </w:rPr>
        <w:t>提交投标文件截止时间、开标时间和地点</w:t>
      </w:r>
    </w:p>
    <w:p>
      <w:pPr>
        <w:bidi w:val="0"/>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提交投标文件截止时间：2022年8月1日  14:30（北京时间）</w:t>
      </w:r>
    </w:p>
    <w:p>
      <w:pPr>
        <w:bidi w:val="0"/>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投标地点（网址）：电子加密投标文件上传至：政府采购云平台（www.zcygov.cn</w:t>
      </w:r>
      <w:r>
        <w:rPr>
          <w:rFonts w:hint="eastAsia" w:ascii="宋体" w:hAnsi="宋体" w:cs="宋体"/>
          <w:color w:val="auto"/>
          <w:sz w:val="24"/>
          <w:szCs w:val="24"/>
          <w:highlight w:val="none"/>
          <w:lang w:eastAsia="zh-CN"/>
        </w:rPr>
        <w:t>）</w:t>
      </w:r>
    </w:p>
    <w:p>
      <w:pPr>
        <w:bidi w:val="0"/>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开标时间：2022年8月1日  14:30</w:t>
      </w:r>
    </w:p>
    <w:p>
      <w:pPr>
        <w:bidi w:val="0"/>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开标地点（网址）：</w:t>
      </w:r>
      <w:r>
        <w:rPr>
          <w:rFonts w:hint="eastAsia" w:ascii="宋体" w:hAnsi="宋体" w:cs="宋体"/>
          <w:color w:val="auto"/>
          <w:sz w:val="24"/>
          <w:szCs w:val="24"/>
          <w:highlight w:val="none"/>
          <w:lang w:eastAsia="zh-CN"/>
        </w:rPr>
        <w:t>台州市黄岩区人民政府采购中心（黄岩区直下街69号3号楼203室）</w:t>
      </w:r>
    </w:p>
    <w:p>
      <w:pPr>
        <w:bidi w:val="0"/>
        <w:spacing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五、公告期限</w:t>
      </w:r>
    </w:p>
    <w:p>
      <w:pPr>
        <w:bidi w:val="0"/>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自本公告发布之日起5个工作日。</w:t>
      </w:r>
    </w:p>
    <w:p>
      <w:pPr>
        <w:bidi w:val="0"/>
        <w:spacing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六、其他补充事宜</w:t>
      </w:r>
    </w:p>
    <w:p>
      <w:pPr>
        <w:bidi w:val="0"/>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pPr>
        <w:bidi w:val="0"/>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bidi w:val="0"/>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3.供应商认为采购文件使自己的权益受到损害的，可以自获取采购文件之日或者采购文件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bidi w:val="0"/>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lang w:eastAsia="zh-CN"/>
        </w:rPr>
        <w:t>其他事项：</w:t>
      </w:r>
    </w:p>
    <w:p>
      <w:pPr>
        <w:bidi w:val="0"/>
        <w:spacing w:line="360" w:lineRule="auto"/>
        <w:ind w:firstLine="720" w:firstLineChars="3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4.1本项目实行电子投标，投标人应按照本项目招标文件和政采云平台的要求编制、加密并递交投标文件。投标人在使用系统进行投标的过程中遇到涉及平台使用的任何问题，可致电政采云平台技术支持热线咨询，联系方式：400-881-7190。</w:t>
      </w:r>
    </w:p>
    <w:p>
      <w:pPr>
        <w:bidi w:val="0"/>
        <w:spacing w:line="360" w:lineRule="auto"/>
        <w:ind w:firstLine="720" w:firstLineChars="3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4.2投标人通过政采云平台电子投标工具制作投标文件，电子投标工具请供应商自行前往浙江政府采购网下载并安装（下载网址：http://zfcg.czt.zj.gov.cn/bidClientTemplate/2019-05-27/12946.html）。</w:t>
      </w:r>
    </w:p>
    <w:p>
      <w:pPr>
        <w:bidi w:val="0"/>
        <w:spacing w:line="360" w:lineRule="auto"/>
        <w:ind w:firstLine="720" w:firstLineChars="3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4.3投标人应在开标前完成CA数字证书办理。（办理流程详见http://zfcg.czt.zj.gov.cn/bidClientTemplate/2019-05-27/12945.html，完成CA数字证书办理预计一周左右，请各投标人自行把握时间）</w:t>
      </w:r>
    </w:p>
    <w:p>
      <w:pPr>
        <w:bidi w:val="0"/>
        <w:spacing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七、对本次采购提出询问、质疑、投诉，请按以下方式联系</w:t>
      </w:r>
    </w:p>
    <w:p>
      <w:pPr>
        <w:bidi w:val="0"/>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1.采购人信息</w:t>
      </w:r>
    </w:p>
    <w:p>
      <w:pPr>
        <w:bidi w:val="0"/>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名</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eastAsia="zh-CN"/>
        </w:rPr>
        <w:t>称：</w:t>
      </w:r>
      <w:r>
        <w:rPr>
          <w:rFonts w:hint="eastAsia" w:ascii="宋体" w:hAnsi="宋体" w:cs="宋体"/>
          <w:color w:val="auto"/>
          <w:sz w:val="24"/>
          <w:szCs w:val="24"/>
          <w:highlight w:val="none"/>
          <w:lang w:eastAsia="zh-CN"/>
        </w:rPr>
        <w:t>台州市黄岩区传媒集团（台州市黄岩区广播电视台）</w:t>
      </w:r>
    </w:p>
    <w:p>
      <w:pPr>
        <w:bidi w:val="0"/>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地</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eastAsia="zh-CN"/>
        </w:rPr>
        <w:t>址：</w:t>
      </w:r>
      <w:r>
        <w:rPr>
          <w:rFonts w:hint="eastAsia" w:ascii="宋体" w:hAnsi="宋体" w:cs="宋体"/>
          <w:color w:val="auto"/>
          <w:sz w:val="24"/>
          <w:szCs w:val="24"/>
          <w:highlight w:val="none"/>
          <w:lang w:eastAsia="zh-CN"/>
        </w:rPr>
        <w:t>台州市黄岩区环城北路1号</w:t>
      </w:r>
    </w:p>
    <w:p>
      <w:pPr>
        <w:bidi w:val="0"/>
        <w:spacing w:line="360" w:lineRule="auto"/>
        <w:ind w:firstLine="480" w:firstLineChars="20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传    真：</w:t>
      </w:r>
      <w:r>
        <w:rPr>
          <w:rFonts w:hint="eastAsia" w:ascii="宋体" w:hAnsi="宋体" w:cs="宋体"/>
          <w:color w:val="auto"/>
          <w:sz w:val="24"/>
          <w:szCs w:val="24"/>
          <w:highlight w:val="none"/>
          <w:lang w:val="en-US" w:eastAsia="zh-CN"/>
        </w:rPr>
        <w:t>/</w:t>
      </w:r>
    </w:p>
    <w:p>
      <w:pPr>
        <w:bidi w:val="0"/>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项目联系人（询问）：伍利平</w:t>
      </w:r>
    </w:p>
    <w:p>
      <w:pPr>
        <w:bidi w:val="0"/>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项目联系方式（询问）：0576-84765087</w:t>
      </w:r>
    </w:p>
    <w:p>
      <w:pPr>
        <w:bidi w:val="0"/>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质疑联系人：张飞</w:t>
      </w:r>
    </w:p>
    <w:p>
      <w:pPr>
        <w:bidi w:val="0"/>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质疑联系方式：0576-84765098</w:t>
      </w:r>
    </w:p>
    <w:p>
      <w:pPr>
        <w:bidi w:val="0"/>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2.采购代理机构信息</w:t>
      </w:r>
    </w:p>
    <w:p>
      <w:pPr>
        <w:bidi w:val="0"/>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名</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eastAsia="zh-CN"/>
        </w:rPr>
        <w:t>称：浙江五石中正工程咨询有限公司</w:t>
      </w:r>
    </w:p>
    <w:p>
      <w:pPr>
        <w:bidi w:val="0"/>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地</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eastAsia="zh-CN"/>
        </w:rPr>
        <w:t>址：杭州市拱墅区白石路318号中国（杭州）人力资源服务产业园北楼512室</w:t>
      </w:r>
    </w:p>
    <w:p>
      <w:pPr>
        <w:bidi w:val="0"/>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传</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eastAsia="zh-CN"/>
        </w:rPr>
        <w:t>真：0571-85342190</w:t>
      </w:r>
    </w:p>
    <w:p>
      <w:pPr>
        <w:bidi w:val="0"/>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项目联系人（询问）：周丽</w:t>
      </w:r>
    </w:p>
    <w:p>
      <w:pPr>
        <w:bidi w:val="0"/>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项目联系方式（询问）：0576-88781913</w:t>
      </w:r>
    </w:p>
    <w:p>
      <w:pPr>
        <w:bidi w:val="0"/>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质疑联系人：</w:t>
      </w:r>
      <w:r>
        <w:rPr>
          <w:rFonts w:hint="eastAsia" w:ascii="宋体" w:hAnsi="宋体" w:eastAsia="宋体" w:cs="宋体"/>
          <w:color w:val="auto"/>
          <w:sz w:val="24"/>
          <w:szCs w:val="24"/>
          <w:highlight w:val="none"/>
          <w:lang w:val="en-US" w:eastAsia="zh-CN"/>
        </w:rPr>
        <w:t>徐少媚</w:t>
      </w:r>
    </w:p>
    <w:p>
      <w:pPr>
        <w:bidi w:val="0"/>
        <w:spacing w:line="360" w:lineRule="auto"/>
        <w:ind w:firstLine="480" w:firstLineChars="20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质疑联系方式：057</w:t>
      </w:r>
      <w:r>
        <w:rPr>
          <w:rFonts w:hint="eastAsia" w:ascii="宋体" w:hAnsi="宋体" w:eastAsia="宋体" w:cs="宋体"/>
          <w:color w:val="auto"/>
          <w:sz w:val="24"/>
          <w:szCs w:val="24"/>
          <w:highlight w:val="none"/>
          <w:lang w:val="en-US" w:eastAsia="zh-CN"/>
        </w:rPr>
        <w:t>6-88785265</w:t>
      </w:r>
    </w:p>
    <w:p>
      <w:pPr>
        <w:bidi w:val="0"/>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eastAsia="zh-CN"/>
        </w:rPr>
        <w:t>同级政府采购监督管理部门</w:t>
      </w:r>
    </w:p>
    <w:p>
      <w:pPr>
        <w:bidi w:val="0"/>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名</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eastAsia="zh-CN"/>
        </w:rPr>
        <w:t>称：台州市黄岩区财政局政府采购监管科</w:t>
      </w:r>
    </w:p>
    <w:p>
      <w:pPr>
        <w:bidi w:val="0"/>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地</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eastAsia="zh-CN"/>
        </w:rPr>
        <w:t>址：台州市黄岩区劳动南路289号</w:t>
      </w:r>
    </w:p>
    <w:p>
      <w:pPr>
        <w:bidi w:val="0"/>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联</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eastAsia="zh-CN"/>
        </w:rPr>
        <w:t>系</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eastAsia="zh-CN"/>
        </w:rPr>
        <w:t>人：宋先生</w:t>
      </w:r>
    </w:p>
    <w:p>
      <w:pPr>
        <w:bidi w:val="0"/>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监督投诉电话：0576-84222959</w:t>
      </w:r>
    </w:p>
    <w:p>
      <w:pPr>
        <w:bidi w:val="0"/>
        <w:spacing w:line="360" w:lineRule="auto"/>
        <w:rPr>
          <w:rFonts w:hint="eastAsia" w:ascii="宋体" w:hAnsi="宋体" w:eastAsia="宋体" w:cs="宋体"/>
          <w:b/>
          <w:bCs/>
          <w:color w:val="auto"/>
          <w:sz w:val="24"/>
          <w:szCs w:val="24"/>
          <w:highlight w:val="none"/>
        </w:rPr>
      </w:pPr>
      <w:r>
        <w:rPr>
          <w:rFonts w:hint="eastAsia" w:ascii="宋体" w:hAnsi="宋体" w:cs="宋体"/>
          <w:b/>
          <w:bCs/>
          <w:color w:val="auto"/>
          <w:sz w:val="24"/>
          <w:szCs w:val="24"/>
          <w:highlight w:val="none"/>
          <w:lang w:val="en-US" w:eastAsia="zh-CN"/>
        </w:rPr>
        <w:t>八、</w:t>
      </w:r>
      <w:r>
        <w:rPr>
          <w:rFonts w:hint="eastAsia" w:ascii="宋体" w:hAnsi="宋体" w:eastAsia="宋体" w:cs="宋体"/>
          <w:b/>
          <w:bCs/>
          <w:color w:val="auto"/>
          <w:sz w:val="24"/>
          <w:szCs w:val="24"/>
          <w:highlight w:val="none"/>
        </w:rPr>
        <w:t>其余事项：</w:t>
      </w:r>
    </w:p>
    <w:p>
      <w:pPr>
        <w:bidi w:val="0"/>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中标供应商如有融资需求，可使用以下银行的政采贷服务。</w:t>
      </w:r>
    </w:p>
    <w:tbl>
      <w:tblPr>
        <w:tblStyle w:val="20"/>
        <w:tblW w:w="81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8"/>
        <w:gridCol w:w="1500"/>
        <w:gridCol w:w="1290"/>
        <w:gridCol w:w="28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18" w:type="dxa"/>
            <w:noWrap w:val="0"/>
            <w:vAlign w:val="center"/>
          </w:tcPr>
          <w:p>
            <w:pPr>
              <w:bidi w:val="0"/>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银行</w:t>
            </w:r>
          </w:p>
        </w:tc>
        <w:tc>
          <w:tcPr>
            <w:tcW w:w="1500" w:type="dxa"/>
            <w:noWrap w:val="0"/>
            <w:vAlign w:val="center"/>
          </w:tcPr>
          <w:p>
            <w:pPr>
              <w:bidi w:val="0"/>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贷款年利率</w:t>
            </w:r>
          </w:p>
        </w:tc>
        <w:tc>
          <w:tcPr>
            <w:tcW w:w="1290" w:type="dxa"/>
            <w:noWrap w:val="0"/>
            <w:vAlign w:val="center"/>
          </w:tcPr>
          <w:p>
            <w:pPr>
              <w:bidi w:val="0"/>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联系人</w:t>
            </w:r>
          </w:p>
        </w:tc>
        <w:tc>
          <w:tcPr>
            <w:tcW w:w="2817" w:type="dxa"/>
            <w:noWrap w:val="0"/>
            <w:vAlign w:val="center"/>
          </w:tcPr>
          <w:p>
            <w:pPr>
              <w:bidi w:val="0"/>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18" w:type="dxa"/>
            <w:noWrap w:val="0"/>
            <w:vAlign w:val="center"/>
          </w:tcPr>
          <w:p>
            <w:pPr>
              <w:bidi w:val="0"/>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中国工商银行</w:t>
            </w:r>
          </w:p>
        </w:tc>
        <w:tc>
          <w:tcPr>
            <w:tcW w:w="1500" w:type="dxa"/>
            <w:noWrap w:val="0"/>
            <w:vAlign w:val="center"/>
          </w:tcPr>
          <w:p>
            <w:pPr>
              <w:bidi w:val="0"/>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3.8%起</w:t>
            </w:r>
          </w:p>
        </w:tc>
        <w:tc>
          <w:tcPr>
            <w:tcW w:w="1290" w:type="dxa"/>
            <w:noWrap w:val="0"/>
            <w:vAlign w:val="center"/>
          </w:tcPr>
          <w:p>
            <w:pPr>
              <w:bidi w:val="0"/>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王霖</w:t>
            </w:r>
          </w:p>
        </w:tc>
        <w:tc>
          <w:tcPr>
            <w:tcW w:w="2817" w:type="dxa"/>
            <w:noWrap w:val="0"/>
            <w:vAlign w:val="center"/>
          </w:tcPr>
          <w:p>
            <w:pPr>
              <w:bidi w:val="0"/>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88588246/13857654562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18" w:type="dxa"/>
            <w:noWrap w:val="0"/>
            <w:vAlign w:val="center"/>
          </w:tcPr>
          <w:p>
            <w:pPr>
              <w:bidi w:val="0"/>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中国农业银行</w:t>
            </w:r>
          </w:p>
        </w:tc>
        <w:tc>
          <w:tcPr>
            <w:tcW w:w="1500" w:type="dxa"/>
            <w:noWrap w:val="0"/>
            <w:vAlign w:val="center"/>
          </w:tcPr>
          <w:p>
            <w:pPr>
              <w:bidi w:val="0"/>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3.8%起</w:t>
            </w:r>
          </w:p>
        </w:tc>
        <w:tc>
          <w:tcPr>
            <w:tcW w:w="1290" w:type="dxa"/>
            <w:noWrap w:val="0"/>
            <w:vAlign w:val="center"/>
          </w:tcPr>
          <w:p>
            <w:pPr>
              <w:bidi w:val="0"/>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龚盛</w:t>
            </w:r>
          </w:p>
        </w:tc>
        <w:tc>
          <w:tcPr>
            <w:tcW w:w="2817" w:type="dxa"/>
            <w:noWrap w:val="0"/>
            <w:vAlign w:val="center"/>
          </w:tcPr>
          <w:p>
            <w:pPr>
              <w:bidi w:val="0"/>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15858682216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18" w:type="dxa"/>
            <w:noWrap w:val="0"/>
            <w:vAlign w:val="center"/>
          </w:tcPr>
          <w:p>
            <w:pPr>
              <w:bidi w:val="0"/>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中国建设银行</w:t>
            </w:r>
          </w:p>
        </w:tc>
        <w:tc>
          <w:tcPr>
            <w:tcW w:w="1500" w:type="dxa"/>
            <w:noWrap w:val="0"/>
            <w:vAlign w:val="center"/>
          </w:tcPr>
          <w:p>
            <w:pPr>
              <w:bidi w:val="0"/>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3.8%起</w:t>
            </w:r>
          </w:p>
        </w:tc>
        <w:tc>
          <w:tcPr>
            <w:tcW w:w="1290" w:type="dxa"/>
            <w:noWrap w:val="0"/>
            <w:vAlign w:val="center"/>
          </w:tcPr>
          <w:p>
            <w:pPr>
              <w:bidi w:val="0"/>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梅晶晶</w:t>
            </w:r>
          </w:p>
        </w:tc>
        <w:tc>
          <w:tcPr>
            <w:tcW w:w="2817" w:type="dxa"/>
            <w:noWrap w:val="0"/>
            <w:vAlign w:val="center"/>
          </w:tcPr>
          <w:p>
            <w:pPr>
              <w:bidi w:val="0"/>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88525339/13736585303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18" w:type="dxa"/>
            <w:noWrap w:val="0"/>
            <w:vAlign w:val="center"/>
          </w:tcPr>
          <w:p>
            <w:pPr>
              <w:bidi w:val="0"/>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中国银行</w:t>
            </w:r>
          </w:p>
        </w:tc>
        <w:tc>
          <w:tcPr>
            <w:tcW w:w="1500" w:type="dxa"/>
            <w:noWrap w:val="0"/>
            <w:vAlign w:val="center"/>
          </w:tcPr>
          <w:p>
            <w:pPr>
              <w:bidi w:val="0"/>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3.75%起</w:t>
            </w:r>
          </w:p>
        </w:tc>
        <w:tc>
          <w:tcPr>
            <w:tcW w:w="1290" w:type="dxa"/>
            <w:noWrap w:val="0"/>
            <w:vAlign w:val="center"/>
          </w:tcPr>
          <w:p>
            <w:pPr>
              <w:bidi w:val="0"/>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任茜</w:t>
            </w:r>
          </w:p>
        </w:tc>
        <w:tc>
          <w:tcPr>
            <w:tcW w:w="2817" w:type="dxa"/>
            <w:noWrap w:val="0"/>
            <w:vAlign w:val="center"/>
          </w:tcPr>
          <w:p>
            <w:pPr>
              <w:bidi w:val="0"/>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13857695378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18" w:type="dxa"/>
            <w:noWrap w:val="0"/>
            <w:vAlign w:val="center"/>
          </w:tcPr>
          <w:p>
            <w:pPr>
              <w:bidi w:val="0"/>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浦发银行台州分行</w:t>
            </w:r>
          </w:p>
        </w:tc>
        <w:tc>
          <w:tcPr>
            <w:tcW w:w="1500" w:type="dxa"/>
            <w:noWrap w:val="0"/>
            <w:vAlign w:val="center"/>
          </w:tcPr>
          <w:p>
            <w:pPr>
              <w:bidi w:val="0"/>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4.05%起</w:t>
            </w:r>
          </w:p>
        </w:tc>
        <w:tc>
          <w:tcPr>
            <w:tcW w:w="1290" w:type="dxa"/>
            <w:noWrap w:val="0"/>
            <w:vAlign w:val="center"/>
          </w:tcPr>
          <w:p>
            <w:pPr>
              <w:bidi w:val="0"/>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王渊</w:t>
            </w:r>
          </w:p>
        </w:tc>
        <w:tc>
          <w:tcPr>
            <w:tcW w:w="2817" w:type="dxa"/>
            <w:noWrap w:val="0"/>
            <w:vAlign w:val="center"/>
          </w:tcPr>
          <w:p>
            <w:pPr>
              <w:bidi w:val="0"/>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13616676319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18" w:type="dxa"/>
            <w:noWrap w:val="0"/>
            <w:vAlign w:val="center"/>
          </w:tcPr>
          <w:p>
            <w:pPr>
              <w:bidi w:val="0"/>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浦发银行椒江分行</w:t>
            </w:r>
          </w:p>
        </w:tc>
        <w:tc>
          <w:tcPr>
            <w:tcW w:w="1500" w:type="dxa"/>
            <w:noWrap w:val="0"/>
            <w:vAlign w:val="center"/>
          </w:tcPr>
          <w:p>
            <w:pPr>
              <w:bidi w:val="0"/>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4.05%起</w:t>
            </w:r>
          </w:p>
        </w:tc>
        <w:tc>
          <w:tcPr>
            <w:tcW w:w="1290" w:type="dxa"/>
            <w:noWrap w:val="0"/>
            <w:vAlign w:val="center"/>
          </w:tcPr>
          <w:p>
            <w:pPr>
              <w:bidi w:val="0"/>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孙瑞华</w:t>
            </w:r>
          </w:p>
        </w:tc>
        <w:tc>
          <w:tcPr>
            <w:tcW w:w="2817" w:type="dxa"/>
            <w:noWrap w:val="0"/>
            <w:vAlign w:val="center"/>
          </w:tcPr>
          <w:p>
            <w:pPr>
              <w:bidi w:val="0"/>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13857688081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18" w:type="dxa"/>
            <w:noWrap w:val="0"/>
            <w:vAlign w:val="center"/>
          </w:tcPr>
          <w:p>
            <w:pPr>
              <w:bidi w:val="0"/>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交通银行台州分行</w:t>
            </w:r>
          </w:p>
        </w:tc>
        <w:tc>
          <w:tcPr>
            <w:tcW w:w="1500" w:type="dxa"/>
            <w:noWrap w:val="0"/>
            <w:vAlign w:val="center"/>
          </w:tcPr>
          <w:p>
            <w:pPr>
              <w:bidi w:val="0"/>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3.75%起</w:t>
            </w:r>
          </w:p>
        </w:tc>
        <w:tc>
          <w:tcPr>
            <w:tcW w:w="1290" w:type="dxa"/>
            <w:noWrap w:val="0"/>
            <w:vAlign w:val="center"/>
          </w:tcPr>
          <w:p>
            <w:pPr>
              <w:bidi w:val="0"/>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周翔宇</w:t>
            </w:r>
          </w:p>
        </w:tc>
        <w:tc>
          <w:tcPr>
            <w:tcW w:w="2817" w:type="dxa"/>
            <w:noWrap w:val="0"/>
            <w:vAlign w:val="center"/>
          </w:tcPr>
          <w:p>
            <w:pPr>
              <w:bidi w:val="0"/>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13867697018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18" w:type="dxa"/>
            <w:noWrap w:val="0"/>
            <w:vAlign w:val="center"/>
          </w:tcPr>
          <w:p>
            <w:pPr>
              <w:bidi w:val="0"/>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招商银行台州分行</w:t>
            </w:r>
          </w:p>
        </w:tc>
        <w:tc>
          <w:tcPr>
            <w:tcW w:w="1500" w:type="dxa"/>
            <w:noWrap w:val="0"/>
            <w:vAlign w:val="center"/>
          </w:tcPr>
          <w:p>
            <w:pPr>
              <w:bidi w:val="0"/>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4.32%起</w:t>
            </w:r>
          </w:p>
        </w:tc>
        <w:tc>
          <w:tcPr>
            <w:tcW w:w="1290" w:type="dxa"/>
            <w:noWrap w:val="0"/>
            <w:vAlign w:val="center"/>
          </w:tcPr>
          <w:p>
            <w:pPr>
              <w:bidi w:val="0"/>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王海玲</w:t>
            </w:r>
          </w:p>
        </w:tc>
        <w:tc>
          <w:tcPr>
            <w:tcW w:w="2817" w:type="dxa"/>
            <w:noWrap w:val="0"/>
            <w:vAlign w:val="center"/>
          </w:tcPr>
          <w:p>
            <w:pPr>
              <w:bidi w:val="0"/>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13566413827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18" w:type="dxa"/>
            <w:noWrap w:val="0"/>
            <w:vAlign w:val="center"/>
          </w:tcPr>
          <w:p>
            <w:pPr>
              <w:bidi w:val="0"/>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浙商银行台州分行</w:t>
            </w:r>
          </w:p>
        </w:tc>
        <w:tc>
          <w:tcPr>
            <w:tcW w:w="1500" w:type="dxa"/>
            <w:noWrap w:val="0"/>
            <w:vAlign w:val="center"/>
          </w:tcPr>
          <w:p>
            <w:pPr>
              <w:bidi w:val="0"/>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5.01%起</w:t>
            </w:r>
          </w:p>
        </w:tc>
        <w:tc>
          <w:tcPr>
            <w:tcW w:w="1290" w:type="dxa"/>
            <w:noWrap w:val="0"/>
            <w:vAlign w:val="center"/>
          </w:tcPr>
          <w:p>
            <w:pPr>
              <w:bidi w:val="0"/>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章涉漪</w:t>
            </w:r>
          </w:p>
        </w:tc>
        <w:tc>
          <w:tcPr>
            <w:tcW w:w="2817" w:type="dxa"/>
            <w:noWrap w:val="0"/>
            <w:vAlign w:val="center"/>
          </w:tcPr>
          <w:p>
            <w:pPr>
              <w:bidi w:val="0"/>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81880185/13606681262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18" w:type="dxa"/>
            <w:noWrap w:val="0"/>
            <w:vAlign w:val="center"/>
          </w:tcPr>
          <w:p>
            <w:pPr>
              <w:bidi w:val="0"/>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中信银行台州分行</w:t>
            </w:r>
          </w:p>
        </w:tc>
        <w:tc>
          <w:tcPr>
            <w:tcW w:w="1500" w:type="dxa"/>
            <w:noWrap w:val="0"/>
            <w:vAlign w:val="center"/>
          </w:tcPr>
          <w:p>
            <w:pPr>
              <w:bidi w:val="0"/>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4.15%起</w:t>
            </w:r>
          </w:p>
        </w:tc>
        <w:tc>
          <w:tcPr>
            <w:tcW w:w="1290" w:type="dxa"/>
            <w:noWrap w:val="0"/>
            <w:vAlign w:val="center"/>
          </w:tcPr>
          <w:p>
            <w:pPr>
              <w:bidi w:val="0"/>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陈金园</w:t>
            </w:r>
          </w:p>
        </w:tc>
        <w:tc>
          <w:tcPr>
            <w:tcW w:w="2817" w:type="dxa"/>
            <w:noWrap w:val="0"/>
            <w:vAlign w:val="center"/>
          </w:tcPr>
          <w:p>
            <w:pPr>
              <w:bidi w:val="0"/>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13586052161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18" w:type="dxa"/>
            <w:noWrap w:val="0"/>
            <w:vAlign w:val="center"/>
          </w:tcPr>
          <w:p>
            <w:pPr>
              <w:bidi w:val="0"/>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华夏银行台州分行</w:t>
            </w:r>
          </w:p>
        </w:tc>
        <w:tc>
          <w:tcPr>
            <w:tcW w:w="1500" w:type="dxa"/>
            <w:noWrap w:val="0"/>
            <w:vAlign w:val="center"/>
          </w:tcPr>
          <w:p>
            <w:pPr>
              <w:bidi w:val="0"/>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4.5%起</w:t>
            </w:r>
          </w:p>
        </w:tc>
        <w:tc>
          <w:tcPr>
            <w:tcW w:w="1290" w:type="dxa"/>
            <w:noWrap w:val="0"/>
            <w:vAlign w:val="center"/>
          </w:tcPr>
          <w:p>
            <w:pPr>
              <w:bidi w:val="0"/>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邱明达</w:t>
            </w:r>
          </w:p>
        </w:tc>
        <w:tc>
          <w:tcPr>
            <w:tcW w:w="2817" w:type="dxa"/>
            <w:noWrap w:val="0"/>
            <w:vAlign w:val="center"/>
          </w:tcPr>
          <w:p>
            <w:pPr>
              <w:bidi w:val="0"/>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81871518/13736252233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18" w:type="dxa"/>
            <w:noWrap w:val="0"/>
            <w:vAlign w:val="center"/>
          </w:tcPr>
          <w:p>
            <w:pPr>
              <w:bidi w:val="0"/>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泰隆银行开发区支行</w:t>
            </w:r>
          </w:p>
        </w:tc>
        <w:tc>
          <w:tcPr>
            <w:tcW w:w="1500" w:type="dxa"/>
            <w:noWrap w:val="0"/>
            <w:vAlign w:val="center"/>
          </w:tcPr>
          <w:p>
            <w:pPr>
              <w:bidi w:val="0"/>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5.6%起</w:t>
            </w:r>
          </w:p>
        </w:tc>
        <w:tc>
          <w:tcPr>
            <w:tcW w:w="1290" w:type="dxa"/>
            <w:noWrap w:val="0"/>
            <w:vAlign w:val="center"/>
          </w:tcPr>
          <w:p>
            <w:pPr>
              <w:bidi w:val="0"/>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梁宛莉</w:t>
            </w:r>
          </w:p>
        </w:tc>
        <w:tc>
          <w:tcPr>
            <w:tcW w:w="2817" w:type="dxa"/>
            <w:noWrap w:val="0"/>
            <w:vAlign w:val="center"/>
          </w:tcPr>
          <w:p>
            <w:pPr>
              <w:bidi w:val="0"/>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13306869100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18" w:type="dxa"/>
            <w:noWrap w:val="0"/>
            <w:vAlign w:val="center"/>
          </w:tcPr>
          <w:p>
            <w:pPr>
              <w:bidi w:val="0"/>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民泰银行椒江支行</w:t>
            </w:r>
          </w:p>
        </w:tc>
        <w:tc>
          <w:tcPr>
            <w:tcW w:w="1500" w:type="dxa"/>
            <w:noWrap w:val="0"/>
            <w:vAlign w:val="center"/>
          </w:tcPr>
          <w:p>
            <w:pPr>
              <w:bidi w:val="0"/>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5.8%起</w:t>
            </w:r>
          </w:p>
        </w:tc>
        <w:tc>
          <w:tcPr>
            <w:tcW w:w="1290" w:type="dxa"/>
            <w:noWrap w:val="0"/>
            <w:vAlign w:val="center"/>
          </w:tcPr>
          <w:p>
            <w:pPr>
              <w:bidi w:val="0"/>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陈慧珠</w:t>
            </w:r>
          </w:p>
        </w:tc>
        <w:tc>
          <w:tcPr>
            <w:tcW w:w="2817" w:type="dxa"/>
            <w:noWrap w:val="0"/>
            <w:vAlign w:val="center"/>
          </w:tcPr>
          <w:p>
            <w:pPr>
              <w:bidi w:val="0"/>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13857699669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18" w:type="dxa"/>
            <w:noWrap w:val="0"/>
            <w:vAlign w:val="center"/>
          </w:tcPr>
          <w:p>
            <w:pPr>
              <w:bidi w:val="0"/>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绍兴银行台州分行</w:t>
            </w:r>
          </w:p>
        </w:tc>
        <w:tc>
          <w:tcPr>
            <w:tcW w:w="1500" w:type="dxa"/>
            <w:noWrap w:val="0"/>
            <w:vAlign w:val="center"/>
          </w:tcPr>
          <w:p>
            <w:pPr>
              <w:bidi w:val="0"/>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5.1%起</w:t>
            </w:r>
          </w:p>
        </w:tc>
        <w:tc>
          <w:tcPr>
            <w:tcW w:w="1290" w:type="dxa"/>
            <w:noWrap w:val="0"/>
            <w:vAlign w:val="center"/>
          </w:tcPr>
          <w:p>
            <w:pPr>
              <w:bidi w:val="0"/>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郭庭斌</w:t>
            </w:r>
          </w:p>
        </w:tc>
        <w:tc>
          <w:tcPr>
            <w:tcW w:w="2817" w:type="dxa"/>
            <w:noWrap w:val="0"/>
            <w:vAlign w:val="center"/>
          </w:tcPr>
          <w:p>
            <w:pPr>
              <w:bidi w:val="0"/>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15958633119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18" w:type="dxa"/>
            <w:noWrap w:val="0"/>
            <w:vAlign w:val="center"/>
          </w:tcPr>
          <w:p>
            <w:pPr>
              <w:bidi w:val="0"/>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温州银行台州分行</w:t>
            </w:r>
          </w:p>
        </w:tc>
        <w:tc>
          <w:tcPr>
            <w:tcW w:w="1500" w:type="dxa"/>
            <w:noWrap w:val="0"/>
            <w:vAlign w:val="center"/>
          </w:tcPr>
          <w:p>
            <w:pPr>
              <w:bidi w:val="0"/>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4.55%起</w:t>
            </w:r>
          </w:p>
        </w:tc>
        <w:tc>
          <w:tcPr>
            <w:tcW w:w="1290" w:type="dxa"/>
            <w:noWrap w:val="0"/>
            <w:vAlign w:val="center"/>
          </w:tcPr>
          <w:p>
            <w:pPr>
              <w:bidi w:val="0"/>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王晓波</w:t>
            </w:r>
          </w:p>
        </w:tc>
        <w:tc>
          <w:tcPr>
            <w:tcW w:w="2817" w:type="dxa"/>
            <w:noWrap w:val="0"/>
            <w:vAlign w:val="center"/>
          </w:tcPr>
          <w:p>
            <w:pPr>
              <w:bidi w:val="0"/>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15824005475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18" w:type="dxa"/>
            <w:noWrap w:val="0"/>
            <w:vAlign w:val="center"/>
          </w:tcPr>
          <w:p>
            <w:pPr>
              <w:bidi w:val="0"/>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平安银行台州分行</w:t>
            </w:r>
          </w:p>
        </w:tc>
        <w:tc>
          <w:tcPr>
            <w:tcW w:w="1500" w:type="dxa"/>
            <w:noWrap w:val="0"/>
            <w:vAlign w:val="center"/>
          </w:tcPr>
          <w:p>
            <w:pPr>
              <w:bidi w:val="0"/>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6.53%起</w:t>
            </w:r>
          </w:p>
        </w:tc>
        <w:tc>
          <w:tcPr>
            <w:tcW w:w="1290" w:type="dxa"/>
            <w:noWrap w:val="0"/>
            <w:vAlign w:val="center"/>
          </w:tcPr>
          <w:p>
            <w:pPr>
              <w:bidi w:val="0"/>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李俊丽</w:t>
            </w:r>
          </w:p>
        </w:tc>
        <w:tc>
          <w:tcPr>
            <w:tcW w:w="2817" w:type="dxa"/>
            <w:noWrap w:val="0"/>
            <w:vAlign w:val="center"/>
          </w:tcPr>
          <w:p>
            <w:pPr>
              <w:bidi w:val="0"/>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15906861025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18" w:type="dxa"/>
            <w:noWrap w:val="0"/>
            <w:vAlign w:val="center"/>
          </w:tcPr>
          <w:p>
            <w:pPr>
              <w:bidi w:val="0"/>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宁波银行台州分行</w:t>
            </w:r>
          </w:p>
        </w:tc>
        <w:tc>
          <w:tcPr>
            <w:tcW w:w="1500" w:type="dxa"/>
            <w:noWrap w:val="0"/>
            <w:vAlign w:val="center"/>
          </w:tcPr>
          <w:p>
            <w:pPr>
              <w:bidi w:val="0"/>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4.35%起</w:t>
            </w:r>
          </w:p>
        </w:tc>
        <w:tc>
          <w:tcPr>
            <w:tcW w:w="1290" w:type="dxa"/>
            <w:noWrap w:val="0"/>
            <w:vAlign w:val="center"/>
          </w:tcPr>
          <w:p>
            <w:pPr>
              <w:bidi w:val="0"/>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戴莉丽</w:t>
            </w:r>
          </w:p>
        </w:tc>
        <w:tc>
          <w:tcPr>
            <w:tcW w:w="2817" w:type="dxa"/>
            <w:noWrap w:val="0"/>
            <w:vAlign w:val="center"/>
          </w:tcPr>
          <w:p>
            <w:pPr>
              <w:bidi w:val="0"/>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13566627207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18" w:type="dxa"/>
            <w:noWrap w:val="0"/>
            <w:vAlign w:val="center"/>
          </w:tcPr>
          <w:p>
            <w:pPr>
              <w:bidi w:val="0"/>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金华银行台州分行</w:t>
            </w:r>
          </w:p>
        </w:tc>
        <w:tc>
          <w:tcPr>
            <w:tcW w:w="1500" w:type="dxa"/>
            <w:noWrap w:val="0"/>
            <w:vAlign w:val="center"/>
          </w:tcPr>
          <w:p>
            <w:pPr>
              <w:bidi w:val="0"/>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4.05%起</w:t>
            </w:r>
          </w:p>
        </w:tc>
        <w:tc>
          <w:tcPr>
            <w:tcW w:w="1290" w:type="dxa"/>
            <w:noWrap w:val="0"/>
            <w:vAlign w:val="center"/>
          </w:tcPr>
          <w:p>
            <w:pPr>
              <w:bidi w:val="0"/>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金雪婷</w:t>
            </w:r>
          </w:p>
        </w:tc>
        <w:tc>
          <w:tcPr>
            <w:tcW w:w="2817" w:type="dxa"/>
            <w:noWrap w:val="0"/>
            <w:vAlign w:val="center"/>
          </w:tcPr>
          <w:p>
            <w:pPr>
              <w:bidi w:val="0"/>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81886670/15968661569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18" w:type="dxa"/>
            <w:noWrap w:val="0"/>
            <w:vAlign w:val="center"/>
          </w:tcPr>
          <w:p>
            <w:pPr>
              <w:bidi w:val="0"/>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台州银行</w:t>
            </w:r>
          </w:p>
        </w:tc>
        <w:tc>
          <w:tcPr>
            <w:tcW w:w="1500" w:type="dxa"/>
            <w:noWrap w:val="0"/>
            <w:vAlign w:val="center"/>
          </w:tcPr>
          <w:p>
            <w:pPr>
              <w:bidi w:val="0"/>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5.6%起</w:t>
            </w:r>
          </w:p>
        </w:tc>
        <w:tc>
          <w:tcPr>
            <w:tcW w:w="1290" w:type="dxa"/>
            <w:noWrap w:val="0"/>
            <w:vAlign w:val="center"/>
          </w:tcPr>
          <w:p>
            <w:pPr>
              <w:bidi w:val="0"/>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洪婷</w:t>
            </w:r>
          </w:p>
        </w:tc>
        <w:tc>
          <w:tcPr>
            <w:tcW w:w="2817" w:type="dxa"/>
            <w:noWrap w:val="0"/>
            <w:vAlign w:val="center"/>
          </w:tcPr>
          <w:p>
            <w:pPr>
              <w:bidi w:val="0"/>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15858624999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18" w:type="dxa"/>
            <w:noWrap w:val="0"/>
            <w:vAlign w:val="center"/>
          </w:tcPr>
          <w:p>
            <w:pPr>
              <w:bidi w:val="0"/>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邮储银行台州分行</w:t>
            </w:r>
          </w:p>
        </w:tc>
        <w:tc>
          <w:tcPr>
            <w:tcW w:w="1500" w:type="dxa"/>
            <w:noWrap w:val="0"/>
            <w:vAlign w:val="center"/>
          </w:tcPr>
          <w:p>
            <w:pPr>
              <w:bidi w:val="0"/>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3.85%起</w:t>
            </w:r>
          </w:p>
        </w:tc>
        <w:tc>
          <w:tcPr>
            <w:tcW w:w="1290" w:type="dxa"/>
            <w:noWrap w:val="0"/>
            <w:vAlign w:val="center"/>
          </w:tcPr>
          <w:p>
            <w:pPr>
              <w:bidi w:val="0"/>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董庆</w:t>
            </w:r>
          </w:p>
        </w:tc>
        <w:tc>
          <w:tcPr>
            <w:tcW w:w="2817" w:type="dxa"/>
            <w:noWrap w:val="0"/>
            <w:vAlign w:val="center"/>
          </w:tcPr>
          <w:p>
            <w:pPr>
              <w:bidi w:val="0"/>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81888982/18957683735</w:t>
            </w:r>
          </w:p>
        </w:tc>
      </w:tr>
    </w:tbl>
    <w:p>
      <w:pPr>
        <w:bidi w:val="0"/>
        <w:spacing w:line="36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合同履约保函联系方式</w:t>
      </w:r>
    </w:p>
    <w:tbl>
      <w:tblPr>
        <w:tblStyle w:val="20"/>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3739"/>
        <w:gridCol w:w="2262"/>
        <w:gridCol w:w="985"/>
        <w:gridCol w:w="153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7" w:hRule="atLeast"/>
          <w:jc w:val="center"/>
        </w:trPr>
        <w:tc>
          <w:tcPr>
            <w:tcW w:w="3739" w:type="dxa"/>
            <w:noWrap w:val="0"/>
            <w:vAlign w:val="center"/>
          </w:tcPr>
          <w:p>
            <w:pPr>
              <w:bidi w:val="0"/>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保险公司名称</w:t>
            </w:r>
          </w:p>
        </w:tc>
        <w:tc>
          <w:tcPr>
            <w:tcW w:w="2262" w:type="dxa"/>
            <w:noWrap w:val="0"/>
            <w:vAlign w:val="center"/>
          </w:tcPr>
          <w:p>
            <w:pPr>
              <w:bidi w:val="0"/>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保费率</w:t>
            </w:r>
          </w:p>
        </w:tc>
        <w:tc>
          <w:tcPr>
            <w:tcW w:w="985" w:type="dxa"/>
            <w:noWrap w:val="0"/>
            <w:vAlign w:val="center"/>
          </w:tcPr>
          <w:p>
            <w:pPr>
              <w:bidi w:val="0"/>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联系人</w:t>
            </w:r>
          </w:p>
        </w:tc>
        <w:tc>
          <w:tcPr>
            <w:tcW w:w="1536" w:type="dxa"/>
            <w:noWrap w:val="0"/>
            <w:vAlign w:val="center"/>
          </w:tcPr>
          <w:p>
            <w:pPr>
              <w:bidi w:val="0"/>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739" w:type="dxa"/>
            <w:noWrap w:val="0"/>
            <w:vAlign w:val="center"/>
          </w:tcPr>
          <w:p>
            <w:pPr>
              <w:bidi w:val="0"/>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中国人寿财产保险股份有限公司台州中心支公司</w:t>
            </w:r>
          </w:p>
        </w:tc>
        <w:tc>
          <w:tcPr>
            <w:tcW w:w="2262" w:type="dxa"/>
            <w:noWrap w:val="0"/>
            <w:vAlign w:val="center"/>
          </w:tcPr>
          <w:p>
            <w:pPr>
              <w:bidi w:val="0"/>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年费率1%，最低保费500元</w:t>
            </w:r>
          </w:p>
        </w:tc>
        <w:tc>
          <w:tcPr>
            <w:tcW w:w="985" w:type="dxa"/>
            <w:noWrap w:val="0"/>
            <w:vAlign w:val="center"/>
          </w:tcPr>
          <w:p>
            <w:pPr>
              <w:bidi w:val="0"/>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徐凌</w:t>
            </w:r>
          </w:p>
        </w:tc>
        <w:tc>
          <w:tcPr>
            <w:tcW w:w="1536" w:type="dxa"/>
            <w:noWrap w:val="0"/>
            <w:vAlign w:val="center"/>
          </w:tcPr>
          <w:p>
            <w:pPr>
              <w:bidi w:val="0"/>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13905168070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739" w:type="dxa"/>
            <w:noWrap w:val="0"/>
            <w:vAlign w:val="center"/>
          </w:tcPr>
          <w:p>
            <w:pPr>
              <w:bidi w:val="0"/>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永诚财产保险股份有限公司台州分公司</w:t>
            </w:r>
          </w:p>
        </w:tc>
        <w:tc>
          <w:tcPr>
            <w:tcW w:w="2262" w:type="dxa"/>
            <w:noWrap w:val="0"/>
            <w:vAlign w:val="center"/>
          </w:tcPr>
          <w:p>
            <w:pPr>
              <w:bidi w:val="0"/>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年费率1%，最低保费1000元</w:t>
            </w:r>
          </w:p>
        </w:tc>
        <w:tc>
          <w:tcPr>
            <w:tcW w:w="985" w:type="dxa"/>
            <w:noWrap w:val="0"/>
            <w:vAlign w:val="center"/>
          </w:tcPr>
          <w:p>
            <w:pPr>
              <w:bidi w:val="0"/>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尹刚强</w:t>
            </w:r>
          </w:p>
        </w:tc>
        <w:tc>
          <w:tcPr>
            <w:tcW w:w="1536" w:type="dxa"/>
            <w:noWrap w:val="0"/>
            <w:vAlign w:val="center"/>
          </w:tcPr>
          <w:p>
            <w:pPr>
              <w:bidi w:val="0"/>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13750668184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739" w:type="dxa"/>
            <w:noWrap w:val="0"/>
            <w:vAlign w:val="center"/>
          </w:tcPr>
          <w:p>
            <w:pPr>
              <w:bidi w:val="0"/>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华泰财产保险有限公司台州中心支公司</w:t>
            </w:r>
          </w:p>
        </w:tc>
        <w:tc>
          <w:tcPr>
            <w:tcW w:w="2262" w:type="dxa"/>
            <w:noWrap w:val="0"/>
            <w:vAlign w:val="center"/>
          </w:tcPr>
          <w:p>
            <w:pPr>
              <w:bidi w:val="0"/>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年费率0.5%，最低保费1000元</w:t>
            </w:r>
          </w:p>
        </w:tc>
        <w:tc>
          <w:tcPr>
            <w:tcW w:w="985" w:type="dxa"/>
            <w:noWrap w:val="0"/>
            <w:vAlign w:val="center"/>
          </w:tcPr>
          <w:p>
            <w:pPr>
              <w:bidi w:val="0"/>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王灵芳</w:t>
            </w:r>
          </w:p>
        </w:tc>
        <w:tc>
          <w:tcPr>
            <w:tcW w:w="1536" w:type="dxa"/>
            <w:noWrap w:val="0"/>
            <w:vAlign w:val="center"/>
          </w:tcPr>
          <w:p>
            <w:pPr>
              <w:bidi w:val="0"/>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88869818 13586123199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739" w:type="dxa"/>
            <w:noWrap w:val="0"/>
            <w:vAlign w:val="center"/>
          </w:tcPr>
          <w:p>
            <w:pPr>
              <w:bidi w:val="0"/>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中国大地财产保险股份有限公司台州中心支公司</w:t>
            </w:r>
          </w:p>
        </w:tc>
        <w:tc>
          <w:tcPr>
            <w:tcW w:w="2262" w:type="dxa"/>
            <w:noWrap w:val="0"/>
            <w:vAlign w:val="center"/>
          </w:tcPr>
          <w:p>
            <w:pPr>
              <w:bidi w:val="0"/>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年费率1.5%，最低保费1000元</w:t>
            </w:r>
          </w:p>
        </w:tc>
        <w:tc>
          <w:tcPr>
            <w:tcW w:w="985" w:type="dxa"/>
            <w:noWrap w:val="0"/>
            <w:vAlign w:val="center"/>
          </w:tcPr>
          <w:p>
            <w:pPr>
              <w:bidi w:val="0"/>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徐小明</w:t>
            </w:r>
          </w:p>
        </w:tc>
        <w:tc>
          <w:tcPr>
            <w:tcW w:w="1536" w:type="dxa"/>
            <w:noWrap w:val="0"/>
            <w:vAlign w:val="center"/>
          </w:tcPr>
          <w:p>
            <w:pPr>
              <w:bidi w:val="0"/>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88552788      13968603112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739" w:type="dxa"/>
            <w:noWrap w:val="0"/>
            <w:vAlign w:val="center"/>
          </w:tcPr>
          <w:p>
            <w:pPr>
              <w:bidi w:val="0"/>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阳光保险台州中心支公司</w:t>
            </w:r>
          </w:p>
        </w:tc>
        <w:tc>
          <w:tcPr>
            <w:tcW w:w="2262" w:type="dxa"/>
            <w:noWrap w:val="0"/>
            <w:vAlign w:val="center"/>
          </w:tcPr>
          <w:p>
            <w:pPr>
              <w:bidi w:val="0"/>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年费率1%，最低保费500元</w:t>
            </w:r>
          </w:p>
        </w:tc>
        <w:tc>
          <w:tcPr>
            <w:tcW w:w="985" w:type="dxa"/>
            <w:noWrap w:val="0"/>
            <w:vAlign w:val="center"/>
          </w:tcPr>
          <w:p>
            <w:pPr>
              <w:bidi w:val="0"/>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林高明</w:t>
            </w:r>
          </w:p>
        </w:tc>
        <w:tc>
          <w:tcPr>
            <w:tcW w:w="1536" w:type="dxa"/>
            <w:noWrap w:val="0"/>
            <w:vAlign w:val="center"/>
          </w:tcPr>
          <w:p>
            <w:pPr>
              <w:bidi w:val="0"/>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15888682693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739" w:type="dxa"/>
            <w:noWrap w:val="0"/>
            <w:vAlign w:val="center"/>
          </w:tcPr>
          <w:p>
            <w:pPr>
              <w:bidi w:val="0"/>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中华联合财产保险股份有限公司台州中心支公司</w:t>
            </w:r>
          </w:p>
        </w:tc>
        <w:tc>
          <w:tcPr>
            <w:tcW w:w="2262" w:type="dxa"/>
            <w:noWrap w:val="0"/>
            <w:vAlign w:val="center"/>
          </w:tcPr>
          <w:p>
            <w:pPr>
              <w:bidi w:val="0"/>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年费率2%，最低保费500元</w:t>
            </w:r>
          </w:p>
        </w:tc>
        <w:tc>
          <w:tcPr>
            <w:tcW w:w="985" w:type="dxa"/>
            <w:noWrap w:val="0"/>
            <w:vAlign w:val="center"/>
          </w:tcPr>
          <w:p>
            <w:pPr>
              <w:bidi w:val="0"/>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王仙高</w:t>
            </w:r>
          </w:p>
        </w:tc>
        <w:tc>
          <w:tcPr>
            <w:tcW w:w="1536" w:type="dxa"/>
            <w:noWrap w:val="0"/>
            <w:vAlign w:val="center"/>
          </w:tcPr>
          <w:p>
            <w:pPr>
              <w:bidi w:val="0"/>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13858600221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739" w:type="dxa"/>
            <w:noWrap w:val="0"/>
            <w:vAlign w:val="center"/>
          </w:tcPr>
          <w:p>
            <w:pPr>
              <w:bidi w:val="0"/>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中国人民财产保险股份有限公司台州中心支公司</w:t>
            </w:r>
          </w:p>
        </w:tc>
        <w:tc>
          <w:tcPr>
            <w:tcW w:w="2262" w:type="dxa"/>
            <w:noWrap w:val="0"/>
            <w:vAlign w:val="center"/>
          </w:tcPr>
          <w:p>
            <w:pPr>
              <w:bidi w:val="0"/>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年费率0.3%，最低保费1000元</w:t>
            </w:r>
          </w:p>
        </w:tc>
        <w:tc>
          <w:tcPr>
            <w:tcW w:w="985" w:type="dxa"/>
            <w:noWrap w:val="0"/>
            <w:vAlign w:val="center"/>
          </w:tcPr>
          <w:p>
            <w:pPr>
              <w:bidi w:val="0"/>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王仙春</w:t>
            </w:r>
          </w:p>
        </w:tc>
        <w:tc>
          <w:tcPr>
            <w:tcW w:w="1536" w:type="dxa"/>
            <w:noWrap w:val="0"/>
            <w:vAlign w:val="center"/>
          </w:tcPr>
          <w:p>
            <w:pPr>
              <w:bidi w:val="0"/>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13515769179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739" w:type="dxa"/>
            <w:noWrap w:val="0"/>
            <w:vAlign w:val="center"/>
          </w:tcPr>
          <w:p>
            <w:pPr>
              <w:bidi w:val="0"/>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永安财产保险股份有限公司台州中心支公司</w:t>
            </w:r>
          </w:p>
        </w:tc>
        <w:tc>
          <w:tcPr>
            <w:tcW w:w="2262" w:type="dxa"/>
            <w:noWrap w:val="0"/>
            <w:vAlign w:val="center"/>
          </w:tcPr>
          <w:p>
            <w:pPr>
              <w:bidi w:val="0"/>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年费率0.3%，最低保费1000</w:t>
            </w:r>
          </w:p>
        </w:tc>
        <w:tc>
          <w:tcPr>
            <w:tcW w:w="985" w:type="dxa"/>
            <w:noWrap w:val="0"/>
            <w:vAlign w:val="center"/>
          </w:tcPr>
          <w:p>
            <w:pPr>
              <w:bidi w:val="0"/>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王春宇</w:t>
            </w:r>
          </w:p>
        </w:tc>
        <w:tc>
          <w:tcPr>
            <w:tcW w:w="1536" w:type="dxa"/>
            <w:noWrap w:val="0"/>
            <w:vAlign w:val="center"/>
          </w:tcPr>
          <w:p>
            <w:pPr>
              <w:bidi w:val="0"/>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13676675331</w:t>
            </w:r>
          </w:p>
        </w:tc>
      </w:tr>
    </w:tbl>
    <w:p>
      <w:pPr>
        <w:bidi w:val="0"/>
        <w:spacing w:line="36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预付款保函联系方式</w:t>
      </w:r>
    </w:p>
    <w:tbl>
      <w:tblPr>
        <w:tblStyle w:val="20"/>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3727"/>
        <w:gridCol w:w="2274"/>
        <w:gridCol w:w="985"/>
        <w:gridCol w:w="153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8" w:hRule="atLeast"/>
          <w:jc w:val="center"/>
        </w:trPr>
        <w:tc>
          <w:tcPr>
            <w:tcW w:w="3727" w:type="dxa"/>
            <w:noWrap w:val="0"/>
            <w:vAlign w:val="center"/>
          </w:tcPr>
          <w:p>
            <w:pPr>
              <w:bidi w:val="0"/>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保险公司名称</w:t>
            </w:r>
          </w:p>
        </w:tc>
        <w:tc>
          <w:tcPr>
            <w:tcW w:w="2274" w:type="dxa"/>
            <w:noWrap w:val="0"/>
            <w:vAlign w:val="center"/>
          </w:tcPr>
          <w:p>
            <w:pPr>
              <w:bidi w:val="0"/>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保费率</w:t>
            </w:r>
          </w:p>
        </w:tc>
        <w:tc>
          <w:tcPr>
            <w:tcW w:w="985" w:type="dxa"/>
            <w:noWrap w:val="0"/>
            <w:vAlign w:val="center"/>
          </w:tcPr>
          <w:p>
            <w:pPr>
              <w:bidi w:val="0"/>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联系人</w:t>
            </w:r>
          </w:p>
        </w:tc>
        <w:tc>
          <w:tcPr>
            <w:tcW w:w="1536" w:type="dxa"/>
            <w:noWrap w:val="0"/>
            <w:vAlign w:val="center"/>
          </w:tcPr>
          <w:p>
            <w:pPr>
              <w:bidi w:val="0"/>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727" w:type="dxa"/>
            <w:noWrap w:val="0"/>
            <w:vAlign w:val="center"/>
          </w:tcPr>
          <w:p>
            <w:pPr>
              <w:bidi w:val="0"/>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中国人寿财产保险股份有限公司台州中心支公司</w:t>
            </w:r>
          </w:p>
        </w:tc>
        <w:tc>
          <w:tcPr>
            <w:tcW w:w="2274" w:type="dxa"/>
            <w:noWrap w:val="0"/>
            <w:vAlign w:val="center"/>
          </w:tcPr>
          <w:p>
            <w:pPr>
              <w:bidi w:val="0"/>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年费率3%，最低保费500元</w:t>
            </w:r>
          </w:p>
        </w:tc>
        <w:tc>
          <w:tcPr>
            <w:tcW w:w="985" w:type="dxa"/>
            <w:noWrap w:val="0"/>
            <w:vAlign w:val="center"/>
          </w:tcPr>
          <w:p>
            <w:pPr>
              <w:bidi w:val="0"/>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徐凌</w:t>
            </w:r>
          </w:p>
        </w:tc>
        <w:tc>
          <w:tcPr>
            <w:tcW w:w="1536" w:type="dxa"/>
            <w:noWrap w:val="0"/>
            <w:vAlign w:val="center"/>
          </w:tcPr>
          <w:p>
            <w:pPr>
              <w:bidi w:val="0"/>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13905168070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727" w:type="dxa"/>
            <w:noWrap w:val="0"/>
            <w:vAlign w:val="center"/>
          </w:tcPr>
          <w:p>
            <w:pPr>
              <w:bidi w:val="0"/>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阳光保险台州中心支公司</w:t>
            </w:r>
          </w:p>
        </w:tc>
        <w:tc>
          <w:tcPr>
            <w:tcW w:w="2274" w:type="dxa"/>
            <w:noWrap w:val="0"/>
            <w:vAlign w:val="center"/>
          </w:tcPr>
          <w:p>
            <w:pPr>
              <w:bidi w:val="0"/>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年费率1%，最低保费500元</w:t>
            </w:r>
          </w:p>
        </w:tc>
        <w:tc>
          <w:tcPr>
            <w:tcW w:w="985" w:type="dxa"/>
            <w:noWrap w:val="0"/>
            <w:vAlign w:val="center"/>
          </w:tcPr>
          <w:p>
            <w:pPr>
              <w:bidi w:val="0"/>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林高明</w:t>
            </w:r>
          </w:p>
        </w:tc>
        <w:tc>
          <w:tcPr>
            <w:tcW w:w="1536" w:type="dxa"/>
            <w:noWrap w:val="0"/>
            <w:vAlign w:val="center"/>
          </w:tcPr>
          <w:p>
            <w:pPr>
              <w:bidi w:val="0"/>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15888682693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727" w:type="dxa"/>
            <w:noWrap w:val="0"/>
            <w:vAlign w:val="center"/>
          </w:tcPr>
          <w:p>
            <w:pPr>
              <w:bidi w:val="0"/>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天安财产保险股份有限公司台州中心支公司</w:t>
            </w:r>
          </w:p>
        </w:tc>
        <w:tc>
          <w:tcPr>
            <w:tcW w:w="2274" w:type="dxa"/>
            <w:noWrap w:val="0"/>
            <w:vAlign w:val="center"/>
          </w:tcPr>
          <w:p>
            <w:pPr>
              <w:bidi w:val="0"/>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年费率1%-2%，最低保费500元</w:t>
            </w:r>
          </w:p>
        </w:tc>
        <w:tc>
          <w:tcPr>
            <w:tcW w:w="985" w:type="dxa"/>
            <w:noWrap w:val="0"/>
            <w:vAlign w:val="center"/>
          </w:tcPr>
          <w:p>
            <w:pPr>
              <w:bidi w:val="0"/>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罗赛</w:t>
            </w:r>
          </w:p>
        </w:tc>
        <w:tc>
          <w:tcPr>
            <w:tcW w:w="1536" w:type="dxa"/>
            <w:noWrap w:val="0"/>
            <w:vAlign w:val="center"/>
          </w:tcPr>
          <w:p>
            <w:pPr>
              <w:bidi w:val="0"/>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13736605643</w:t>
            </w:r>
          </w:p>
        </w:tc>
      </w:tr>
    </w:tbl>
    <w:p>
      <w:pPr>
        <w:bidi w:val="0"/>
        <w:spacing w:line="360" w:lineRule="auto"/>
        <w:ind w:firstLine="480" w:firstLineChars="200"/>
        <w:rPr>
          <w:rFonts w:hint="eastAsia" w:ascii="宋体" w:hAnsi="宋体" w:eastAsia="宋体" w:cs="宋体"/>
          <w:color w:val="auto"/>
          <w:sz w:val="24"/>
          <w:szCs w:val="24"/>
          <w:highlight w:val="none"/>
          <w:lang w:eastAsia="zh-CN"/>
        </w:rPr>
      </w:pPr>
    </w:p>
    <w:p>
      <w:pPr>
        <w:bidi w:val="0"/>
        <w:spacing w:line="360" w:lineRule="auto"/>
        <w:ind w:firstLine="480" w:firstLineChars="200"/>
        <w:rPr>
          <w:rFonts w:hint="eastAsia" w:ascii="宋体" w:hAnsi="宋体" w:eastAsia="宋体" w:cs="宋体"/>
          <w:color w:val="auto"/>
          <w:sz w:val="24"/>
          <w:szCs w:val="24"/>
          <w:highlight w:val="none"/>
          <w:lang w:eastAsia="zh-CN"/>
        </w:rPr>
      </w:pPr>
    </w:p>
    <w:p>
      <w:pPr>
        <w:bidi w:val="0"/>
        <w:spacing w:line="360" w:lineRule="auto"/>
        <w:ind w:firstLine="480" w:firstLineChars="200"/>
        <w:rPr>
          <w:rFonts w:hint="eastAsia" w:ascii="宋体" w:hAnsi="宋体" w:eastAsia="宋体" w:cs="宋体"/>
          <w:color w:val="auto"/>
          <w:sz w:val="24"/>
          <w:szCs w:val="24"/>
          <w:highlight w:val="none"/>
          <w:lang w:eastAsia="zh-CN"/>
        </w:rPr>
      </w:pPr>
    </w:p>
    <w:p>
      <w:pPr>
        <w:bidi w:val="0"/>
        <w:spacing w:line="360" w:lineRule="auto"/>
        <w:ind w:firstLine="480" w:firstLineChars="200"/>
        <w:rPr>
          <w:rFonts w:hint="eastAsia" w:ascii="宋体" w:hAnsi="宋体" w:eastAsia="宋体" w:cs="宋体"/>
          <w:color w:val="auto"/>
          <w:sz w:val="24"/>
          <w:szCs w:val="24"/>
          <w:highlight w:val="none"/>
          <w:lang w:eastAsia="zh-CN"/>
        </w:rPr>
      </w:pPr>
    </w:p>
    <w:p>
      <w:pPr>
        <w:bidi w:val="0"/>
        <w:spacing w:line="360" w:lineRule="auto"/>
        <w:ind w:firstLine="480" w:firstLineChars="200"/>
        <w:rPr>
          <w:rFonts w:hint="eastAsia" w:ascii="宋体" w:hAnsi="宋体" w:eastAsia="宋体" w:cs="宋体"/>
          <w:color w:val="auto"/>
          <w:sz w:val="24"/>
          <w:szCs w:val="24"/>
          <w:highlight w:val="none"/>
          <w:lang w:eastAsia="zh-CN"/>
        </w:rPr>
      </w:pPr>
    </w:p>
    <w:p>
      <w:pPr>
        <w:bidi w:val="0"/>
        <w:spacing w:line="360" w:lineRule="auto"/>
        <w:ind w:firstLine="480" w:firstLineChars="200"/>
        <w:rPr>
          <w:rFonts w:hint="eastAsia" w:ascii="宋体" w:hAnsi="宋体" w:eastAsia="宋体" w:cs="宋体"/>
          <w:color w:val="auto"/>
          <w:sz w:val="24"/>
          <w:szCs w:val="24"/>
          <w:highlight w:val="none"/>
          <w:lang w:eastAsia="zh-CN"/>
        </w:rPr>
      </w:pPr>
    </w:p>
    <w:p>
      <w:pPr>
        <w:bidi w:val="0"/>
        <w:spacing w:line="360" w:lineRule="auto"/>
        <w:ind w:firstLine="480" w:firstLineChars="200"/>
        <w:rPr>
          <w:rFonts w:hint="eastAsia" w:ascii="宋体" w:hAnsi="宋体" w:eastAsia="宋体" w:cs="宋体"/>
          <w:color w:val="auto"/>
          <w:sz w:val="24"/>
          <w:szCs w:val="24"/>
          <w:highlight w:val="none"/>
          <w:lang w:eastAsia="zh-CN"/>
        </w:rPr>
      </w:pPr>
    </w:p>
    <w:p>
      <w:pPr>
        <w:bidi w:val="0"/>
        <w:spacing w:line="360" w:lineRule="auto"/>
        <w:ind w:firstLine="480" w:firstLineChars="200"/>
        <w:rPr>
          <w:rFonts w:hint="eastAsia" w:ascii="宋体" w:hAnsi="宋体" w:eastAsia="宋体" w:cs="宋体"/>
          <w:color w:val="auto"/>
          <w:sz w:val="24"/>
          <w:szCs w:val="24"/>
          <w:highlight w:val="none"/>
          <w:lang w:eastAsia="zh-CN"/>
        </w:rPr>
      </w:pPr>
    </w:p>
    <w:p>
      <w:pPr>
        <w:bidi w:val="0"/>
        <w:spacing w:line="360" w:lineRule="auto"/>
        <w:ind w:firstLine="480" w:firstLineChars="200"/>
        <w:rPr>
          <w:rFonts w:hint="eastAsia" w:ascii="宋体" w:hAnsi="宋体" w:eastAsia="宋体" w:cs="宋体"/>
          <w:color w:val="auto"/>
          <w:sz w:val="24"/>
          <w:szCs w:val="24"/>
          <w:highlight w:val="none"/>
          <w:lang w:eastAsia="zh-CN"/>
        </w:rPr>
      </w:pPr>
    </w:p>
    <w:p>
      <w:pPr>
        <w:bidi w:val="0"/>
        <w:spacing w:line="360" w:lineRule="auto"/>
        <w:ind w:firstLine="480" w:firstLineChars="200"/>
        <w:rPr>
          <w:rFonts w:hint="eastAsia" w:ascii="宋体" w:hAnsi="宋体" w:eastAsia="宋体" w:cs="宋体"/>
          <w:color w:val="auto"/>
          <w:sz w:val="24"/>
          <w:szCs w:val="24"/>
          <w:highlight w:val="none"/>
          <w:lang w:eastAsia="zh-CN"/>
        </w:rPr>
      </w:pPr>
    </w:p>
    <w:p>
      <w:pPr>
        <w:spacing w:line="360" w:lineRule="auto"/>
        <w:jc w:val="center"/>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t>第二章  投标人须知</w:t>
      </w:r>
    </w:p>
    <w:p>
      <w:pPr>
        <w:bidi w:val="0"/>
        <w:spacing w:line="360" w:lineRule="auto"/>
        <w:ind w:firstLine="482" w:firstLineChars="200"/>
        <w:jc w:val="center"/>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前附表</w:t>
      </w:r>
    </w:p>
    <w:tbl>
      <w:tblPr>
        <w:tblStyle w:val="20"/>
        <w:tblW w:w="94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9"/>
        <w:gridCol w:w="1554"/>
        <w:gridCol w:w="72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729" w:type="dxa"/>
            <w:noWrap w:val="0"/>
            <w:vAlign w:val="center"/>
          </w:tcPr>
          <w:p>
            <w:pPr>
              <w:spacing w:line="360" w:lineRule="auto"/>
              <w:jc w:val="center"/>
              <w:rPr>
                <w:rFonts w:ascii="宋体" w:hAnsi="宋体" w:cs="宋体"/>
                <w:b/>
                <w:bCs/>
                <w:color w:val="auto"/>
                <w:sz w:val="24"/>
                <w:szCs w:val="24"/>
                <w:highlight w:val="none"/>
              </w:rPr>
            </w:pPr>
            <w:r>
              <w:rPr>
                <w:rFonts w:hint="eastAsia" w:ascii="宋体" w:hAnsi="宋体" w:cs="宋体"/>
                <w:b/>
                <w:bCs/>
                <w:color w:val="auto"/>
                <w:sz w:val="24"/>
                <w:szCs w:val="24"/>
                <w:highlight w:val="none"/>
              </w:rPr>
              <w:t>序号</w:t>
            </w:r>
          </w:p>
        </w:tc>
        <w:tc>
          <w:tcPr>
            <w:tcW w:w="1554" w:type="dxa"/>
            <w:noWrap w:val="0"/>
            <w:vAlign w:val="center"/>
          </w:tcPr>
          <w:p>
            <w:pPr>
              <w:spacing w:line="360" w:lineRule="auto"/>
              <w:jc w:val="center"/>
              <w:rPr>
                <w:rFonts w:ascii="宋体" w:hAnsi="宋体" w:cs="宋体"/>
                <w:b/>
                <w:bCs/>
                <w:color w:val="auto"/>
                <w:sz w:val="24"/>
                <w:szCs w:val="24"/>
                <w:highlight w:val="none"/>
              </w:rPr>
            </w:pPr>
            <w:r>
              <w:rPr>
                <w:rFonts w:hint="eastAsia" w:ascii="宋体" w:hAnsi="宋体" w:cs="宋体"/>
                <w:b/>
                <w:bCs/>
                <w:color w:val="auto"/>
                <w:sz w:val="24"/>
                <w:szCs w:val="24"/>
                <w:highlight w:val="none"/>
              </w:rPr>
              <w:t>项目</w:t>
            </w:r>
          </w:p>
        </w:tc>
        <w:tc>
          <w:tcPr>
            <w:tcW w:w="7214" w:type="dxa"/>
            <w:noWrap w:val="0"/>
            <w:vAlign w:val="center"/>
          </w:tcPr>
          <w:p>
            <w:pPr>
              <w:spacing w:line="360" w:lineRule="auto"/>
              <w:jc w:val="center"/>
              <w:rPr>
                <w:rFonts w:ascii="宋体" w:hAnsi="宋体" w:cs="宋体"/>
                <w:b/>
                <w:bCs/>
                <w:color w:val="auto"/>
                <w:sz w:val="24"/>
                <w:szCs w:val="24"/>
                <w:highlight w:val="none"/>
              </w:rPr>
            </w:pPr>
            <w:r>
              <w:rPr>
                <w:rFonts w:hint="eastAsia" w:ascii="宋体" w:hAnsi="宋体" w:cs="宋体"/>
                <w:b/>
                <w:bCs/>
                <w:color w:val="auto"/>
                <w:sz w:val="24"/>
                <w:szCs w:val="24"/>
                <w:highlight w:val="none"/>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729" w:type="dxa"/>
            <w:noWrap w:val="0"/>
            <w:vAlign w:val="center"/>
          </w:tcPr>
          <w:p>
            <w:pPr>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1</w:t>
            </w:r>
          </w:p>
        </w:tc>
        <w:tc>
          <w:tcPr>
            <w:tcW w:w="1554" w:type="dxa"/>
            <w:noWrap w:val="0"/>
            <w:vAlign w:val="center"/>
          </w:tcPr>
          <w:p>
            <w:pPr>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供应商特定资格要求</w:t>
            </w:r>
          </w:p>
        </w:tc>
        <w:tc>
          <w:tcPr>
            <w:tcW w:w="7214" w:type="dxa"/>
            <w:noWrap w:val="0"/>
            <w:vAlign w:val="center"/>
          </w:tcPr>
          <w:p>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符合招标公告资格要求的供应商。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9" w:type="dxa"/>
            <w:noWrap w:val="0"/>
            <w:vAlign w:val="center"/>
          </w:tcPr>
          <w:p>
            <w:pPr>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2</w:t>
            </w:r>
          </w:p>
        </w:tc>
        <w:tc>
          <w:tcPr>
            <w:tcW w:w="1554" w:type="dxa"/>
            <w:noWrap w:val="0"/>
            <w:vAlign w:val="center"/>
          </w:tcPr>
          <w:p>
            <w:pPr>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答疑会或现场踏勘</w:t>
            </w:r>
          </w:p>
        </w:tc>
        <w:tc>
          <w:tcPr>
            <w:tcW w:w="7214" w:type="dxa"/>
            <w:noWrap w:val="0"/>
            <w:vAlign w:val="center"/>
          </w:tcPr>
          <w:p>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各投标单位自行前往勘察现场和周围环境，所产生的费用由投标单位自理。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0" w:hRule="atLeast"/>
          <w:jc w:val="center"/>
        </w:trPr>
        <w:tc>
          <w:tcPr>
            <w:tcW w:w="729" w:type="dxa"/>
            <w:noWrap w:val="0"/>
            <w:vAlign w:val="center"/>
          </w:tcPr>
          <w:p>
            <w:pPr>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3</w:t>
            </w:r>
          </w:p>
        </w:tc>
        <w:tc>
          <w:tcPr>
            <w:tcW w:w="1554" w:type="dxa"/>
            <w:noWrap w:val="0"/>
            <w:vAlign w:val="center"/>
          </w:tcPr>
          <w:p>
            <w:pPr>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投标文件递交要求</w:t>
            </w:r>
          </w:p>
        </w:tc>
        <w:tc>
          <w:tcPr>
            <w:tcW w:w="7214" w:type="dxa"/>
            <w:noWrap w:val="0"/>
            <w:vAlign w:val="center"/>
          </w:tcPr>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本项目实行电子投标，供应商应准备电子投标文件、以介质存储的数据电文形式的备份投标文件、纸质备份投标文件三类：</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1.电子投标文件，按政采云平台项目采购--电子招投标操作指南及本招标文件要求编制、递交。</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 以介质存储的数据电文形式的备份投标文件，按政采云平台项目采购-电子招投标操作指南中上传的电子投标文件格式，以U盘形式提供。数量为1份。</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纸质备份投标文件以纸质文件的形式编制，按资格及商务技术文件、报价文件分别编制并单独装订成册，数量均为两份（正本一份、副本一份）。资格及商务技术文件、报价文件二部分须分别密封封装，资格及商务技术文件、报价文件未分别密封的投标文件将为无效。</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4.投标文件启用顺序和效力：投标文件的启用，按先后顺位分别为电子投标文件、以介质存储的数据电文形式的备份投标文件、纸质备份投标文件。顺位在先的投标文件已按时解密的，备份投标文件自动失效。在下一顺位的投标文件启用时，前一顺位的投标文件自动失效。</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5.未传输递交电子投标文件的，投标无效。未按规定提供相应的备份投标文件，造成项目开评标活动无法进行下去的，投标无效。</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6.投标供应商在“政府采购云平台”完成“电子加密投标文件”的上传递交后，需在投标截止时间前递交以介质（U盘）存储的数据电文形式和纸质形式的“备份投标文件”，“备份投标文件”应当密封包装并在包装上标注投标项目名称、投标单位名称并加盖公章。以介质（U盘）存储的数据电文形式和纸质形式的“备份投标文件”需分别密封，可采用以下两种方式其中一种送达（逾期送达或未密封将被拒收）：</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①在投标截止时间前送交到开标地点；</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②采用邮寄方式，邮寄公司统一采用顺丰（包裹外包装上请注明单位、项目名称、联系电话等信息，以便代理机构作接收登记工作），邮寄接收截止时间为投标截止时间前（邮寄地址：浙江五石中正工程咨询有限公司（台州市椒江区东环大道576号二楼，联系人：金老师，电话：0576-88781913。</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jc w:val="center"/>
        </w:trPr>
        <w:tc>
          <w:tcPr>
            <w:tcW w:w="729" w:type="dxa"/>
            <w:noWrap w:val="0"/>
            <w:vAlign w:val="center"/>
          </w:tcPr>
          <w:p>
            <w:pPr>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4</w:t>
            </w:r>
          </w:p>
        </w:tc>
        <w:tc>
          <w:tcPr>
            <w:tcW w:w="1554" w:type="dxa"/>
            <w:noWrap w:val="0"/>
            <w:vAlign w:val="center"/>
          </w:tcPr>
          <w:p>
            <w:pPr>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投标有效期</w:t>
            </w:r>
          </w:p>
        </w:tc>
        <w:tc>
          <w:tcPr>
            <w:tcW w:w="7214" w:type="dxa"/>
            <w:noWrap w:val="0"/>
            <w:vAlign w:val="center"/>
          </w:tcPr>
          <w:p>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投标有效期为开标后90天，投标有效期从提交投标文件的截止之日起算。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729" w:type="dxa"/>
            <w:noWrap w:val="0"/>
            <w:vAlign w:val="center"/>
          </w:tcPr>
          <w:p>
            <w:pPr>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5</w:t>
            </w:r>
          </w:p>
        </w:tc>
        <w:tc>
          <w:tcPr>
            <w:tcW w:w="1554" w:type="dxa"/>
            <w:noWrap w:val="0"/>
            <w:vAlign w:val="center"/>
          </w:tcPr>
          <w:p>
            <w:pPr>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投标文件递交</w:t>
            </w:r>
          </w:p>
        </w:tc>
        <w:tc>
          <w:tcPr>
            <w:tcW w:w="7214" w:type="dxa"/>
            <w:noWrap w:val="0"/>
            <w:vAlign w:val="center"/>
          </w:tcPr>
          <w:p>
            <w:pPr>
              <w:spacing w:line="360" w:lineRule="auto"/>
              <w:jc w:val="left"/>
              <w:rPr>
                <w:rFonts w:ascii="宋体" w:hAnsi="宋体" w:cs="宋体"/>
                <w:color w:val="auto"/>
                <w:sz w:val="24"/>
                <w:szCs w:val="24"/>
                <w:highlight w:val="none"/>
              </w:rPr>
            </w:pPr>
            <w:r>
              <w:rPr>
                <w:rFonts w:hint="eastAsia" w:ascii="宋体" w:hAnsi="宋体" w:cs="宋体"/>
                <w:color w:val="auto"/>
                <w:sz w:val="24"/>
                <w:szCs w:val="24"/>
                <w:highlight w:val="none"/>
              </w:rPr>
              <w:t>截止时间：北京时间</w:t>
            </w:r>
            <w:r>
              <w:rPr>
                <w:rFonts w:hint="eastAsia" w:ascii="宋体" w:hAnsi="宋体" w:cs="宋体"/>
                <w:color w:val="auto"/>
                <w:sz w:val="24"/>
                <w:szCs w:val="24"/>
                <w:highlight w:val="none"/>
                <w:lang w:eastAsia="zh-CN"/>
              </w:rPr>
              <w:t>2022年8月1日  14:30</w:t>
            </w:r>
            <w:r>
              <w:rPr>
                <w:rFonts w:hint="eastAsia" w:ascii="宋体" w:hAnsi="宋体" w:cs="宋体"/>
                <w:color w:val="auto"/>
                <w:sz w:val="24"/>
                <w:szCs w:val="24"/>
                <w:highlight w:val="none"/>
              </w:rPr>
              <w:t>整</w:t>
            </w:r>
          </w:p>
          <w:p>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投标供应商应当在投标截止时间前将生成的“电子加密投标文件”上传递交至“政府采购云平台”，并在开标当日投标截止时间前提交备份投标文件。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9" w:type="dxa"/>
            <w:noWrap w:val="0"/>
            <w:vAlign w:val="center"/>
          </w:tcPr>
          <w:p>
            <w:pPr>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6</w:t>
            </w:r>
          </w:p>
        </w:tc>
        <w:tc>
          <w:tcPr>
            <w:tcW w:w="1554" w:type="dxa"/>
            <w:noWrap w:val="0"/>
            <w:vAlign w:val="center"/>
          </w:tcPr>
          <w:p>
            <w:pPr>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开标时间及地点</w:t>
            </w:r>
          </w:p>
        </w:tc>
        <w:tc>
          <w:tcPr>
            <w:tcW w:w="7214" w:type="dxa"/>
            <w:noWrap w:val="0"/>
            <w:vAlign w:val="center"/>
          </w:tcPr>
          <w:p>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时间：北京时间</w:t>
            </w:r>
            <w:r>
              <w:rPr>
                <w:rFonts w:hint="eastAsia" w:ascii="宋体" w:hAnsi="宋体" w:cs="宋体"/>
                <w:color w:val="auto"/>
                <w:sz w:val="24"/>
                <w:szCs w:val="24"/>
                <w:highlight w:val="none"/>
                <w:lang w:eastAsia="zh-CN"/>
              </w:rPr>
              <w:t>2022年8月1日  14:30</w:t>
            </w:r>
            <w:r>
              <w:rPr>
                <w:rFonts w:hint="eastAsia" w:ascii="宋体" w:hAnsi="宋体" w:cs="宋体"/>
                <w:color w:val="auto"/>
                <w:sz w:val="24"/>
                <w:szCs w:val="24"/>
                <w:highlight w:val="none"/>
              </w:rPr>
              <w:t>整</w:t>
            </w:r>
          </w:p>
          <w:p>
            <w:pPr>
              <w:spacing w:line="360" w:lineRule="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地点：</w:t>
            </w:r>
            <w:r>
              <w:rPr>
                <w:rFonts w:hint="eastAsia" w:ascii="宋体" w:hAnsi="宋体" w:cs="宋体"/>
                <w:color w:val="auto"/>
                <w:sz w:val="24"/>
                <w:szCs w:val="24"/>
                <w:highlight w:val="none"/>
                <w:lang w:eastAsia="zh-CN"/>
              </w:rPr>
              <w:t>台州市黄岩区人民政府采购中心（黄岩区直下街69号3号楼203室）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jc w:val="center"/>
        </w:trPr>
        <w:tc>
          <w:tcPr>
            <w:tcW w:w="729" w:type="dxa"/>
            <w:noWrap w:val="0"/>
            <w:vAlign w:val="center"/>
          </w:tcPr>
          <w:p>
            <w:pPr>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7</w:t>
            </w:r>
          </w:p>
        </w:tc>
        <w:tc>
          <w:tcPr>
            <w:tcW w:w="1554" w:type="dxa"/>
            <w:noWrap w:val="0"/>
            <w:vAlign w:val="center"/>
          </w:tcPr>
          <w:p>
            <w:pPr>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信用记录相关说明</w:t>
            </w:r>
          </w:p>
        </w:tc>
        <w:tc>
          <w:tcPr>
            <w:tcW w:w="7214" w:type="dxa"/>
            <w:noWrap w:val="0"/>
            <w:vAlign w:val="center"/>
          </w:tcPr>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根据财库[2016]125号《关于在政府采购活动中查询及使用信用记录有关问题的通知》要求，采购代理机构会对供应商信用记录进行查询并甄别。</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1）信用信息查询的截止时点：开标后评标前；</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2）查询渠道：“信用中国”（www.creditchina.gov.cn）、“中国政府采购网”（www.ccgp.gov.cn）、“浙江政府采购网（www.zjzfcg.gov.cn）；</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3）信用信息查询记录和证据留存具体方式：采购代理机构经办人和监督人员将查询网页打印与其他采购相关文件一并保存；</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4）信用信息的使用规则：投标人存在不良信用记录的，其投标将被作为无效投标被拒绝。</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3.不良信用记录指：被列入失信被执行人、重大税收违法案件当事人名单、政府采购严重违法失信行为记录名单或浙江政府采购网曝光台中尚在行政处罚期内的。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9" w:type="dxa"/>
            <w:noWrap w:val="0"/>
            <w:vAlign w:val="center"/>
          </w:tcPr>
          <w:p>
            <w:pPr>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8</w:t>
            </w:r>
          </w:p>
        </w:tc>
        <w:tc>
          <w:tcPr>
            <w:tcW w:w="1554" w:type="dxa"/>
            <w:noWrap w:val="0"/>
            <w:vAlign w:val="center"/>
          </w:tcPr>
          <w:p>
            <w:pPr>
              <w:autoSpaceDE w:val="0"/>
              <w:autoSpaceDN w:val="0"/>
              <w:adjustRightInd w:val="0"/>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lang w:val="zh-CN"/>
              </w:rPr>
              <w:t>实质性条款</w:t>
            </w:r>
          </w:p>
        </w:tc>
        <w:tc>
          <w:tcPr>
            <w:tcW w:w="7214" w:type="dxa"/>
            <w:noWrap w:val="0"/>
            <w:vAlign w:val="center"/>
          </w:tcPr>
          <w:p>
            <w:pPr>
              <w:autoSpaceDE w:val="0"/>
              <w:autoSpaceDN w:val="0"/>
              <w:adjustRightInd w:val="0"/>
              <w:spacing w:line="360" w:lineRule="auto"/>
              <w:jc w:val="left"/>
              <w:rPr>
                <w:rFonts w:ascii="宋体" w:hAnsi="宋体" w:cs="宋体"/>
                <w:color w:val="auto"/>
                <w:sz w:val="24"/>
                <w:szCs w:val="24"/>
                <w:highlight w:val="none"/>
              </w:rPr>
            </w:pPr>
            <w:r>
              <w:rPr>
                <w:rFonts w:hint="eastAsia" w:ascii="宋体" w:hAnsi="宋体" w:cs="宋体"/>
                <w:color w:val="auto"/>
                <w:sz w:val="24"/>
                <w:szCs w:val="24"/>
                <w:highlight w:val="none"/>
                <w:lang w:val="zh-CN"/>
              </w:rPr>
              <w:t>带“</w:t>
            </w:r>
            <w:r>
              <w:rPr>
                <w:rFonts w:hint="eastAsia" w:ascii="宋体" w:hAnsi="宋体" w:cs="宋体"/>
                <w:color w:val="auto"/>
                <w:sz w:val="24"/>
                <w:szCs w:val="24"/>
                <w:highlight w:val="none"/>
              </w:rPr>
              <w:t>▲”的条款是实质性条款，投标文件须作出实质性响应，否则作无效投标处理。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9" w:type="dxa"/>
            <w:noWrap w:val="0"/>
            <w:vAlign w:val="center"/>
          </w:tcPr>
          <w:p>
            <w:pPr>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9</w:t>
            </w:r>
          </w:p>
        </w:tc>
        <w:tc>
          <w:tcPr>
            <w:tcW w:w="1554" w:type="dxa"/>
            <w:noWrap w:val="0"/>
            <w:vAlign w:val="center"/>
          </w:tcPr>
          <w:p>
            <w:pPr>
              <w:spacing w:line="360" w:lineRule="auto"/>
              <w:ind w:left="1"/>
              <w:jc w:val="center"/>
              <w:textAlignment w:val="bottom"/>
              <w:rPr>
                <w:rFonts w:ascii="宋体" w:hAnsi="宋体" w:cs="宋体"/>
                <w:color w:val="auto"/>
                <w:sz w:val="24"/>
                <w:szCs w:val="24"/>
                <w:highlight w:val="none"/>
                <w:lang w:val="zh-CN"/>
              </w:rPr>
            </w:pPr>
            <w:r>
              <w:rPr>
                <w:rFonts w:hint="eastAsia" w:ascii="宋体" w:hAnsi="宋体" w:cs="宋体"/>
                <w:color w:val="auto"/>
                <w:kern w:val="0"/>
                <w:sz w:val="24"/>
                <w:szCs w:val="24"/>
                <w:highlight w:val="none"/>
              </w:rPr>
              <w:t>样品及演示</w:t>
            </w:r>
          </w:p>
        </w:tc>
        <w:tc>
          <w:tcPr>
            <w:tcW w:w="7214" w:type="dxa"/>
            <w:noWrap w:val="0"/>
            <w:vAlign w:val="center"/>
          </w:tcPr>
          <w:p>
            <w:pPr>
              <w:spacing w:line="360" w:lineRule="auto"/>
              <w:ind w:left="1"/>
              <w:textAlignment w:val="bottom"/>
              <w:rPr>
                <w:rFonts w:ascii="宋体" w:hAnsi="宋体" w:cs="宋体"/>
                <w:color w:val="auto"/>
                <w:sz w:val="24"/>
                <w:szCs w:val="24"/>
                <w:highlight w:val="none"/>
                <w:lang w:val="zh-CN"/>
              </w:rPr>
            </w:pPr>
            <w:r>
              <w:rPr>
                <w:rFonts w:hint="eastAsia" w:ascii="宋体" w:hAnsi="宋体" w:cs="宋体"/>
                <w:color w:val="auto"/>
                <w:kern w:val="0"/>
                <w:sz w:val="24"/>
                <w:szCs w:val="24"/>
                <w:highlight w:val="none"/>
              </w:rPr>
              <w:t>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jc w:val="center"/>
        </w:trPr>
        <w:tc>
          <w:tcPr>
            <w:tcW w:w="729" w:type="dxa"/>
            <w:noWrap w:val="0"/>
            <w:vAlign w:val="center"/>
          </w:tcPr>
          <w:p>
            <w:pPr>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10</w:t>
            </w:r>
          </w:p>
        </w:tc>
        <w:tc>
          <w:tcPr>
            <w:tcW w:w="155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ascii="宋体" w:hAnsi="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是否专门面向中小微企业采购</w:t>
            </w:r>
          </w:p>
        </w:tc>
        <w:tc>
          <w:tcPr>
            <w:tcW w:w="721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color w:val="auto"/>
                <w:sz w:val="24"/>
                <w:szCs w:val="24"/>
                <w:highlight w:val="none"/>
              </w:rPr>
            </w:pPr>
            <w:r>
              <w:rPr>
                <w:rFonts w:ascii="Wingdings" w:hAnsi="Wingdings" w:eastAsia="宋体" w:cs="Wingdings"/>
                <w:color w:val="auto"/>
                <w:kern w:val="0"/>
                <w:sz w:val="24"/>
                <w:szCs w:val="24"/>
                <w:highlight w:val="none"/>
                <w:lang w:val="en-US" w:eastAsia="zh-CN" w:bidi="ar"/>
              </w:rPr>
              <w:sym w:font="Wingdings" w:char="00A8"/>
            </w:r>
            <w:r>
              <w:rPr>
                <w:rFonts w:hint="eastAsia" w:ascii="宋体" w:hAnsi="宋体" w:eastAsia="宋体" w:cs="宋体"/>
                <w:color w:val="auto"/>
                <w:kern w:val="0"/>
                <w:sz w:val="24"/>
                <w:szCs w:val="24"/>
                <w:highlight w:val="none"/>
                <w:lang w:val="en-US" w:eastAsia="zh-CN" w:bidi="ar"/>
              </w:rPr>
              <w:t xml:space="preserve">是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ascii="宋体" w:hAnsi="宋体" w:cs="宋体"/>
                <w:color w:val="auto"/>
                <w:kern w:val="0"/>
                <w:sz w:val="24"/>
                <w:szCs w:val="24"/>
                <w:highlight w:val="none"/>
              </w:rPr>
            </w:pPr>
            <w:r>
              <w:rPr>
                <w:rFonts w:hint="default" w:ascii="Wingdings" w:hAnsi="Wingdings" w:eastAsia="宋体" w:cs="Wingdings"/>
                <w:color w:val="auto"/>
                <w:kern w:val="0"/>
                <w:sz w:val="24"/>
                <w:szCs w:val="24"/>
                <w:highlight w:val="none"/>
                <w:lang w:val="en-US" w:eastAsia="zh-CN" w:bidi="ar"/>
              </w:rPr>
              <w:sym w:font="Wingdings" w:char="00FE"/>
            </w:r>
            <w:r>
              <w:rPr>
                <w:rFonts w:hint="eastAsia" w:ascii="宋体" w:hAnsi="宋体" w:eastAsia="宋体" w:cs="宋体"/>
                <w:color w:val="auto"/>
                <w:kern w:val="0"/>
                <w:sz w:val="24"/>
                <w:szCs w:val="24"/>
                <w:highlight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jc w:val="center"/>
        </w:trPr>
        <w:tc>
          <w:tcPr>
            <w:tcW w:w="729" w:type="dxa"/>
            <w:noWrap w:val="0"/>
            <w:vAlign w:val="center"/>
          </w:tcPr>
          <w:p>
            <w:pPr>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11</w:t>
            </w:r>
          </w:p>
        </w:tc>
        <w:tc>
          <w:tcPr>
            <w:tcW w:w="1554" w:type="dxa"/>
            <w:noWrap w:val="0"/>
            <w:vAlign w:val="center"/>
          </w:tcPr>
          <w:p>
            <w:pPr>
              <w:keepNext w:val="0"/>
              <w:keepLines w:val="0"/>
              <w:pageBreakBefore w:val="0"/>
              <w:kinsoku/>
              <w:wordWrap/>
              <w:overflowPunct/>
              <w:topLinePunct w:val="0"/>
              <w:bidi w:val="0"/>
              <w:snapToGrid/>
              <w:spacing w:line="360" w:lineRule="auto"/>
              <w:jc w:val="center"/>
              <w:rPr>
                <w:rFonts w:ascii="宋体" w:hAnsi="宋体" w:cs="宋体"/>
                <w:color w:val="auto"/>
                <w:kern w:val="0"/>
                <w:sz w:val="24"/>
                <w:szCs w:val="24"/>
                <w:highlight w:val="none"/>
              </w:rPr>
            </w:pPr>
            <w:r>
              <w:rPr>
                <w:rFonts w:hint="eastAsia" w:ascii="宋体" w:hAnsi="宋体" w:cs="宋体"/>
                <w:color w:val="auto"/>
                <w:sz w:val="24"/>
                <w:highlight w:val="none"/>
              </w:rPr>
              <w:t>中小企业划分标准所属行业</w:t>
            </w:r>
          </w:p>
        </w:tc>
        <w:tc>
          <w:tcPr>
            <w:tcW w:w="7214" w:type="dxa"/>
            <w:noWrap w:val="0"/>
            <w:vAlign w:val="center"/>
          </w:tcPr>
          <w:p>
            <w:pPr>
              <w:keepNext w:val="0"/>
              <w:keepLines w:val="0"/>
              <w:pageBreakBefore w:val="0"/>
              <w:kinsoku/>
              <w:wordWrap/>
              <w:overflowPunct/>
              <w:topLinePunct w:val="0"/>
              <w:bidi w:val="0"/>
              <w:snapToGrid/>
              <w:spacing w:line="360" w:lineRule="auto"/>
              <w:jc w:val="both"/>
              <w:rPr>
                <w:rFonts w:ascii="宋体" w:hAnsi="宋体" w:cs="宋体"/>
                <w:color w:val="auto"/>
                <w:kern w:val="0"/>
                <w:sz w:val="24"/>
                <w:szCs w:val="24"/>
                <w:highlight w:val="none"/>
              </w:rPr>
            </w:pPr>
            <w:r>
              <w:rPr>
                <w:rFonts w:hint="eastAsia" w:ascii="宋体" w:hAnsi="宋体" w:cs="宋体"/>
                <w:color w:val="auto"/>
                <w:sz w:val="24"/>
                <w:highlight w:val="none"/>
              </w:rPr>
              <w:t>所属行业：工业（制造业）。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jc w:val="center"/>
        </w:trPr>
        <w:tc>
          <w:tcPr>
            <w:tcW w:w="729" w:type="dxa"/>
            <w:noWrap w:val="0"/>
            <w:vAlign w:val="center"/>
          </w:tcPr>
          <w:p>
            <w:pPr>
              <w:spacing w:line="360" w:lineRule="auto"/>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12</w:t>
            </w:r>
          </w:p>
        </w:tc>
        <w:tc>
          <w:tcPr>
            <w:tcW w:w="1554" w:type="dxa"/>
            <w:noWrap w:val="0"/>
            <w:vAlign w:val="center"/>
          </w:tcPr>
          <w:p>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履约保证金</w:t>
            </w:r>
          </w:p>
        </w:tc>
        <w:tc>
          <w:tcPr>
            <w:tcW w:w="7214" w:type="dxa"/>
            <w:noWrap w:val="0"/>
            <w:vAlign w:val="center"/>
          </w:tcPr>
          <w:p>
            <w:pPr>
              <w:spacing w:line="360" w:lineRule="auto"/>
              <w:rPr>
                <w:rFonts w:hint="eastAsia" w:ascii="宋体" w:hAnsi="宋体" w:cs="宋体"/>
                <w:color w:val="auto"/>
                <w:sz w:val="24"/>
                <w:highlight w:val="none"/>
              </w:rPr>
            </w:pPr>
            <w:r>
              <w:rPr>
                <w:rFonts w:hint="eastAsia" w:ascii="宋体" w:hAnsi="宋体" w:cs="宋体"/>
                <w:color w:val="auto"/>
                <w:sz w:val="24"/>
                <w:szCs w:val="24"/>
                <w:highlight w:val="none"/>
              </w:rPr>
              <w:t>合同签订后</w:t>
            </w:r>
            <w:r>
              <w:rPr>
                <w:rFonts w:hint="default" w:ascii="宋体" w:hAnsi="宋体" w:cs="宋体"/>
                <w:color w:val="auto"/>
                <w:sz w:val="24"/>
                <w:szCs w:val="24"/>
                <w:highlight w:val="none"/>
                <w:lang w:val="en-US"/>
              </w:rPr>
              <w:t>10</w:t>
            </w:r>
            <w:r>
              <w:rPr>
                <w:rFonts w:hint="eastAsia" w:ascii="宋体" w:hAnsi="宋体" w:cs="宋体"/>
                <w:color w:val="auto"/>
                <w:sz w:val="24"/>
                <w:szCs w:val="24"/>
                <w:highlight w:val="none"/>
              </w:rPr>
              <w:t>个工作日内中标人须向采购人提交</w:t>
            </w:r>
            <w:r>
              <w:rPr>
                <w:rFonts w:ascii="宋体" w:hAnsi="宋体" w:cs="宋体"/>
                <w:color w:val="auto"/>
                <w:sz w:val="24"/>
                <w:szCs w:val="24"/>
                <w:highlight w:val="none"/>
              </w:rPr>
              <w:t>合同总金额的</w:t>
            </w:r>
            <w:r>
              <w:rPr>
                <w:rFonts w:hint="eastAsia" w:ascii="宋体" w:hAnsi="宋体" w:cs="宋体"/>
                <w:color w:val="auto"/>
                <w:sz w:val="24"/>
                <w:szCs w:val="24"/>
                <w:highlight w:val="none"/>
                <w:lang w:val="en-US" w:eastAsia="zh-CN"/>
              </w:rPr>
              <w:t>1</w:t>
            </w:r>
            <w:r>
              <w:rPr>
                <w:rFonts w:ascii="宋体" w:hAnsi="宋体" w:cs="宋体"/>
                <w:color w:val="auto"/>
                <w:sz w:val="24"/>
                <w:szCs w:val="24"/>
                <w:highlight w:val="none"/>
              </w:rPr>
              <w:t>%</w:t>
            </w:r>
            <w:r>
              <w:rPr>
                <w:rFonts w:hint="eastAsia" w:ascii="宋体" w:hAnsi="宋体" w:cs="宋体"/>
                <w:color w:val="auto"/>
                <w:sz w:val="24"/>
                <w:szCs w:val="24"/>
                <w:highlight w:val="none"/>
              </w:rPr>
              <w:t>作为履约保证金</w:t>
            </w:r>
            <w:r>
              <w:rPr>
                <w:rFonts w:ascii="宋体" w:hAnsi="宋体" w:cs="宋体"/>
                <w:color w:val="auto"/>
                <w:sz w:val="24"/>
                <w:szCs w:val="24"/>
                <w:highlight w:val="none"/>
              </w:rPr>
              <w:t>，履约保证金以</w:t>
            </w:r>
            <w:r>
              <w:rPr>
                <w:rFonts w:hint="eastAsia" w:ascii="宋体" w:hAnsi="宋体" w:cs="宋体"/>
                <w:color w:val="auto"/>
                <w:sz w:val="24"/>
                <w:szCs w:val="24"/>
                <w:highlight w:val="none"/>
              </w:rPr>
              <w:t>现金/转账/保函/保险/担保等</w:t>
            </w:r>
            <w:r>
              <w:rPr>
                <w:rFonts w:ascii="宋体" w:hAnsi="宋体" w:cs="宋体"/>
                <w:color w:val="auto"/>
                <w:sz w:val="24"/>
                <w:szCs w:val="24"/>
                <w:highlight w:val="none"/>
              </w:rPr>
              <w:t>形式提交</w:t>
            </w:r>
            <w:r>
              <w:rPr>
                <w:rFonts w:hint="eastAsia" w:ascii="宋体" w:hAnsi="宋体" w:cs="宋体"/>
                <w:color w:val="auto"/>
                <w:sz w:val="24"/>
                <w:szCs w:val="24"/>
                <w:highlight w:val="none"/>
              </w:rPr>
              <w:t>，</w:t>
            </w:r>
            <w:r>
              <w:rPr>
                <w:rFonts w:ascii="宋体" w:hAnsi="宋体" w:cs="宋体"/>
                <w:color w:val="auto"/>
                <w:sz w:val="24"/>
                <w:szCs w:val="24"/>
                <w:highlight w:val="none"/>
              </w:rPr>
              <w:t>在</w:t>
            </w:r>
            <w:r>
              <w:rPr>
                <w:rFonts w:hint="eastAsia" w:ascii="宋体" w:hAnsi="宋体" w:cs="宋体"/>
                <w:color w:val="auto"/>
                <w:sz w:val="24"/>
                <w:szCs w:val="24"/>
                <w:highlight w:val="none"/>
              </w:rPr>
              <w:t>项目验收结束后</w:t>
            </w:r>
            <w:r>
              <w:rPr>
                <w:rFonts w:ascii="宋体" w:hAnsi="宋体" w:cs="宋体"/>
                <w:color w:val="auto"/>
                <w:sz w:val="24"/>
                <w:szCs w:val="24"/>
                <w:highlight w:val="none"/>
              </w:rPr>
              <w:t>7个工作日内退还</w:t>
            </w:r>
            <w:r>
              <w:rPr>
                <w:rFonts w:hint="eastAsia" w:ascii="宋体" w:hAnsi="宋体" w:cs="宋体"/>
                <w:color w:val="auto"/>
                <w:sz w:val="24"/>
                <w:szCs w:val="24"/>
                <w:highlight w:val="none"/>
              </w:rPr>
              <w:t>或解除保函</w:t>
            </w:r>
            <w:r>
              <w:rPr>
                <w:rFonts w:ascii="宋体" w:hAnsi="宋体" w:cs="宋体"/>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9" w:type="dxa"/>
            <w:noWrap w:val="0"/>
            <w:vAlign w:val="center"/>
          </w:tcPr>
          <w:p>
            <w:pPr>
              <w:spacing w:line="360" w:lineRule="auto"/>
              <w:jc w:val="center"/>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1</w:t>
            </w:r>
            <w:r>
              <w:rPr>
                <w:rFonts w:hint="eastAsia" w:ascii="宋体" w:hAnsi="宋体" w:cs="宋体"/>
                <w:color w:val="auto"/>
                <w:sz w:val="24"/>
                <w:szCs w:val="24"/>
                <w:highlight w:val="none"/>
                <w:lang w:val="en-US" w:eastAsia="zh-CN"/>
              </w:rPr>
              <w:t>3</w:t>
            </w:r>
          </w:p>
        </w:tc>
        <w:tc>
          <w:tcPr>
            <w:tcW w:w="1554" w:type="dxa"/>
            <w:noWrap w:val="0"/>
            <w:vAlign w:val="center"/>
          </w:tcPr>
          <w:p>
            <w:pPr>
              <w:spacing w:line="360" w:lineRule="auto"/>
              <w:ind w:left="1"/>
              <w:jc w:val="center"/>
              <w:textAlignment w:val="bottom"/>
              <w:rPr>
                <w:rFonts w:ascii="宋体" w:hAnsi="宋体" w:cs="宋体"/>
                <w:color w:val="auto"/>
                <w:sz w:val="24"/>
                <w:szCs w:val="24"/>
                <w:highlight w:val="none"/>
                <w:lang w:val="zh-CN"/>
              </w:rPr>
            </w:pPr>
            <w:r>
              <w:rPr>
                <w:rFonts w:hint="eastAsia" w:ascii="宋体" w:hAnsi="宋体" w:cs="宋体"/>
                <w:color w:val="auto"/>
                <w:kern w:val="0"/>
                <w:sz w:val="24"/>
                <w:szCs w:val="24"/>
                <w:highlight w:val="none"/>
              </w:rPr>
              <w:t>节能环保</w:t>
            </w:r>
          </w:p>
        </w:tc>
        <w:tc>
          <w:tcPr>
            <w:tcW w:w="7214" w:type="dxa"/>
            <w:noWrap w:val="0"/>
            <w:vAlign w:val="center"/>
          </w:tcPr>
          <w:p>
            <w:p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1、节能产品的强制采购政策</w:t>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根据财政部、国家发展和改革委员会、生态环境部等部门公布的政府采购节能产品、环境标志产品品目清单的规定，依据品目清单和认证证书实施政府优先采购和强制采购。采购人拟采购的产品属于品目清单范围内的强制采购品目的，供应商提供的产品应具有国家确定的认证机构出具的、处于有效期之内的节能产品认证证书，并在投标文件中提供该产品节能产品认证证书，否则无效。（注：本项目执行最新政府采购节能产品、环境标志产品品目清单。）</w:t>
            </w:r>
          </w:p>
          <w:p>
            <w:p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2、节能产品、环境标志产品的优先采购政策</w:t>
            </w:r>
          </w:p>
          <w:p>
            <w:pPr>
              <w:spacing w:line="360" w:lineRule="auto"/>
              <w:ind w:firstLine="480" w:firstLineChars="200"/>
              <w:rPr>
                <w:rFonts w:hint="eastAsia" w:ascii="宋体" w:hAnsi="宋体" w:cs="宋体"/>
                <w:color w:val="auto"/>
                <w:sz w:val="24"/>
                <w:szCs w:val="24"/>
                <w:highlight w:val="none"/>
                <w:lang w:val="zh-CN"/>
              </w:rPr>
            </w:pPr>
            <w:r>
              <w:rPr>
                <w:rFonts w:hint="eastAsia" w:ascii="宋体" w:hAnsi="宋体" w:cs="宋体"/>
                <w:color w:val="auto"/>
                <w:sz w:val="24"/>
                <w:szCs w:val="24"/>
                <w:highlight w:val="none"/>
              </w:rPr>
              <w:t>根据财政部、国家发展和改革委员会、生态环境部等部门公布的政府采购节能产品、环境标志产品品目清单的规定、依据品目清单和认证证书实施政府优先采购和强制采购。采购人拟采购的产品属于品目清单范围内的优先采购品目的，供应商提供的产品应具有国家确定的认证机构出具的、处于有效期之内的节能产品、环境标志产品认证证书，并在投标文件中提供该产品节能产品、环境标志产品认证证书，（注：本项目执行最新政府采购节能产品、环境标志产品品目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jc w:val="center"/>
        </w:trPr>
        <w:tc>
          <w:tcPr>
            <w:tcW w:w="729" w:type="dxa"/>
            <w:noWrap w:val="0"/>
            <w:vAlign w:val="center"/>
          </w:tcPr>
          <w:p>
            <w:pPr>
              <w:spacing w:line="360" w:lineRule="auto"/>
              <w:jc w:val="center"/>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1</w:t>
            </w:r>
            <w:r>
              <w:rPr>
                <w:rFonts w:hint="eastAsia" w:ascii="宋体" w:hAnsi="宋体" w:cs="宋体"/>
                <w:color w:val="auto"/>
                <w:sz w:val="24"/>
                <w:szCs w:val="24"/>
                <w:highlight w:val="none"/>
                <w:lang w:val="en-US" w:eastAsia="zh-CN"/>
              </w:rPr>
              <w:t>4</w:t>
            </w:r>
          </w:p>
        </w:tc>
        <w:tc>
          <w:tcPr>
            <w:tcW w:w="1554" w:type="dxa"/>
            <w:noWrap w:val="0"/>
            <w:vAlign w:val="center"/>
          </w:tcPr>
          <w:p>
            <w:pPr>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其他</w:t>
            </w:r>
          </w:p>
        </w:tc>
        <w:tc>
          <w:tcPr>
            <w:tcW w:w="7214" w:type="dxa"/>
            <w:noWrap w:val="0"/>
            <w:vAlign w:val="center"/>
          </w:tcPr>
          <w:p>
            <w:pPr>
              <w:numPr>
                <w:ilvl w:val="0"/>
                <w:numId w:val="0"/>
              </w:num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lang w:val="en-US" w:eastAsia="zh-CN"/>
              </w:rPr>
              <w:t>1、</w:t>
            </w:r>
            <w:r>
              <w:rPr>
                <w:rFonts w:hint="eastAsia" w:ascii="宋体" w:hAnsi="宋体" w:cs="宋体"/>
                <w:color w:val="auto"/>
                <w:sz w:val="24"/>
                <w:szCs w:val="24"/>
                <w:highlight w:val="none"/>
              </w:rPr>
              <w:t>各供应商自行在浙江政府采购网下载或查阅采购文件和相关更正公告等，不另行通知，如有遗漏采购人、采购代理机构概不负责。</w:t>
            </w:r>
          </w:p>
          <w:p>
            <w:pPr>
              <w:numPr>
                <w:ilvl w:val="0"/>
                <w:numId w:val="0"/>
              </w:num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2、两家或两家以上供应商提供的投标文件出自同一终端设备的，或在相同Internet主机分配地址（相同IP地址）报名或网上投标的，后果由供应商自行承担。</w:t>
            </w:r>
          </w:p>
          <w:p>
            <w:pPr>
              <w:numPr>
                <w:ilvl w:val="0"/>
                <w:numId w:val="0"/>
              </w:numPr>
              <w:spacing w:line="360" w:lineRule="auto"/>
              <w:rPr>
                <w:rFonts w:ascii="宋体" w:hAnsi="宋体" w:cs="宋体"/>
                <w:color w:val="auto"/>
                <w:highlight w:val="none"/>
              </w:rPr>
            </w:pPr>
            <w:r>
              <w:rPr>
                <w:rFonts w:hint="eastAsia" w:ascii="宋体" w:hAnsi="宋体" w:cs="宋体"/>
                <w:b/>
                <w:bCs/>
                <w:color w:val="auto"/>
                <w:sz w:val="24"/>
                <w:szCs w:val="24"/>
                <w:highlight w:val="none"/>
              </w:rPr>
              <w:t>3、开标时间后30分钟内供应商须携带CA自备电脑登录“政采云”平台，用“项目采购-开标评标”功能解密投标文件，投标人未按时解密或解密失败的，其上传的电子投标文件自动失效。</w:t>
            </w:r>
          </w:p>
        </w:tc>
      </w:tr>
    </w:tbl>
    <w:p>
      <w:pPr>
        <w:spacing w:line="360" w:lineRule="auto"/>
        <w:rPr>
          <w:rFonts w:ascii="宋体" w:hAnsi="宋体" w:eastAsia="宋体" w:cs="宋体"/>
          <w:color w:val="auto"/>
          <w:sz w:val="24"/>
          <w:szCs w:val="24"/>
          <w:highlight w:val="none"/>
        </w:rPr>
      </w:pPr>
    </w:p>
    <w:p>
      <w:pPr>
        <w:spacing w:line="360" w:lineRule="auto"/>
        <w:rPr>
          <w:rFonts w:ascii="宋体" w:hAnsi="宋体" w:eastAsia="宋体" w:cs="宋体"/>
          <w:color w:val="auto"/>
          <w:sz w:val="24"/>
          <w:szCs w:val="24"/>
          <w:highlight w:val="none"/>
        </w:rPr>
      </w:pPr>
    </w:p>
    <w:p>
      <w:pPr>
        <w:spacing w:line="360" w:lineRule="auto"/>
        <w:rPr>
          <w:rFonts w:ascii="宋体" w:hAnsi="宋体" w:eastAsia="宋体" w:cs="宋体"/>
          <w:color w:val="auto"/>
          <w:sz w:val="24"/>
          <w:szCs w:val="24"/>
          <w:highlight w:val="none"/>
        </w:rPr>
      </w:pPr>
    </w:p>
    <w:p>
      <w:pPr>
        <w:spacing w:line="360" w:lineRule="auto"/>
        <w:rPr>
          <w:rFonts w:ascii="宋体" w:hAnsi="宋体" w:eastAsia="宋体" w:cs="宋体"/>
          <w:color w:val="auto"/>
          <w:sz w:val="24"/>
          <w:szCs w:val="24"/>
          <w:highlight w:val="none"/>
        </w:rPr>
      </w:pPr>
    </w:p>
    <w:p>
      <w:pPr>
        <w:spacing w:line="360" w:lineRule="auto"/>
        <w:rPr>
          <w:rFonts w:ascii="宋体" w:hAnsi="宋体" w:eastAsia="宋体" w:cs="宋体"/>
          <w:color w:val="auto"/>
          <w:sz w:val="24"/>
          <w:szCs w:val="24"/>
          <w:highlight w:val="none"/>
        </w:rPr>
      </w:pPr>
    </w:p>
    <w:p>
      <w:pPr>
        <w:spacing w:line="360" w:lineRule="auto"/>
        <w:rPr>
          <w:rFonts w:ascii="宋体" w:hAnsi="宋体" w:eastAsia="宋体" w:cs="宋体"/>
          <w:color w:val="auto"/>
          <w:sz w:val="24"/>
          <w:szCs w:val="24"/>
          <w:highlight w:val="none"/>
        </w:rPr>
      </w:pPr>
    </w:p>
    <w:p>
      <w:pPr>
        <w:spacing w:line="360" w:lineRule="auto"/>
        <w:rPr>
          <w:rFonts w:ascii="宋体" w:hAnsi="宋体" w:eastAsia="宋体" w:cs="宋体"/>
          <w:color w:val="auto"/>
          <w:sz w:val="24"/>
          <w:szCs w:val="24"/>
          <w:highlight w:val="none"/>
        </w:rPr>
      </w:pPr>
    </w:p>
    <w:p>
      <w:pPr>
        <w:spacing w:line="360" w:lineRule="auto"/>
        <w:rPr>
          <w:rFonts w:ascii="宋体" w:hAnsi="宋体" w:eastAsia="宋体" w:cs="宋体"/>
          <w:color w:val="auto"/>
          <w:sz w:val="24"/>
          <w:szCs w:val="24"/>
          <w:highlight w:val="none"/>
        </w:rPr>
      </w:pPr>
    </w:p>
    <w:p>
      <w:pPr>
        <w:spacing w:line="360" w:lineRule="auto"/>
        <w:rPr>
          <w:rFonts w:ascii="宋体" w:hAnsi="宋体" w:eastAsia="宋体" w:cs="宋体"/>
          <w:color w:val="auto"/>
          <w:sz w:val="24"/>
          <w:szCs w:val="24"/>
          <w:highlight w:val="none"/>
        </w:rPr>
      </w:pPr>
    </w:p>
    <w:p>
      <w:pPr>
        <w:spacing w:line="360" w:lineRule="auto"/>
        <w:rPr>
          <w:rFonts w:ascii="宋体" w:hAnsi="宋体" w:eastAsia="宋体" w:cs="宋体"/>
          <w:color w:val="auto"/>
          <w:sz w:val="24"/>
          <w:szCs w:val="24"/>
          <w:highlight w:val="none"/>
        </w:rPr>
      </w:pPr>
    </w:p>
    <w:p>
      <w:pPr>
        <w:spacing w:line="360" w:lineRule="auto"/>
        <w:rPr>
          <w:rFonts w:ascii="宋体" w:hAnsi="宋体" w:eastAsia="宋体" w:cs="宋体"/>
          <w:color w:val="auto"/>
          <w:sz w:val="24"/>
          <w:szCs w:val="24"/>
          <w:highlight w:val="none"/>
        </w:rPr>
      </w:pPr>
    </w:p>
    <w:p>
      <w:pPr>
        <w:spacing w:line="360" w:lineRule="auto"/>
        <w:rPr>
          <w:rFonts w:ascii="宋体" w:hAnsi="宋体" w:eastAsia="宋体" w:cs="宋体"/>
          <w:color w:val="auto"/>
          <w:sz w:val="24"/>
          <w:szCs w:val="24"/>
          <w:highlight w:val="none"/>
        </w:rPr>
      </w:pPr>
    </w:p>
    <w:p>
      <w:pPr>
        <w:spacing w:line="360" w:lineRule="auto"/>
        <w:rPr>
          <w:rFonts w:ascii="宋体" w:hAnsi="宋体" w:eastAsia="宋体" w:cs="宋体"/>
          <w:color w:val="auto"/>
          <w:sz w:val="24"/>
          <w:szCs w:val="24"/>
          <w:highlight w:val="none"/>
        </w:rPr>
      </w:pPr>
    </w:p>
    <w:p>
      <w:pPr>
        <w:spacing w:line="360" w:lineRule="auto"/>
        <w:rPr>
          <w:rFonts w:ascii="宋体" w:hAnsi="宋体" w:eastAsia="宋体" w:cs="宋体"/>
          <w:color w:val="auto"/>
          <w:sz w:val="24"/>
          <w:szCs w:val="24"/>
          <w:highlight w:val="none"/>
        </w:rPr>
      </w:pPr>
    </w:p>
    <w:p>
      <w:pPr>
        <w:spacing w:line="360" w:lineRule="auto"/>
        <w:rPr>
          <w:rFonts w:ascii="宋体" w:hAnsi="宋体" w:eastAsia="宋体" w:cs="宋体"/>
          <w:color w:val="auto"/>
          <w:sz w:val="24"/>
          <w:szCs w:val="24"/>
          <w:highlight w:val="none"/>
        </w:rPr>
      </w:pPr>
    </w:p>
    <w:p>
      <w:pPr>
        <w:spacing w:line="360" w:lineRule="auto"/>
        <w:rPr>
          <w:rFonts w:ascii="宋体" w:hAnsi="宋体" w:eastAsia="宋体" w:cs="宋体"/>
          <w:color w:val="auto"/>
          <w:sz w:val="24"/>
          <w:szCs w:val="24"/>
          <w:highlight w:val="none"/>
        </w:rPr>
      </w:pPr>
    </w:p>
    <w:p>
      <w:pPr>
        <w:spacing w:line="360" w:lineRule="auto"/>
        <w:rPr>
          <w:rFonts w:ascii="宋体" w:hAnsi="宋体" w:eastAsia="宋体" w:cs="宋体"/>
          <w:color w:val="auto"/>
          <w:sz w:val="24"/>
          <w:szCs w:val="24"/>
          <w:highlight w:val="none"/>
        </w:rPr>
      </w:pPr>
    </w:p>
    <w:p>
      <w:pPr>
        <w:spacing w:line="360" w:lineRule="auto"/>
        <w:rPr>
          <w:rFonts w:ascii="宋体" w:hAnsi="宋体" w:cs="宋体"/>
          <w:b/>
          <w:bCs/>
          <w:color w:val="auto"/>
          <w:sz w:val="24"/>
          <w:szCs w:val="32"/>
          <w:highlight w:val="none"/>
        </w:rPr>
      </w:pPr>
      <w:r>
        <w:rPr>
          <w:rFonts w:hint="eastAsia" w:ascii="宋体" w:hAnsi="宋体" w:cs="宋体"/>
          <w:b/>
          <w:bCs/>
          <w:color w:val="auto"/>
          <w:sz w:val="24"/>
          <w:szCs w:val="32"/>
          <w:highlight w:val="none"/>
        </w:rPr>
        <w:t>一 、总  则</w:t>
      </w:r>
    </w:p>
    <w:p>
      <w:pPr>
        <w:spacing w:line="360" w:lineRule="auto"/>
        <w:ind w:firstLine="241" w:firstLineChars="100"/>
        <w:rPr>
          <w:rFonts w:ascii="宋体" w:hAnsi="宋体" w:cs="宋体"/>
          <w:b/>
          <w:bCs/>
          <w:color w:val="auto"/>
          <w:sz w:val="24"/>
          <w:szCs w:val="32"/>
          <w:highlight w:val="none"/>
        </w:rPr>
      </w:pPr>
      <w:r>
        <w:rPr>
          <w:rFonts w:hint="eastAsia" w:ascii="宋体" w:hAnsi="宋体" w:cs="宋体"/>
          <w:b/>
          <w:bCs/>
          <w:color w:val="auto"/>
          <w:sz w:val="24"/>
          <w:szCs w:val="32"/>
          <w:highlight w:val="none"/>
        </w:rPr>
        <w:t>（一） 适用范围</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本招标文件适用于本次项目的招标、投标、评标、定标、验收、合同履约、付款等行为（法律、法规另有规定的，从其规定）。</w:t>
      </w:r>
    </w:p>
    <w:p>
      <w:pPr>
        <w:spacing w:line="360" w:lineRule="auto"/>
        <w:ind w:firstLine="241" w:firstLineChars="100"/>
        <w:rPr>
          <w:rFonts w:ascii="宋体" w:hAnsi="宋体" w:cs="宋体"/>
          <w:b/>
          <w:bCs/>
          <w:color w:val="auto"/>
          <w:sz w:val="24"/>
          <w:szCs w:val="32"/>
          <w:highlight w:val="none"/>
        </w:rPr>
      </w:pPr>
      <w:r>
        <w:rPr>
          <w:rFonts w:hint="eastAsia" w:ascii="宋体" w:hAnsi="宋体" w:cs="宋体"/>
          <w:b/>
          <w:bCs/>
          <w:color w:val="auto"/>
          <w:sz w:val="24"/>
          <w:szCs w:val="32"/>
          <w:highlight w:val="none"/>
        </w:rPr>
        <w:t>（二）定义</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1、</w:t>
      </w:r>
      <w:r>
        <w:rPr>
          <w:rFonts w:hint="eastAsia" w:ascii="宋体" w:hAnsi="宋体" w:cs="宋体"/>
          <w:color w:val="auto"/>
          <w:sz w:val="24"/>
          <w:szCs w:val="32"/>
          <w:highlight w:val="none"/>
          <w:lang w:val="zh-CN"/>
        </w:rPr>
        <w:t>“采购组织机构”指采购人委托组织招标的采购代理机构。</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2、采购人：是指委托采购代理机构采购本次项目的国家机关、事业单位和团体组织。</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3、投标人：是指向采购</w:t>
      </w:r>
      <w:r>
        <w:rPr>
          <w:rFonts w:hint="eastAsia" w:ascii="宋体" w:hAnsi="宋体" w:cs="宋体"/>
          <w:color w:val="auto"/>
          <w:sz w:val="24"/>
          <w:szCs w:val="32"/>
          <w:highlight w:val="none"/>
          <w:lang w:val="zh-CN"/>
        </w:rPr>
        <w:t>组织</w:t>
      </w:r>
      <w:r>
        <w:rPr>
          <w:rFonts w:hint="eastAsia" w:ascii="宋体" w:hAnsi="宋体" w:cs="宋体"/>
          <w:color w:val="auto"/>
          <w:sz w:val="24"/>
          <w:szCs w:val="32"/>
          <w:highlight w:val="none"/>
        </w:rPr>
        <w:t>机构提交投标文件的单位或个人。</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4、货物：是指各种形态和种类的物品，包括原材料、燃料、设备、产品等。</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5、服务：是指除货物和工程以外的政府采购对象，包括各类专业服务、信息网络开发服务、金融保险服务、运输服务，以及维修与维护服务等。</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6、“书面形式”包括信函、传真等。</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7、“▲”系指实质性要求条款。</w:t>
      </w:r>
    </w:p>
    <w:p>
      <w:pPr>
        <w:spacing w:line="360" w:lineRule="auto"/>
        <w:ind w:firstLine="241" w:firstLineChars="100"/>
        <w:rPr>
          <w:rFonts w:ascii="宋体" w:hAnsi="宋体" w:cs="宋体"/>
          <w:b/>
          <w:bCs/>
          <w:color w:val="auto"/>
          <w:sz w:val="24"/>
          <w:szCs w:val="32"/>
          <w:highlight w:val="none"/>
        </w:rPr>
      </w:pPr>
      <w:r>
        <w:rPr>
          <w:rFonts w:hint="eastAsia" w:ascii="宋体" w:hAnsi="宋体" w:cs="宋体"/>
          <w:b/>
          <w:bCs/>
          <w:color w:val="auto"/>
          <w:sz w:val="24"/>
          <w:szCs w:val="32"/>
          <w:highlight w:val="none"/>
        </w:rPr>
        <w:t>（三）投标费用</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不论投标结果如何，投标人均应自行承担所有与投标有关的全部费用（招标文件有相关规定除外）。</w:t>
      </w:r>
    </w:p>
    <w:p>
      <w:pPr>
        <w:spacing w:line="360" w:lineRule="auto"/>
        <w:ind w:firstLine="241" w:firstLineChars="100"/>
        <w:rPr>
          <w:rFonts w:ascii="宋体" w:hAnsi="宋体" w:cs="宋体"/>
          <w:b/>
          <w:bCs/>
          <w:color w:val="auto"/>
          <w:sz w:val="24"/>
          <w:szCs w:val="32"/>
          <w:highlight w:val="none"/>
        </w:rPr>
      </w:pPr>
      <w:r>
        <w:rPr>
          <w:rFonts w:hint="eastAsia" w:ascii="宋体" w:hAnsi="宋体" w:cs="宋体"/>
          <w:b/>
          <w:bCs/>
          <w:color w:val="auto"/>
          <w:sz w:val="24"/>
          <w:szCs w:val="32"/>
          <w:highlight w:val="none"/>
        </w:rPr>
        <w:t>（四）特别说明</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1、投标人投标所使用的资格、信誉、荣誉、业绩与企业认证必须为本法人所拥有。投标人投标所使用的采购项目实施人员必须为本法人员工（指本法人或控股公司正式员工）。</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2、投标供应商所投产品除招标文件中明确规定要求“提供官网截图或相应检测报告的证明材料”以外，所有技术参数描述均以投标文件为准。投标供应商对所投产品技术参数的真实性承担法律责任。项目招标结束后、质疑期限内，如有质疑供应商认为中标人所投产品、投标文件技术参数与招标需求存在重大偏离、错误、甚至造假的情况，应提供具体有效的证明材料。</w:t>
      </w:r>
      <w:r>
        <w:rPr>
          <w:rFonts w:hint="eastAsia" w:ascii="宋体" w:hAnsi="宋体" w:cs="宋体"/>
          <w:color w:val="auto"/>
          <w:sz w:val="24"/>
          <w:szCs w:val="32"/>
          <w:highlight w:val="none"/>
        </w:rPr>
        <w:tab/>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3、投标人在投标活动中提供任何虚假材料，其投标无效，并报监管部门查处；中标后发现的，根据《中华人民共和国政府采购法》第七十七条第一款第一项之规定，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4、投标人不得相互串通投标报价，不得妨碍其他投标人的公平竞争，不得损害采购人或其他投标人的合法权益，投标人不得以向采购人、评标委员会成员行贿或者采取其他不正当手段谋取中标。</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5、为采购项目提供整体设计、规范编制或者项目管理、监理、检测等服务的供应商，不得再参加该采购项目的其他采购活动。</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6、投标文件格式中的表格式样可以根据项目差别做适当调整，但应当保持表格样式基本形态不变。</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7、单位负责人为同一人或者存在直接控股、管理关系的不同供应商，不得参加同一合同项下的政府采购活动。</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8、本项目不允许分包。</w:t>
      </w:r>
    </w:p>
    <w:p>
      <w:pPr>
        <w:spacing w:line="360" w:lineRule="auto"/>
        <w:rPr>
          <w:rFonts w:ascii="宋体" w:hAnsi="宋体" w:cs="宋体"/>
          <w:b/>
          <w:bCs/>
          <w:color w:val="auto"/>
          <w:sz w:val="24"/>
          <w:szCs w:val="32"/>
          <w:highlight w:val="none"/>
        </w:rPr>
      </w:pPr>
      <w:r>
        <w:rPr>
          <w:rFonts w:hint="eastAsia" w:ascii="宋体" w:hAnsi="宋体" w:cs="宋体"/>
          <w:b/>
          <w:bCs/>
          <w:color w:val="auto"/>
          <w:sz w:val="24"/>
          <w:szCs w:val="32"/>
          <w:highlight w:val="none"/>
        </w:rPr>
        <w:t>二、招标文件</w:t>
      </w:r>
    </w:p>
    <w:p>
      <w:pPr>
        <w:spacing w:line="360" w:lineRule="auto"/>
        <w:ind w:firstLine="241" w:firstLineChars="100"/>
        <w:rPr>
          <w:rFonts w:ascii="宋体" w:hAnsi="宋体" w:cs="宋体"/>
          <w:b/>
          <w:bCs/>
          <w:color w:val="auto"/>
          <w:sz w:val="24"/>
          <w:szCs w:val="32"/>
          <w:highlight w:val="none"/>
        </w:rPr>
      </w:pPr>
      <w:r>
        <w:rPr>
          <w:rFonts w:hint="eastAsia" w:ascii="宋体" w:hAnsi="宋体" w:cs="宋体"/>
          <w:b/>
          <w:bCs/>
          <w:color w:val="auto"/>
          <w:sz w:val="24"/>
          <w:szCs w:val="32"/>
          <w:highlight w:val="none"/>
        </w:rPr>
        <w:t>（一）招标文件由招标文件总目录所列内容组成。</w:t>
      </w:r>
    </w:p>
    <w:p>
      <w:pPr>
        <w:spacing w:line="360" w:lineRule="auto"/>
        <w:ind w:firstLine="241" w:firstLineChars="100"/>
        <w:rPr>
          <w:rFonts w:ascii="宋体" w:hAnsi="宋体" w:cs="宋体"/>
          <w:b/>
          <w:bCs/>
          <w:color w:val="auto"/>
          <w:sz w:val="24"/>
          <w:szCs w:val="32"/>
          <w:highlight w:val="none"/>
        </w:rPr>
      </w:pPr>
      <w:r>
        <w:rPr>
          <w:rFonts w:hint="eastAsia" w:ascii="宋体" w:hAnsi="宋体" w:cs="宋体"/>
          <w:b/>
          <w:bCs/>
          <w:color w:val="auto"/>
          <w:sz w:val="24"/>
          <w:szCs w:val="32"/>
          <w:highlight w:val="none"/>
        </w:rPr>
        <w:t>（二）招标文件的澄清或修改</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 xml:space="preserve">1、采购组织机构可视采购具体情况对已发出的招标文件进行必要的澄清或者修改。澄清或者修改的内容可能影响投标文件编制的，采购人或者采购组织机构应当在投标截止时间至少15日前，在原公告发布媒体上发布澄清公告，澄清或者修改的内容为招标文件的组成部分；不足15日的，采购人或者采购组织机构应当顺延提交投标文件的截止时间。 </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2、投标人在规定的时间内未对招标文件提出疑问、质疑或要求澄清的，将视其为无异议。对招标文件中描述有歧义或前后不一致的地方，评标委员会有权进行评判，但对同一条款的评判应适用于每个投标人。</w:t>
      </w:r>
    </w:p>
    <w:p>
      <w:pPr>
        <w:spacing w:line="360" w:lineRule="auto"/>
        <w:rPr>
          <w:rFonts w:ascii="宋体" w:hAnsi="宋体" w:cs="宋体"/>
          <w:b/>
          <w:bCs/>
          <w:color w:val="auto"/>
          <w:sz w:val="24"/>
          <w:szCs w:val="32"/>
          <w:highlight w:val="none"/>
        </w:rPr>
      </w:pPr>
      <w:r>
        <w:rPr>
          <w:rFonts w:hint="eastAsia" w:ascii="宋体" w:hAnsi="宋体" w:cs="宋体"/>
          <w:b/>
          <w:bCs/>
          <w:color w:val="auto"/>
          <w:sz w:val="24"/>
          <w:szCs w:val="32"/>
          <w:highlight w:val="none"/>
        </w:rPr>
        <w:t>三、投标文件</w:t>
      </w:r>
    </w:p>
    <w:p>
      <w:pPr>
        <w:spacing w:line="360" w:lineRule="auto"/>
        <w:ind w:firstLine="241" w:firstLineChars="100"/>
        <w:rPr>
          <w:rFonts w:ascii="宋体" w:hAnsi="宋体" w:cs="宋体"/>
          <w:b/>
          <w:bCs/>
          <w:color w:val="auto"/>
          <w:sz w:val="24"/>
          <w:szCs w:val="32"/>
          <w:highlight w:val="none"/>
        </w:rPr>
      </w:pPr>
      <w:r>
        <w:rPr>
          <w:rFonts w:hint="eastAsia" w:ascii="宋体" w:hAnsi="宋体" w:cs="宋体"/>
          <w:b/>
          <w:bCs/>
          <w:color w:val="auto"/>
          <w:sz w:val="24"/>
          <w:szCs w:val="32"/>
          <w:highlight w:val="none"/>
          <w:lang w:val="zh-CN"/>
        </w:rPr>
        <w:t>（一）</w:t>
      </w:r>
      <w:r>
        <w:rPr>
          <w:rFonts w:hint="eastAsia" w:ascii="宋体" w:hAnsi="宋体" w:cs="宋体"/>
          <w:b/>
          <w:bCs/>
          <w:color w:val="auto"/>
          <w:sz w:val="24"/>
          <w:szCs w:val="32"/>
          <w:highlight w:val="none"/>
        </w:rPr>
        <w:t>投标文件的组成</w:t>
      </w:r>
    </w:p>
    <w:p>
      <w:pPr>
        <w:spacing w:line="360" w:lineRule="auto"/>
        <w:ind w:firstLine="480" w:firstLineChars="200"/>
        <w:rPr>
          <w:rFonts w:ascii="宋体" w:hAnsi="宋体" w:cs="宋体"/>
          <w:color w:val="auto"/>
          <w:sz w:val="24"/>
          <w:szCs w:val="32"/>
          <w:highlight w:val="none"/>
          <w:lang w:val="zh-CN"/>
        </w:rPr>
      </w:pPr>
      <w:r>
        <w:rPr>
          <w:rFonts w:hint="eastAsia" w:ascii="宋体" w:hAnsi="宋体" w:cs="宋体"/>
          <w:color w:val="auto"/>
          <w:sz w:val="24"/>
          <w:szCs w:val="32"/>
          <w:highlight w:val="none"/>
        </w:rPr>
        <w:t>投标人接到招标文件后，按照采购组织机构的要求提供：资格及商务技术文件和报价文件。【特别提示：如有要求提供资料原件的，原件另行包装，并与投标文件一起提交，投标截止时间后所有原件不予接收。资料原件也可以用与原件相符的公证原件替代</w:t>
      </w:r>
      <w:r>
        <w:rPr>
          <w:rFonts w:hint="eastAsia" w:ascii="宋体" w:hAnsi="宋体" w:cs="宋体"/>
          <w:color w:val="auto"/>
          <w:sz w:val="24"/>
          <w:szCs w:val="32"/>
          <w:highlight w:val="none"/>
          <w:lang w:val="zh-CN"/>
        </w:rPr>
        <w:t>】</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资格及商务技术文件由资格证明文件、商务与技术文件两部分内容组成。</w:t>
      </w:r>
    </w:p>
    <w:p>
      <w:pPr>
        <w:spacing w:line="360" w:lineRule="auto"/>
        <w:ind w:firstLine="482" w:firstLineChars="200"/>
        <w:rPr>
          <w:rFonts w:ascii="宋体" w:hAnsi="宋体" w:cs="宋体"/>
          <w:b/>
          <w:bCs/>
          <w:color w:val="auto"/>
          <w:sz w:val="24"/>
          <w:szCs w:val="32"/>
          <w:highlight w:val="none"/>
        </w:rPr>
      </w:pPr>
      <w:r>
        <w:rPr>
          <w:rFonts w:hint="eastAsia" w:ascii="宋体" w:hAnsi="宋体" w:cs="宋体"/>
          <w:b/>
          <w:bCs/>
          <w:color w:val="auto"/>
          <w:sz w:val="24"/>
          <w:szCs w:val="32"/>
          <w:highlight w:val="none"/>
        </w:rPr>
        <w:t>1、资格证明文件的组成：</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（1）投标声明书（附件2）；</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（2）授权委托书（附件3）；（法定代表人亲自办理投标事宜的，则无需提交）；</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（3）法人或者其他组织的营业执照等证明文件，自然人的身份证明；</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（4）</w:t>
      </w:r>
      <w:r>
        <w:rPr>
          <w:rFonts w:hint="eastAsia" w:ascii="宋体" w:hAnsi="宋体" w:cs="宋体"/>
          <w:color w:val="auto"/>
          <w:sz w:val="24"/>
          <w:szCs w:val="32"/>
          <w:highlight w:val="none"/>
          <w:lang w:eastAsia="zh-CN"/>
        </w:rPr>
        <w:t>良好财务状况证明材料或承诺</w:t>
      </w:r>
      <w:r>
        <w:rPr>
          <w:rFonts w:hint="eastAsia" w:ascii="宋体" w:hAnsi="宋体" w:cs="宋体"/>
          <w:color w:val="auto"/>
          <w:sz w:val="24"/>
          <w:szCs w:val="32"/>
          <w:highlight w:val="none"/>
        </w:rPr>
        <w:t>；</w:t>
      </w:r>
    </w:p>
    <w:p>
      <w:pPr>
        <w:spacing w:line="360" w:lineRule="auto"/>
        <w:ind w:firstLine="480" w:firstLineChars="200"/>
        <w:rPr>
          <w:rFonts w:hint="eastAsia" w:ascii="宋体" w:hAnsi="宋体" w:eastAsia="宋体" w:cs="宋体"/>
          <w:color w:val="auto"/>
          <w:sz w:val="24"/>
          <w:szCs w:val="32"/>
          <w:highlight w:val="none"/>
          <w:lang w:eastAsia="zh-CN"/>
        </w:rPr>
      </w:pPr>
      <w:r>
        <w:rPr>
          <w:rFonts w:hint="eastAsia" w:ascii="宋体" w:hAnsi="宋体" w:cs="宋体"/>
          <w:color w:val="auto"/>
          <w:sz w:val="24"/>
          <w:szCs w:val="32"/>
          <w:highlight w:val="none"/>
        </w:rPr>
        <w:t>（5）</w:t>
      </w:r>
      <w:r>
        <w:rPr>
          <w:rFonts w:hint="eastAsia" w:ascii="宋体" w:hAnsi="宋体" w:cs="宋体"/>
          <w:color w:val="auto"/>
          <w:sz w:val="24"/>
          <w:szCs w:val="32"/>
          <w:highlight w:val="none"/>
        </w:rPr>
        <w:t>投标人具备电子与智能化工程专业承包资质二级及以上</w:t>
      </w:r>
      <w:r>
        <w:rPr>
          <w:rFonts w:hint="eastAsia" w:ascii="宋体" w:hAnsi="宋体" w:cs="宋体"/>
          <w:color w:val="auto"/>
          <w:sz w:val="24"/>
          <w:szCs w:val="32"/>
          <w:highlight w:val="none"/>
          <w:lang w:val="en-US" w:eastAsia="zh-CN"/>
        </w:rPr>
        <w:t>证明</w:t>
      </w:r>
      <w:r>
        <w:rPr>
          <w:rFonts w:hint="eastAsia" w:ascii="宋体" w:hAnsi="宋体" w:cs="宋体"/>
          <w:color w:val="auto"/>
          <w:sz w:val="24"/>
          <w:szCs w:val="32"/>
          <w:highlight w:val="none"/>
        </w:rPr>
        <w:t>，以及需要说明的其他资料</w:t>
      </w:r>
      <w:r>
        <w:rPr>
          <w:rFonts w:hint="eastAsia" w:ascii="宋体" w:hAnsi="宋体" w:cs="宋体"/>
          <w:color w:val="auto"/>
          <w:sz w:val="24"/>
          <w:szCs w:val="32"/>
          <w:highlight w:val="none"/>
          <w:lang w:eastAsia="zh-CN"/>
        </w:rPr>
        <w:t>；</w:t>
      </w:r>
    </w:p>
    <w:p>
      <w:pPr>
        <w:spacing w:line="360" w:lineRule="auto"/>
        <w:ind w:firstLine="480" w:firstLineChars="200"/>
        <w:rPr>
          <w:rFonts w:hint="eastAsia" w:ascii="宋体" w:hAnsi="宋体" w:eastAsia="宋体" w:cs="宋体"/>
          <w:color w:val="auto"/>
          <w:sz w:val="24"/>
          <w:szCs w:val="32"/>
          <w:highlight w:val="none"/>
          <w:lang w:eastAsia="zh-CN"/>
        </w:rPr>
      </w:pPr>
      <w:r>
        <w:rPr>
          <w:rFonts w:hint="eastAsia" w:ascii="宋体" w:hAnsi="宋体" w:cs="宋体"/>
          <w:color w:val="auto"/>
          <w:sz w:val="24"/>
          <w:szCs w:val="32"/>
          <w:highlight w:val="none"/>
        </w:rPr>
        <w:t>（6）联合体协议（若非联合体投标则无需提供）</w:t>
      </w:r>
      <w:r>
        <w:rPr>
          <w:rFonts w:hint="eastAsia" w:ascii="宋体" w:hAnsi="宋体" w:cs="宋体"/>
          <w:color w:val="auto"/>
          <w:sz w:val="24"/>
          <w:szCs w:val="24"/>
          <w:highlight w:val="none"/>
          <w:lang w:val="zh-CN"/>
        </w:rPr>
        <w:t>（附件</w:t>
      </w:r>
      <w:r>
        <w:rPr>
          <w:rFonts w:hint="eastAsia" w:ascii="宋体" w:hAnsi="宋体" w:cs="宋体"/>
          <w:color w:val="auto"/>
          <w:sz w:val="24"/>
          <w:szCs w:val="24"/>
          <w:highlight w:val="none"/>
        </w:rPr>
        <w:t>4</w:t>
      </w:r>
      <w:r>
        <w:rPr>
          <w:rFonts w:hint="eastAsia" w:ascii="宋体" w:hAnsi="宋体" w:cs="宋体"/>
          <w:color w:val="auto"/>
          <w:sz w:val="24"/>
          <w:szCs w:val="24"/>
          <w:highlight w:val="none"/>
          <w:lang w:val="zh-CN"/>
        </w:rPr>
        <w:t>）</w:t>
      </w:r>
      <w:r>
        <w:rPr>
          <w:rFonts w:hint="eastAsia" w:ascii="宋体" w:hAnsi="宋体" w:cs="宋体"/>
          <w:color w:val="auto"/>
          <w:sz w:val="24"/>
          <w:szCs w:val="32"/>
          <w:highlight w:val="none"/>
        </w:rPr>
        <w:t>。</w:t>
      </w:r>
    </w:p>
    <w:p>
      <w:pPr>
        <w:spacing w:line="360" w:lineRule="auto"/>
        <w:ind w:firstLine="482" w:firstLineChars="200"/>
        <w:rPr>
          <w:rFonts w:ascii="宋体" w:hAnsi="宋体" w:cs="宋体"/>
          <w:b/>
          <w:bCs/>
          <w:color w:val="auto"/>
          <w:sz w:val="24"/>
          <w:szCs w:val="32"/>
          <w:highlight w:val="none"/>
        </w:rPr>
      </w:pPr>
      <w:r>
        <w:rPr>
          <w:rFonts w:hint="eastAsia" w:ascii="宋体" w:hAnsi="宋体" w:cs="宋体"/>
          <w:b/>
          <w:bCs/>
          <w:color w:val="auto"/>
          <w:sz w:val="24"/>
          <w:szCs w:val="32"/>
          <w:highlight w:val="none"/>
        </w:rPr>
        <w:t>2、商务与技术文件的组成：</w:t>
      </w:r>
    </w:p>
    <w:p>
      <w:pPr>
        <w:shd w:val="clear" w:color="auto" w:fill="auto"/>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szCs w:val="32"/>
          <w:highlight w:val="none"/>
        </w:rPr>
        <w:t>（1）</w:t>
      </w:r>
      <w:r>
        <w:rPr>
          <w:rFonts w:hint="eastAsia" w:ascii="宋体" w:hAnsi="宋体" w:cs="宋体"/>
          <w:color w:val="auto"/>
          <w:sz w:val="24"/>
          <w:highlight w:val="none"/>
        </w:rPr>
        <w:t>投标人情况介绍（附件5）；</w:t>
      </w:r>
    </w:p>
    <w:p>
      <w:pPr>
        <w:shd w:val="clear" w:color="auto" w:fill="auto"/>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（2）投标人案描述：</w:t>
      </w:r>
    </w:p>
    <w:p>
      <w:pPr>
        <w:shd w:val="clear" w:color="auto" w:fill="auto"/>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A.项目需求的理解与分析(投标人对项目现状及需求的理解情况，对项目现状和需求描述的全面性、准确性、针对性，项目功能设计完备、对系统各组成部分等功能进行准确的分析，对项目重点、难点的把握，解决方案及合理化建议)。</w:t>
      </w:r>
    </w:p>
    <w:p>
      <w:pPr>
        <w:shd w:val="clear" w:color="auto" w:fill="auto"/>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B.项目组织实施方案（包括项目工期、确保项目供货的措施或方案、项目实施进度安排、项目实施人员及项目负责人的资质、类似经验及社保证明等）。</w:t>
      </w:r>
    </w:p>
    <w:p>
      <w:pPr>
        <w:shd w:val="clear" w:color="auto" w:fill="auto"/>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项目实施人员一览表（附件6）</w:t>
      </w:r>
    </w:p>
    <w:p>
      <w:pPr>
        <w:shd w:val="clear" w:color="auto" w:fill="auto"/>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项目负责人资格情况表(附件7) </w:t>
      </w:r>
    </w:p>
    <w:p>
      <w:pPr>
        <w:shd w:val="clear" w:color="auto" w:fill="auto"/>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C.安装、调试及验收方案（包括项目验收标准和验收方法等）和措施。</w:t>
      </w:r>
    </w:p>
    <w:p>
      <w:pPr>
        <w:shd w:val="clear" w:color="auto" w:fill="auto"/>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（3）投标产品描述及相关资料：</w:t>
      </w:r>
    </w:p>
    <w:p>
      <w:pPr>
        <w:shd w:val="clear" w:color="auto" w:fill="auto"/>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A.产品清单(附件8）</w:t>
      </w:r>
    </w:p>
    <w:p>
      <w:pPr>
        <w:shd w:val="clear" w:color="auto" w:fill="auto"/>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B.投标产品技术参数、性能特点以及所遵循的技术规范等内容。</w:t>
      </w:r>
    </w:p>
    <w:p>
      <w:pPr>
        <w:shd w:val="clear" w:color="auto" w:fill="auto"/>
        <w:spacing w:line="360" w:lineRule="auto"/>
        <w:ind w:left="479" w:leftChars="228"/>
        <w:rPr>
          <w:rFonts w:ascii="宋体" w:hAnsi="宋体" w:cs="宋体"/>
          <w:color w:val="auto"/>
          <w:sz w:val="24"/>
          <w:szCs w:val="32"/>
          <w:highlight w:val="none"/>
        </w:rPr>
      </w:pPr>
      <w:r>
        <w:rPr>
          <w:rFonts w:hint="eastAsia" w:ascii="宋体" w:hAnsi="宋体" w:cs="宋体"/>
          <w:color w:val="auto"/>
          <w:sz w:val="24"/>
          <w:szCs w:val="32"/>
          <w:highlight w:val="none"/>
        </w:rPr>
        <w:t>（4）投标产品相应检测报告；</w:t>
      </w:r>
    </w:p>
    <w:p>
      <w:pPr>
        <w:shd w:val="clear" w:color="auto" w:fill="auto"/>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（5）投标产品主体列入节能产品证明资料、投标产品主体列入环境标志产品证明资料（如有）；</w:t>
      </w:r>
    </w:p>
    <w:p>
      <w:pPr>
        <w:shd w:val="clear" w:color="auto" w:fill="auto"/>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szCs w:val="32"/>
          <w:highlight w:val="none"/>
        </w:rPr>
        <w:t>（6）</w:t>
      </w:r>
      <w:r>
        <w:rPr>
          <w:rFonts w:hint="eastAsia" w:ascii="宋体" w:hAnsi="宋体" w:cs="宋体"/>
          <w:color w:val="auto"/>
          <w:sz w:val="24"/>
          <w:highlight w:val="none"/>
        </w:rPr>
        <w:t>技术需求响应表（附件9）；</w:t>
      </w:r>
    </w:p>
    <w:p>
      <w:pPr>
        <w:shd w:val="clear" w:color="auto" w:fill="auto"/>
        <w:snapToGrid w:val="0"/>
        <w:spacing w:line="360" w:lineRule="auto"/>
        <w:ind w:firstLine="470" w:firstLineChars="196"/>
        <w:rPr>
          <w:rFonts w:ascii="宋体" w:hAnsi="宋体" w:cs="宋体"/>
          <w:color w:val="auto"/>
          <w:sz w:val="24"/>
          <w:highlight w:val="none"/>
        </w:rPr>
      </w:pPr>
      <w:r>
        <w:rPr>
          <w:rFonts w:hint="eastAsia" w:ascii="宋体" w:hAnsi="宋体" w:cs="宋体"/>
          <w:color w:val="auto"/>
          <w:sz w:val="24"/>
          <w:szCs w:val="32"/>
          <w:highlight w:val="none"/>
        </w:rPr>
        <w:t>（7）</w:t>
      </w:r>
      <w:r>
        <w:rPr>
          <w:rFonts w:hint="eastAsia" w:ascii="宋体" w:hAnsi="宋体" w:cs="宋体"/>
          <w:color w:val="auto"/>
          <w:sz w:val="24"/>
          <w:highlight w:val="none"/>
        </w:rPr>
        <w:t>证书一览表（附件10）；</w:t>
      </w:r>
    </w:p>
    <w:p>
      <w:pPr>
        <w:shd w:val="clear" w:color="auto" w:fill="auto"/>
        <w:snapToGrid w:val="0"/>
        <w:spacing w:line="360" w:lineRule="auto"/>
        <w:ind w:firstLine="470" w:firstLineChars="196"/>
        <w:rPr>
          <w:rFonts w:ascii="宋体" w:hAnsi="宋体" w:cs="宋体"/>
          <w:color w:val="auto"/>
          <w:sz w:val="24"/>
          <w:highlight w:val="none"/>
        </w:rPr>
      </w:pPr>
      <w:r>
        <w:rPr>
          <w:rFonts w:hint="eastAsia" w:ascii="宋体" w:hAnsi="宋体" w:cs="宋体"/>
          <w:color w:val="auto"/>
          <w:sz w:val="24"/>
          <w:szCs w:val="32"/>
          <w:highlight w:val="none"/>
        </w:rPr>
        <w:t>（8）</w:t>
      </w:r>
      <w:r>
        <w:rPr>
          <w:rFonts w:hint="eastAsia" w:ascii="宋体" w:hAnsi="宋体" w:cs="宋体"/>
          <w:color w:val="auto"/>
          <w:sz w:val="24"/>
          <w:highlight w:val="none"/>
        </w:rPr>
        <w:t>投标人类似项目实施情况一览表（附件11）；</w:t>
      </w:r>
    </w:p>
    <w:p>
      <w:pPr>
        <w:shd w:val="clear" w:color="auto" w:fill="auto"/>
        <w:snapToGrid w:val="0"/>
        <w:spacing w:line="360" w:lineRule="auto"/>
        <w:ind w:firstLine="470" w:firstLineChars="196"/>
        <w:rPr>
          <w:rFonts w:ascii="宋体" w:hAnsi="宋体" w:cs="宋体"/>
          <w:color w:val="auto"/>
          <w:sz w:val="24"/>
          <w:highlight w:val="none"/>
        </w:rPr>
      </w:pPr>
      <w:r>
        <w:rPr>
          <w:rFonts w:hint="eastAsia" w:ascii="宋体" w:hAnsi="宋体" w:cs="宋体"/>
          <w:color w:val="auto"/>
          <w:sz w:val="24"/>
          <w:szCs w:val="32"/>
          <w:highlight w:val="none"/>
        </w:rPr>
        <w:t>（9）</w:t>
      </w:r>
      <w:r>
        <w:rPr>
          <w:rFonts w:hint="eastAsia" w:ascii="宋体" w:hAnsi="宋体" w:cs="宋体"/>
          <w:color w:val="auto"/>
          <w:sz w:val="24"/>
          <w:highlight w:val="none"/>
        </w:rPr>
        <w:t>商务需求响应表（附件12）；</w:t>
      </w:r>
    </w:p>
    <w:p>
      <w:pPr>
        <w:shd w:val="clear" w:color="auto" w:fill="auto"/>
        <w:snapToGrid w:val="0"/>
        <w:spacing w:line="360" w:lineRule="auto"/>
        <w:ind w:firstLine="470" w:firstLineChars="196"/>
        <w:rPr>
          <w:rFonts w:ascii="宋体" w:hAnsi="宋体" w:cs="宋体"/>
          <w:color w:val="auto"/>
          <w:sz w:val="24"/>
          <w:highlight w:val="none"/>
        </w:rPr>
      </w:pPr>
      <w:r>
        <w:rPr>
          <w:rFonts w:hint="eastAsia" w:ascii="宋体" w:hAnsi="宋体" w:cs="宋体"/>
          <w:color w:val="auto"/>
          <w:sz w:val="24"/>
          <w:szCs w:val="32"/>
          <w:highlight w:val="none"/>
        </w:rPr>
        <w:t>（10）</w:t>
      </w:r>
      <w:r>
        <w:rPr>
          <w:rFonts w:hint="eastAsia" w:ascii="宋体" w:hAnsi="宋体" w:cs="宋体"/>
          <w:color w:val="auto"/>
          <w:sz w:val="24"/>
          <w:highlight w:val="none"/>
        </w:rPr>
        <w:t>售后服务情况表（附件13）；</w:t>
      </w:r>
    </w:p>
    <w:p>
      <w:pPr>
        <w:shd w:val="clear" w:color="auto" w:fill="auto"/>
        <w:snapToGrid w:val="0"/>
        <w:spacing w:line="360" w:lineRule="auto"/>
        <w:ind w:firstLine="470" w:firstLineChars="196"/>
        <w:rPr>
          <w:rFonts w:ascii="宋体" w:hAnsi="宋体" w:cs="宋体"/>
          <w:color w:val="auto"/>
          <w:sz w:val="24"/>
          <w:highlight w:val="none"/>
        </w:rPr>
      </w:pPr>
      <w:r>
        <w:rPr>
          <w:rFonts w:hint="eastAsia" w:ascii="宋体" w:hAnsi="宋体" w:cs="宋体"/>
          <w:color w:val="auto"/>
          <w:sz w:val="24"/>
          <w:szCs w:val="32"/>
          <w:highlight w:val="none"/>
        </w:rPr>
        <w:t>（11）</w:t>
      </w:r>
      <w:r>
        <w:rPr>
          <w:rFonts w:hint="eastAsia" w:ascii="宋体" w:hAnsi="宋体" w:cs="宋体"/>
          <w:color w:val="auto"/>
          <w:sz w:val="24"/>
          <w:highlight w:val="none"/>
        </w:rPr>
        <w:t>投标人需要说明的其他内容。（包括可能影响投标人商务与技术文件评分的各类证明材料）</w:t>
      </w:r>
    </w:p>
    <w:p>
      <w:pPr>
        <w:spacing w:line="360" w:lineRule="auto"/>
        <w:ind w:firstLine="482" w:firstLineChars="200"/>
        <w:rPr>
          <w:rFonts w:ascii="宋体" w:hAnsi="宋体" w:cs="宋体"/>
          <w:b/>
          <w:bCs/>
          <w:color w:val="auto"/>
          <w:sz w:val="24"/>
          <w:szCs w:val="32"/>
          <w:highlight w:val="none"/>
        </w:rPr>
      </w:pPr>
      <w:r>
        <w:rPr>
          <w:rFonts w:hint="eastAsia" w:ascii="宋体" w:hAnsi="宋体" w:cs="宋体"/>
          <w:b/>
          <w:bCs/>
          <w:color w:val="auto"/>
          <w:sz w:val="24"/>
          <w:szCs w:val="32"/>
          <w:highlight w:val="none"/>
        </w:rPr>
        <w:t>3、报价文件的组成</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（1）报价文件由开标一览表、报价明细表、</w:t>
      </w:r>
      <w:r>
        <w:rPr>
          <w:rFonts w:hint="eastAsia" w:ascii="宋体" w:hAnsi="宋体" w:cs="宋体"/>
          <w:color w:val="auto"/>
          <w:sz w:val="24"/>
          <w:szCs w:val="32"/>
          <w:highlight w:val="none"/>
          <w:lang w:val="en-US" w:eastAsia="zh-CN"/>
        </w:rPr>
        <w:t>中小企业等</w:t>
      </w:r>
      <w:r>
        <w:rPr>
          <w:rFonts w:hint="eastAsia" w:ascii="宋体" w:hAnsi="宋体" w:cs="宋体"/>
          <w:color w:val="auto"/>
          <w:sz w:val="24"/>
          <w:szCs w:val="32"/>
          <w:highlight w:val="none"/>
        </w:rPr>
        <w:t>声明函（不符合</w:t>
      </w:r>
      <w:r>
        <w:rPr>
          <w:rFonts w:hint="eastAsia" w:ascii="宋体" w:hAnsi="宋体" w:cs="宋体"/>
          <w:color w:val="auto"/>
          <w:sz w:val="24"/>
          <w:szCs w:val="32"/>
          <w:highlight w:val="none"/>
          <w:lang w:val="en-US" w:eastAsia="zh-CN"/>
        </w:rPr>
        <w:t>中小</w:t>
      </w:r>
      <w:r>
        <w:rPr>
          <w:rFonts w:hint="eastAsia" w:ascii="宋体" w:hAnsi="宋体" w:cs="宋体"/>
          <w:color w:val="auto"/>
          <w:sz w:val="24"/>
          <w:szCs w:val="32"/>
          <w:highlight w:val="none"/>
        </w:rPr>
        <w:t>企业要求的无需提供</w:t>
      </w:r>
      <w:r>
        <w:rPr>
          <w:rFonts w:hint="eastAsia" w:ascii="宋体" w:hAnsi="宋体" w:cs="宋体"/>
          <w:color w:val="auto"/>
          <w:sz w:val="24"/>
          <w:szCs w:val="32"/>
          <w:highlight w:val="none"/>
          <w:lang w:eastAsia="zh-CN"/>
        </w:rPr>
        <w:t>）</w:t>
      </w:r>
      <w:r>
        <w:rPr>
          <w:rFonts w:hint="eastAsia" w:ascii="宋体" w:hAnsi="宋体" w:cs="宋体"/>
          <w:color w:val="auto"/>
          <w:sz w:val="24"/>
          <w:szCs w:val="32"/>
          <w:highlight w:val="none"/>
        </w:rPr>
        <w:t>以及投标人认为其他需要说明的内容组成。</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（2）此报价为投标人一次性报出唯一的最终价格，包含其它一切所要涉及到的费用，有选择的报价将被拒绝。</w:t>
      </w:r>
    </w:p>
    <w:p>
      <w:pPr>
        <w:spacing w:line="360" w:lineRule="auto"/>
        <w:ind w:firstLine="480" w:firstLineChars="200"/>
        <w:rPr>
          <w:rFonts w:ascii="宋体" w:hAnsi="宋体" w:cs="宋体"/>
          <w:color w:val="auto"/>
          <w:sz w:val="24"/>
          <w:szCs w:val="32"/>
          <w:highlight w:val="none"/>
          <w:lang w:val="zh-CN"/>
        </w:rPr>
      </w:pPr>
      <w:r>
        <w:rPr>
          <w:rFonts w:hint="eastAsia" w:ascii="宋体" w:hAnsi="宋体" w:cs="宋体"/>
          <w:color w:val="auto"/>
          <w:sz w:val="24"/>
          <w:szCs w:val="32"/>
          <w:highlight w:val="none"/>
          <w:lang w:val="zh-CN"/>
        </w:rPr>
        <w:t>（</w:t>
      </w:r>
      <w:r>
        <w:rPr>
          <w:rFonts w:hint="eastAsia" w:ascii="宋体" w:hAnsi="宋体" w:cs="宋体"/>
          <w:color w:val="auto"/>
          <w:sz w:val="24"/>
          <w:szCs w:val="32"/>
          <w:highlight w:val="none"/>
        </w:rPr>
        <w:t>3</w:t>
      </w:r>
      <w:r>
        <w:rPr>
          <w:rFonts w:hint="eastAsia" w:ascii="宋体" w:hAnsi="宋体" w:cs="宋体"/>
          <w:color w:val="auto"/>
          <w:sz w:val="24"/>
          <w:szCs w:val="32"/>
          <w:highlight w:val="none"/>
          <w:lang w:val="zh-CN"/>
        </w:rPr>
        <w:t>）</w:t>
      </w:r>
      <w:r>
        <w:rPr>
          <w:rFonts w:hint="eastAsia" w:ascii="宋体" w:hAnsi="宋体" w:cs="宋体"/>
          <w:color w:val="auto"/>
          <w:sz w:val="24"/>
          <w:szCs w:val="32"/>
          <w:highlight w:val="none"/>
        </w:rPr>
        <w:t>投标报价是包括货款、标准附件、备品备件、专用工具、包装、运输、装卸、保险、税金、货到就位以及安装、调试、培训、保修、合同包含的所有风险责任等各项费用及不可预见费等所需的全部费用，全部费用已包含在开标一览表的投标报价中</w:t>
      </w:r>
      <w:r>
        <w:rPr>
          <w:rFonts w:hint="eastAsia" w:ascii="宋体" w:hAnsi="宋体" w:cs="宋体"/>
          <w:color w:val="auto"/>
          <w:sz w:val="24"/>
          <w:szCs w:val="32"/>
          <w:highlight w:val="none"/>
          <w:lang w:val="zh-CN"/>
        </w:rPr>
        <w:t>。</w:t>
      </w:r>
    </w:p>
    <w:p>
      <w:pPr>
        <w:spacing w:line="360" w:lineRule="auto"/>
        <w:ind w:firstLine="480" w:firstLineChars="200"/>
        <w:rPr>
          <w:rFonts w:ascii="宋体" w:hAnsi="宋体" w:cs="宋体"/>
          <w:color w:val="auto"/>
          <w:sz w:val="24"/>
          <w:szCs w:val="32"/>
          <w:highlight w:val="none"/>
          <w:lang w:val="zh-CN"/>
        </w:rPr>
      </w:pPr>
      <w:r>
        <w:rPr>
          <w:rFonts w:hint="eastAsia" w:ascii="宋体" w:hAnsi="宋体" w:cs="宋体"/>
          <w:color w:val="auto"/>
          <w:sz w:val="24"/>
          <w:szCs w:val="32"/>
          <w:highlight w:val="none"/>
          <w:lang w:val="zh-CN"/>
        </w:rPr>
        <w:t>（</w:t>
      </w:r>
      <w:r>
        <w:rPr>
          <w:rFonts w:hint="eastAsia" w:ascii="宋体" w:hAnsi="宋体" w:cs="宋体"/>
          <w:color w:val="auto"/>
          <w:sz w:val="24"/>
          <w:szCs w:val="32"/>
          <w:highlight w:val="none"/>
        </w:rPr>
        <w:t>4</w:t>
      </w:r>
      <w:r>
        <w:rPr>
          <w:rFonts w:hint="eastAsia" w:ascii="宋体" w:hAnsi="宋体" w:cs="宋体"/>
          <w:color w:val="auto"/>
          <w:sz w:val="24"/>
          <w:szCs w:val="32"/>
          <w:highlight w:val="none"/>
          <w:lang w:val="zh-CN"/>
        </w:rPr>
        <w:t>）</w:t>
      </w:r>
      <w:r>
        <w:rPr>
          <w:rFonts w:hint="eastAsia" w:ascii="宋体" w:hAnsi="宋体" w:cs="宋体"/>
          <w:color w:val="auto"/>
          <w:sz w:val="24"/>
          <w:szCs w:val="32"/>
          <w:highlight w:val="none"/>
        </w:rPr>
        <w:t>政府采购优惠政策相关资料（如有）。</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（5）相关报价单需打印或用不退色的墨水填写， 投标报价单不得涂改和增删，如有错漏必须修改，修改处须由同一签署人签字或盖章。由于字迹模糊或表达不清引起的后果由投标人负责。</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（6）投标报价应按招标文件中相关附表格式填写。</w:t>
      </w:r>
    </w:p>
    <w:p>
      <w:pPr>
        <w:spacing w:line="360" w:lineRule="auto"/>
        <w:ind w:firstLine="241" w:firstLineChars="100"/>
        <w:rPr>
          <w:rFonts w:ascii="宋体" w:hAnsi="宋体" w:cs="宋体"/>
          <w:b/>
          <w:bCs/>
          <w:color w:val="auto"/>
          <w:sz w:val="24"/>
          <w:szCs w:val="32"/>
          <w:highlight w:val="none"/>
        </w:rPr>
      </w:pPr>
      <w:r>
        <w:rPr>
          <w:rFonts w:hint="eastAsia" w:ascii="宋体" w:hAnsi="宋体" w:cs="宋体"/>
          <w:b/>
          <w:bCs/>
          <w:color w:val="auto"/>
          <w:sz w:val="24"/>
          <w:szCs w:val="32"/>
          <w:highlight w:val="none"/>
        </w:rPr>
        <w:t>（二）投标文件的制作、封装及递交要求</w:t>
      </w:r>
    </w:p>
    <w:p>
      <w:pPr>
        <w:spacing w:line="360" w:lineRule="auto"/>
        <w:ind w:firstLine="482" w:firstLineChars="200"/>
        <w:rPr>
          <w:rFonts w:ascii="宋体" w:hAnsi="宋体" w:cs="宋体"/>
          <w:b/>
          <w:bCs/>
          <w:color w:val="auto"/>
          <w:sz w:val="24"/>
          <w:szCs w:val="32"/>
          <w:highlight w:val="none"/>
          <w:lang w:val="en-GB"/>
        </w:rPr>
      </w:pPr>
      <w:r>
        <w:rPr>
          <w:rFonts w:hint="eastAsia" w:ascii="宋体" w:hAnsi="宋体" w:cs="宋体"/>
          <w:b/>
          <w:bCs/>
          <w:color w:val="auto"/>
          <w:sz w:val="24"/>
          <w:szCs w:val="32"/>
          <w:highlight w:val="none"/>
        </w:rPr>
        <w:t>1</w:t>
      </w:r>
      <w:r>
        <w:rPr>
          <w:rFonts w:hint="eastAsia" w:ascii="宋体" w:hAnsi="宋体" w:cs="宋体"/>
          <w:b/>
          <w:bCs/>
          <w:color w:val="auto"/>
          <w:sz w:val="24"/>
          <w:szCs w:val="32"/>
          <w:highlight w:val="none"/>
          <w:lang w:eastAsia="zh-CN"/>
        </w:rPr>
        <w:t>、</w:t>
      </w:r>
      <w:r>
        <w:rPr>
          <w:rFonts w:hint="eastAsia" w:ascii="宋体" w:hAnsi="宋体" w:cs="宋体"/>
          <w:b/>
          <w:bCs/>
          <w:color w:val="auto"/>
          <w:sz w:val="24"/>
          <w:szCs w:val="32"/>
          <w:highlight w:val="none"/>
          <w:lang w:val="en-GB"/>
        </w:rPr>
        <w:t>投标文件的编制</w:t>
      </w:r>
    </w:p>
    <w:p>
      <w:pPr>
        <w:spacing w:line="360" w:lineRule="auto"/>
        <w:ind w:firstLine="480" w:firstLineChars="200"/>
        <w:rPr>
          <w:rFonts w:ascii="宋体" w:hAnsi="宋体" w:cs="宋体"/>
          <w:color w:val="auto"/>
          <w:sz w:val="24"/>
          <w:szCs w:val="32"/>
          <w:highlight w:val="none"/>
          <w:lang w:val="en-GB"/>
        </w:rPr>
      </w:pPr>
      <w:r>
        <w:rPr>
          <w:rFonts w:hint="eastAsia" w:ascii="宋体" w:hAnsi="宋体" w:cs="宋体"/>
          <w:color w:val="auto"/>
          <w:sz w:val="24"/>
          <w:szCs w:val="32"/>
          <w:highlight w:val="none"/>
        </w:rPr>
        <w:t>1</w:t>
      </w:r>
      <w:r>
        <w:rPr>
          <w:rFonts w:hint="eastAsia" w:ascii="宋体" w:hAnsi="宋体" w:cs="宋体"/>
          <w:color w:val="auto"/>
          <w:sz w:val="24"/>
          <w:szCs w:val="32"/>
          <w:highlight w:val="none"/>
          <w:lang w:val="en-GB"/>
        </w:rPr>
        <w:t>.1本项目通过“政府采购云平台（www.zcygov.cn）”实行在线投标响应（电子投标）。投标人应通过“政采云电子交易客户端”，并按照本招标文件和“政府采购云平台”的要求编制并加密投标文件。</w:t>
      </w:r>
    </w:p>
    <w:p>
      <w:pPr>
        <w:spacing w:line="360" w:lineRule="auto"/>
        <w:ind w:firstLine="480" w:firstLineChars="200"/>
        <w:rPr>
          <w:rFonts w:ascii="宋体" w:hAnsi="宋体" w:cs="宋体"/>
          <w:color w:val="auto"/>
          <w:sz w:val="24"/>
          <w:szCs w:val="32"/>
          <w:highlight w:val="none"/>
          <w:lang w:val="en-GB"/>
        </w:rPr>
      </w:pPr>
      <w:r>
        <w:rPr>
          <w:rFonts w:hint="eastAsia" w:ascii="宋体" w:hAnsi="宋体" w:cs="宋体"/>
          <w:color w:val="auto"/>
          <w:sz w:val="24"/>
          <w:szCs w:val="32"/>
          <w:highlight w:val="none"/>
          <w:lang w:val="en-GB"/>
        </w:rPr>
        <w:t>1.2投标人应当按照本章节 “投标文件组成”规定的内容及顺序在“政采云电子交易客户端”编制投标文件。其中</w:t>
      </w:r>
      <w:r>
        <w:rPr>
          <w:rFonts w:hint="eastAsia" w:ascii="宋体" w:hAnsi="宋体" w:cs="宋体"/>
          <w:color w:val="auto"/>
          <w:sz w:val="24"/>
          <w:szCs w:val="32"/>
          <w:highlight w:val="none"/>
        </w:rPr>
        <w:t>资格及商务技术文件</w:t>
      </w:r>
      <w:r>
        <w:rPr>
          <w:rFonts w:hint="eastAsia" w:ascii="宋体" w:hAnsi="宋体" w:cs="宋体"/>
          <w:color w:val="auto"/>
          <w:sz w:val="24"/>
          <w:szCs w:val="32"/>
          <w:highlight w:val="none"/>
          <w:lang w:val="en-GB"/>
        </w:rPr>
        <w:t>中不得出现本项目投标报价，如因投标人原因提前泄露投标报价，是投标人的责任。</w:t>
      </w:r>
    </w:p>
    <w:p>
      <w:pPr>
        <w:spacing w:line="360" w:lineRule="auto"/>
        <w:ind w:firstLine="480" w:firstLineChars="200"/>
        <w:rPr>
          <w:rFonts w:ascii="宋体" w:hAnsi="宋体" w:cs="宋体"/>
          <w:color w:val="auto"/>
          <w:sz w:val="24"/>
          <w:szCs w:val="32"/>
          <w:highlight w:val="none"/>
          <w:lang w:val="en-GB"/>
        </w:rPr>
      </w:pPr>
      <w:r>
        <w:rPr>
          <w:rFonts w:hint="eastAsia" w:ascii="宋体" w:hAnsi="宋体" w:cs="宋体"/>
          <w:color w:val="auto"/>
          <w:sz w:val="24"/>
          <w:szCs w:val="32"/>
          <w:highlight w:val="none"/>
          <w:lang w:val="zh-CN"/>
        </w:rPr>
        <w:t>1.3投标文件分为</w:t>
      </w:r>
      <w:r>
        <w:rPr>
          <w:rFonts w:hint="eastAsia" w:ascii="宋体" w:hAnsi="宋体" w:cs="宋体"/>
          <w:color w:val="auto"/>
          <w:sz w:val="24"/>
          <w:szCs w:val="32"/>
          <w:highlight w:val="none"/>
        </w:rPr>
        <w:t>资格及商务技术文件、报价文件二部分</w:t>
      </w:r>
      <w:r>
        <w:rPr>
          <w:rFonts w:hint="eastAsia" w:ascii="宋体" w:hAnsi="宋体" w:cs="宋体"/>
          <w:color w:val="auto"/>
          <w:sz w:val="24"/>
          <w:szCs w:val="32"/>
          <w:highlight w:val="none"/>
          <w:lang w:val="zh-CN"/>
        </w:rPr>
        <w:t>。各投标人在编制投标文件时请按照采购文件第六部分规定的格式进行，</w:t>
      </w:r>
      <w:r>
        <w:rPr>
          <w:rFonts w:hint="eastAsia" w:ascii="宋体" w:hAnsi="宋体" w:cs="宋体"/>
          <w:color w:val="auto"/>
          <w:sz w:val="24"/>
          <w:szCs w:val="32"/>
          <w:highlight w:val="none"/>
          <w:lang w:val="en-GB"/>
        </w:rPr>
        <w:t>并按格式要求在指定位置根据要求进行签章，否则视为未提供，未提供格式的，请各投标人自行拟定格式，并加盖单位公章并由法定代表人或其授权</w:t>
      </w:r>
      <w:r>
        <w:rPr>
          <w:rFonts w:hint="eastAsia" w:ascii="宋体" w:hAnsi="宋体" w:cs="宋体"/>
          <w:color w:val="auto"/>
          <w:sz w:val="24"/>
          <w:szCs w:val="32"/>
          <w:highlight w:val="none"/>
          <w:lang w:val="en-GB" w:eastAsia="zh-CN"/>
        </w:rPr>
        <w:t>委托代理人</w:t>
      </w:r>
      <w:r>
        <w:rPr>
          <w:rFonts w:hint="eastAsia" w:ascii="宋体" w:hAnsi="宋体" w:cs="宋体"/>
          <w:color w:val="auto"/>
          <w:sz w:val="24"/>
          <w:szCs w:val="32"/>
          <w:highlight w:val="none"/>
          <w:lang w:val="en-GB"/>
        </w:rPr>
        <w:t>签署（签字或盖章），否则视为未提供。</w:t>
      </w:r>
    </w:p>
    <w:p>
      <w:pPr>
        <w:spacing w:line="360" w:lineRule="auto"/>
        <w:ind w:firstLine="480" w:firstLineChars="200"/>
        <w:rPr>
          <w:rFonts w:ascii="宋体" w:hAnsi="宋体" w:cs="宋体"/>
          <w:color w:val="auto"/>
          <w:sz w:val="24"/>
          <w:szCs w:val="32"/>
          <w:highlight w:val="none"/>
          <w:lang w:val="en-GB"/>
        </w:rPr>
      </w:pPr>
      <w:r>
        <w:rPr>
          <w:rFonts w:hint="eastAsia" w:ascii="宋体" w:hAnsi="宋体" w:cs="宋体"/>
          <w:color w:val="auto"/>
          <w:sz w:val="24"/>
          <w:szCs w:val="32"/>
          <w:highlight w:val="none"/>
          <w:lang w:val="en-GB"/>
        </w:rPr>
        <w:t>1.4《投标文件》内容不完整、</w:t>
      </w:r>
      <w:r>
        <w:rPr>
          <w:rFonts w:hint="eastAsia" w:ascii="宋体" w:hAnsi="宋体" w:cs="宋体"/>
          <w:color w:val="auto"/>
          <w:sz w:val="24"/>
          <w:szCs w:val="32"/>
          <w:highlight w:val="none"/>
          <w:lang w:val="zh-CN"/>
        </w:rPr>
        <w:t>混乱的编排导致投标文件被误读或评标委员会查找不到有效文件是投标人的责任。</w:t>
      </w:r>
      <w:r>
        <w:rPr>
          <w:rFonts w:hint="eastAsia" w:ascii="宋体" w:hAnsi="宋体" w:cs="宋体"/>
          <w:color w:val="auto"/>
          <w:sz w:val="24"/>
          <w:szCs w:val="32"/>
          <w:highlight w:val="none"/>
          <w:lang w:val="en-GB"/>
        </w:rPr>
        <w:t>《投标文件》因字迹潦草或表达不清所引起的后果由投标人负责。</w:t>
      </w:r>
    </w:p>
    <w:p>
      <w:pPr>
        <w:spacing w:line="360" w:lineRule="auto"/>
        <w:ind w:firstLine="482" w:firstLineChars="200"/>
        <w:rPr>
          <w:rFonts w:ascii="宋体" w:hAnsi="宋体" w:cs="宋体"/>
          <w:b/>
          <w:bCs/>
          <w:color w:val="auto"/>
          <w:sz w:val="24"/>
          <w:szCs w:val="32"/>
          <w:highlight w:val="none"/>
          <w:lang w:val="en-GB"/>
        </w:rPr>
      </w:pPr>
      <w:r>
        <w:rPr>
          <w:rFonts w:hint="eastAsia" w:ascii="宋体" w:hAnsi="宋体" w:cs="宋体"/>
          <w:b/>
          <w:bCs/>
          <w:color w:val="auto"/>
          <w:sz w:val="24"/>
          <w:szCs w:val="32"/>
          <w:highlight w:val="none"/>
          <w:lang w:val="en-GB"/>
        </w:rPr>
        <w:t>2</w:t>
      </w:r>
      <w:r>
        <w:rPr>
          <w:rFonts w:hint="eastAsia" w:ascii="宋体" w:hAnsi="宋体" w:cs="宋体"/>
          <w:b/>
          <w:bCs/>
          <w:color w:val="auto"/>
          <w:sz w:val="24"/>
          <w:szCs w:val="32"/>
          <w:highlight w:val="none"/>
          <w:lang w:val="en-GB" w:eastAsia="zh-CN"/>
        </w:rPr>
        <w:t>、</w:t>
      </w:r>
      <w:r>
        <w:rPr>
          <w:rFonts w:hint="eastAsia" w:ascii="宋体" w:hAnsi="宋体" w:cs="宋体"/>
          <w:b/>
          <w:bCs/>
          <w:color w:val="auto"/>
          <w:sz w:val="24"/>
          <w:szCs w:val="32"/>
          <w:highlight w:val="none"/>
          <w:lang w:val="en-GB"/>
        </w:rPr>
        <w:t>提供纸质投标文件要求：见《前附表》</w:t>
      </w:r>
    </w:p>
    <w:p>
      <w:pPr>
        <w:spacing w:line="360" w:lineRule="auto"/>
        <w:ind w:firstLine="482" w:firstLineChars="200"/>
        <w:rPr>
          <w:rFonts w:ascii="宋体" w:hAnsi="宋体" w:cs="宋体"/>
          <w:b/>
          <w:bCs/>
          <w:color w:val="auto"/>
          <w:sz w:val="24"/>
          <w:szCs w:val="32"/>
          <w:highlight w:val="none"/>
          <w:lang w:val="en-GB"/>
        </w:rPr>
      </w:pPr>
      <w:r>
        <w:rPr>
          <w:rFonts w:hint="eastAsia" w:ascii="宋体" w:hAnsi="宋体" w:cs="宋体"/>
          <w:b/>
          <w:bCs/>
          <w:color w:val="auto"/>
          <w:sz w:val="24"/>
          <w:szCs w:val="32"/>
          <w:highlight w:val="none"/>
          <w:lang w:val="en-GB"/>
        </w:rPr>
        <w:t>3</w:t>
      </w:r>
      <w:r>
        <w:rPr>
          <w:rFonts w:hint="eastAsia" w:ascii="宋体" w:hAnsi="宋体" w:cs="宋体"/>
          <w:b/>
          <w:bCs/>
          <w:color w:val="auto"/>
          <w:sz w:val="24"/>
          <w:szCs w:val="32"/>
          <w:highlight w:val="none"/>
          <w:lang w:val="en-GB" w:eastAsia="zh-CN"/>
        </w:rPr>
        <w:t>、</w:t>
      </w:r>
      <w:r>
        <w:rPr>
          <w:rFonts w:hint="eastAsia" w:ascii="宋体" w:hAnsi="宋体" w:cs="宋体"/>
          <w:b/>
          <w:bCs/>
          <w:color w:val="auto"/>
          <w:sz w:val="24"/>
          <w:szCs w:val="32"/>
          <w:highlight w:val="none"/>
          <w:lang w:val="en-GB"/>
        </w:rPr>
        <w:t>投标文件的签章</w:t>
      </w:r>
    </w:p>
    <w:p>
      <w:pPr>
        <w:spacing w:line="360" w:lineRule="auto"/>
        <w:ind w:firstLine="480" w:firstLineChars="200"/>
        <w:rPr>
          <w:rFonts w:ascii="宋体" w:hAnsi="宋体" w:cs="宋体"/>
          <w:color w:val="auto"/>
          <w:sz w:val="24"/>
          <w:szCs w:val="32"/>
          <w:highlight w:val="none"/>
          <w:lang w:val="en-GB"/>
        </w:rPr>
      </w:pPr>
      <w:r>
        <w:rPr>
          <w:rFonts w:hint="eastAsia" w:ascii="宋体" w:hAnsi="宋体" w:cs="宋体"/>
          <w:color w:val="auto"/>
          <w:sz w:val="24"/>
          <w:szCs w:val="32"/>
          <w:highlight w:val="none"/>
          <w:lang w:val="en-GB"/>
        </w:rPr>
        <w:t>投标文件按照采购文件第六部分格式要求进行签署、盖章。投标人的投标文件未按照采购文件要求签署、盖章的，其投标无效；其中电子投标文件中所须加盖公章部分均采用CA签章，并根据《政府采购项目电子交易管理操作指南-供应商》及本招标文件规定的格式和顺序编制电子投标文件并进行关联定位。</w:t>
      </w:r>
    </w:p>
    <w:p>
      <w:pPr>
        <w:spacing w:line="360" w:lineRule="auto"/>
        <w:ind w:firstLine="482" w:firstLineChars="200"/>
        <w:rPr>
          <w:rFonts w:ascii="宋体" w:hAnsi="宋体" w:cs="宋体"/>
          <w:b/>
          <w:bCs/>
          <w:color w:val="auto"/>
          <w:sz w:val="24"/>
          <w:szCs w:val="32"/>
          <w:highlight w:val="none"/>
          <w:lang w:val="en-GB"/>
        </w:rPr>
      </w:pPr>
      <w:r>
        <w:rPr>
          <w:rFonts w:hint="eastAsia" w:ascii="宋体" w:hAnsi="宋体" w:cs="宋体"/>
          <w:b/>
          <w:bCs/>
          <w:color w:val="auto"/>
          <w:sz w:val="24"/>
          <w:szCs w:val="32"/>
          <w:highlight w:val="none"/>
          <w:lang w:val="en-GB"/>
        </w:rPr>
        <w:t>4</w:t>
      </w:r>
      <w:r>
        <w:rPr>
          <w:rFonts w:hint="eastAsia" w:ascii="宋体" w:hAnsi="宋体" w:cs="宋体"/>
          <w:b/>
          <w:bCs/>
          <w:color w:val="auto"/>
          <w:sz w:val="24"/>
          <w:szCs w:val="32"/>
          <w:highlight w:val="none"/>
          <w:lang w:val="en-GB" w:eastAsia="zh-CN"/>
        </w:rPr>
        <w:t>、</w:t>
      </w:r>
      <w:r>
        <w:rPr>
          <w:rFonts w:hint="eastAsia" w:ascii="宋体" w:hAnsi="宋体" w:cs="宋体"/>
          <w:b/>
          <w:bCs/>
          <w:color w:val="auto"/>
          <w:sz w:val="24"/>
          <w:szCs w:val="32"/>
          <w:highlight w:val="none"/>
          <w:lang w:val="en-GB"/>
        </w:rPr>
        <w:t>备份投标文件的密封与标志</w:t>
      </w:r>
    </w:p>
    <w:p>
      <w:pPr>
        <w:spacing w:line="360" w:lineRule="auto"/>
        <w:ind w:firstLine="480" w:firstLineChars="200"/>
        <w:rPr>
          <w:rFonts w:ascii="宋体" w:hAnsi="宋体" w:cs="宋体"/>
          <w:color w:val="auto"/>
          <w:sz w:val="24"/>
          <w:szCs w:val="32"/>
          <w:highlight w:val="none"/>
          <w:lang w:val="en-GB"/>
        </w:rPr>
      </w:pPr>
      <w:r>
        <w:rPr>
          <w:rFonts w:hint="eastAsia" w:ascii="宋体" w:hAnsi="宋体" w:cs="宋体"/>
          <w:color w:val="auto"/>
          <w:sz w:val="24"/>
          <w:szCs w:val="32"/>
          <w:highlight w:val="none"/>
          <w:lang w:val="en-GB"/>
        </w:rPr>
        <w:t>4.1备份投标文件须密封包装。没有密封包装的投标文件，将被拒收。</w:t>
      </w:r>
    </w:p>
    <w:p>
      <w:pPr>
        <w:spacing w:line="360" w:lineRule="auto"/>
        <w:ind w:firstLine="480" w:firstLineChars="200"/>
        <w:rPr>
          <w:rFonts w:ascii="宋体" w:hAnsi="宋体" w:cs="宋体"/>
          <w:color w:val="auto"/>
          <w:sz w:val="24"/>
          <w:szCs w:val="32"/>
          <w:highlight w:val="none"/>
          <w:lang w:val="en-GB"/>
        </w:rPr>
      </w:pPr>
      <w:r>
        <w:rPr>
          <w:rFonts w:hint="eastAsia" w:ascii="宋体" w:hAnsi="宋体" w:cs="宋体"/>
          <w:color w:val="auto"/>
          <w:sz w:val="24"/>
          <w:szCs w:val="32"/>
          <w:highlight w:val="none"/>
          <w:lang w:val="en-GB"/>
        </w:rPr>
        <w:t>4.2备份投标文件包装封面物应写明项目名称、投标人名称</w:t>
      </w:r>
      <w:r>
        <w:rPr>
          <w:rFonts w:hint="eastAsia" w:ascii="宋体" w:hAnsi="宋体" w:cs="宋体"/>
          <w:color w:val="auto"/>
          <w:sz w:val="24"/>
          <w:szCs w:val="32"/>
          <w:highlight w:val="none"/>
          <w:lang w:val="en-GB" w:eastAsia="zh-CN"/>
        </w:rPr>
        <w:t>（</w:t>
      </w:r>
      <w:r>
        <w:rPr>
          <w:rFonts w:hint="eastAsia" w:ascii="宋体" w:hAnsi="宋体" w:cs="宋体"/>
          <w:color w:val="auto"/>
          <w:sz w:val="24"/>
          <w:szCs w:val="32"/>
          <w:highlight w:val="none"/>
          <w:lang w:val="en-GB"/>
        </w:rPr>
        <w:t>联合体投标的，包装物封面需注明联合体投标，并注明联合体成员各方的名称和联合体协议中约定的牵头人的名称</w:t>
      </w:r>
      <w:r>
        <w:rPr>
          <w:rFonts w:hint="eastAsia" w:ascii="宋体" w:hAnsi="宋体" w:cs="宋体"/>
          <w:color w:val="auto"/>
          <w:sz w:val="24"/>
          <w:szCs w:val="32"/>
          <w:highlight w:val="none"/>
          <w:lang w:val="en-GB" w:eastAsia="zh-CN"/>
        </w:rPr>
        <w:t>）</w:t>
      </w:r>
      <w:r>
        <w:rPr>
          <w:rFonts w:hint="eastAsia" w:ascii="宋体" w:hAnsi="宋体" w:cs="宋体"/>
          <w:color w:val="auto"/>
          <w:sz w:val="24"/>
          <w:szCs w:val="32"/>
          <w:highlight w:val="none"/>
          <w:lang w:val="en-GB"/>
        </w:rPr>
        <w:t>。</w:t>
      </w:r>
    </w:p>
    <w:p>
      <w:pPr>
        <w:spacing w:line="360" w:lineRule="auto"/>
        <w:ind w:firstLine="482" w:firstLineChars="200"/>
        <w:rPr>
          <w:rFonts w:ascii="宋体" w:hAnsi="宋体" w:cs="宋体"/>
          <w:b/>
          <w:bCs/>
          <w:color w:val="auto"/>
          <w:sz w:val="24"/>
          <w:szCs w:val="32"/>
          <w:highlight w:val="none"/>
          <w:lang w:val="en-GB"/>
        </w:rPr>
      </w:pPr>
      <w:r>
        <w:rPr>
          <w:rFonts w:hint="eastAsia" w:ascii="宋体" w:hAnsi="宋体" w:cs="宋体"/>
          <w:b/>
          <w:bCs/>
          <w:color w:val="auto"/>
          <w:sz w:val="24"/>
          <w:szCs w:val="32"/>
          <w:highlight w:val="none"/>
          <w:lang w:val="en-GB"/>
        </w:rPr>
        <w:t>5</w:t>
      </w:r>
      <w:r>
        <w:rPr>
          <w:rFonts w:hint="eastAsia" w:ascii="宋体" w:hAnsi="宋体" w:cs="宋体"/>
          <w:b/>
          <w:bCs/>
          <w:color w:val="auto"/>
          <w:sz w:val="24"/>
          <w:szCs w:val="32"/>
          <w:highlight w:val="none"/>
          <w:lang w:val="en-GB" w:eastAsia="zh-CN"/>
        </w:rPr>
        <w:t>、</w:t>
      </w:r>
      <w:r>
        <w:rPr>
          <w:rFonts w:hint="eastAsia" w:ascii="宋体" w:hAnsi="宋体" w:cs="宋体"/>
          <w:b/>
          <w:bCs/>
          <w:color w:val="auto"/>
          <w:sz w:val="24"/>
          <w:szCs w:val="32"/>
          <w:highlight w:val="none"/>
          <w:lang w:val="en-GB"/>
        </w:rPr>
        <w:t>投标文件的上传和递交</w:t>
      </w:r>
    </w:p>
    <w:p>
      <w:pPr>
        <w:spacing w:line="360" w:lineRule="auto"/>
        <w:ind w:firstLine="480" w:firstLineChars="200"/>
        <w:rPr>
          <w:rFonts w:ascii="宋体" w:hAnsi="宋体" w:cs="宋体"/>
          <w:color w:val="auto"/>
          <w:sz w:val="24"/>
          <w:szCs w:val="32"/>
          <w:highlight w:val="none"/>
          <w:lang w:val="en-GB"/>
        </w:rPr>
      </w:pPr>
      <w:r>
        <w:rPr>
          <w:rFonts w:hint="eastAsia" w:ascii="宋体" w:hAnsi="宋体" w:cs="宋体"/>
          <w:color w:val="auto"/>
          <w:sz w:val="24"/>
          <w:szCs w:val="32"/>
          <w:highlight w:val="none"/>
          <w:lang w:val="en-GB"/>
        </w:rPr>
        <w:t>5.1“投标文件”的上传、递交：见《前附表》。未传输递交电子投标文件的，投标无效。</w:t>
      </w:r>
    </w:p>
    <w:p>
      <w:pPr>
        <w:spacing w:line="360" w:lineRule="auto"/>
        <w:ind w:firstLine="480" w:firstLineChars="200"/>
        <w:rPr>
          <w:rFonts w:ascii="宋体" w:hAnsi="宋体" w:cs="宋体"/>
          <w:color w:val="auto"/>
          <w:sz w:val="24"/>
          <w:szCs w:val="32"/>
          <w:highlight w:val="none"/>
          <w:lang w:val="en-GB"/>
        </w:rPr>
      </w:pPr>
      <w:r>
        <w:rPr>
          <w:rFonts w:hint="eastAsia" w:ascii="宋体" w:hAnsi="宋体" w:cs="宋体"/>
          <w:color w:val="auto"/>
          <w:sz w:val="24"/>
          <w:szCs w:val="32"/>
          <w:highlight w:val="none"/>
          <w:lang w:val="en-GB"/>
        </w:rPr>
        <w:t>5.</w:t>
      </w:r>
      <w:r>
        <w:rPr>
          <w:rFonts w:hint="eastAsia" w:ascii="宋体" w:hAnsi="宋体" w:cs="宋体"/>
          <w:color w:val="auto"/>
          <w:sz w:val="24"/>
          <w:szCs w:val="32"/>
          <w:highlight w:val="none"/>
        </w:rPr>
        <w:t>2</w:t>
      </w:r>
      <w:r>
        <w:rPr>
          <w:rFonts w:hint="eastAsia" w:ascii="宋体" w:hAnsi="宋体" w:cs="宋体"/>
          <w:color w:val="auto"/>
          <w:sz w:val="24"/>
          <w:szCs w:val="32"/>
          <w:highlight w:val="none"/>
          <w:lang w:val="en-GB"/>
        </w:rPr>
        <w:t>投标人应当在投标截止时间将以介质存储的数据电文形式的备份投标文件和纸质备份投标文件分别密封送交到招标公告规定的投标地点。未按规定提供相应的备份投标文件，造成项目开评标活动无法进行下去的，投标无效。采购机构将拒绝接受逾期送达的投标文件。</w:t>
      </w:r>
    </w:p>
    <w:p>
      <w:pPr>
        <w:spacing w:line="360" w:lineRule="auto"/>
        <w:ind w:firstLine="480" w:firstLineChars="200"/>
        <w:rPr>
          <w:rFonts w:ascii="宋体" w:hAnsi="宋体" w:cs="宋体"/>
          <w:color w:val="auto"/>
          <w:sz w:val="24"/>
          <w:szCs w:val="32"/>
          <w:highlight w:val="none"/>
          <w:lang w:val="en-GB"/>
        </w:rPr>
      </w:pPr>
      <w:r>
        <w:rPr>
          <w:rFonts w:hint="eastAsia" w:ascii="宋体" w:hAnsi="宋体" w:cs="宋体"/>
          <w:color w:val="auto"/>
          <w:sz w:val="24"/>
          <w:szCs w:val="32"/>
          <w:highlight w:val="none"/>
          <w:lang w:val="en-GB"/>
        </w:rPr>
        <w:t>5.</w:t>
      </w:r>
      <w:r>
        <w:rPr>
          <w:rFonts w:hint="eastAsia" w:ascii="宋体" w:hAnsi="宋体" w:cs="宋体"/>
          <w:color w:val="auto"/>
          <w:sz w:val="24"/>
          <w:szCs w:val="32"/>
          <w:highlight w:val="none"/>
        </w:rPr>
        <w:t>3</w:t>
      </w:r>
      <w:r>
        <w:rPr>
          <w:rFonts w:hint="eastAsia" w:ascii="宋体" w:hAnsi="宋体" w:cs="宋体"/>
          <w:color w:val="auto"/>
          <w:sz w:val="24"/>
          <w:szCs w:val="32"/>
          <w:highlight w:val="none"/>
          <w:lang w:val="en-GB"/>
        </w:rPr>
        <w:t>投标文件的备选方案</w:t>
      </w:r>
    </w:p>
    <w:p>
      <w:pPr>
        <w:spacing w:line="360" w:lineRule="auto"/>
        <w:ind w:firstLine="480" w:firstLineChars="200"/>
        <w:rPr>
          <w:rFonts w:ascii="宋体" w:hAnsi="宋体" w:cs="宋体"/>
          <w:color w:val="auto"/>
          <w:sz w:val="24"/>
          <w:szCs w:val="32"/>
          <w:highlight w:val="none"/>
          <w:lang w:val="en-GB"/>
        </w:rPr>
      </w:pPr>
      <w:r>
        <w:rPr>
          <w:rFonts w:hint="eastAsia" w:ascii="宋体" w:hAnsi="宋体" w:cs="宋体"/>
          <w:color w:val="auto"/>
          <w:sz w:val="24"/>
          <w:szCs w:val="32"/>
          <w:highlight w:val="none"/>
          <w:lang w:val="en-GB"/>
        </w:rPr>
        <w:t>投标人不得递交任何的投标备选（替代）方案，否则其投标文件将作无效标处理。与“电子加密投标文件”同时生成的“备份投标文件”不是投标备选（替代）方案。</w:t>
      </w:r>
    </w:p>
    <w:p>
      <w:pPr>
        <w:spacing w:line="360" w:lineRule="auto"/>
        <w:ind w:firstLine="480" w:firstLineChars="200"/>
        <w:rPr>
          <w:rFonts w:ascii="宋体" w:hAnsi="宋体" w:cs="宋体"/>
          <w:color w:val="auto"/>
          <w:sz w:val="24"/>
          <w:szCs w:val="32"/>
          <w:highlight w:val="none"/>
          <w:lang w:val="en-GB"/>
        </w:rPr>
      </w:pPr>
      <w:r>
        <w:rPr>
          <w:rFonts w:hint="eastAsia" w:ascii="宋体" w:hAnsi="宋体" w:cs="宋体"/>
          <w:color w:val="auto"/>
          <w:sz w:val="24"/>
          <w:szCs w:val="32"/>
          <w:highlight w:val="none"/>
          <w:lang w:val="en-GB"/>
        </w:rPr>
        <w:t>6</w:t>
      </w:r>
      <w:r>
        <w:rPr>
          <w:rFonts w:hint="eastAsia" w:ascii="宋体" w:hAnsi="宋体" w:cs="宋体"/>
          <w:color w:val="auto"/>
          <w:sz w:val="24"/>
          <w:szCs w:val="32"/>
          <w:highlight w:val="none"/>
          <w:lang w:val="en-GB" w:eastAsia="zh-CN"/>
        </w:rPr>
        <w:t>、</w:t>
      </w:r>
      <w:r>
        <w:rPr>
          <w:rFonts w:hint="eastAsia" w:ascii="宋体" w:hAnsi="宋体" w:cs="宋体"/>
          <w:color w:val="auto"/>
          <w:sz w:val="24"/>
          <w:szCs w:val="32"/>
          <w:highlight w:val="none"/>
          <w:lang w:val="en-GB"/>
        </w:rPr>
        <w:t>投标文件的补充、修改、撤回</w:t>
      </w:r>
    </w:p>
    <w:p>
      <w:pPr>
        <w:spacing w:line="360" w:lineRule="auto"/>
        <w:ind w:firstLine="480" w:firstLineChars="200"/>
        <w:rPr>
          <w:rFonts w:ascii="宋体" w:hAnsi="宋体" w:cs="宋体"/>
          <w:color w:val="auto"/>
          <w:sz w:val="24"/>
          <w:szCs w:val="32"/>
          <w:highlight w:val="none"/>
          <w:lang w:val="en-GB"/>
        </w:rPr>
      </w:pPr>
      <w:r>
        <w:rPr>
          <w:rFonts w:hint="eastAsia" w:ascii="宋体" w:hAnsi="宋体" w:cs="宋体"/>
          <w:color w:val="auto"/>
          <w:sz w:val="24"/>
          <w:szCs w:val="32"/>
          <w:highlight w:val="none"/>
          <w:lang w:val="en-GB"/>
        </w:rPr>
        <w:t>6.1投标人应当在投标截止时间前完成电子投标文件的上传、递交，并可以补充、修改或者撤回投标文件。补充或者修改投标文件的，应当先行撤回原文件，补充、修改后重新上传、递交。投标截止时间前未完成上传、递交的，视为撤回投标文件。投标截止时间后递交的投标文件，“政府采购云平台”将予以拒收。</w:t>
      </w:r>
    </w:p>
    <w:p>
      <w:pPr>
        <w:spacing w:line="360" w:lineRule="auto"/>
        <w:ind w:firstLine="480" w:firstLineChars="200"/>
        <w:rPr>
          <w:rFonts w:ascii="宋体" w:hAnsi="宋体" w:cs="宋体"/>
          <w:color w:val="auto"/>
          <w:sz w:val="24"/>
          <w:szCs w:val="32"/>
          <w:highlight w:val="none"/>
          <w:lang w:val="en-GB"/>
        </w:rPr>
      </w:pPr>
      <w:r>
        <w:rPr>
          <w:rFonts w:hint="eastAsia" w:ascii="宋体" w:hAnsi="宋体" w:cs="宋体"/>
          <w:color w:val="auto"/>
          <w:sz w:val="24"/>
          <w:szCs w:val="32"/>
          <w:highlight w:val="none"/>
          <w:lang w:val="en-GB"/>
        </w:rPr>
        <w:t>6.</w:t>
      </w:r>
      <w:r>
        <w:rPr>
          <w:rFonts w:hint="eastAsia" w:ascii="宋体" w:hAnsi="宋体" w:cs="宋体"/>
          <w:color w:val="auto"/>
          <w:sz w:val="24"/>
          <w:szCs w:val="32"/>
          <w:highlight w:val="none"/>
        </w:rPr>
        <w:t>2</w:t>
      </w:r>
      <w:r>
        <w:rPr>
          <w:rFonts w:hint="eastAsia" w:ascii="宋体" w:hAnsi="宋体" w:cs="宋体"/>
          <w:color w:val="auto"/>
          <w:sz w:val="24"/>
          <w:szCs w:val="32"/>
          <w:highlight w:val="none"/>
          <w:lang w:val="en-GB"/>
        </w:rPr>
        <w:t>投标截止时间后，投标供应商不得撤回、修改投标文件。</w:t>
      </w:r>
    </w:p>
    <w:p>
      <w:pPr>
        <w:spacing w:line="360" w:lineRule="auto"/>
        <w:ind w:firstLine="480" w:firstLineChars="200"/>
        <w:rPr>
          <w:rFonts w:ascii="宋体" w:hAnsi="宋体" w:cs="宋体"/>
          <w:color w:val="auto"/>
          <w:sz w:val="24"/>
          <w:szCs w:val="32"/>
          <w:highlight w:val="none"/>
          <w:lang w:val="en-GB"/>
        </w:rPr>
      </w:pPr>
      <w:r>
        <w:rPr>
          <w:rFonts w:hint="eastAsia" w:ascii="宋体" w:hAnsi="宋体" w:cs="宋体"/>
          <w:color w:val="auto"/>
          <w:sz w:val="24"/>
          <w:szCs w:val="32"/>
          <w:highlight w:val="none"/>
        </w:rPr>
        <w:t>6.3</w:t>
      </w:r>
      <w:r>
        <w:rPr>
          <w:rFonts w:hint="eastAsia" w:ascii="宋体" w:hAnsi="宋体" w:cs="宋体"/>
          <w:color w:val="auto"/>
          <w:sz w:val="24"/>
          <w:szCs w:val="32"/>
          <w:highlight w:val="none"/>
          <w:lang w:val="en-GB"/>
        </w:rPr>
        <w:t>在开标后规定的投标有效期内，投标人不能撤销投标文件。</w:t>
      </w:r>
    </w:p>
    <w:p>
      <w:pPr>
        <w:spacing w:line="360" w:lineRule="auto"/>
        <w:ind w:firstLine="241" w:firstLineChars="100"/>
        <w:rPr>
          <w:rFonts w:ascii="宋体" w:hAnsi="宋体" w:cs="宋体"/>
          <w:b/>
          <w:bCs/>
          <w:color w:val="auto"/>
          <w:sz w:val="24"/>
          <w:szCs w:val="32"/>
          <w:highlight w:val="none"/>
        </w:rPr>
      </w:pPr>
      <w:r>
        <w:rPr>
          <w:rFonts w:hint="eastAsia" w:ascii="宋体" w:hAnsi="宋体" w:cs="宋体"/>
          <w:b/>
          <w:bCs/>
          <w:color w:val="auto"/>
          <w:sz w:val="24"/>
          <w:szCs w:val="32"/>
          <w:highlight w:val="none"/>
        </w:rPr>
        <w:t>（三）投标文件的有效期</w:t>
      </w:r>
    </w:p>
    <w:p>
      <w:pPr>
        <w:spacing w:line="360" w:lineRule="auto"/>
        <w:ind w:firstLine="480" w:firstLineChars="200"/>
        <w:rPr>
          <w:rFonts w:ascii="宋体" w:hAnsi="宋体" w:cs="宋体"/>
          <w:color w:val="auto"/>
          <w:sz w:val="24"/>
          <w:szCs w:val="32"/>
          <w:highlight w:val="none"/>
          <w:lang w:val="en-GB"/>
        </w:rPr>
      </w:pPr>
      <w:r>
        <w:rPr>
          <w:rFonts w:hint="eastAsia" w:ascii="宋体" w:hAnsi="宋体" w:cs="宋体"/>
          <w:color w:val="auto"/>
          <w:sz w:val="24"/>
          <w:szCs w:val="32"/>
          <w:highlight w:val="none"/>
        </w:rPr>
        <w:t>1、</w:t>
      </w:r>
      <w:r>
        <w:rPr>
          <w:rFonts w:hint="eastAsia" w:ascii="宋体" w:hAnsi="宋体" w:cs="宋体"/>
          <w:color w:val="auto"/>
          <w:sz w:val="24"/>
          <w:szCs w:val="32"/>
          <w:highlight w:val="none"/>
          <w:lang w:val="en-GB"/>
        </w:rPr>
        <w:t>自投标截止日起90天投标文件应保持有效。有效期不足的投标文件将被拒绝。</w:t>
      </w:r>
    </w:p>
    <w:p>
      <w:pPr>
        <w:spacing w:line="360" w:lineRule="auto"/>
        <w:ind w:firstLine="480" w:firstLineChars="200"/>
        <w:rPr>
          <w:rFonts w:ascii="宋体" w:hAnsi="宋体" w:cs="宋体"/>
          <w:color w:val="auto"/>
          <w:sz w:val="24"/>
          <w:szCs w:val="32"/>
          <w:highlight w:val="none"/>
          <w:lang w:val="en-GB"/>
        </w:rPr>
      </w:pPr>
      <w:r>
        <w:rPr>
          <w:rFonts w:hint="eastAsia" w:ascii="宋体" w:hAnsi="宋体" w:cs="宋体"/>
          <w:color w:val="auto"/>
          <w:sz w:val="24"/>
          <w:szCs w:val="32"/>
          <w:highlight w:val="none"/>
        </w:rPr>
        <w:t>2、</w:t>
      </w:r>
      <w:r>
        <w:rPr>
          <w:rFonts w:hint="eastAsia" w:ascii="宋体" w:hAnsi="宋体" w:cs="宋体"/>
          <w:color w:val="auto"/>
          <w:sz w:val="24"/>
          <w:szCs w:val="32"/>
          <w:highlight w:val="none"/>
          <w:lang w:val="en-GB"/>
        </w:rPr>
        <w:t>在特殊情况下，采购人可与投标人协商延长投标文件的有效期，这种要求和答复均以书面形式进行。</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3、中标人的投标文件自开标之日起至合同履行完毕均应保持有效。</w:t>
      </w:r>
    </w:p>
    <w:p>
      <w:pPr>
        <w:spacing w:line="360" w:lineRule="auto"/>
        <w:rPr>
          <w:rFonts w:ascii="宋体" w:hAnsi="宋体" w:cs="宋体"/>
          <w:b/>
          <w:bCs/>
          <w:color w:val="auto"/>
          <w:sz w:val="24"/>
          <w:szCs w:val="32"/>
          <w:highlight w:val="none"/>
        </w:rPr>
      </w:pPr>
      <w:r>
        <w:rPr>
          <w:rFonts w:hint="eastAsia" w:ascii="宋体" w:hAnsi="宋体" w:cs="宋体"/>
          <w:b/>
          <w:bCs/>
          <w:color w:val="auto"/>
          <w:sz w:val="24"/>
          <w:szCs w:val="32"/>
          <w:highlight w:val="none"/>
        </w:rPr>
        <w:t>四、开标</w:t>
      </w:r>
    </w:p>
    <w:p>
      <w:pPr>
        <w:spacing w:line="360" w:lineRule="auto"/>
        <w:ind w:firstLine="241" w:firstLineChars="100"/>
        <w:rPr>
          <w:rFonts w:ascii="宋体" w:hAnsi="宋体" w:cs="宋体"/>
          <w:b/>
          <w:bCs/>
          <w:color w:val="auto"/>
          <w:sz w:val="24"/>
          <w:szCs w:val="32"/>
          <w:highlight w:val="none"/>
        </w:rPr>
      </w:pPr>
      <w:r>
        <w:rPr>
          <w:rFonts w:hint="eastAsia" w:ascii="宋体" w:hAnsi="宋体" w:cs="宋体"/>
          <w:b/>
          <w:bCs/>
          <w:color w:val="auto"/>
          <w:sz w:val="24"/>
          <w:szCs w:val="32"/>
          <w:highlight w:val="none"/>
        </w:rPr>
        <w:t>（一）开标事项</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采购组织机构在“招标公告”规定的时间和地点公开开标，本次招标采用先评审商务资格和技术服务方案，后评审报价的办法实施。</w:t>
      </w:r>
    </w:p>
    <w:p>
      <w:pPr>
        <w:spacing w:line="360" w:lineRule="auto"/>
        <w:ind w:firstLine="482" w:firstLineChars="200"/>
        <w:rPr>
          <w:b/>
          <w:bCs/>
          <w:color w:val="auto"/>
          <w:sz w:val="24"/>
          <w:szCs w:val="24"/>
          <w:highlight w:val="none"/>
        </w:rPr>
      </w:pPr>
      <w:r>
        <w:rPr>
          <w:rFonts w:hint="eastAsia"/>
          <w:b/>
          <w:bCs/>
          <w:color w:val="auto"/>
          <w:sz w:val="24"/>
          <w:szCs w:val="24"/>
          <w:highlight w:val="none"/>
        </w:rPr>
        <w:t>特别说明：如遇政府采购云平台电子化开标或评审程序调整的，按调整后程序执行。</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采购过程中出现以下情形，导致电子交易平台无法正常运行，或者无法保证电子交易的公平、公正和安全时，采购组织机构可中止电子交易活动：</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 xml:space="preserve">（1）电子交易平台发生故障而无法登录访问的； </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（2）电子交易平台应用或数据库出现错误，不能进行正常操作的；</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（3）电子交易平台发现严重安全漏洞，有潜在泄密危险的；</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 xml:space="preserve">（4）病毒导致不能进行正常操作的； </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（5）其他无法保证电子交易的公平、公正和安全的情况。</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出现前款规定情形，不影响采购公平、公正性的，采购组织机构可以待上述情形消除后继续组织电子交易活动，也可以决定某些环节以纸质形式进行；影响或可能影响采购公平、公正性的，应当重新采购。</w:t>
      </w:r>
    </w:p>
    <w:p>
      <w:pPr>
        <w:spacing w:line="360" w:lineRule="auto"/>
        <w:ind w:firstLine="241" w:firstLineChars="100"/>
        <w:rPr>
          <w:rFonts w:ascii="宋体" w:hAnsi="宋体" w:cs="宋体"/>
          <w:b/>
          <w:bCs/>
          <w:color w:val="auto"/>
          <w:sz w:val="24"/>
          <w:szCs w:val="32"/>
          <w:highlight w:val="none"/>
        </w:rPr>
      </w:pPr>
      <w:r>
        <w:rPr>
          <w:rFonts w:hint="eastAsia" w:ascii="宋体" w:hAnsi="宋体" w:cs="宋体"/>
          <w:b/>
          <w:bCs/>
          <w:color w:val="auto"/>
          <w:sz w:val="24"/>
          <w:szCs w:val="32"/>
          <w:highlight w:val="none"/>
        </w:rPr>
        <w:t>（二） 开标程序</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1、开标会由招标项目负责人主持，主持人宣布开标会议开始；</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 xml:space="preserve">2、主持人介绍参加开标会的人员名单； </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3、主持人宣布评标期间的有关事项，告知应当回避的情形，提请有关人员回避；对投标人进行签到验证。</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4、向各投标人发出电子加密投标文件【开始解密】通知，由投标人按招标文件规定的时间内自行进行投标文件解密。投标文件的制作和解密应使用同一个数字证书，否则将可能解密失败。</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5、采购组织机构点击【开启标书信息】，开启标书成功后进入开标流程。</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6、资格及商务技术文件评审；</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7、由主持人公布无效投标的投标人名单、投标无效的原因及其他有效投标的评分汇总分；</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8、开启报价响应文件：采购代理机构成功开启报价响应文件后，方可查看各供应商报价情况。</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9、报价文件评审；</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10、由主持人公布无效投标的投标人名单、投标无效的原因及其他有效投标的报价文件得分；</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11、宣布综合得分结果及中标候选人名单；</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12、开标会议结束。</w:t>
      </w:r>
    </w:p>
    <w:p>
      <w:pPr>
        <w:spacing w:line="360" w:lineRule="auto"/>
        <w:rPr>
          <w:rFonts w:ascii="宋体" w:hAnsi="宋体" w:cs="宋体"/>
          <w:b/>
          <w:bCs/>
          <w:color w:val="auto"/>
          <w:sz w:val="24"/>
          <w:szCs w:val="32"/>
          <w:highlight w:val="none"/>
        </w:rPr>
      </w:pPr>
      <w:r>
        <w:rPr>
          <w:rFonts w:hint="eastAsia" w:ascii="宋体" w:hAnsi="宋体" w:cs="宋体"/>
          <w:b/>
          <w:bCs/>
          <w:color w:val="auto"/>
          <w:sz w:val="24"/>
          <w:szCs w:val="32"/>
          <w:highlight w:val="none"/>
        </w:rPr>
        <w:t>五、评标</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本项目采用不公开方式评标，评标的依据为招标文件和投标文件。本项目采用电子评审方法，若因政采云平台原因无法读取或电子开评标无法正常进行，采购代理机构将开启投标人递交的纸质备份投标文件，以完成开、评标，电子投标文件自动失效。</w:t>
      </w:r>
    </w:p>
    <w:p>
      <w:pPr>
        <w:spacing w:line="360" w:lineRule="auto"/>
        <w:ind w:firstLine="241" w:firstLineChars="100"/>
        <w:rPr>
          <w:rFonts w:ascii="宋体" w:hAnsi="宋体" w:cs="宋体"/>
          <w:b/>
          <w:bCs/>
          <w:color w:val="auto"/>
          <w:sz w:val="24"/>
          <w:szCs w:val="32"/>
          <w:highlight w:val="none"/>
        </w:rPr>
      </w:pPr>
      <w:r>
        <w:rPr>
          <w:rFonts w:hint="eastAsia" w:ascii="宋体" w:hAnsi="宋体" w:cs="宋体"/>
          <w:b/>
          <w:bCs/>
          <w:color w:val="auto"/>
          <w:sz w:val="24"/>
          <w:szCs w:val="32"/>
          <w:highlight w:val="none"/>
        </w:rPr>
        <w:t>（一）组建评标委员会</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评标委员会由采购人代表和评审专家组成，成员人数为5人以上单数，其中评审专家不得少于成员总数的三分之二。</w:t>
      </w:r>
    </w:p>
    <w:p>
      <w:pPr>
        <w:spacing w:line="360" w:lineRule="auto"/>
        <w:ind w:firstLine="241" w:firstLineChars="100"/>
        <w:rPr>
          <w:rFonts w:ascii="宋体" w:hAnsi="宋体" w:cs="宋体"/>
          <w:b/>
          <w:bCs/>
          <w:color w:val="auto"/>
          <w:sz w:val="24"/>
          <w:szCs w:val="32"/>
          <w:highlight w:val="none"/>
        </w:rPr>
      </w:pPr>
      <w:r>
        <w:rPr>
          <w:rFonts w:hint="eastAsia" w:ascii="宋体" w:hAnsi="宋体" w:cs="宋体"/>
          <w:b/>
          <w:bCs/>
          <w:color w:val="auto"/>
          <w:sz w:val="24"/>
          <w:szCs w:val="32"/>
          <w:highlight w:val="none"/>
        </w:rPr>
        <w:t>（二）评标程序</w:t>
      </w:r>
    </w:p>
    <w:p>
      <w:pPr>
        <w:spacing w:line="360" w:lineRule="auto"/>
        <w:ind w:firstLine="482" w:firstLineChars="200"/>
        <w:rPr>
          <w:rFonts w:ascii="宋体" w:hAnsi="宋体" w:cs="宋体"/>
          <w:b/>
          <w:bCs/>
          <w:color w:val="auto"/>
          <w:sz w:val="24"/>
          <w:szCs w:val="32"/>
          <w:highlight w:val="none"/>
        </w:rPr>
      </w:pPr>
      <w:r>
        <w:rPr>
          <w:rFonts w:hint="eastAsia" w:ascii="宋体" w:hAnsi="宋体" w:cs="宋体"/>
          <w:b/>
          <w:bCs/>
          <w:color w:val="auto"/>
          <w:sz w:val="24"/>
          <w:szCs w:val="32"/>
          <w:highlight w:val="none"/>
        </w:rPr>
        <w:t>1、资格审查</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公开招标采购项目开标结束后，采购人或者采购组织机构应当依法对投标人的资格进行审查，对审查发现无效的进行必要的询标，结束后公布无效投标的投标人名单、投标无效的原因。</w:t>
      </w:r>
    </w:p>
    <w:p>
      <w:pPr>
        <w:spacing w:line="360" w:lineRule="auto"/>
        <w:ind w:firstLine="482" w:firstLineChars="200"/>
        <w:rPr>
          <w:rFonts w:ascii="宋体" w:hAnsi="宋体" w:cs="宋体"/>
          <w:b/>
          <w:bCs/>
          <w:color w:val="auto"/>
          <w:sz w:val="24"/>
          <w:szCs w:val="32"/>
          <w:highlight w:val="none"/>
        </w:rPr>
      </w:pPr>
      <w:r>
        <w:rPr>
          <w:rFonts w:hint="eastAsia" w:ascii="宋体" w:hAnsi="宋体" w:cs="宋体"/>
          <w:b/>
          <w:bCs/>
          <w:color w:val="auto"/>
          <w:sz w:val="24"/>
          <w:szCs w:val="32"/>
          <w:highlight w:val="none"/>
        </w:rPr>
        <w:t>2、符合性审查</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评标委员会应当对符合资格的投标人的投标文件进行符合性审查，以确定其是否满足招标文件的实质性要求，对审查发现无效的进行必要的询标，结束后公布无效投标的投标人名单、投标无效的原因。</w:t>
      </w:r>
    </w:p>
    <w:p>
      <w:pPr>
        <w:spacing w:line="360" w:lineRule="auto"/>
        <w:ind w:firstLine="482" w:firstLineChars="200"/>
        <w:rPr>
          <w:rFonts w:ascii="宋体" w:hAnsi="宋体" w:cs="宋体"/>
          <w:b/>
          <w:bCs/>
          <w:color w:val="auto"/>
          <w:sz w:val="24"/>
          <w:szCs w:val="32"/>
          <w:highlight w:val="none"/>
        </w:rPr>
      </w:pPr>
      <w:r>
        <w:rPr>
          <w:rFonts w:hint="eastAsia" w:ascii="宋体" w:hAnsi="宋体" w:cs="宋体"/>
          <w:b/>
          <w:bCs/>
          <w:color w:val="auto"/>
          <w:sz w:val="24"/>
          <w:szCs w:val="32"/>
          <w:highlight w:val="none"/>
        </w:rPr>
        <w:t>3、综合比较与评价</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（1）对于投标文件中含义不明确、同类问题表述不一致或者有明显文字和计算错误的内容，评标委员会应当以书面形式要求投标人作出必要的澄清、说明或者补正。</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（2）评标委员会应当按照招标文件中规定的评标方法和标准，对符合性审查合格的投标文件进行商务和技术评估，综合比较与评价。</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（3）评标时，评标委员会各成员应当独立对每个投标人的投标文件进行评价，并汇总每个投标人的得分。</w:t>
      </w:r>
    </w:p>
    <w:p>
      <w:pPr>
        <w:spacing w:line="360" w:lineRule="auto"/>
        <w:ind w:firstLine="482" w:firstLineChars="200"/>
        <w:rPr>
          <w:rFonts w:ascii="宋体" w:hAnsi="宋体" w:cs="宋体"/>
          <w:b/>
          <w:bCs/>
          <w:color w:val="auto"/>
          <w:sz w:val="24"/>
          <w:szCs w:val="32"/>
          <w:highlight w:val="none"/>
        </w:rPr>
      </w:pPr>
      <w:r>
        <w:rPr>
          <w:rFonts w:hint="eastAsia" w:ascii="宋体" w:hAnsi="宋体" w:cs="宋体"/>
          <w:b/>
          <w:bCs/>
          <w:color w:val="auto"/>
          <w:sz w:val="24"/>
          <w:szCs w:val="32"/>
          <w:highlight w:val="none"/>
        </w:rPr>
        <w:t>4、得分确认及评审报告编写</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（1）评标委员会对报价文件进行复核，对于系统计算出的价格分及总得分进行确认；</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（2）评标委员会应当按照招标文件中规定的评标方法和标准，对符合性审查合格的投标文件进行商务和技术评估，综合比较与评价。</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（3）评标委员会按评标原则及得分情况编写评审报告。</w:t>
      </w:r>
    </w:p>
    <w:p>
      <w:pPr>
        <w:spacing w:line="360" w:lineRule="auto"/>
        <w:ind w:firstLine="482" w:firstLineChars="200"/>
        <w:rPr>
          <w:rFonts w:ascii="宋体" w:hAnsi="宋体" w:cs="宋体"/>
          <w:b/>
          <w:bCs/>
          <w:color w:val="auto"/>
          <w:sz w:val="24"/>
          <w:szCs w:val="32"/>
          <w:highlight w:val="none"/>
        </w:rPr>
      </w:pPr>
      <w:r>
        <w:rPr>
          <w:rFonts w:hint="eastAsia" w:ascii="宋体" w:hAnsi="宋体" w:cs="宋体"/>
          <w:b/>
          <w:bCs/>
          <w:color w:val="auto"/>
          <w:sz w:val="24"/>
          <w:szCs w:val="32"/>
          <w:highlight w:val="none"/>
        </w:rPr>
        <w:t>5、评价</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采购组织机构对评标委员会评审专家进行评价。</w:t>
      </w:r>
    </w:p>
    <w:p>
      <w:pPr>
        <w:spacing w:line="360" w:lineRule="auto"/>
        <w:ind w:firstLine="241" w:firstLineChars="100"/>
        <w:rPr>
          <w:rFonts w:ascii="宋体" w:hAnsi="宋体" w:cs="宋体"/>
          <w:b/>
          <w:bCs/>
          <w:color w:val="auto"/>
          <w:sz w:val="24"/>
          <w:szCs w:val="32"/>
          <w:highlight w:val="none"/>
        </w:rPr>
      </w:pPr>
      <w:r>
        <w:rPr>
          <w:rFonts w:hint="eastAsia" w:ascii="宋体" w:hAnsi="宋体" w:cs="宋体"/>
          <w:b/>
          <w:bCs/>
          <w:color w:val="auto"/>
          <w:sz w:val="24"/>
          <w:szCs w:val="32"/>
          <w:highlight w:val="none"/>
        </w:rPr>
        <w:t>（三）澄清问题的形式</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投标人的澄清、说明或者补正应当采用书面形式，并加盖公章或者由法定代理人或其授权</w:t>
      </w:r>
      <w:r>
        <w:rPr>
          <w:rFonts w:hint="eastAsia" w:ascii="宋体" w:hAnsi="宋体" w:cs="宋体"/>
          <w:color w:val="auto"/>
          <w:sz w:val="24"/>
          <w:szCs w:val="32"/>
          <w:highlight w:val="none"/>
          <w:lang w:eastAsia="zh-CN"/>
        </w:rPr>
        <w:t>委托代理人</w:t>
      </w:r>
      <w:r>
        <w:rPr>
          <w:rFonts w:hint="eastAsia" w:ascii="宋体" w:hAnsi="宋体" w:cs="宋体"/>
          <w:color w:val="auto"/>
          <w:sz w:val="24"/>
          <w:szCs w:val="32"/>
          <w:highlight w:val="none"/>
        </w:rPr>
        <w:t>签字，并不得超出投标文件的范围或者改变投标文件的实质性内容。</w:t>
      </w:r>
    </w:p>
    <w:p>
      <w:pPr>
        <w:spacing w:line="360" w:lineRule="auto"/>
        <w:ind w:firstLine="241" w:firstLineChars="100"/>
        <w:rPr>
          <w:rFonts w:ascii="宋体" w:hAnsi="宋体" w:cs="宋体"/>
          <w:b/>
          <w:bCs/>
          <w:color w:val="auto"/>
          <w:sz w:val="24"/>
          <w:szCs w:val="32"/>
          <w:highlight w:val="none"/>
        </w:rPr>
      </w:pPr>
      <w:r>
        <w:rPr>
          <w:rFonts w:hint="eastAsia" w:ascii="宋体" w:hAnsi="宋体" w:cs="宋体"/>
          <w:b/>
          <w:bCs/>
          <w:color w:val="auto"/>
          <w:sz w:val="24"/>
          <w:szCs w:val="32"/>
          <w:highlight w:val="none"/>
        </w:rPr>
        <w:t>（四）错误修正</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投标文件报价出现前后不一致的，除招标文件另有规定外，按照下列规定修正：</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1、投标文件中开标一览表（报价表）内容与投标文件中相应内容不一致的，以开标一览表（报价表）为准；政采云平台客户端里开标一览表录入的投标报价信息与扫描上传的报价响应文件中开标一览表的报价信息不一致的，以扫描上传的报价响应文件中开标一览表的报价信息为准，修正政采云平台上的报价信息。</w:t>
      </w:r>
    </w:p>
    <w:p>
      <w:pPr>
        <w:spacing w:line="360" w:lineRule="auto"/>
        <w:ind w:firstLine="480" w:firstLineChars="200"/>
        <w:rPr>
          <w:rFonts w:hint="eastAsia" w:ascii="宋体" w:hAnsi="宋体" w:eastAsia="宋体" w:cs="宋体"/>
          <w:color w:val="auto"/>
          <w:sz w:val="24"/>
          <w:szCs w:val="32"/>
          <w:highlight w:val="none"/>
          <w:lang w:eastAsia="zh-CN"/>
        </w:rPr>
      </w:pPr>
      <w:r>
        <w:rPr>
          <w:rFonts w:hint="eastAsia" w:ascii="宋体" w:hAnsi="宋体" w:cs="宋体"/>
          <w:color w:val="auto"/>
          <w:sz w:val="24"/>
          <w:szCs w:val="32"/>
          <w:highlight w:val="none"/>
        </w:rPr>
        <w:t>2、大写金额和小写金额不一致的，以大写金额为准</w:t>
      </w:r>
      <w:r>
        <w:rPr>
          <w:rFonts w:hint="eastAsia" w:ascii="宋体" w:hAnsi="宋体" w:cs="宋体"/>
          <w:color w:val="auto"/>
          <w:sz w:val="24"/>
          <w:szCs w:val="32"/>
          <w:highlight w:val="none"/>
          <w:lang w:eastAsia="zh-CN"/>
        </w:rPr>
        <w:t>。</w:t>
      </w:r>
    </w:p>
    <w:p>
      <w:pPr>
        <w:spacing w:line="360" w:lineRule="auto"/>
        <w:ind w:firstLine="480" w:firstLineChars="200"/>
        <w:rPr>
          <w:rFonts w:hint="eastAsia" w:ascii="宋体" w:hAnsi="宋体" w:eastAsia="宋体" w:cs="宋体"/>
          <w:color w:val="auto"/>
          <w:sz w:val="24"/>
          <w:szCs w:val="32"/>
          <w:highlight w:val="none"/>
          <w:lang w:eastAsia="zh-CN"/>
        </w:rPr>
      </w:pPr>
      <w:r>
        <w:rPr>
          <w:rFonts w:hint="eastAsia" w:ascii="宋体" w:hAnsi="宋体" w:cs="宋体"/>
          <w:color w:val="auto"/>
          <w:sz w:val="24"/>
          <w:szCs w:val="32"/>
          <w:highlight w:val="none"/>
        </w:rPr>
        <w:t>3、单价金额小数点或者百分比有明显错位的，以开标一览表的总价为准，并修改单价</w:t>
      </w:r>
      <w:r>
        <w:rPr>
          <w:rFonts w:hint="eastAsia" w:ascii="宋体" w:hAnsi="宋体" w:cs="宋体"/>
          <w:color w:val="auto"/>
          <w:sz w:val="24"/>
          <w:szCs w:val="32"/>
          <w:highlight w:val="none"/>
          <w:lang w:eastAsia="zh-CN"/>
        </w:rPr>
        <w:t>。</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4、总价金额与按单价汇总金额不一致的，以单价金额计算结果为准。</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同时出现两种以上不一致的，按照前款规定的顺序修正。修正应当采用书面形式，并加盖公章，或者由法定代表人或其授权</w:t>
      </w:r>
      <w:r>
        <w:rPr>
          <w:rFonts w:hint="eastAsia" w:ascii="宋体" w:hAnsi="宋体" w:cs="宋体"/>
          <w:color w:val="auto"/>
          <w:sz w:val="24"/>
          <w:szCs w:val="32"/>
          <w:highlight w:val="none"/>
          <w:lang w:eastAsia="zh-CN"/>
        </w:rPr>
        <w:t>委托代理人</w:t>
      </w:r>
      <w:r>
        <w:rPr>
          <w:rFonts w:hint="eastAsia" w:ascii="宋体" w:hAnsi="宋体" w:cs="宋体"/>
          <w:color w:val="auto"/>
          <w:sz w:val="24"/>
          <w:szCs w:val="32"/>
          <w:highlight w:val="none"/>
        </w:rPr>
        <w:t>签字。修正后的报价经投标人确认后产生约束力，投标人不确认的，其投标无效。</w:t>
      </w:r>
    </w:p>
    <w:p>
      <w:pPr>
        <w:spacing w:line="360" w:lineRule="auto"/>
        <w:ind w:firstLine="241" w:firstLineChars="100"/>
        <w:rPr>
          <w:rFonts w:ascii="宋体" w:hAnsi="宋体" w:cs="宋体"/>
          <w:b/>
          <w:bCs/>
          <w:color w:val="auto"/>
          <w:sz w:val="24"/>
          <w:szCs w:val="32"/>
          <w:highlight w:val="none"/>
        </w:rPr>
      </w:pPr>
      <w:r>
        <w:rPr>
          <w:rFonts w:hint="eastAsia" w:ascii="宋体" w:hAnsi="宋体" w:cs="宋体"/>
          <w:b/>
          <w:bCs/>
          <w:color w:val="auto"/>
          <w:sz w:val="24"/>
          <w:szCs w:val="32"/>
          <w:highlight w:val="none"/>
        </w:rPr>
        <w:t>（五）投标人存在下列情况之一的，投标无效</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1、电子投标文件及纸质备份投标文件在指定页面无法定代表人盖章或签字、未在指定页面盖公章、在指定页面无被授权人签字、投标文件份数少于招标文件要求、未提供法定代表人授权委托书、未提供投标函或者投标函格式不符合招标文件要求或填写项目不齐全的；</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2、资格及商务技术文件跟报价文件出现混装或在资格及商务技术文件中出现投标报价的，或者报价文件中报价的货物跟资格及商务技术文件中的投标货物出现重大偏差的；</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3、不具备招标文件中规定的资格要求的。</w:t>
      </w:r>
      <w:r>
        <w:rPr>
          <w:rFonts w:hint="eastAsia" w:ascii="宋体" w:hAnsi="宋体" w:cs="宋体"/>
          <w:color w:val="auto"/>
          <w:sz w:val="24"/>
          <w:szCs w:val="32"/>
          <w:highlight w:val="none"/>
        </w:rPr>
        <w:tab/>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4、投标文件含有采购人不能接受的附加条件的。</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5、授权委托代理人未能出具身份证明或与法定代表人</w:t>
      </w:r>
      <w:r>
        <w:rPr>
          <w:rFonts w:hint="eastAsia" w:ascii="宋体" w:hAnsi="宋体" w:cs="宋体"/>
          <w:color w:val="auto"/>
          <w:sz w:val="24"/>
          <w:szCs w:val="32"/>
          <w:highlight w:val="none"/>
          <w:lang w:eastAsia="zh-CN"/>
        </w:rPr>
        <w:t>授权委托代理人</w:t>
      </w:r>
      <w:r>
        <w:rPr>
          <w:rFonts w:hint="eastAsia" w:ascii="宋体" w:hAnsi="宋体" w:cs="宋体"/>
          <w:color w:val="auto"/>
          <w:sz w:val="24"/>
          <w:szCs w:val="32"/>
          <w:highlight w:val="none"/>
        </w:rPr>
        <w:t>身份不符的；</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6、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7、报价超过招标文件中规定的预算金额/最高限价。</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8、投标参数未如实填写，完全复制粘贴招标参数的。</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9、投标文件提供虚假材料的。</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10、不符合中华人民共和国财政部令第87号《政府采购货物和服务招标投标管理办法》第三十七条情形之一的，视为投标人串通投标，其投标无效，并移送采购监管部门：</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（1）不同投标人的投标文件由同一单位或者个人编制；</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（2）不同投标人委托同一单位或者个人办理投标事宜；</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（3）不同投标人的投标文件载明的项目管理成员或者联系人员为同一人；</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（4）不同投标人的投标文件异常一致或者投标报价呈规律性差异；</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（5）不同投标人的投标文件相互混装；</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11、不符合法律、法规和招标文件中规定的其他实质性要求的（招标文件中打“▲”内容及被拒绝的条款）。</w:t>
      </w:r>
    </w:p>
    <w:p>
      <w:pPr>
        <w:spacing w:line="360" w:lineRule="auto"/>
        <w:ind w:firstLine="480" w:firstLineChars="200"/>
        <w:rPr>
          <w:rFonts w:hint="eastAsia" w:ascii="宋体" w:hAnsi="宋体" w:eastAsia="宋体" w:cs="宋体"/>
          <w:color w:val="auto"/>
          <w:sz w:val="24"/>
          <w:szCs w:val="32"/>
          <w:highlight w:val="none"/>
          <w:lang w:eastAsia="zh-CN"/>
        </w:rPr>
      </w:pPr>
      <w:r>
        <w:rPr>
          <w:rFonts w:hint="eastAsia" w:ascii="宋体" w:hAnsi="宋体" w:cs="宋体"/>
          <w:color w:val="auto"/>
          <w:sz w:val="24"/>
          <w:szCs w:val="32"/>
          <w:highlight w:val="none"/>
        </w:rPr>
        <w:t>12、未传输递交电子投标文件的或者未按规定提供相应的备份投标文件，造成项目开评标活动无法进行下去的</w:t>
      </w:r>
      <w:r>
        <w:rPr>
          <w:rFonts w:hint="eastAsia" w:ascii="宋体" w:hAnsi="宋体" w:cs="宋体"/>
          <w:color w:val="auto"/>
          <w:sz w:val="24"/>
          <w:szCs w:val="32"/>
          <w:highlight w:val="none"/>
          <w:lang w:eastAsia="zh-CN"/>
        </w:rPr>
        <w:t>。</w:t>
      </w:r>
    </w:p>
    <w:p>
      <w:pPr>
        <w:spacing w:line="360" w:lineRule="auto"/>
        <w:ind w:firstLine="241" w:firstLineChars="100"/>
        <w:rPr>
          <w:rFonts w:ascii="宋体" w:hAnsi="宋体" w:cs="宋体"/>
          <w:b/>
          <w:bCs/>
          <w:color w:val="auto"/>
          <w:sz w:val="24"/>
          <w:szCs w:val="32"/>
          <w:highlight w:val="none"/>
        </w:rPr>
      </w:pPr>
      <w:r>
        <w:rPr>
          <w:rFonts w:hint="eastAsia" w:ascii="宋体" w:hAnsi="宋体" w:cs="宋体"/>
          <w:b/>
          <w:bCs/>
          <w:color w:val="auto"/>
          <w:sz w:val="24"/>
          <w:szCs w:val="32"/>
          <w:highlight w:val="none"/>
        </w:rPr>
        <w:t>（六）有下列情况之一的，本次招标作为废标处理</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1、出现影响采购公正的违法、违规行为的；</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 xml:space="preserve">2、评标委员会发现招标文件存在歧义、重大缺陷导致评标工作无法进行，或者招标文件内容违反国家有关强制性规定的； </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3、因重大变故，采购任务取消的；</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4、法律、法规和招标文件规定的其他导致评标结果无效的。</w:t>
      </w:r>
    </w:p>
    <w:p>
      <w:pPr>
        <w:spacing w:line="360" w:lineRule="auto"/>
        <w:ind w:firstLine="241" w:firstLineChars="100"/>
        <w:rPr>
          <w:rFonts w:ascii="宋体" w:hAnsi="宋体" w:cs="宋体"/>
          <w:b/>
          <w:bCs/>
          <w:color w:val="auto"/>
          <w:sz w:val="24"/>
          <w:szCs w:val="32"/>
          <w:highlight w:val="none"/>
        </w:rPr>
      </w:pPr>
      <w:r>
        <w:rPr>
          <w:rFonts w:hint="eastAsia" w:ascii="宋体" w:hAnsi="宋体" w:cs="宋体"/>
          <w:b/>
          <w:bCs/>
          <w:color w:val="auto"/>
          <w:sz w:val="24"/>
          <w:szCs w:val="32"/>
          <w:highlight w:val="none"/>
        </w:rPr>
        <w:t>（七）评标原则和评标办法</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1、评标原则。评标委员会必须公平、公正、客观，不带任何倾向性和启发性；不得向外界透露任何与评标有关的内容；任何单位和个人不得干扰、影响评标的正常进行；评标委员会及有关工作人员不得私下与投标人接触。</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2、评标办法。具体评标内容及评分标准等详见《第三章：评标方法及评分标准》。</w:t>
      </w:r>
    </w:p>
    <w:p>
      <w:pPr>
        <w:spacing w:line="360" w:lineRule="auto"/>
        <w:ind w:firstLine="241" w:firstLineChars="100"/>
        <w:rPr>
          <w:rFonts w:ascii="宋体" w:hAnsi="宋体" w:cs="宋体"/>
          <w:b/>
          <w:bCs/>
          <w:color w:val="auto"/>
          <w:sz w:val="24"/>
          <w:szCs w:val="32"/>
          <w:highlight w:val="none"/>
        </w:rPr>
      </w:pPr>
      <w:r>
        <w:rPr>
          <w:rFonts w:hint="eastAsia" w:ascii="宋体" w:hAnsi="宋体" w:cs="宋体"/>
          <w:b/>
          <w:bCs/>
          <w:color w:val="auto"/>
          <w:sz w:val="24"/>
          <w:szCs w:val="32"/>
          <w:highlight w:val="none"/>
        </w:rPr>
        <w:t>（八）评标过程的监控</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本项目评标过程实行全程录音、录像监控，政府采购监管部门视情进行现场监督，投标人在评标过程中所进行的试图影响评标结果的不公正活动，可能导致其投标被拒绝。</w:t>
      </w:r>
    </w:p>
    <w:p>
      <w:pPr>
        <w:spacing w:line="360" w:lineRule="auto"/>
        <w:rPr>
          <w:rFonts w:ascii="宋体" w:hAnsi="宋体" w:cs="宋体"/>
          <w:b/>
          <w:bCs/>
          <w:color w:val="auto"/>
          <w:sz w:val="24"/>
          <w:szCs w:val="32"/>
          <w:highlight w:val="none"/>
        </w:rPr>
      </w:pPr>
      <w:r>
        <w:rPr>
          <w:rFonts w:hint="eastAsia" w:ascii="宋体" w:hAnsi="宋体" w:cs="宋体"/>
          <w:b/>
          <w:bCs/>
          <w:color w:val="auto"/>
          <w:sz w:val="24"/>
          <w:szCs w:val="32"/>
          <w:highlight w:val="none"/>
        </w:rPr>
        <w:t>六、定标</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1、确定中标人。评标委员会根据采购人的《授权意见确认书》，推荐中标候选人或确定中标人。其中推荐中标候选人的，采购组织机构在评审结束后2个工作日内将评标报告送采购人，采购人自收到评审报告之日起5个工作日内在评审报告推荐的中标候选人中按顺序确定中标人。</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2、发布中标结果公告。中标结果将自中标人确定之日起2个工作日内在省级以上财政部门指定的媒体及相关网站公告。如发现中标人资格无效或其放弃中标资格，则按本次评标供应商得分排序结果依次替补或重新组织。</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3、发出中标通知书。采购组织机构在发布中标结果的同时，向中标人发出中标通知书。</w:t>
      </w:r>
    </w:p>
    <w:p>
      <w:pPr>
        <w:spacing w:line="360" w:lineRule="auto"/>
        <w:ind w:firstLine="480" w:firstLineChars="200"/>
        <w:rPr>
          <w:rFonts w:hint="eastAsia" w:ascii="宋体" w:hAnsi="宋体" w:eastAsia="宋体" w:cs="宋体"/>
          <w:color w:val="auto"/>
          <w:sz w:val="24"/>
          <w:szCs w:val="32"/>
          <w:highlight w:val="none"/>
        </w:rPr>
      </w:pPr>
      <w:r>
        <w:rPr>
          <w:rFonts w:hint="eastAsia" w:ascii="宋体" w:hAnsi="宋体" w:cs="宋体"/>
          <w:color w:val="auto"/>
          <w:sz w:val="24"/>
          <w:szCs w:val="32"/>
          <w:highlight w:val="none"/>
        </w:rPr>
        <w:t>4、中标人在中标公告发出5日内应向招标代理机构交纳招标代理服务费。若中标人未在约定时间内支付招标代理服务费，从逾期之日起按日利率千分之一承担违约金。若中标人未按上述规定办理，需承担招标代理机构为实现债权的所</w:t>
      </w:r>
      <w:r>
        <w:rPr>
          <w:rFonts w:hint="eastAsia" w:ascii="宋体" w:hAnsi="宋体" w:eastAsia="宋体" w:cs="宋体"/>
          <w:color w:val="auto"/>
          <w:sz w:val="24"/>
          <w:szCs w:val="32"/>
          <w:highlight w:val="none"/>
        </w:rPr>
        <w:t>有费用（包括但不限于律师费、催讨车旅费、保全担保费等）。</w:t>
      </w:r>
    </w:p>
    <w:p>
      <w:pP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5、招标代理费：根据国家发改委发改办价格[2003]857号通知和国家计委计价格[2002]1980号文件规定的招标费率标准的55%，向中标单位收取招标服务费，该费用中标方须在中标通知书发出5日内一次性付清。（户名：</w:t>
      </w:r>
      <w:r>
        <w:rPr>
          <w:rFonts w:hint="eastAsia" w:ascii="宋体" w:hAnsi="宋体" w:eastAsia="宋体" w:cs="宋体"/>
          <w:color w:val="auto"/>
          <w:sz w:val="24"/>
          <w:szCs w:val="32"/>
          <w:highlight w:val="none"/>
          <w:lang w:eastAsia="zh-CN"/>
        </w:rPr>
        <w:t>浙江五石中正工程咨询有限公司</w:t>
      </w:r>
      <w:r>
        <w:rPr>
          <w:rFonts w:hint="eastAsia" w:ascii="宋体" w:hAnsi="宋体" w:eastAsia="宋体" w:cs="宋体"/>
          <w:color w:val="auto"/>
          <w:sz w:val="24"/>
          <w:szCs w:val="32"/>
          <w:highlight w:val="none"/>
        </w:rPr>
        <w:t>；账号：1202003209900014176；开户银行：中国工商银行杭州市潮王路支行）</w:t>
      </w:r>
      <w:r>
        <w:rPr>
          <w:rFonts w:hint="eastAsia" w:ascii="宋体" w:hAnsi="宋体" w:eastAsia="宋体" w:cs="宋体"/>
          <w:color w:val="auto"/>
          <w:sz w:val="24"/>
          <w:szCs w:val="32"/>
          <w:highlight w:val="none"/>
          <w:lang w:eastAsia="zh-CN"/>
        </w:rPr>
        <w:t>，</w:t>
      </w:r>
      <w:r>
        <w:rPr>
          <w:rFonts w:hint="eastAsia" w:ascii="宋体" w:hAnsi="宋体" w:eastAsia="宋体" w:cs="宋体"/>
          <w:color w:val="auto"/>
          <w:sz w:val="24"/>
          <w:szCs w:val="32"/>
          <w:highlight w:val="none"/>
        </w:rPr>
        <w:t>财务联系电话：0571-88271625。</w:t>
      </w:r>
    </w:p>
    <w:p>
      <w:pPr>
        <w:spacing w:line="360" w:lineRule="auto"/>
        <w:rPr>
          <w:rFonts w:ascii="宋体" w:hAnsi="宋体" w:cs="宋体"/>
          <w:b/>
          <w:bCs/>
          <w:color w:val="auto"/>
          <w:sz w:val="24"/>
          <w:szCs w:val="32"/>
          <w:highlight w:val="none"/>
        </w:rPr>
      </w:pPr>
      <w:r>
        <w:rPr>
          <w:rFonts w:hint="eastAsia" w:ascii="宋体" w:hAnsi="宋体" w:cs="宋体"/>
          <w:b/>
          <w:bCs/>
          <w:color w:val="auto"/>
          <w:sz w:val="24"/>
          <w:szCs w:val="32"/>
          <w:highlight w:val="none"/>
        </w:rPr>
        <w:t>七、合同签订及公告</w:t>
      </w:r>
    </w:p>
    <w:p>
      <w:pPr>
        <w:spacing w:line="360" w:lineRule="auto"/>
        <w:ind w:firstLine="241" w:firstLineChars="100"/>
        <w:rPr>
          <w:rFonts w:ascii="宋体" w:hAnsi="宋体" w:cs="宋体"/>
          <w:b/>
          <w:bCs/>
          <w:color w:val="auto"/>
          <w:sz w:val="24"/>
          <w:szCs w:val="32"/>
          <w:highlight w:val="none"/>
        </w:rPr>
      </w:pPr>
      <w:r>
        <w:rPr>
          <w:rFonts w:hint="eastAsia" w:ascii="宋体" w:hAnsi="宋体" w:cs="宋体"/>
          <w:b/>
          <w:bCs/>
          <w:color w:val="auto"/>
          <w:sz w:val="24"/>
          <w:szCs w:val="32"/>
          <w:highlight w:val="none"/>
        </w:rPr>
        <w:t>（一）签订合同</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1、采购人应当自中标通知书发出之日起30</w:t>
      </w:r>
      <w:r>
        <w:rPr>
          <w:rFonts w:hint="eastAsia" w:ascii="宋体" w:hAnsi="宋体" w:cs="宋体"/>
          <w:color w:val="auto"/>
          <w:sz w:val="24"/>
          <w:szCs w:val="32"/>
          <w:highlight w:val="none"/>
          <w:lang w:val="en-US" w:eastAsia="zh-CN"/>
        </w:rPr>
        <w:t>天</w:t>
      </w:r>
      <w:r>
        <w:rPr>
          <w:rFonts w:hint="eastAsia" w:ascii="宋体" w:hAnsi="宋体" w:cs="宋体"/>
          <w:color w:val="auto"/>
          <w:sz w:val="24"/>
          <w:szCs w:val="32"/>
          <w:highlight w:val="none"/>
        </w:rPr>
        <w:t>内，按照招标文件和中标人投标文件的规定，与中标人签订书面合同。所签订的合同不得对招标文件确定的事项和中标人投标文件作实质性修改。</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2、采购人不得向中标人提出任何不合理的要求作为签订合同的条件。</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3、中标人无故拖延、拒签合同的，取消中标资格。</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4、中标人拒绝与采购人签订合同的，采购人可以按照评审报告推荐的中标候选人名单排序，确定下一候选人为中标人，也可以重新开展政府采购活动。同时，拒绝与采购人签订合同的供应商，由同级财政部门依法作出处理。</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5、询问或者质疑事项可能影响中标结果的，采购人应当暂停签订合同，已经签订合同的，应当中止履行合同（中标结果的质疑期为中标结果公告期限届满之日起七个工作日）。</w:t>
      </w:r>
    </w:p>
    <w:p>
      <w:pPr>
        <w:spacing w:line="360" w:lineRule="auto"/>
        <w:ind w:firstLine="241" w:firstLineChars="100"/>
        <w:rPr>
          <w:rFonts w:ascii="宋体" w:hAnsi="宋体" w:cs="宋体"/>
          <w:b/>
          <w:bCs/>
          <w:color w:val="auto"/>
          <w:sz w:val="24"/>
          <w:szCs w:val="32"/>
          <w:highlight w:val="none"/>
        </w:rPr>
      </w:pPr>
      <w:r>
        <w:rPr>
          <w:rFonts w:hint="eastAsia" w:ascii="宋体" w:hAnsi="宋体" w:cs="宋体"/>
          <w:b/>
          <w:bCs/>
          <w:color w:val="auto"/>
          <w:sz w:val="24"/>
          <w:szCs w:val="32"/>
          <w:highlight w:val="none"/>
        </w:rPr>
        <w:t>（二）合同公告及备案</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1、采购人应当自政府采购合同签订之日起2个工作日内，在省级以上财政部门指定的政府采购信息发布媒体及相关网站上公告。</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2、采购人应当自政府采购合同签订之日起7个工作日内，将政府采购合同副本报同级人民政府财政部门备案以及采购组织机构存档。</w:t>
      </w:r>
    </w:p>
    <w:p>
      <w:pPr>
        <w:spacing w:line="360" w:lineRule="auto"/>
        <w:rPr>
          <w:rFonts w:ascii="宋体" w:hAnsi="宋体" w:eastAsia="宋体" w:cs="宋体"/>
          <w:color w:val="auto"/>
          <w:sz w:val="24"/>
          <w:szCs w:val="24"/>
          <w:highlight w:val="none"/>
        </w:rPr>
      </w:pPr>
    </w:p>
    <w:p>
      <w:pPr>
        <w:spacing w:line="360" w:lineRule="auto"/>
        <w:rPr>
          <w:rFonts w:ascii="宋体" w:hAnsi="宋体" w:eastAsia="宋体" w:cs="宋体"/>
          <w:color w:val="auto"/>
          <w:sz w:val="24"/>
          <w:szCs w:val="24"/>
          <w:highlight w:val="none"/>
        </w:rPr>
      </w:pPr>
    </w:p>
    <w:p>
      <w:pPr>
        <w:spacing w:line="360" w:lineRule="auto"/>
        <w:rPr>
          <w:rFonts w:ascii="宋体" w:hAnsi="宋体" w:eastAsia="宋体" w:cs="宋体"/>
          <w:color w:val="auto"/>
          <w:sz w:val="24"/>
          <w:szCs w:val="24"/>
          <w:highlight w:val="none"/>
        </w:rPr>
      </w:pPr>
    </w:p>
    <w:p>
      <w:pPr>
        <w:spacing w:line="360" w:lineRule="auto"/>
        <w:rPr>
          <w:rFonts w:ascii="宋体" w:hAnsi="宋体" w:eastAsia="宋体" w:cs="宋体"/>
          <w:color w:val="auto"/>
          <w:sz w:val="24"/>
          <w:szCs w:val="24"/>
          <w:highlight w:val="none"/>
        </w:rPr>
      </w:pPr>
    </w:p>
    <w:p>
      <w:pPr>
        <w:spacing w:line="360" w:lineRule="auto"/>
        <w:rPr>
          <w:rFonts w:ascii="宋体" w:hAnsi="宋体" w:eastAsia="宋体" w:cs="宋体"/>
          <w:color w:val="auto"/>
          <w:sz w:val="24"/>
          <w:szCs w:val="24"/>
          <w:highlight w:val="none"/>
        </w:rPr>
      </w:pPr>
    </w:p>
    <w:p>
      <w:pPr>
        <w:spacing w:line="360" w:lineRule="auto"/>
        <w:rPr>
          <w:rFonts w:ascii="宋体" w:hAnsi="宋体" w:eastAsia="宋体" w:cs="宋体"/>
          <w:color w:val="auto"/>
          <w:sz w:val="24"/>
          <w:szCs w:val="24"/>
          <w:highlight w:val="none"/>
        </w:rPr>
      </w:pPr>
    </w:p>
    <w:p>
      <w:pPr>
        <w:spacing w:line="360" w:lineRule="auto"/>
        <w:rPr>
          <w:rFonts w:ascii="宋体" w:hAnsi="宋体" w:eastAsia="宋体" w:cs="宋体"/>
          <w:color w:val="auto"/>
          <w:sz w:val="24"/>
          <w:szCs w:val="24"/>
          <w:highlight w:val="none"/>
        </w:rPr>
      </w:pPr>
    </w:p>
    <w:p>
      <w:pPr>
        <w:spacing w:line="360" w:lineRule="auto"/>
        <w:rPr>
          <w:rFonts w:ascii="宋体" w:hAnsi="宋体" w:eastAsia="宋体" w:cs="宋体"/>
          <w:color w:val="auto"/>
          <w:sz w:val="24"/>
          <w:szCs w:val="24"/>
          <w:highlight w:val="none"/>
        </w:rPr>
      </w:pPr>
    </w:p>
    <w:p>
      <w:pPr>
        <w:spacing w:line="360" w:lineRule="auto"/>
        <w:rPr>
          <w:rFonts w:ascii="宋体" w:hAnsi="宋体" w:eastAsia="宋体" w:cs="宋体"/>
          <w:color w:val="auto"/>
          <w:sz w:val="24"/>
          <w:szCs w:val="24"/>
          <w:highlight w:val="none"/>
        </w:rPr>
      </w:pPr>
    </w:p>
    <w:p>
      <w:pPr>
        <w:spacing w:line="360" w:lineRule="auto"/>
        <w:rPr>
          <w:rFonts w:ascii="宋体" w:hAnsi="宋体" w:eastAsia="宋体" w:cs="宋体"/>
          <w:color w:val="auto"/>
          <w:sz w:val="24"/>
          <w:szCs w:val="24"/>
          <w:highlight w:val="none"/>
        </w:rPr>
      </w:pPr>
    </w:p>
    <w:p>
      <w:pPr>
        <w:spacing w:line="360" w:lineRule="auto"/>
        <w:rPr>
          <w:rFonts w:ascii="宋体" w:hAnsi="宋体" w:eastAsia="宋体" w:cs="宋体"/>
          <w:color w:val="auto"/>
          <w:sz w:val="24"/>
          <w:szCs w:val="24"/>
          <w:highlight w:val="none"/>
        </w:rPr>
      </w:pPr>
    </w:p>
    <w:p>
      <w:pPr>
        <w:spacing w:line="360" w:lineRule="auto"/>
        <w:rPr>
          <w:rFonts w:ascii="宋体" w:hAnsi="宋体" w:eastAsia="宋体" w:cs="宋体"/>
          <w:color w:val="auto"/>
          <w:sz w:val="24"/>
          <w:szCs w:val="24"/>
          <w:highlight w:val="none"/>
        </w:rPr>
      </w:pPr>
    </w:p>
    <w:p>
      <w:pPr>
        <w:spacing w:line="360" w:lineRule="auto"/>
        <w:rPr>
          <w:rFonts w:ascii="宋体" w:hAnsi="宋体" w:eastAsia="宋体" w:cs="宋体"/>
          <w:color w:val="auto"/>
          <w:sz w:val="24"/>
          <w:szCs w:val="24"/>
          <w:highlight w:val="none"/>
        </w:rPr>
      </w:pPr>
    </w:p>
    <w:p>
      <w:pPr>
        <w:spacing w:line="360" w:lineRule="auto"/>
        <w:rPr>
          <w:rFonts w:ascii="宋体" w:hAnsi="宋体" w:eastAsia="宋体" w:cs="宋体"/>
          <w:color w:val="auto"/>
          <w:sz w:val="24"/>
          <w:szCs w:val="24"/>
          <w:highlight w:val="none"/>
        </w:rPr>
      </w:pPr>
    </w:p>
    <w:p>
      <w:pPr>
        <w:spacing w:line="360" w:lineRule="auto"/>
        <w:rPr>
          <w:rFonts w:ascii="宋体" w:hAnsi="宋体" w:eastAsia="宋体" w:cs="宋体"/>
          <w:color w:val="auto"/>
          <w:sz w:val="24"/>
          <w:szCs w:val="24"/>
          <w:highlight w:val="none"/>
        </w:rPr>
      </w:pPr>
    </w:p>
    <w:p>
      <w:pPr>
        <w:spacing w:line="360" w:lineRule="auto"/>
        <w:rPr>
          <w:rFonts w:ascii="宋体" w:hAnsi="宋体" w:eastAsia="宋体" w:cs="宋体"/>
          <w:color w:val="auto"/>
          <w:sz w:val="24"/>
          <w:szCs w:val="24"/>
          <w:highlight w:val="none"/>
        </w:rPr>
      </w:pPr>
    </w:p>
    <w:p>
      <w:pPr>
        <w:spacing w:line="360" w:lineRule="auto"/>
        <w:rPr>
          <w:rFonts w:ascii="宋体" w:hAnsi="宋体" w:eastAsia="宋体" w:cs="宋体"/>
          <w:color w:val="auto"/>
          <w:sz w:val="24"/>
          <w:szCs w:val="24"/>
          <w:highlight w:val="none"/>
        </w:rPr>
      </w:pPr>
    </w:p>
    <w:p>
      <w:pPr>
        <w:pStyle w:val="2"/>
        <w:rPr>
          <w:rFonts w:ascii="宋体" w:hAnsi="宋体" w:eastAsia="宋体" w:cs="宋体"/>
          <w:color w:val="auto"/>
          <w:sz w:val="24"/>
          <w:szCs w:val="24"/>
          <w:highlight w:val="none"/>
        </w:rPr>
      </w:pPr>
    </w:p>
    <w:p>
      <w:pPr>
        <w:pStyle w:val="3"/>
        <w:rPr>
          <w:rFonts w:ascii="宋体" w:hAnsi="宋体" w:eastAsia="宋体" w:cs="宋体"/>
          <w:color w:val="auto"/>
          <w:sz w:val="24"/>
          <w:szCs w:val="24"/>
          <w:highlight w:val="none"/>
        </w:rPr>
      </w:pPr>
    </w:p>
    <w:p>
      <w:pPr>
        <w:pStyle w:val="4"/>
        <w:rPr>
          <w:rFonts w:ascii="宋体" w:hAnsi="宋体" w:eastAsia="宋体" w:cs="宋体"/>
          <w:color w:val="auto"/>
          <w:sz w:val="24"/>
          <w:szCs w:val="24"/>
          <w:highlight w:val="none"/>
        </w:rPr>
      </w:pPr>
    </w:p>
    <w:p>
      <w:pPr>
        <w:rPr>
          <w:color w:val="auto"/>
          <w:highlight w:val="none"/>
        </w:rPr>
      </w:pPr>
    </w:p>
    <w:p>
      <w:pPr>
        <w:spacing w:line="360" w:lineRule="auto"/>
        <w:rPr>
          <w:rFonts w:ascii="宋体" w:hAnsi="宋体" w:eastAsia="宋体" w:cs="宋体"/>
          <w:color w:val="auto"/>
          <w:sz w:val="24"/>
          <w:szCs w:val="24"/>
          <w:highlight w:val="none"/>
        </w:rPr>
      </w:pPr>
    </w:p>
    <w:p>
      <w:pPr>
        <w:spacing w:line="360" w:lineRule="auto"/>
        <w:rPr>
          <w:rFonts w:ascii="宋体" w:hAnsi="宋体" w:eastAsia="宋体" w:cs="宋体"/>
          <w:color w:val="auto"/>
          <w:sz w:val="24"/>
          <w:szCs w:val="24"/>
          <w:highlight w:val="none"/>
        </w:rPr>
      </w:pPr>
    </w:p>
    <w:p>
      <w:pPr>
        <w:spacing w:line="360" w:lineRule="auto"/>
        <w:jc w:val="center"/>
        <w:rPr>
          <w:rFonts w:ascii="宋体"/>
          <w:b/>
          <w:bCs/>
          <w:color w:val="auto"/>
          <w:sz w:val="36"/>
          <w:szCs w:val="36"/>
          <w:highlight w:val="none"/>
        </w:rPr>
      </w:pPr>
      <w:r>
        <w:rPr>
          <w:rFonts w:hint="eastAsia" w:ascii="宋体" w:hAnsi="宋体" w:cs="宋体"/>
          <w:b/>
          <w:bCs/>
          <w:color w:val="auto"/>
          <w:sz w:val="36"/>
          <w:szCs w:val="36"/>
          <w:highlight w:val="none"/>
        </w:rPr>
        <w:t>第三章 评标办法及评分标准</w:t>
      </w:r>
    </w:p>
    <w:p>
      <w:pPr>
        <w:autoSpaceDE w:val="0"/>
        <w:autoSpaceDN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一、采购组织机构将组织评标委员会，对投标人提供的投标文件进行综合评审。</w:t>
      </w:r>
    </w:p>
    <w:p>
      <w:pPr>
        <w:autoSpaceDE w:val="0"/>
        <w:autoSpaceDN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二、本次招标项目的评标方法为综合评分法，总计100分，其中资格及</w:t>
      </w:r>
      <w:r>
        <w:rPr>
          <w:rFonts w:hint="eastAsia" w:ascii="宋体" w:hAnsi="宋体" w:cs="宋体"/>
          <w:color w:val="auto"/>
          <w:kern w:val="0"/>
          <w:sz w:val="24"/>
          <w:highlight w:val="none"/>
          <w:lang w:val="zh-CN"/>
        </w:rPr>
        <w:t>商务技术文件分值</w:t>
      </w:r>
      <w:r>
        <w:rPr>
          <w:rFonts w:hint="eastAsia" w:ascii="宋体" w:hAnsi="宋体" w:cs="宋体"/>
          <w:color w:val="auto"/>
          <w:kern w:val="0"/>
          <w:sz w:val="24"/>
          <w:highlight w:val="none"/>
        </w:rPr>
        <w:t>70</w:t>
      </w:r>
      <w:r>
        <w:rPr>
          <w:rFonts w:hint="eastAsia" w:ascii="宋体" w:hAnsi="宋体" w:cs="宋体"/>
          <w:color w:val="auto"/>
          <w:kern w:val="0"/>
          <w:sz w:val="24"/>
          <w:highlight w:val="none"/>
          <w:lang w:val="zh-CN"/>
        </w:rPr>
        <w:t>分，投标报价分值</w:t>
      </w:r>
      <w:r>
        <w:rPr>
          <w:rFonts w:hint="eastAsia" w:ascii="宋体" w:hAnsi="宋体" w:cs="宋体"/>
          <w:color w:val="auto"/>
          <w:kern w:val="0"/>
          <w:sz w:val="24"/>
          <w:highlight w:val="none"/>
        </w:rPr>
        <w:t>30</w:t>
      </w:r>
      <w:r>
        <w:rPr>
          <w:rFonts w:hint="eastAsia" w:ascii="宋体" w:hAnsi="宋体" w:cs="宋体"/>
          <w:color w:val="auto"/>
          <w:kern w:val="0"/>
          <w:sz w:val="24"/>
          <w:highlight w:val="none"/>
          <w:lang w:val="zh-CN"/>
        </w:rPr>
        <w:t>分</w:t>
      </w:r>
      <w:r>
        <w:rPr>
          <w:rFonts w:hint="eastAsia" w:ascii="宋体" w:hAnsi="宋体" w:cs="宋体"/>
          <w:color w:val="auto"/>
          <w:kern w:val="0"/>
          <w:sz w:val="24"/>
          <w:highlight w:val="none"/>
        </w:rPr>
        <w:t>。评标标准按评分细化条款及分值进行评审。</w:t>
      </w:r>
    </w:p>
    <w:p>
      <w:pPr>
        <w:autoSpaceDE w:val="0"/>
        <w:autoSpaceDN w:val="0"/>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w:t>
      </w:r>
      <w:r>
        <w:rPr>
          <w:rFonts w:hint="eastAsia" w:ascii="宋体" w:hAnsi="宋体" w:cs="宋体"/>
          <w:color w:val="auto"/>
          <w:kern w:val="0"/>
          <w:sz w:val="24"/>
          <w:highlight w:val="none"/>
        </w:rPr>
        <w:t>资格及</w:t>
      </w:r>
      <w:r>
        <w:rPr>
          <w:rFonts w:hint="eastAsia" w:ascii="宋体" w:hAnsi="宋体" w:cs="宋体"/>
          <w:color w:val="auto"/>
          <w:kern w:val="0"/>
          <w:sz w:val="24"/>
          <w:highlight w:val="none"/>
          <w:lang w:val="zh-CN"/>
        </w:rPr>
        <w:t>商务技术文件中的客观分由评标委员会讨论后统一打分；其余在规定的分值内单独评定打分</w:t>
      </w:r>
      <w:r>
        <w:rPr>
          <w:rFonts w:hint="eastAsia" w:ascii="宋体" w:hAnsi="宋体" w:cs="宋体"/>
          <w:color w:val="auto"/>
          <w:kern w:val="0"/>
          <w:sz w:val="24"/>
          <w:highlight w:val="none"/>
        </w:rPr>
        <w:t>（小数点后保留1位）</w:t>
      </w:r>
      <w:r>
        <w:rPr>
          <w:rFonts w:hint="eastAsia" w:ascii="宋体" w:hAnsi="宋体" w:cs="宋体"/>
          <w:color w:val="auto"/>
          <w:kern w:val="0"/>
          <w:sz w:val="24"/>
          <w:highlight w:val="none"/>
          <w:lang w:val="zh-CN"/>
        </w:rPr>
        <w:t>。</w:t>
      </w:r>
    </w:p>
    <w:p>
      <w:pPr>
        <w:autoSpaceDE w:val="0"/>
        <w:autoSpaceDN w:val="0"/>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（二）各投标人</w:t>
      </w:r>
      <w:r>
        <w:rPr>
          <w:rFonts w:hint="eastAsia" w:ascii="宋体" w:hAnsi="宋体" w:cs="宋体"/>
          <w:color w:val="auto"/>
          <w:kern w:val="0"/>
          <w:sz w:val="24"/>
          <w:highlight w:val="none"/>
        </w:rPr>
        <w:t>资格及</w:t>
      </w:r>
      <w:r>
        <w:rPr>
          <w:rFonts w:hint="eastAsia" w:ascii="宋体" w:hAnsi="宋体" w:cs="宋体"/>
          <w:color w:val="auto"/>
          <w:kern w:val="0"/>
          <w:sz w:val="24"/>
          <w:highlight w:val="none"/>
          <w:lang w:val="zh-CN"/>
        </w:rPr>
        <w:t>商务技术文件得分按照评标委员会成员的独立评分结果汇总后的算术平均分计算</w:t>
      </w:r>
      <w:r>
        <w:rPr>
          <w:rFonts w:hint="eastAsia" w:ascii="宋体" w:hAnsi="宋体" w:cs="宋体"/>
          <w:color w:val="auto"/>
          <w:kern w:val="0"/>
          <w:sz w:val="24"/>
          <w:highlight w:val="none"/>
        </w:rPr>
        <w:t>（小数点后保留2位）</w:t>
      </w:r>
      <w:r>
        <w:rPr>
          <w:rFonts w:hint="eastAsia" w:ascii="宋体" w:hAnsi="宋体" w:cs="宋体"/>
          <w:color w:val="auto"/>
          <w:kern w:val="0"/>
          <w:sz w:val="24"/>
          <w:highlight w:val="none"/>
          <w:lang w:val="zh-CN"/>
        </w:rPr>
        <w:t>，计算公式为：</w:t>
      </w:r>
    </w:p>
    <w:p>
      <w:pPr>
        <w:autoSpaceDE w:val="0"/>
        <w:autoSpaceDN w:val="0"/>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rPr>
        <w:t>资格及</w:t>
      </w:r>
      <w:r>
        <w:rPr>
          <w:rFonts w:hint="eastAsia" w:ascii="宋体" w:hAnsi="宋体" w:cs="宋体"/>
          <w:color w:val="auto"/>
          <w:kern w:val="0"/>
          <w:sz w:val="24"/>
          <w:highlight w:val="none"/>
          <w:lang w:val="zh-CN"/>
        </w:rPr>
        <w:t>商务技术文件</w:t>
      </w:r>
      <w:r>
        <w:rPr>
          <w:rFonts w:hint="eastAsia" w:ascii="宋体" w:hAnsi="宋体" w:cs="宋体"/>
          <w:color w:val="auto"/>
          <w:kern w:val="0"/>
          <w:sz w:val="24"/>
          <w:highlight w:val="none"/>
        </w:rPr>
        <w:t>得分</w:t>
      </w:r>
      <w:r>
        <w:rPr>
          <w:rFonts w:hint="eastAsia" w:ascii="宋体" w:hAnsi="宋体" w:cs="宋体"/>
          <w:color w:val="auto"/>
          <w:kern w:val="0"/>
          <w:sz w:val="24"/>
          <w:highlight w:val="none"/>
          <w:lang w:val="zh-CN"/>
        </w:rPr>
        <w:t>=评标委员会所有成员评分合计数/评标委员会组成人员数。</w:t>
      </w:r>
    </w:p>
    <w:p>
      <w:pPr>
        <w:autoSpaceDE w:val="0"/>
        <w:autoSpaceDN w:val="0"/>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（三）投标报价得分采用低价优先法计算</w:t>
      </w:r>
      <w:r>
        <w:rPr>
          <w:rFonts w:hint="eastAsia" w:ascii="宋体" w:hAnsi="宋体" w:cs="宋体"/>
          <w:color w:val="auto"/>
          <w:kern w:val="0"/>
          <w:sz w:val="24"/>
          <w:highlight w:val="none"/>
        </w:rPr>
        <w:t>（小数点后保留2位）</w:t>
      </w:r>
      <w:r>
        <w:rPr>
          <w:rFonts w:hint="eastAsia" w:ascii="宋体" w:hAnsi="宋体" w:cs="宋体"/>
          <w:color w:val="auto"/>
          <w:kern w:val="0"/>
          <w:sz w:val="24"/>
          <w:highlight w:val="none"/>
          <w:lang w:val="zh-CN"/>
        </w:rPr>
        <w:t>，即满足招标文件要求且投标价格最低的投标报价为评标基准价，其报价得满分。其他投标人的投标报价得分按下列公式计算：</w:t>
      </w:r>
    </w:p>
    <w:p>
      <w:pPr>
        <w:autoSpaceDE w:val="0"/>
        <w:autoSpaceDN w:val="0"/>
        <w:spacing w:line="360" w:lineRule="auto"/>
        <w:ind w:firstLine="480" w:firstLineChars="200"/>
        <w:rPr>
          <w:rFonts w:ascii="宋体" w:hAnsi="宋体" w:cs="宋体"/>
          <w:color w:val="auto"/>
          <w:kern w:val="0"/>
          <w:sz w:val="24"/>
          <w:highlight w:val="none"/>
          <w:u w:val="single"/>
        </w:rPr>
      </w:pPr>
      <w:r>
        <w:rPr>
          <w:rFonts w:hint="eastAsia" w:ascii="宋体" w:hAnsi="宋体" w:cs="宋体"/>
          <w:color w:val="auto"/>
          <w:kern w:val="0"/>
          <w:sz w:val="24"/>
          <w:highlight w:val="none"/>
          <w:u w:val="single"/>
        </w:rPr>
        <w:t>投标报价得分=</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u w:val="single"/>
        </w:rPr>
        <w:t>评标基准价／投标报价</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u w:val="single"/>
          <w:lang w:val="en-US" w:eastAsia="zh-CN"/>
        </w:rPr>
        <w:t>3</w:t>
      </w:r>
      <w:r>
        <w:rPr>
          <w:rFonts w:hint="eastAsia" w:ascii="宋体" w:hAnsi="宋体" w:cs="宋体"/>
          <w:color w:val="auto"/>
          <w:kern w:val="0"/>
          <w:sz w:val="24"/>
          <w:highlight w:val="none"/>
          <w:u w:val="single"/>
        </w:rPr>
        <w:t>0%×100 。</w:t>
      </w:r>
    </w:p>
    <w:p>
      <w:pPr>
        <w:autoSpaceDE w:val="0"/>
        <w:autoSpaceDN w:val="0"/>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（四）投标人综合得分＝资格及商务技术文件得分＋投标报价得分。</w:t>
      </w:r>
    </w:p>
    <w:p>
      <w:pPr>
        <w:autoSpaceDE w:val="0"/>
        <w:autoSpaceDN w:val="0"/>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（五）政府采购政策及优惠：</w:t>
      </w:r>
    </w:p>
    <w:p>
      <w:pPr>
        <w:shd w:val="clear" w:color="auto" w:fill="auto"/>
        <w:spacing w:line="360" w:lineRule="auto"/>
        <w:ind w:firstLine="480" w:firstLineChars="200"/>
        <w:rPr>
          <w:rFonts w:hint="eastAsia" w:ascii="宋体" w:hAnsi="宋体" w:eastAsia="宋体" w:cs="宋体"/>
          <w:color w:val="auto"/>
          <w:sz w:val="24"/>
          <w:szCs w:val="32"/>
          <w:highlight w:val="none"/>
          <w:lang w:val="zh-CN"/>
        </w:rPr>
      </w:pPr>
      <w:r>
        <w:rPr>
          <w:rFonts w:hint="eastAsia" w:ascii="宋体" w:hAnsi="宋体" w:eastAsia="宋体" w:cs="宋体"/>
          <w:color w:val="auto"/>
          <w:sz w:val="24"/>
          <w:szCs w:val="32"/>
          <w:highlight w:val="none"/>
          <w:lang w:val="zh-CN"/>
        </w:rPr>
        <w:t>（</w:t>
      </w:r>
      <w:r>
        <w:rPr>
          <w:rFonts w:hint="eastAsia" w:ascii="宋体" w:hAnsi="宋体" w:eastAsia="宋体" w:cs="宋体"/>
          <w:color w:val="auto"/>
          <w:sz w:val="24"/>
          <w:szCs w:val="32"/>
          <w:highlight w:val="none"/>
          <w:lang w:val="en-US" w:eastAsia="zh-CN"/>
        </w:rPr>
        <w:t>1</w:t>
      </w:r>
      <w:r>
        <w:rPr>
          <w:rFonts w:hint="eastAsia" w:ascii="宋体" w:hAnsi="宋体" w:eastAsia="宋体" w:cs="宋体"/>
          <w:color w:val="auto"/>
          <w:sz w:val="24"/>
          <w:szCs w:val="32"/>
          <w:highlight w:val="none"/>
          <w:lang w:val="zh-CN"/>
        </w:rPr>
        <w:t>）根据浙江省财政厅发布的《浙江省财政厅关于进一步</w:t>
      </w:r>
      <w:r>
        <w:rPr>
          <w:rFonts w:hint="eastAsia" w:ascii="宋体" w:hAnsi="宋体" w:cs="宋体"/>
          <w:color w:val="auto"/>
          <w:sz w:val="24"/>
          <w:szCs w:val="32"/>
          <w:highlight w:val="none"/>
          <w:lang w:val="zh-CN"/>
        </w:rPr>
        <w:t>加大政府采购支持中小企业力度</w:t>
      </w:r>
      <w:r>
        <w:rPr>
          <w:rFonts w:hint="eastAsia" w:ascii="宋体" w:hAnsi="宋体" w:cs="宋体"/>
          <w:color w:val="auto"/>
          <w:sz w:val="24"/>
          <w:szCs w:val="32"/>
          <w:highlight w:val="none"/>
          <w:lang w:val="en-US" w:eastAsia="zh-CN"/>
        </w:rPr>
        <w:t xml:space="preserve"> 助力扎实稳住经济</w:t>
      </w:r>
      <w:r>
        <w:rPr>
          <w:rFonts w:hint="eastAsia" w:ascii="宋体" w:hAnsi="宋体" w:eastAsia="宋体" w:cs="宋体"/>
          <w:color w:val="auto"/>
          <w:sz w:val="24"/>
          <w:szCs w:val="32"/>
          <w:highlight w:val="none"/>
          <w:lang w:val="zh-CN"/>
        </w:rPr>
        <w:t>的通知》【浙财采监〔2022〕</w:t>
      </w:r>
      <w:r>
        <w:rPr>
          <w:rFonts w:hint="eastAsia" w:ascii="宋体" w:hAnsi="宋体" w:cs="宋体"/>
          <w:color w:val="auto"/>
          <w:sz w:val="24"/>
          <w:szCs w:val="32"/>
          <w:highlight w:val="none"/>
          <w:lang w:val="en-US" w:eastAsia="zh-CN"/>
        </w:rPr>
        <w:t>8</w:t>
      </w:r>
      <w:r>
        <w:rPr>
          <w:rFonts w:hint="eastAsia" w:ascii="宋体" w:hAnsi="宋体" w:eastAsia="宋体" w:cs="宋体"/>
          <w:color w:val="auto"/>
          <w:sz w:val="24"/>
          <w:szCs w:val="32"/>
          <w:highlight w:val="none"/>
          <w:lang w:val="zh-CN"/>
        </w:rPr>
        <w:t>号】规定，</w:t>
      </w:r>
      <w:r>
        <w:rPr>
          <w:rFonts w:hint="eastAsia" w:ascii="宋体" w:hAnsi="宋体" w:cs="宋体"/>
          <w:color w:val="auto"/>
          <w:sz w:val="24"/>
          <w:szCs w:val="32"/>
          <w:highlight w:val="none"/>
          <w:lang w:val="zh-CN"/>
        </w:rPr>
        <w:t>落实</w:t>
      </w:r>
      <w:r>
        <w:rPr>
          <w:rFonts w:hint="eastAsia" w:ascii="宋体" w:hAnsi="宋体" w:eastAsia="宋体" w:cs="宋体"/>
          <w:color w:val="auto"/>
          <w:sz w:val="24"/>
          <w:szCs w:val="32"/>
          <w:highlight w:val="none"/>
          <w:lang w:val="zh-CN"/>
        </w:rPr>
        <w:t>财政部、工业和信息化部发布的《政府采购促进中小企业发展管理办法》【财库（2020）46号】</w:t>
      </w:r>
      <w:r>
        <w:rPr>
          <w:rFonts w:hint="eastAsia" w:ascii="宋体" w:hAnsi="宋体" w:cs="宋体"/>
          <w:color w:val="auto"/>
          <w:sz w:val="24"/>
          <w:szCs w:val="32"/>
          <w:highlight w:val="none"/>
          <w:lang w:val="zh-CN"/>
        </w:rPr>
        <w:t>和《财政部关于进一步加大政府采购支持中小企业力度的通知》【财库（</w:t>
      </w:r>
      <w:r>
        <w:rPr>
          <w:rFonts w:hint="eastAsia" w:ascii="宋体" w:hAnsi="宋体" w:cs="宋体"/>
          <w:color w:val="auto"/>
          <w:sz w:val="24"/>
          <w:szCs w:val="32"/>
          <w:highlight w:val="none"/>
          <w:lang w:val="en-US" w:eastAsia="zh-CN"/>
        </w:rPr>
        <w:t>2022</w:t>
      </w:r>
      <w:r>
        <w:rPr>
          <w:rFonts w:hint="eastAsia" w:ascii="宋体" w:hAnsi="宋体" w:cs="宋体"/>
          <w:color w:val="auto"/>
          <w:sz w:val="24"/>
          <w:szCs w:val="32"/>
          <w:highlight w:val="none"/>
          <w:lang w:val="zh-CN"/>
        </w:rPr>
        <w:t>）</w:t>
      </w:r>
      <w:r>
        <w:rPr>
          <w:rFonts w:hint="eastAsia" w:ascii="宋体" w:hAnsi="宋体" w:cs="宋体"/>
          <w:color w:val="auto"/>
          <w:sz w:val="24"/>
          <w:szCs w:val="32"/>
          <w:highlight w:val="none"/>
          <w:lang w:val="en-US" w:eastAsia="zh-CN"/>
        </w:rPr>
        <w:t>19号</w:t>
      </w:r>
      <w:r>
        <w:rPr>
          <w:rFonts w:hint="eastAsia" w:ascii="宋体" w:hAnsi="宋体" w:cs="宋体"/>
          <w:color w:val="auto"/>
          <w:sz w:val="24"/>
          <w:szCs w:val="32"/>
          <w:highlight w:val="none"/>
          <w:lang w:val="zh-CN"/>
        </w:rPr>
        <w:t>】有关规定，货物和服务项目中未预留份额专门面向中小企业采购的，以及预留份额项目中的非预留部分采购包，</w:t>
      </w:r>
      <w:r>
        <w:rPr>
          <w:rFonts w:hint="eastAsia" w:ascii="宋体" w:hAnsi="宋体" w:eastAsia="宋体" w:cs="宋体"/>
          <w:color w:val="auto"/>
          <w:sz w:val="24"/>
          <w:szCs w:val="32"/>
          <w:highlight w:val="none"/>
          <w:lang w:val="zh-CN"/>
        </w:rPr>
        <w:t>采购</w:t>
      </w:r>
      <w:r>
        <w:rPr>
          <w:rFonts w:hint="eastAsia" w:ascii="宋体" w:hAnsi="宋体" w:cs="宋体"/>
          <w:color w:val="auto"/>
          <w:sz w:val="24"/>
          <w:szCs w:val="32"/>
          <w:highlight w:val="none"/>
          <w:lang w:val="zh-CN"/>
        </w:rPr>
        <w:t>单位</w:t>
      </w:r>
      <w:r>
        <w:rPr>
          <w:rFonts w:hint="eastAsia" w:ascii="宋体" w:hAnsi="宋体" w:eastAsia="宋体" w:cs="宋体"/>
          <w:color w:val="auto"/>
          <w:sz w:val="24"/>
          <w:szCs w:val="32"/>
          <w:highlight w:val="none"/>
          <w:lang w:val="zh-CN"/>
        </w:rPr>
        <w:t>、采购代理机构应</w:t>
      </w:r>
      <w:r>
        <w:rPr>
          <w:rFonts w:hint="eastAsia" w:ascii="宋体" w:hAnsi="宋体" w:cs="宋体"/>
          <w:color w:val="auto"/>
          <w:sz w:val="24"/>
          <w:szCs w:val="32"/>
          <w:highlight w:val="none"/>
          <w:lang w:val="zh-CN"/>
        </w:rPr>
        <w:t>当</w:t>
      </w:r>
      <w:r>
        <w:rPr>
          <w:rFonts w:hint="eastAsia" w:ascii="宋体" w:hAnsi="宋体" w:eastAsia="宋体" w:cs="宋体"/>
          <w:color w:val="auto"/>
          <w:sz w:val="24"/>
          <w:szCs w:val="32"/>
          <w:highlight w:val="none"/>
          <w:lang w:val="zh-CN"/>
        </w:rPr>
        <w:t>对符合规定的小微企业报价</w:t>
      </w:r>
      <w:r>
        <w:rPr>
          <w:rFonts w:hint="eastAsia" w:ascii="宋体" w:hAnsi="宋体" w:cs="宋体"/>
          <w:color w:val="auto"/>
          <w:sz w:val="24"/>
          <w:szCs w:val="32"/>
          <w:highlight w:val="none"/>
          <w:lang w:val="zh-CN"/>
        </w:rPr>
        <w:t>给予</w:t>
      </w:r>
      <w:r>
        <w:rPr>
          <w:rFonts w:hint="eastAsia" w:ascii="宋体" w:hAnsi="宋体" w:cs="宋体"/>
          <w:color w:val="auto"/>
          <w:sz w:val="24"/>
          <w:szCs w:val="32"/>
          <w:highlight w:val="none"/>
          <w:lang w:val="en-US" w:eastAsia="zh-CN"/>
        </w:rPr>
        <w:t>2</w:t>
      </w:r>
      <w:r>
        <w:rPr>
          <w:rFonts w:hint="eastAsia" w:ascii="宋体" w:hAnsi="宋体" w:eastAsia="宋体" w:cs="宋体"/>
          <w:color w:val="auto"/>
          <w:sz w:val="24"/>
          <w:szCs w:val="32"/>
          <w:highlight w:val="none"/>
          <w:lang w:val="zh-CN"/>
        </w:rPr>
        <w:t>0%</w:t>
      </w:r>
      <w:r>
        <w:rPr>
          <w:rFonts w:hint="eastAsia" w:ascii="宋体" w:hAnsi="宋体" w:cs="宋体"/>
          <w:color w:val="auto"/>
          <w:sz w:val="24"/>
          <w:szCs w:val="32"/>
          <w:highlight w:val="none"/>
          <w:lang w:val="zh-CN"/>
        </w:rPr>
        <w:t>的</w:t>
      </w:r>
      <w:r>
        <w:rPr>
          <w:rFonts w:hint="eastAsia" w:ascii="宋体" w:hAnsi="宋体" w:eastAsia="宋体" w:cs="宋体"/>
          <w:color w:val="auto"/>
          <w:sz w:val="24"/>
          <w:szCs w:val="32"/>
          <w:highlight w:val="none"/>
          <w:lang w:val="zh-CN"/>
        </w:rPr>
        <w:t>扣除，用扣除后的价格参加评审。</w:t>
      </w:r>
    </w:p>
    <w:p>
      <w:pPr>
        <w:shd w:val="clear" w:color="auto" w:fill="auto"/>
        <w:spacing w:line="360" w:lineRule="auto"/>
        <w:ind w:firstLine="480" w:firstLineChars="200"/>
        <w:rPr>
          <w:rFonts w:hint="eastAsia" w:ascii="宋体" w:hAnsi="宋体" w:eastAsia="宋体" w:cs="宋体"/>
          <w:color w:val="auto"/>
          <w:sz w:val="24"/>
          <w:szCs w:val="32"/>
          <w:highlight w:val="none"/>
          <w:lang w:val="zh-CN"/>
        </w:rPr>
      </w:pPr>
      <w:r>
        <w:rPr>
          <w:rFonts w:hint="eastAsia" w:ascii="宋体" w:hAnsi="宋体" w:eastAsia="宋体" w:cs="宋体"/>
          <w:color w:val="auto"/>
          <w:sz w:val="24"/>
          <w:szCs w:val="32"/>
          <w:highlight w:val="none"/>
          <w:lang w:val="zh-CN"/>
        </w:rPr>
        <w:t>接受大中型企业与小微企业组成联合体或者允许大中型企业向一家或者多家小微企业分包的采购项目，对于联合协议或者分包意向协议约定小微企业的合同份额占到合同总金额30%以上的，</w:t>
      </w:r>
      <w:r>
        <w:rPr>
          <w:rFonts w:hint="eastAsia" w:ascii="宋体" w:hAnsi="宋体" w:cs="宋体"/>
          <w:color w:val="auto"/>
          <w:sz w:val="24"/>
          <w:szCs w:val="32"/>
          <w:highlight w:val="none"/>
          <w:lang w:val="zh-CN"/>
        </w:rPr>
        <w:t>采购单位</w:t>
      </w:r>
      <w:r>
        <w:rPr>
          <w:rFonts w:hint="eastAsia" w:ascii="宋体" w:hAnsi="宋体" w:eastAsia="宋体" w:cs="宋体"/>
          <w:color w:val="auto"/>
          <w:sz w:val="24"/>
          <w:szCs w:val="32"/>
          <w:highlight w:val="none"/>
          <w:lang w:val="zh-CN"/>
        </w:rPr>
        <w:t>、采购代理机构应当对联合体或者大中型企业的报价给予</w:t>
      </w:r>
      <w:r>
        <w:rPr>
          <w:rFonts w:hint="eastAsia" w:ascii="宋体" w:hAnsi="宋体" w:cs="宋体"/>
          <w:color w:val="auto"/>
          <w:sz w:val="24"/>
          <w:szCs w:val="32"/>
          <w:highlight w:val="none"/>
          <w:lang w:val="en-US" w:eastAsia="zh-CN"/>
        </w:rPr>
        <w:t>6%</w:t>
      </w:r>
      <w:r>
        <w:rPr>
          <w:rFonts w:hint="eastAsia" w:ascii="宋体" w:hAnsi="宋体" w:eastAsia="宋体" w:cs="宋体"/>
          <w:color w:val="auto"/>
          <w:sz w:val="24"/>
          <w:szCs w:val="32"/>
          <w:highlight w:val="none"/>
          <w:lang w:val="zh-CN"/>
        </w:rPr>
        <w:t>的扣除，用扣除后的价格参加评审。</w:t>
      </w:r>
    </w:p>
    <w:p>
      <w:pPr>
        <w:shd w:val="clear" w:color="auto" w:fill="auto"/>
        <w:spacing w:line="360" w:lineRule="auto"/>
        <w:ind w:firstLine="480" w:firstLineChars="200"/>
        <w:rPr>
          <w:rFonts w:hint="eastAsia" w:ascii="宋体" w:hAnsi="宋体" w:eastAsia="宋体" w:cs="宋体"/>
          <w:color w:val="auto"/>
          <w:sz w:val="24"/>
          <w:szCs w:val="32"/>
          <w:highlight w:val="none"/>
          <w:lang w:val="zh-CN"/>
        </w:rPr>
      </w:pPr>
      <w:r>
        <w:rPr>
          <w:rFonts w:hint="eastAsia" w:ascii="宋体" w:hAnsi="宋体" w:eastAsia="宋体" w:cs="宋体"/>
          <w:color w:val="auto"/>
          <w:sz w:val="24"/>
          <w:szCs w:val="32"/>
          <w:highlight w:val="none"/>
          <w:lang w:val="zh-CN"/>
        </w:rPr>
        <w:t>组成联合体或者接受分包的小微企业与联合体内其他企业、分包企业之间存在直接控股、管理关系的，不享受价格扣除优惠政策。</w:t>
      </w:r>
    </w:p>
    <w:p>
      <w:pPr>
        <w:shd w:val="clear" w:color="auto" w:fill="auto"/>
        <w:spacing w:line="360" w:lineRule="auto"/>
        <w:ind w:firstLine="480" w:firstLineChars="200"/>
        <w:rPr>
          <w:rFonts w:hint="eastAsia" w:ascii="宋体" w:hAnsi="宋体" w:eastAsia="宋体" w:cs="宋体"/>
          <w:color w:val="auto"/>
          <w:sz w:val="24"/>
          <w:szCs w:val="32"/>
          <w:highlight w:val="none"/>
          <w:lang w:val="zh-CN"/>
        </w:rPr>
      </w:pPr>
      <w:r>
        <w:rPr>
          <w:rFonts w:hint="eastAsia" w:ascii="宋体" w:hAnsi="宋体" w:eastAsia="宋体" w:cs="宋体"/>
          <w:color w:val="auto"/>
          <w:sz w:val="24"/>
          <w:szCs w:val="32"/>
          <w:highlight w:val="none"/>
          <w:lang w:val="zh-CN"/>
        </w:rPr>
        <w:t>以联合体形式参加政府采购活动，联合体各方均为中小企业的，联合体视同中小企业。其中，联合体各方均为小微企业的，联合体视同小微企业。</w:t>
      </w:r>
    </w:p>
    <w:p>
      <w:pPr>
        <w:shd w:val="clear" w:color="auto" w:fill="auto"/>
        <w:spacing w:line="360" w:lineRule="auto"/>
        <w:ind w:firstLine="480" w:firstLineChars="200"/>
        <w:rPr>
          <w:rFonts w:hint="eastAsia" w:ascii="宋体" w:hAnsi="宋体" w:eastAsia="宋体" w:cs="宋体"/>
          <w:color w:val="auto"/>
          <w:sz w:val="24"/>
          <w:szCs w:val="32"/>
          <w:highlight w:val="none"/>
          <w:lang w:val="zh-CN"/>
        </w:rPr>
      </w:pPr>
      <w:r>
        <w:rPr>
          <w:rFonts w:hint="eastAsia" w:ascii="宋体" w:hAnsi="宋体" w:eastAsia="宋体" w:cs="宋体"/>
          <w:color w:val="auto"/>
          <w:sz w:val="24"/>
          <w:szCs w:val="32"/>
          <w:highlight w:val="none"/>
          <w:lang w:val="zh-CN"/>
        </w:rPr>
        <w:t>投标文件中须同时出具《政府采购促进中小企业发展管理办法》【财库（2020）46号】规定的《中小企业声明函》，否则不得享受价格扣除。</w:t>
      </w:r>
    </w:p>
    <w:p>
      <w:pPr>
        <w:shd w:val="clear" w:color="auto" w:fill="auto"/>
        <w:spacing w:line="360" w:lineRule="auto"/>
        <w:ind w:firstLine="480" w:firstLineChars="200"/>
        <w:rPr>
          <w:rFonts w:hint="eastAsia" w:ascii="宋体" w:hAnsi="宋体" w:eastAsia="宋体" w:cs="宋体"/>
          <w:color w:val="auto"/>
          <w:sz w:val="24"/>
          <w:szCs w:val="32"/>
          <w:highlight w:val="none"/>
          <w:lang w:val="zh-CN"/>
        </w:rPr>
      </w:pPr>
      <w:r>
        <w:rPr>
          <w:rFonts w:hint="eastAsia" w:ascii="宋体" w:hAnsi="宋体" w:eastAsia="宋体" w:cs="宋体"/>
          <w:color w:val="auto"/>
          <w:sz w:val="24"/>
          <w:szCs w:val="32"/>
          <w:highlight w:val="none"/>
          <w:lang w:val="zh-CN"/>
        </w:rPr>
        <w:t>本项目对符合规定的小微企业（含小型企业）报价给予</w:t>
      </w:r>
      <w:r>
        <w:rPr>
          <w:rFonts w:hint="eastAsia" w:ascii="宋体" w:hAnsi="宋体" w:cs="宋体"/>
          <w:color w:val="auto"/>
          <w:sz w:val="24"/>
          <w:szCs w:val="32"/>
          <w:highlight w:val="none"/>
          <w:lang w:val="en-US" w:eastAsia="zh-CN"/>
        </w:rPr>
        <w:t>20</w:t>
      </w:r>
      <w:r>
        <w:rPr>
          <w:rFonts w:hint="eastAsia" w:ascii="宋体" w:hAnsi="宋体" w:eastAsia="宋体" w:cs="宋体"/>
          <w:color w:val="auto"/>
          <w:sz w:val="24"/>
          <w:szCs w:val="32"/>
          <w:highlight w:val="none"/>
          <w:lang w:val="zh-CN"/>
        </w:rPr>
        <w:t>%的扣除。</w:t>
      </w:r>
    </w:p>
    <w:p>
      <w:pPr>
        <w:shd w:val="clear" w:color="auto" w:fill="auto"/>
        <w:spacing w:line="360" w:lineRule="auto"/>
        <w:ind w:firstLine="480" w:firstLineChars="200"/>
        <w:rPr>
          <w:rFonts w:hint="eastAsia" w:ascii="宋体" w:hAnsi="宋体" w:eastAsia="宋体" w:cs="宋体"/>
          <w:color w:val="auto"/>
          <w:sz w:val="24"/>
          <w:szCs w:val="32"/>
          <w:highlight w:val="none"/>
          <w:lang w:val="zh-CN"/>
        </w:rPr>
      </w:pPr>
      <w:r>
        <w:rPr>
          <w:rFonts w:hint="eastAsia" w:ascii="宋体" w:hAnsi="宋体" w:eastAsia="宋体" w:cs="宋体"/>
          <w:color w:val="auto"/>
          <w:sz w:val="24"/>
          <w:szCs w:val="32"/>
          <w:highlight w:val="none"/>
          <w:lang w:val="zh-CN"/>
        </w:rPr>
        <w:t>对符合规定的联合体或者大中型企业的报价给予</w:t>
      </w:r>
      <w:r>
        <w:rPr>
          <w:rFonts w:hint="eastAsia" w:ascii="宋体" w:hAnsi="宋体" w:cs="宋体"/>
          <w:color w:val="auto"/>
          <w:sz w:val="24"/>
          <w:szCs w:val="32"/>
          <w:highlight w:val="none"/>
          <w:lang w:val="en-US" w:eastAsia="zh-CN"/>
        </w:rPr>
        <w:t>6</w:t>
      </w:r>
      <w:r>
        <w:rPr>
          <w:rFonts w:hint="eastAsia" w:ascii="宋体" w:hAnsi="宋体" w:eastAsia="宋体" w:cs="宋体"/>
          <w:color w:val="auto"/>
          <w:sz w:val="24"/>
          <w:szCs w:val="32"/>
          <w:highlight w:val="none"/>
          <w:lang w:val="zh-CN"/>
        </w:rPr>
        <w:t>%的扣除。</w:t>
      </w:r>
    </w:p>
    <w:p>
      <w:pPr>
        <w:autoSpaceDE w:val="0"/>
        <w:autoSpaceDN w:val="0"/>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（2）根据《关于政府采购支持监狱企业发展有关问题的通知》（财库[2014]68号）的规定，供应商如为监狱企业且所投产品为小型或微型企业生产的，其投标报价扣除</w:t>
      </w:r>
      <w:r>
        <w:rPr>
          <w:rFonts w:hint="eastAsia" w:ascii="宋体" w:hAnsi="宋体" w:cs="宋体"/>
          <w:color w:val="auto"/>
          <w:kern w:val="0"/>
          <w:sz w:val="24"/>
          <w:highlight w:val="none"/>
          <w:lang w:val="en-US" w:eastAsia="zh-CN"/>
        </w:rPr>
        <w:t>2</w:t>
      </w:r>
      <w:r>
        <w:rPr>
          <w:rFonts w:hint="eastAsia" w:ascii="宋体" w:hAnsi="宋体" w:cs="宋体"/>
          <w:color w:val="auto"/>
          <w:kern w:val="0"/>
          <w:sz w:val="24"/>
          <w:highlight w:val="none"/>
        </w:rPr>
        <w:t>0</w:t>
      </w:r>
      <w:r>
        <w:rPr>
          <w:rFonts w:hint="eastAsia" w:ascii="宋体" w:hAnsi="宋体" w:cs="宋体"/>
          <w:color w:val="auto"/>
          <w:kern w:val="0"/>
          <w:sz w:val="24"/>
          <w:highlight w:val="none"/>
          <w:lang w:val="zh-CN"/>
        </w:rPr>
        <w:t>%后参与评审。</w:t>
      </w:r>
    </w:p>
    <w:p>
      <w:pPr>
        <w:autoSpaceDE w:val="0"/>
        <w:autoSpaceDN w:val="0"/>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投标文件中须同时提供：供应商的省级以上监狱管理局、戒毒管理局（含新疆生产建设兵团）出具的属于监狱企业的证明文件，未提供完整证明材料的，投标报价不予扣减。</w:t>
      </w:r>
    </w:p>
    <w:p>
      <w:pPr>
        <w:autoSpaceDE w:val="0"/>
        <w:autoSpaceDN w:val="0"/>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残疾人福利性单位视同小型、微型企业，享受预留份额、评审中价格扣除等促进中小企业发展的政府采购政策。符合条件的残疾人福利性单位在参加政府采购活动时，应当提供本通知规定的《残疾人福利性单位声明函》（见附件），并对声明的真实性负责。</w:t>
      </w:r>
    </w:p>
    <w:p>
      <w:pPr>
        <w:autoSpaceDE w:val="0"/>
        <w:autoSpaceDN w:val="0"/>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享受政府采购支持政策的残疾人福利性单位应当同时满足以下条件：</w:t>
      </w:r>
    </w:p>
    <w:p>
      <w:pPr>
        <w:autoSpaceDE w:val="0"/>
        <w:autoSpaceDN w:val="0"/>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①安置的残疾人占本单位在职职工人数的比例不低于25%（含25%），并且安置的残疾人人数不少于10人（含10人）；</w:t>
      </w:r>
    </w:p>
    <w:p>
      <w:pPr>
        <w:autoSpaceDE w:val="0"/>
        <w:autoSpaceDN w:val="0"/>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②依法与安置的每位残疾人签订了一年以上（含一年）的劳动合同或服务协议；</w:t>
      </w:r>
    </w:p>
    <w:p>
      <w:pPr>
        <w:autoSpaceDE w:val="0"/>
        <w:autoSpaceDN w:val="0"/>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③为安置的每位残疾人按月足额缴纳了基本养老保险、基本医疗保险、失业保险、工伤保险和生育保险等社会保险费；</w:t>
      </w:r>
    </w:p>
    <w:p>
      <w:pPr>
        <w:autoSpaceDE w:val="0"/>
        <w:autoSpaceDN w:val="0"/>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④通过银行等金融机构向安置的每位残疾人，按月支付了不低于单位所在区县适用的经省级人民政府批准的月最低工资标准的工资；</w:t>
      </w:r>
    </w:p>
    <w:p>
      <w:pPr>
        <w:autoSpaceDE w:val="0"/>
        <w:autoSpaceDN w:val="0"/>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⑤提供本单位制造的货物、承担的工程或者服务（以下简称产品），或者提供其他残疾人福利性单位制造的货物（不包括使用非残疾人福利性单位注册商标的货物）。</w:t>
      </w:r>
    </w:p>
    <w:p>
      <w:pPr>
        <w:autoSpaceDE w:val="0"/>
        <w:autoSpaceDN w:val="0"/>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autoSpaceDE w:val="0"/>
        <w:autoSpaceDN w:val="0"/>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注：得分以系统计算为准，保留2位小数。</w:t>
      </w:r>
    </w:p>
    <w:p>
      <w:pPr>
        <w:autoSpaceDE w:val="0"/>
        <w:autoSpaceDN w:val="0"/>
        <w:spacing w:line="360" w:lineRule="auto"/>
        <w:ind w:firstLine="480" w:firstLineChars="20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三、在最大限度地满足招标文件实质性要求前提下，评标委员会按照招标文件中规定的各项因素进行综合评审后，推荐二名合格的中标候选人，并按评标报告推荐的顺序确定排名第一的中标候选人为中标人。</w:t>
      </w:r>
    </w:p>
    <w:p>
      <w:pPr>
        <w:autoSpaceDE w:val="0"/>
        <w:autoSpaceDN w:val="0"/>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四、如综合得分相同，投标报价低者为先；如综合得分且投标报价相同的，货物类采购项目以技术性能得分较高者为先，服务类采购项目以实力信誉及业绩得分较高者为先。</w:t>
      </w:r>
    </w:p>
    <w:p>
      <w:pPr>
        <w:autoSpaceDE w:val="0"/>
        <w:autoSpaceDN w:val="0"/>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提供相同品牌产品的不同投标人参加同一合同项下投标的，按一家供应商认定：（1）采用最低评标价法的采购项目，以其中通过资格审查、符合性审查且报价最低的参加评标；报价相同的，由评标委员会集体确定一个投标人参加评标，其他投标无效。（2）使用综合评分法的采购项目，评审后得分最高的同品牌投标人获得中标人推荐资格；评审得分相同的，由评标委员会集体推荐一个投标人作为中标候选人，其他同品牌投标人不作为中标候选人。</w:t>
      </w:r>
    </w:p>
    <w:p>
      <w:pPr>
        <w:autoSpaceDE w:val="0"/>
        <w:autoSpaceDN w:val="0"/>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六、本次评分具体分值细化条款如下表：</w:t>
      </w:r>
    </w:p>
    <w:tbl>
      <w:tblPr>
        <w:tblStyle w:val="20"/>
        <w:tblW w:w="5580" w:type="pct"/>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1170"/>
        <w:gridCol w:w="1075"/>
        <w:gridCol w:w="6554"/>
        <w:gridCol w:w="712"/>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10" w:hRule="atLeast"/>
          <w:jc w:val="center"/>
        </w:trPr>
        <w:tc>
          <w:tcPr>
            <w:tcW w:w="117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评分内容</w:t>
            </w:r>
          </w:p>
        </w:tc>
        <w:tc>
          <w:tcPr>
            <w:tcW w:w="7629"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评分标准</w:t>
            </w:r>
          </w:p>
        </w:tc>
        <w:tc>
          <w:tcPr>
            <w:tcW w:w="712"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分值</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77" w:hRule="atLeast"/>
          <w:jc w:val="center"/>
        </w:trPr>
        <w:tc>
          <w:tcPr>
            <w:tcW w:w="1170"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实施、安装、测试、验收方案（1</w:t>
            </w: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分）</w:t>
            </w:r>
          </w:p>
        </w:tc>
        <w:tc>
          <w:tcPr>
            <w:tcW w:w="1075"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1.1</w:t>
            </w:r>
            <w:r>
              <w:rPr>
                <w:rFonts w:hint="eastAsia" w:ascii="宋体" w:hAnsi="宋体" w:eastAsia="宋体" w:cs="宋体"/>
                <w:color w:val="auto"/>
                <w:sz w:val="24"/>
                <w:szCs w:val="24"/>
                <w:highlight w:val="none"/>
              </w:rPr>
              <w:t>实施方案(9分)</w:t>
            </w:r>
          </w:p>
        </w:tc>
        <w:tc>
          <w:tcPr>
            <w:tcW w:w="655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1.1.1</w:t>
            </w:r>
            <w:r>
              <w:rPr>
                <w:rFonts w:hint="eastAsia" w:ascii="宋体" w:hAnsi="宋体" w:eastAsia="宋体" w:cs="宋体"/>
                <w:color w:val="auto"/>
                <w:sz w:val="24"/>
                <w:szCs w:val="24"/>
                <w:highlight w:val="none"/>
              </w:rPr>
              <w:t>评委会根据投标人对智慧公安（基层治理能力提升工程-行指舆情）项目的理解及整体设计方案的完整性、先进性、可操作性进行打分。（无方案的不得分）</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方案合理，内容全面详实，结合项目实际，可操作性强的，得3.0-2.0分；具备一定操作性的，得1.9-1.0分；内容一般的，得0.9-0分。</w:t>
            </w:r>
          </w:p>
        </w:tc>
        <w:tc>
          <w:tcPr>
            <w:tcW w:w="712"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3</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77" w:hRule="atLeast"/>
          <w:jc w:val="center"/>
        </w:trPr>
        <w:tc>
          <w:tcPr>
            <w:tcW w:w="1170"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lang w:val="en-US" w:eastAsia="zh-CN"/>
              </w:rPr>
            </w:pPr>
          </w:p>
        </w:tc>
        <w:tc>
          <w:tcPr>
            <w:tcW w:w="1075"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lang w:val="en-US" w:eastAsia="zh-CN"/>
              </w:rPr>
            </w:pPr>
          </w:p>
        </w:tc>
        <w:tc>
          <w:tcPr>
            <w:tcW w:w="655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1.1.2</w:t>
            </w:r>
            <w:r>
              <w:rPr>
                <w:rFonts w:hint="eastAsia" w:ascii="宋体" w:hAnsi="宋体" w:eastAsia="宋体" w:cs="宋体"/>
                <w:color w:val="auto"/>
                <w:sz w:val="24"/>
                <w:szCs w:val="24"/>
                <w:highlight w:val="none"/>
              </w:rPr>
              <w:t>投标人项目组织实施方案的科学性、合理性、规范性和可操作性，包括硬件设备的安装方案、调试、试运行等内容等进行综合评价打分。（无方案的不得分）</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1.1.2.1</w:t>
            </w:r>
            <w:r>
              <w:rPr>
                <w:rFonts w:hint="eastAsia" w:ascii="宋体" w:hAnsi="宋体" w:eastAsia="宋体" w:cs="宋体"/>
                <w:color w:val="auto"/>
                <w:sz w:val="24"/>
                <w:szCs w:val="24"/>
                <w:highlight w:val="none"/>
              </w:rPr>
              <w:t>根据投标人对招标人需求、项目现场的掌握情况（投标人请自行到项目现场踏勘，要充分了解改造需求，要充分了解现场实施难度，保证施工安全且不影响整体装修进度，应体现在标书中）进行打分，评为优得3.0-2.0分，评为良好得1.9-1.0分，一般得0.9-0分；</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1.1.2.2</w:t>
            </w:r>
            <w:r>
              <w:rPr>
                <w:rFonts w:hint="eastAsia" w:ascii="宋体" w:hAnsi="宋体" w:eastAsia="宋体" w:cs="宋体"/>
                <w:color w:val="auto"/>
                <w:sz w:val="24"/>
                <w:szCs w:val="24"/>
                <w:highlight w:val="none"/>
              </w:rPr>
              <w:t>根据本项目实际需求，安装、测试、验收方案和措施等综合比较，根据优劣程度综合打分，评为优得3.0-2.0分，评为良好得1.9-1.0分，一般得0.9-0分。</w:t>
            </w:r>
          </w:p>
        </w:tc>
        <w:tc>
          <w:tcPr>
            <w:tcW w:w="712"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2" w:hRule="atLeast"/>
          <w:jc w:val="center"/>
        </w:trPr>
        <w:tc>
          <w:tcPr>
            <w:tcW w:w="1170"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rPr>
            </w:pPr>
          </w:p>
        </w:tc>
        <w:tc>
          <w:tcPr>
            <w:tcW w:w="107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1.2</w:t>
            </w:r>
            <w:r>
              <w:rPr>
                <w:rFonts w:hint="eastAsia" w:ascii="宋体" w:hAnsi="宋体" w:eastAsia="宋体" w:cs="宋体"/>
                <w:color w:val="auto"/>
                <w:sz w:val="24"/>
                <w:szCs w:val="24"/>
                <w:highlight w:val="none"/>
              </w:rPr>
              <w:t>软件平台应用及演示(</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分)</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rPr>
            </w:pPr>
          </w:p>
        </w:tc>
        <w:tc>
          <w:tcPr>
            <w:tcW w:w="655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根据投标人对本项目采购的相关内容进行视频资料演示（演示视频时长控制在10分钟之内，以U盘为媒体单独密封）视频演示资料必须包含以下打分内容，由评委评价打分：</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1.2.1</w:t>
            </w:r>
            <w:r>
              <w:rPr>
                <w:rFonts w:hint="eastAsia" w:ascii="宋体" w:hAnsi="宋体" w:eastAsia="宋体" w:cs="宋体"/>
                <w:color w:val="auto"/>
                <w:sz w:val="24"/>
                <w:szCs w:val="24"/>
                <w:highlight w:val="none"/>
              </w:rPr>
              <w:t>执法办案管理系统平台演示视频（</w:t>
            </w:r>
            <w:r>
              <w:rPr>
                <w:rFonts w:hint="eastAsia" w:ascii="宋体" w:hAnsi="宋体" w:eastAsia="宋体" w:cs="宋体"/>
                <w:color w:val="auto"/>
                <w:sz w:val="24"/>
                <w:szCs w:val="24"/>
                <w:highlight w:val="none"/>
                <w:lang w:val="en-US" w:eastAsia="zh-CN"/>
              </w:rPr>
              <w:t>以下每满足一项得1分，最高得3</w:t>
            </w:r>
            <w:r>
              <w:rPr>
                <w:rFonts w:hint="eastAsia" w:ascii="宋体" w:hAnsi="宋体" w:eastAsia="宋体" w:cs="宋体"/>
                <w:color w:val="auto"/>
                <w:sz w:val="24"/>
                <w:szCs w:val="24"/>
                <w:highlight w:val="none"/>
              </w:rPr>
              <w:t>分，不满足不得分）</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演示办案区人员信息管理电子台账功能，实现电子签名捺印并满足各个单位的个性化使用要求。</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演示同步刻录与浙江民警使用的笔录软件集成功能。实现通过浙江笔录系统调用同步刻录功能。</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演示“一体化数字签名屏”与浙江笔录系统集成功能，浙江笔录系统推送笔录内容至签字设备。</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1.2.2</w:t>
            </w:r>
            <w:r>
              <w:rPr>
                <w:rFonts w:hint="eastAsia" w:ascii="宋体" w:hAnsi="宋体" w:eastAsia="宋体" w:cs="宋体"/>
                <w:color w:val="auto"/>
                <w:sz w:val="24"/>
                <w:szCs w:val="24"/>
                <w:highlight w:val="none"/>
              </w:rPr>
              <w:t>合成作战指挥体系控制系统演示视频(</w:t>
            </w:r>
            <w:r>
              <w:rPr>
                <w:rFonts w:hint="eastAsia" w:ascii="宋体" w:hAnsi="宋体" w:eastAsia="宋体" w:cs="宋体"/>
                <w:color w:val="auto"/>
                <w:sz w:val="24"/>
                <w:szCs w:val="24"/>
                <w:highlight w:val="none"/>
                <w:lang w:val="en-US" w:eastAsia="zh-CN"/>
              </w:rPr>
              <w:t>以下每满足一项得1分，最高得3</w:t>
            </w:r>
            <w:r>
              <w:rPr>
                <w:rFonts w:hint="eastAsia" w:ascii="宋体" w:hAnsi="宋体" w:eastAsia="宋体" w:cs="宋体"/>
                <w:color w:val="auto"/>
                <w:sz w:val="24"/>
                <w:szCs w:val="24"/>
                <w:highlight w:val="none"/>
              </w:rPr>
              <w:t>分，不满足不得分</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图像调节：可通过软件对大屏系统的对比度、饱和度、色温等参数进行调节；</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设备及内容配置：可通过平台对播控主机、屏幕、拼接器中控主机、KVM等设备配置，播控内容、场景、预案及大屏门户可配置。可支持支持网页、视频、图片、AR/VR、数据可视化等内容上屏。</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语音控制：语音控制点位上屏、预案轮巡、切换预案、开关屏幕等操作</w:t>
            </w:r>
            <w:r>
              <w:rPr>
                <w:rFonts w:hint="eastAsia" w:ascii="宋体" w:hAnsi="宋体" w:eastAsia="宋体" w:cs="宋体"/>
                <w:color w:val="auto"/>
                <w:sz w:val="24"/>
                <w:szCs w:val="24"/>
                <w:highlight w:val="none"/>
                <w:lang w:eastAsia="zh-CN"/>
              </w:rPr>
              <w:t>。</w:t>
            </w:r>
          </w:p>
        </w:tc>
        <w:tc>
          <w:tcPr>
            <w:tcW w:w="712"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117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rPr>
            </w:pPr>
          </w:p>
        </w:tc>
        <w:tc>
          <w:tcPr>
            <w:tcW w:w="107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1.3</w:t>
            </w:r>
            <w:r>
              <w:rPr>
                <w:rFonts w:hint="eastAsia" w:ascii="宋体" w:hAnsi="宋体" w:eastAsia="宋体" w:cs="宋体"/>
                <w:color w:val="auto"/>
                <w:sz w:val="24"/>
                <w:szCs w:val="24"/>
                <w:highlight w:val="none"/>
              </w:rPr>
              <w:t>系统对接（</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分）</w:t>
            </w:r>
          </w:p>
        </w:tc>
        <w:tc>
          <w:tcPr>
            <w:tcW w:w="655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本项目采购的云桌面设备需要接入黄岩区公安局现有在用云桌面系统，根据投标人提供的相关对接方案及对接证明材料综合打分。</w:t>
            </w:r>
          </w:p>
        </w:tc>
        <w:tc>
          <w:tcPr>
            <w:tcW w:w="712"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3</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1170"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技术性能、设备参数响应程度（28分）</w:t>
            </w:r>
          </w:p>
        </w:tc>
        <w:tc>
          <w:tcPr>
            <w:tcW w:w="107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2.1</w:t>
            </w:r>
            <w:r>
              <w:rPr>
                <w:rFonts w:hint="eastAsia" w:ascii="宋体" w:hAnsi="宋体" w:eastAsia="宋体" w:cs="宋体"/>
                <w:color w:val="auto"/>
                <w:sz w:val="24"/>
                <w:szCs w:val="24"/>
                <w:highlight w:val="none"/>
              </w:rPr>
              <w:t>产品综合性能（5分）</w:t>
            </w:r>
          </w:p>
        </w:tc>
        <w:tc>
          <w:tcPr>
            <w:tcW w:w="6554" w:type="dxa"/>
            <w:tcBorders>
              <w:tl2br w:val="nil"/>
              <w:tr2bl w:val="nil"/>
            </w:tcBorders>
            <w:noWrap w:val="0"/>
            <w:vAlign w:val="center"/>
          </w:tcPr>
          <w:p>
            <w:pPr>
              <w:pStyle w:val="10"/>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根据所投设备的综合性能、技术参数的先进性、质量稳定性、安全性、技术成熟度等综合评分；</w:t>
            </w:r>
          </w:p>
          <w:p>
            <w:pPr>
              <w:pStyle w:val="10"/>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1）所投设备先进、质量稳定、安全、技术成熟的得5.0-3.5分分；</w:t>
            </w:r>
          </w:p>
          <w:p>
            <w:pPr>
              <w:pStyle w:val="10"/>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2）所投设备比较先进、质量比较稳定、安全性、技术成熟度较好的得3.4-2.0分；</w:t>
            </w:r>
          </w:p>
          <w:p>
            <w:pPr>
              <w:pStyle w:val="10"/>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3）所投设备先进性、质量稳定性、安全性、技术成熟度一般的得1.9-0分。</w:t>
            </w:r>
          </w:p>
        </w:tc>
        <w:tc>
          <w:tcPr>
            <w:tcW w:w="712"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1170"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rPr>
            </w:pPr>
          </w:p>
        </w:tc>
        <w:tc>
          <w:tcPr>
            <w:tcW w:w="107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2.2</w:t>
            </w:r>
            <w:r>
              <w:rPr>
                <w:rFonts w:hint="eastAsia" w:ascii="宋体" w:hAnsi="宋体" w:eastAsia="宋体" w:cs="宋体"/>
                <w:color w:val="auto"/>
                <w:sz w:val="24"/>
                <w:szCs w:val="24"/>
                <w:highlight w:val="none"/>
              </w:rPr>
              <w:t>设备参数响应程度</w:t>
            </w:r>
            <w:r>
              <w:rPr>
                <w:rFonts w:hint="eastAsia" w:ascii="宋体" w:hAnsi="宋体" w:eastAsia="宋体" w:cs="宋体"/>
                <w:color w:val="auto"/>
                <w:sz w:val="24"/>
                <w:szCs w:val="24"/>
                <w:highlight w:val="none"/>
              </w:rPr>
              <w:t>（23分）</w:t>
            </w:r>
          </w:p>
        </w:tc>
        <w:tc>
          <w:tcPr>
            <w:tcW w:w="655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根据所投设备的综合性能、技术参数的先进性、质量稳定性、安全性及检测报告等情况比较</w:t>
            </w:r>
            <w:r>
              <w:rPr>
                <w:rFonts w:hint="eastAsia" w:ascii="宋体" w:hAnsi="宋体" w:eastAsia="宋体" w:cs="宋体"/>
                <w:color w:val="auto"/>
                <w:sz w:val="24"/>
                <w:szCs w:val="24"/>
                <w:highlight w:val="none"/>
                <w:lang w:val="en-US" w:eastAsia="zh-CN"/>
              </w:rPr>
              <w:t>后</w:t>
            </w:r>
            <w:r>
              <w:rPr>
                <w:rFonts w:hint="eastAsia" w:ascii="宋体" w:hAnsi="宋体" w:eastAsia="宋体" w:cs="宋体"/>
                <w:color w:val="auto"/>
                <w:sz w:val="24"/>
                <w:szCs w:val="24"/>
                <w:highlight w:val="none"/>
              </w:rPr>
              <w:t>进行综合评分；</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带</w:t>
            </w:r>
            <w:r>
              <w:rPr>
                <w:rFonts w:hint="eastAsia" w:ascii="宋体" w:hAnsi="宋体" w:eastAsia="宋体" w:cs="宋体"/>
                <w:color w:val="auto"/>
                <w:sz w:val="24"/>
                <w:szCs w:val="24"/>
                <w:highlight w:val="none"/>
              </w:rPr>
              <w:t>★项</w:t>
            </w:r>
            <w:r>
              <w:rPr>
                <w:rFonts w:hint="eastAsia" w:ascii="宋体" w:hAnsi="宋体" w:eastAsia="宋体" w:cs="宋体"/>
                <w:color w:val="auto"/>
                <w:sz w:val="24"/>
                <w:szCs w:val="24"/>
                <w:highlight w:val="none"/>
                <w:lang w:val="en-US" w:eastAsia="zh-CN"/>
              </w:rPr>
              <w:t>技术参数每</w:t>
            </w:r>
            <w:r>
              <w:rPr>
                <w:rFonts w:hint="eastAsia" w:ascii="宋体" w:hAnsi="宋体" w:eastAsia="宋体" w:cs="宋体"/>
                <w:color w:val="auto"/>
                <w:sz w:val="24"/>
                <w:szCs w:val="24"/>
                <w:highlight w:val="none"/>
              </w:rPr>
              <w:t>负偏离一项扣1分，其他</w:t>
            </w:r>
            <w:r>
              <w:rPr>
                <w:rFonts w:hint="eastAsia" w:ascii="宋体" w:hAnsi="宋体" w:eastAsia="宋体" w:cs="宋体"/>
                <w:color w:val="auto"/>
                <w:sz w:val="24"/>
                <w:szCs w:val="24"/>
                <w:highlight w:val="none"/>
                <w:lang w:val="en-US" w:eastAsia="zh-CN"/>
              </w:rPr>
              <w:t>技术参数条款</w:t>
            </w:r>
            <w:r>
              <w:rPr>
                <w:rFonts w:hint="eastAsia" w:ascii="宋体" w:hAnsi="宋体" w:eastAsia="宋体" w:cs="宋体"/>
                <w:color w:val="auto"/>
                <w:sz w:val="24"/>
                <w:szCs w:val="24"/>
                <w:highlight w:val="none"/>
              </w:rPr>
              <w:t>每负偏离一项扣0.5分，扣完为止。</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注：须提供</w:t>
            </w:r>
            <w:r>
              <w:rPr>
                <w:rFonts w:hint="eastAsia" w:ascii="宋体" w:hAnsi="宋体" w:eastAsia="宋体" w:cs="宋体"/>
                <w:color w:val="auto"/>
                <w:sz w:val="24"/>
                <w:szCs w:val="24"/>
                <w:highlight w:val="none"/>
              </w:rPr>
              <w:t>检测报告原件</w:t>
            </w:r>
            <w:r>
              <w:rPr>
                <w:rFonts w:hint="eastAsia" w:ascii="宋体" w:hAnsi="宋体" w:eastAsia="宋体" w:cs="宋体"/>
                <w:color w:val="auto"/>
                <w:sz w:val="24"/>
                <w:szCs w:val="24"/>
                <w:highlight w:val="none"/>
                <w:lang w:val="en-US" w:eastAsia="zh-CN"/>
              </w:rPr>
              <w:t>扫描件加盖公章。</w:t>
            </w:r>
          </w:p>
        </w:tc>
        <w:tc>
          <w:tcPr>
            <w:tcW w:w="712"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10" w:hRule="atLeast"/>
          <w:jc w:val="center"/>
        </w:trPr>
        <w:tc>
          <w:tcPr>
            <w:tcW w:w="1170"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企业实力及业绩（</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分）</w:t>
            </w:r>
          </w:p>
        </w:tc>
        <w:tc>
          <w:tcPr>
            <w:tcW w:w="7629"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（1）投标人具有有效的质量管理体系认证ISO9001证书；</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（2）投标人具有有效的信息安全管理体系认证ISO27001证书；</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（3）投标人具有有效的信息技术服务管理体系认证ISO20000证书；</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（4）投标人具有CMMI3级及以上体系认证证书</w:t>
            </w:r>
            <w:r>
              <w:rPr>
                <w:rFonts w:hint="eastAsia" w:ascii="宋体" w:hAnsi="宋体" w:eastAsia="宋体" w:cs="宋体"/>
                <w:color w:val="auto"/>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注：以上每提供一个有效证书得1分，须提供证书扫描件加盖公章，否则不得分。</w:t>
            </w:r>
          </w:p>
        </w:tc>
        <w:tc>
          <w:tcPr>
            <w:tcW w:w="712"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4</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1170"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rPr>
            </w:pPr>
          </w:p>
        </w:tc>
        <w:tc>
          <w:tcPr>
            <w:tcW w:w="7629"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投标人2019年1月1日（以合同签订时间为准）以来承担过类似项目的案例，每提供一个得0.5分，最多得3分。需同时提供合同扫描件</w:t>
            </w:r>
            <w:r>
              <w:rPr>
                <w:rFonts w:hint="eastAsia" w:ascii="宋体" w:hAnsi="宋体" w:eastAsia="宋体" w:cs="宋体"/>
                <w:color w:val="auto"/>
                <w:sz w:val="24"/>
                <w:szCs w:val="24"/>
                <w:highlight w:val="none"/>
                <w:lang w:val="en-US" w:eastAsia="zh-CN"/>
              </w:rPr>
              <w:t>加盖公章</w:t>
            </w:r>
            <w:r>
              <w:rPr>
                <w:rFonts w:hint="eastAsia" w:ascii="宋体" w:hAnsi="宋体" w:eastAsia="宋体" w:cs="宋体"/>
                <w:color w:val="auto"/>
                <w:sz w:val="24"/>
                <w:szCs w:val="24"/>
                <w:highlight w:val="none"/>
              </w:rPr>
              <w:t>，未提供不得分。</w:t>
            </w:r>
          </w:p>
        </w:tc>
        <w:tc>
          <w:tcPr>
            <w:tcW w:w="712"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1170"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项目实施团队（4分）</w:t>
            </w:r>
          </w:p>
        </w:tc>
        <w:tc>
          <w:tcPr>
            <w:tcW w:w="7629"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4.1</w:t>
            </w:r>
            <w:r>
              <w:rPr>
                <w:rFonts w:hint="eastAsia" w:ascii="宋体" w:hAnsi="宋体" w:eastAsia="宋体" w:cs="宋体"/>
                <w:color w:val="auto"/>
                <w:sz w:val="24"/>
                <w:szCs w:val="24"/>
                <w:highlight w:val="none"/>
              </w:rPr>
              <w:t>根据投标人提供的本项目实施团队的人员数量、层级组成、职责分工等进行比较，综合评分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最高得2分。（相关人员需提供投标前六个月及以上本单位社保缴费证明，不提供的不得分）</w:t>
            </w:r>
          </w:p>
        </w:tc>
        <w:tc>
          <w:tcPr>
            <w:tcW w:w="712"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1170"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rPr>
            </w:pPr>
          </w:p>
        </w:tc>
        <w:tc>
          <w:tcPr>
            <w:tcW w:w="7629"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4.2</w:t>
            </w:r>
            <w:r>
              <w:rPr>
                <w:rFonts w:hint="eastAsia" w:ascii="宋体" w:hAnsi="宋体" w:eastAsia="宋体" w:cs="宋体"/>
                <w:color w:val="auto"/>
                <w:sz w:val="24"/>
                <w:szCs w:val="24"/>
                <w:highlight w:val="none"/>
              </w:rPr>
              <w:t>项目团队人员中具备与项目实施相关资质证书(弱电系统集成项目经理、弱电系统工程师、PMP、信息安全)，每提供一个得1分，最多得2分。（需提供证书复印件，和投标前六个月及以上本单位社保缴费证明，不提供不得分）</w:t>
            </w:r>
          </w:p>
        </w:tc>
        <w:tc>
          <w:tcPr>
            <w:tcW w:w="712"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45" w:hRule="atLeast"/>
          <w:jc w:val="center"/>
        </w:trPr>
        <w:tc>
          <w:tcPr>
            <w:tcW w:w="1170"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售后服务承诺（10分）</w:t>
            </w:r>
          </w:p>
        </w:tc>
        <w:tc>
          <w:tcPr>
            <w:tcW w:w="7629"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5.1</w:t>
            </w:r>
            <w:r>
              <w:rPr>
                <w:rFonts w:hint="eastAsia" w:ascii="宋体" w:hAnsi="宋体" w:eastAsia="宋体" w:cs="宋体"/>
                <w:color w:val="auto"/>
                <w:sz w:val="24"/>
                <w:szCs w:val="24"/>
                <w:highlight w:val="none"/>
              </w:rPr>
              <w:t>根据售后服务承诺的范围和完善程度（根据投标人的售后服务方案、服务响应时间、服务承诺、服务人员配备及保障措施等）综合打分。（不提供的不得分）承诺方案可行性强，内容合理,严谨全面的得6.0-4.5分，方案内容较全面的得4.4-1.5分；方案内容一般或实施性较差的得1.4-0分。</w:t>
            </w:r>
          </w:p>
        </w:tc>
        <w:tc>
          <w:tcPr>
            <w:tcW w:w="712"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1170"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rPr>
            </w:pPr>
          </w:p>
        </w:tc>
        <w:tc>
          <w:tcPr>
            <w:tcW w:w="7629"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5.2</w:t>
            </w:r>
            <w:r>
              <w:rPr>
                <w:rFonts w:hint="eastAsia" w:ascii="宋体" w:hAnsi="宋体" w:eastAsia="宋体" w:cs="宋体"/>
                <w:color w:val="auto"/>
                <w:sz w:val="24"/>
                <w:szCs w:val="24"/>
                <w:highlight w:val="none"/>
              </w:rPr>
              <w:t>根据投标人提供的结合本次系统建设需求的功能和特点的培训方案（培训计划、培训内容、组织安排）等进行评分。（不提供的不得分）</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方案可行性强，内容合理的得4.0-2.5分，方案可操作性较好，内容翔实的得2.4-1.0分，方案可操作性和内容一般的得0.9-0分。</w:t>
            </w:r>
          </w:p>
        </w:tc>
        <w:tc>
          <w:tcPr>
            <w:tcW w:w="712"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10" w:hRule="atLeast"/>
          <w:jc w:val="center"/>
        </w:trPr>
        <w:tc>
          <w:tcPr>
            <w:tcW w:w="117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优惠服务方案(3分)</w:t>
            </w:r>
          </w:p>
        </w:tc>
        <w:tc>
          <w:tcPr>
            <w:tcW w:w="7629"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根据投标人对本项目的</w:t>
            </w:r>
            <w:r>
              <w:rPr>
                <w:rFonts w:hint="eastAsia" w:ascii="宋体" w:hAnsi="宋体" w:eastAsia="宋体" w:cs="宋体"/>
                <w:color w:val="auto"/>
                <w:sz w:val="24"/>
                <w:szCs w:val="24"/>
                <w:highlight w:val="none"/>
                <w:lang w:val="en-US" w:eastAsia="zh-CN"/>
              </w:rPr>
              <w:t>实质性</w:t>
            </w:r>
            <w:r>
              <w:rPr>
                <w:rFonts w:hint="eastAsia" w:ascii="宋体" w:hAnsi="宋体" w:eastAsia="宋体" w:cs="宋体"/>
                <w:color w:val="auto"/>
                <w:sz w:val="24"/>
                <w:szCs w:val="24"/>
                <w:highlight w:val="none"/>
              </w:rPr>
              <w:t>优惠方案进行比较</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综合</w:t>
            </w:r>
            <w:r>
              <w:rPr>
                <w:rFonts w:hint="eastAsia" w:ascii="宋体" w:hAnsi="宋体" w:eastAsia="宋体" w:cs="宋体"/>
                <w:color w:val="auto"/>
                <w:sz w:val="24"/>
                <w:szCs w:val="24"/>
                <w:highlight w:val="none"/>
              </w:rPr>
              <w:t>打分，不提供不得分，最高得3分。</w:t>
            </w:r>
          </w:p>
        </w:tc>
        <w:tc>
          <w:tcPr>
            <w:tcW w:w="712"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r>
    </w:tbl>
    <w:p>
      <w:pPr>
        <w:autoSpaceDE w:val="0"/>
        <w:autoSpaceDN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备注：上文中提到的合同、企业资质认证证书、人员资格证书、用户证明、社保证明等所有证明材料，投标文件中均要求提供</w:t>
      </w:r>
      <w:r>
        <w:rPr>
          <w:rFonts w:hint="eastAsia" w:ascii="宋体" w:hAnsi="宋体" w:cs="宋体"/>
          <w:color w:val="auto"/>
          <w:kern w:val="0"/>
          <w:sz w:val="24"/>
          <w:highlight w:val="none"/>
          <w:lang w:val="en-US" w:eastAsia="zh-CN"/>
        </w:rPr>
        <w:t>原件扫描件</w:t>
      </w:r>
      <w:r>
        <w:rPr>
          <w:rFonts w:hint="eastAsia" w:ascii="宋体" w:hAnsi="宋体" w:cs="宋体"/>
          <w:color w:val="auto"/>
          <w:kern w:val="0"/>
          <w:sz w:val="24"/>
          <w:highlight w:val="none"/>
          <w:lang w:val="zh-CN"/>
        </w:rPr>
        <w:t>并加盖公章。</w:t>
      </w:r>
    </w:p>
    <w:p>
      <w:pPr>
        <w:spacing w:line="360" w:lineRule="auto"/>
        <w:rPr>
          <w:rFonts w:ascii="宋体" w:hAnsi="宋体" w:eastAsia="宋体" w:cs="宋体"/>
          <w:color w:val="auto"/>
          <w:sz w:val="24"/>
          <w:szCs w:val="24"/>
          <w:highlight w:val="none"/>
        </w:rPr>
      </w:pPr>
    </w:p>
    <w:p>
      <w:pPr>
        <w:spacing w:line="360" w:lineRule="auto"/>
        <w:rPr>
          <w:rFonts w:ascii="宋体" w:hAnsi="宋体" w:eastAsia="宋体" w:cs="宋体"/>
          <w:color w:val="auto"/>
          <w:sz w:val="24"/>
          <w:szCs w:val="24"/>
          <w:highlight w:val="none"/>
        </w:rPr>
      </w:pPr>
    </w:p>
    <w:p>
      <w:pPr>
        <w:spacing w:line="360" w:lineRule="auto"/>
        <w:rPr>
          <w:rFonts w:ascii="宋体" w:hAnsi="宋体" w:eastAsia="宋体" w:cs="宋体"/>
          <w:color w:val="auto"/>
          <w:sz w:val="24"/>
          <w:szCs w:val="24"/>
          <w:highlight w:val="none"/>
        </w:rPr>
      </w:pPr>
    </w:p>
    <w:p>
      <w:pPr>
        <w:spacing w:line="360" w:lineRule="auto"/>
        <w:rPr>
          <w:rFonts w:ascii="宋体" w:hAnsi="宋体" w:eastAsia="宋体" w:cs="宋体"/>
          <w:color w:val="auto"/>
          <w:sz w:val="24"/>
          <w:szCs w:val="24"/>
          <w:highlight w:val="none"/>
        </w:rPr>
      </w:pPr>
    </w:p>
    <w:p>
      <w:pPr>
        <w:spacing w:line="360" w:lineRule="auto"/>
        <w:rPr>
          <w:rFonts w:ascii="宋体" w:hAnsi="宋体" w:eastAsia="宋体" w:cs="宋体"/>
          <w:color w:val="auto"/>
          <w:sz w:val="24"/>
          <w:szCs w:val="24"/>
          <w:highlight w:val="none"/>
        </w:rPr>
      </w:pPr>
    </w:p>
    <w:p>
      <w:pPr>
        <w:spacing w:line="360" w:lineRule="auto"/>
        <w:rPr>
          <w:rFonts w:ascii="宋体" w:hAnsi="宋体" w:eastAsia="宋体" w:cs="宋体"/>
          <w:color w:val="auto"/>
          <w:sz w:val="24"/>
          <w:szCs w:val="24"/>
          <w:highlight w:val="none"/>
        </w:rPr>
      </w:pPr>
    </w:p>
    <w:p>
      <w:pPr>
        <w:spacing w:line="360" w:lineRule="auto"/>
        <w:rPr>
          <w:rFonts w:ascii="宋体" w:hAnsi="宋体" w:eastAsia="宋体" w:cs="宋体"/>
          <w:color w:val="auto"/>
          <w:sz w:val="24"/>
          <w:szCs w:val="24"/>
          <w:highlight w:val="none"/>
        </w:rPr>
      </w:pPr>
    </w:p>
    <w:p>
      <w:pPr>
        <w:spacing w:line="360" w:lineRule="auto"/>
        <w:rPr>
          <w:rFonts w:ascii="宋体" w:hAnsi="宋体" w:eastAsia="宋体" w:cs="宋体"/>
          <w:color w:val="auto"/>
          <w:sz w:val="24"/>
          <w:szCs w:val="24"/>
          <w:highlight w:val="none"/>
        </w:rPr>
      </w:pPr>
    </w:p>
    <w:p>
      <w:pPr>
        <w:spacing w:line="360" w:lineRule="auto"/>
        <w:rPr>
          <w:rFonts w:ascii="宋体" w:hAnsi="宋体" w:eastAsia="宋体" w:cs="宋体"/>
          <w:color w:val="auto"/>
          <w:sz w:val="24"/>
          <w:szCs w:val="24"/>
          <w:highlight w:val="none"/>
        </w:rPr>
      </w:pPr>
    </w:p>
    <w:p>
      <w:pPr>
        <w:spacing w:line="360" w:lineRule="auto"/>
        <w:rPr>
          <w:rFonts w:ascii="宋体" w:hAnsi="宋体" w:eastAsia="宋体" w:cs="宋体"/>
          <w:color w:val="auto"/>
          <w:sz w:val="24"/>
          <w:szCs w:val="24"/>
          <w:highlight w:val="none"/>
        </w:rPr>
      </w:pPr>
    </w:p>
    <w:p>
      <w:pPr>
        <w:spacing w:line="360" w:lineRule="auto"/>
        <w:jc w:val="center"/>
        <w:rPr>
          <w:rFonts w:ascii="宋体"/>
          <w:b/>
          <w:bCs/>
          <w:color w:val="auto"/>
          <w:sz w:val="36"/>
          <w:szCs w:val="36"/>
          <w:highlight w:val="none"/>
        </w:rPr>
      </w:pPr>
      <w:r>
        <w:rPr>
          <w:rFonts w:hint="eastAsia" w:ascii="宋体" w:hAnsi="宋体" w:cs="宋体"/>
          <w:b/>
          <w:bCs/>
          <w:color w:val="auto"/>
          <w:sz w:val="36"/>
          <w:szCs w:val="36"/>
          <w:highlight w:val="none"/>
        </w:rPr>
        <w:t>第四章 公开招标需求</w:t>
      </w:r>
    </w:p>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b/>
          <w:bCs/>
          <w:color w:val="auto"/>
          <w:sz w:val="24"/>
          <w:szCs w:val="24"/>
          <w:highlight w:val="none"/>
        </w:rPr>
      </w:pPr>
    </w:p>
    <w:p>
      <w:pPr>
        <w:keepNext w:val="0"/>
        <w:keepLines w:val="0"/>
        <w:pageBreakBefore w:val="0"/>
        <w:kinsoku/>
        <w:wordWrap/>
        <w:overflowPunct/>
        <w:topLinePunct w:val="0"/>
        <w:autoSpaceDE/>
        <w:autoSpaceDN/>
        <w:bidi w:val="0"/>
        <w:adjustRightInd/>
        <w:snapToGrid/>
        <w:spacing w:line="440" w:lineRule="exact"/>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一、招标项目一览表</w:t>
      </w:r>
    </w:p>
    <w:p>
      <w:pPr>
        <w:keepNext w:val="0"/>
        <w:keepLines w:val="0"/>
        <w:pageBreakBefore w:val="0"/>
        <w:kinsoku/>
        <w:wordWrap/>
        <w:overflowPunct/>
        <w:topLinePunct w:val="0"/>
        <w:autoSpaceDE/>
        <w:autoSpaceDN/>
        <w:bidi w:val="0"/>
        <w:adjustRightInd/>
        <w:snapToGrid/>
        <w:spacing w:line="44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1、本次招标共</w:t>
      </w:r>
      <w:r>
        <w:rPr>
          <w:rFonts w:hint="eastAsia" w:ascii="宋体" w:hAnsi="宋体" w:eastAsia="宋体" w:cs="宋体"/>
          <w:color w:val="auto"/>
          <w:sz w:val="24"/>
          <w:szCs w:val="24"/>
          <w:highlight w:val="none"/>
          <w:u w:val="single"/>
        </w:rPr>
        <w:t xml:space="preserve"> 一 </w:t>
      </w:r>
      <w:r>
        <w:rPr>
          <w:rFonts w:hint="eastAsia" w:ascii="宋体" w:hAnsi="宋体" w:eastAsia="宋体" w:cs="宋体"/>
          <w:color w:val="auto"/>
          <w:sz w:val="24"/>
          <w:szCs w:val="24"/>
          <w:highlight w:val="none"/>
        </w:rPr>
        <w:t>个标项，具体内容如下表：</w:t>
      </w:r>
    </w:p>
    <w:tbl>
      <w:tblPr>
        <w:tblStyle w:val="20"/>
        <w:tblW w:w="521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1"/>
        <w:gridCol w:w="2194"/>
        <w:gridCol w:w="993"/>
        <w:gridCol w:w="466"/>
        <w:gridCol w:w="466"/>
        <w:gridCol w:w="1416"/>
        <w:gridCol w:w="1374"/>
        <w:gridCol w:w="12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22" w:type="pct"/>
            <w:noWrap w:val="0"/>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标段号</w:t>
            </w:r>
          </w:p>
        </w:tc>
        <w:tc>
          <w:tcPr>
            <w:tcW w:w="1233" w:type="pct"/>
            <w:noWrap w:val="0"/>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项目名称</w:t>
            </w:r>
          </w:p>
        </w:tc>
        <w:tc>
          <w:tcPr>
            <w:tcW w:w="558" w:type="pct"/>
            <w:noWrap w:val="0"/>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规格型号</w:t>
            </w:r>
          </w:p>
        </w:tc>
        <w:tc>
          <w:tcPr>
            <w:tcW w:w="262" w:type="pct"/>
            <w:noWrap w:val="0"/>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数量</w:t>
            </w:r>
          </w:p>
        </w:tc>
        <w:tc>
          <w:tcPr>
            <w:tcW w:w="262" w:type="pct"/>
            <w:noWrap w:val="0"/>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单位</w:t>
            </w:r>
          </w:p>
        </w:tc>
        <w:tc>
          <w:tcPr>
            <w:tcW w:w="796" w:type="pct"/>
            <w:noWrap w:val="0"/>
            <w:vAlign w:val="center"/>
          </w:tcPr>
          <w:p>
            <w:pPr>
              <w:keepNext w:val="0"/>
              <w:keepLines w:val="0"/>
              <w:pageBreakBefore w:val="0"/>
              <w:kinsoku/>
              <w:wordWrap/>
              <w:overflowPunct/>
              <w:topLinePunct w:val="0"/>
              <w:autoSpaceDE/>
              <w:autoSpaceDN/>
              <w:bidi w:val="0"/>
              <w:adjustRightInd/>
              <w:snapToGrid/>
              <w:spacing w:line="440" w:lineRule="exact"/>
              <w:jc w:val="center"/>
              <w:rPr>
                <w:rFonts w:hint="default"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rPr>
              <w:t>预算</w:t>
            </w:r>
            <w:r>
              <w:rPr>
                <w:rFonts w:hint="eastAsia" w:ascii="宋体" w:hAnsi="宋体" w:eastAsia="宋体" w:cs="宋体"/>
                <w:b/>
                <w:bCs/>
                <w:color w:val="auto"/>
                <w:sz w:val="24"/>
                <w:szCs w:val="24"/>
                <w:highlight w:val="none"/>
                <w:lang w:val="en-US" w:eastAsia="zh-CN"/>
              </w:rPr>
              <w:t>价/最高限价</w:t>
            </w:r>
          </w:p>
          <w:p>
            <w:pPr>
              <w:keepNext w:val="0"/>
              <w:keepLines w:val="0"/>
              <w:pageBreakBefore w:val="0"/>
              <w:kinsoku/>
              <w:wordWrap/>
              <w:overflowPunct/>
              <w:topLinePunct w:val="0"/>
              <w:autoSpaceDE/>
              <w:autoSpaceDN/>
              <w:bidi w:val="0"/>
              <w:adjustRightInd/>
              <w:snapToGrid/>
              <w:spacing w:line="440" w:lineRule="exact"/>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（元）</w:t>
            </w:r>
          </w:p>
        </w:tc>
        <w:tc>
          <w:tcPr>
            <w:tcW w:w="772" w:type="pct"/>
            <w:noWrap w:val="0"/>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val="en-US" w:eastAsia="zh-CN"/>
              </w:rPr>
              <w:t>建设时间</w:t>
            </w:r>
          </w:p>
        </w:tc>
        <w:tc>
          <w:tcPr>
            <w:tcW w:w="692" w:type="pct"/>
            <w:noWrap w:val="0"/>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建设</w:t>
            </w:r>
            <w:r>
              <w:rPr>
                <w:rFonts w:hint="eastAsia" w:ascii="宋体" w:hAnsi="宋体" w:eastAsia="宋体" w:cs="宋体"/>
                <w:b/>
                <w:bCs/>
                <w:color w:val="auto"/>
                <w:sz w:val="24"/>
                <w:szCs w:val="24"/>
                <w:highlight w:val="none"/>
              </w:rPr>
              <w:t>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422" w:type="pct"/>
            <w:noWrap w:val="0"/>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233" w:type="pct"/>
            <w:noWrap w:val="0"/>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“数字黄岩”智慧城市基础设施提升工程--智慧公安（基层治理能力提升工程-行指舆情）</w:t>
            </w:r>
          </w:p>
        </w:tc>
        <w:tc>
          <w:tcPr>
            <w:tcW w:w="558" w:type="pct"/>
            <w:noWrap w:val="0"/>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详见具体技术需求</w:t>
            </w:r>
          </w:p>
        </w:tc>
        <w:tc>
          <w:tcPr>
            <w:tcW w:w="262" w:type="pct"/>
            <w:noWrap w:val="0"/>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262" w:type="pct"/>
            <w:noWrap w:val="0"/>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批</w:t>
            </w:r>
          </w:p>
        </w:tc>
        <w:tc>
          <w:tcPr>
            <w:tcW w:w="796" w:type="pct"/>
            <w:noWrap w:val="0"/>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5545264.00</w:t>
            </w:r>
          </w:p>
        </w:tc>
        <w:tc>
          <w:tcPr>
            <w:tcW w:w="772" w:type="pct"/>
            <w:noWrap w:val="0"/>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合同签订后90天内完成供货、安装、调试、验收等工作</w:t>
            </w:r>
          </w:p>
        </w:tc>
        <w:tc>
          <w:tcPr>
            <w:tcW w:w="692" w:type="pct"/>
            <w:noWrap w:val="0"/>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采购人指定地点</w:t>
            </w:r>
          </w:p>
        </w:tc>
      </w:tr>
    </w:tbl>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二、技术需求</w:t>
      </w:r>
    </w:p>
    <w:p>
      <w:pPr>
        <w:keepNext w:val="0"/>
        <w:keepLines w:val="0"/>
        <w:pageBreakBefore w:val="0"/>
        <w:kinsoku/>
        <w:wordWrap/>
        <w:overflowPunct/>
        <w:topLinePunct w:val="0"/>
        <w:autoSpaceDE/>
        <w:autoSpaceDN/>
        <w:bidi w:val="0"/>
        <w:adjustRightInd/>
        <w:snapToGrid/>
        <w:spacing w:line="440" w:lineRule="exact"/>
        <w:ind w:firstLine="241" w:firstLineChars="1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（一）项目概况</w:t>
      </w:r>
    </w:p>
    <w:p>
      <w:pPr>
        <w:keepNext w:val="0"/>
        <w:keepLines w:val="0"/>
        <w:pageBreakBefore w:val="0"/>
        <w:kinsoku/>
        <w:wordWrap/>
        <w:overflowPunct/>
        <w:topLinePunct w:val="0"/>
        <w:autoSpaceDE/>
        <w:autoSpaceDN/>
        <w:bidi w:val="0"/>
        <w:adjustRightInd/>
        <w:snapToGrid/>
        <w:spacing w:line="440" w:lineRule="exact"/>
        <w:ind w:firstLine="482" w:firstLineChars="200"/>
        <w:rPr>
          <w:rFonts w:hint="eastAsia" w:ascii="宋体" w:hAnsi="宋体" w:eastAsia="宋体" w:cs="宋体"/>
          <w:b/>
          <w:bCs/>
          <w:color w:val="auto"/>
          <w:sz w:val="24"/>
          <w:szCs w:val="24"/>
          <w:highlight w:val="none"/>
        </w:rPr>
      </w:pPr>
      <w:bookmarkStart w:id="0" w:name="_Toc51757558"/>
      <w:r>
        <w:rPr>
          <w:rFonts w:hint="eastAsia" w:ascii="宋体" w:hAnsi="宋体" w:eastAsia="宋体" w:cs="宋体"/>
          <w:b/>
          <w:bCs/>
          <w:color w:val="auto"/>
          <w:sz w:val="24"/>
          <w:szCs w:val="24"/>
          <w:highlight w:val="none"/>
        </w:rPr>
        <w:t>1、项目背景介绍</w:t>
      </w:r>
      <w:bookmarkEnd w:id="0"/>
    </w:p>
    <w:p>
      <w:pPr>
        <w:keepNext w:val="0"/>
        <w:keepLines w:val="0"/>
        <w:pageBreakBefore w:val="0"/>
        <w:kinsoku/>
        <w:wordWrap/>
        <w:overflowPunct/>
        <w:topLinePunct w:val="0"/>
        <w:autoSpaceDE/>
        <w:autoSpaceDN/>
        <w:bidi w:val="0"/>
        <w:adjustRightInd/>
        <w:snapToGrid/>
        <w:spacing w:line="440" w:lineRule="exact"/>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目前，浙江省正全面部署推进“公安大脑”建设，并下发建设指导意见以及项目责任分工表，体系化、规范化推动公安数字化改革，这也为本次黄岩区智慧公安（基层治理能力提升工程-行指舆情）项目建设指明了方向、提供了政策支撑。“公安大脑”建设是**数字技术的变革，也将一体撬动浙江公安工作机制、体制变革，实现技术、机制、体制三轮驱动。“公安大脑”的运行机制，核心是从制度和流程上保障高效协同、合成作战。系统谋划推进机制变革，必须从体系建设入手，确立大情报全面主导**机制，健全合成作战模式，实现**效能最优化，变“被动**”为“主动**”。“公安大脑”按照一体化、智能化的要求，打造一个全新的全省公安数字化中枢“浙警智治”。它将最大限度对公安现有系统、数据、手段进行深度融合，并从规划、建设、管理、运维等方面一体推进。这个融合共享的平台中枢，将提供更为丰沛的数据，更智能、更快捷地服务于打击犯罪、执法办案的实战。</w:t>
      </w:r>
    </w:p>
    <w:p>
      <w:pPr>
        <w:keepNext w:val="0"/>
        <w:keepLines w:val="0"/>
        <w:pageBreakBefore w:val="0"/>
        <w:kinsoku/>
        <w:wordWrap/>
        <w:overflowPunct/>
        <w:topLinePunct w:val="0"/>
        <w:autoSpaceDE/>
        <w:autoSpaceDN/>
        <w:bidi w:val="0"/>
        <w:adjustRightInd/>
        <w:snapToGrid/>
        <w:spacing w:line="440" w:lineRule="exact"/>
        <w:ind w:firstLine="482" w:firstLineChars="200"/>
        <w:rPr>
          <w:rFonts w:hint="eastAsia" w:ascii="宋体" w:hAnsi="宋体" w:eastAsia="宋体" w:cs="宋体"/>
          <w:b/>
          <w:bCs/>
          <w:color w:val="auto"/>
          <w:sz w:val="24"/>
          <w:szCs w:val="24"/>
          <w:highlight w:val="none"/>
        </w:rPr>
      </w:pPr>
      <w:bookmarkStart w:id="1" w:name="_Toc51757559"/>
      <w:r>
        <w:rPr>
          <w:rFonts w:hint="eastAsia" w:ascii="宋体" w:hAnsi="宋体" w:eastAsia="宋体" w:cs="宋体"/>
          <w:b/>
          <w:bCs/>
          <w:color w:val="auto"/>
          <w:sz w:val="24"/>
          <w:szCs w:val="24"/>
          <w:highlight w:val="none"/>
        </w:rPr>
        <w:t>2、项目建设</w:t>
      </w:r>
      <w:bookmarkEnd w:id="1"/>
      <w:r>
        <w:rPr>
          <w:rFonts w:hint="eastAsia" w:ascii="宋体" w:hAnsi="宋体" w:eastAsia="宋体" w:cs="宋体"/>
          <w:b/>
          <w:bCs/>
          <w:color w:val="auto"/>
          <w:sz w:val="24"/>
          <w:szCs w:val="24"/>
          <w:highlight w:val="none"/>
        </w:rPr>
        <w:t>内容</w:t>
      </w:r>
    </w:p>
    <w:p>
      <w:pPr>
        <w:keepNext w:val="0"/>
        <w:keepLines w:val="0"/>
        <w:pageBreakBefore w:val="0"/>
        <w:kinsoku/>
        <w:wordWrap/>
        <w:overflowPunct/>
        <w:topLinePunct w:val="0"/>
        <w:autoSpaceDE/>
        <w:autoSpaceDN/>
        <w:bidi w:val="0"/>
        <w:adjustRightInd/>
        <w:snapToGrid/>
        <w:spacing w:line="440" w:lineRule="exact"/>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本项目主要建设内容如下：</w:t>
      </w:r>
    </w:p>
    <w:p>
      <w:pPr>
        <w:keepNext w:val="0"/>
        <w:keepLines w:val="0"/>
        <w:pageBreakBefore w:val="0"/>
        <w:kinsoku/>
        <w:wordWrap/>
        <w:overflowPunct/>
        <w:topLinePunct w:val="0"/>
        <w:autoSpaceDE/>
        <w:autoSpaceDN/>
        <w:bidi w:val="0"/>
        <w:adjustRightInd/>
        <w:snapToGrid/>
        <w:spacing w:line="440" w:lineRule="exact"/>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1.综合布线与设备间配套建设</w:t>
      </w:r>
    </w:p>
    <w:p>
      <w:pPr>
        <w:keepNext w:val="0"/>
        <w:keepLines w:val="0"/>
        <w:pageBreakBefore w:val="0"/>
        <w:kinsoku/>
        <w:wordWrap/>
        <w:overflowPunct/>
        <w:topLinePunct w:val="0"/>
        <w:autoSpaceDE/>
        <w:autoSpaceDN/>
        <w:bidi w:val="0"/>
        <w:adjustRightInd/>
        <w:snapToGrid/>
        <w:spacing w:line="440" w:lineRule="exact"/>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根据开放式网络拓扑结构建设综合布线管控系统，同时为设备间增设消控操作台，配合前端视频监控系统，方便管理人员对安防与消防进行统一管控；1套UPS电源系统，内含1台10KVAUPS主机和32节100AH电池，用于保障***内计算机系统的供电。</w:t>
      </w:r>
    </w:p>
    <w:p>
      <w:pPr>
        <w:keepNext w:val="0"/>
        <w:keepLines w:val="0"/>
        <w:pageBreakBefore w:val="0"/>
        <w:kinsoku/>
        <w:wordWrap/>
        <w:overflowPunct/>
        <w:topLinePunct w:val="0"/>
        <w:autoSpaceDE/>
        <w:autoSpaceDN/>
        <w:bidi w:val="0"/>
        <w:adjustRightInd/>
        <w:snapToGrid/>
        <w:spacing w:line="440" w:lineRule="exact"/>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2.计算机网络系统</w:t>
      </w:r>
    </w:p>
    <w:p>
      <w:pPr>
        <w:keepNext w:val="0"/>
        <w:keepLines w:val="0"/>
        <w:pageBreakBefore w:val="0"/>
        <w:kinsoku/>
        <w:wordWrap/>
        <w:overflowPunct/>
        <w:topLinePunct w:val="0"/>
        <w:autoSpaceDE/>
        <w:autoSpaceDN/>
        <w:bidi w:val="0"/>
        <w:adjustRightInd/>
        <w:snapToGrid/>
        <w:spacing w:line="440" w:lineRule="exact"/>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本工程网络系统公安专网按二层网络架构设计(即：汇聚层、接入层)，汇聚层主干采用万兆，公安网汇聚层与接入层主干采用万兆，政务网、视频专网汇聚层与接入层采用千兆；100M/1000M自适应交换到桌面。</w:t>
      </w:r>
    </w:p>
    <w:p>
      <w:pPr>
        <w:keepNext w:val="0"/>
        <w:keepLines w:val="0"/>
        <w:pageBreakBefore w:val="0"/>
        <w:kinsoku/>
        <w:wordWrap/>
        <w:overflowPunct/>
        <w:topLinePunct w:val="0"/>
        <w:autoSpaceDE/>
        <w:autoSpaceDN/>
        <w:bidi w:val="0"/>
        <w:adjustRightInd/>
        <w:snapToGrid/>
        <w:spacing w:line="440" w:lineRule="exact"/>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3.执法办案管理系统</w:t>
      </w:r>
    </w:p>
    <w:p>
      <w:pPr>
        <w:keepNext w:val="0"/>
        <w:keepLines w:val="0"/>
        <w:pageBreakBefore w:val="0"/>
        <w:kinsoku/>
        <w:wordWrap/>
        <w:overflowPunct/>
        <w:topLinePunct w:val="0"/>
        <w:autoSpaceDE/>
        <w:autoSpaceDN/>
        <w:bidi w:val="0"/>
        <w:adjustRightInd/>
        <w:snapToGrid/>
        <w:spacing w:line="440" w:lineRule="exact"/>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办案中心建设包括智能案管自助终端、一体化审讯台、办案流程管控终端、案管自助终端、案管中心智能案卷存储柜、办案中心专用智能物管柜等执法办案精细化管理平台及软硬件一体智能设备等。</w:t>
      </w:r>
    </w:p>
    <w:p>
      <w:pPr>
        <w:keepNext w:val="0"/>
        <w:keepLines w:val="0"/>
        <w:pageBreakBefore w:val="0"/>
        <w:kinsoku/>
        <w:wordWrap/>
        <w:overflowPunct/>
        <w:topLinePunct w:val="0"/>
        <w:autoSpaceDE/>
        <w:autoSpaceDN/>
        <w:bidi w:val="0"/>
        <w:adjustRightInd/>
        <w:snapToGrid/>
        <w:spacing w:line="440" w:lineRule="exact"/>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4.安防系统</w:t>
      </w:r>
    </w:p>
    <w:p>
      <w:pPr>
        <w:keepNext w:val="0"/>
        <w:keepLines w:val="0"/>
        <w:pageBreakBefore w:val="0"/>
        <w:kinsoku/>
        <w:wordWrap/>
        <w:overflowPunct/>
        <w:topLinePunct w:val="0"/>
        <w:autoSpaceDE/>
        <w:autoSpaceDN/>
        <w:bidi w:val="0"/>
        <w:adjustRightInd/>
        <w:snapToGrid/>
        <w:spacing w:line="440" w:lineRule="exact"/>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本工程在各楼层楼道、电梯间等设置视频监控系统，视频监控系统单独设图像存储设备，存储设备设在三层机房内，各区域内管理人员可根据权限通过本地电脑来调看各自对应区域的视频闭路监控图像。</w:t>
      </w:r>
    </w:p>
    <w:p>
      <w:pPr>
        <w:keepNext w:val="0"/>
        <w:keepLines w:val="0"/>
        <w:pageBreakBefore w:val="0"/>
        <w:kinsoku/>
        <w:wordWrap/>
        <w:overflowPunct/>
        <w:topLinePunct w:val="0"/>
        <w:autoSpaceDE/>
        <w:autoSpaceDN/>
        <w:bidi w:val="0"/>
        <w:adjustRightInd/>
        <w:snapToGrid/>
        <w:spacing w:line="440" w:lineRule="exact"/>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在办案区、办公、值班等区域出入口门禁采用人脸识别管理，支持指纹、NFC、密码、刷卡等多种方式。控制器采用TCP/IP网络通信协议。系统由以下设备构成:门禁主机、出入控制器、读卡器、电子门锁、感应卡、开门按钮。管理主机及系统服务器设置在三层机房。</w:t>
      </w:r>
    </w:p>
    <w:p>
      <w:pPr>
        <w:keepNext w:val="0"/>
        <w:keepLines w:val="0"/>
        <w:pageBreakBefore w:val="0"/>
        <w:kinsoku/>
        <w:wordWrap/>
        <w:overflowPunct/>
        <w:topLinePunct w:val="0"/>
        <w:autoSpaceDE/>
        <w:autoSpaceDN/>
        <w:bidi w:val="0"/>
        <w:adjustRightInd/>
        <w:snapToGrid/>
        <w:spacing w:line="440" w:lineRule="exact"/>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5.信息展示发布系统</w:t>
      </w:r>
    </w:p>
    <w:p>
      <w:pPr>
        <w:keepNext w:val="0"/>
        <w:keepLines w:val="0"/>
        <w:pageBreakBefore w:val="0"/>
        <w:kinsoku/>
        <w:wordWrap/>
        <w:overflowPunct/>
        <w:topLinePunct w:val="0"/>
        <w:autoSpaceDE/>
        <w:autoSpaceDN/>
        <w:bidi w:val="0"/>
        <w:adjustRightInd/>
        <w:snapToGrid/>
        <w:spacing w:line="440" w:lineRule="exact"/>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包括会议显示、会议扩声、会议无纸化、公共广播、信息发布等系统。另外，面对***内合成作战室、会议室、指挥中心等不同用途的房间，我们还针对性设计了LED大屏显示、中控及视频录播等系统。</w:t>
      </w:r>
    </w:p>
    <w:p>
      <w:pPr>
        <w:keepNext w:val="0"/>
        <w:keepLines w:val="0"/>
        <w:pageBreakBefore w:val="0"/>
        <w:kinsoku/>
        <w:wordWrap/>
        <w:overflowPunct/>
        <w:topLinePunct w:val="0"/>
        <w:autoSpaceDE/>
        <w:autoSpaceDN/>
        <w:bidi w:val="0"/>
        <w:adjustRightInd/>
        <w:snapToGrid/>
        <w:spacing w:line="440" w:lineRule="exact"/>
        <w:ind w:firstLine="241" w:firstLineChars="1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（二）项目具体需求</w:t>
      </w:r>
    </w:p>
    <w:p>
      <w:pPr>
        <w:keepNext w:val="0"/>
        <w:keepLines w:val="0"/>
        <w:pageBreakBefore w:val="0"/>
        <w:kinsoku/>
        <w:wordWrap/>
        <w:overflowPunct/>
        <w:topLinePunct w:val="0"/>
        <w:autoSpaceDE/>
        <w:autoSpaceDN/>
        <w:bidi w:val="0"/>
        <w:adjustRightInd/>
        <w:snapToGrid/>
        <w:spacing w:line="440" w:lineRule="exact"/>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本项目为“数字黄岩”智慧城市基础设施提升工程--智慧公安（基层治理能力提升工程-行指舆情）项目。主要包括：综合布线与设备间配套建设、计算机网络系统、执法办案管理系统、安防系统、信息展示发布系统等。</w:t>
      </w:r>
    </w:p>
    <w:p>
      <w:pPr>
        <w:keepNext w:val="0"/>
        <w:keepLines w:val="0"/>
        <w:pageBreakBefore w:val="0"/>
        <w:kinsoku/>
        <w:wordWrap/>
        <w:overflowPunct/>
        <w:topLinePunct w:val="0"/>
        <w:autoSpaceDE/>
        <w:autoSpaceDN/>
        <w:bidi w:val="0"/>
        <w:adjustRightInd/>
        <w:snapToGrid/>
        <w:spacing w:line="440" w:lineRule="exact"/>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综合布线与设备间配套建设：综合布线系统是将语音信号、宽带信号的配线，经过统一的规范设计，综合在一套标准的配线系统上，此系统为开放式网络拓扑结构，能支持语音、数据、图像、多媒体业务等信息的传递；方便用户在需要时，形成各自独立的子系统，数据部分分内网、外网、语音通信网及设备网等设计，完全物理隔离。系统采用开放式星型拓扑结构，水平布线要求支持千兆以太网需求，主干线要求按照万兆光纤布线标准进行设计；消控中心内布置LCD拼接屏，用于显示视频监控画面。机房内将布置保障所内计算机网络系统持续运行的UPS设备。</w:t>
      </w:r>
    </w:p>
    <w:p>
      <w:pPr>
        <w:keepNext w:val="0"/>
        <w:keepLines w:val="0"/>
        <w:pageBreakBefore w:val="0"/>
        <w:kinsoku/>
        <w:wordWrap/>
        <w:overflowPunct/>
        <w:topLinePunct w:val="0"/>
        <w:autoSpaceDE/>
        <w:autoSpaceDN/>
        <w:bidi w:val="0"/>
        <w:adjustRightInd/>
        <w:snapToGrid/>
        <w:spacing w:line="440" w:lineRule="exact"/>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计算机网络系统：计算机网络系统是各个信息和通信系统的枢纽，需要实现办公、会议、通信、指挥、决策、涉密等多种功能。为此，需要结合实际应用情况采用分区分域设计，分业务应用的不同进行网络规划，高速传输、安全冗余设计。</w:t>
      </w:r>
    </w:p>
    <w:p>
      <w:pPr>
        <w:keepNext w:val="0"/>
        <w:keepLines w:val="0"/>
        <w:pageBreakBefore w:val="0"/>
        <w:kinsoku/>
        <w:wordWrap/>
        <w:overflowPunct/>
        <w:topLinePunct w:val="0"/>
        <w:autoSpaceDE/>
        <w:autoSpaceDN/>
        <w:bidi w:val="0"/>
        <w:adjustRightInd/>
        <w:snapToGrid/>
        <w:spacing w:line="440" w:lineRule="exact"/>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执法办案管理系统：公安机关***、局直属办案部门在办理案件过程中，依法对违法行为人、犯罪嫌疑人进行人身安全检查、信息采集、讯问、询问、继续盘问、辨认等办案活动的专门区域。</w:t>
      </w:r>
    </w:p>
    <w:p>
      <w:pPr>
        <w:keepNext w:val="0"/>
        <w:keepLines w:val="0"/>
        <w:pageBreakBefore w:val="0"/>
        <w:kinsoku/>
        <w:wordWrap/>
        <w:overflowPunct/>
        <w:topLinePunct w:val="0"/>
        <w:autoSpaceDE/>
        <w:autoSpaceDN/>
        <w:bidi w:val="0"/>
        <w:adjustRightInd/>
        <w:snapToGrid/>
        <w:spacing w:line="440" w:lineRule="exact"/>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安防系统：在执法中心、综合楼和生活楼的建设视频监控系统，用于人员的出入管理及全局管控。针对执法中心、综合楼、生活楼、走廊等场景提供不同的监控解决方案，提高办案区监督管控力度；门禁系统用于对进出***的人员进行管控，防止无关人员随意进出***，影响***的使用与民警的办案，切实保障***的安全。</w:t>
      </w:r>
    </w:p>
    <w:p>
      <w:pPr>
        <w:keepNext w:val="0"/>
        <w:keepLines w:val="0"/>
        <w:pageBreakBefore w:val="0"/>
        <w:kinsoku/>
        <w:wordWrap/>
        <w:overflowPunct/>
        <w:topLinePunct w:val="0"/>
        <w:autoSpaceDE/>
        <w:autoSpaceDN/>
        <w:bidi w:val="0"/>
        <w:adjustRightInd/>
        <w:snapToGrid/>
        <w:spacing w:line="440" w:lineRule="exact"/>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信息展示发布系统：多媒体信息展示系统是一种让身处异地的人们通过某种传输介质实现“实时、可视、交互”的</w:t>
      </w:r>
      <w:r>
        <w:rPr>
          <w:rFonts w:hint="eastAsia" w:ascii="宋体" w:hAnsi="宋体" w:eastAsia="宋体" w:cs="宋体"/>
          <w:b w:val="0"/>
          <w:bCs w:val="0"/>
          <w:color w:val="auto"/>
          <w:sz w:val="24"/>
          <w:szCs w:val="24"/>
          <w:highlight w:val="none"/>
        </w:rPr>
        <w:fldChar w:fldCharType="begin"/>
      </w:r>
      <w:r>
        <w:rPr>
          <w:rFonts w:hint="eastAsia" w:ascii="宋体" w:hAnsi="宋体" w:eastAsia="宋体" w:cs="宋体"/>
          <w:b w:val="0"/>
          <w:bCs w:val="0"/>
          <w:color w:val="auto"/>
          <w:sz w:val="24"/>
          <w:szCs w:val="24"/>
          <w:highlight w:val="none"/>
        </w:rPr>
        <w:instrText xml:space="preserve"> HYPERLINK "https://baike.baidu.com/item/%E5%A4%9A%E5%AA%92%E4%BD%93%E9%80%9A%E8%AE%AF/15800597" </w:instrText>
      </w:r>
      <w:r>
        <w:rPr>
          <w:rFonts w:hint="eastAsia" w:ascii="宋体" w:hAnsi="宋体" w:eastAsia="宋体" w:cs="宋体"/>
          <w:b w:val="0"/>
          <w:bCs w:val="0"/>
          <w:color w:val="auto"/>
          <w:sz w:val="24"/>
          <w:szCs w:val="24"/>
          <w:highlight w:val="none"/>
        </w:rPr>
        <w:fldChar w:fldCharType="separate"/>
      </w:r>
      <w:r>
        <w:rPr>
          <w:rFonts w:hint="eastAsia" w:ascii="宋体" w:hAnsi="宋体" w:eastAsia="宋体" w:cs="宋体"/>
          <w:b w:val="0"/>
          <w:bCs w:val="0"/>
          <w:color w:val="auto"/>
          <w:sz w:val="24"/>
          <w:szCs w:val="24"/>
          <w:highlight w:val="none"/>
        </w:rPr>
        <w:t>多媒体通讯</w:t>
      </w:r>
      <w:r>
        <w:rPr>
          <w:rFonts w:hint="eastAsia" w:ascii="宋体" w:hAnsi="宋体" w:eastAsia="宋体" w:cs="宋体"/>
          <w:b w:val="0"/>
          <w:bCs w:val="0"/>
          <w:color w:val="auto"/>
          <w:sz w:val="24"/>
          <w:szCs w:val="24"/>
          <w:highlight w:val="none"/>
        </w:rPr>
        <w:fldChar w:fldCharType="end"/>
      </w:r>
      <w:r>
        <w:rPr>
          <w:rFonts w:hint="eastAsia" w:ascii="宋体" w:hAnsi="宋体" w:eastAsia="宋体" w:cs="宋体"/>
          <w:b w:val="0"/>
          <w:bCs w:val="0"/>
          <w:color w:val="auto"/>
          <w:sz w:val="24"/>
          <w:szCs w:val="24"/>
          <w:highlight w:val="none"/>
        </w:rPr>
        <w:t>技术。它可以通过现有的各种电气通讯传输媒体，将人物的静态/动态图像、语音、文字、图片等多种信息分送到各个用户的终端设备上，使得在地理上分散的用户可以共聚一处，通过图形、声音等多种方式交流信息，增加双方对内容的理解能力，使人们犹如身临其境参加在同一会场中的会议一样；公共广播系统通过配置话筒、音箱、功放、调音台等设备，确保有合适的响度、足够的声压级、语言清晰、可懂度高。遇到重大警情需合力应急处置时，按下紧急报警按钮、提醒全体人员紧急响应。</w:t>
      </w:r>
    </w:p>
    <w:p>
      <w:pPr>
        <w:keepNext w:val="0"/>
        <w:keepLines w:val="0"/>
        <w:pageBreakBefore w:val="0"/>
        <w:numPr>
          <w:ilvl w:val="0"/>
          <w:numId w:val="0"/>
        </w:numPr>
        <w:kinsoku/>
        <w:wordWrap/>
        <w:overflowPunct/>
        <w:topLinePunct w:val="0"/>
        <w:autoSpaceDE/>
        <w:autoSpaceDN/>
        <w:bidi w:val="0"/>
        <w:adjustRightInd/>
        <w:snapToGrid/>
        <w:spacing w:line="440" w:lineRule="exact"/>
        <w:ind w:firstLine="241" w:firstLineChars="1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lang w:val="en-US" w:eastAsia="zh-CN"/>
        </w:rPr>
        <w:t>三</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rPr>
        <w:t>服务需求清单</w:t>
      </w:r>
    </w:p>
    <w:p>
      <w:pPr>
        <w:keepNext w:val="0"/>
        <w:keepLines w:val="0"/>
        <w:pageBreakBefore w:val="0"/>
        <w:numPr>
          <w:ilvl w:val="0"/>
          <w:numId w:val="0"/>
        </w:numPr>
        <w:kinsoku/>
        <w:wordWrap/>
        <w:overflowPunct/>
        <w:topLinePunct w:val="0"/>
        <w:autoSpaceDE/>
        <w:autoSpaceDN/>
        <w:bidi w:val="0"/>
        <w:adjustRightInd/>
        <w:snapToGrid/>
        <w:spacing w:line="440" w:lineRule="exact"/>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1.</w:t>
      </w:r>
      <w:r>
        <w:rPr>
          <w:rFonts w:hint="eastAsia" w:ascii="宋体" w:hAnsi="宋体" w:eastAsia="宋体" w:cs="宋体"/>
          <w:b/>
          <w:bCs/>
          <w:color w:val="auto"/>
          <w:sz w:val="24"/>
          <w:szCs w:val="24"/>
          <w:highlight w:val="none"/>
        </w:rPr>
        <w:t>综合布线与设备间配套建设</w:t>
      </w:r>
    </w:p>
    <w:p>
      <w:pPr>
        <w:keepNext w:val="0"/>
        <w:keepLines w:val="0"/>
        <w:pageBreakBefore w:val="0"/>
        <w:kinsoku/>
        <w:wordWrap/>
        <w:overflowPunct/>
        <w:topLinePunct w:val="0"/>
        <w:autoSpaceDE/>
        <w:autoSpaceDN/>
        <w:bidi w:val="0"/>
        <w:adjustRightInd/>
        <w:snapToGrid/>
        <w:spacing w:line="440" w:lineRule="exact"/>
        <w:ind w:firstLine="723" w:firstLineChars="3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1）</w:t>
      </w:r>
      <w:r>
        <w:rPr>
          <w:rFonts w:hint="eastAsia" w:ascii="宋体" w:hAnsi="宋体" w:eastAsia="宋体" w:cs="宋体"/>
          <w:b/>
          <w:bCs/>
          <w:color w:val="auto"/>
          <w:sz w:val="24"/>
          <w:szCs w:val="24"/>
          <w:highlight w:val="none"/>
        </w:rPr>
        <w:t>综合布线与管路系统</w:t>
      </w:r>
    </w:p>
    <w:tbl>
      <w:tblPr>
        <w:tblStyle w:val="20"/>
        <w:tblW w:w="85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1"/>
        <w:gridCol w:w="2212"/>
        <w:gridCol w:w="1260"/>
        <w:gridCol w:w="2889"/>
        <w:gridCol w:w="732"/>
        <w:gridCol w:w="7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51" w:type="dxa"/>
            <w:shd w:val="clear" w:color="auto" w:fill="A6A6A6"/>
            <w:noWrap w:val="0"/>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2212" w:type="dxa"/>
            <w:shd w:val="clear" w:color="auto" w:fill="A6A6A6"/>
            <w:noWrap w:val="0"/>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系统名称</w:t>
            </w:r>
          </w:p>
        </w:tc>
        <w:tc>
          <w:tcPr>
            <w:tcW w:w="1260" w:type="dxa"/>
            <w:shd w:val="clear" w:color="auto" w:fill="A6A6A6"/>
            <w:noWrap w:val="0"/>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产品类别</w:t>
            </w:r>
          </w:p>
        </w:tc>
        <w:tc>
          <w:tcPr>
            <w:tcW w:w="2889" w:type="dxa"/>
            <w:shd w:val="clear" w:color="auto" w:fill="A6A6A6"/>
            <w:noWrap w:val="0"/>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技术参数</w:t>
            </w:r>
          </w:p>
        </w:tc>
        <w:tc>
          <w:tcPr>
            <w:tcW w:w="732" w:type="dxa"/>
            <w:shd w:val="clear" w:color="auto" w:fill="A6A6A6"/>
            <w:noWrap w:val="0"/>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数量</w:t>
            </w:r>
          </w:p>
        </w:tc>
        <w:tc>
          <w:tcPr>
            <w:tcW w:w="732" w:type="dxa"/>
            <w:shd w:val="clear" w:color="auto" w:fill="A6A6A6"/>
            <w:noWrap w:val="0"/>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51" w:type="dxa"/>
            <w:noWrap w:val="0"/>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2212" w:type="dxa"/>
            <w:noWrap w:val="0"/>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**保障智能服务</w:t>
            </w:r>
          </w:p>
        </w:tc>
        <w:tc>
          <w:tcPr>
            <w:tcW w:w="1260" w:type="dxa"/>
            <w:noWrap w:val="0"/>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电源线</w:t>
            </w:r>
          </w:p>
        </w:tc>
        <w:tc>
          <w:tcPr>
            <w:tcW w:w="2889" w:type="dxa"/>
            <w:noWrap w:val="0"/>
            <w:vAlign w:val="center"/>
          </w:tcPr>
          <w:p>
            <w:pPr>
              <w:keepNext w:val="0"/>
              <w:keepLines w:val="0"/>
              <w:pageBreakBefore w:val="0"/>
              <w:kinsoku/>
              <w:wordWrap/>
              <w:overflowPunct/>
              <w:topLinePunct w:val="0"/>
              <w:autoSpaceDE/>
              <w:autoSpaceDN/>
              <w:bidi w:val="0"/>
              <w:adjustRightInd/>
              <w:snapToGrid/>
              <w:spacing w:line="44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ZR-RVV2*1.0</w:t>
            </w:r>
          </w:p>
        </w:tc>
        <w:tc>
          <w:tcPr>
            <w:tcW w:w="732" w:type="dxa"/>
            <w:noWrap w:val="0"/>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3500</w:t>
            </w:r>
          </w:p>
        </w:tc>
        <w:tc>
          <w:tcPr>
            <w:tcW w:w="732" w:type="dxa"/>
            <w:noWrap w:val="0"/>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51" w:type="dxa"/>
            <w:noWrap w:val="0"/>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2212" w:type="dxa"/>
            <w:noWrap w:val="0"/>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**保障智能服务</w:t>
            </w:r>
          </w:p>
        </w:tc>
        <w:tc>
          <w:tcPr>
            <w:tcW w:w="1260" w:type="dxa"/>
            <w:noWrap w:val="0"/>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电源线</w:t>
            </w:r>
          </w:p>
        </w:tc>
        <w:tc>
          <w:tcPr>
            <w:tcW w:w="2889" w:type="dxa"/>
            <w:noWrap w:val="0"/>
            <w:vAlign w:val="center"/>
          </w:tcPr>
          <w:p>
            <w:pPr>
              <w:keepNext w:val="0"/>
              <w:keepLines w:val="0"/>
              <w:pageBreakBefore w:val="0"/>
              <w:kinsoku/>
              <w:wordWrap/>
              <w:overflowPunct/>
              <w:topLinePunct w:val="0"/>
              <w:autoSpaceDE/>
              <w:autoSpaceDN/>
              <w:bidi w:val="0"/>
              <w:adjustRightInd/>
              <w:snapToGrid/>
              <w:spacing w:line="44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ZR-RVV2*1.5</w:t>
            </w:r>
          </w:p>
        </w:tc>
        <w:tc>
          <w:tcPr>
            <w:tcW w:w="732" w:type="dxa"/>
            <w:noWrap w:val="0"/>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2000</w:t>
            </w:r>
          </w:p>
        </w:tc>
        <w:tc>
          <w:tcPr>
            <w:tcW w:w="732" w:type="dxa"/>
            <w:noWrap w:val="0"/>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51" w:type="dxa"/>
            <w:noWrap w:val="0"/>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2212" w:type="dxa"/>
            <w:noWrap w:val="0"/>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**保障智能服务</w:t>
            </w:r>
          </w:p>
        </w:tc>
        <w:tc>
          <w:tcPr>
            <w:tcW w:w="1260" w:type="dxa"/>
            <w:noWrap w:val="0"/>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信号线</w:t>
            </w:r>
          </w:p>
        </w:tc>
        <w:tc>
          <w:tcPr>
            <w:tcW w:w="2889" w:type="dxa"/>
            <w:noWrap w:val="0"/>
            <w:vAlign w:val="center"/>
          </w:tcPr>
          <w:p>
            <w:pPr>
              <w:keepNext w:val="0"/>
              <w:keepLines w:val="0"/>
              <w:pageBreakBefore w:val="0"/>
              <w:kinsoku/>
              <w:wordWrap/>
              <w:overflowPunct/>
              <w:topLinePunct w:val="0"/>
              <w:autoSpaceDE/>
              <w:autoSpaceDN/>
              <w:bidi w:val="0"/>
              <w:adjustRightInd/>
              <w:snapToGrid/>
              <w:spacing w:line="44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ZR-RVV4*1.0</w:t>
            </w:r>
          </w:p>
        </w:tc>
        <w:tc>
          <w:tcPr>
            <w:tcW w:w="732" w:type="dxa"/>
            <w:noWrap w:val="0"/>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1000</w:t>
            </w:r>
          </w:p>
        </w:tc>
        <w:tc>
          <w:tcPr>
            <w:tcW w:w="732" w:type="dxa"/>
            <w:noWrap w:val="0"/>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51" w:type="dxa"/>
            <w:noWrap w:val="0"/>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2212" w:type="dxa"/>
            <w:noWrap w:val="0"/>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**保障智能服务</w:t>
            </w:r>
          </w:p>
        </w:tc>
        <w:tc>
          <w:tcPr>
            <w:tcW w:w="1260" w:type="dxa"/>
            <w:noWrap w:val="0"/>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摄像机视频、电源二合一防雷器</w:t>
            </w:r>
          </w:p>
        </w:tc>
        <w:tc>
          <w:tcPr>
            <w:tcW w:w="2889" w:type="dxa"/>
            <w:noWrap w:val="0"/>
            <w:vAlign w:val="center"/>
          </w:tcPr>
          <w:p>
            <w:pPr>
              <w:keepNext w:val="0"/>
              <w:keepLines w:val="0"/>
              <w:pageBreakBefore w:val="0"/>
              <w:kinsoku/>
              <w:wordWrap/>
              <w:overflowPunct/>
              <w:topLinePunct w:val="0"/>
              <w:autoSpaceDE/>
              <w:autoSpaceDN/>
              <w:bidi w:val="0"/>
              <w:adjustRightInd/>
              <w:snapToGrid/>
              <w:spacing w:line="44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最大放电电流(8/20us)10KA；限制电压24V插入损耗&lt;0.5dB；响应时间&lt;1ns；接口形式：RJ45网络接口</w:t>
            </w:r>
          </w:p>
        </w:tc>
        <w:tc>
          <w:tcPr>
            <w:tcW w:w="732" w:type="dxa"/>
            <w:noWrap w:val="0"/>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w:t>
            </w:r>
          </w:p>
        </w:tc>
        <w:tc>
          <w:tcPr>
            <w:tcW w:w="732" w:type="dxa"/>
            <w:noWrap w:val="0"/>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51" w:type="dxa"/>
            <w:noWrap w:val="0"/>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2212" w:type="dxa"/>
            <w:noWrap w:val="0"/>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**保障智能服务</w:t>
            </w:r>
          </w:p>
        </w:tc>
        <w:tc>
          <w:tcPr>
            <w:tcW w:w="1260" w:type="dxa"/>
            <w:noWrap w:val="0"/>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辅材</w:t>
            </w:r>
          </w:p>
        </w:tc>
        <w:tc>
          <w:tcPr>
            <w:tcW w:w="2889" w:type="dxa"/>
            <w:noWrap w:val="0"/>
            <w:vAlign w:val="center"/>
          </w:tcPr>
          <w:p>
            <w:pPr>
              <w:keepNext w:val="0"/>
              <w:keepLines w:val="0"/>
              <w:pageBreakBefore w:val="0"/>
              <w:kinsoku/>
              <w:wordWrap/>
              <w:overflowPunct/>
              <w:topLinePunct w:val="0"/>
              <w:autoSpaceDE/>
              <w:autoSpaceDN/>
              <w:bidi w:val="0"/>
              <w:adjustRightInd/>
              <w:snapToGrid/>
              <w:spacing w:line="44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包括安装辅材、软管、卡钉、扎带、胶布、螺钉、设备连接电源线/信号线/音视频连接线等</w:t>
            </w:r>
          </w:p>
        </w:tc>
        <w:tc>
          <w:tcPr>
            <w:tcW w:w="732" w:type="dxa"/>
            <w:noWrap w:val="0"/>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732" w:type="dxa"/>
            <w:noWrap w:val="0"/>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51" w:type="dxa"/>
            <w:noWrap w:val="0"/>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p>
        </w:tc>
        <w:tc>
          <w:tcPr>
            <w:tcW w:w="2212" w:type="dxa"/>
            <w:noWrap w:val="0"/>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**保障智能服务</w:t>
            </w:r>
          </w:p>
        </w:tc>
        <w:tc>
          <w:tcPr>
            <w:tcW w:w="1260" w:type="dxa"/>
            <w:noWrap w:val="0"/>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42U机柜</w:t>
            </w:r>
          </w:p>
        </w:tc>
        <w:tc>
          <w:tcPr>
            <w:tcW w:w="2889" w:type="dxa"/>
            <w:noWrap w:val="0"/>
            <w:vAlign w:val="center"/>
          </w:tcPr>
          <w:p>
            <w:pPr>
              <w:keepNext w:val="0"/>
              <w:keepLines w:val="0"/>
              <w:pageBreakBefore w:val="0"/>
              <w:kinsoku/>
              <w:wordWrap/>
              <w:overflowPunct/>
              <w:topLinePunct w:val="0"/>
              <w:autoSpaceDE/>
              <w:autoSpaceDN/>
              <w:bidi w:val="0"/>
              <w:adjustRightInd/>
              <w:snapToGrid/>
              <w:spacing w:line="44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1、服务器机柜尺寸（宽度W×深度D×高度H），600mm×800mm×2000mm，容量≥42U；前开钢化玻璃门，兼容19”国际标准；规格厚度（mm）：19英寸交规2.0，框架1.2，其他1.2.</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2、机柜采用前后焊接框架拼装机柜，整个柜体承重达到≥1000KG。</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3、机柜抗震能力要求符合YD 5083-2005标准，应完全通过0-250HZ抗震测试认证，满足8级、9级抗震烈度测试。</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4、前门采用钢化玻璃，厚度不低于5mm，透光率不小于90％。钢化玻璃满足GB 15763.2-2005抗冲击性、碎片状态试验、霰弹袋冲击性能标准。</w:t>
            </w:r>
          </w:p>
        </w:tc>
        <w:tc>
          <w:tcPr>
            <w:tcW w:w="732" w:type="dxa"/>
            <w:noWrap w:val="0"/>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w:t>
            </w:r>
          </w:p>
        </w:tc>
        <w:tc>
          <w:tcPr>
            <w:tcW w:w="732" w:type="dxa"/>
            <w:noWrap w:val="0"/>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51" w:type="dxa"/>
            <w:noWrap w:val="0"/>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p>
        </w:tc>
        <w:tc>
          <w:tcPr>
            <w:tcW w:w="2212" w:type="dxa"/>
            <w:noWrap w:val="0"/>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网络及安全设备</w:t>
            </w:r>
          </w:p>
        </w:tc>
        <w:tc>
          <w:tcPr>
            <w:tcW w:w="1260" w:type="dxa"/>
            <w:noWrap w:val="0"/>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光纤跳线</w:t>
            </w:r>
          </w:p>
        </w:tc>
        <w:tc>
          <w:tcPr>
            <w:tcW w:w="2889" w:type="dxa"/>
            <w:noWrap w:val="0"/>
            <w:vAlign w:val="center"/>
          </w:tcPr>
          <w:p>
            <w:pPr>
              <w:keepNext w:val="0"/>
              <w:keepLines w:val="0"/>
              <w:pageBreakBefore w:val="0"/>
              <w:kinsoku/>
              <w:wordWrap/>
              <w:overflowPunct/>
              <w:topLinePunct w:val="0"/>
              <w:autoSpaceDE/>
              <w:autoSpaceDN/>
              <w:bidi w:val="0"/>
              <w:adjustRightInd/>
              <w:snapToGrid/>
              <w:spacing w:line="44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千兆、万兆光纤跳线</w:t>
            </w:r>
          </w:p>
        </w:tc>
        <w:tc>
          <w:tcPr>
            <w:tcW w:w="732" w:type="dxa"/>
            <w:noWrap w:val="0"/>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732" w:type="dxa"/>
            <w:noWrap w:val="0"/>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51"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w:t>
            </w:r>
          </w:p>
        </w:tc>
        <w:tc>
          <w:tcPr>
            <w:tcW w:w="2212"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**保障智能服务</w:t>
            </w:r>
          </w:p>
        </w:tc>
        <w:tc>
          <w:tcPr>
            <w:tcW w:w="1260"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线缆</w:t>
            </w:r>
          </w:p>
        </w:tc>
        <w:tc>
          <w:tcPr>
            <w:tcW w:w="2889"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44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DMI电缆,HDMI/AM转HDMI/AM,15m,黑,加强型</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端子镀金，耐氧化，阻抗小，信号传输更稳定。</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即插即用，无需驱动程序。</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环保加厚外被，耐磨不易破裂，经久耐用。</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产品经过多项专业测试，有品质保证。</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产品特性</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接口类型：HDMI</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视频版本：HDMI 1.3</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支持最大分辨率：1080P 60Hz</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线缆类型（音视频线）：铜缆</w:t>
            </w:r>
          </w:p>
        </w:tc>
        <w:tc>
          <w:tcPr>
            <w:tcW w:w="732" w:type="dxa"/>
            <w:shd w:val="clear" w:color="000000" w:fill="FFFFFF"/>
            <w:noWrap w:val="0"/>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732" w:type="dxa"/>
            <w:noWrap w:val="0"/>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51" w:type="dxa"/>
            <w:noWrap w:val="0"/>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w:t>
            </w:r>
          </w:p>
        </w:tc>
        <w:tc>
          <w:tcPr>
            <w:tcW w:w="2212" w:type="dxa"/>
            <w:noWrap w:val="0"/>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合成作战指挥体系、三层安全防范宣讲体验中心、二层警民互动中心、一层勤务指挥中心</w:t>
            </w:r>
          </w:p>
        </w:tc>
        <w:tc>
          <w:tcPr>
            <w:tcW w:w="1260" w:type="dxa"/>
            <w:noWrap w:val="0"/>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音频设备链接线</w:t>
            </w:r>
          </w:p>
        </w:tc>
        <w:tc>
          <w:tcPr>
            <w:tcW w:w="2889" w:type="dxa"/>
            <w:noWrap w:val="0"/>
            <w:vAlign w:val="center"/>
          </w:tcPr>
          <w:p>
            <w:pPr>
              <w:keepNext w:val="0"/>
              <w:keepLines w:val="0"/>
              <w:pageBreakBefore w:val="0"/>
              <w:kinsoku/>
              <w:wordWrap/>
              <w:overflowPunct/>
              <w:topLinePunct w:val="0"/>
              <w:autoSpaceDE/>
              <w:autoSpaceDN/>
              <w:bidi w:val="0"/>
              <w:adjustRightInd/>
              <w:snapToGrid/>
              <w:spacing w:line="44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含话筒线、音箱线、音频线、HDMI线、电源线、连接端子等</w:t>
            </w:r>
          </w:p>
        </w:tc>
        <w:tc>
          <w:tcPr>
            <w:tcW w:w="732" w:type="dxa"/>
            <w:noWrap w:val="0"/>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732" w:type="dxa"/>
            <w:noWrap w:val="0"/>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批</w:t>
            </w:r>
          </w:p>
        </w:tc>
      </w:tr>
    </w:tbl>
    <w:p>
      <w:pPr>
        <w:keepNext w:val="0"/>
        <w:keepLines w:val="0"/>
        <w:pageBreakBefore w:val="0"/>
        <w:kinsoku/>
        <w:wordWrap/>
        <w:overflowPunct/>
        <w:topLinePunct w:val="0"/>
        <w:autoSpaceDE/>
        <w:autoSpaceDN/>
        <w:bidi w:val="0"/>
        <w:adjustRightInd/>
        <w:snapToGrid/>
        <w:spacing w:line="440" w:lineRule="exact"/>
        <w:ind w:firstLine="723" w:firstLineChars="3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2）</w:t>
      </w:r>
      <w:r>
        <w:rPr>
          <w:rFonts w:hint="eastAsia" w:ascii="宋体" w:hAnsi="宋体" w:eastAsia="宋体" w:cs="宋体"/>
          <w:b/>
          <w:bCs/>
          <w:color w:val="auto"/>
          <w:sz w:val="24"/>
          <w:szCs w:val="24"/>
          <w:highlight w:val="none"/>
        </w:rPr>
        <w:t>设备间配套建设</w:t>
      </w:r>
    </w:p>
    <w:tbl>
      <w:tblPr>
        <w:tblStyle w:val="20"/>
        <w:tblW w:w="87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3"/>
        <w:gridCol w:w="1365"/>
        <w:gridCol w:w="1176"/>
        <w:gridCol w:w="3984"/>
        <w:gridCol w:w="704"/>
        <w:gridCol w:w="7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23" w:type="dxa"/>
            <w:shd w:val="clear" w:color="auto" w:fill="A6A6A6"/>
            <w:noWrap w:val="0"/>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1365" w:type="dxa"/>
            <w:shd w:val="clear" w:color="auto" w:fill="A6A6A6"/>
            <w:noWrap w:val="0"/>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系统名称</w:t>
            </w:r>
          </w:p>
        </w:tc>
        <w:tc>
          <w:tcPr>
            <w:tcW w:w="1176" w:type="dxa"/>
            <w:shd w:val="clear" w:color="auto" w:fill="A6A6A6"/>
            <w:noWrap w:val="0"/>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产品类别</w:t>
            </w:r>
          </w:p>
        </w:tc>
        <w:tc>
          <w:tcPr>
            <w:tcW w:w="3984" w:type="dxa"/>
            <w:shd w:val="clear" w:color="auto" w:fill="A6A6A6"/>
            <w:noWrap w:val="0"/>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技术参数</w:t>
            </w:r>
          </w:p>
        </w:tc>
        <w:tc>
          <w:tcPr>
            <w:tcW w:w="704" w:type="dxa"/>
            <w:shd w:val="clear" w:color="auto" w:fill="A6A6A6"/>
            <w:noWrap w:val="0"/>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数量</w:t>
            </w:r>
          </w:p>
        </w:tc>
        <w:tc>
          <w:tcPr>
            <w:tcW w:w="756" w:type="dxa"/>
            <w:shd w:val="clear" w:color="auto" w:fill="A6A6A6"/>
            <w:noWrap w:val="0"/>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23" w:type="dxa"/>
            <w:noWrap w:val="0"/>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365" w:type="dxa"/>
            <w:noWrap w:val="0"/>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**保障智能服务</w:t>
            </w:r>
          </w:p>
        </w:tc>
        <w:tc>
          <w:tcPr>
            <w:tcW w:w="1176" w:type="dxa"/>
            <w:noWrap w:val="0"/>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消控操作台</w:t>
            </w:r>
          </w:p>
        </w:tc>
        <w:tc>
          <w:tcPr>
            <w:tcW w:w="3984" w:type="dxa"/>
            <w:noWrap w:val="0"/>
            <w:vAlign w:val="center"/>
          </w:tcPr>
          <w:p>
            <w:pPr>
              <w:keepNext w:val="0"/>
              <w:keepLines w:val="0"/>
              <w:pageBreakBefore w:val="0"/>
              <w:kinsoku/>
              <w:wordWrap/>
              <w:overflowPunct/>
              <w:topLinePunct w:val="0"/>
              <w:autoSpaceDE/>
              <w:autoSpaceDN/>
              <w:bidi w:val="0"/>
              <w:adjustRightInd/>
              <w:snapToGrid/>
              <w:spacing w:line="44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尺寸：3000*860,框架冷轧钢板，面板防火板</w:t>
            </w:r>
          </w:p>
        </w:tc>
        <w:tc>
          <w:tcPr>
            <w:tcW w:w="704" w:type="dxa"/>
            <w:noWrap w:val="0"/>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756" w:type="dxa"/>
            <w:noWrap w:val="0"/>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23" w:type="dxa"/>
            <w:noWrap w:val="0"/>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1365" w:type="dxa"/>
            <w:noWrap w:val="0"/>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**保障智能服务</w:t>
            </w:r>
          </w:p>
        </w:tc>
        <w:tc>
          <w:tcPr>
            <w:tcW w:w="1176" w:type="dxa"/>
            <w:noWrap w:val="0"/>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UPS主机</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10KVA</w:t>
            </w:r>
          </w:p>
        </w:tc>
        <w:tc>
          <w:tcPr>
            <w:tcW w:w="3984" w:type="dxa"/>
            <w:noWrap w:val="0"/>
            <w:vAlign w:val="center"/>
          </w:tcPr>
          <w:p>
            <w:pPr>
              <w:keepNext w:val="0"/>
              <w:keepLines w:val="0"/>
              <w:pageBreakBefore w:val="0"/>
              <w:kinsoku/>
              <w:wordWrap/>
              <w:overflowPunct/>
              <w:topLinePunct w:val="0"/>
              <w:autoSpaceDE/>
              <w:autoSpaceDN/>
              <w:bidi w:val="0"/>
              <w:adjustRightInd/>
              <w:snapToGrid/>
              <w:spacing w:line="44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1、UPS主机基本要求为：容量10kVA，根据用户现场情况，可选择采用立式安装或嵌入19英寸标准机柜的机架式安装，嵌入机架式安装时高度≤3U;</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2、为了适应用户现场配电，UPS主机要求支持三进三出、三进单出及单进单出;</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3、通过并机线即可实现UPS并联，具备并机冗余和并机扩容两种模式，应用更加灵活。</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4、宽输入电压范围：单相输入电压80V～280V ，输入电压宽，适应恶劣电网环境；</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5、输入功率因数&gt;0.99，输入谐波电流：&lt;3%;</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6、宽输入频率，输入频率范围要求：40~70Hz。</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7、UPS逆变器具备较强过载能力：110%负载长期带载运行，130%负载10分钟，以保障IT负载高负荷运行的可靠性;</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8、输出稳压精度高，输出电压 220/230/240Vac±1%（单相）。</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9、低输出电压谐波，输出THDV：＜2%（线性负载）;</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10、具备大充电电流，最大充电电流不小于10A;</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11、电池电压宽范围可调：±15～±20节连续可调，直流电压±180～±240V，现场配置灵活;</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12、整机效率：＞95%;</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13、带载能力强：输出PF≥0.9，输出端可带更多负载。</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14、具备蓝光大LCD屏显示，可显示UPS整机工作状态与参数，当主机出现故障时可显示故障代码，具备历史记录导出功能，方便设备日常运维。</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15、具备智能蓄电池与负载情况管理功能，LCD屏可直观显示蓄电池剩余容量及当前负载量，方便用户查看。</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16、主机具备远程干接点接口，灵活使用，确保现场紧急状况下能够快速断电，保护设备安全。</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17、UPS主机需标配MODBUS通信协议，要求提供接口及实现方式说明。</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18、提供3年原厂质保。</w:t>
            </w:r>
          </w:p>
        </w:tc>
        <w:tc>
          <w:tcPr>
            <w:tcW w:w="704" w:type="dxa"/>
            <w:noWrap w:val="0"/>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756" w:type="dxa"/>
            <w:noWrap w:val="0"/>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23" w:type="dxa"/>
            <w:noWrap w:val="0"/>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1365" w:type="dxa"/>
            <w:noWrap w:val="0"/>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**保障智能服务</w:t>
            </w:r>
          </w:p>
        </w:tc>
        <w:tc>
          <w:tcPr>
            <w:tcW w:w="1176" w:type="dxa"/>
            <w:noWrap w:val="0"/>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蓄电池</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12V-100AH</w:t>
            </w:r>
          </w:p>
        </w:tc>
        <w:tc>
          <w:tcPr>
            <w:tcW w:w="3984" w:type="dxa"/>
            <w:noWrap w:val="0"/>
            <w:vAlign w:val="center"/>
          </w:tcPr>
          <w:p>
            <w:pPr>
              <w:keepNext w:val="0"/>
              <w:keepLines w:val="0"/>
              <w:pageBreakBefore w:val="0"/>
              <w:kinsoku/>
              <w:wordWrap/>
              <w:overflowPunct/>
              <w:topLinePunct w:val="0"/>
              <w:autoSpaceDE/>
              <w:autoSpaceDN/>
              <w:bidi w:val="0"/>
              <w:adjustRightInd/>
              <w:snapToGrid/>
              <w:spacing w:line="44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1.浮充寿命≥10年，釆用封口剂的蓄电池，在温度-30℃〜+65℃之间，封口剂不应有裂纹与溢流现象。</w:t>
            </w:r>
          </w:p>
        </w:tc>
        <w:tc>
          <w:tcPr>
            <w:tcW w:w="704" w:type="dxa"/>
            <w:noWrap w:val="0"/>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w:t>
            </w:r>
          </w:p>
        </w:tc>
        <w:tc>
          <w:tcPr>
            <w:tcW w:w="756" w:type="dxa"/>
            <w:noWrap w:val="0"/>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23"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1365"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**保障智能服务</w:t>
            </w:r>
          </w:p>
        </w:tc>
        <w:tc>
          <w:tcPr>
            <w:tcW w:w="1176"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电池箱</w:t>
            </w:r>
          </w:p>
        </w:tc>
        <w:tc>
          <w:tcPr>
            <w:tcW w:w="3984"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44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可安装32节100AH电池，含连接线及空开。</w:t>
            </w:r>
          </w:p>
        </w:tc>
        <w:tc>
          <w:tcPr>
            <w:tcW w:w="704" w:type="dxa"/>
            <w:shd w:val="clear" w:color="000000" w:fill="FFFFFF"/>
            <w:noWrap w:val="0"/>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756" w:type="dxa"/>
            <w:noWrap w:val="0"/>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23"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1365"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**保障智能服务</w:t>
            </w:r>
          </w:p>
        </w:tc>
        <w:tc>
          <w:tcPr>
            <w:tcW w:w="1176"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配电箱</w:t>
            </w:r>
          </w:p>
        </w:tc>
        <w:tc>
          <w:tcPr>
            <w:tcW w:w="3984"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44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壁挂箱，UPS输入输出总空开，UPS输出支路分开关（不小于5路分支）等，含仪表、电表，防雷等。</w:t>
            </w:r>
          </w:p>
        </w:tc>
        <w:tc>
          <w:tcPr>
            <w:tcW w:w="704" w:type="dxa"/>
            <w:shd w:val="clear" w:color="000000" w:fill="FFFFFF"/>
            <w:noWrap w:val="0"/>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756" w:type="dxa"/>
            <w:noWrap w:val="0"/>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套</w:t>
            </w:r>
          </w:p>
        </w:tc>
      </w:tr>
    </w:tbl>
    <w:p>
      <w:pPr>
        <w:keepNext w:val="0"/>
        <w:keepLines w:val="0"/>
        <w:pageBreakBefore w:val="0"/>
        <w:numPr>
          <w:ilvl w:val="0"/>
          <w:numId w:val="0"/>
        </w:numPr>
        <w:kinsoku/>
        <w:wordWrap/>
        <w:overflowPunct/>
        <w:topLinePunct w:val="0"/>
        <w:autoSpaceDE/>
        <w:autoSpaceDN/>
        <w:bidi w:val="0"/>
        <w:adjustRightInd/>
        <w:snapToGrid/>
        <w:spacing w:line="440" w:lineRule="exact"/>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2.</w:t>
      </w:r>
      <w:r>
        <w:rPr>
          <w:rFonts w:hint="eastAsia" w:ascii="宋体" w:hAnsi="宋体" w:eastAsia="宋体" w:cs="宋体"/>
          <w:b/>
          <w:bCs/>
          <w:color w:val="auto"/>
          <w:sz w:val="24"/>
          <w:szCs w:val="24"/>
          <w:highlight w:val="none"/>
        </w:rPr>
        <w:t>计算机网络系统</w:t>
      </w:r>
    </w:p>
    <w:tbl>
      <w:tblPr>
        <w:tblStyle w:val="20"/>
        <w:tblW w:w="97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8"/>
        <w:gridCol w:w="1132"/>
        <w:gridCol w:w="845"/>
        <w:gridCol w:w="6120"/>
        <w:gridCol w:w="588"/>
        <w:gridCol w:w="6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0" w:type="auto"/>
            <w:shd w:val="clear" w:color="auto" w:fill="A6A6A6"/>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b/>
                <w:bCs/>
                <w:color w:val="auto"/>
                <w:kern w:val="0"/>
                <w:sz w:val="24"/>
                <w:szCs w:val="24"/>
                <w:highlight w:val="none"/>
              </w:rPr>
              <w:t>序号</w:t>
            </w:r>
          </w:p>
        </w:tc>
        <w:tc>
          <w:tcPr>
            <w:tcW w:w="0" w:type="auto"/>
            <w:shd w:val="clear" w:color="auto" w:fill="A6A6A6"/>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系统名称</w:t>
            </w:r>
          </w:p>
        </w:tc>
        <w:tc>
          <w:tcPr>
            <w:tcW w:w="0" w:type="auto"/>
            <w:shd w:val="clear" w:color="auto" w:fill="A6A6A6"/>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b/>
                <w:bCs/>
                <w:color w:val="auto"/>
                <w:kern w:val="0"/>
                <w:sz w:val="24"/>
                <w:szCs w:val="24"/>
                <w:highlight w:val="none"/>
              </w:rPr>
              <w:t>产品类别</w:t>
            </w:r>
          </w:p>
        </w:tc>
        <w:tc>
          <w:tcPr>
            <w:tcW w:w="6120" w:type="dxa"/>
            <w:shd w:val="clear" w:color="auto" w:fill="A6A6A6"/>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rPr>
                <w:rFonts w:hint="eastAsia" w:ascii="宋体" w:hAnsi="宋体" w:eastAsia="宋体" w:cs="宋体"/>
                <w:color w:val="auto"/>
                <w:kern w:val="0"/>
                <w:sz w:val="24"/>
                <w:szCs w:val="24"/>
                <w:highlight w:val="none"/>
              </w:rPr>
            </w:pPr>
            <w:r>
              <w:rPr>
                <w:rFonts w:hint="eastAsia" w:ascii="宋体" w:hAnsi="宋体" w:eastAsia="宋体" w:cs="宋体"/>
                <w:b/>
                <w:bCs/>
                <w:color w:val="auto"/>
                <w:kern w:val="0"/>
                <w:sz w:val="24"/>
                <w:szCs w:val="24"/>
                <w:highlight w:val="none"/>
              </w:rPr>
              <w:t>技术参数</w:t>
            </w:r>
          </w:p>
        </w:tc>
        <w:tc>
          <w:tcPr>
            <w:tcW w:w="588" w:type="dxa"/>
            <w:shd w:val="clear" w:color="auto" w:fill="A6A6A6"/>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b/>
                <w:bCs/>
                <w:color w:val="auto"/>
                <w:kern w:val="0"/>
                <w:sz w:val="24"/>
                <w:szCs w:val="24"/>
                <w:highlight w:val="none"/>
              </w:rPr>
              <w:t>数量</w:t>
            </w:r>
          </w:p>
        </w:tc>
        <w:tc>
          <w:tcPr>
            <w:tcW w:w="633" w:type="dxa"/>
            <w:shd w:val="clear" w:color="auto" w:fill="A6A6A6"/>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b/>
                <w:bCs/>
                <w:color w:val="auto"/>
                <w:kern w:val="0"/>
                <w:sz w:val="24"/>
                <w:szCs w:val="24"/>
                <w:highlight w:val="none"/>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0" w:type="auto"/>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0" w:type="auto"/>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网络及安全设备</w:t>
            </w:r>
          </w:p>
        </w:tc>
        <w:tc>
          <w:tcPr>
            <w:tcW w:w="0" w:type="auto"/>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公安网汇聚交换机</w:t>
            </w:r>
          </w:p>
        </w:tc>
        <w:tc>
          <w:tcPr>
            <w:tcW w:w="612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kern w:val="0"/>
                <w:sz w:val="24"/>
                <w:szCs w:val="24"/>
                <w:highlight w:val="none"/>
              </w:rPr>
              <w:t>交换容量:交换容量≥2Tbps(2.4T/24T)（提供功能截图）</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包转发率:包转发率≥700Mpps(720M/792M)</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端口:支持24个万兆SFP+，2个40GE QSFP+</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硬件:为了提高设备可靠性，支持1+1电源备份，默认含一个交流电源，实配双电源</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支持1:1和N:1 VLAN交换功能</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支持IPv4路由表项≥64K</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VxLAN：支持VxLAN功能，支持BGP EVPN，支持分布式 Anycast 网关，支持VxLAN的自动化部署</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虚拟化：支持横向堆叠，主机堆叠数不小于9台支持防ARP攻击、DOS攻击、ICMP防攻击、CPU防攻击</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可靠性：支持G.8032标准环网协议</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支持真实业务流实时检测技术，能实时检测网络故障</w:t>
            </w:r>
          </w:p>
        </w:tc>
        <w:tc>
          <w:tcPr>
            <w:tcW w:w="588"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w:t>
            </w:r>
          </w:p>
        </w:tc>
        <w:tc>
          <w:tcPr>
            <w:tcW w:w="633"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0" w:type="auto"/>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w:t>
            </w:r>
          </w:p>
        </w:tc>
        <w:tc>
          <w:tcPr>
            <w:tcW w:w="0" w:type="auto"/>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网络及安全设备</w:t>
            </w:r>
          </w:p>
        </w:tc>
        <w:tc>
          <w:tcPr>
            <w:tcW w:w="0" w:type="auto"/>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公安网接入交换机A</w:t>
            </w:r>
          </w:p>
        </w:tc>
        <w:tc>
          <w:tcPr>
            <w:tcW w:w="612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交换容量：交换容量≥400Gbps</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包转发率：包转发率≥144Mpps</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端口：48个千兆电口，4个万兆SFP+</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 xml:space="preserve">硬件：支持RIP、RIPng、OSPF、OSPFv3路由协议 </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支持 ERPS 以太环保护协议（G.8032）</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支持纵向虚拟化，作为纵向子节点零配置即插即用</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QOS：支持对端口接收报文速率和发送报文速率进行限制</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支持 802.3az 能效以太网 EEE，节能环保</w:t>
            </w:r>
          </w:p>
        </w:tc>
        <w:tc>
          <w:tcPr>
            <w:tcW w:w="588"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w:t>
            </w:r>
          </w:p>
        </w:tc>
        <w:tc>
          <w:tcPr>
            <w:tcW w:w="633"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0" w:type="auto"/>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w:t>
            </w:r>
          </w:p>
        </w:tc>
        <w:tc>
          <w:tcPr>
            <w:tcW w:w="0" w:type="auto"/>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网络及安全设备</w:t>
            </w:r>
          </w:p>
        </w:tc>
        <w:tc>
          <w:tcPr>
            <w:tcW w:w="0" w:type="auto"/>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公安网接入交换机B</w:t>
            </w:r>
          </w:p>
        </w:tc>
        <w:tc>
          <w:tcPr>
            <w:tcW w:w="612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交换容量：交换容量≥336Gbps</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包转发率：包转发率≥108Mpps</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端口类型：24个千兆电口，4个万兆SFP+</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支持 ERPS 以太环保护协议（G.8032）</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支持纵向虚拟化，作为纵向子节点零配置即插即用</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QOS：支持对端口接收报文速率和发送报文速率进行限制</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支持 802.3az 能效以太网 EEE，节能环保</w:t>
            </w:r>
          </w:p>
        </w:tc>
        <w:tc>
          <w:tcPr>
            <w:tcW w:w="588"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w:t>
            </w:r>
          </w:p>
        </w:tc>
        <w:tc>
          <w:tcPr>
            <w:tcW w:w="633"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0" w:type="auto"/>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w:t>
            </w:r>
          </w:p>
        </w:tc>
        <w:tc>
          <w:tcPr>
            <w:tcW w:w="0" w:type="auto"/>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网络及安全设备</w:t>
            </w:r>
          </w:p>
        </w:tc>
        <w:tc>
          <w:tcPr>
            <w:tcW w:w="0" w:type="auto"/>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政务网汇聚交换机</w:t>
            </w:r>
          </w:p>
        </w:tc>
        <w:tc>
          <w:tcPr>
            <w:tcW w:w="612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kern w:val="0"/>
                <w:sz w:val="24"/>
                <w:szCs w:val="24"/>
                <w:highlight w:val="none"/>
              </w:rPr>
              <w:t>交换容量：交换容量≥500Gbps（提供功能截图）</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包转发率：包转发率≥130Mpps</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电源数量：为了提高设备可靠性，支持1+1电源备份，设备默认带1个150W交流电源模块。</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硬件：支持8个combo 1000Base-T以太网口,24个千兆SFP,4个万兆SFP+</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支持VxLAN功能，支持BGP EVPN，支持分布式 Anycast 网关，支持VxLAN的自动化部署</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支持DHCPv6 Snooping，IP Source Guard，SAVI等安全特性</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支持防ARP攻击、DOS攻击、ICMP防攻击、CPU防攻击</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交换机支持报告攻击事件给网络安全智能系统，与网络安全智能系统和SDN控制器联动，以实现全网安全协防</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 xml:space="preserve">支持G.8032标准以太环网协议，倒换时间≤50ms </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支持堆叠，主机堆叠数不小于9台</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支持SNMP v1/v2/v3、Telnet、RMON、SSH</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支持通过命令行、Web、中文图形化配置软件等方式进行配置和管理</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支持自动配置、批量升级</w:t>
            </w:r>
          </w:p>
        </w:tc>
        <w:tc>
          <w:tcPr>
            <w:tcW w:w="588"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633"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0" w:type="auto"/>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w:t>
            </w:r>
          </w:p>
        </w:tc>
        <w:tc>
          <w:tcPr>
            <w:tcW w:w="0" w:type="auto"/>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网络及安全设备</w:t>
            </w:r>
          </w:p>
        </w:tc>
        <w:tc>
          <w:tcPr>
            <w:tcW w:w="0" w:type="auto"/>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政务网接入交换机</w:t>
            </w:r>
          </w:p>
        </w:tc>
        <w:tc>
          <w:tcPr>
            <w:tcW w:w="612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交换容量≥400Gbps</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包转发率≥87Mpps</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48个千兆电口，4个千兆SFP</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 xml:space="preserve">支持RIP、RIPng、OSPF、OSPFv3路由协议 </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支持DHCP Snooping、DHCPv6 Snooping功能</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支持 ERPS 以太环保护协议（G.8032）</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支持纵向虚拟化，作为纵向子节点零配置即插即用</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QOS:支持对端口接收报文速率和发送报文速率进行限制</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管理维护:支持SNMP v1/v2/v3、Telnet、RMON</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支持通过命令行、Web、中文图形化配置软件等方式进行配置和管理</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支持Telemetry技术，配合网络分析组件通过智能故障识别算法对网络数据进行分析，精准展现网络实时状态，并能及时有效地定界故障以及定位故障发生原因，发现影响用户体验的网络问题，精准保障用户体验</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支持 802.3az 能效以太网 EEE，节能环保</w:t>
            </w:r>
          </w:p>
        </w:tc>
        <w:tc>
          <w:tcPr>
            <w:tcW w:w="588"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w:t>
            </w:r>
          </w:p>
        </w:tc>
        <w:tc>
          <w:tcPr>
            <w:tcW w:w="633"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0" w:type="auto"/>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w:t>
            </w:r>
          </w:p>
        </w:tc>
        <w:tc>
          <w:tcPr>
            <w:tcW w:w="0" w:type="auto"/>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网络及安全设备</w:t>
            </w:r>
          </w:p>
        </w:tc>
        <w:tc>
          <w:tcPr>
            <w:tcW w:w="0" w:type="auto"/>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视频专网汇聚交换机</w:t>
            </w:r>
          </w:p>
        </w:tc>
        <w:tc>
          <w:tcPr>
            <w:tcW w:w="612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kern w:val="0"/>
                <w:sz w:val="24"/>
                <w:szCs w:val="24"/>
                <w:highlight w:val="none"/>
              </w:rPr>
              <w:t>交换容量：交换容量≥500Gbps（提供功能截图）</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包转发率：包转发率≥130Mpps</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电源数量：为了提高设备可靠性，支持1+1电源备份，设备默认带1个150W交流电源模块。</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硬件：支持8个10/100/1000BASE-T以太网端口,24个千兆SFP,4个万兆SFP+</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支持VxLAN功能，支持BGP EVPN，支持分布式 Anycast 网关，支持VxLAN的自动化部署</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支持DHCPv6 Snooping，IP Source Guard，SAVI等安全特性</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支持防ARP攻击、DOS攻击、ICMP防攻击、CPU防攻击</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交换机支持报告攻击事件给网络安全智能系统，与网络安全智能系统和SDN控制器联动，以实现全网安全协防</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 xml:space="preserve">支持G.8032标准以太环网协议，倒换时间≤50ms </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支持堆叠，主机堆叠数不小于9台</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支持SNMP v1/v2/v3、Telnet、RMON、SSH</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支持通过命令行、Web、中文图形化配置软件等方式进行配置和管理</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支持自动配置、批量升级</w:t>
            </w:r>
          </w:p>
        </w:tc>
        <w:tc>
          <w:tcPr>
            <w:tcW w:w="588"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633"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0" w:type="auto"/>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7</w:t>
            </w:r>
          </w:p>
        </w:tc>
        <w:tc>
          <w:tcPr>
            <w:tcW w:w="0" w:type="auto"/>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网络及安全设备</w:t>
            </w:r>
          </w:p>
        </w:tc>
        <w:tc>
          <w:tcPr>
            <w:tcW w:w="0" w:type="auto"/>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视频专网接入交换机</w:t>
            </w:r>
          </w:p>
        </w:tc>
        <w:tc>
          <w:tcPr>
            <w:tcW w:w="612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交换容量：交换容量≥336Gbps</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包转发率：包转发率≥50Mpps</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端口类型：24个千兆电口，4个千兆SFP支持 ERPS 以太环保护协议（G.8032）</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支持纵向虚拟化，作为纵向子节点零配置即插即用</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QOS：支持对端口接收报文速率和发送报文速率进行限制</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支持 802.3az 能效以太网 EEE，节能环保</w:t>
            </w:r>
          </w:p>
        </w:tc>
        <w:tc>
          <w:tcPr>
            <w:tcW w:w="588"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w:t>
            </w:r>
          </w:p>
        </w:tc>
        <w:tc>
          <w:tcPr>
            <w:tcW w:w="633"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0" w:type="auto"/>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8</w:t>
            </w:r>
          </w:p>
        </w:tc>
        <w:tc>
          <w:tcPr>
            <w:tcW w:w="0" w:type="auto"/>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网络及安全设备</w:t>
            </w:r>
          </w:p>
        </w:tc>
        <w:tc>
          <w:tcPr>
            <w:tcW w:w="0" w:type="auto"/>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外网汇聚交换机</w:t>
            </w:r>
          </w:p>
        </w:tc>
        <w:tc>
          <w:tcPr>
            <w:tcW w:w="612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kern w:val="0"/>
                <w:sz w:val="24"/>
                <w:szCs w:val="24"/>
                <w:highlight w:val="none"/>
              </w:rPr>
              <w:t>交换容量：交换容量≥500Gbps（提供功能截图）</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包转发率：包转发率≥130Mpps</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电源数量：为了提高设备可靠性，支持1+1电源备份，设备默认带1个150W交流电源模块。</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硬件：支持8个combo 1000Base-T以太网口,24个千兆SFP,4个万兆SFP+</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支持VxLAN功能，支持BGP EVPN，支持分布式 Anycast 网关，支持VxLAN的自动化部署</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支持DHCPv6 Snooping，IP Source Guard，SAVI等安全特性</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支持防ARP攻击、DOS攻击、ICMP防攻击、CPU防攻击</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交换机支持报告攻击事件给网络安全智能系统，与网络安全智能系统和SDN控制器联动，以实现全网安全协防</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 xml:space="preserve">支持G.8032标准以太环网协议，倒换时间≤50ms </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支持堆叠，主机堆叠数不小于9台</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支持SNMP v1/v2/v3、Telnet、RMON、SSH</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支持通过命令行、Web、中文图形化配置软件等方式进行配置和管理</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支持自动配置、批量升级</w:t>
            </w:r>
          </w:p>
        </w:tc>
        <w:tc>
          <w:tcPr>
            <w:tcW w:w="588"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633"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0" w:type="auto"/>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9</w:t>
            </w:r>
          </w:p>
        </w:tc>
        <w:tc>
          <w:tcPr>
            <w:tcW w:w="0" w:type="auto"/>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网络及安全设备</w:t>
            </w:r>
          </w:p>
        </w:tc>
        <w:tc>
          <w:tcPr>
            <w:tcW w:w="0" w:type="auto"/>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出口防火墙</w:t>
            </w:r>
          </w:p>
        </w:tc>
        <w:tc>
          <w:tcPr>
            <w:tcW w:w="612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kern w:val="0"/>
                <w:sz w:val="24"/>
                <w:szCs w:val="24"/>
                <w:highlight w:val="none"/>
              </w:rPr>
              <w:t>1.性能参数：网络层吞吐量≥20G，应用层吞吐量≥6G，并发连接数≥220万，HTTP新建连接数≥10万。硬件参数：规格：1U，内存大小≥8G，硬盘容量≥128G minisata SSD，电源：冗余电源，接口：支持不低于14千兆电口+4万兆光口SFP+。（提供功能截图）</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2.支持路由、透明、虚拟网线、旁路镜像、混合等多种部署方式，适应复杂使用环境的接入要求。</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3.支持勒索病毒检测与防御功能，为保障勒索病毒的防御效果。</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4.产品支持多种用户认证方式，用户认证方式要求支持本地密码认证、外部密码认证和单点登陆等方式。</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5.具备网端云协同联动功能。</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6.产品内置应用特征识别库，支持不少于7000种应用规则，支持对游戏、P2P下载工具、聊天工具、网上银行、视频软件、股票软件、木马控制软件等类型应用进行检测与控制。</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7.支持三权分立功能，根据用户权限分为安全管理员、审计员、系统管理员三种角色。</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8.支持SYN Flood、ICMP Flood、UDP Flood、DNS Flood、ARP Flood等泛洪类攻击防护，支持IP地址扫描和端口扫描攻击防护。</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9.支持IPv4／IPv6下NAT地址转换，包括支持源地址转换SNAT，目的地址转换DNAT和双向地址转换双向NAT， 支持一对一、一对多、多对一等多种转换方式。</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10.支持基于对象、区域和地域维度设置安全访问控制策略，允许或拒绝特定国家或者地区的对象访问内部网络，保障业务重大时期安全可靠性。</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11.产品支持DNS透明代理功能，避免单运营商DNS解析出现单一链路流量过载，平衡多条运营商线路的带宽利用率。</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12.支持管理员双因素认证，包含用户名/密码和Key等不同方式。</w:t>
            </w:r>
          </w:p>
        </w:tc>
        <w:tc>
          <w:tcPr>
            <w:tcW w:w="588"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633"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0" w:type="auto"/>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w:t>
            </w:r>
          </w:p>
        </w:tc>
        <w:tc>
          <w:tcPr>
            <w:tcW w:w="0" w:type="auto"/>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网络及安全设备</w:t>
            </w:r>
          </w:p>
        </w:tc>
        <w:tc>
          <w:tcPr>
            <w:tcW w:w="0" w:type="auto"/>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上网行为管理</w:t>
            </w:r>
          </w:p>
        </w:tc>
        <w:tc>
          <w:tcPr>
            <w:tcW w:w="612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1.性能参数：网络层吞吐量（大包）≥8G，应用层吞吐量≥1.1Gb，支持用户数≥5000，每秒新建连接数≥60000，最大并发连接数≥4000000。硬件参数：规格：1U，内存大小≥8G，硬盘容量≥64G SSD+960G SSD，电源：单电源，接口：不低于14千兆电口+8千兆光口+2万兆光口SFP+。</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2.支持PPS异常、丢包异常、ARP异常、内网DOS攻击等异常情况实时监测，显示每日异常事件个数及情况；</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3.支持网页内容审计后的网页快照功能；</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4.支持为用户添加自定义属性（职位、临时项目组、邮件组等），能够根据用户属性自动归类并可以针对用户属性配置上网权限策略、流控策略，审计策略等;</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5.支持针对内网用户的web访问质量进行检测，支持对单用户进行定向web访问质量检测</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6.支持IP管理功能，管理员可以查看每个IP的详细使用情况，帮助管理员减少人工维护IP表的工作量</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 xml:space="preserve">7.支持HTTP上传/FTP/邮件附件等形式的外发文件行为，支持基于扩展名识别并拦截外发文件； </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8.支持针对上网权限策略进行检测分析，查看各个应用是否匹配相关策略；</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9.支持通过抑制P2P的上行流量，来减缓P2P的下行流量，从而解决网络出口在做流控后仍然压力较大的问题；</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10.支持http业务系统审计；支持请求头，请求内容审计；支持返回头，返回内容审计；支持上传和下载的文件审计</w:t>
            </w:r>
          </w:p>
        </w:tc>
        <w:tc>
          <w:tcPr>
            <w:tcW w:w="588"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633"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0" w:type="auto"/>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11</w:t>
            </w:r>
          </w:p>
        </w:tc>
        <w:tc>
          <w:tcPr>
            <w:tcW w:w="0" w:type="auto"/>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网络及安全设备</w:t>
            </w:r>
          </w:p>
        </w:tc>
        <w:tc>
          <w:tcPr>
            <w:tcW w:w="0" w:type="auto"/>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无线控制器</w:t>
            </w:r>
          </w:p>
        </w:tc>
        <w:tc>
          <w:tcPr>
            <w:tcW w:w="612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最大管理AP数量≥128，实配128个授权</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sz w:val="24"/>
                <w:szCs w:val="24"/>
                <w:highlight w:val="none"/>
              </w:rPr>
              <w:t>★</w:t>
            </w:r>
            <w:r>
              <w:rPr>
                <w:rFonts w:hint="eastAsia" w:ascii="宋体" w:hAnsi="宋体" w:eastAsia="宋体" w:cs="宋体"/>
                <w:color w:val="auto"/>
                <w:kern w:val="0"/>
                <w:sz w:val="24"/>
                <w:szCs w:val="24"/>
                <w:highlight w:val="none"/>
              </w:rPr>
              <w:t>最大接入用户数量≥2K，（提供功能截图）</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转发性能：转发能力≥4 Gbps</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端口要求：≥8个千兆GE端口，≥2个万兆SFP+端口，≥2个2.5GE端口</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路由特性：支持静态路由，RIP-1/RIP-2，OSPF，BGP，IS-IS，路由策略、策略路由</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认证加密：支持MAC 地址认证、802.1x认证（EAP-PAP、EAP-MD5、EAP-PEAP、EAP-TLS、EAP-TTLS）、Portal认证、MAC+Portal混合认证、WAPI认证；</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支持WPA标准、WEP(WEP64/WEP128)、TKIP、CCMP；</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支持PPSK，可为同一个SSID下的不同终端分配不同的PSK密钥；</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内置Portal/AAA服务器，可为用户提供Portal认证/802.1X服务；</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功能特性：支持基于802.11k 和 802.11v协议的智能漫游支持设备冗余备份功能，可支持1+1或N+1备份，并支持主备AC间配置同步</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支持广域认证逃生，在CAPWAP链路故障后，MAC 或者 802.1x 认证逃生到本地认证；</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管理特性：支持CLI、SNMP V1/V2/V3，支持WEB管理、SSH管理</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提供整体无线网络性能监控，支持对AC/AP/射频/终端的性能监控</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支持可视化故障诊断，对用户、AP、AC的故障呈现故障根因和处理建议提供三年质保</w:t>
            </w:r>
          </w:p>
        </w:tc>
        <w:tc>
          <w:tcPr>
            <w:tcW w:w="588"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633"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0" w:type="auto"/>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12</w:t>
            </w:r>
          </w:p>
        </w:tc>
        <w:tc>
          <w:tcPr>
            <w:tcW w:w="0" w:type="auto"/>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网络及安全设备</w:t>
            </w:r>
          </w:p>
        </w:tc>
        <w:tc>
          <w:tcPr>
            <w:tcW w:w="0" w:type="auto"/>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外网接入交换机A</w:t>
            </w:r>
          </w:p>
        </w:tc>
        <w:tc>
          <w:tcPr>
            <w:tcW w:w="612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交换容量≥400Gbps</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包转发率≥87Mpps</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48个千兆电口，4个千兆SFP</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 xml:space="preserve">支持RIP、RIPng、OSPF、OSPFv3路由协议 </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支持DHCP Snooping、DHCPv6 Snooping功能</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支持 ERPS 以太环保护协议（G.8032）</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支持纵向虚拟化，作为纵向子节点零配置即插即用</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QOS:支持对端口接收报文速率和发送报文速率进行限制</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管理维护:支持SNMP v1/v2/v3、Telnet、RMON</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支持通过命令行、Web、中文图形化配置软件等方式进行配置和管理</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支持Telemetry技术，配合网络分析组件通过智能故障识别算法对网络数据进行分析，精准展现网络实时状态，并能及时有效地定界故障以及定位故障发生原因，发现影响用户体验的网络问题，精准保障用户体验</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支持 802.3az 能效以太网 EEE，节能环保</w:t>
            </w:r>
          </w:p>
        </w:tc>
        <w:tc>
          <w:tcPr>
            <w:tcW w:w="588"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w:t>
            </w:r>
          </w:p>
        </w:tc>
        <w:tc>
          <w:tcPr>
            <w:tcW w:w="633"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0" w:type="auto"/>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13</w:t>
            </w:r>
          </w:p>
        </w:tc>
        <w:tc>
          <w:tcPr>
            <w:tcW w:w="0" w:type="auto"/>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网络及安全设备</w:t>
            </w:r>
          </w:p>
        </w:tc>
        <w:tc>
          <w:tcPr>
            <w:tcW w:w="0" w:type="auto"/>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外网接入交换机B</w:t>
            </w:r>
          </w:p>
        </w:tc>
        <w:tc>
          <w:tcPr>
            <w:tcW w:w="612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交换容量：交换容量≥336Gbps</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包转发率：包转发率≥50Mpps</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端口类型：24个千兆电口，4个千兆SFP</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支持 ERPS 以太环保护协议（G.8032）</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支持纵向虚拟化，作为纵向子节点零配置即插即用</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QOS：支持对端口接收报文速率和发送报文速率进行限制</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支持 802.3az 能效以太网 EEE，节能环保</w:t>
            </w:r>
          </w:p>
        </w:tc>
        <w:tc>
          <w:tcPr>
            <w:tcW w:w="588"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w:t>
            </w:r>
          </w:p>
        </w:tc>
        <w:tc>
          <w:tcPr>
            <w:tcW w:w="633"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0" w:type="auto"/>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14</w:t>
            </w:r>
          </w:p>
        </w:tc>
        <w:tc>
          <w:tcPr>
            <w:tcW w:w="0" w:type="auto"/>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网络及安全设备</w:t>
            </w:r>
          </w:p>
        </w:tc>
        <w:tc>
          <w:tcPr>
            <w:tcW w:w="0" w:type="auto"/>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24口POE接入交换机</w:t>
            </w:r>
          </w:p>
        </w:tc>
        <w:tc>
          <w:tcPr>
            <w:tcW w:w="612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交换容量≥336Gbps</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包转发率≥50Mpps</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24个千兆电口，4个千兆SFP</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支持802.3at POE+功能</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 xml:space="preserve">支持RIP、RIPng、OSPF、OSPFv3路由协议 </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支持 ERPS 以太环保护协议（G.8032）</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虚拟化：支持纵向虚拟化，作为纵向子节点零配置即插即用</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QOS：支持对端口接收报文速率和发送报文速率进行限制</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管理维护：支持SNMP v1/v2/v3、Telnet、RMON</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支持通过命令行、Web、中文图形化配置软件等方式进行配置和管理</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支持Telemetry技术，配合网络分析组件通过智能故障识别算法对网络数据进行分析，精准展现网络实时状态，并能及时有效地定界故障以及定位故障发生原因，发现影响用户体验的网络问题，精准保障用户体验</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支持 802.3az 能效以太网 EEE，节能环保</w:t>
            </w:r>
          </w:p>
        </w:tc>
        <w:tc>
          <w:tcPr>
            <w:tcW w:w="588"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w:t>
            </w:r>
          </w:p>
        </w:tc>
        <w:tc>
          <w:tcPr>
            <w:tcW w:w="633"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0" w:type="auto"/>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15</w:t>
            </w:r>
          </w:p>
        </w:tc>
        <w:tc>
          <w:tcPr>
            <w:tcW w:w="0" w:type="auto"/>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网络及安全设备</w:t>
            </w:r>
          </w:p>
        </w:tc>
        <w:tc>
          <w:tcPr>
            <w:tcW w:w="0" w:type="auto"/>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48口POE接入交换机</w:t>
            </w:r>
          </w:p>
        </w:tc>
        <w:tc>
          <w:tcPr>
            <w:tcW w:w="612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交换容量：交换容量≥400Gbps</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包转发率：包转发率≥87Mpps</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端口类型：48个千兆电口，4个千兆SFP</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POE：支持802.3at POE+功能</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二层功能：支持MAC地址≥16K</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支持ARP表项≥4K</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支持4K个VLAN，支持Voice VLAN，基于端口的VLAN，基于MAC的VLAN，基于协议的VLAN</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支持Smart link</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支持 1:1 和 N:1 VLAN Mapping 功能</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 xml:space="preserve">三层功能：支持RIP、RIPng、OSPF、OSPFv3路由协议 </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 xml:space="preserve">支持IPv4 FIB表项≥4K </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组播：支持IGMP v1/v2/v3 Snooping</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支持VLAN内组播转发和组播多VLAN复制</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支持捆绑端口的组播负载分担</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支持可控组播</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基于端口的组播流量统计</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安全：支持防止DOS、ARP攻击功能、ICMP防攻击</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支持端口隔离、端口安全、Sticky MAC</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支持 IP、MAC、端口、VLAN的组合绑定</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支持CPU保护功能</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支持DHCP Snooping、DHCPv6 Snooping功能</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可靠性：支持 ERPS 以太环保护协议（G.8032）</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虚拟化：支持纵向虚拟化，作为纵向子节点零配置即插即用</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QOS：支持对端口接收报文速率和发送报文速率进行限制</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支持SP、WRR、SP+WRR等队列调度算法</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支持报文的802.1p和DSCP优先级重新标记</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管理维护：支持SNMP v1/v2/v3、Telnet、RMON</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支持通过命令行、Web、中文图形化配置软件等方式进行配置和管理</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支持Telemetry技术，配合网络分析组件通过智能故障识别算法对网络数据进行分析，精准展现网络实时状态，并能及时有效地定界故障以及定位故障发生原因，发现影响用户体验的网络问题，精准保障用户体验</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节能：支持 802.3az 能效以太网 EEE，节能环保</w:t>
            </w:r>
          </w:p>
        </w:tc>
        <w:tc>
          <w:tcPr>
            <w:tcW w:w="588"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w:t>
            </w:r>
          </w:p>
        </w:tc>
        <w:tc>
          <w:tcPr>
            <w:tcW w:w="633"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0" w:type="auto"/>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16</w:t>
            </w:r>
          </w:p>
        </w:tc>
        <w:tc>
          <w:tcPr>
            <w:tcW w:w="0" w:type="auto"/>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网络及安全设备</w:t>
            </w:r>
          </w:p>
        </w:tc>
        <w:tc>
          <w:tcPr>
            <w:tcW w:w="0" w:type="auto"/>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放装AP</w:t>
            </w:r>
          </w:p>
        </w:tc>
        <w:tc>
          <w:tcPr>
            <w:tcW w:w="612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支持802.11ax标准，支持2.4GHz/5GHz双频段同时工作</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总空间流数≥4；整机速率≥2.9Gbps</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≥1个10/100/1000Mbps自适应以太口</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内置智能天线</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内置蓝牙5.0，可用于蓝牙定位</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支持蓝牙串口远距无线运维</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提供三年质保</w:t>
            </w:r>
          </w:p>
        </w:tc>
        <w:tc>
          <w:tcPr>
            <w:tcW w:w="588"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113</w:t>
            </w:r>
          </w:p>
        </w:tc>
        <w:tc>
          <w:tcPr>
            <w:tcW w:w="633"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0" w:type="auto"/>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17</w:t>
            </w:r>
          </w:p>
        </w:tc>
        <w:tc>
          <w:tcPr>
            <w:tcW w:w="0" w:type="auto"/>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网络及安全设备</w:t>
            </w:r>
          </w:p>
        </w:tc>
        <w:tc>
          <w:tcPr>
            <w:tcW w:w="0" w:type="auto"/>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千兆光模块</w:t>
            </w:r>
          </w:p>
        </w:tc>
        <w:tc>
          <w:tcPr>
            <w:tcW w:w="612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光模块-SFP-GE-单模模块-(1310nm,10km,LC)</w:t>
            </w:r>
          </w:p>
        </w:tc>
        <w:tc>
          <w:tcPr>
            <w:tcW w:w="588"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100</w:t>
            </w:r>
          </w:p>
        </w:tc>
        <w:tc>
          <w:tcPr>
            <w:tcW w:w="633"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0" w:type="auto"/>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18</w:t>
            </w:r>
          </w:p>
        </w:tc>
        <w:tc>
          <w:tcPr>
            <w:tcW w:w="0" w:type="auto"/>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网络及安全设备</w:t>
            </w:r>
          </w:p>
        </w:tc>
        <w:tc>
          <w:tcPr>
            <w:tcW w:w="0" w:type="auto"/>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万兆光模块</w:t>
            </w:r>
          </w:p>
        </w:tc>
        <w:tc>
          <w:tcPr>
            <w:tcW w:w="612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SFP+万兆模块（1310nm，10km，LC）</w:t>
            </w:r>
          </w:p>
        </w:tc>
        <w:tc>
          <w:tcPr>
            <w:tcW w:w="588"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30</w:t>
            </w:r>
          </w:p>
        </w:tc>
        <w:tc>
          <w:tcPr>
            <w:tcW w:w="633"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0" w:type="auto"/>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19</w:t>
            </w:r>
          </w:p>
        </w:tc>
        <w:tc>
          <w:tcPr>
            <w:tcW w:w="0" w:type="auto"/>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**保障智能服务</w:t>
            </w:r>
          </w:p>
        </w:tc>
        <w:tc>
          <w:tcPr>
            <w:tcW w:w="0" w:type="auto"/>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48口POE接入交换机</w:t>
            </w:r>
          </w:p>
        </w:tc>
        <w:tc>
          <w:tcPr>
            <w:tcW w:w="6120"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交换容量：交换容量≥400Gbps</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包转发率：包转发率≥87Mpps</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端口类型：48个千兆电口，4个千兆SFP</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POE：支持802.3at POE+功能</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二层功能：支持MAC地址≥16K</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支持4K个VLAN，支持Voice VLAN，基于端口的VLAN，基于MAC的VLAN，基于协议的VLAN</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支持Smart link</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支持 1:1 和 N:1 VLAN Mapping 功能</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 xml:space="preserve">三层功能：支持RIP、RIPng、OSPF、OSPFv3路由协议 </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 xml:space="preserve">支持IPv4 FIB表项≥4K </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组播：支持IGMP v1/v2/v3 Snooping</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支持VLAN内组播转发和组播多VLAN复制</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支持捆绑端口的组播负载分担</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支持可控组播</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基于端口的组播流量统计</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安全：支持防止DOS、ARP攻击功能、ICMP防攻击</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支持端口隔离、端口安全、Sticky MAC</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支持 IP、MAC、端口、VLAN的组合绑定</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支持CPU保护功能</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支持DHCP Snooping、DHCPv6 Snooping功能</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可靠性：支持 ERPS 以太环保护协议（G.8032）</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虚拟化：支持纵向虚拟化，作为纵向子节点零配置即插即用</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QOS：支持对端口接收报文速率和发送报文速率进行限制</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支持SP、WRR、SP+WRR等队列调度算法</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支持报文的802.1p和DSCP优先级重新标记</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管理维护：支持SNMP v1/v2/v3、Telnet、RMON</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支持通过命令行、Web、中文图形化配置软件等方式进行配置和管理</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支持Telemetry技术，配合网络分析组件通过智能故障识别算法对网络数据进行分析，精准展现网络实时状态，并能及时有效地定界故障以及定位故障发生原因，发现影响用户体验的网络问题，精准保障用户体验</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节能：支持 802.3az 能效以太网 EEE，节能环保</w:t>
            </w:r>
          </w:p>
        </w:tc>
        <w:tc>
          <w:tcPr>
            <w:tcW w:w="588" w:type="dxa"/>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w:t>
            </w:r>
          </w:p>
        </w:tc>
        <w:tc>
          <w:tcPr>
            <w:tcW w:w="633"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0" w:type="auto"/>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20</w:t>
            </w:r>
          </w:p>
        </w:tc>
        <w:tc>
          <w:tcPr>
            <w:tcW w:w="0" w:type="auto"/>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**保障智能服务</w:t>
            </w:r>
          </w:p>
        </w:tc>
        <w:tc>
          <w:tcPr>
            <w:tcW w:w="0" w:type="auto"/>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24口POE交换机</w:t>
            </w:r>
          </w:p>
        </w:tc>
        <w:tc>
          <w:tcPr>
            <w:tcW w:w="612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交换容量≥336Gbps</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包转发率≥50Mpps</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24个千兆电口，4个千兆SFP</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支持802.3at POE+功能</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 xml:space="preserve">支持RIP、RIPng、OSPF、OSPFv3路由协议 </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支持 ERPS 以太环保护协议（G.8032）</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虚拟化：支持纵向虚拟化，作为纵向子节点零配置即插即用</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QOS：支持对端口接收报文速率和发送报文速率进行限制</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管理维护：支持SNMP v1/v2/v3、Telnet、RMON</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支持通过命令行、Web、中文图形化配置软件等方式进行配置和管理</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支持Telemetry技术，配合网络分析组件通过智能故障识别算法对网络数据进行分析，精准展现网络实时状态，并能及时有效地定界故障以及定位故障发生原因，发现影响用户体验的网络问题，精准保障用户体验</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支持 802.3az 能效以太网 EEE，节能环保</w:t>
            </w:r>
          </w:p>
        </w:tc>
        <w:tc>
          <w:tcPr>
            <w:tcW w:w="588"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633"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0" w:type="auto"/>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21</w:t>
            </w:r>
          </w:p>
        </w:tc>
        <w:tc>
          <w:tcPr>
            <w:tcW w:w="0" w:type="auto"/>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**保障智能服务</w:t>
            </w:r>
          </w:p>
        </w:tc>
        <w:tc>
          <w:tcPr>
            <w:tcW w:w="0" w:type="auto"/>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8口POE交换机</w:t>
            </w:r>
          </w:p>
        </w:tc>
        <w:tc>
          <w:tcPr>
            <w:tcW w:w="612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交换容量≥336Gbps</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包转发率≥27Mpps</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8个千兆电口，4个千兆SFP</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支持802.3at POE+功能</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 xml:space="preserve">支持RIP、RIPng、OSPF、OSPFv3路由协议 </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支持 ERPS 以太环保护协议（G.8032）</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支持纵向虚拟化，作为纵向子节点零配置即插即用</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支持SNMP v1/v2/v3、Telnet、RMON</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支持通过命令行、Web、中文图形化配置软件等方式进行配置和管理</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支持Telemetry技术，配合网络分析组件通过智能故障识别算法对网络数据进行分析，精准展现网络实时状态，并能及时有效地定界故障以及定位故障发生原因，发现影响用户体验的网络问题，精准保障用户体验</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支持 802.3az 能效以太网 EEE，节能环保</w:t>
            </w:r>
          </w:p>
        </w:tc>
        <w:tc>
          <w:tcPr>
            <w:tcW w:w="588"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w:t>
            </w:r>
          </w:p>
        </w:tc>
        <w:tc>
          <w:tcPr>
            <w:tcW w:w="633"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0" w:type="auto"/>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22</w:t>
            </w:r>
          </w:p>
        </w:tc>
        <w:tc>
          <w:tcPr>
            <w:tcW w:w="0" w:type="auto"/>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**保障智能服务</w:t>
            </w:r>
          </w:p>
        </w:tc>
        <w:tc>
          <w:tcPr>
            <w:tcW w:w="0" w:type="auto"/>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接入交换机</w:t>
            </w:r>
          </w:p>
        </w:tc>
        <w:tc>
          <w:tcPr>
            <w:tcW w:w="612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交换容量≥336Gbps</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包转发率≥50Mpps</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24个千兆电口，4个千兆SFP</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 xml:space="preserve">支持RIP、RIPng、OSPF、OSPFv3路由协议 </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支持DHCP Snooping、DHCPv6 Snooping功能</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支持 ERPS 以太环保护协议（G.8032）</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支持纵向虚拟化，作为纵向子节点零配置即插即用</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QOS:支持对端口接收报文速率和发送报文速率进行限制</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管理维护:支持SNMP v1/v2/v3、Telnet、RMON</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支持通过命令行、Web、中文图形化配置软件等方式进行配置和管理</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支持Telemetry技术，配合网络分析组件通过智能故障识别算法对网络数据进行分析，精准展现网络实时状态，并能及时有效地定界故障以及定位故障发生原因，发现影响用户体验的网络问题，精准保障用户体验</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支持 802.3az 能效以太网 EEE，节能环保</w:t>
            </w:r>
          </w:p>
        </w:tc>
        <w:tc>
          <w:tcPr>
            <w:tcW w:w="588"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633"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0" w:type="auto"/>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23</w:t>
            </w:r>
          </w:p>
        </w:tc>
        <w:tc>
          <w:tcPr>
            <w:tcW w:w="0" w:type="auto"/>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**保障智能服务</w:t>
            </w:r>
          </w:p>
        </w:tc>
        <w:tc>
          <w:tcPr>
            <w:tcW w:w="0" w:type="auto"/>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设备网汇聚交换机</w:t>
            </w:r>
          </w:p>
        </w:tc>
        <w:tc>
          <w:tcPr>
            <w:tcW w:w="612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交换容量≥2Tbps；包转发率：包转发率≥400Mpps；端口：支持20个千兆SFP，4个万兆SFP+，6个40GE QSFP+；硬件：为了提高设备可靠性，支持可插拔的双电源；用户管理：支持统一用户管理功能，屏蔽接入侧差异，支持802.1X/MAC/Portal等多种认证方式，支持对用户进行分组/分域/分时的管理，用户、业务可视可控；VxLAN：支持VxLAN功能，支持BGP EVPN，支持VxLAN的自动化部署；虚拟化：支持横向堆叠，主机堆叠数不小于9台；安全：支持DHCPv6 Snooping，IP Source Guard，SAVI等安全特性，支持防ARP攻击、DOS攻击、ICMP防攻击、CPU防攻击，实配三年维保；支持 802.3az 能效以太网 EEE，节能环保</w:t>
            </w:r>
          </w:p>
        </w:tc>
        <w:tc>
          <w:tcPr>
            <w:tcW w:w="588"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633"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0" w:type="auto"/>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24</w:t>
            </w:r>
          </w:p>
        </w:tc>
        <w:tc>
          <w:tcPr>
            <w:tcW w:w="0" w:type="auto"/>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**保障智能服务</w:t>
            </w:r>
          </w:p>
        </w:tc>
        <w:tc>
          <w:tcPr>
            <w:tcW w:w="0" w:type="auto"/>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8口千兆交换机</w:t>
            </w:r>
          </w:p>
        </w:tc>
        <w:tc>
          <w:tcPr>
            <w:tcW w:w="612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8口千兆交换机</w:t>
            </w:r>
          </w:p>
        </w:tc>
        <w:tc>
          <w:tcPr>
            <w:tcW w:w="588"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633"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0" w:type="auto"/>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25</w:t>
            </w:r>
          </w:p>
        </w:tc>
        <w:tc>
          <w:tcPr>
            <w:tcW w:w="0" w:type="auto"/>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**保障智能服务</w:t>
            </w:r>
          </w:p>
        </w:tc>
        <w:tc>
          <w:tcPr>
            <w:tcW w:w="0" w:type="auto"/>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服务器</w:t>
            </w:r>
          </w:p>
        </w:tc>
        <w:tc>
          <w:tcPr>
            <w:tcW w:w="612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1.2U双路标准机架式服务器</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2.CPU配置不低于：intel至强系列10核处理器，主频≥2.2GHz</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3.内存：≥64G DDR4，16根内存插槽，最大支持扩展至2TB内存</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4.硬盘：≥2块1.2T 10K 2.5寸 SAS硬盘</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5.阵列卡：raid卡, 支持RAID 0/1/5/10</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6.PCIE扩展：最大可支持6个PCIE扩展插槽</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7.网口：2个千兆电口</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8.其他接口：1个RJ45管理接口，后置2个USB 3.0接口，前置2个USB2.0接口，1个VGA接口</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9.电源：标配550W（1+1）高效铂金CRPS冗余电源</w:t>
            </w:r>
          </w:p>
        </w:tc>
        <w:tc>
          <w:tcPr>
            <w:tcW w:w="588"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633"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0" w:type="auto"/>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26</w:t>
            </w:r>
          </w:p>
        </w:tc>
        <w:tc>
          <w:tcPr>
            <w:tcW w:w="0" w:type="auto"/>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执法办案区</w:t>
            </w:r>
          </w:p>
        </w:tc>
        <w:tc>
          <w:tcPr>
            <w:tcW w:w="0" w:type="auto"/>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48口交换机</w:t>
            </w:r>
          </w:p>
        </w:tc>
        <w:tc>
          <w:tcPr>
            <w:tcW w:w="612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交换容量：交换容量≥400Gbps</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包转发率：包转发率≥87Mpps</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端口类型：48个千兆电口，4个千兆SFP</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支持 ERPS 以太环保护协议（G.8032）</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支持纵向虚拟化，作为纵向子节点零配置即插即用</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QOS：支持对端口接收报文速率和发送报文速率进行限制</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支持 802.3az 能效以太网 EEE，节能环保</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提供三年质保</w:t>
            </w:r>
          </w:p>
        </w:tc>
        <w:tc>
          <w:tcPr>
            <w:tcW w:w="588"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w:t>
            </w:r>
          </w:p>
        </w:tc>
        <w:tc>
          <w:tcPr>
            <w:tcW w:w="633"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0" w:type="auto"/>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27</w:t>
            </w:r>
          </w:p>
        </w:tc>
        <w:tc>
          <w:tcPr>
            <w:tcW w:w="0" w:type="auto"/>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执法办案区</w:t>
            </w:r>
          </w:p>
        </w:tc>
        <w:tc>
          <w:tcPr>
            <w:tcW w:w="0" w:type="auto"/>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24口交换机</w:t>
            </w:r>
          </w:p>
        </w:tc>
        <w:tc>
          <w:tcPr>
            <w:tcW w:w="612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交换容量：交换容量≥336Gbps</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包转发率：包转发率≥50Mpps</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端口类型：24个千兆电口，4个千兆SFP</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支持 ERPS 以太环保护协议（G.8032）</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支持纵向虚拟化，作为纵向子节点零配置即插即用</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QOS：支持对端口接收报文速率和发送报文速率进行限制</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支持 802.3az 能效以太网 EEE，节能环保</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提供三年质保</w:t>
            </w:r>
          </w:p>
        </w:tc>
        <w:tc>
          <w:tcPr>
            <w:tcW w:w="588"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w:t>
            </w:r>
          </w:p>
        </w:tc>
        <w:tc>
          <w:tcPr>
            <w:tcW w:w="633"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0" w:type="auto"/>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28</w:t>
            </w:r>
          </w:p>
        </w:tc>
        <w:tc>
          <w:tcPr>
            <w:tcW w:w="0" w:type="auto"/>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执法办案区</w:t>
            </w:r>
          </w:p>
        </w:tc>
        <w:tc>
          <w:tcPr>
            <w:tcW w:w="0" w:type="auto"/>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服务器</w:t>
            </w:r>
          </w:p>
        </w:tc>
        <w:tc>
          <w:tcPr>
            <w:tcW w:w="612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 X Silver 4208 Processor/2.10 GHz/11 MB/8C/16T/85 W</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2 X 16GB/DDR4/2400或2666MHz或2933MHz/ECC/REG</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2 X 900G/10000RPM/2.5寸/企业级</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1 X LS382E/SAS 12Gb/半高/PCIe 3.0 x8/3008IT/SFF8643</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1 X 上架导轨套件</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1 X 2U 550W 1+1 冗余电源</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产品配件：显示器、鼠键套</w:t>
            </w:r>
          </w:p>
        </w:tc>
        <w:tc>
          <w:tcPr>
            <w:tcW w:w="588"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633"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0" w:type="auto"/>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29</w:t>
            </w:r>
          </w:p>
        </w:tc>
        <w:tc>
          <w:tcPr>
            <w:tcW w:w="0" w:type="auto"/>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**保障智能服务</w:t>
            </w:r>
          </w:p>
        </w:tc>
        <w:tc>
          <w:tcPr>
            <w:tcW w:w="0" w:type="auto"/>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授权及配件</w:t>
            </w:r>
          </w:p>
        </w:tc>
        <w:tc>
          <w:tcPr>
            <w:tcW w:w="612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1.要求配备软件控制平台，且与桌面云终端、桌面云超融合平台、服务器同一品牌。要求提供发布专有桌面、还原桌面、池化桌面、共享桌面、远程应用至少5种桌面资源的授权，满足不同场景的应用需求。</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2.为了简化部署，本项目要求桌面云控制平台所有组件完全集成化，不需要过多的安装调试步骤，后台导入一个镜像就可以完成部署，提升上线效率。</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3.桌面云控制平台自带高可用性技术方案，在不增加第三方负载均衡工具的情况下，支持集群（主主）模式，支持桌面云控制平台宕机切换会话不中断。</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4.支持将桌面云控制平台直接映射到互联网，要求自带SSL VPN功能，不要借助第三方设备，并且能够用于固定IP线路和动态IP线路2种方式，其中动态IP不依赖第三方插件，降低部署复杂度。</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5.支持PC、笔记本（含Windows操作系统和MAC笔记本）、云终端（含ARM和X86）、iPad、iPhone、Android移动终端等设备接入访问虚拟桌面。</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6.在多应用办公场景下，可针对当下使用频率较高的软件做进程加速，管理员也可自定义需做进程加速应用，以保障应用使用体验。</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7.为了提高桌面使用稳定性，所投产品客户端连接虚拟桌面无需依赖虚拟机IP，具体表现为禁用虚机网卡或者随意更改IP，桌面会话不会中断，用户可以正常办公和播放视频，避免因误操作而导致业务中断。</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8.支持设置终端流量，支持设置USB设备、磁盘映射和剪切板的上下行带宽，以避免带宽被抢占。</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9.支持自助快照恢复，当用户自己误操作导致云桌面卡慢、蓝屏、死机或者中病毒的时候，用户通过导航条按钮，可以自助进行系统盘快照还原操作，支持安卓瘦终端、PC客户端。</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10.支持在管理组件中内置应用管控技术，实现全方位云桌面管控，在禁止名单中可以通过配置规则禁止指定应用或进程在云桌面中运行；在允许名单中通过配置规则只允许规则中的应用或进程在云桌面中运行。</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11.支持个人盘加密技术，对云桌面个人数据进行加密保存，保障个人隐私安全。</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12.支持虚拟机快照技术，当数据误删或系统故障时可实现回滚，快照只保存增量数据，节省存储空间。</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13.支持文件导出内容审计，开启文件安全导出后，虚拟机通过剪切板、PC设备和USB设备外发文件的操作将被禁止，用户可以使用虚拟机内部的文件导出工具实现文件外发，所有外发的文件内容都可以加密备份到数据中心，以备后续审计使用，可疑的导出行为会产生告警。</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14.支持软件分发，通过创建软件库并关联给虚拟机，实现应用软件、驱动程序的增量式更新，不需要在每个虚拟机执行安装过程，整个分发过程秒级完成，且分发后不会覆盖原虚拟机的个性化配置和自主安装的软件，本项目要求支持应用软件、办公文件的分发。</w:t>
            </w:r>
          </w:p>
        </w:tc>
        <w:tc>
          <w:tcPr>
            <w:tcW w:w="588"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60</w:t>
            </w:r>
          </w:p>
        </w:tc>
        <w:tc>
          <w:tcPr>
            <w:tcW w:w="633"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0" w:type="auto"/>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30</w:t>
            </w:r>
          </w:p>
        </w:tc>
        <w:tc>
          <w:tcPr>
            <w:tcW w:w="0" w:type="auto"/>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**保障智能服务</w:t>
            </w:r>
          </w:p>
        </w:tc>
        <w:tc>
          <w:tcPr>
            <w:tcW w:w="0" w:type="auto"/>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21.5英寸显示器</w:t>
            </w:r>
          </w:p>
        </w:tc>
        <w:tc>
          <w:tcPr>
            <w:tcW w:w="612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21.5英寸，分辨率：1920*1080dpi</w:t>
            </w:r>
          </w:p>
        </w:tc>
        <w:tc>
          <w:tcPr>
            <w:tcW w:w="588"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125</w:t>
            </w:r>
          </w:p>
        </w:tc>
        <w:tc>
          <w:tcPr>
            <w:tcW w:w="633"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0" w:type="auto"/>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31</w:t>
            </w:r>
          </w:p>
        </w:tc>
        <w:tc>
          <w:tcPr>
            <w:tcW w:w="0" w:type="auto"/>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**保障智能服务</w:t>
            </w:r>
          </w:p>
        </w:tc>
        <w:tc>
          <w:tcPr>
            <w:tcW w:w="0" w:type="auto"/>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云桌面终端</w:t>
            </w:r>
          </w:p>
        </w:tc>
        <w:tc>
          <w:tcPr>
            <w:tcW w:w="612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1.ARM架构，CPU≥1.6Ghz、内存≥1G、存储≥4G、USB≥6个、1个HDMI。与桌面云超融合平台、桌面云管理平台、服务器同一品牌。</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2.采用嵌入式操作系统。</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3.云终端易用性管理：支持配置自定义开机画面、支持云终端分组管理、支持配置云终端定时开关机计划、支持开启“云终端加电自启”功能、支持配置是否自动下载并安装更新、支持批量4.移动/删除/关闭云终端、支持配置是否允许自动登录和保存密码。</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5.在瘦终端的管理方面，需支持分组管理、批量移动、删除、关闭瘦终端，支持配置定时开关机计划及加电自启动功能，支持自定义开机画面、配置自动登录和保存密码；</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6.支持联动关机，用户可以跟使用PC一样，打开操作系统“开始”菜单、点击“关机”按钮，云终端和操作系统将会一体化关闭，没有多余的操作步骤。</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7.通过CCC产品质量管理认证、节能环保认证。</w:t>
            </w:r>
          </w:p>
        </w:tc>
        <w:tc>
          <w:tcPr>
            <w:tcW w:w="588"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60</w:t>
            </w:r>
          </w:p>
        </w:tc>
        <w:tc>
          <w:tcPr>
            <w:tcW w:w="633"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0" w:type="auto"/>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32</w:t>
            </w:r>
          </w:p>
        </w:tc>
        <w:tc>
          <w:tcPr>
            <w:tcW w:w="0" w:type="auto"/>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**保障智能服务</w:t>
            </w:r>
          </w:p>
        </w:tc>
        <w:tc>
          <w:tcPr>
            <w:tcW w:w="0" w:type="auto"/>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云桌面一体机</w:t>
            </w:r>
          </w:p>
        </w:tc>
        <w:tc>
          <w:tcPr>
            <w:tcW w:w="612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1.每台服务器配置2颗CPU，单颗CPU核数≥16（主频不低于2.9Ghz）、系统盘≥2*240GB SATA SSD、内存≥256G、千兆网口≥6个、万兆光口≥2个。要求至少配备2块960G SSD硬盘、和6块4T的SATA硬盘。服务器与云终端、桌面云超融合平台、桌面云控制平台同一品牌。桌面云服务器出厂时必须预装各类桌面云软件（含服务器虚拟化、存储虚拟化等），不允许提供裸机设备。要求服务器必须配备存储虚拟化软件模块，提供低成本、高可靠的存储方案。</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2.支持多台集群冗余IDC机房集中模式部署；</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3.提供服务器虚拟化和存储虚拟化授权，服务器虚拟化授权要求满足本项目性能需求，存储虚拟化授权要求无容量限制，便于后续存储扩容。</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投标时要求提供分布式存储软件著作权证书复印件。</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4.单集群管理时无需部署集中管理平台，通过Web方式接入集群主服务器，实现对服务器、虚拟机、网络、存储虚拟化等进行统一管理。</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5.支持集群冗余技术，当硬盘故障时，HA机制就会自动触发虚机迁移动作，实现毫秒级切换，对用户来讲基本是无感知的；主机或者网络故障，虚拟桌面可以快速切换到另一台服务器拉起，约3-5分钟。以保障用户稳定的使用</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6.支持服务器端口汇聚技术（管理口、业务口、存储口），将多个网络端口聚合起来，提高网络带宽和容错能力。</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7.虚拟机损坏无法启动时，支持将虚拟机磁盘挂载到新虚拟机上，用户可登录新虚拟机将磁盘内容备份出来。</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8.支持数据冗余副本技术，每份数据同时写入多台服务器，每次数据变化时自动实时同步，确保磁盘或服务器故障，数据不丢失。</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9.支持SSD缓存加速，采用SSD+HDD混合模式，SSD用于缓存热点数据，HDD用于存储个人数据，SSD缓存命中率不低于60%，确保最优用户体验。</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10.集群中各主机相互关联，一旦发现某个主机故障，HA机制就会自动触发虚机迁移动作，在另一台正常的服务器上快速拉起、确保虚拟机继续可用；</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11.支持通过Web方式接入云桌面管理系统，实现对服务器、虚拟机、网络、存储虚拟化等进行统一管理；</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12.单集群管理时无需部署集中管理平台，通过Web方式接入集群主服务器，实现对服务器、虚拟机、网络、存储虚拟化等进行统一管理；</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13.为了保证能够快速平滑扩容，本项目要求集群中服务器的添加支持热添加，在添加过程中不影响运行中的虚拟机。</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14.支持与办公云桌面集群部署，与办公云桌面资源复用，提高整体资源利用率。</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15.支持与办公云桌面分开部署，提升管理便捷性。</w:t>
            </w:r>
          </w:p>
        </w:tc>
        <w:tc>
          <w:tcPr>
            <w:tcW w:w="588"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w:t>
            </w:r>
          </w:p>
        </w:tc>
        <w:tc>
          <w:tcPr>
            <w:tcW w:w="633"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0" w:type="auto"/>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33</w:t>
            </w:r>
          </w:p>
        </w:tc>
        <w:tc>
          <w:tcPr>
            <w:tcW w:w="0" w:type="auto"/>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三层会议室、一层勤务指挥中心、合成作战指挥体系</w:t>
            </w:r>
          </w:p>
        </w:tc>
        <w:tc>
          <w:tcPr>
            <w:tcW w:w="0" w:type="auto"/>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无线路由</w:t>
            </w:r>
          </w:p>
        </w:tc>
        <w:tc>
          <w:tcPr>
            <w:tcW w:w="612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4口无线路由器，双频，最高传输速率1300Mbps</w:t>
            </w:r>
          </w:p>
        </w:tc>
        <w:tc>
          <w:tcPr>
            <w:tcW w:w="588"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w:t>
            </w:r>
          </w:p>
        </w:tc>
        <w:tc>
          <w:tcPr>
            <w:tcW w:w="633"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台</w:t>
            </w:r>
          </w:p>
        </w:tc>
      </w:tr>
    </w:tbl>
    <w:p>
      <w:pPr>
        <w:keepNext w:val="0"/>
        <w:keepLines w:val="0"/>
        <w:pageBreakBefore w:val="0"/>
        <w:numPr>
          <w:ilvl w:val="0"/>
          <w:numId w:val="0"/>
        </w:numPr>
        <w:kinsoku/>
        <w:wordWrap/>
        <w:overflowPunct/>
        <w:topLinePunct w:val="0"/>
        <w:autoSpaceDE/>
        <w:autoSpaceDN/>
        <w:bidi w:val="0"/>
        <w:adjustRightInd/>
        <w:snapToGrid/>
        <w:spacing w:line="440" w:lineRule="exact"/>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3.</w:t>
      </w:r>
      <w:r>
        <w:rPr>
          <w:rFonts w:hint="eastAsia" w:ascii="宋体" w:hAnsi="宋体" w:eastAsia="宋体" w:cs="宋体"/>
          <w:b/>
          <w:bCs/>
          <w:color w:val="auto"/>
          <w:sz w:val="24"/>
          <w:szCs w:val="24"/>
          <w:highlight w:val="none"/>
        </w:rPr>
        <w:t>执法办案管理系统</w:t>
      </w:r>
    </w:p>
    <w:p>
      <w:pPr>
        <w:keepNext w:val="0"/>
        <w:keepLines w:val="0"/>
        <w:pageBreakBefore w:val="0"/>
        <w:kinsoku/>
        <w:wordWrap/>
        <w:overflowPunct/>
        <w:topLinePunct w:val="0"/>
        <w:autoSpaceDE/>
        <w:autoSpaceDN/>
        <w:bidi w:val="0"/>
        <w:adjustRightInd/>
        <w:snapToGrid/>
        <w:spacing w:line="440" w:lineRule="exact"/>
        <w:ind w:firstLine="723" w:firstLineChars="3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1）</w:t>
      </w:r>
      <w:r>
        <w:rPr>
          <w:rFonts w:hint="eastAsia" w:ascii="宋体" w:hAnsi="宋体" w:eastAsia="宋体" w:cs="宋体"/>
          <w:b/>
          <w:bCs/>
          <w:color w:val="auto"/>
          <w:sz w:val="24"/>
          <w:szCs w:val="24"/>
          <w:highlight w:val="none"/>
        </w:rPr>
        <w:t>执法办案管理</w:t>
      </w:r>
    </w:p>
    <w:tbl>
      <w:tblPr>
        <w:tblStyle w:val="20"/>
        <w:tblW w:w="95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1"/>
        <w:gridCol w:w="1305"/>
        <w:gridCol w:w="1545"/>
        <w:gridCol w:w="4335"/>
        <w:gridCol w:w="780"/>
        <w:gridCol w:w="8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21"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序号</w:t>
            </w:r>
          </w:p>
        </w:tc>
        <w:tc>
          <w:tcPr>
            <w:tcW w:w="1305"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系统名称</w:t>
            </w:r>
          </w:p>
        </w:tc>
        <w:tc>
          <w:tcPr>
            <w:tcW w:w="1545"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产品类别</w:t>
            </w:r>
          </w:p>
        </w:tc>
        <w:tc>
          <w:tcPr>
            <w:tcW w:w="4335"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技术参数</w:t>
            </w:r>
          </w:p>
        </w:tc>
        <w:tc>
          <w:tcPr>
            <w:tcW w:w="78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数量</w:t>
            </w:r>
          </w:p>
        </w:tc>
        <w:tc>
          <w:tcPr>
            <w:tcW w:w="825"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21"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1305"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执法办案区</w:t>
            </w:r>
          </w:p>
        </w:tc>
        <w:tc>
          <w:tcPr>
            <w:tcW w:w="1545"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基础模块</w:t>
            </w:r>
          </w:p>
        </w:tc>
        <w:tc>
          <w:tcPr>
            <w:tcW w:w="4335"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1、人员信息登记：对入所人员的基本信息，入所原因等进行登记，支持读取身份证信息；</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2、人身安全检查登记：对人身安全检查情况信息进行登记；</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3、随身物品管理：对嫌疑人的随身物品进行拍照登记管理；</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4、出所管理：对嫌疑人出所进行审批管理，并对出所人员物品进行拍照。；</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5、轨迹管理：可对办案区人员活动情况进行登记管理；</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6、电子台账：系统对嫌疑人信息、安全检查情况、物品信息、活动根轨迹等数据统一生成办案区人员信息登记表。</w:t>
            </w:r>
          </w:p>
        </w:tc>
        <w:tc>
          <w:tcPr>
            <w:tcW w:w="78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825"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21"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w:t>
            </w:r>
          </w:p>
        </w:tc>
        <w:tc>
          <w:tcPr>
            <w:tcW w:w="1305"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执法办案区</w:t>
            </w:r>
          </w:p>
        </w:tc>
        <w:tc>
          <w:tcPr>
            <w:tcW w:w="1545"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人员定位模块</w:t>
            </w:r>
          </w:p>
        </w:tc>
        <w:tc>
          <w:tcPr>
            <w:tcW w:w="4335"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通过定位引擎，实现人员室内定位；实现同案混关、男女混关的预警分析、自动记录办案区人员登记表中人员的活动轨迹。</w:t>
            </w:r>
          </w:p>
        </w:tc>
        <w:tc>
          <w:tcPr>
            <w:tcW w:w="78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825"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21"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w:t>
            </w:r>
          </w:p>
        </w:tc>
        <w:tc>
          <w:tcPr>
            <w:tcW w:w="1305"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执法办案区</w:t>
            </w:r>
          </w:p>
        </w:tc>
        <w:tc>
          <w:tcPr>
            <w:tcW w:w="1545"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同步刻录</w:t>
            </w:r>
          </w:p>
        </w:tc>
        <w:tc>
          <w:tcPr>
            <w:tcW w:w="4335"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1、刻录设备集成；</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2、刻录参数设置：包括刻录文件路径设置、刻录封面字段设置、刻录封面文件位置设置、刻录时间限制、刻录光盘份数、刻录监控设备配置等；</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3、刻录封面设置：对刻录光盘封面的设置，设置封面图片、封面文字信息。</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4、刻录任务管理：查看已经刻录过的任务，包括刻录时间、刻录人、案件编号、人员编号、刻录单位、刻录状态等信息，还可以选择重新刻录。</w:t>
            </w:r>
          </w:p>
        </w:tc>
        <w:tc>
          <w:tcPr>
            <w:tcW w:w="78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825"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21"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w:t>
            </w:r>
          </w:p>
        </w:tc>
        <w:tc>
          <w:tcPr>
            <w:tcW w:w="1305"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执法办案区</w:t>
            </w:r>
          </w:p>
        </w:tc>
        <w:tc>
          <w:tcPr>
            <w:tcW w:w="1545"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智能存取管理设备（随身物品双面管理嵌入式软件）</w:t>
            </w:r>
          </w:p>
        </w:tc>
        <w:tc>
          <w:tcPr>
            <w:tcW w:w="4335"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功能：双向随身物品存取设备，通过物品智能存取管理设备，规范执法对象随身物品存取，能够实现与办案区系统无缝对接，全面实现软、硬件与人、案、物集成关联，集成电子化台账配套设备。</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主柜参数：长约900mm，宽约500mm，高约1980mm；由≥42寸红外触摸屏、≥21.5寸触摸显示屏、工控机、≥120G固态硬盘、≥4G内存、读卡器、8口交换机、喇叭、电源盒、物品柜主柜柜体、主板、电控锁微型计算机，智能导轨等集成。采取智能手环存取物，大屏幕液晶显示。内嵌≥22L的存储盒2个，双面屏幕主机,双面开启，带门控系统。</w:t>
            </w:r>
          </w:p>
          <w:p>
            <w:pPr>
              <w:pStyle w:val="19"/>
              <w:keepNext w:val="0"/>
              <w:keepLines w:val="0"/>
              <w:pageBreakBefore w:val="0"/>
              <w:kinsoku/>
              <w:wordWrap/>
              <w:overflowPunct/>
              <w:topLinePunct w:val="0"/>
              <w:autoSpaceDE/>
              <w:autoSpaceDN/>
              <w:bidi w:val="0"/>
              <w:adjustRightInd/>
              <w:snapToGrid/>
              <w:spacing w:line="440" w:lineRule="exact"/>
              <w:ind w:left="0" w:leftChars="0" w:firstLine="0" w:firstLineChars="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★设备具有密码存物和刷卡存物两种存物工作方式；（提供检测报告）</w:t>
            </w:r>
          </w:p>
          <w:p>
            <w:pPr>
              <w:pStyle w:val="19"/>
              <w:keepNext w:val="0"/>
              <w:keepLines w:val="0"/>
              <w:pageBreakBefore w:val="0"/>
              <w:kinsoku/>
              <w:wordWrap/>
              <w:overflowPunct/>
              <w:topLinePunct w:val="0"/>
              <w:autoSpaceDE/>
              <w:autoSpaceDN/>
              <w:bidi w:val="0"/>
              <w:adjustRightInd/>
              <w:snapToGrid/>
              <w:spacing w:line="440" w:lineRule="exact"/>
              <w:ind w:left="0" w:leftChars="0" w:firstLine="0" w:firstLineChars="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★设备具有双屏显示功能，双屏应布局在柜体前后两侧；设备能通过前屏实现被检查人随身物品的存取；设备能通过后屏实现被检查人离所取物及电子签名捺印等操作。（提供检测报告）</w:t>
            </w:r>
          </w:p>
          <w:p>
            <w:pPr>
              <w:pStyle w:val="19"/>
              <w:keepNext w:val="0"/>
              <w:keepLines w:val="0"/>
              <w:pageBreakBefore w:val="0"/>
              <w:kinsoku/>
              <w:wordWrap/>
              <w:overflowPunct/>
              <w:topLinePunct w:val="0"/>
              <w:autoSpaceDE/>
              <w:autoSpaceDN/>
              <w:bidi w:val="0"/>
              <w:adjustRightInd/>
              <w:snapToGrid/>
              <w:spacing w:line="440" w:lineRule="exact"/>
              <w:ind w:left="0" w:leftChars="0" w:firstLine="0" w:firstLineChars="0"/>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★设备锁控盒支持触发及拨码序列化对应柜门。（提供检测报告）</w:t>
            </w:r>
          </w:p>
        </w:tc>
        <w:tc>
          <w:tcPr>
            <w:tcW w:w="78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825"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21"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w:t>
            </w:r>
          </w:p>
        </w:tc>
        <w:tc>
          <w:tcPr>
            <w:tcW w:w="1305"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执法办案区</w:t>
            </w:r>
          </w:p>
        </w:tc>
        <w:tc>
          <w:tcPr>
            <w:tcW w:w="1545"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智能存取管理设备（随身物品双面管理嵌入式软件）</w:t>
            </w:r>
          </w:p>
        </w:tc>
        <w:tc>
          <w:tcPr>
            <w:tcW w:w="4335"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功能：双向随身物品存取设备，副柜参数：长约960mm，宽约500mm，高约1980mm；正反两面共32个柜门（每面16门)，内嵌4个≥22L存储盒，12个≥12L的存储盒。双面开启，带门控系统。</w:t>
            </w:r>
          </w:p>
        </w:tc>
        <w:tc>
          <w:tcPr>
            <w:tcW w:w="78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825"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21"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w:t>
            </w:r>
          </w:p>
        </w:tc>
        <w:tc>
          <w:tcPr>
            <w:tcW w:w="1305"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执法办案区</w:t>
            </w:r>
          </w:p>
        </w:tc>
        <w:tc>
          <w:tcPr>
            <w:tcW w:w="1545"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信息登记拼接桌</w:t>
            </w:r>
          </w:p>
        </w:tc>
        <w:tc>
          <w:tcPr>
            <w:tcW w:w="4335"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功能：信息登记拼接单位，用于放置随身物品，可读取手环信息，二代身份证信息。</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参数：尺寸：785mm*690mm*640mm，2.0冷轧钢板，钣金定制 ，集成RFID读卡器：完全支持uem4100兼容格式ID卡(64bits,Manchester编码)；产品尺寸96mm×61mm。二代证读卡器：采用USB接口，无需外接电源，可直接使用。随机阅读软件自动设置通讯口和通讯参数，自动找卡和读卡采集人员信息。</w:t>
            </w:r>
          </w:p>
        </w:tc>
        <w:tc>
          <w:tcPr>
            <w:tcW w:w="78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825"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21"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7</w:t>
            </w:r>
          </w:p>
        </w:tc>
        <w:tc>
          <w:tcPr>
            <w:tcW w:w="1305"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执法办案区</w:t>
            </w:r>
          </w:p>
        </w:tc>
        <w:tc>
          <w:tcPr>
            <w:tcW w:w="1545"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智能球型摄像机</w:t>
            </w:r>
          </w:p>
        </w:tc>
        <w:tc>
          <w:tcPr>
            <w:tcW w:w="4335"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随身物品拍照</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1/2.8" CMOS，≥300万，12mm镜头，DC12V / PoE(802.3af)，IP66，背光补偿，数字宽动态，ROI，IK10</w:t>
            </w:r>
          </w:p>
        </w:tc>
        <w:tc>
          <w:tcPr>
            <w:tcW w:w="78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w:t>
            </w:r>
          </w:p>
        </w:tc>
        <w:tc>
          <w:tcPr>
            <w:tcW w:w="825"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21"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8</w:t>
            </w:r>
          </w:p>
        </w:tc>
        <w:tc>
          <w:tcPr>
            <w:tcW w:w="1305"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执法办案区</w:t>
            </w:r>
          </w:p>
        </w:tc>
        <w:tc>
          <w:tcPr>
            <w:tcW w:w="1545"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智能电子防拆腕带</w:t>
            </w:r>
          </w:p>
        </w:tc>
        <w:tc>
          <w:tcPr>
            <w:tcW w:w="4335"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功能：通过智能防拆电子腕带，实时掌控执法对象在办案区的活动轨迹，能够实现与办案区系统无缝对接，全面实现通过驱动办案区弱电和办案软件使办案程序有序进行。          </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参数：识别距离 ： 0～ 150米；识别速度 ： ≥120公里 / 小时 ；识别能力 ： 具备≥200张/秒的防冲突性能 ；识别方式 ： 全向识别；工作频段 ： 2.4 GHz &amp;有源125KHz&amp;13.56M；通讯速率 ： 250Kb/s、1Mb/s、2Mb/s；通信机制 ： 基于时分多址和码分多址同步通信机制；</w:t>
            </w:r>
          </w:p>
        </w:tc>
        <w:tc>
          <w:tcPr>
            <w:tcW w:w="78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18</w:t>
            </w:r>
          </w:p>
        </w:tc>
        <w:tc>
          <w:tcPr>
            <w:tcW w:w="825"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21"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9</w:t>
            </w:r>
          </w:p>
        </w:tc>
        <w:tc>
          <w:tcPr>
            <w:tcW w:w="1305"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执法办案区</w:t>
            </w:r>
          </w:p>
        </w:tc>
        <w:tc>
          <w:tcPr>
            <w:tcW w:w="1545"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标准化信息采集系统</w:t>
            </w:r>
          </w:p>
        </w:tc>
        <w:tc>
          <w:tcPr>
            <w:tcW w:w="4335"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参数：含系统软件。可集成计算机、摄像头、足迹仪、指掌纹采集仪或指纹采集仪、二代身份证阅读器、条形码阅读器等；21.5＂正屏液晶显示器集成于桌面上；支持无线及有线两种方式控制摄像头升降的内嵌专用支架；含指掌纹或指纹操作；商用台式机: i5-6500 ,4G内存,1T硬盘；500万高清摄像头,通用USB2.0口；</w:t>
            </w:r>
          </w:p>
        </w:tc>
        <w:tc>
          <w:tcPr>
            <w:tcW w:w="78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825"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21"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w:t>
            </w:r>
          </w:p>
        </w:tc>
        <w:tc>
          <w:tcPr>
            <w:tcW w:w="1305"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执法办案区</w:t>
            </w:r>
          </w:p>
        </w:tc>
        <w:tc>
          <w:tcPr>
            <w:tcW w:w="1545"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安检门</w:t>
            </w:r>
          </w:p>
        </w:tc>
        <w:tc>
          <w:tcPr>
            <w:tcW w:w="4335"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测温：热成像相机测温</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热成像分辨率：160*120</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测温精度：±0.5℃</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测温范围：30-45℃</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非接触测温：可对通过安检门的人员进行脸部温度测试并进行人员准确匹配，温度精度：±0.5℃，搭配黑体精度可达 ±0.3℃</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人体温度初筛：可通过安全温度阈值设置，超过该阈值，可联动安检门本地声光报警，建立首道防线；</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门体双屏显示：前部4.3寸LCD屏、背部LED屏双屏显示，可显示通过人数、金属报警人数、实时温度等；</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金属检测：可检测到1个回形针大小的铁磁性金属，有效进行违规物品核验；</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联网功能：可实现联网互通，搭配平台进行人脸数据、客流数据、报警数据、通过人员和温度精准匹配等数据进行汇聚应用；</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多区位报警功能：人体不同位置的多个金属通过安检门时会同时报警，并可以指示多个金属的位置，最多支持12区位。</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模块化组件设计：运输、维护方便快捷。</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接口功能：1路报警输入/输出，1路音频输入/输出。</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系统参数 电源输入 220V</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功率 小于20W</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工作温度和湿度：-10℃─55℃，95%，无冷凝</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★温度异常报警功能：当检测到人员体温超过预设值时，可发出语音及提示及声光报警信息、联动抓图并将图片上传，图片包括可见光图片及热成像图片，可在图片上叠加温度信息（提供检测报告）</w:t>
            </w:r>
          </w:p>
        </w:tc>
        <w:tc>
          <w:tcPr>
            <w:tcW w:w="78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825"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21"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11</w:t>
            </w:r>
          </w:p>
        </w:tc>
        <w:tc>
          <w:tcPr>
            <w:tcW w:w="1305"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执法办案区</w:t>
            </w:r>
          </w:p>
        </w:tc>
        <w:tc>
          <w:tcPr>
            <w:tcW w:w="1545"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手持式金属探测器</w:t>
            </w:r>
          </w:p>
        </w:tc>
        <w:tc>
          <w:tcPr>
            <w:tcW w:w="4335"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功能：通过金属探测仪对执法对象进行人身安全检查，防止夹带金属物品进入执法办案功能区。                       </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参数：采用智能节能技术，可连续工作超40个小时，低电量自动告警，测距大于9CM。</w:t>
            </w:r>
          </w:p>
        </w:tc>
        <w:tc>
          <w:tcPr>
            <w:tcW w:w="78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825"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21"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12</w:t>
            </w:r>
          </w:p>
        </w:tc>
        <w:tc>
          <w:tcPr>
            <w:tcW w:w="1305"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执法办案区</w:t>
            </w:r>
          </w:p>
        </w:tc>
        <w:tc>
          <w:tcPr>
            <w:tcW w:w="1545"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额温枪</w:t>
            </w:r>
          </w:p>
        </w:tc>
        <w:tc>
          <w:tcPr>
            <w:tcW w:w="4335"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正常使用条件：环境温度：10-40℃；相对湿度≤85%；</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电源电压：DC3V；</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测量范围：体温：32-42.9℃；表面模式：0-60℃；</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功耗≤150mW；</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测量距离：3-5cm；</w:t>
            </w:r>
          </w:p>
        </w:tc>
        <w:tc>
          <w:tcPr>
            <w:tcW w:w="78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825"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21"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13</w:t>
            </w:r>
          </w:p>
        </w:tc>
        <w:tc>
          <w:tcPr>
            <w:tcW w:w="1305"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执法办案区</w:t>
            </w:r>
          </w:p>
        </w:tc>
        <w:tc>
          <w:tcPr>
            <w:tcW w:w="1545"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身高体重位标识</w:t>
            </w:r>
          </w:p>
        </w:tc>
        <w:tc>
          <w:tcPr>
            <w:tcW w:w="4335"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身高体重位标识</w:t>
            </w:r>
          </w:p>
        </w:tc>
        <w:tc>
          <w:tcPr>
            <w:tcW w:w="78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w:t>
            </w:r>
          </w:p>
        </w:tc>
        <w:tc>
          <w:tcPr>
            <w:tcW w:w="825"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21"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14</w:t>
            </w:r>
          </w:p>
        </w:tc>
        <w:tc>
          <w:tcPr>
            <w:tcW w:w="1305"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执法办案区</w:t>
            </w:r>
          </w:p>
        </w:tc>
        <w:tc>
          <w:tcPr>
            <w:tcW w:w="1545"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人身安全检查区标识</w:t>
            </w:r>
          </w:p>
        </w:tc>
        <w:tc>
          <w:tcPr>
            <w:tcW w:w="4335"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人身安全检查区标识</w:t>
            </w:r>
          </w:p>
        </w:tc>
        <w:tc>
          <w:tcPr>
            <w:tcW w:w="78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825"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21"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15</w:t>
            </w:r>
          </w:p>
        </w:tc>
        <w:tc>
          <w:tcPr>
            <w:tcW w:w="1305"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执法办案区</w:t>
            </w:r>
          </w:p>
        </w:tc>
        <w:tc>
          <w:tcPr>
            <w:tcW w:w="1545"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智能询讯问专用终端</w:t>
            </w:r>
          </w:p>
        </w:tc>
        <w:tc>
          <w:tcPr>
            <w:tcW w:w="4335"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功能：</w:t>
            </w:r>
          </w:p>
          <w:p>
            <w:pPr>
              <w:keepNext w:val="0"/>
              <w:keepLines w:val="0"/>
              <w:pageBreakBefore w:val="0"/>
              <w:widowControl/>
              <w:kinsoku/>
              <w:wordWrap/>
              <w:overflowPunct/>
              <w:topLinePunct w:val="0"/>
              <w:autoSpaceDE/>
              <w:autoSpaceDN/>
              <w:bidi w:val="0"/>
              <w:adjustRightInd/>
              <w:snapToGrid/>
              <w:spacing w:line="440" w:lineRule="exac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1.通过智能询讯问专用终端可以实现自助播报执法对象权利义务告知，集成所有案件类型电子笔录审讯提纲方便民警快速办案、与同步刻录系统无缝对接，可刻录案件审讯信息等。</w:t>
            </w:r>
          </w:p>
          <w:p>
            <w:pPr>
              <w:keepNext w:val="0"/>
              <w:keepLines w:val="0"/>
              <w:pageBreakBefore w:val="0"/>
              <w:widowControl/>
              <w:kinsoku/>
              <w:wordWrap/>
              <w:overflowPunct/>
              <w:topLinePunct w:val="0"/>
              <w:autoSpaceDE/>
              <w:autoSpaceDN/>
              <w:bidi w:val="0"/>
              <w:adjustRightInd/>
              <w:snapToGrid/>
              <w:spacing w:line="440" w:lineRule="exac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★2.终端应具有视频监控功能，支持对讯（询）问人的工作状态进行监控。（提供检测报告）</w:t>
            </w:r>
          </w:p>
          <w:p>
            <w:pPr>
              <w:keepNext w:val="0"/>
              <w:keepLines w:val="0"/>
              <w:pageBreakBefore w:val="0"/>
              <w:widowControl/>
              <w:kinsoku/>
              <w:wordWrap/>
              <w:overflowPunct/>
              <w:topLinePunct w:val="0"/>
              <w:autoSpaceDE/>
              <w:autoSpaceDN/>
              <w:bidi w:val="0"/>
              <w:adjustRightInd/>
              <w:snapToGrid/>
              <w:spacing w:line="440" w:lineRule="exac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3.终端应集成电子笔录软件，具备笔录方案模板选择等电子笔录功能。</w:t>
            </w:r>
          </w:p>
          <w:p>
            <w:pPr>
              <w:keepNext w:val="0"/>
              <w:keepLines w:val="0"/>
              <w:pageBreakBefore w:val="0"/>
              <w:widowControl/>
              <w:kinsoku/>
              <w:wordWrap/>
              <w:overflowPunct/>
              <w:topLinePunct w:val="0"/>
              <w:autoSpaceDE/>
              <w:autoSpaceDN/>
              <w:bidi w:val="0"/>
              <w:adjustRightInd/>
              <w:snapToGrid/>
              <w:spacing w:line="440" w:lineRule="exac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4.终端应具有紧急报警功能。如遇突发状况，终端应支持集成在对讲机上的报警按钮向看守主机报警，实现与看守区联动。</w:t>
            </w:r>
          </w:p>
          <w:p>
            <w:pPr>
              <w:keepNext w:val="0"/>
              <w:keepLines w:val="0"/>
              <w:pageBreakBefore w:val="0"/>
              <w:widowControl/>
              <w:kinsoku/>
              <w:wordWrap/>
              <w:overflowPunct/>
              <w:topLinePunct w:val="0"/>
              <w:autoSpaceDE/>
              <w:autoSpaceDN/>
              <w:bidi w:val="0"/>
              <w:adjustRightInd/>
              <w:snapToGrid/>
              <w:spacing w:line="440" w:lineRule="exac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主要技术参数：</w:t>
            </w:r>
          </w:p>
          <w:p>
            <w:pPr>
              <w:keepNext w:val="0"/>
              <w:keepLines w:val="0"/>
              <w:pageBreakBefore w:val="0"/>
              <w:widowControl/>
              <w:kinsoku/>
              <w:wordWrap/>
              <w:overflowPunct/>
              <w:topLinePunct w:val="0"/>
              <w:autoSpaceDE/>
              <w:autoSpaceDN/>
              <w:bidi w:val="0"/>
              <w:adjustRightInd/>
              <w:snapToGrid/>
              <w:spacing w:line="440" w:lineRule="exac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1产品尺寸：（L*W*H）≥1640*770*935mm；</w:t>
            </w:r>
          </w:p>
          <w:p>
            <w:pPr>
              <w:keepNext w:val="0"/>
              <w:keepLines w:val="0"/>
              <w:pageBreakBefore w:val="0"/>
              <w:widowControl/>
              <w:kinsoku/>
              <w:wordWrap/>
              <w:overflowPunct/>
              <w:topLinePunct w:val="0"/>
              <w:autoSpaceDE/>
              <w:autoSpaceDN/>
              <w:bidi w:val="0"/>
              <w:adjustRightInd/>
              <w:snapToGrid/>
              <w:spacing w:line="440" w:lineRule="exac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2.材质：≥2.0mm冷轧钢板/镀锌板；侧板材质实木；</w:t>
            </w:r>
          </w:p>
          <w:p>
            <w:pPr>
              <w:keepNext w:val="0"/>
              <w:keepLines w:val="0"/>
              <w:pageBreakBefore w:val="0"/>
              <w:widowControl/>
              <w:kinsoku/>
              <w:wordWrap/>
              <w:overflowPunct/>
              <w:topLinePunct w:val="0"/>
              <w:autoSpaceDE/>
              <w:autoSpaceDN/>
              <w:bidi w:val="0"/>
              <w:adjustRightInd/>
              <w:snapToGrid/>
              <w:spacing w:line="440" w:lineRule="exac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3.主机：≥四核；内存≥8G；硬盘≥240G；</w:t>
            </w:r>
          </w:p>
          <w:p>
            <w:pPr>
              <w:keepNext w:val="0"/>
              <w:keepLines w:val="0"/>
              <w:pageBreakBefore w:val="0"/>
              <w:widowControl/>
              <w:kinsoku/>
              <w:wordWrap/>
              <w:overflowPunct/>
              <w:topLinePunct w:val="0"/>
              <w:autoSpaceDE/>
              <w:autoSpaceDN/>
              <w:bidi w:val="0"/>
              <w:adjustRightInd/>
              <w:snapToGrid/>
              <w:spacing w:line="440" w:lineRule="exac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4.显示器（双屏）：显示尺寸≥21.5英寸；分辨率≥1280*800；</w:t>
            </w:r>
          </w:p>
          <w:p>
            <w:pPr>
              <w:keepNext w:val="0"/>
              <w:keepLines w:val="0"/>
              <w:pageBreakBefore w:val="0"/>
              <w:widowControl/>
              <w:kinsoku/>
              <w:wordWrap/>
              <w:overflowPunct/>
              <w:topLinePunct w:val="0"/>
              <w:autoSpaceDE/>
              <w:autoSpaceDN/>
              <w:bidi w:val="0"/>
              <w:adjustRightInd/>
              <w:snapToGrid/>
              <w:spacing w:line="440" w:lineRule="exac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5.打印机：最大打印幅面A4；打印类型彩色激光；接口类型USB；</w:t>
            </w:r>
          </w:p>
          <w:p>
            <w:pPr>
              <w:keepNext w:val="0"/>
              <w:keepLines w:val="0"/>
              <w:pageBreakBefore w:val="0"/>
              <w:widowControl/>
              <w:kinsoku/>
              <w:wordWrap/>
              <w:overflowPunct/>
              <w:topLinePunct w:val="0"/>
              <w:autoSpaceDE/>
              <w:autoSpaceDN/>
              <w:bidi w:val="0"/>
              <w:adjustRightInd/>
              <w:snapToGrid/>
              <w:spacing w:line="440" w:lineRule="exac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6.可视分机：网络接口标准RJ45接口；网络协议TCP/IP、UDP、IGMP、RTP；</w:t>
            </w:r>
          </w:p>
          <w:p>
            <w:pPr>
              <w:keepNext w:val="0"/>
              <w:keepLines w:val="0"/>
              <w:pageBreakBefore w:val="0"/>
              <w:widowControl/>
              <w:kinsoku/>
              <w:wordWrap/>
              <w:overflowPunct/>
              <w:topLinePunct w:val="0"/>
              <w:autoSpaceDE/>
              <w:autoSpaceDN/>
              <w:bidi w:val="0"/>
              <w:adjustRightInd/>
              <w:snapToGrid/>
              <w:spacing w:line="440" w:lineRule="exac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7.摄像头：最高有效像素1920 (H) *1080 (V)；输出图像格式MJPEG  / YUV2（YUYV）；自动对焦；物距5CM-100M；</w:t>
            </w:r>
          </w:p>
          <w:p>
            <w:pPr>
              <w:keepNext w:val="0"/>
              <w:keepLines w:val="0"/>
              <w:pageBreakBefore w:val="0"/>
              <w:widowControl/>
              <w:kinsoku/>
              <w:wordWrap/>
              <w:overflowPunct/>
              <w:topLinePunct w:val="0"/>
              <w:autoSpaceDE/>
              <w:autoSpaceDN/>
              <w:bidi w:val="0"/>
              <w:adjustRightInd/>
              <w:snapToGrid/>
              <w:spacing w:line="440" w:lineRule="exac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8.音响设备：输出匹配4-8欧；频响范围14-100Kz；信噪比100db；输出声道2个；</w:t>
            </w:r>
          </w:p>
          <w:p>
            <w:pPr>
              <w:keepNext w:val="0"/>
              <w:keepLines w:val="0"/>
              <w:pageBreakBefore w:val="0"/>
              <w:widowControl/>
              <w:kinsoku/>
              <w:wordWrap/>
              <w:overflowPunct/>
              <w:topLinePunct w:val="0"/>
              <w:autoSpaceDE/>
              <w:autoSpaceDN/>
              <w:bidi w:val="0"/>
              <w:adjustRightInd/>
              <w:snapToGrid/>
              <w:spacing w:line="440" w:lineRule="exac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9.供电：220V；</w:t>
            </w:r>
          </w:p>
          <w:p>
            <w:pPr>
              <w:keepNext w:val="0"/>
              <w:keepLines w:val="0"/>
              <w:pageBreakBefore w:val="0"/>
              <w:widowControl/>
              <w:kinsoku/>
              <w:wordWrap/>
              <w:overflowPunct/>
              <w:topLinePunct w:val="0"/>
              <w:autoSpaceDE/>
              <w:autoSpaceDN/>
              <w:bidi w:val="0"/>
              <w:adjustRightInd/>
              <w:snapToGrid/>
              <w:spacing w:line="440" w:lineRule="exac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10.接口：USB3.0*2；USB充电口2个；（预留外网接口、音频接口）；</w:t>
            </w:r>
          </w:p>
          <w:p>
            <w:pPr>
              <w:keepNext w:val="0"/>
              <w:keepLines w:val="0"/>
              <w:pageBreakBefore w:val="0"/>
              <w:widowControl/>
              <w:kinsoku/>
              <w:wordWrap/>
              <w:overflowPunct/>
              <w:topLinePunct w:val="0"/>
              <w:autoSpaceDE/>
              <w:autoSpaceDN/>
              <w:bidi w:val="0"/>
              <w:adjustRightInd/>
              <w:snapToGrid/>
              <w:spacing w:line="440" w:lineRule="exac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11.光驱：接口：SATA；光盘格式Audio CD DVD；</w:t>
            </w:r>
          </w:p>
          <w:p>
            <w:pPr>
              <w:pStyle w:val="19"/>
              <w:keepNext w:val="0"/>
              <w:keepLines w:val="0"/>
              <w:pageBreakBefore w:val="0"/>
              <w:kinsoku/>
              <w:wordWrap/>
              <w:overflowPunct/>
              <w:topLinePunct w:val="0"/>
              <w:autoSpaceDE/>
              <w:autoSpaceDN/>
              <w:bidi w:val="0"/>
              <w:adjustRightInd/>
              <w:snapToGrid/>
              <w:spacing w:line="440" w:lineRule="exact"/>
              <w:ind w:left="0" w:leftChars="0" w:firstLine="0" w:firstLineChars="0"/>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配备鼠标、键盘。</w:t>
            </w:r>
          </w:p>
        </w:tc>
        <w:tc>
          <w:tcPr>
            <w:tcW w:w="78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w:t>
            </w:r>
          </w:p>
        </w:tc>
        <w:tc>
          <w:tcPr>
            <w:tcW w:w="825"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21"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16</w:t>
            </w:r>
          </w:p>
        </w:tc>
        <w:tc>
          <w:tcPr>
            <w:tcW w:w="1305"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执法办案区</w:t>
            </w:r>
          </w:p>
        </w:tc>
        <w:tc>
          <w:tcPr>
            <w:tcW w:w="1545"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讯（询）问椅</w:t>
            </w:r>
          </w:p>
        </w:tc>
        <w:tc>
          <w:tcPr>
            <w:tcW w:w="4335"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功能：讯（询）问椅，阿基里斯皮，手部采用U型锁约束，胸部及腰部以约束带束缚；腿部以环形脚踏锁带手脚铐，控制嫌疑人。</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参数：尺寸：700mm*720mm*700mm；</w:t>
            </w:r>
          </w:p>
        </w:tc>
        <w:tc>
          <w:tcPr>
            <w:tcW w:w="78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w:t>
            </w:r>
          </w:p>
        </w:tc>
        <w:tc>
          <w:tcPr>
            <w:tcW w:w="825"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21"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17</w:t>
            </w:r>
          </w:p>
        </w:tc>
        <w:tc>
          <w:tcPr>
            <w:tcW w:w="1305"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执法办案区</w:t>
            </w:r>
          </w:p>
        </w:tc>
        <w:tc>
          <w:tcPr>
            <w:tcW w:w="1545"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带秒温湿度显示屏</w:t>
            </w:r>
          </w:p>
        </w:tc>
        <w:tc>
          <w:tcPr>
            <w:tcW w:w="4335"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功能：通过网络时钟与摄像头相关联，实现对房间内时间、温度、湿度进行显示和断电后自动校对，保障执法对象权利。                                               </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参数：显示范围：温度：-19℃ ～99℃ ，湿度：0％ ～99％</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测量精度 ：＜±1℃ ，湿度＜ ±4%RH</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显示时间精确到秒（年月日、时分秒）</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供电电压： AC 220V</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外部接口：485接口</w:t>
            </w:r>
          </w:p>
        </w:tc>
        <w:tc>
          <w:tcPr>
            <w:tcW w:w="78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w:t>
            </w:r>
          </w:p>
        </w:tc>
        <w:tc>
          <w:tcPr>
            <w:tcW w:w="825"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21"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18</w:t>
            </w:r>
          </w:p>
        </w:tc>
        <w:tc>
          <w:tcPr>
            <w:tcW w:w="1305"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执法办案区</w:t>
            </w:r>
          </w:p>
        </w:tc>
        <w:tc>
          <w:tcPr>
            <w:tcW w:w="1545"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LED显示屏</w:t>
            </w:r>
          </w:p>
        </w:tc>
        <w:tc>
          <w:tcPr>
            <w:tcW w:w="4335"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功能：通过与智能防拆电子腕带相关联，LED显示屏可以显示执法对象在办案区的状态。                    </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参数：LED屏显：304*152，尺寸：650*200*50mm；内扫描16扫，亚克力材质，双色显示。</w:t>
            </w:r>
          </w:p>
        </w:tc>
        <w:tc>
          <w:tcPr>
            <w:tcW w:w="78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w:t>
            </w:r>
          </w:p>
        </w:tc>
        <w:tc>
          <w:tcPr>
            <w:tcW w:w="825"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21"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19</w:t>
            </w:r>
          </w:p>
        </w:tc>
        <w:tc>
          <w:tcPr>
            <w:tcW w:w="1305"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执法办案区</w:t>
            </w:r>
          </w:p>
        </w:tc>
        <w:tc>
          <w:tcPr>
            <w:tcW w:w="1545"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IP网络可视对讲主机</w:t>
            </w:r>
          </w:p>
        </w:tc>
        <w:tc>
          <w:tcPr>
            <w:tcW w:w="4335"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视频：可全屏显示高清视频画面，并提供网络视频数据，上大屏显示。·广播播放：可用MP3文件对所有分机进行全区、分区、定时广播、消防广播；支持喊话广播、外接音源广播。·监听、监视：可循环监听、监视或单个监听、监视分机。·报警联动：分机报警时，通过TCP连接与其它平台联动。如：开启监控摄像头。·语音播报：可语音播报呼叫的分机备注信息或分机号。·录音录像：可对通话过程录音录像，并能查询播放、储存、上传至服务器2寸数字真彩显示屏，电容式。   </w:t>
            </w:r>
          </w:p>
        </w:tc>
        <w:tc>
          <w:tcPr>
            <w:tcW w:w="78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825"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21"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20</w:t>
            </w:r>
          </w:p>
        </w:tc>
        <w:tc>
          <w:tcPr>
            <w:tcW w:w="1305"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执法办案区</w:t>
            </w:r>
          </w:p>
        </w:tc>
        <w:tc>
          <w:tcPr>
            <w:tcW w:w="1545"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IP网络地址盒</w:t>
            </w:r>
          </w:p>
        </w:tc>
        <w:tc>
          <w:tcPr>
            <w:tcW w:w="4335"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1.网络接口：标准RJ45接口</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2.网络协议：TCP/IP、UDP、IGMP、RTP</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3.功耗：&lt; 2W</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4.工作温度：-10℃ ～ +60℃</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5.工作湿度：10%～90%</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6.尺寸：（L*W*H）约195*125*43mm</w:t>
            </w:r>
          </w:p>
        </w:tc>
        <w:tc>
          <w:tcPr>
            <w:tcW w:w="78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825"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21"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21</w:t>
            </w:r>
          </w:p>
        </w:tc>
        <w:tc>
          <w:tcPr>
            <w:tcW w:w="1305"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执法办案区</w:t>
            </w:r>
          </w:p>
        </w:tc>
        <w:tc>
          <w:tcPr>
            <w:tcW w:w="1545"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集成看管台</w:t>
            </w:r>
          </w:p>
        </w:tc>
        <w:tc>
          <w:tcPr>
            <w:tcW w:w="4335"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尺寸：160cm*75cm*76cm，2.0mm冷轧钢板、钣金定制、黑胡桃木侧板，集成亲情电话：外壳高强度不锈钢304材料，表面拉丝处理，耐磨抗腐蚀性强，通话时语音清晰，声音洪亮，无回授啸叫，具有防尘，抗噪，抗暴力特性，整机防护等级达IP54，无手柄设计直接免提通话。预留报警主机、网络读卡器2个嵌入孔。</w:t>
            </w:r>
          </w:p>
        </w:tc>
        <w:tc>
          <w:tcPr>
            <w:tcW w:w="78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825"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21"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22</w:t>
            </w:r>
          </w:p>
        </w:tc>
        <w:tc>
          <w:tcPr>
            <w:tcW w:w="1305"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执法办案区</w:t>
            </w:r>
          </w:p>
        </w:tc>
        <w:tc>
          <w:tcPr>
            <w:tcW w:w="1545"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RUK网络读卡器</w:t>
            </w:r>
          </w:p>
        </w:tc>
        <w:tc>
          <w:tcPr>
            <w:tcW w:w="4335"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外形尺寸(长×宽×高）：14cm×10cm×3cm。12V直流供电，最大工作负载电流&lt;0.08A，支持点对点通讯线最大长度在50m~80m之间（受双绞线质量和外围干扰）。感应离距离在0~10cm。</w:t>
            </w:r>
          </w:p>
        </w:tc>
        <w:tc>
          <w:tcPr>
            <w:tcW w:w="78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w:t>
            </w:r>
          </w:p>
        </w:tc>
        <w:tc>
          <w:tcPr>
            <w:tcW w:w="825"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21"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23</w:t>
            </w:r>
          </w:p>
        </w:tc>
        <w:tc>
          <w:tcPr>
            <w:tcW w:w="1305"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执法办案区</w:t>
            </w:r>
          </w:p>
        </w:tc>
        <w:tc>
          <w:tcPr>
            <w:tcW w:w="1545"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LED显示屏</w:t>
            </w:r>
          </w:p>
        </w:tc>
        <w:tc>
          <w:tcPr>
            <w:tcW w:w="4335"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功能：通过与智能防拆电子腕带相关联，LED显示屏可以显示执法对象在办案区的状态。                    </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参数：LED屏显：304*152，尺寸：650*200*50mm；内扫描16扫，亚克力材质，双色显示。</w:t>
            </w:r>
          </w:p>
        </w:tc>
        <w:tc>
          <w:tcPr>
            <w:tcW w:w="78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w:t>
            </w:r>
          </w:p>
        </w:tc>
        <w:tc>
          <w:tcPr>
            <w:tcW w:w="825"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21"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24</w:t>
            </w:r>
          </w:p>
        </w:tc>
        <w:tc>
          <w:tcPr>
            <w:tcW w:w="1305"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执法办案区</w:t>
            </w:r>
          </w:p>
        </w:tc>
        <w:tc>
          <w:tcPr>
            <w:tcW w:w="1545"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发卡器</w:t>
            </w:r>
          </w:p>
        </w:tc>
        <w:tc>
          <w:tcPr>
            <w:tcW w:w="4335"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参数：完全支持uem4100兼容格式ID卡(64bits,Manchester编码)；产品尺寸96mm×61mm。</w:t>
            </w:r>
          </w:p>
        </w:tc>
        <w:tc>
          <w:tcPr>
            <w:tcW w:w="78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825"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21"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25</w:t>
            </w:r>
          </w:p>
        </w:tc>
        <w:tc>
          <w:tcPr>
            <w:tcW w:w="1305"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执法办案区</w:t>
            </w:r>
          </w:p>
        </w:tc>
        <w:tc>
          <w:tcPr>
            <w:tcW w:w="1545"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手持式条码扫描器</w:t>
            </w:r>
          </w:p>
        </w:tc>
        <w:tc>
          <w:tcPr>
            <w:tcW w:w="4335"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参数：工作电流266mA，工作温度-20℃-50℃，跌落高度1.8米，防护等级IP42，待机电流：109mA。</w:t>
            </w:r>
          </w:p>
        </w:tc>
        <w:tc>
          <w:tcPr>
            <w:tcW w:w="78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825"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21"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26</w:t>
            </w:r>
          </w:p>
        </w:tc>
        <w:tc>
          <w:tcPr>
            <w:tcW w:w="1305"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执法办案区</w:t>
            </w:r>
          </w:p>
        </w:tc>
        <w:tc>
          <w:tcPr>
            <w:tcW w:w="1545"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条码打印机</w:t>
            </w:r>
          </w:p>
        </w:tc>
        <w:tc>
          <w:tcPr>
            <w:tcW w:w="4335"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参数：二维码打印，兼容一维码打印，2-4inch/s，双感应式定位，USB接口，大齿轮，带撕纸位</w:t>
            </w:r>
          </w:p>
        </w:tc>
        <w:tc>
          <w:tcPr>
            <w:tcW w:w="78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825"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21"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27</w:t>
            </w:r>
          </w:p>
        </w:tc>
        <w:tc>
          <w:tcPr>
            <w:tcW w:w="1305"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执法办案区</w:t>
            </w:r>
          </w:p>
        </w:tc>
        <w:tc>
          <w:tcPr>
            <w:tcW w:w="1545"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智能案卷柜（智能案卷管理嵌入式软件）</w:t>
            </w:r>
          </w:p>
        </w:tc>
        <w:tc>
          <w:tcPr>
            <w:tcW w:w="4335"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功能：能基于公安网通过安全可靠的通信协议和软件系统对接；能结合二维码技术对案卷进行管理；能集成公安机关已有的智能IC卡进行案卷相关权限管理；具有大屏触摸显示器方便查看相关案卷信息和操作案卷柜。 设备参数：1、尺寸：约1000mm*860mm*430mm；工作电压：220V；隔口数：4门*每个门板开透视窗。集成工控机、≥19寸触摸显示屏、二维码扫描仪、IC读卡器，设备控制模块，可接入副柜。</w:t>
            </w:r>
          </w:p>
        </w:tc>
        <w:tc>
          <w:tcPr>
            <w:tcW w:w="78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825"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21"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rPr>
                <w:rFonts w:hint="eastAsia" w:ascii="宋体" w:hAnsi="宋体" w:eastAsia="宋体" w:cs="宋体"/>
                <w:color w:val="auto"/>
                <w:kern w:val="0"/>
                <w:sz w:val="24"/>
                <w:szCs w:val="24"/>
                <w:highlight w:val="none"/>
              </w:rPr>
            </w:pPr>
          </w:p>
        </w:tc>
        <w:tc>
          <w:tcPr>
            <w:tcW w:w="130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rPr>
                <w:rFonts w:hint="eastAsia" w:ascii="宋体" w:hAnsi="宋体" w:eastAsia="宋体" w:cs="宋体"/>
                <w:b/>
                <w:bCs/>
                <w:color w:val="auto"/>
                <w:kern w:val="0"/>
                <w:sz w:val="24"/>
                <w:szCs w:val="24"/>
                <w:highlight w:val="none"/>
              </w:rPr>
            </w:pPr>
          </w:p>
        </w:tc>
        <w:tc>
          <w:tcPr>
            <w:tcW w:w="154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rPr>
                <w:rFonts w:hint="eastAsia" w:ascii="宋体" w:hAnsi="宋体" w:eastAsia="宋体" w:cs="宋体"/>
                <w:color w:val="auto"/>
                <w:kern w:val="0"/>
                <w:sz w:val="24"/>
                <w:szCs w:val="24"/>
                <w:highlight w:val="none"/>
              </w:rPr>
            </w:pPr>
          </w:p>
        </w:tc>
        <w:tc>
          <w:tcPr>
            <w:tcW w:w="4335"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副柜参数：约2000mm（高）*860 mm（宽）*430mm 厚）/10门*1板开透视窗。2、门控系统、自带电源等                                                                           </w:t>
            </w:r>
          </w:p>
        </w:tc>
        <w:tc>
          <w:tcPr>
            <w:tcW w:w="78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w:t>
            </w:r>
          </w:p>
        </w:tc>
        <w:tc>
          <w:tcPr>
            <w:tcW w:w="825"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21"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28</w:t>
            </w:r>
          </w:p>
        </w:tc>
        <w:tc>
          <w:tcPr>
            <w:tcW w:w="1305"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执法办案区</w:t>
            </w:r>
          </w:p>
        </w:tc>
        <w:tc>
          <w:tcPr>
            <w:tcW w:w="1545"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光盘打印刻录一体机</w:t>
            </w:r>
          </w:p>
        </w:tc>
        <w:tc>
          <w:tcPr>
            <w:tcW w:w="4335"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功能：通过同步刻录音视频设备与智能询讯问专用桌相关联，实现案件电子光盘化，有效节约纸张成本。</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要求：USB接口，打印区域120mm,支持光盘打印，包括（BD-R，DVD±R，CD-R；普通或防水可打印光盘），操作系统Windows 2000/XP/Vista/7，Mac OS X v10.2或更高，381x375x178mm，4.1kg。</w:t>
            </w:r>
          </w:p>
        </w:tc>
        <w:tc>
          <w:tcPr>
            <w:tcW w:w="78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825"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21"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29</w:t>
            </w:r>
          </w:p>
        </w:tc>
        <w:tc>
          <w:tcPr>
            <w:tcW w:w="1305"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执法办案区</w:t>
            </w:r>
          </w:p>
        </w:tc>
        <w:tc>
          <w:tcPr>
            <w:tcW w:w="1545"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图形工作站</w:t>
            </w:r>
          </w:p>
        </w:tc>
        <w:tc>
          <w:tcPr>
            <w:tcW w:w="4335"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1.处理器：≥8核处理器；</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2.内存：16G  NECC；</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3.硬盘：256固态+4T；</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4.光驱：DVDRW；</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5.显卡：独立，5G；</w:t>
            </w:r>
          </w:p>
        </w:tc>
        <w:tc>
          <w:tcPr>
            <w:tcW w:w="78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825"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21"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30</w:t>
            </w:r>
          </w:p>
        </w:tc>
        <w:tc>
          <w:tcPr>
            <w:tcW w:w="1305"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执法办案区</w:t>
            </w:r>
          </w:p>
        </w:tc>
        <w:tc>
          <w:tcPr>
            <w:tcW w:w="1545"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RFID定位器</w:t>
            </w:r>
          </w:p>
        </w:tc>
        <w:tc>
          <w:tcPr>
            <w:tcW w:w="4335"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功能：通过人员身份辨识设备支撑智能防拆电子腕带的正常运行，从而达到实时掌控执法对象在办案区的活动轨迹，能够实现与办案区系统无缝对接，全面实现通过驱动办案区弱电和办案软件使办案程序有序进行。                           </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参数：识别距离： 最远可达150米(空旷距离测试），识别速度： 120Km/h，识别能力： 同时识别200张以上的标签，识别角度： 全向，工作频段： 2.4GHz、125KHz，防水等级 ： IP67，安装方式 ： 吊顶或墙面安装</w:t>
            </w:r>
          </w:p>
        </w:tc>
        <w:tc>
          <w:tcPr>
            <w:tcW w:w="78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14</w:t>
            </w:r>
          </w:p>
        </w:tc>
        <w:tc>
          <w:tcPr>
            <w:tcW w:w="825"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21"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31</w:t>
            </w:r>
          </w:p>
        </w:tc>
        <w:tc>
          <w:tcPr>
            <w:tcW w:w="1305"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执法办案区</w:t>
            </w:r>
          </w:p>
        </w:tc>
        <w:tc>
          <w:tcPr>
            <w:tcW w:w="1545"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安装配件及附件</w:t>
            </w:r>
          </w:p>
        </w:tc>
        <w:tc>
          <w:tcPr>
            <w:tcW w:w="4335"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音频线、视频线、电源线、金属软管、扎带、胶带等</w:t>
            </w:r>
          </w:p>
        </w:tc>
        <w:tc>
          <w:tcPr>
            <w:tcW w:w="78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825"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21"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32</w:t>
            </w:r>
          </w:p>
        </w:tc>
        <w:tc>
          <w:tcPr>
            <w:tcW w:w="1305"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**保障智能服务</w:t>
            </w:r>
          </w:p>
        </w:tc>
        <w:tc>
          <w:tcPr>
            <w:tcW w:w="1545"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报警主机</w:t>
            </w:r>
          </w:p>
        </w:tc>
        <w:tc>
          <w:tcPr>
            <w:tcW w:w="4335"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自带LED键盘/一体化结构设计/8个防区/1路继电器输出（可扩展至8路继电器输出）/8个独立子系统1个公共子系统/支持有线电话、有线网络两种通讯方式/支持定时任务（时控输出、定时撤布防）/支持遥控器撤布防/支持软件可视化编程，配置数据导入导出;/防区防拆报警/可外接LCD/LED键盘</w:t>
            </w:r>
          </w:p>
        </w:tc>
        <w:tc>
          <w:tcPr>
            <w:tcW w:w="78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825"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21"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33</w:t>
            </w:r>
          </w:p>
        </w:tc>
        <w:tc>
          <w:tcPr>
            <w:tcW w:w="1305"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**保障智能服务</w:t>
            </w:r>
          </w:p>
        </w:tc>
        <w:tc>
          <w:tcPr>
            <w:tcW w:w="1545"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报警键盘</w:t>
            </w:r>
          </w:p>
        </w:tc>
        <w:tc>
          <w:tcPr>
            <w:tcW w:w="4335"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LCD报警键盘；（可通过遥控器和刷卡布撤防） 连接到报警主机，</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 xml:space="preserve">可以对报警主机进行操作和编程，通过指示灯和报警音提示报警； </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支持连接遥控器进行远程布撤防，支持双向遥控器，遥控器LED显示操作结果；</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键盘最多所能支持的无线遥控器数量由主机决定，最多支持32个遥控器；</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 xml:space="preserve"> 支持刷卡布撤防，但刷卡不支持消警功能，卡片数量由主机限制，目前网络主机最大可添加32张卡片；</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 xml:space="preserve"> 主机状态指示灯：系统故障（橙色），网络链接状态（绿色），报警（红色），布撤防（蓝色），配置状态（红绿双色） 功能键：8个，工程、查询，旁路，一键，火警，紧急，左键，右键； </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 xml:space="preserve">防拆功能：支持；与主机通讯：485；键盘警情输出：蜂鸣器； </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 xml:space="preserve">功能特性：对主机编程、撤布防、消警、旁路/旁路恢复、工程测试、子系统操作、继电器操作、主机状态查询； </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 xml:space="preserve">功耗：1.8W；工作温度：-10℃～＋55℃；工作湿度：10％～90％； </w:t>
            </w:r>
          </w:p>
        </w:tc>
        <w:tc>
          <w:tcPr>
            <w:tcW w:w="78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w:t>
            </w:r>
          </w:p>
        </w:tc>
        <w:tc>
          <w:tcPr>
            <w:tcW w:w="825"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21"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34</w:t>
            </w:r>
          </w:p>
        </w:tc>
        <w:tc>
          <w:tcPr>
            <w:tcW w:w="1305"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**保障智能服务</w:t>
            </w:r>
          </w:p>
        </w:tc>
        <w:tc>
          <w:tcPr>
            <w:tcW w:w="1545"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总线驱动器</w:t>
            </w:r>
          </w:p>
        </w:tc>
        <w:tc>
          <w:tcPr>
            <w:tcW w:w="4335"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总线驱动器</w:t>
            </w:r>
          </w:p>
        </w:tc>
        <w:tc>
          <w:tcPr>
            <w:tcW w:w="78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825"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21"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35</w:t>
            </w:r>
          </w:p>
        </w:tc>
        <w:tc>
          <w:tcPr>
            <w:tcW w:w="1305"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**保障智能服务</w:t>
            </w:r>
          </w:p>
        </w:tc>
        <w:tc>
          <w:tcPr>
            <w:tcW w:w="1545"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模块</w:t>
            </w:r>
          </w:p>
        </w:tc>
        <w:tc>
          <w:tcPr>
            <w:tcW w:w="4335"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分线式主机八防区拓展模块&lt;br&gt;通过RS485协议与分线报警主机通信&lt;br&gt;扩展8个有线防区&lt;br&gt;防区支持防拆报警和防区报警的功能</w:t>
            </w:r>
          </w:p>
        </w:tc>
        <w:tc>
          <w:tcPr>
            <w:tcW w:w="78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w:t>
            </w:r>
          </w:p>
        </w:tc>
        <w:tc>
          <w:tcPr>
            <w:tcW w:w="825"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21"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36</w:t>
            </w:r>
          </w:p>
        </w:tc>
        <w:tc>
          <w:tcPr>
            <w:tcW w:w="1305"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**保障智能服务</w:t>
            </w:r>
          </w:p>
        </w:tc>
        <w:tc>
          <w:tcPr>
            <w:tcW w:w="1545"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输入/输出模块</w:t>
            </w:r>
          </w:p>
        </w:tc>
        <w:tc>
          <w:tcPr>
            <w:tcW w:w="4335"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RS-485扩展模块,4路输出,弱电联动,适用于分线式报警主机,接入报警主机键盘接口</w:t>
            </w:r>
          </w:p>
        </w:tc>
        <w:tc>
          <w:tcPr>
            <w:tcW w:w="78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8</w:t>
            </w:r>
          </w:p>
        </w:tc>
        <w:tc>
          <w:tcPr>
            <w:tcW w:w="825"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21"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37</w:t>
            </w:r>
          </w:p>
        </w:tc>
        <w:tc>
          <w:tcPr>
            <w:tcW w:w="1305"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**保障智能服务</w:t>
            </w:r>
          </w:p>
        </w:tc>
        <w:tc>
          <w:tcPr>
            <w:tcW w:w="1545"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紧急按钮</w:t>
            </w:r>
          </w:p>
        </w:tc>
        <w:tc>
          <w:tcPr>
            <w:tcW w:w="4335"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紧急按钮</w:t>
            </w:r>
          </w:p>
        </w:tc>
        <w:tc>
          <w:tcPr>
            <w:tcW w:w="78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28</w:t>
            </w:r>
          </w:p>
        </w:tc>
        <w:tc>
          <w:tcPr>
            <w:tcW w:w="825"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21"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38</w:t>
            </w:r>
          </w:p>
        </w:tc>
        <w:tc>
          <w:tcPr>
            <w:tcW w:w="1305"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**保障智能服务</w:t>
            </w:r>
          </w:p>
        </w:tc>
        <w:tc>
          <w:tcPr>
            <w:tcW w:w="1545"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声光报警器</w:t>
            </w:r>
          </w:p>
        </w:tc>
        <w:tc>
          <w:tcPr>
            <w:tcW w:w="4335"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CDATA[警号（红白色）；<br>报警音量: 105dB at 30cm<br>防护等级：IP54，室外防水 <br>内置水平仪，便于辅助安装<br>支持关闭报警声音输出，实现声光报警模式和光闪模式切换<br>工作湿度：10％～90％<br>工作温度：-20℃～＋60℃<br>功耗：静态功耗: 0.96W<br>报警功耗：2.7W<br>电源：DC 8~16V 0.22A Max<br>外壳材质：PC+ABS<br>重量：185g<br>尺寸(宽x高x深)：140*134*33mm]]></w:t>
            </w:r>
          </w:p>
        </w:tc>
        <w:tc>
          <w:tcPr>
            <w:tcW w:w="78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w:t>
            </w:r>
          </w:p>
        </w:tc>
        <w:tc>
          <w:tcPr>
            <w:tcW w:w="825"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21"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39</w:t>
            </w:r>
          </w:p>
        </w:tc>
        <w:tc>
          <w:tcPr>
            <w:tcW w:w="1305"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**保障智能服务</w:t>
            </w:r>
          </w:p>
        </w:tc>
        <w:tc>
          <w:tcPr>
            <w:tcW w:w="1545"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蓄电池</w:t>
            </w:r>
          </w:p>
        </w:tc>
        <w:tc>
          <w:tcPr>
            <w:tcW w:w="4335"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12V/7AH</w:t>
            </w:r>
          </w:p>
        </w:tc>
        <w:tc>
          <w:tcPr>
            <w:tcW w:w="78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825"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21"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40</w:t>
            </w:r>
          </w:p>
        </w:tc>
        <w:tc>
          <w:tcPr>
            <w:tcW w:w="1305"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**保障智能服务</w:t>
            </w:r>
          </w:p>
        </w:tc>
        <w:tc>
          <w:tcPr>
            <w:tcW w:w="1545"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电源</w:t>
            </w:r>
          </w:p>
        </w:tc>
        <w:tc>
          <w:tcPr>
            <w:tcW w:w="4335"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DC12V声光报警器电源</w:t>
            </w:r>
          </w:p>
        </w:tc>
        <w:tc>
          <w:tcPr>
            <w:tcW w:w="78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w:t>
            </w:r>
          </w:p>
        </w:tc>
        <w:tc>
          <w:tcPr>
            <w:tcW w:w="825"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个</w:t>
            </w:r>
          </w:p>
        </w:tc>
      </w:tr>
    </w:tbl>
    <w:p>
      <w:pPr>
        <w:keepNext w:val="0"/>
        <w:keepLines w:val="0"/>
        <w:pageBreakBefore w:val="0"/>
        <w:numPr>
          <w:ilvl w:val="0"/>
          <w:numId w:val="0"/>
        </w:numPr>
        <w:kinsoku/>
        <w:wordWrap/>
        <w:overflowPunct/>
        <w:topLinePunct w:val="0"/>
        <w:autoSpaceDE/>
        <w:autoSpaceDN/>
        <w:bidi w:val="0"/>
        <w:adjustRightInd/>
        <w:snapToGrid/>
        <w:spacing w:line="440" w:lineRule="exact"/>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4.</w:t>
      </w:r>
      <w:r>
        <w:rPr>
          <w:rFonts w:hint="eastAsia" w:ascii="宋体" w:hAnsi="宋体" w:eastAsia="宋体" w:cs="宋体"/>
          <w:b/>
          <w:bCs/>
          <w:color w:val="auto"/>
          <w:sz w:val="24"/>
          <w:szCs w:val="24"/>
          <w:highlight w:val="none"/>
        </w:rPr>
        <w:t>安防系统</w:t>
      </w:r>
    </w:p>
    <w:p>
      <w:pPr>
        <w:keepNext w:val="0"/>
        <w:keepLines w:val="0"/>
        <w:pageBreakBefore w:val="0"/>
        <w:kinsoku/>
        <w:wordWrap/>
        <w:overflowPunct/>
        <w:topLinePunct w:val="0"/>
        <w:autoSpaceDE/>
        <w:autoSpaceDN/>
        <w:bidi w:val="0"/>
        <w:adjustRightInd/>
        <w:snapToGrid/>
        <w:spacing w:line="440" w:lineRule="exact"/>
        <w:ind w:firstLine="723" w:firstLineChars="3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1）</w:t>
      </w:r>
      <w:r>
        <w:rPr>
          <w:rFonts w:hint="eastAsia" w:ascii="宋体" w:hAnsi="宋体" w:eastAsia="宋体" w:cs="宋体"/>
          <w:b/>
          <w:bCs/>
          <w:color w:val="auto"/>
          <w:sz w:val="24"/>
          <w:szCs w:val="24"/>
          <w:highlight w:val="none"/>
        </w:rPr>
        <w:t>视频监控系统</w:t>
      </w:r>
    </w:p>
    <w:tbl>
      <w:tblPr>
        <w:tblStyle w:val="20"/>
        <w:tblW w:w="98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8"/>
        <w:gridCol w:w="765"/>
        <w:gridCol w:w="915"/>
        <w:gridCol w:w="6210"/>
        <w:gridCol w:w="750"/>
        <w:gridCol w:w="7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88"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序号</w:t>
            </w:r>
          </w:p>
        </w:tc>
        <w:tc>
          <w:tcPr>
            <w:tcW w:w="765"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系统名称</w:t>
            </w:r>
          </w:p>
        </w:tc>
        <w:tc>
          <w:tcPr>
            <w:tcW w:w="915"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产品类别</w:t>
            </w:r>
          </w:p>
        </w:tc>
        <w:tc>
          <w:tcPr>
            <w:tcW w:w="621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技术参数</w:t>
            </w:r>
          </w:p>
        </w:tc>
        <w:tc>
          <w:tcPr>
            <w:tcW w:w="75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数量</w:t>
            </w:r>
          </w:p>
        </w:tc>
        <w:tc>
          <w:tcPr>
            <w:tcW w:w="758"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88"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765"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**保障智能服务</w:t>
            </w:r>
          </w:p>
        </w:tc>
        <w:tc>
          <w:tcPr>
            <w:tcW w:w="915"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400万1/3"CMOS ICR智能变焦半球网络摄像机</w:t>
            </w:r>
          </w:p>
        </w:tc>
        <w:tc>
          <w:tcPr>
            <w:tcW w:w="621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400万 1/3" CMOS 智能变焦半球型网络摄像机</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采用深度学习硬件及算法，提供精准的人车分类侦测，支持越界侦测，区域入侵侦测，进入区域侦测和离开区域侦测，支持声音报警联动</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支持对运动人脸进行检测，抓拍，评分，筛选，输出最优的人脸抓图</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支持电动变焦</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最低照度: 彩色：0.005 Lux @（F1.2，AGC ON），0 Lux with IR</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宽动态: 120 dB</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调节角度: 水平：0°~355°，垂直：0°~75°，旋转：0°~355°</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焦距&amp;视场角: （电动变焦）2.7~12 mm：水平视场角：106°~36°，垂直视场角：57°~20°，对角视场角：125°~41°</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补光灯类型: 红外灯</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补光距离: 最远可达30 m</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防补光过曝: 支持</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红外波长范围: 850 nm</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最大图像尺寸: 2560 × 1440</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视频压缩标准: 主码流：H.265/H.264</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网络存储: 支持NAS（NFS，SMB/CIFS均支持），支持MicroSD(即TF卡)/MicroSDHC/MicroSDXC卡（最大256 GB），断网本地录像存储及断网续传，支持SD卡加密及SD卡状态检测</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网络: 1个RJ45 10 M/100 M自适应以太网口</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音频: 1路输入（Line in）；1路输出（Line out）；1个内置麦克风，1个内置扬声器</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报警: 1路输入，1路输出（输出最大支持AC24/DC24 V，1 A）</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复位: 支持</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电源输出: DC12 V，100 mA电源输出，建议用于拾音器供电</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启动和工作温湿度: -30 °C~60 °C，湿度小于95%（无凝结）</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电流及功耗: DC：12 V，0.9 A，最大功耗：10.8 W；PoE：802.3af，36 V~57 V，0.36 A~0.23 A，最大功耗：12.95 W</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供电方式: DC：12 V ± 25%，支持防反接保护；PoE：802.3af，Class 3</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电源接口类型: Ø5.5 mm圆口</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防护: IP66，IK10</w:t>
            </w:r>
          </w:p>
        </w:tc>
        <w:tc>
          <w:tcPr>
            <w:tcW w:w="75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40</w:t>
            </w:r>
          </w:p>
        </w:tc>
        <w:tc>
          <w:tcPr>
            <w:tcW w:w="758"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88"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w:t>
            </w:r>
          </w:p>
        </w:tc>
        <w:tc>
          <w:tcPr>
            <w:tcW w:w="765"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**保障智能服务</w:t>
            </w:r>
          </w:p>
        </w:tc>
        <w:tc>
          <w:tcPr>
            <w:tcW w:w="915"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拾音器</w:t>
            </w:r>
          </w:p>
        </w:tc>
        <w:tc>
          <w:tcPr>
            <w:tcW w:w="621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拾音范围70平方米；音频传输距离3000米；灵敏度-38dB；信噪比 75dB；MINI DSP处理器；安装方式：吸顶安装（自带底座转接盘）；连接方式 3芯导线（红-电源 黑-公共地 黄-音频）；电源DC12V（9V-15V）；推荐电源：DC12V/1A，两线；</w:t>
            </w:r>
          </w:p>
        </w:tc>
        <w:tc>
          <w:tcPr>
            <w:tcW w:w="75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28</w:t>
            </w:r>
          </w:p>
        </w:tc>
        <w:tc>
          <w:tcPr>
            <w:tcW w:w="758"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88"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w:t>
            </w:r>
          </w:p>
        </w:tc>
        <w:tc>
          <w:tcPr>
            <w:tcW w:w="765"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**保障智能服务</w:t>
            </w:r>
          </w:p>
        </w:tc>
        <w:tc>
          <w:tcPr>
            <w:tcW w:w="915"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安检门</w:t>
            </w:r>
          </w:p>
        </w:tc>
        <w:tc>
          <w:tcPr>
            <w:tcW w:w="621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测温：热成像相机测温</w:t>
            </w:r>
          </w:p>
          <w:p>
            <w:pPr>
              <w:keepNext w:val="0"/>
              <w:keepLines w:val="0"/>
              <w:pageBreakBefore w:val="0"/>
              <w:widowControl/>
              <w:kinsoku/>
              <w:wordWrap/>
              <w:overflowPunct/>
              <w:topLinePunct w:val="0"/>
              <w:autoSpaceDE/>
              <w:autoSpaceDN/>
              <w:bidi w:val="0"/>
              <w:adjustRightInd/>
              <w:snapToGrid/>
              <w:spacing w:line="440" w:lineRule="exac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热成像分辨率：160*120</w:t>
            </w:r>
          </w:p>
          <w:p>
            <w:pPr>
              <w:keepNext w:val="0"/>
              <w:keepLines w:val="0"/>
              <w:pageBreakBefore w:val="0"/>
              <w:widowControl/>
              <w:kinsoku/>
              <w:wordWrap/>
              <w:overflowPunct/>
              <w:topLinePunct w:val="0"/>
              <w:autoSpaceDE/>
              <w:autoSpaceDN/>
              <w:bidi w:val="0"/>
              <w:adjustRightInd/>
              <w:snapToGrid/>
              <w:spacing w:line="440" w:lineRule="exac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测温精度：±0.5℃</w:t>
            </w:r>
          </w:p>
          <w:p>
            <w:pPr>
              <w:keepNext w:val="0"/>
              <w:keepLines w:val="0"/>
              <w:pageBreakBefore w:val="0"/>
              <w:widowControl/>
              <w:kinsoku/>
              <w:wordWrap/>
              <w:overflowPunct/>
              <w:topLinePunct w:val="0"/>
              <w:autoSpaceDE/>
              <w:autoSpaceDN/>
              <w:bidi w:val="0"/>
              <w:adjustRightInd/>
              <w:snapToGrid/>
              <w:spacing w:line="440" w:lineRule="exac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测温范围：30-45℃</w:t>
            </w:r>
          </w:p>
          <w:p>
            <w:pPr>
              <w:keepNext w:val="0"/>
              <w:keepLines w:val="0"/>
              <w:pageBreakBefore w:val="0"/>
              <w:widowControl/>
              <w:kinsoku/>
              <w:wordWrap/>
              <w:overflowPunct/>
              <w:topLinePunct w:val="0"/>
              <w:autoSpaceDE/>
              <w:autoSpaceDN/>
              <w:bidi w:val="0"/>
              <w:adjustRightInd/>
              <w:snapToGrid/>
              <w:spacing w:line="440" w:lineRule="exac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非接触测温：可对通过安检门的人员进行脸部温度测试并进行人员准确匹配，温度精度：±0.5℃，搭配黑体精度可达 ±0.3℃</w:t>
            </w:r>
          </w:p>
          <w:p>
            <w:pPr>
              <w:keepNext w:val="0"/>
              <w:keepLines w:val="0"/>
              <w:pageBreakBefore w:val="0"/>
              <w:widowControl/>
              <w:kinsoku/>
              <w:wordWrap/>
              <w:overflowPunct/>
              <w:topLinePunct w:val="0"/>
              <w:autoSpaceDE/>
              <w:autoSpaceDN/>
              <w:bidi w:val="0"/>
              <w:adjustRightInd/>
              <w:snapToGrid/>
              <w:spacing w:line="440" w:lineRule="exac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人体温度初筛：可通过安全温度阈值设置，超过该阈值，可联动安检门本地声光报警，建立首道防线；</w:t>
            </w:r>
          </w:p>
          <w:p>
            <w:pPr>
              <w:keepNext w:val="0"/>
              <w:keepLines w:val="0"/>
              <w:pageBreakBefore w:val="0"/>
              <w:widowControl/>
              <w:kinsoku/>
              <w:wordWrap/>
              <w:overflowPunct/>
              <w:topLinePunct w:val="0"/>
              <w:autoSpaceDE/>
              <w:autoSpaceDN/>
              <w:bidi w:val="0"/>
              <w:adjustRightInd/>
              <w:snapToGrid/>
              <w:spacing w:line="440" w:lineRule="exac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门体双屏显示：前部4.3寸LCD屏、背部LED屏双屏显示，可显示通过人数、金属报警人数、实时温度等；</w:t>
            </w:r>
          </w:p>
          <w:p>
            <w:pPr>
              <w:keepNext w:val="0"/>
              <w:keepLines w:val="0"/>
              <w:pageBreakBefore w:val="0"/>
              <w:widowControl/>
              <w:kinsoku/>
              <w:wordWrap/>
              <w:overflowPunct/>
              <w:topLinePunct w:val="0"/>
              <w:autoSpaceDE/>
              <w:autoSpaceDN/>
              <w:bidi w:val="0"/>
              <w:adjustRightInd/>
              <w:snapToGrid/>
              <w:spacing w:line="440" w:lineRule="exac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金属检测：可检测到1个回形针大小的铁磁性金属，有效进行违规物品核验；</w:t>
            </w:r>
          </w:p>
          <w:p>
            <w:pPr>
              <w:keepNext w:val="0"/>
              <w:keepLines w:val="0"/>
              <w:pageBreakBefore w:val="0"/>
              <w:widowControl/>
              <w:kinsoku/>
              <w:wordWrap/>
              <w:overflowPunct/>
              <w:topLinePunct w:val="0"/>
              <w:autoSpaceDE/>
              <w:autoSpaceDN/>
              <w:bidi w:val="0"/>
              <w:adjustRightInd/>
              <w:snapToGrid/>
              <w:spacing w:line="440" w:lineRule="exac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联网功能：可实现联网互通，搭配平台进行人脸数据、客流数据、报警数据、通过人员和温度精准匹配等数据进行汇聚应用；</w:t>
            </w:r>
          </w:p>
          <w:p>
            <w:pPr>
              <w:keepNext w:val="0"/>
              <w:keepLines w:val="0"/>
              <w:pageBreakBefore w:val="0"/>
              <w:widowControl/>
              <w:kinsoku/>
              <w:wordWrap/>
              <w:overflowPunct/>
              <w:topLinePunct w:val="0"/>
              <w:autoSpaceDE/>
              <w:autoSpaceDN/>
              <w:bidi w:val="0"/>
              <w:adjustRightInd/>
              <w:snapToGrid/>
              <w:spacing w:line="440" w:lineRule="exac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多区位报警功能：人体不同位置的多个金属通过安检门时会同时报警，并可以指示多个金属的位置，最多支持12区位。</w:t>
            </w:r>
          </w:p>
          <w:p>
            <w:pPr>
              <w:keepNext w:val="0"/>
              <w:keepLines w:val="0"/>
              <w:pageBreakBefore w:val="0"/>
              <w:widowControl/>
              <w:kinsoku/>
              <w:wordWrap/>
              <w:overflowPunct/>
              <w:topLinePunct w:val="0"/>
              <w:autoSpaceDE/>
              <w:autoSpaceDN/>
              <w:bidi w:val="0"/>
              <w:adjustRightInd/>
              <w:snapToGrid/>
              <w:spacing w:line="440" w:lineRule="exac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模块化组件设计：运输、维护方便快捷。</w:t>
            </w:r>
          </w:p>
          <w:p>
            <w:pPr>
              <w:keepNext w:val="0"/>
              <w:keepLines w:val="0"/>
              <w:pageBreakBefore w:val="0"/>
              <w:widowControl/>
              <w:kinsoku/>
              <w:wordWrap/>
              <w:overflowPunct/>
              <w:topLinePunct w:val="0"/>
              <w:autoSpaceDE/>
              <w:autoSpaceDN/>
              <w:bidi w:val="0"/>
              <w:adjustRightInd/>
              <w:snapToGrid/>
              <w:spacing w:line="440" w:lineRule="exac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接口功能：1路报警输入/输出，1路音频输入/输出。</w:t>
            </w:r>
          </w:p>
          <w:p>
            <w:pPr>
              <w:keepNext w:val="0"/>
              <w:keepLines w:val="0"/>
              <w:pageBreakBefore w:val="0"/>
              <w:widowControl/>
              <w:kinsoku/>
              <w:wordWrap/>
              <w:overflowPunct/>
              <w:topLinePunct w:val="0"/>
              <w:autoSpaceDE/>
              <w:autoSpaceDN/>
              <w:bidi w:val="0"/>
              <w:adjustRightInd/>
              <w:snapToGrid/>
              <w:spacing w:line="440" w:lineRule="exac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系统参数 电源输入 220V</w:t>
            </w:r>
          </w:p>
          <w:p>
            <w:pPr>
              <w:keepNext w:val="0"/>
              <w:keepLines w:val="0"/>
              <w:pageBreakBefore w:val="0"/>
              <w:widowControl/>
              <w:kinsoku/>
              <w:wordWrap/>
              <w:overflowPunct/>
              <w:topLinePunct w:val="0"/>
              <w:autoSpaceDE/>
              <w:autoSpaceDN/>
              <w:bidi w:val="0"/>
              <w:adjustRightInd/>
              <w:snapToGrid/>
              <w:spacing w:line="440" w:lineRule="exac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功率 小于20W</w:t>
            </w:r>
          </w:p>
          <w:p>
            <w:pPr>
              <w:keepNext w:val="0"/>
              <w:keepLines w:val="0"/>
              <w:pageBreakBefore w:val="0"/>
              <w:widowControl/>
              <w:kinsoku/>
              <w:wordWrap/>
              <w:overflowPunct/>
              <w:topLinePunct w:val="0"/>
              <w:autoSpaceDE/>
              <w:autoSpaceDN/>
              <w:bidi w:val="0"/>
              <w:adjustRightInd/>
              <w:snapToGrid/>
              <w:spacing w:line="440" w:lineRule="exac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工作温度和湿度：-10℃─55℃，95%，无冷凝</w:t>
            </w:r>
          </w:p>
          <w:p>
            <w:pPr>
              <w:pStyle w:val="19"/>
              <w:keepNext w:val="0"/>
              <w:keepLines w:val="0"/>
              <w:pageBreakBefore w:val="0"/>
              <w:kinsoku/>
              <w:wordWrap/>
              <w:overflowPunct/>
              <w:topLinePunct w:val="0"/>
              <w:autoSpaceDE/>
              <w:autoSpaceDN/>
              <w:bidi w:val="0"/>
              <w:adjustRightInd/>
              <w:snapToGrid/>
              <w:spacing w:line="440" w:lineRule="exact"/>
              <w:ind w:left="0" w:leftChars="0" w:firstLine="0" w:firstLineChars="0"/>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★温度异常报警功能：当检测到人员体温超过预设值时，可发出语音及提示及声光报警信息、联动抓图并将图片上传，图片包括可见光图片及热成像图片，可在图片上叠加温度信息（提供检测报告）</w:t>
            </w:r>
          </w:p>
        </w:tc>
        <w:tc>
          <w:tcPr>
            <w:tcW w:w="75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758"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88"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w:t>
            </w:r>
          </w:p>
        </w:tc>
        <w:tc>
          <w:tcPr>
            <w:tcW w:w="765"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**保障智能服务</w:t>
            </w:r>
          </w:p>
        </w:tc>
        <w:tc>
          <w:tcPr>
            <w:tcW w:w="915"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24盘位网络录像机</w:t>
            </w:r>
          </w:p>
        </w:tc>
        <w:tc>
          <w:tcPr>
            <w:tcW w:w="621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4U标准机架式IP存储/X86架构/嵌入式软硬件设计</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全插拔模块化无线缆设计 双电源</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128路H.265、H.264混合接入</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512M接入/512M存储/512M转发</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24盘位，可满配10T硬盘</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1个eSATA，支持Raid</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2个HDMI、1个VGA，HDMI双4K异源输出（可选配液晶屏）</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20路1080P或5路4K H.265、H.264混合解码</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报警16进8出</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4个千兆网口</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1个USB2.0，2个USB3.0</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Smart 2.0/整机热备/VQD视频质量诊断/SMD（普通IPC区域入侵、越界侦测检测）</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选配扩展板可增加的接口：报警32进16出/4个千兆光口/8个RS-485串行接口</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接入带有人体测温功能的IPC，支持在预览界面以卡片形式实时展示体温信息，体温正常为绿色，体温异常为红色，支持根据体温状态联动语音输出，语音支持“体温正常”“体温异常”。支持按体温状态、温度范围检索人脸图片。（提供检测报告）</w:t>
            </w:r>
          </w:p>
        </w:tc>
        <w:tc>
          <w:tcPr>
            <w:tcW w:w="75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w:t>
            </w:r>
          </w:p>
        </w:tc>
        <w:tc>
          <w:tcPr>
            <w:tcW w:w="758"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88"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w:t>
            </w:r>
          </w:p>
        </w:tc>
        <w:tc>
          <w:tcPr>
            <w:tcW w:w="765"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**保障智能服务</w:t>
            </w:r>
          </w:p>
        </w:tc>
        <w:tc>
          <w:tcPr>
            <w:tcW w:w="915"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监控硬盘</w:t>
            </w:r>
          </w:p>
        </w:tc>
        <w:tc>
          <w:tcPr>
            <w:tcW w:w="621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高转速：7200RPM</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支持32路AI流、RAID应用(搭配NVR)</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MTBF(平均故障间隔时间)：不小于150万小时</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年写入负载：不小于360TB</w:t>
            </w:r>
          </w:p>
        </w:tc>
        <w:tc>
          <w:tcPr>
            <w:tcW w:w="75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42</w:t>
            </w:r>
          </w:p>
        </w:tc>
        <w:tc>
          <w:tcPr>
            <w:tcW w:w="758"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88"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w:t>
            </w:r>
          </w:p>
        </w:tc>
        <w:tc>
          <w:tcPr>
            <w:tcW w:w="765"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**保障智能服务</w:t>
            </w:r>
          </w:p>
        </w:tc>
        <w:tc>
          <w:tcPr>
            <w:tcW w:w="915"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半球型网络摄像机</w:t>
            </w:r>
          </w:p>
        </w:tc>
        <w:tc>
          <w:tcPr>
            <w:tcW w:w="621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400万 1/3" CMOS ICR星光级半球型网络摄像机</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支持Smart侦测：越界侦测，区域入侵侦测，进入区域侦测，离开区域侦测，场景变更侦测，物品拿取侦测，物品遗留侦测，徘徊侦测，快速移动侦测</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最低照度: 彩色：0.005 Lux @（F1.2，AGC ON），黑白：0 Lux with IR</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宽动态: 120 dB</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调节角度: 水平：0°~355°，垂直：0°~75°</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焦距&amp;视场角: 4 mm，水平视场角：79°，垂直视场角：42.4°，对角线视场角：93.3°（2.8 mm，6 mm，8 mm可选）</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补光灯类型: 红外灯</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补光距离: 最远可达30 m</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最大图像尺寸: 2688 × 1520（默认2560 × 1440）</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视频压缩标准: 主码流：H.265/H.264</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网络存储: 支持NAS（NFS，SMB/CIFS均支持）</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网络: 1个RJ45 10 M/100 M自适应以太网口</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SD卡扩展: 内置MicroSD(即TF卡)/MicroSDHC/MicroSDXC插槽，最大支持256 GB</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音频: 1个内置麦克风；1路输入（Line in），1路输出（Line out）</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报警: 1路输入，1路输出（报警输出最大支持DC12 V，30 mA）</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复位: 支持</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电源输出: DC12 V，100 mA电源输出，建议用于拾音器供电</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启动和工作温湿度: -30 ℃~60 ℃，湿度小于95%（无凝结）</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电流及功耗: DC：12 V，0.5 A，最大功耗：5 W；PoE：802.3af，36 V~57 V，0.25 A~0.15 A，最大功耗：7.5 W</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供电方式: DC：12 V ± 25%；PoE：802.3af，Class 3</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电源接口类型: Ø5.5 mm圆口</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防护: IP66</w:t>
            </w:r>
          </w:p>
        </w:tc>
        <w:tc>
          <w:tcPr>
            <w:tcW w:w="75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36</w:t>
            </w:r>
          </w:p>
        </w:tc>
        <w:tc>
          <w:tcPr>
            <w:tcW w:w="758"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88"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7</w:t>
            </w:r>
          </w:p>
        </w:tc>
        <w:tc>
          <w:tcPr>
            <w:tcW w:w="765"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**保障智能服务</w:t>
            </w:r>
          </w:p>
        </w:tc>
        <w:tc>
          <w:tcPr>
            <w:tcW w:w="915"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400万1/3"CMOS ICR智能变焦半球网络摄像机</w:t>
            </w:r>
          </w:p>
        </w:tc>
        <w:tc>
          <w:tcPr>
            <w:tcW w:w="621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400万1/3"CMOS ICR智能变焦半球网络摄像机</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采用深度学习硬件及算法，提供精准的人车分类侦测，支持越界侦测，区域入侵侦测，进入区域侦测和离开区域侦测</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支持对运动人脸进行检测，跟踪，抓拍，评分，筛选，输出最优的人脸抓图</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最小照度: 彩色：0.005 Lux @（F1.2，AGC ON），0 Lux with IR</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宽动态范围: 120 dB</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调整角度: 水平：0°~355°；垂直：0°~75°；旋转：0°~355°</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镜头: 2.7~12 mm：水平视场角：105.3-34.2°; 垂直视场角：55.1-19.3°; 对角线视场角：125.8-39.5°</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红外波长范围: 850 nm</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红外距离: 2.7~12 mm：最远可达30 m</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最大图像尺寸: 2560 × 1440</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视频压缩标准: 主码流：H.265/H.264</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网络存储: 支持NAS（NFS，SMB/CIFS均支持），支持MicroSD(即TF卡)/MicroSDHC/MicroSDXC卡（最大256 GB），断网本地录像存储及断网续传，支持SD卡加密及SD卡状态检测</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网络: 1个RJ45 10 M/100 M自适应以太网口</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音频:1路输入（Line in），1路输出（Line out），1个内置麦克风，1个内置扬声器</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报警: 1路输入，1路输出（报警输出最大支持DC24 V，1 A或AC24 V，1 A）</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电源输出: DC12 V，100 mA，建议用于拾音器供电</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启动和工作温湿度: -30 ℃~60 ℃，湿度小于95%（无凝结）</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电流及功耗: DC：12 V，0.92 A，最大功耗：11 W; PoE：（802.3af，36 V~57 V），0.23 A~0.36 A，最大功耗：12.9 W</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供电方式: DC：12 V ± 20%; PoE：802.3af</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电源接口类型: Ø5.5 mm圆口</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防水防尘：IP67</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防暴：IK08</w:t>
            </w:r>
          </w:p>
        </w:tc>
        <w:tc>
          <w:tcPr>
            <w:tcW w:w="75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7</w:t>
            </w:r>
          </w:p>
        </w:tc>
        <w:tc>
          <w:tcPr>
            <w:tcW w:w="758"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88"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8</w:t>
            </w:r>
          </w:p>
        </w:tc>
        <w:tc>
          <w:tcPr>
            <w:tcW w:w="765"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**保障智能服务</w:t>
            </w:r>
          </w:p>
        </w:tc>
        <w:tc>
          <w:tcPr>
            <w:tcW w:w="915"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模拟拾音器</w:t>
            </w:r>
          </w:p>
        </w:tc>
        <w:tc>
          <w:tcPr>
            <w:tcW w:w="621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模拟拾音器</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采用高灵敏度高保真麦克风，全向拾音、声音清晰、抗干扰能力强</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内置输出级驱动电路，可直接驱动耳机等</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适合近距离拾音，最佳拾音范围在3米之内</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自带拾音距离调节旋钮，可根据现场需要调节音量</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适用于柜台，收银，谈话桌，会议录音等场所</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拾音头内置雷击保护、电源极性反转保护和电源保护模块</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创新电路设计，内容清晰，音效高保真</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支持吸顶安装、桌面安装和壁装</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支持音量调节功能，与主机级联后可通过后台软件切换通道并调节音量</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支持集中供电、摄像机供电、直流电源供电，无需专用电源</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麦克风: 一个高灵敏度全指向驻极体麦</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动态范围: 0 dB~90 dB</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最大承受音压: 120 dBSPL</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拾音范围: 0 m~5 m</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灵敏度: -32 dB</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输出信号幅度: 2.5 Vpp</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信噪比: 90 dB</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频率响应: 20 Hz~20 kHz</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音频传输距离: ≥500 m</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接口类型: LINE OUT</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输出阻抗: 600Ω</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电源电压: DC12V</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保护电路: 雷击保护、电源极性反转保护、静电防护</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工作温度: -10℃～50℃（室内）</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安装方式: 吸顶装，壁装，桌面装</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材质: 塑料</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功耗: 0.1 W MAX</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降噪调节: 数字降噪，自适应调节（和主机搭配使用时支持）</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音量调节: 支持软件调节（与主拾音器级联时可用）</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指向特性: 全指向</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采样率: 8khz、16khz、32khz可选，默认16khz</w:t>
            </w:r>
          </w:p>
        </w:tc>
        <w:tc>
          <w:tcPr>
            <w:tcW w:w="75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7</w:t>
            </w:r>
          </w:p>
        </w:tc>
        <w:tc>
          <w:tcPr>
            <w:tcW w:w="758"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88"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9</w:t>
            </w:r>
          </w:p>
        </w:tc>
        <w:tc>
          <w:tcPr>
            <w:tcW w:w="765"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**保障智能服务</w:t>
            </w:r>
          </w:p>
        </w:tc>
        <w:tc>
          <w:tcPr>
            <w:tcW w:w="915"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测温摄像机</w:t>
            </w:r>
          </w:p>
        </w:tc>
        <w:tc>
          <w:tcPr>
            <w:tcW w:w="621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【400万+声光报警】热成像双光谱半球型网络摄像机</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热成像：分辨率：160×120；焦距：2mm；视场角：90° × 66.4°</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可见光：分辨率：2688×1520，400万；焦距：2mm；视场角：119.3°×93.3°</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测温精度：±8℃或量程的±8% ℃ （取最大值）</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测温范围：-20℃~150℃；</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人员周界最远报警距离（以1.8米*0.5米为准）：14m</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车辆周界最远报警距离（以4米*1.4米为准）：42m</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目标物最远测温距离（以0.1米*0.1米为准）：2.2m</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火点最远报警距离（以0.1米*0.1米为准）：10m</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吸烟检测最远报警距离：2m</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支持15米红外补光</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电源：DC 12 V（±25%）或PoE (802.3af, class 3)</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工作温度和湿度：-40℃~70℃，湿度小于95%</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防护等级：IP66</w:t>
            </w:r>
          </w:p>
        </w:tc>
        <w:tc>
          <w:tcPr>
            <w:tcW w:w="75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w:t>
            </w:r>
          </w:p>
        </w:tc>
        <w:tc>
          <w:tcPr>
            <w:tcW w:w="758"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88"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w:t>
            </w:r>
          </w:p>
        </w:tc>
        <w:tc>
          <w:tcPr>
            <w:tcW w:w="765"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**保障智能服务</w:t>
            </w:r>
          </w:p>
        </w:tc>
        <w:tc>
          <w:tcPr>
            <w:tcW w:w="915"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三脚架</w:t>
            </w:r>
          </w:p>
        </w:tc>
        <w:tc>
          <w:tcPr>
            <w:tcW w:w="621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螺丝尺寸： 1/4-20UNC</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节数： 3</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最低： 710mm</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最高： 1800mm</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最大管径： 29.3mm</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最小管径： 23mm</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自重： 1.66kg</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最大负重： 5kg</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材质：塑料材质</w:t>
            </w:r>
          </w:p>
        </w:tc>
        <w:tc>
          <w:tcPr>
            <w:tcW w:w="75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w:t>
            </w:r>
          </w:p>
        </w:tc>
        <w:tc>
          <w:tcPr>
            <w:tcW w:w="758"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88"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11</w:t>
            </w:r>
          </w:p>
        </w:tc>
        <w:tc>
          <w:tcPr>
            <w:tcW w:w="765"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**保障智能服务</w:t>
            </w:r>
          </w:p>
        </w:tc>
        <w:tc>
          <w:tcPr>
            <w:tcW w:w="915"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半球-三脚架转接支架</w:t>
            </w:r>
          </w:p>
        </w:tc>
        <w:tc>
          <w:tcPr>
            <w:tcW w:w="621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三角架转接件，和三脚架搭配使用。</w:t>
            </w:r>
          </w:p>
        </w:tc>
        <w:tc>
          <w:tcPr>
            <w:tcW w:w="75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w:t>
            </w:r>
          </w:p>
        </w:tc>
        <w:tc>
          <w:tcPr>
            <w:tcW w:w="758"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88"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12</w:t>
            </w:r>
          </w:p>
        </w:tc>
        <w:tc>
          <w:tcPr>
            <w:tcW w:w="765"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**保障智能服务</w:t>
            </w:r>
          </w:p>
        </w:tc>
        <w:tc>
          <w:tcPr>
            <w:tcW w:w="915"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半球型网络摄像机</w:t>
            </w:r>
          </w:p>
        </w:tc>
        <w:tc>
          <w:tcPr>
            <w:tcW w:w="621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400万 1/3" CMOS ICR日夜型半球型网络摄像机</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支持Smart侦测：10项事件检测，1项异常检测</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最低照度: 彩色：0.005 Lux @（F1.2，AGC ON)），黑白：0 Lux with IR</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宽动态: 120 dB</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 xml:space="preserve">调节角度: 水平：0°~360°，垂直：0°~75°，旋转：0°~360° </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 xml:space="preserve">焦距&amp;视场角:  </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2.8 mm，水平视场角：97°，垂直视场角：52.3°，对角线视场角：114.3°</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4 mm，水平视场角：78.8°，垂直视场角：40.5°，对角线视场角：93.9°</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6 mm，水平视场角：49.1°，垂直视场角：26.3°，对角线视场角：57.2°</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8 mm，水平视场角：37.5°，垂直视场角：20.7°，对角线视场角：43.3°</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补光灯类型: 红外灯</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补光距离: 最远可达30 m</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波长范围: 850 nm</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防补光过曝: 支持</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最大图像尺寸: 2560 × 1440</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视频压缩标准: 主码流：H.265/H.264</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网络存储: 支持NAS（NFS，SMB/CIFS均支持）</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音频:1个内置麦克风</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网络:1个RJ45 10 M/100 M自适应以太网口</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存储温湿度: -30 ℃~60 ℃，湿度小于95%（无凝结）</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启动和工作温湿度: -30 ℃~60 ℃，湿度小于95%（无凝结）</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供电方式: DC：12 V ± 25%，支持防反接保护；PoE：802.3af，Class 3</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电流及功耗: DC： 12 V，0.41 A，最大功耗：5 W；PoE：802.3af，36 V~57 V，0.18 A ~0.11 A，最大功耗：6.5 W</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电源接口类型: Ø5.5 mm圆口</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防护: IP66</w:t>
            </w:r>
          </w:p>
        </w:tc>
        <w:tc>
          <w:tcPr>
            <w:tcW w:w="75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36</w:t>
            </w:r>
          </w:p>
        </w:tc>
        <w:tc>
          <w:tcPr>
            <w:tcW w:w="758"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88"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13</w:t>
            </w:r>
          </w:p>
        </w:tc>
        <w:tc>
          <w:tcPr>
            <w:tcW w:w="765"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**保障智能服务</w:t>
            </w:r>
          </w:p>
        </w:tc>
        <w:tc>
          <w:tcPr>
            <w:tcW w:w="915"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防油污相机</w:t>
            </w:r>
          </w:p>
        </w:tc>
        <w:tc>
          <w:tcPr>
            <w:tcW w:w="621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传感器类型: 1/2.7” Progressive Scan CMOS</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最低照度: 彩色: 0.005Lux @ (F1.2, AGC ON) 黑白: 0.0002 Lux @ (F1.2, AGC ON), 0 Lux with IR</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宽动态: 超宽动态范围达120dB，室内逆光环境下监控</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焦距＆视场角: （变焦）2.8-12mm @ F1.2,水平视场角：103°~34°，垂直视场角：55°~19°，对角线视场角：123°~39°</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红外距离: 2.8-12mm：50米</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视频压缩标准: H.265/H.264 / MJPEG</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最大图像尺寸: 1920×1080</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支持将智能资源分配设置为Smart事件。</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可通过IE浏览器查看设备芯片类型和算法版本号。</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防护: IP66</w:t>
            </w:r>
          </w:p>
        </w:tc>
        <w:tc>
          <w:tcPr>
            <w:tcW w:w="75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w:t>
            </w:r>
          </w:p>
        </w:tc>
        <w:tc>
          <w:tcPr>
            <w:tcW w:w="758"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88"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14</w:t>
            </w:r>
          </w:p>
        </w:tc>
        <w:tc>
          <w:tcPr>
            <w:tcW w:w="765"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**保障智能服务</w:t>
            </w:r>
          </w:p>
        </w:tc>
        <w:tc>
          <w:tcPr>
            <w:tcW w:w="915"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摄像机支架</w:t>
            </w:r>
          </w:p>
        </w:tc>
        <w:tc>
          <w:tcPr>
            <w:tcW w:w="621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壁装支架</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适用范围 适合枪型、筒型、一体型摄像机壁装</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材料 铝合金</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调整角度 水平：360°，垂直：-45°~45°</w:t>
            </w:r>
          </w:p>
        </w:tc>
        <w:tc>
          <w:tcPr>
            <w:tcW w:w="75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w:t>
            </w:r>
          </w:p>
        </w:tc>
        <w:tc>
          <w:tcPr>
            <w:tcW w:w="758"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88"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15</w:t>
            </w:r>
          </w:p>
        </w:tc>
        <w:tc>
          <w:tcPr>
            <w:tcW w:w="765"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**保障智能服务</w:t>
            </w:r>
          </w:p>
        </w:tc>
        <w:tc>
          <w:tcPr>
            <w:tcW w:w="915"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鹰眼摄像机</w:t>
            </w:r>
          </w:p>
        </w:tc>
        <w:tc>
          <w:tcPr>
            <w:tcW w:w="621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1600万蓝宝石AR鹰眼相机</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 xml:space="preserve">视频分辨率： </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细节通道：400万像素；全景通道：1600万像素</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传感器类型：</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细节通道：1/1.8" Progressive Scan CMOS；全景通道：1/1.8" Progressive Scan CMOS</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最低照度：</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细节通道：彩色：0.0005 Lux；黑白：0.0001 Lux</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全景通道：彩色：0.0005 Lux；黑白：0.0001 Lux</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设计：</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焦距：细节通道： 6-240mm，40倍光学变倍；全景通道：2.8mm</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操控性：水平0-360°，垂直-15-90°；</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★智能能力：支持点击联动、目标自动跟踪、多目标自动切换跟踪、移动标签相关功能功能；支持全景和细节的标签映射，同一目标只需标定一次。内置不少于3个GPU芯片（提供功能截图）</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★摄像机内置除湿器，可对内部进行除湿，除去玻璃罩上的水状附着物（提供检测报告）</w:t>
            </w:r>
          </w:p>
        </w:tc>
        <w:tc>
          <w:tcPr>
            <w:tcW w:w="75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4 </w:t>
            </w:r>
          </w:p>
        </w:tc>
        <w:tc>
          <w:tcPr>
            <w:tcW w:w="758"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88"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16</w:t>
            </w:r>
          </w:p>
        </w:tc>
        <w:tc>
          <w:tcPr>
            <w:tcW w:w="765"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**保障智能服务</w:t>
            </w:r>
          </w:p>
        </w:tc>
        <w:tc>
          <w:tcPr>
            <w:tcW w:w="915"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支架</w:t>
            </w:r>
          </w:p>
        </w:tc>
        <w:tc>
          <w:tcPr>
            <w:tcW w:w="621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长壁装/铂晶灰/铝合金</w:t>
            </w:r>
          </w:p>
        </w:tc>
        <w:tc>
          <w:tcPr>
            <w:tcW w:w="75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4 </w:t>
            </w:r>
          </w:p>
        </w:tc>
        <w:tc>
          <w:tcPr>
            <w:tcW w:w="758"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88"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17</w:t>
            </w:r>
          </w:p>
        </w:tc>
        <w:tc>
          <w:tcPr>
            <w:tcW w:w="765"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**保障智能服务</w:t>
            </w:r>
          </w:p>
        </w:tc>
        <w:tc>
          <w:tcPr>
            <w:tcW w:w="915"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防入侵摄像机</w:t>
            </w:r>
          </w:p>
        </w:tc>
        <w:tc>
          <w:tcPr>
            <w:tcW w:w="621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400万 星光级 1/3" CMOS 智能筒型网络摄像机</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采用深度学习硬件及算法，支持越界侦测，区域入侵侦测，进入区域侦测和离开区域侦测，支持联动闪光报警灯，联动声音报警</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最低照度: 彩色：0.005 Lux @（F1.2，AGC ON），0 Lux with IR</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宽动态: 120 dB</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 xml:space="preserve">焦距&amp;视场角: </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4 mm，水平视场角：79°，垂直视场角：42.4°，对角线视场角：93.3°</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6 mm，水平视场角：49.1°，垂直视场角：26.3°，对角线视场角：57.2°</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8 mm，水平视场角：37.5°，垂直视场角：20.7°，对角线视场角：43.3°</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12 mm，水平视场角：23.4°，垂直视场角：13.2°，对角线视场角：26.8°</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红外距离: 最远可达50 m</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波长范围: 850 nm</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防补光过曝: 支持</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闪光报警: 支持</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最大图像尺寸: 2560 × 1440</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视频压缩标准: 主码流：H.265/H.264</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网络存储: 支持NAS（NFS，SMB/CIFS均支持），支持Micro SD(即TF卡)/Micro SDHC/Micro SDXC卡（最大256 GB），断网本地录像存储及断网续传，支持SD卡加密及SD卡状态检测</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报警: 1路输入，1路输出（报警输出最大支持DC24 V，1 A或AC110 V，500 mA）</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音频: 1路输入（Line in）：2芯端子；1路输出（Line out）：2芯端子，1个内置麦克风，1个内置扬声器</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复位: 支持</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网络: 1个RJ45 10 M/100 M自适应以太网口</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电源输出: DC12 V，100 mA，用于拾音器供电</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启动及工作温湿度: -30 ℃~60 ℃，湿度小于95%（无凝结）</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供电方式: DC：12 V ± 25%，支持防反接保护；PoE：802.3af，Class 3</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电流及功耗: DC：12 V，0.84 A，最大功耗：10 W；PoE：802.3af，36 V~57 V，0.35 A~0.22 A，最大功耗：12.5 W</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电源接口类型: Ø5.5 mm圆口</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防护: IP67</w:t>
            </w:r>
          </w:p>
        </w:tc>
        <w:tc>
          <w:tcPr>
            <w:tcW w:w="75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17 </w:t>
            </w:r>
          </w:p>
        </w:tc>
        <w:tc>
          <w:tcPr>
            <w:tcW w:w="758"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88"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18</w:t>
            </w:r>
          </w:p>
        </w:tc>
        <w:tc>
          <w:tcPr>
            <w:tcW w:w="765"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**保障智能服务</w:t>
            </w:r>
          </w:p>
        </w:tc>
        <w:tc>
          <w:tcPr>
            <w:tcW w:w="915"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网络摄像机</w:t>
            </w:r>
          </w:p>
        </w:tc>
        <w:tc>
          <w:tcPr>
            <w:tcW w:w="621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400万1/3”CMOS ICR红外阵列筒型网络摄像机</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最低照度: 彩色：0.005 Lux @（F1.2，AGC ON），0 Lux with IR</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宽动态: 120 dB</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焦距&amp;视场角: 4 mm，水平视场角：78°（2.8 mm，6 mm，8 mm可选）</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红外距离: 最远可达30 m</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最大图像尺寸: 2560 × 1440</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视频压缩标准: 主码流：H.265/H.264</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网络存储: 支持NAS（NFS，SMB/CIFS均支持），支持Micro SD(即TF卡)/Micro SDHC/Micro SDXC卡（最大256 GB），断网本地录像存储及断网续传，支持SD卡加密及SD卡状态检测</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音频: 1个内置麦克风; 1路输入（Line in），1路输出（Line out）</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报警: 1路报警输入，1路报警输出（报警输出最大支持DC12 V，30 mA）</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网络: 1个RJ45 10 M/100 M自适应以太网口</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复位: 支持</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电源输出: DC12 V，100 mA，建议用于拾音器供电</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启动和工作温湿度: -30 ℃~60 ℃，湿度小于95%（无凝结）</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供电方式: DC：12 V±25%，支持防反接保护；PoE：802.3af</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电流及功耗: DC：12 V，0.55 A，最大功耗：6 W；PoE：802.3af，36 V~57 V，0.21 A~0.14 A，最大功耗：7 W</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电源接口类型: Ø5.5 mm圆头电源接口</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防护: IP66</w:t>
            </w:r>
          </w:p>
        </w:tc>
        <w:tc>
          <w:tcPr>
            <w:tcW w:w="75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2 </w:t>
            </w:r>
          </w:p>
        </w:tc>
        <w:tc>
          <w:tcPr>
            <w:tcW w:w="758"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88"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19</w:t>
            </w:r>
          </w:p>
        </w:tc>
        <w:tc>
          <w:tcPr>
            <w:tcW w:w="765"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**保障智能服务</w:t>
            </w:r>
          </w:p>
        </w:tc>
        <w:tc>
          <w:tcPr>
            <w:tcW w:w="915"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摄像机支架</w:t>
            </w:r>
          </w:p>
        </w:tc>
        <w:tc>
          <w:tcPr>
            <w:tcW w:w="621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定制支架</w:t>
            </w:r>
          </w:p>
        </w:tc>
        <w:tc>
          <w:tcPr>
            <w:tcW w:w="75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19 </w:t>
            </w:r>
          </w:p>
        </w:tc>
        <w:tc>
          <w:tcPr>
            <w:tcW w:w="758"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88"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20</w:t>
            </w:r>
          </w:p>
        </w:tc>
        <w:tc>
          <w:tcPr>
            <w:tcW w:w="765"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**保障智能服务</w:t>
            </w:r>
          </w:p>
        </w:tc>
        <w:tc>
          <w:tcPr>
            <w:tcW w:w="915"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设备箱</w:t>
            </w:r>
          </w:p>
        </w:tc>
        <w:tc>
          <w:tcPr>
            <w:tcW w:w="621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不锈钢304材质3-5年防锈 箱体不小于500*400*450mm，内含2P空开、导轨等</w:t>
            </w:r>
          </w:p>
        </w:tc>
        <w:tc>
          <w:tcPr>
            <w:tcW w:w="75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4 </w:t>
            </w:r>
          </w:p>
        </w:tc>
        <w:tc>
          <w:tcPr>
            <w:tcW w:w="758"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88"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21</w:t>
            </w:r>
          </w:p>
        </w:tc>
        <w:tc>
          <w:tcPr>
            <w:tcW w:w="765"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**保障智能服务</w:t>
            </w:r>
          </w:p>
        </w:tc>
        <w:tc>
          <w:tcPr>
            <w:tcW w:w="915"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电梯专用摄像机</w:t>
            </w:r>
          </w:p>
        </w:tc>
        <w:tc>
          <w:tcPr>
            <w:tcW w:w="621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400万 1/3”CMOS日夜型迷你半球型网络摄像机</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支持Smart侦测：10项事件检测，1项异常检测，支持音频异常侦测，音频抖升侦测，音频抖降侦测</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最低照度: 彩色：0.005 Lux @（F1.2，AGC ON），0 Lux with IR</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宽动态: 120 dB</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调节角度: 水平：-30°~30°，垂直：0°~75°，旋转：0°~360°</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 xml:space="preserve">焦距&amp;视场角:  </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2.8 mm：水平视场角：98.5°，垂直视场角：52.8°，对角视场角：116.2°</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4 mm：水平视场角：79°，垂直视场角：42.4°，对角视场角：93.3°</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6 mm：水平视场角：49°，垂直视场角：26.3°，对角视场角：57.2°</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补光灯类型: 红外灯</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补光距离: 最远可达10 m</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最大图像尺寸: 2560 × 1440</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视频压缩标准: 主码流：H.265/H.264</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网络存储: 支持NAS（NFS，SMB/CIFS均支持），支持MicroSD(即TF卡)/MicroSDHC/MicroSDXC卡（最大256 GB）</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网络: 1个RJ45 10 M/100 M自适应以太网口</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音频: 1个内置麦克风，1路输入（Line in），1路输出（Line out）</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报警: 1路输入，1路输出（报警输出最大支持DC12 V，30 mA）</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复位: 支持</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启动和工作温湿度: -30 ℃~60 ℃，湿度小于95%（无凝结）</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 xml:space="preserve">电流及功耗: DC：12 V，0.54 A，最大功耗：6.5 W；PoE：802.3af，36 V~57 V，0.20 A~0.13 A，最大功耗：7.5 W </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 xml:space="preserve">供电方式: DC：12 V ± 25%；PoE：802.3af，Class 3 </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电源接口类型: Ø5.5 mm圆口</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防护: IP66，IK08</w:t>
            </w:r>
          </w:p>
        </w:tc>
        <w:tc>
          <w:tcPr>
            <w:tcW w:w="75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758"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88"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22</w:t>
            </w:r>
          </w:p>
        </w:tc>
        <w:tc>
          <w:tcPr>
            <w:tcW w:w="765"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**保障智能服务</w:t>
            </w:r>
          </w:p>
        </w:tc>
        <w:tc>
          <w:tcPr>
            <w:tcW w:w="915"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电梯无线网桥</w:t>
            </w:r>
          </w:p>
        </w:tc>
        <w:tc>
          <w:tcPr>
            <w:tcW w:w="621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2.4G电梯网桥，802.11n制式</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成对包装，距离200米</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2网口设计</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成对包装</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支持轻智能统一管理功能</w:t>
            </w:r>
          </w:p>
        </w:tc>
        <w:tc>
          <w:tcPr>
            <w:tcW w:w="75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758"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88"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23</w:t>
            </w:r>
          </w:p>
        </w:tc>
        <w:tc>
          <w:tcPr>
            <w:tcW w:w="765"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**保障智能服务</w:t>
            </w:r>
          </w:p>
        </w:tc>
        <w:tc>
          <w:tcPr>
            <w:tcW w:w="915"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高清矩阵</w:t>
            </w:r>
          </w:p>
        </w:tc>
        <w:tc>
          <w:tcPr>
            <w:tcW w:w="621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5U机箱+4路DVI输入（支持转VGA或HDMI）+4路HDMI输出+单主控板+单电源；整机支持解码6路2400W@25fps、或12路1200W@25fps、或24路800W@25fps、或48路400W@25fps、或 96路200W@30fps，192路720P@30fps，或192路4CIF@30fps以下分辨率</w:t>
            </w:r>
          </w:p>
        </w:tc>
        <w:tc>
          <w:tcPr>
            <w:tcW w:w="75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758"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88"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24</w:t>
            </w:r>
          </w:p>
        </w:tc>
        <w:tc>
          <w:tcPr>
            <w:tcW w:w="765"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**保障智能服务</w:t>
            </w:r>
          </w:p>
        </w:tc>
        <w:tc>
          <w:tcPr>
            <w:tcW w:w="915"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49寸拼接屏</w:t>
            </w:r>
          </w:p>
        </w:tc>
        <w:tc>
          <w:tcPr>
            <w:tcW w:w="621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LCD液晶显示单元；LG面板</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尺寸：49英寸；</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分辨率：1920x1080；</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视角：178°(水平)/ 178°(垂直)；</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响应时间：8ms(G to G)；</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对比度：1000:1；</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亮度：500cd/㎡；</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物理拼缝：1.8mm；</w:t>
            </w:r>
          </w:p>
        </w:tc>
        <w:tc>
          <w:tcPr>
            <w:tcW w:w="75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w:t>
            </w:r>
          </w:p>
        </w:tc>
        <w:tc>
          <w:tcPr>
            <w:tcW w:w="758"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88"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25</w:t>
            </w:r>
          </w:p>
        </w:tc>
        <w:tc>
          <w:tcPr>
            <w:tcW w:w="765"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**保障智能服务</w:t>
            </w:r>
          </w:p>
        </w:tc>
        <w:tc>
          <w:tcPr>
            <w:tcW w:w="915"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模块化框架</w:t>
            </w:r>
          </w:p>
        </w:tc>
        <w:tc>
          <w:tcPr>
            <w:tcW w:w="621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支架采用SPCC优质冷轧钢板保障质量的源头；表面采用静电喷塑工艺，喷塑固化温度180-210度，涂层厚度80-100微米，对高防腐要求产品还可选择阴极电泳底漆工艺，防腐耐锈。</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厚度：330mm</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弧度：0°</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开门及封板：底座前封板，无侧封板、顶盖板、后门结构</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底座高度：500/600/700/800/1000/1100/1200mm</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后拉杆长度：600-900mm</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颜色：黑色</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材料：SPCC高强度钢板</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表面处理：静电喷塑</w:t>
            </w:r>
          </w:p>
        </w:tc>
        <w:tc>
          <w:tcPr>
            <w:tcW w:w="75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w:t>
            </w:r>
          </w:p>
        </w:tc>
        <w:tc>
          <w:tcPr>
            <w:tcW w:w="758"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88"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26</w:t>
            </w:r>
          </w:p>
        </w:tc>
        <w:tc>
          <w:tcPr>
            <w:tcW w:w="765"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**保障智能服务</w:t>
            </w:r>
          </w:p>
        </w:tc>
        <w:tc>
          <w:tcPr>
            <w:tcW w:w="915"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模块化基座</w:t>
            </w:r>
          </w:p>
        </w:tc>
        <w:tc>
          <w:tcPr>
            <w:tcW w:w="621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支架采用SPCC优质冷轧钢板保障质量的源头；表面采用静电喷塑工艺，喷塑固化温度180-210度，涂层厚度80-100微米，对高防腐要求产品还可选择阴极电泳底漆工艺，防腐耐锈。</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厚度：330mm</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弧度：0°</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开门及封板：底座前封板，无侧封板、顶盖板、后门结构</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底座高度：500/600/700/800/1000/1100/1200mm</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后拉杆长度：600-900mm</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颜色：黑色</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材料：SPCC高强度钢板</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表面处理：静电喷塑</w:t>
            </w:r>
          </w:p>
        </w:tc>
        <w:tc>
          <w:tcPr>
            <w:tcW w:w="75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w:t>
            </w:r>
          </w:p>
        </w:tc>
        <w:tc>
          <w:tcPr>
            <w:tcW w:w="758"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88"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27</w:t>
            </w:r>
          </w:p>
        </w:tc>
        <w:tc>
          <w:tcPr>
            <w:tcW w:w="765"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**保障智能服务</w:t>
            </w:r>
          </w:p>
        </w:tc>
        <w:tc>
          <w:tcPr>
            <w:tcW w:w="915"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48盘位磁盘阵列</w:t>
            </w:r>
          </w:p>
        </w:tc>
        <w:tc>
          <w:tcPr>
            <w:tcW w:w="621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8U48盘位磁盘阵列，单设备配置双64位多核处理器，32GB（可扩展至256GB），可外接SAS扩展柜，6个千兆网口，1个IPMI管理接口，48块8T企业级IoT硬盘；</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网络raid +1，+2，+3，+4；</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支持视音频、图片、直接写入，支持视频高速预览、回放、下载，支持云内容灾备份，支持一体化运维，支持GB/T28181-2011、Onvif、RTSP、H265、SVAC等标准视频协议。</w:t>
            </w:r>
          </w:p>
        </w:tc>
        <w:tc>
          <w:tcPr>
            <w:tcW w:w="75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758"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88"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28</w:t>
            </w:r>
          </w:p>
        </w:tc>
        <w:tc>
          <w:tcPr>
            <w:tcW w:w="765"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**保障智能服务</w:t>
            </w:r>
          </w:p>
        </w:tc>
        <w:tc>
          <w:tcPr>
            <w:tcW w:w="915"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36盘位磁盘阵列</w:t>
            </w:r>
          </w:p>
        </w:tc>
        <w:tc>
          <w:tcPr>
            <w:tcW w:w="621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4U36盘位磁盘阵列；单设备配置双64位多核处理器，32GB（可扩展至256GB），36块6T企业级SATA磁盘;网络raid +1，+2，+3，+4；6个千兆网口，1个IPMI管理接口；支持视音频、图片、直接写入，支持视频高速预览、回放、下载，支持云内容灾备份，支持一体化运维，支持GB/T28181-2011、Onvif、RTSP、H265、SVAC等标准视频协议。</w:t>
            </w:r>
          </w:p>
        </w:tc>
        <w:tc>
          <w:tcPr>
            <w:tcW w:w="75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758"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88"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29</w:t>
            </w:r>
          </w:p>
        </w:tc>
        <w:tc>
          <w:tcPr>
            <w:tcW w:w="765"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**保障智能服务</w:t>
            </w:r>
          </w:p>
        </w:tc>
        <w:tc>
          <w:tcPr>
            <w:tcW w:w="915"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综合管理平台</w:t>
            </w:r>
          </w:p>
        </w:tc>
        <w:tc>
          <w:tcPr>
            <w:tcW w:w="6210" w:type="dxa"/>
            <w:noWrap w:val="0"/>
            <w:vAlign w:val="top"/>
          </w:tcPr>
          <w:p>
            <w:pPr>
              <w:keepNext w:val="0"/>
              <w:keepLines w:val="0"/>
              <w:pageBreakBefore w:val="0"/>
              <w:widowControl/>
              <w:kinsoku/>
              <w:wordWrap/>
              <w:overflowPunct/>
              <w:topLinePunct w:val="0"/>
              <w:autoSpaceDE/>
              <w:autoSpaceDN/>
              <w:bidi w:val="0"/>
              <w:adjustRightInd/>
              <w:snapToGrid/>
              <w:spacing w:line="440" w:lineRule="exac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支持接入视频监控、入侵报警、一卡通、动环等系统的设备，获取边缘节点数据，实现安防信息化集成与联动。以电子地图为载体，融合各系统能力实现丰富的智能应用。该平台适用于全行业通用综合安防业务，对各系统资源进行了整合和集中管理，实现统一部署、统一配置、统一管理和统一调度。</w:t>
            </w:r>
            <w:r>
              <w:rPr>
                <w:rFonts w:hint="eastAsia" w:ascii="宋体" w:hAnsi="宋体" w:eastAsia="宋体" w:cs="宋体"/>
                <w:color w:val="auto"/>
                <w:kern w:val="0"/>
                <w:sz w:val="24"/>
                <w:szCs w:val="24"/>
                <w:highlight w:val="none"/>
              </w:rPr>
              <w:br w:type="textWrapping"/>
            </w:r>
            <w:r>
              <w:rPr>
                <w:rFonts w:hint="eastAsia" w:ascii="宋体" w:hAnsi="宋体" w:eastAsia="宋体" w:cs="宋体"/>
                <w:b/>
                <w:bCs/>
                <w:color w:val="auto"/>
                <w:kern w:val="0"/>
                <w:sz w:val="24"/>
                <w:szCs w:val="24"/>
                <w:highlight w:val="none"/>
              </w:rPr>
              <w:t>视频监控：</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1、支持视频于预览、录像回放、图片监控、视频上墙、视频事件等功能。</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2、★支持热成像相机接入，预览回放、热成像温度、烟火识别报警联动等功能（提供检测报告）</w:t>
            </w:r>
            <w:r>
              <w:rPr>
                <w:rFonts w:hint="eastAsia" w:ascii="宋体" w:hAnsi="宋体" w:eastAsia="宋体" w:cs="宋体"/>
                <w:color w:val="auto"/>
                <w:kern w:val="0"/>
                <w:sz w:val="24"/>
                <w:szCs w:val="24"/>
                <w:highlight w:val="none"/>
              </w:rPr>
              <w:br w:type="textWrapping"/>
            </w:r>
            <w:r>
              <w:rPr>
                <w:rFonts w:hint="eastAsia" w:ascii="宋体" w:hAnsi="宋体" w:eastAsia="宋体" w:cs="宋体"/>
                <w:b/>
                <w:bCs/>
                <w:color w:val="auto"/>
                <w:kern w:val="0"/>
                <w:sz w:val="24"/>
                <w:szCs w:val="24"/>
                <w:highlight w:val="none"/>
              </w:rPr>
              <w:t>入侵报警：</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1、支持报警子系统管理能力，包含布防、撤防、消警控制操作；</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2、支持防区管理能力，包含旁路、旁路恢复操作；</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3、支持实时入侵报警能力；</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4、支持历史入侵报警事件查询及导出能力</w:t>
            </w:r>
            <w:r>
              <w:rPr>
                <w:rFonts w:hint="eastAsia" w:ascii="宋体" w:hAnsi="宋体" w:eastAsia="宋体" w:cs="宋体"/>
                <w:color w:val="auto"/>
                <w:kern w:val="0"/>
                <w:sz w:val="24"/>
                <w:szCs w:val="24"/>
                <w:highlight w:val="none"/>
              </w:rPr>
              <w:br w:type="textWrapping"/>
            </w:r>
            <w:r>
              <w:rPr>
                <w:rFonts w:hint="eastAsia" w:ascii="宋体" w:hAnsi="宋体" w:eastAsia="宋体" w:cs="宋体"/>
                <w:b/>
                <w:bCs/>
                <w:color w:val="auto"/>
                <w:kern w:val="0"/>
                <w:sz w:val="24"/>
                <w:szCs w:val="24"/>
                <w:highlight w:val="none"/>
              </w:rPr>
              <w:t>一卡通应用：</w:t>
            </w:r>
            <w:r>
              <w:rPr>
                <w:rFonts w:hint="eastAsia" w:ascii="宋体" w:hAnsi="宋体" w:eastAsia="宋体" w:cs="宋体"/>
                <w:b/>
                <w:bCs/>
                <w:color w:val="auto"/>
                <w:kern w:val="0"/>
                <w:sz w:val="24"/>
                <w:szCs w:val="24"/>
                <w:highlight w:val="none"/>
              </w:rPr>
              <w:br w:type="textWrapping"/>
            </w:r>
            <w:r>
              <w:rPr>
                <w:rFonts w:hint="eastAsia" w:ascii="宋体" w:hAnsi="宋体" w:eastAsia="宋体" w:cs="宋体"/>
                <w:color w:val="auto"/>
                <w:kern w:val="0"/>
                <w:sz w:val="24"/>
                <w:szCs w:val="24"/>
                <w:highlight w:val="none"/>
              </w:rPr>
              <w:t>1、支持门禁管理（门禁权限管理应用、门禁事件管理应用、门禁状态查看及远程控制应用、人员出入记录实时展示应用）</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2、支持访客管理（访客登记管理应用、访客权限管理应用、访客签离管理应用、访客记录查询应用）</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3、支持接入访客机（带扫描仪），可通过扫描护照、市民卡、驾照、港澳通行证、台湾 通行证 等证件来获取信息并留档</w:t>
            </w:r>
            <w:r>
              <w:rPr>
                <w:rFonts w:hint="eastAsia" w:ascii="宋体" w:hAnsi="宋体" w:eastAsia="宋体" w:cs="宋体"/>
                <w:color w:val="auto"/>
                <w:kern w:val="0"/>
                <w:sz w:val="24"/>
                <w:szCs w:val="24"/>
                <w:highlight w:val="none"/>
              </w:rPr>
              <w:br w:type="textWrapping"/>
            </w:r>
            <w:r>
              <w:rPr>
                <w:rFonts w:hint="eastAsia" w:ascii="宋体" w:hAnsi="宋体" w:eastAsia="宋体" w:cs="宋体"/>
                <w:b/>
                <w:bCs/>
                <w:color w:val="auto"/>
                <w:kern w:val="0"/>
                <w:sz w:val="24"/>
                <w:szCs w:val="24"/>
                <w:highlight w:val="none"/>
              </w:rPr>
              <w:t>安检应用：</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支持安检设备联网可视化管理，过检物品查询，关联监控点和设备录像进行可视化追溯；</w:t>
            </w:r>
          </w:p>
        </w:tc>
        <w:tc>
          <w:tcPr>
            <w:tcW w:w="75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758"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88"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30</w:t>
            </w:r>
          </w:p>
        </w:tc>
        <w:tc>
          <w:tcPr>
            <w:tcW w:w="765"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**保障智能服务</w:t>
            </w:r>
          </w:p>
        </w:tc>
        <w:tc>
          <w:tcPr>
            <w:tcW w:w="915"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流媒体服务器</w:t>
            </w:r>
          </w:p>
        </w:tc>
        <w:tc>
          <w:tcPr>
            <w:tcW w:w="621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4210R×1/32G DDR4/1.2T 10K  SAS×2(RAID_1)/SAS_HBA/1GbE×2/550W(1+1)/2U/16DIMM</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2U双路标准机架式服务器</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CPU：1颗intel至强系列处理器，核数≥10核，主频≥2.4GHz</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内存：16G*2 DDR4，16根内存插槽，最大支持扩展至2TB内存</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硬盘：2块1.2T 10K 2.5寸 SAS硬盘</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阵列卡：SAS_HBA卡, 支持RAID 0/1/10</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PCIE扩展：最大可支持6个PCIE扩展插槽</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网口：2个千兆电口</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其他接口：1个RJ45管理接口，后置2个USB 3.0接口，前置2个USB2.0接口，1个VGA接口</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 xml:space="preserve">电源：标配550W（1+1）高效铂金CRPS冗余电源 </w:t>
            </w:r>
          </w:p>
        </w:tc>
        <w:tc>
          <w:tcPr>
            <w:tcW w:w="75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758"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套</w:t>
            </w:r>
          </w:p>
        </w:tc>
      </w:tr>
    </w:tbl>
    <w:p>
      <w:pPr>
        <w:keepNext w:val="0"/>
        <w:keepLines w:val="0"/>
        <w:pageBreakBefore w:val="0"/>
        <w:kinsoku/>
        <w:wordWrap/>
        <w:overflowPunct/>
        <w:topLinePunct w:val="0"/>
        <w:autoSpaceDE/>
        <w:autoSpaceDN/>
        <w:bidi w:val="0"/>
        <w:adjustRightInd/>
        <w:snapToGrid/>
        <w:spacing w:line="440" w:lineRule="exact"/>
        <w:ind w:firstLine="723" w:firstLineChars="3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2）</w:t>
      </w:r>
      <w:r>
        <w:rPr>
          <w:rFonts w:hint="eastAsia" w:ascii="宋体" w:hAnsi="宋体" w:eastAsia="宋体" w:cs="宋体"/>
          <w:b/>
          <w:bCs/>
          <w:color w:val="auto"/>
          <w:sz w:val="24"/>
          <w:szCs w:val="24"/>
          <w:highlight w:val="none"/>
        </w:rPr>
        <w:t>门禁系统</w:t>
      </w:r>
    </w:p>
    <w:tbl>
      <w:tblPr>
        <w:tblStyle w:val="20"/>
        <w:tblW w:w="9503" w:type="dxa"/>
        <w:jc w:val="center"/>
        <w:tblLayout w:type="autofit"/>
        <w:tblCellMar>
          <w:top w:w="0" w:type="dxa"/>
          <w:left w:w="108" w:type="dxa"/>
          <w:bottom w:w="0" w:type="dxa"/>
          <w:right w:w="108" w:type="dxa"/>
        </w:tblCellMar>
      </w:tblPr>
      <w:tblGrid>
        <w:gridCol w:w="775"/>
        <w:gridCol w:w="848"/>
        <w:gridCol w:w="1103"/>
        <w:gridCol w:w="5041"/>
        <w:gridCol w:w="825"/>
        <w:gridCol w:w="911"/>
      </w:tblGrid>
      <w:tr>
        <w:tblPrEx>
          <w:tblCellMar>
            <w:top w:w="0" w:type="dxa"/>
            <w:left w:w="108" w:type="dxa"/>
            <w:bottom w:w="0" w:type="dxa"/>
            <w:right w:w="108" w:type="dxa"/>
          </w:tblCellMar>
        </w:tblPrEx>
        <w:trPr>
          <w:trHeight w:val="0" w:hRule="atLeast"/>
          <w:jc w:val="center"/>
        </w:trPr>
        <w:tc>
          <w:tcPr>
            <w:tcW w:w="40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序号</w:t>
            </w:r>
          </w:p>
        </w:tc>
        <w:tc>
          <w:tcPr>
            <w:tcW w:w="4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系统名称</w:t>
            </w:r>
          </w:p>
        </w:tc>
        <w:tc>
          <w:tcPr>
            <w:tcW w:w="58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产品类别</w:t>
            </w:r>
          </w:p>
        </w:tc>
        <w:tc>
          <w:tcPr>
            <w:tcW w:w="265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技术参数</w:t>
            </w:r>
          </w:p>
        </w:tc>
        <w:tc>
          <w:tcPr>
            <w:tcW w:w="43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数量</w:t>
            </w:r>
          </w:p>
        </w:tc>
        <w:tc>
          <w:tcPr>
            <w:tcW w:w="4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单位</w:t>
            </w:r>
          </w:p>
        </w:tc>
      </w:tr>
      <w:tr>
        <w:tblPrEx>
          <w:tblCellMar>
            <w:top w:w="0" w:type="dxa"/>
            <w:left w:w="108" w:type="dxa"/>
            <w:bottom w:w="0" w:type="dxa"/>
            <w:right w:w="108" w:type="dxa"/>
          </w:tblCellMar>
        </w:tblPrEx>
        <w:trPr>
          <w:trHeight w:val="0" w:hRule="atLeast"/>
          <w:jc w:val="center"/>
        </w:trPr>
        <w:tc>
          <w:tcPr>
            <w:tcW w:w="40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4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**保障智能服务</w:t>
            </w:r>
          </w:p>
        </w:tc>
        <w:tc>
          <w:tcPr>
            <w:tcW w:w="58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人脸门禁一体机</w:t>
            </w:r>
          </w:p>
        </w:tc>
        <w:tc>
          <w:tcPr>
            <w:tcW w:w="265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4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1、设备外观：采用7寸高清触摸屏，200万像素双目摄像头，面部识别距离0.3-2m，支持照片、视频防假；</w:t>
            </w:r>
          </w:p>
          <w:p>
            <w:pPr>
              <w:keepNext w:val="0"/>
              <w:keepLines w:val="0"/>
              <w:pageBreakBefore w:val="0"/>
              <w:kinsoku/>
              <w:wordWrap/>
              <w:overflowPunct/>
              <w:topLinePunct w:val="0"/>
              <w:autoSpaceDE/>
              <w:autoSpaceDN/>
              <w:bidi w:val="0"/>
              <w:adjustRightInd/>
              <w:snapToGrid/>
              <w:spacing w:line="44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2、设备容量：支持10000张人脸白名单，1：N人脸比对时间＜0.2S/人，支持50000 张卡，150000条事件记录；</w:t>
            </w:r>
          </w:p>
          <w:p>
            <w:pPr>
              <w:keepNext w:val="0"/>
              <w:keepLines w:val="0"/>
              <w:pageBreakBefore w:val="0"/>
              <w:kinsoku/>
              <w:wordWrap/>
              <w:overflowPunct/>
              <w:topLinePunct w:val="0"/>
              <w:autoSpaceDE/>
              <w:autoSpaceDN/>
              <w:bidi w:val="0"/>
              <w:adjustRightInd/>
              <w:snapToGrid/>
              <w:spacing w:line="44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3、认证方式：支持人脸、刷卡、密码及其组合的认证方式；可读取Mifare卡（IC卡）、CPU卡号/内容、身份证序列号；</w:t>
            </w:r>
          </w:p>
          <w:p>
            <w:pPr>
              <w:keepNext w:val="0"/>
              <w:keepLines w:val="0"/>
              <w:pageBreakBefore w:val="0"/>
              <w:kinsoku/>
              <w:wordWrap/>
              <w:overflowPunct/>
              <w:topLinePunct w:val="0"/>
              <w:autoSpaceDE/>
              <w:autoSpaceDN/>
              <w:bidi w:val="0"/>
              <w:adjustRightInd/>
              <w:snapToGrid/>
              <w:spacing w:line="44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4、工作模式：支持普通模式、广告模式、简洁模式三大主题；每个主题均支持多人及单人识别</w:t>
            </w:r>
          </w:p>
          <w:p>
            <w:pPr>
              <w:keepNext w:val="0"/>
              <w:keepLines w:val="0"/>
              <w:pageBreakBefore w:val="0"/>
              <w:kinsoku/>
              <w:wordWrap/>
              <w:overflowPunct/>
              <w:topLinePunct w:val="0"/>
              <w:autoSpaceDE/>
              <w:autoSpaceDN/>
              <w:bidi w:val="0"/>
              <w:adjustRightInd/>
              <w:snapToGrid/>
              <w:spacing w:line="44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5、视频对讲：支持与主副室内分机、管理机的视频对讲功能；支持远程视频预览功能，可以通过RTSP协议输出视频码流，编码格式H.264；</w:t>
            </w:r>
          </w:p>
          <w:p>
            <w:pPr>
              <w:keepNext w:val="0"/>
              <w:keepLines w:val="0"/>
              <w:pageBreakBefore w:val="0"/>
              <w:kinsoku/>
              <w:wordWrap/>
              <w:overflowPunct/>
              <w:topLinePunct w:val="0"/>
              <w:autoSpaceDE/>
              <w:autoSpaceDN/>
              <w:bidi w:val="0"/>
              <w:adjustRightInd/>
              <w:snapToGrid/>
              <w:spacing w:line="44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6、3.5mm 音频输出接口*1，设备内置扬声器可与外接音箱同时使用；</w:t>
            </w:r>
          </w:p>
          <w:p>
            <w:pPr>
              <w:keepNext w:val="0"/>
              <w:keepLines w:val="0"/>
              <w:pageBreakBefore w:val="0"/>
              <w:kinsoku/>
              <w:wordWrap/>
              <w:overflowPunct/>
              <w:topLinePunct w:val="0"/>
              <w:autoSpaceDE/>
              <w:autoSpaceDN/>
              <w:bidi w:val="0"/>
              <w:adjustRightInd/>
              <w:snapToGrid/>
              <w:spacing w:line="44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7、输入接口：LAN*1、RS485*1、Wiegand * 1(支持双向)、typeC 类型 USB 接口*1、门磁*1、报警输入*2、开门按钮*1、SD 卡槽*1（最大支持 512GB）；</w:t>
            </w:r>
          </w:p>
          <w:p>
            <w:pPr>
              <w:keepNext w:val="0"/>
              <w:keepLines w:val="0"/>
              <w:pageBreakBefore w:val="0"/>
              <w:kinsoku/>
              <w:wordWrap/>
              <w:overflowPunct/>
              <w:topLinePunct w:val="0"/>
              <w:autoSpaceDE/>
              <w:autoSpaceDN/>
              <w:bidi w:val="0"/>
              <w:adjustRightInd/>
              <w:snapToGrid/>
              <w:spacing w:line="44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8、输出接口：电锁*1个，报警输出*1个；</w:t>
            </w:r>
          </w:p>
          <w:p>
            <w:pPr>
              <w:keepNext w:val="0"/>
              <w:keepLines w:val="0"/>
              <w:pageBreakBefore w:val="0"/>
              <w:kinsoku/>
              <w:wordWrap/>
              <w:overflowPunct/>
              <w:topLinePunct w:val="0"/>
              <w:autoSpaceDE/>
              <w:autoSpaceDN/>
              <w:bidi w:val="0"/>
              <w:adjustRightInd/>
              <w:snapToGrid/>
              <w:spacing w:line="44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9、通讯方式：上行通讯为TCP/IP；</w:t>
            </w:r>
          </w:p>
          <w:p>
            <w:pPr>
              <w:keepNext w:val="0"/>
              <w:keepLines w:val="0"/>
              <w:pageBreakBefore w:val="0"/>
              <w:kinsoku/>
              <w:wordWrap/>
              <w:overflowPunct/>
              <w:topLinePunct w:val="0"/>
              <w:autoSpaceDE/>
              <w:autoSpaceDN/>
              <w:bidi w:val="0"/>
              <w:adjustRightInd/>
              <w:snapToGrid/>
              <w:spacing w:line="44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10、工作电压： DC12V~24V/2A（不带电源，需另配电源）</w:t>
            </w:r>
          </w:p>
          <w:p>
            <w:pPr>
              <w:keepNext w:val="0"/>
              <w:keepLines w:val="0"/>
              <w:pageBreakBefore w:val="0"/>
              <w:kinsoku/>
              <w:wordWrap/>
              <w:overflowPunct/>
              <w:topLinePunct w:val="0"/>
              <w:autoSpaceDE/>
              <w:autoSpaceDN/>
              <w:bidi w:val="0"/>
              <w:adjustRightInd/>
              <w:snapToGrid/>
              <w:spacing w:line="44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11、使用环境：室内外环境（室外使用，必须需增加遮阳罩）；</w:t>
            </w:r>
          </w:p>
          <w:p>
            <w:pPr>
              <w:keepNext w:val="0"/>
              <w:keepLines w:val="0"/>
              <w:pageBreakBefore w:val="0"/>
              <w:kinsoku/>
              <w:wordWrap/>
              <w:overflowPunct/>
              <w:topLinePunct w:val="0"/>
              <w:autoSpaceDE/>
              <w:autoSpaceDN/>
              <w:bidi w:val="0"/>
              <w:adjustRightInd/>
              <w:snapToGrid/>
              <w:spacing w:line="44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12、安装方式：标配壁挂安装挂板，可安装在人员通道上，需搭配通道支架；</w:t>
            </w:r>
          </w:p>
          <w:p>
            <w:pPr>
              <w:keepNext w:val="0"/>
              <w:keepLines w:val="0"/>
              <w:pageBreakBefore w:val="0"/>
              <w:kinsoku/>
              <w:wordWrap/>
              <w:overflowPunct/>
              <w:topLinePunct w:val="0"/>
              <w:autoSpaceDE/>
              <w:autoSpaceDN/>
              <w:bidi w:val="0"/>
              <w:adjustRightInd/>
              <w:snapToGrid/>
              <w:spacing w:line="44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13、工作温度：-30℃～60℃；</w:t>
            </w:r>
          </w:p>
        </w:tc>
        <w:tc>
          <w:tcPr>
            <w:tcW w:w="43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w:t>
            </w:r>
          </w:p>
        </w:tc>
        <w:tc>
          <w:tcPr>
            <w:tcW w:w="4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台</w:t>
            </w:r>
          </w:p>
        </w:tc>
      </w:tr>
      <w:tr>
        <w:tblPrEx>
          <w:tblCellMar>
            <w:top w:w="0" w:type="dxa"/>
            <w:left w:w="108" w:type="dxa"/>
            <w:bottom w:w="0" w:type="dxa"/>
            <w:right w:w="108" w:type="dxa"/>
          </w:tblCellMar>
        </w:tblPrEx>
        <w:trPr>
          <w:trHeight w:val="0" w:hRule="atLeast"/>
          <w:jc w:val="center"/>
        </w:trPr>
        <w:tc>
          <w:tcPr>
            <w:tcW w:w="40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4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**保障智能服务</w:t>
            </w:r>
          </w:p>
        </w:tc>
        <w:tc>
          <w:tcPr>
            <w:tcW w:w="58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门禁一体机配件</w:t>
            </w:r>
          </w:p>
        </w:tc>
        <w:tc>
          <w:tcPr>
            <w:tcW w:w="265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4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扩展功能模块，模块支持热插拔</w:t>
            </w:r>
          </w:p>
          <w:p>
            <w:pPr>
              <w:keepNext w:val="0"/>
              <w:keepLines w:val="0"/>
              <w:pageBreakBefore w:val="0"/>
              <w:kinsoku/>
              <w:wordWrap/>
              <w:overflowPunct/>
              <w:topLinePunct w:val="0"/>
              <w:autoSpaceDE/>
              <w:autoSpaceDN/>
              <w:bidi w:val="0"/>
              <w:adjustRightInd/>
              <w:snapToGrid/>
              <w:spacing w:line="44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支持插入人脸门禁一体机后，支持指纹识别</w:t>
            </w:r>
          </w:p>
          <w:p>
            <w:pPr>
              <w:keepNext w:val="0"/>
              <w:keepLines w:val="0"/>
              <w:pageBreakBefore w:val="0"/>
              <w:kinsoku/>
              <w:wordWrap/>
              <w:overflowPunct/>
              <w:topLinePunct w:val="0"/>
              <w:autoSpaceDE/>
              <w:autoSpaceDN/>
              <w:bidi w:val="0"/>
              <w:adjustRightInd/>
              <w:snapToGrid/>
              <w:spacing w:line="44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支持插入人脸门禁一体机后，支持二维码识别</w:t>
            </w:r>
          </w:p>
          <w:p>
            <w:pPr>
              <w:keepNext w:val="0"/>
              <w:keepLines w:val="0"/>
              <w:pageBreakBefore w:val="0"/>
              <w:kinsoku/>
              <w:wordWrap/>
              <w:overflowPunct/>
              <w:topLinePunct w:val="0"/>
              <w:autoSpaceDE/>
              <w:autoSpaceDN/>
              <w:bidi w:val="0"/>
              <w:adjustRightInd/>
              <w:snapToGrid/>
              <w:spacing w:line="44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支持插入人脸门禁一体机后，支持蓝牙开门</w:t>
            </w:r>
          </w:p>
          <w:p>
            <w:pPr>
              <w:keepNext w:val="0"/>
              <w:keepLines w:val="0"/>
              <w:pageBreakBefore w:val="0"/>
              <w:kinsoku/>
              <w:wordWrap/>
              <w:overflowPunct/>
              <w:topLinePunct w:val="0"/>
              <w:autoSpaceDE/>
              <w:autoSpaceDN/>
              <w:bidi w:val="0"/>
              <w:adjustRightInd/>
              <w:snapToGrid/>
              <w:spacing w:line="44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物理接口：Type C*1</w:t>
            </w:r>
          </w:p>
          <w:p>
            <w:pPr>
              <w:keepNext w:val="0"/>
              <w:keepLines w:val="0"/>
              <w:pageBreakBefore w:val="0"/>
              <w:kinsoku/>
              <w:wordWrap/>
              <w:overflowPunct/>
              <w:topLinePunct w:val="0"/>
              <w:autoSpaceDE/>
              <w:autoSpaceDN/>
              <w:bidi w:val="0"/>
              <w:adjustRightInd/>
              <w:snapToGrid/>
              <w:spacing w:line="44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使用环境：室内室外</w:t>
            </w:r>
          </w:p>
        </w:tc>
        <w:tc>
          <w:tcPr>
            <w:tcW w:w="43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w:t>
            </w:r>
          </w:p>
        </w:tc>
        <w:tc>
          <w:tcPr>
            <w:tcW w:w="4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套</w:t>
            </w:r>
          </w:p>
        </w:tc>
      </w:tr>
      <w:tr>
        <w:tblPrEx>
          <w:tblCellMar>
            <w:top w:w="0" w:type="dxa"/>
            <w:left w:w="108" w:type="dxa"/>
            <w:bottom w:w="0" w:type="dxa"/>
            <w:right w:w="108" w:type="dxa"/>
          </w:tblCellMar>
        </w:tblPrEx>
        <w:trPr>
          <w:trHeight w:val="0" w:hRule="atLeast"/>
          <w:jc w:val="center"/>
        </w:trPr>
        <w:tc>
          <w:tcPr>
            <w:tcW w:w="40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4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**保障智能服务</w:t>
            </w:r>
          </w:p>
        </w:tc>
        <w:tc>
          <w:tcPr>
            <w:tcW w:w="58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双门磁力锁</w:t>
            </w:r>
          </w:p>
        </w:tc>
        <w:tc>
          <w:tcPr>
            <w:tcW w:w="265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4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锁体主体颜色为：氧化银。</w:t>
            </w:r>
          </w:p>
          <w:p>
            <w:pPr>
              <w:keepNext w:val="0"/>
              <w:keepLines w:val="0"/>
              <w:pageBreakBefore w:val="0"/>
              <w:kinsoku/>
              <w:wordWrap/>
              <w:overflowPunct/>
              <w:topLinePunct w:val="0"/>
              <w:autoSpaceDE/>
              <w:autoSpaceDN/>
              <w:bidi w:val="0"/>
              <w:adjustRightInd/>
              <w:snapToGrid/>
              <w:spacing w:line="44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最大静态直线拉力：280kg(600Lbs) ± 5%*2；</w:t>
            </w:r>
          </w:p>
          <w:p>
            <w:pPr>
              <w:keepNext w:val="0"/>
              <w:keepLines w:val="0"/>
              <w:pageBreakBefore w:val="0"/>
              <w:kinsoku/>
              <w:wordWrap/>
              <w:overflowPunct/>
              <w:topLinePunct w:val="0"/>
              <w:autoSpaceDE/>
              <w:autoSpaceDN/>
              <w:bidi w:val="0"/>
              <w:adjustRightInd/>
              <w:snapToGrid/>
              <w:spacing w:line="44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断电开锁，满足消防要求；</w:t>
            </w:r>
          </w:p>
          <w:p>
            <w:pPr>
              <w:keepNext w:val="0"/>
              <w:keepLines w:val="0"/>
              <w:pageBreakBefore w:val="0"/>
              <w:kinsoku/>
              <w:wordWrap/>
              <w:overflowPunct/>
              <w:topLinePunct w:val="0"/>
              <w:autoSpaceDE/>
              <w:autoSpaceDN/>
              <w:bidi w:val="0"/>
              <w:adjustRightInd/>
              <w:snapToGrid/>
              <w:spacing w:line="44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具有电锁状态指示灯（红灯为开锁状态， 绿灯为上锁状态）；</w:t>
            </w:r>
          </w:p>
          <w:p>
            <w:pPr>
              <w:keepNext w:val="0"/>
              <w:keepLines w:val="0"/>
              <w:pageBreakBefore w:val="0"/>
              <w:kinsoku/>
              <w:wordWrap/>
              <w:overflowPunct/>
              <w:topLinePunct w:val="0"/>
              <w:autoSpaceDE/>
              <w:autoSpaceDN/>
              <w:bidi w:val="0"/>
              <w:adjustRightInd/>
              <w:snapToGrid/>
              <w:spacing w:line="44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支持锁状态侦测信号(门磁)输出：NO/NC/COM接点；</w:t>
            </w:r>
          </w:p>
          <w:p>
            <w:pPr>
              <w:keepNext w:val="0"/>
              <w:keepLines w:val="0"/>
              <w:pageBreakBefore w:val="0"/>
              <w:kinsoku/>
              <w:wordWrap/>
              <w:overflowPunct/>
              <w:topLinePunct w:val="0"/>
              <w:autoSpaceDE/>
              <w:autoSpaceDN/>
              <w:bidi w:val="0"/>
              <w:adjustRightInd/>
              <w:snapToGrid/>
              <w:spacing w:line="44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工作电压：12V/1040mA 或 24V/520mA；</w:t>
            </w:r>
          </w:p>
          <w:p>
            <w:pPr>
              <w:keepNext w:val="0"/>
              <w:keepLines w:val="0"/>
              <w:pageBreakBefore w:val="0"/>
              <w:kinsoku/>
              <w:wordWrap/>
              <w:overflowPunct/>
              <w:topLinePunct w:val="0"/>
              <w:autoSpaceDE/>
              <w:autoSpaceDN/>
              <w:bidi w:val="0"/>
              <w:adjustRightInd/>
              <w:snapToGrid/>
              <w:spacing w:line="44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使用环境：室内（不防水）；</w:t>
            </w:r>
          </w:p>
          <w:p>
            <w:pPr>
              <w:keepNext w:val="0"/>
              <w:keepLines w:val="0"/>
              <w:pageBreakBefore w:val="0"/>
              <w:kinsoku/>
              <w:wordWrap/>
              <w:overflowPunct/>
              <w:topLinePunct w:val="0"/>
              <w:autoSpaceDE/>
              <w:autoSpaceDN/>
              <w:bidi w:val="0"/>
              <w:adjustRightInd/>
              <w:snapToGrid/>
              <w:spacing w:line="44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适用门型：木门、玻璃门、金属门、防火门；</w:t>
            </w:r>
          </w:p>
        </w:tc>
        <w:tc>
          <w:tcPr>
            <w:tcW w:w="43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p>
        </w:tc>
        <w:tc>
          <w:tcPr>
            <w:tcW w:w="4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把</w:t>
            </w:r>
          </w:p>
        </w:tc>
      </w:tr>
      <w:tr>
        <w:tblPrEx>
          <w:tblCellMar>
            <w:top w:w="0" w:type="dxa"/>
            <w:left w:w="108" w:type="dxa"/>
            <w:bottom w:w="0" w:type="dxa"/>
            <w:right w:w="108" w:type="dxa"/>
          </w:tblCellMar>
        </w:tblPrEx>
        <w:trPr>
          <w:trHeight w:val="0" w:hRule="atLeast"/>
          <w:jc w:val="center"/>
        </w:trPr>
        <w:tc>
          <w:tcPr>
            <w:tcW w:w="40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4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**保障智能服务</w:t>
            </w:r>
          </w:p>
        </w:tc>
        <w:tc>
          <w:tcPr>
            <w:tcW w:w="58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单门磁力锁</w:t>
            </w:r>
          </w:p>
        </w:tc>
        <w:tc>
          <w:tcPr>
            <w:tcW w:w="265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4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锁体主体颜色为：氧化银。</w:t>
            </w:r>
          </w:p>
          <w:p>
            <w:pPr>
              <w:keepNext w:val="0"/>
              <w:keepLines w:val="0"/>
              <w:pageBreakBefore w:val="0"/>
              <w:kinsoku/>
              <w:wordWrap/>
              <w:overflowPunct/>
              <w:topLinePunct w:val="0"/>
              <w:autoSpaceDE/>
              <w:autoSpaceDN/>
              <w:bidi w:val="0"/>
              <w:adjustRightInd/>
              <w:snapToGrid/>
              <w:spacing w:line="44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最大静态直线拉力：280kg(600Lbs) ± 5%；</w:t>
            </w:r>
          </w:p>
          <w:p>
            <w:pPr>
              <w:keepNext w:val="0"/>
              <w:keepLines w:val="0"/>
              <w:pageBreakBefore w:val="0"/>
              <w:kinsoku/>
              <w:wordWrap/>
              <w:overflowPunct/>
              <w:topLinePunct w:val="0"/>
              <w:autoSpaceDE/>
              <w:autoSpaceDN/>
              <w:bidi w:val="0"/>
              <w:adjustRightInd/>
              <w:snapToGrid/>
              <w:spacing w:line="44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断电开锁，满足消防要求；</w:t>
            </w:r>
          </w:p>
          <w:p>
            <w:pPr>
              <w:keepNext w:val="0"/>
              <w:keepLines w:val="0"/>
              <w:pageBreakBefore w:val="0"/>
              <w:kinsoku/>
              <w:wordWrap/>
              <w:overflowPunct/>
              <w:topLinePunct w:val="0"/>
              <w:autoSpaceDE/>
              <w:autoSpaceDN/>
              <w:bidi w:val="0"/>
              <w:adjustRightInd/>
              <w:snapToGrid/>
              <w:spacing w:line="44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具有电锁状态指示灯（红灯为开锁状态， 绿灯为上锁状态）；</w:t>
            </w:r>
          </w:p>
          <w:p>
            <w:pPr>
              <w:keepNext w:val="0"/>
              <w:keepLines w:val="0"/>
              <w:pageBreakBefore w:val="0"/>
              <w:kinsoku/>
              <w:wordWrap/>
              <w:overflowPunct/>
              <w:topLinePunct w:val="0"/>
              <w:autoSpaceDE/>
              <w:autoSpaceDN/>
              <w:bidi w:val="0"/>
              <w:adjustRightInd/>
              <w:snapToGrid/>
              <w:spacing w:line="44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支持锁状态侦测信号(门磁)输出：NO/NC/COM接点；</w:t>
            </w:r>
          </w:p>
          <w:p>
            <w:pPr>
              <w:keepNext w:val="0"/>
              <w:keepLines w:val="0"/>
              <w:pageBreakBefore w:val="0"/>
              <w:kinsoku/>
              <w:wordWrap/>
              <w:overflowPunct/>
              <w:topLinePunct w:val="0"/>
              <w:autoSpaceDE/>
              <w:autoSpaceDN/>
              <w:bidi w:val="0"/>
              <w:adjustRightInd/>
              <w:snapToGrid/>
              <w:spacing w:line="44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工作电压：12V/500mA 或 24V/250mA；</w:t>
            </w:r>
          </w:p>
          <w:p>
            <w:pPr>
              <w:keepNext w:val="0"/>
              <w:keepLines w:val="0"/>
              <w:pageBreakBefore w:val="0"/>
              <w:kinsoku/>
              <w:wordWrap/>
              <w:overflowPunct/>
              <w:topLinePunct w:val="0"/>
              <w:autoSpaceDE/>
              <w:autoSpaceDN/>
              <w:bidi w:val="0"/>
              <w:adjustRightInd/>
              <w:snapToGrid/>
              <w:spacing w:line="44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使用环境：室内（不防水）；</w:t>
            </w:r>
          </w:p>
          <w:p>
            <w:pPr>
              <w:keepNext w:val="0"/>
              <w:keepLines w:val="0"/>
              <w:pageBreakBefore w:val="0"/>
              <w:kinsoku/>
              <w:wordWrap/>
              <w:overflowPunct/>
              <w:topLinePunct w:val="0"/>
              <w:autoSpaceDE/>
              <w:autoSpaceDN/>
              <w:bidi w:val="0"/>
              <w:adjustRightInd/>
              <w:snapToGrid/>
              <w:spacing w:line="44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适用门型：木门、玻璃门、金属门、防火门；</w:t>
            </w:r>
          </w:p>
        </w:tc>
        <w:tc>
          <w:tcPr>
            <w:tcW w:w="43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p>
        </w:tc>
        <w:tc>
          <w:tcPr>
            <w:tcW w:w="4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把</w:t>
            </w:r>
          </w:p>
        </w:tc>
      </w:tr>
      <w:tr>
        <w:tblPrEx>
          <w:tblCellMar>
            <w:top w:w="0" w:type="dxa"/>
            <w:left w:w="108" w:type="dxa"/>
            <w:bottom w:w="0" w:type="dxa"/>
            <w:right w:w="108" w:type="dxa"/>
          </w:tblCellMar>
        </w:tblPrEx>
        <w:trPr>
          <w:trHeight w:val="0" w:hRule="atLeast"/>
          <w:jc w:val="center"/>
        </w:trPr>
        <w:tc>
          <w:tcPr>
            <w:tcW w:w="40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4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**保障智能服务</w:t>
            </w:r>
          </w:p>
        </w:tc>
        <w:tc>
          <w:tcPr>
            <w:tcW w:w="58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闭门器</w:t>
            </w:r>
          </w:p>
        </w:tc>
        <w:tc>
          <w:tcPr>
            <w:tcW w:w="265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4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适装门重：60-85KG      适装门宽 ≤ 1100mm     闭门力量：EN4      开门角度 ≤ 180°</w:t>
            </w:r>
          </w:p>
          <w:p>
            <w:pPr>
              <w:keepNext w:val="0"/>
              <w:keepLines w:val="0"/>
              <w:pageBreakBefore w:val="0"/>
              <w:kinsoku/>
              <w:wordWrap/>
              <w:overflowPunct/>
              <w:topLinePunct w:val="0"/>
              <w:autoSpaceDE/>
              <w:autoSpaceDN/>
              <w:bidi w:val="0"/>
              <w:adjustRightInd/>
              <w:snapToGrid/>
              <w:spacing w:line="44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尺寸：长宽高 248x44.5x72mm</w:t>
            </w:r>
          </w:p>
          <w:p>
            <w:pPr>
              <w:keepNext w:val="0"/>
              <w:keepLines w:val="0"/>
              <w:pageBreakBefore w:val="0"/>
              <w:kinsoku/>
              <w:wordWrap/>
              <w:overflowPunct/>
              <w:topLinePunct w:val="0"/>
              <w:autoSpaceDE/>
              <w:autoSpaceDN/>
              <w:bidi w:val="0"/>
              <w:adjustRightInd/>
              <w:snapToGrid/>
              <w:spacing w:line="44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使用寿命：100万次    适用环境温度范围：-30℃---50℃</w:t>
            </w:r>
          </w:p>
          <w:p>
            <w:pPr>
              <w:keepNext w:val="0"/>
              <w:keepLines w:val="0"/>
              <w:pageBreakBefore w:val="0"/>
              <w:kinsoku/>
              <w:wordWrap/>
              <w:overflowPunct/>
              <w:topLinePunct w:val="0"/>
              <w:autoSpaceDE/>
              <w:autoSpaceDN/>
              <w:bidi w:val="0"/>
              <w:adjustRightInd/>
              <w:snapToGrid/>
              <w:spacing w:line="44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双段速度可调    锁门速度：0°--15°范围内可调   闭门速度：15°--180°范围内可调</w:t>
            </w:r>
          </w:p>
          <w:p>
            <w:pPr>
              <w:keepNext w:val="0"/>
              <w:keepLines w:val="0"/>
              <w:pageBreakBefore w:val="0"/>
              <w:kinsoku/>
              <w:wordWrap/>
              <w:overflowPunct/>
              <w:topLinePunct w:val="0"/>
              <w:autoSpaceDE/>
              <w:autoSpaceDN/>
              <w:bidi w:val="0"/>
              <w:adjustRightInd/>
              <w:snapToGrid/>
              <w:spacing w:line="44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建议闭门速度在180°至15°时略快，在15°至0°时放慢，以门扇充分关闭为准。防止关门速度过快导致门扇与门框发生撞击。</w:t>
            </w:r>
          </w:p>
          <w:p>
            <w:pPr>
              <w:keepNext w:val="0"/>
              <w:keepLines w:val="0"/>
              <w:pageBreakBefore w:val="0"/>
              <w:kinsoku/>
              <w:wordWrap/>
              <w:overflowPunct/>
              <w:topLinePunct w:val="0"/>
              <w:autoSpaceDE/>
              <w:autoSpaceDN/>
              <w:bidi w:val="0"/>
              <w:adjustRightInd/>
              <w:snapToGrid/>
              <w:spacing w:line="44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无90度定位停门的功能。</w:t>
            </w:r>
          </w:p>
        </w:tc>
        <w:tc>
          <w:tcPr>
            <w:tcW w:w="43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w:t>
            </w:r>
          </w:p>
        </w:tc>
        <w:tc>
          <w:tcPr>
            <w:tcW w:w="4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套</w:t>
            </w:r>
          </w:p>
        </w:tc>
      </w:tr>
      <w:tr>
        <w:tblPrEx>
          <w:tblCellMar>
            <w:top w:w="0" w:type="dxa"/>
            <w:left w:w="108" w:type="dxa"/>
            <w:bottom w:w="0" w:type="dxa"/>
            <w:right w:w="108" w:type="dxa"/>
          </w:tblCellMar>
        </w:tblPrEx>
        <w:trPr>
          <w:trHeight w:val="0" w:hRule="atLeast"/>
          <w:jc w:val="center"/>
        </w:trPr>
        <w:tc>
          <w:tcPr>
            <w:tcW w:w="40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p>
        </w:tc>
        <w:tc>
          <w:tcPr>
            <w:tcW w:w="4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**保障智能服务</w:t>
            </w:r>
          </w:p>
        </w:tc>
        <w:tc>
          <w:tcPr>
            <w:tcW w:w="58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开门按钮</w:t>
            </w:r>
          </w:p>
        </w:tc>
        <w:tc>
          <w:tcPr>
            <w:tcW w:w="265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4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结构：塑料面板；</w:t>
            </w:r>
          </w:p>
          <w:p>
            <w:pPr>
              <w:keepNext w:val="0"/>
              <w:keepLines w:val="0"/>
              <w:pageBreakBefore w:val="0"/>
              <w:kinsoku/>
              <w:wordWrap/>
              <w:overflowPunct/>
              <w:topLinePunct w:val="0"/>
              <w:autoSpaceDE/>
              <w:autoSpaceDN/>
              <w:bidi w:val="0"/>
              <w:adjustRightInd/>
              <w:snapToGrid/>
              <w:spacing w:line="44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性能：最大耐电流1.25A，电压250V；</w:t>
            </w:r>
          </w:p>
          <w:p>
            <w:pPr>
              <w:keepNext w:val="0"/>
              <w:keepLines w:val="0"/>
              <w:pageBreakBefore w:val="0"/>
              <w:kinsoku/>
              <w:wordWrap/>
              <w:overflowPunct/>
              <w:topLinePunct w:val="0"/>
              <w:autoSpaceDE/>
              <w:autoSpaceDN/>
              <w:bidi w:val="0"/>
              <w:adjustRightInd/>
              <w:snapToGrid/>
              <w:spacing w:line="44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输出：常开；</w:t>
            </w:r>
          </w:p>
          <w:p>
            <w:pPr>
              <w:keepNext w:val="0"/>
              <w:keepLines w:val="0"/>
              <w:pageBreakBefore w:val="0"/>
              <w:kinsoku/>
              <w:wordWrap/>
              <w:overflowPunct/>
              <w:topLinePunct w:val="0"/>
              <w:autoSpaceDE/>
              <w:autoSpaceDN/>
              <w:bidi w:val="0"/>
              <w:adjustRightInd/>
              <w:snapToGrid/>
              <w:spacing w:line="44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类型：适合埋入式电器盒使用；</w:t>
            </w:r>
          </w:p>
        </w:tc>
        <w:tc>
          <w:tcPr>
            <w:tcW w:w="43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w:t>
            </w:r>
          </w:p>
        </w:tc>
        <w:tc>
          <w:tcPr>
            <w:tcW w:w="4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套</w:t>
            </w:r>
          </w:p>
        </w:tc>
      </w:tr>
      <w:tr>
        <w:tblPrEx>
          <w:tblCellMar>
            <w:top w:w="0" w:type="dxa"/>
            <w:left w:w="108" w:type="dxa"/>
            <w:bottom w:w="0" w:type="dxa"/>
            <w:right w:w="108" w:type="dxa"/>
          </w:tblCellMar>
        </w:tblPrEx>
        <w:trPr>
          <w:trHeight w:val="0" w:hRule="atLeast"/>
          <w:jc w:val="center"/>
        </w:trPr>
        <w:tc>
          <w:tcPr>
            <w:tcW w:w="40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p>
        </w:tc>
        <w:tc>
          <w:tcPr>
            <w:tcW w:w="4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**保障智能服务</w:t>
            </w:r>
          </w:p>
        </w:tc>
        <w:tc>
          <w:tcPr>
            <w:tcW w:w="58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门禁电源</w:t>
            </w:r>
          </w:p>
        </w:tc>
        <w:tc>
          <w:tcPr>
            <w:tcW w:w="265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4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配套开关电源</w:t>
            </w:r>
          </w:p>
        </w:tc>
        <w:tc>
          <w:tcPr>
            <w:tcW w:w="43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w:t>
            </w:r>
          </w:p>
        </w:tc>
        <w:tc>
          <w:tcPr>
            <w:tcW w:w="4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套</w:t>
            </w:r>
          </w:p>
        </w:tc>
      </w:tr>
      <w:tr>
        <w:tblPrEx>
          <w:tblCellMar>
            <w:top w:w="0" w:type="dxa"/>
            <w:left w:w="108" w:type="dxa"/>
            <w:bottom w:w="0" w:type="dxa"/>
            <w:right w:w="108" w:type="dxa"/>
          </w:tblCellMar>
        </w:tblPrEx>
        <w:trPr>
          <w:trHeight w:val="0" w:hRule="atLeast"/>
          <w:jc w:val="center"/>
        </w:trPr>
        <w:tc>
          <w:tcPr>
            <w:tcW w:w="40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w:t>
            </w:r>
          </w:p>
        </w:tc>
        <w:tc>
          <w:tcPr>
            <w:tcW w:w="4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**保障智能服务</w:t>
            </w:r>
          </w:p>
        </w:tc>
        <w:tc>
          <w:tcPr>
            <w:tcW w:w="58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24口接入交换机</w:t>
            </w:r>
          </w:p>
        </w:tc>
        <w:tc>
          <w:tcPr>
            <w:tcW w:w="265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4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交换容量：交换容量≥336Gbps</w:t>
            </w:r>
          </w:p>
          <w:p>
            <w:pPr>
              <w:keepNext w:val="0"/>
              <w:keepLines w:val="0"/>
              <w:pageBreakBefore w:val="0"/>
              <w:kinsoku/>
              <w:wordWrap/>
              <w:overflowPunct/>
              <w:topLinePunct w:val="0"/>
              <w:autoSpaceDE/>
              <w:autoSpaceDN/>
              <w:bidi w:val="0"/>
              <w:adjustRightInd/>
              <w:snapToGrid/>
              <w:spacing w:line="44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包转发率：包转发率≥50Mpps</w:t>
            </w:r>
          </w:p>
          <w:p>
            <w:pPr>
              <w:keepNext w:val="0"/>
              <w:keepLines w:val="0"/>
              <w:pageBreakBefore w:val="0"/>
              <w:kinsoku/>
              <w:wordWrap/>
              <w:overflowPunct/>
              <w:topLinePunct w:val="0"/>
              <w:autoSpaceDE/>
              <w:autoSpaceDN/>
              <w:bidi w:val="0"/>
              <w:adjustRightInd/>
              <w:snapToGrid/>
              <w:spacing w:line="44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端口类型：24个千兆电口，4个千兆SFP</w:t>
            </w:r>
          </w:p>
          <w:p>
            <w:pPr>
              <w:keepNext w:val="0"/>
              <w:keepLines w:val="0"/>
              <w:pageBreakBefore w:val="0"/>
              <w:kinsoku/>
              <w:wordWrap/>
              <w:overflowPunct/>
              <w:topLinePunct w:val="0"/>
              <w:autoSpaceDE/>
              <w:autoSpaceDN/>
              <w:bidi w:val="0"/>
              <w:adjustRightInd/>
              <w:snapToGrid/>
              <w:spacing w:line="44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配置标准USB接口，支持U盘快速开局支持 ERPS 以太环保护协议（G.8032）</w:t>
            </w:r>
          </w:p>
          <w:p>
            <w:pPr>
              <w:keepNext w:val="0"/>
              <w:keepLines w:val="0"/>
              <w:pageBreakBefore w:val="0"/>
              <w:kinsoku/>
              <w:wordWrap/>
              <w:overflowPunct/>
              <w:topLinePunct w:val="0"/>
              <w:autoSpaceDE/>
              <w:autoSpaceDN/>
              <w:bidi w:val="0"/>
              <w:adjustRightInd/>
              <w:snapToGrid/>
              <w:spacing w:line="44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支持纵向虚拟化，作为纵向子节点零配置即插即用</w:t>
            </w:r>
          </w:p>
          <w:p>
            <w:pPr>
              <w:keepNext w:val="0"/>
              <w:keepLines w:val="0"/>
              <w:pageBreakBefore w:val="0"/>
              <w:kinsoku/>
              <w:wordWrap/>
              <w:overflowPunct/>
              <w:topLinePunct w:val="0"/>
              <w:autoSpaceDE/>
              <w:autoSpaceDN/>
              <w:bidi w:val="0"/>
              <w:adjustRightInd/>
              <w:snapToGrid/>
              <w:spacing w:line="44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QOS：支持对端口接收报文速率和发送报文速率进行限制</w:t>
            </w:r>
          </w:p>
          <w:p>
            <w:pPr>
              <w:keepNext w:val="0"/>
              <w:keepLines w:val="0"/>
              <w:pageBreakBefore w:val="0"/>
              <w:kinsoku/>
              <w:wordWrap/>
              <w:overflowPunct/>
              <w:topLinePunct w:val="0"/>
              <w:autoSpaceDE/>
              <w:autoSpaceDN/>
              <w:bidi w:val="0"/>
              <w:adjustRightInd/>
              <w:snapToGrid/>
              <w:spacing w:line="44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支持 802.3az 能效以太网 EEE，节能环保</w:t>
            </w:r>
          </w:p>
          <w:p>
            <w:pPr>
              <w:keepNext w:val="0"/>
              <w:keepLines w:val="0"/>
              <w:pageBreakBefore w:val="0"/>
              <w:kinsoku/>
              <w:wordWrap/>
              <w:overflowPunct/>
              <w:topLinePunct w:val="0"/>
              <w:autoSpaceDE/>
              <w:autoSpaceDN/>
              <w:bidi w:val="0"/>
              <w:adjustRightInd/>
              <w:snapToGrid/>
              <w:spacing w:line="44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提供三年质保</w:t>
            </w:r>
          </w:p>
        </w:tc>
        <w:tc>
          <w:tcPr>
            <w:tcW w:w="43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4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台</w:t>
            </w:r>
          </w:p>
        </w:tc>
      </w:tr>
      <w:tr>
        <w:tblPrEx>
          <w:tblCellMar>
            <w:top w:w="0" w:type="dxa"/>
            <w:left w:w="108" w:type="dxa"/>
            <w:bottom w:w="0" w:type="dxa"/>
            <w:right w:w="108" w:type="dxa"/>
          </w:tblCellMar>
        </w:tblPrEx>
        <w:trPr>
          <w:trHeight w:val="0" w:hRule="atLeast"/>
          <w:jc w:val="center"/>
        </w:trPr>
        <w:tc>
          <w:tcPr>
            <w:tcW w:w="40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w:t>
            </w:r>
          </w:p>
        </w:tc>
        <w:tc>
          <w:tcPr>
            <w:tcW w:w="4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**保障智能服务</w:t>
            </w:r>
          </w:p>
        </w:tc>
        <w:tc>
          <w:tcPr>
            <w:tcW w:w="58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车辆进出控制（人脸）</w:t>
            </w:r>
          </w:p>
        </w:tc>
        <w:tc>
          <w:tcPr>
            <w:tcW w:w="265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4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7英寸触摸显示屏，屏幕比例9:16，屏幕分辨率600*1024；</w:t>
            </w:r>
          </w:p>
          <w:p>
            <w:pPr>
              <w:keepNext w:val="0"/>
              <w:keepLines w:val="0"/>
              <w:pageBreakBefore w:val="0"/>
              <w:kinsoku/>
              <w:wordWrap/>
              <w:overflowPunct/>
              <w:topLinePunct w:val="0"/>
              <w:autoSpaceDE/>
              <w:autoSpaceDN/>
              <w:bidi w:val="0"/>
              <w:adjustRightInd/>
              <w:snapToGrid/>
              <w:spacing w:line="44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摄像头参数：采用宽动态200万双目摄像头；</w:t>
            </w:r>
          </w:p>
          <w:p>
            <w:pPr>
              <w:keepNext w:val="0"/>
              <w:keepLines w:val="0"/>
              <w:pageBreakBefore w:val="0"/>
              <w:kinsoku/>
              <w:wordWrap/>
              <w:overflowPunct/>
              <w:topLinePunct w:val="0"/>
              <w:autoSpaceDE/>
              <w:autoSpaceDN/>
              <w:bidi w:val="0"/>
              <w:adjustRightInd/>
              <w:snapToGrid/>
              <w:spacing w:line="44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认证方式：支持人脸、刷卡（Mifare卡/IC卡、手机NFC卡、CPU卡序列号/内容、身份证卡序列号）、密码认证方式，可外接身份证、指纹、蓝牙、二维码功能模块；</w:t>
            </w:r>
          </w:p>
          <w:p>
            <w:pPr>
              <w:keepNext w:val="0"/>
              <w:keepLines w:val="0"/>
              <w:pageBreakBefore w:val="0"/>
              <w:kinsoku/>
              <w:wordWrap/>
              <w:overflowPunct/>
              <w:topLinePunct w:val="0"/>
              <w:autoSpaceDE/>
              <w:autoSpaceDN/>
              <w:bidi w:val="0"/>
              <w:adjustRightInd/>
              <w:snapToGrid/>
              <w:spacing w:line="44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人脸识别：采用深度学习算法，支持单人或多人识别（最多5人同时认证）功能；支持照片、视频防假；1:N人脸识别速度≤0.2s，人脸验证准确率≥99%；</w:t>
            </w:r>
          </w:p>
          <w:p>
            <w:pPr>
              <w:keepNext w:val="0"/>
              <w:keepLines w:val="0"/>
              <w:pageBreakBefore w:val="0"/>
              <w:kinsoku/>
              <w:wordWrap/>
              <w:overflowPunct/>
              <w:topLinePunct w:val="0"/>
              <w:autoSpaceDE/>
              <w:autoSpaceDN/>
              <w:bidi w:val="0"/>
              <w:adjustRightInd/>
              <w:snapToGrid/>
              <w:spacing w:line="44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存储容量：本地支持10000人脸库、50000张卡，15万条事件记录；</w:t>
            </w:r>
          </w:p>
          <w:p>
            <w:pPr>
              <w:keepNext w:val="0"/>
              <w:keepLines w:val="0"/>
              <w:pageBreakBefore w:val="0"/>
              <w:kinsoku/>
              <w:wordWrap/>
              <w:overflowPunct/>
              <w:topLinePunct w:val="0"/>
              <w:autoSpaceDE/>
              <w:autoSpaceDN/>
              <w:bidi w:val="0"/>
              <w:adjustRightInd/>
              <w:snapToGrid/>
              <w:spacing w:line="44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硬件接口：LAN*1、RS485*1、Wiegand * 1(支持双向)、typeC类型USB接口*1、电锁*1、门磁*1、报警输入*2、报警输出*1、开门按钮*1、SD卡槽*1（最大支持512GB）、3.5mm音频输出接口*1；</w:t>
            </w:r>
          </w:p>
          <w:p>
            <w:pPr>
              <w:keepNext w:val="0"/>
              <w:keepLines w:val="0"/>
              <w:pageBreakBefore w:val="0"/>
              <w:kinsoku/>
              <w:wordWrap/>
              <w:overflowPunct/>
              <w:topLinePunct w:val="0"/>
              <w:autoSpaceDE/>
              <w:autoSpaceDN/>
              <w:bidi w:val="0"/>
              <w:adjustRightInd/>
              <w:snapToGrid/>
              <w:spacing w:line="44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通信方式及网络协议：有线网络；ISAPI/ISUP5.0；</w:t>
            </w:r>
          </w:p>
          <w:p>
            <w:pPr>
              <w:keepNext w:val="0"/>
              <w:keepLines w:val="0"/>
              <w:pageBreakBefore w:val="0"/>
              <w:kinsoku/>
              <w:wordWrap/>
              <w:overflowPunct/>
              <w:topLinePunct w:val="0"/>
              <w:autoSpaceDE/>
              <w:autoSpaceDN/>
              <w:bidi w:val="0"/>
              <w:adjustRightInd/>
              <w:snapToGrid/>
              <w:spacing w:line="44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使用环境：IP65，室内外环境；</w:t>
            </w:r>
          </w:p>
          <w:p>
            <w:pPr>
              <w:keepNext w:val="0"/>
              <w:keepLines w:val="0"/>
              <w:pageBreakBefore w:val="0"/>
              <w:kinsoku/>
              <w:wordWrap/>
              <w:overflowPunct/>
              <w:topLinePunct w:val="0"/>
              <w:autoSpaceDE/>
              <w:autoSpaceDN/>
              <w:bidi w:val="0"/>
              <w:adjustRightInd/>
              <w:snapToGrid/>
              <w:spacing w:line="44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安装方式：壁挂安装；</w:t>
            </w:r>
          </w:p>
          <w:p>
            <w:pPr>
              <w:keepNext w:val="0"/>
              <w:keepLines w:val="0"/>
              <w:pageBreakBefore w:val="0"/>
              <w:kinsoku/>
              <w:wordWrap/>
              <w:overflowPunct/>
              <w:topLinePunct w:val="0"/>
              <w:autoSpaceDE/>
              <w:autoSpaceDN/>
              <w:bidi w:val="0"/>
              <w:adjustRightInd/>
              <w:snapToGrid/>
              <w:spacing w:line="44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工作电压： DC12V~24V/2A；</w:t>
            </w:r>
          </w:p>
          <w:p>
            <w:pPr>
              <w:keepNext w:val="0"/>
              <w:keepLines w:val="0"/>
              <w:pageBreakBefore w:val="0"/>
              <w:kinsoku/>
              <w:wordWrap/>
              <w:overflowPunct/>
              <w:topLinePunct w:val="0"/>
              <w:autoSpaceDE/>
              <w:autoSpaceDN/>
              <w:bidi w:val="0"/>
              <w:adjustRightInd/>
              <w:snapToGrid/>
              <w:spacing w:line="44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产品尺寸：209.2*110.5*24mm；</w:t>
            </w:r>
          </w:p>
          <w:p>
            <w:pPr>
              <w:keepNext w:val="0"/>
              <w:keepLines w:val="0"/>
              <w:pageBreakBefore w:val="0"/>
              <w:kinsoku/>
              <w:wordWrap/>
              <w:overflowPunct/>
              <w:topLinePunct w:val="0"/>
              <w:autoSpaceDE/>
              <w:autoSpaceDN/>
              <w:bidi w:val="0"/>
              <w:adjustRightInd/>
              <w:snapToGrid/>
              <w:spacing w:line="44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设备重量：净重0.56kg，毛重0.88kg</w:t>
            </w:r>
          </w:p>
        </w:tc>
        <w:tc>
          <w:tcPr>
            <w:tcW w:w="43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4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套</w:t>
            </w:r>
          </w:p>
        </w:tc>
      </w:tr>
      <w:tr>
        <w:tblPrEx>
          <w:tblCellMar>
            <w:top w:w="0" w:type="dxa"/>
            <w:left w:w="108" w:type="dxa"/>
            <w:bottom w:w="0" w:type="dxa"/>
            <w:right w:w="108" w:type="dxa"/>
          </w:tblCellMar>
        </w:tblPrEx>
        <w:trPr>
          <w:trHeight w:val="0" w:hRule="atLeast"/>
          <w:jc w:val="center"/>
        </w:trPr>
        <w:tc>
          <w:tcPr>
            <w:tcW w:w="40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w:t>
            </w:r>
          </w:p>
        </w:tc>
        <w:tc>
          <w:tcPr>
            <w:tcW w:w="4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**保障智能服务</w:t>
            </w:r>
          </w:p>
        </w:tc>
        <w:tc>
          <w:tcPr>
            <w:tcW w:w="58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立杆</w:t>
            </w:r>
          </w:p>
        </w:tc>
        <w:tc>
          <w:tcPr>
            <w:tcW w:w="265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4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1、支架采用钣金喷漆材质，适用于室内外场景</w:t>
            </w:r>
          </w:p>
          <w:p>
            <w:pPr>
              <w:keepNext w:val="0"/>
              <w:keepLines w:val="0"/>
              <w:pageBreakBefore w:val="0"/>
              <w:kinsoku/>
              <w:wordWrap/>
              <w:overflowPunct/>
              <w:topLinePunct w:val="0"/>
              <w:autoSpaceDE/>
              <w:autoSpaceDN/>
              <w:bidi w:val="0"/>
              <w:adjustRightInd/>
              <w:snapToGrid/>
              <w:spacing w:line="44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2、支架安装需要通过膨胀螺钉固定地面</w:t>
            </w:r>
          </w:p>
          <w:p>
            <w:pPr>
              <w:keepNext w:val="0"/>
              <w:keepLines w:val="0"/>
              <w:pageBreakBefore w:val="0"/>
              <w:kinsoku/>
              <w:wordWrap/>
              <w:overflowPunct/>
              <w:topLinePunct w:val="0"/>
              <w:autoSpaceDE/>
              <w:autoSpaceDN/>
              <w:bidi w:val="0"/>
              <w:adjustRightInd/>
              <w:snapToGrid/>
              <w:spacing w:line="44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3、支架内置电源线及信号延长线，不带开关电源</w:t>
            </w:r>
          </w:p>
        </w:tc>
        <w:tc>
          <w:tcPr>
            <w:tcW w:w="43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4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套</w:t>
            </w:r>
          </w:p>
        </w:tc>
      </w:tr>
      <w:tr>
        <w:tblPrEx>
          <w:tblCellMar>
            <w:top w:w="0" w:type="dxa"/>
            <w:left w:w="108" w:type="dxa"/>
            <w:bottom w:w="0" w:type="dxa"/>
            <w:right w:w="108" w:type="dxa"/>
          </w:tblCellMar>
        </w:tblPrEx>
        <w:trPr>
          <w:trHeight w:val="0" w:hRule="atLeast"/>
          <w:jc w:val="center"/>
        </w:trPr>
        <w:tc>
          <w:tcPr>
            <w:tcW w:w="40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w:t>
            </w:r>
          </w:p>
        </w:tc>
        <w:tc>
          <w:tcPr>
            <w:tcW w:w="4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**保障智能服务</w:t>
            </w:r>
          </w:p>
        </w:tc>
        <w:tc>
          <w:tcPr>
            <w:tcW w:w="58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电瓶车/行人出入控制</w:t>
            </w:r>
          </w:p>
        </w:tc>
        <w:tc>
          <w:tcPr>
            <w:tcW w:w="265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4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1、设备外观：采用7寸高清触摸屏，200万像素双目摄像头，面部识别距离0.3-2m，支持照片、视频防假；</w:t>
            </w:r>
          </w:p>
          <w:p>
            <w:pPr>
              <w:keepNext w:val="0"/>
              <w:keepLines w:val="0"/>
              <w:pageBreakBefore w:val="0"/>
              <w:kinsoku/>
              <w:wordWrap/>
              <w:overflowPunct/>
              <w:topLinePunct w:val="0"/>
              <w:autoSpaceDE/>
              <w:autoSpaceDN/>
              <w:bidi w:val="0"/>
              <w:adjustRightInd/>
              <w:snapToGrid/>
              <w:spacing w:line="44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2、设备容量：支持10000张人脸白名单，1：N人脸比对时间＜0.2S/人，支持50000 张卡，150000条事件记录；</w:t>
            </w:r>
          </w:p>
          <w:p>
            <w:pPr>
              <w:keepNext w:val="0"/>
              <w:keepLines w:val="0"/>
              <w:pageBreakBefore w:val="0"/>
              <w:kinsoku/>
              <w:wordWrap/>
              <w:overflowPunct/>
              <w:topLinePunct w:val="0"/>
              <w:autoSpaceDE/>
              <w:autoSpaceDN/>
              <w:bidi w:val="0"/>
              <w:adjustRightInd/>
              <w:snapToGrid/>
              <w:spacing w:line="44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3、认证方式：支持人脸、刷卡、密码及其组合的认证方式；可读取Mifare卡（IC卡）、CPU卡号/内容、身份证序列号；</w:t>
            </w:r>
          </w:p>
          <w:p>
            <w:pPr>
              <w:keepNext w:val="0"/>
              <w:keepLines w:val="0"/>
              <w:pageBreakBefore w:val="0"/>
              <w:kinsoku/>
              <w:wordWrap/>
              <w:overflowPunct/>
              <w:topLinePunct w:val="0"/>
              <w:autoSpaceDE/>
              <w:autoSpaceDN/>
              <w:bidi w:val="0"/>
              <w:adjustRightInd/>
              <w:snapToGrid/>
              <w:spacing w:line="44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4、工作模式：支持普通模式、广告模式、简洁模式三大主题；每个主题均支持多人及单人识别</w:t>
            </w:r>
          </w:p>
          <w:p>
            <w:pPr>
              <w:keepNext w:val="0"/>
              <w:keepLines w:val="0"/>
              <w:pageBreakBefore w:val="0"/>
              <w:kinsoku/>
              <w:wordWrap/>
              <w:overflowPunct/>
              <w:topLinePunct w:val="0"/>
              <w:autoSpaceDE/>
              <w:autoSpaceDN/>
              <w:bidi w:val="0"/>
              <w:adjustRightInd/>
              <w:snapToGrid/>
              <w:spacing w:line="44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5、视频对讲：支持与主副室内分机、管理机的视频对讲功能；支持远程视频预览功能，可以通过RTSP协议输出视频码流，编码格式H.264；</w:t>
            </w:r>
          </w:p>
          <w:p>
            <w:pPr>
              <w:keepNext w:val="0"/>
              <w:keepLines w:val="0"/>
              <w:pageBreakBefore w:val="0"/>
              <w:kinsoku/>
              <w:wordWrap/>
              <w:overflowPunct/>
              <w:topLinePunct w:val="0"/>
              <w:autoSpaceDE/>
              <w:autoSpaceDN/>
              <w:bidi w:val="0"/>
              <w:adjustRightInd/>
              <w:snapToGrid/>
              <w:spacing w:line="44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6、3.5mm 音频输出接口*1，设备内置扬声器可与外接音箱同时使用；对讲通话时，自动关闭外接音箱；</w:t>
            </w:r>
          </w:p>
          <w:p>
            <w:pPr>
              <w:keepNext w:val="0"/>
              <w:keepLines w:val="0"/>
              <w:pageBreakBefore w:val="0"/>
              <w:kinsoku/>
              <w:wordWrap/>
              <w:overflowPunct/>
              <w:topLinePunct w:val="0"/>
              <w:autoSpaceDE/>
              <w:autoSpaceDN/>
              <w:bidi w:val="0"/>
              <w:adjustRightInd/>
              <w:snapToGrid/>
              <w:spacing w:line="44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7、输入接口：LAN*1、RS485*1、Wiegand * 1(支持双向)、typeC 类型 USB 接口*1、门磁*1、报警输入*2、开门按钮*1、SD 卡槽*1（最大支持 512GB）；</w:t>
            </w:r>
          </w:p>
          <w:p>
            <w:pPr>
              <w:keepNext w:val="0"/>
              <w:keepLines w:val="0"/>
              <w:pageBreakBefore w:val="0"/>
              <w:kinsoku/>
              <w:wordWrap/>
              <w:overflowPunct/>
              <w:topLinePunct w:val="0"/>
              <w:autoSpaceDE/>
              <w:autoSpaceDN/>
              <w:bidi w:val="0"/>
              <w:adjustRightInd/>
              <w:snapToGrid/>
              <w:spacing w:line="44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8、输出接口：电锁*1个，报警输出*1个；</w:t>
            </w:r>
          </w:p>
          <w:p>
            <w:pPr>
              <w:keepNext w:val="0"/>
              <w:keepLines w:val="0"/>
              <w:pageBreakBefore w:val="0"/>
              <w:kinsoku/>
              <w:wordWrap/>
              <w:overflowPunct/>
              <w:topLinePunct w:val="0"/>
              <w:autoSpaceDE/>
              <w:autoSpaceDN/>
              <w:bidi w:val="0"/>
              <w:adjustRightInd/>
              <w:snapToGrid/>
              <w:spacing w:line="44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9、通讯方式：上行通讯为TCP/IP；</w:t>
            </w:r>
          </w:p>
          <w:p>
            <w:pPr>
              <w:keepNext w:val="0"/>
              <w:keepLines w:val="0"/>
              <w:pageBreakBefore w:val="0"/>
              <w:kinsoku/>
              <w:wordWrap/>
              <w:overflowPunct/>
              <w:topLinePunct w:val="0"/>
              <w:autoSpaceDE/>
              <w:autoSpaceDN/>
              <w:bidi w:val="0"/>
              <w:adjustRightInd/>
              <w:snapToGrid/>
              <w:spacing w:line="44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10、工作电压： DC12V~24V/2A（不带电源，需另配电源）</w:t>
            </w:r>
          </w:p>
          <w:p>
            <w:pPr>
              <w:keepNext w:val="0"/>
              <w:keepLines w:val="0"/>
              <w:pageBreakBefore w:val="0"/>
              <w:kinsoku/>
              <w:wordWrap/>
              <w:overflowPunct/>
              <w:topLinePunct w:val="0"/>
              <w:autoSpaceDE/>
              <w:autoSpaceDN/>
              <w:bidi w:val="0"/>
              <w:adjustRightInd/>
              <w:snapToGrid/>
              <w:spacing w:line="44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11、使用环境：室内外环境（室外使用，必须需增加遮阳罩）；</w:t>
            </w:r>
          </w:p>
          <w:p>
            <w:pPr>
              <w:keepNext w:val="0"/>
              <w:keepLines w:val="0"/>
              <w:pageBreakBefore w:val="0"/>
              <w:kinsoku/>
              <w:wordWrap/>
              <w:overflowPunct/>
              <w:topLinePunct w:val="0"/>
              <w:autoSpaceDE/>
              <w:autoSpaceDN/>
              <w:bidi w:val="0"/>
              <w:adjustRightInd/>
              <w:snapToGrid/>
              <w:spacing w:line="44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12、安装方式：标配壁挂安装挂板，可安装在人员通道上，需搭配通道支架；</w:t>
            </w:r>
          </w:p>
          <w:p>
            <w:pPr>
              <w:keepNext w:val="0"/>
              <w:keepLines w:val="0"/>
              <w:pageBreakBefore w:val="0"/>
              <w:kinsoku/>
              <w:wordWrap/>
              <w:overflowPunct/>
              <w:topLinePunct w:val="0"/>
              <w:autoSpaceDE/>
              <w:autoSpaceDN/>
              <w:bidi w:val="0"/>
              <w:adjustRightInd/>
              <w:snapToGrid/>
              <w:spacing w:line="44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13、工作温度：-30℃～60℃；</w:t>
            </w:r>
          </w:p>
        </w:tc>
        <w:tc>
          <w:tcPr>
            <w:tcW w:w="43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4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套</w:t>
            </w:r>
          </w:p>
        </w:tc>
      </w:tr>
      <w:tr>
        <w:tblPrEx>
          <w:tblCellMar>
            <w:top w:w="0" w:type="dxa"/>
            <w:left w:w="108" w:type="dxa"/>
            <w:bottom w:w="0" w:type="dxa"/>
            <w:right w:w="108" w:type="dxa"/>
          </w:tblCellMar>
        </w:tblPrEx>
        <w:trPr>
          <w:trHeight w:val="0" w:hRule="atLeast"/>
          <w:jc w:val="center"/>
        </w:trPr>
        <w:tc>
          <w:tcPr>
            <w:tcW w:w="40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w:t>
            </w:r>
          </w:p>
        </w:tc>
        <w:tc>
          <w:tcPr>
            <w:tcW w:w="4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**保障智能服务</w:t>
            </w:r>
          </w:p>
        </w:tc>
        <w:tc>
          <w:tcPr>
            <w:tcW w:w="58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开门按钮</w:t>
            </w:r>
          </w:p>
        </w:tc>
        <w:tc>
          <w:tcPr>
            <w:tcW w:w="265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4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结构：塑料面板；</w:t>
            </w:r>
          </w:p>
          <w:p>
            <w:pPr>
              <w:keepNext w:val="0"/>
              <w:keepLines w:val="0"/>
              <w:pageBreakBefore w:val="0"/>
              <w:kinsoku/>
              <w:wordWrap/>
              <w:overflowPunct/>
              <w:topLinePunct w:val="0"/>
              <w:autoSpaceDE/>
              <w:autoSpaceDN/>
              <w:bidi w:val="0"/>
              <w:adjustRightInd/>
              <w:snapToGrid/>
              <w:spacing w:line="44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性能：最大耐电流1.25A，电压250V；</w:t>
            </w:r>
          </w:p>
          <w:p>
            <w:pPr>
              <w:keepNext w:val="0"/>
              <w:keepLines w:val="0"/>
              <w:pageBreakBefore w:val="0"/>
              <w:kinsoku/>
              <w:wordWrap/>
              <w:overflowPunct/>
              <w:topLinePunct w:val="0"/>
              <w:autoSpaceDE/>
              <w:autoSpaceDN/>
              <w:bidi w:val="0"/>
              <w:adjustRightInd/>
              <w:snapToGrid/>
              <w:spacing w:line="44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输出：常开；</w:t>
            </w:r>
          </w:p>
          <w:p>
            <w:pPr>
              <w:keepNext w:val="0"/>
              <w:keepLines w:val="0"/>
              <w:pageBreakBefore w:val="0"/>
              <w:kinsoku/>
              <w:wordWrap/>
              <w:overflowPunct/>
              <w:topLinePunct w:val="0"/>
              <w:autoSpaceDE/>
              <w:autoSpaceDN/>
              <w:bidi w:val="0"/>
              <w:adjustRightInd/>
              <w:snapToGrid/>
              <w:spacing w:line="44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类型：适合埋入式电器盒使用；</w:t>
            </w:r>
          </w:p>
        </w:tc>
        <w:tc>
          <w:tcPr>
            <w:tcW w:w="43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4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套</w:t>
            </w:r>
          </w:p>
        </w:tc>
      </w:tr>
      <w:tr>
        <w:tblPrEx>
          <w:tblCellMar>
            <w:top w:w="0" w:type="dxa"/>
            <w:left w:w="108" w:type="dxa"/>
            <w:bottom w:w="0" w:type="dxa"/>
            <w:right w:w="108" w:type="dxa"/>
          </w:tblCellMar>
        </w:tblPrEx>
        <w:trPr>
          <w:trHeight w:val="0" w:hRule="atLeast"/>
          <w:jc w:val="center"/>
        </w:trPr>
        <w:tc>
          <w:tcPr>
            <w:tcW w:w="40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w:t>
            </w:r>
          </w:p>
        </w:tc>
        <w:tc>
          <w:tcPr>
            <w:tcW w:w="4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**保障智能服务</w:t>
            </w:r>
          </w:p>
        </w:tc>
        <w:tc>
          <w:tcPr>
            <w:tcW w:w="58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立杆</w:t>
            </w:r>
          </w:p>
        </w:tc>
        <w:tc>
          <w:tcPr>
            <w:tcW w:w="265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4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1、支架采用钣金喷漆材质，适用于室内外场景</w:t>
            </w:r>
          </w:p>
          <w:p>
            <w:pPr>
              <w:keepNext w:val="0"/>
              <w:keepLines w:val="0"/>
              <w:pageBreakBefore w:val="0"/>
              <w:kinsoku/>
              <w:wordWrap/>
              <w:overflowPunct/>
              <w:topLinePunct w:val="0"/>
              <w:autoSpaceDE/>
              <w:autoSpaceDN/>
              <w:bidi w:val="0"/>
              <w:adjustRightInd/>
              <w:snapToGrid/>
              <w:spacing w:line="44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2、支架安装需要通过膨胀螺钉固定地面</w:t>
            </w:r>
          </w:p>
          <w:p>
            <w:pPr>
              <w:keepNext w:val="0"/>
              <w:keepLines w:val="0"/>
              <w:pageBreakBefore w:val="0"/>
              <w:kinsoku/>
              <w:wordWrap/>
              <w:overflowPunct/>
              <w:topLinePunct w:val="0"/>
              <w:autoSpaceDE/>
              <w:autoSpaceDN/>
              <w:bidi w:val="0"/>
              <w:adjustRightInd/>
              <w:snapToGrid/>
              <w:spacing w:line="44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3、支架内置电源线及信号延长线，不带开关电源</w:t>
            </w:r>
          </w:p>
        </w:tc>
        <w:tc>
          <w:tcPr>
            <w:tcW w:w="43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4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套</w:t>
            </w:r>
          </w:p>
        </w:tc>
      </w:tr>
      <w:tr>
        <w:tblPrEx>
          <w:tblCellMar>
            <w:top w:w="0" w:type="dxa"/>
            <w:left w:w="108" w:type="dxa"/>
            <w:bottom w:w="0" w:type="dxa"/>
            <w:right w:w="108" w:type="dxa"/>
          </w:tblCellMar>
        </w:tblPrEx>
        <w:trPr>
          <w:trHeight w:val="0" w:hRule="atLeast"/>
          <w:jc w:val="center"/>
        </w:trPr>
        <w:tc>
          <w:tcPr>
            <w:tcW w:w="40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w:t>
            </w:r>
          </w:p>
        </w:tc>
        <w:tc>
          <w:tcPr>
            <w:tcW w:w="4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**保障智能服务</w:t>
            </w:r>
          </w:p>
        </w:tc>
        <w:tc>
          <w:tcPr>
            <w:tcW w:w="58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高清人脸枪式摄像机</w:t>
            </w:r>
          </w:p>
        </w:tc>
        <w:tc>
          <w:tcPr>
            <w:tcW w:w="265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4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400万 星光级1/1.8" CMOS AI抓拍筒型网络摄像机</w:t>
            </w:r>
          </w:p>
          <w:p>
            <w:pPr>
              <w:keepNext w:val="0"/>
              <w:keepLines w:val="0"/>
              <w:pageBreakBefore w:val="0"/>
              <w:kinsoku/>
              <w:wordWrap/>
              <w:overflowPunct/>
              <w:topLinePunct w:val="0"/>
              <w:autoSpaceDE/>
              <w:autoSpaceDN/>
              <w:bidi w:val="0"/>
              <w:adjustRightInd/>
              <w:snapToGrid/>
              <w:spacing w:line="44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支持智能资源模式切换：人脸抓拍模式，道路监控模式，Smart事件模式</w:t>
            </w:r>
          </w:p>
          <w:p>
            <w:pPr>
              <w:keepNext w:val="0"/>
              <w:keepLines w:val="0"/>
              <w:pageBreakBefore w:val="0"/>
              <w:kinsoku/>
              <w:wordWrap/>
              <w:overflowPunct/>
              <w:topLinePunct w:val="0"/>
              <w:autoSpaceDE/>
              <w:autoSpaceDN/>
              <w:bidi w:val="0"/>
              <w:adjustRightInd/>
              <w:snapToGrid/>
              <w:spacing w:line="44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人脸抓拍模式：</w:t>
            </w:r>
          </w:p>
          <w:p>
            <w:pPr>
              <w:keepNext w:val="0"/>
              <w:keepLines w:val="0"/>
              <w:pageBreakBefore w:val="0"/>
              <w:kinsoku/>
              <w:wordWrap/>
              <w:overflowPunct/>
              <w:topLinePunct w:val="0"/>
              <w:autoSpaceDE/>
              <w:autoSpaceDN/>
              <w:bidi w:val="0"/>
              <w:adjustRightInd/>
              <w:snapToGrid/>
              <w:spacing w:line="44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a)支持对运动人脸进行检测、跟踪、抓拍、评分、筛选，输出最优的人脸</w:t>
            </w:r>
          </w:p>
          <w:p>
            <w:pPr>
              <w:keepNext w:val="0"/>
              <w:keepLines w:val="0"/>
              <w:pageBreakBefore w:val="0"/>
              <w:kinsoku/>
              <w:wordWrap/>
              <w:overflowPunct/>
              <w:topLinePunct w:val="0"/>
              <w:autoSpaceDE/>
              <w:autoSpaceDN/>
              <w:bidi w:val="0"/>
              <w:adjustRightInd/>
              <w:snapToGrid/>
              <w:spacing w:line="44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b)支持人脸去误报、快速抓拍人脸</w:t>
            </w:r>
          </w:p>
          <w:p>
            <w:pPr>
              <w:keepNext w:val="0"/>
              <w:keepLines w:val="0"/>
              <w:pageBreakBefore w:val="0"/>
              <w:kinsoku/>
              <w:wordWrap/>
              <w:overflowPunct/>
              <w:topLinePunct w:val="0"/>
              <w:autoSpaceDE/>
              <w:autoSpaceDN/>
              <w:bidi w:val="0"/>
              <w:adjustRightInd/>
              <w:snapToGrid/>
              <w:spacing w:line="44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c)支持快速抓拍和最佳抓拍两种模式</w:t>
            </w:r>
          </w:p>
          <w:p>
            <w:pPr>
              <w:keepNext w:val="0"/>
              <w:keepLines w:val="0"/>
              <w:pageBreakBefore w:val="0"/>
              <w:kinsoku/>
              <w:wordWrap/>
              <w:overflowPunct/>
              <w:topLinePunct w:val="0"/>
              <w:autoSpaceDE/>
              <w:autoSpaceDN/>
              <w:bidi w:val="0"/>
              <w:adjustRightInd/>
              <w:snapToGrid/>
              <w:spacing w:line="44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d)最多同时检测30张人脸</w:t>
            </w:r>
          </w:p>
          <w:p>
            <w:pPr>
              <w:keepNext w:val="0"/>
              <w:keepLines w:val="0"/>
              <w:pageBreakBefore w:val="0"/>
              <w:kinsoku/>
              <w:wordWrap/>
              <w:overflowPunct/>
              <w:topLinePunct w:val="0"/>
              <w:autoSpaceDE/>
              <w:autoSpaceDN/>
              <w:bidi w:val="0"/>
              <w:adjustRightInd/>
              <w:snapToGrid/>
              <w:spacing w:line="44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e)支持人脸去重</w:t>
            </w:r>
          </w:p>
          <w:p>
            <w:pPr>
              <w:keepNext w:val="0"/>
              <w:keepLines w:val="0"/>
              <w:pageBreakBefore w:val="0"/>
              <w:kinsoku/>
              <w:wordWrap/>
              <w:overflowPunct/>
              <w:topLinePunct w:val="0"/>
              <w:autoSpaceDE/>
              <w:autoSpaceDN/>
              <w:bidi w:val="0"/>
              <w:adjustRightInd/>
              <w:snapToGrid/>
              <w:spacing w:line="44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道路监控模式：</w:t>
            </w:r>
          </w:p>
          <w:p>
            <w:pPr>
              <w:keepNext w:val="0"/>
              <w:keepLines w:val="0"/>
              <w:pageBreakBefore w:val="0"/>
              <w:kinsoku/>
              <w:wordWrap/>
              <w:overflowPunct/>
              <w:topLinePunct w:val="0"/>
              <w:autoSpaceDE/>
              <w:autoSpaceDN/>
              <w:bidi w:val="0"/>
              <w:adjustRightInd/>
              <w:snapToGrid/>
              <w:spacing w:line="44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a)车辆检测：支持车牌识别并抓拍，车型/车品牌/车身颜色/车牌颜色识别</w:t>
            </w:r>
          </w:p>
          <w:p>
            <w:pPr>
              <w:keepNext w:val="0"/>
              <w:keepLines w:val="0"/>
              <w:pageBreakBefore w:val="0"/>
              <w:kinsoku/>
              <w:wordWrap/>
              <w:overflowPunct/>
              <w:topLinePunct w:val="0"/>
              <w:autoSpaceDE/>
              <w:autoSpaceDN/>
              <w:bidi w:val="0"/>
              <w:adjustRightInd/>
              <w:snapToGrid/>
              <w:spacing w:line="44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b)混行检测：检测正向或逆向行驶的车辆以及行人和非机动车，自动对车辆牌照进行识别，可以抓拍无车牌的车辆图片</w:t>
            </w:r>
          </w:p>
          <w:p>
            <w:pPr>
              <w:keepNext w:val="0"/>
              <w:keepLines w:val="0"/>
              <w:pageBreakBefore w:val="0"/>
              <w:kinsoku/>
              <w:wordWrap/>
              <w:overflowPunct/>
              <w:topLinePunct w:val="0"/>
              <w:autoSpaceDE/>
              <w:autoSpaceDN/>
              <w:bidi w:val="0"/>
              <w:adjustRightInd/>
              <w:snapToGrid/>
              <w:spacing w:line="44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c)支持卡口和出入口模式切换</w:t>
            </w:r>
          </w:p>
          <w:p>
            <w:pPr>
              <w:keepNext w:val="0"/>
              <w:keepLines w:val="0"/>
              <w:pageBreakBefore w:val="0"/>
              <w:kinsoku/>
              <w:wordWrap/>
              <w:overflowPunct/>
              <w:topLinePunct w:val="0"/>
              <w:autoSpaceDE/>
              <w:autoSpaceDN/>
              <w:bidi w:val="0"/>
              <w:adjustRightInd/>
              <w:snapToGrid/>
              <w:spacing w:line="44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Smart事件模式： 支持越界侦测，区域入侵侦测，进入区域侦测，离开区域侦测，物品遗留侦测，物品拿取侦测，徘徊侦测，人员聚集侦测，快速运动侦测，停车侦测</w:t>
            </w:r>
          </w:p>
          <w:p>
            <w:pPr>
              <w:keepNext w:val="0"/>
              <w:keepLines w:val="0"/>
              <w:pageBreakBefore w:val="0"/>
              <w:kinsoku/>
              <w:wordWrap/>
              <w:overflowPunct/>
              <w:topLinePunct w:val="0"/>
              <w:autoSpaceDE/>
              <w:autoSpaceDN/>
              <w:bidi w:val="0"/>
              <w:adjustRightInd/>
              <w:snapToGrid/>
              <w:spacing w:line="44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最低照度: 彩色：0.0005 Lux @（F1.2，AGC ON），0 Lux with Light；黑白：0.0001 Lux @（F1.2，AGC ON），0 Lux with IR</w:t>
            </w:r>
          </w:p>
          <w:p>
            <w:pPr>
              <w:keepNext w:val="0"/>
              <w:keepLines w:val="0"/>
              <w:pageBreakBefore w:val="0"/>
              <w:kinsoku/>
              <w:wordWrap/>
              <w:overflowPunct/>
              <w:topLinePunct w:val="0"/>
              <w:autoSpaceDE/>
              <w:autoSpaceDN/>
              <w:bidi w:val="0"/>
              <w:adjustRightInd/>
              <w:snapToGrid/>
              <w:spacing w:line="44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宽动态: 120dB</w:t>
            </w:r>
          </w:p>
          <w:p>
            <w:pPr>
              <w:keepNext w:val="0"/>
              <w:keepLines w:val="0"/>
              <w:pageBreakBefore w:val="0"/>
              <w:kinsoku/>
              <w:wordWrap/>
              <w:overflowPunct/>
              <w:topLinePunct w:val="0"/>
              <w:autoSpaceDE/>
              <w:autoSpaceDN/>
              <w:bidi w:val="0"/>
              <w:adjustRightInd/>
              <w:snapToGrid/>
              <w:spacing w:line="44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焦距&amp;视场角: 2.8~12 mm：水平视场角：107°~39.8°，垂直视场角：56°~22.4°，对角线视场角：130.1°~45.7°</w:t>
            </w:r>
          </w:p>
          <w:p>
            <w:pPr>
              <w:keepNext w:val="0"/>
              <w:keepLines w:val="0"/>
              <w:pageBreakBefore w:val="0"/>
              <w:kinsoku/>
              <w:wordWrap/>
              <w:overflowPunct/>
              <w:topLinePunct w:val="0"/>
              <w:autoSpaceDE/>
              <w:autoSpaceDN/>
              <w:bidi w:val="0"/>
              <w:adjustRightInd/>
              <w:snapToGrid/>
              <w:spacing w:line="44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补光灯类型: 红外，850nm</w:t>
            </w:r>
          </w:p>
          <w:p>
            <w:pPr>
              <w:keepNext w:val="0"/>
              <w:keepLines w:val="0"/>
              <w:pageBreakBefore w:val="0"/>
              <w:kinsoku/>
              <w:wordWrap/>
              <w:overflowPunct/>
              <w:topLinePunct w:val="0"/>
              <w:autoSpaceDE/>
              <w:autoSpaceDN/>
              <w:bidi w:val="0"/>
              <w:adjustRightInd/>
              <w:snapToGrid/>
              <w:spacing w:line="44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补光距离: 红外: 2.8~12 mm：普通监控：50 m，人脸抓拍/识别：7 m</w:t>
            </w:r>
          </w:p>
          <w:p>
            <w:pPr>
              <w:keepNext w:val="0"/>
              <w:keepLines w:val="0"/>
              <w:pageBreakBefore w:val="0"/>
              <w:kinsoku/>
              <w:wordWrap/>
              <w:overflowPunct/>
              <w:topLinePunct w:val="0"/>
              <w:autoSpaceDE/>
              <w:autoSpaceDN/>
              <w:bidi w:val="0"/>
              <w:adjustRightInd/>
              <w:snapToGrid/>
              <w:spacing w:line="44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最大图像尺寸: 2560 × 1440</w:t>
            </w:r>
          </w:p>
          <w:p>
            <w:pPr>
              <w:keepNext w:val="0"/>
              <w:keepLines w:val="0"/>
              <w:pageBreakBefore w:val="0"/>
              <w:kinsoku/>
              <w:wordWrap/>
              <w:overflowPunct/>
              <w:topLinePunct w:val="0"/>
              <w:autoSpaceDE/>
              <w:autoSpaceDN/>
              <w:bidi w:val="0"/>
              <w:adjustRightInd/>
              <w:snapToGrid/>
              <w:spacing w:line="44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视频压缩标准: H.265/H.264/MJPEG</w:t>
            </w:r>
          </w:p>
          <w:p>
            <w:pPr>
              <w:keepNext w:val="0"/>
              <w:keepLines w:val="0"/>
              <w:pageBreakBefore w:val="0"/>
              <w:kinsoku/>
              <w:wordWrap/>
              <w:overflowPunct/>
              <w:topLinePunct w:val="0"/>
              <w:autoSpaceDE/>
              <w:autoSpaceDN/>
              <w:bidi w:val="0"/>
              <w:adjustRightInd/>
              <w:snapToGrid/>
              <w:spacing w:line="44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网络存储: 支持Micro SD(即TF卡)/Micro SDHC/Micro SDXC卡（最大256 GB）断网本地存储及断网续传，NAS（NFS，SMB/CIFS均支持），支持SD卡加密及SD卡状态检测</w:t>
            </w:r>
          </w:p>
          <w:p>
            <w:pPr>
              <w:keepNext w:val="0"/>
              <w:keepLines w:val="0"/>
              <w:pageBreakBefore w:val="0"/>
              <w:kinsoku/>
              <w:wordWrap/>
              <w:overflowPunct/>
              <w:topLinePunct w:val="0"/>
              <w:autoSpaceDE/>
              <w:autoSpaceDN/>
              <w:bidi w:val="0"/>
              <w:adjustRightInd/>
              <w:snapToGrid/>
              <w:spacing w:line="44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网络: 1个RJ45 10 M/100 M自适应以太网口</w:t>
            </w:r>
          </w:p>
          <w:p>
            <w:pPr>
              <w:keepNext w:val="0"/>
              <w:keepLines w:val="0"/>
              <w:pageBreakBefore w:val="0"/>
              <w:kinsoku/>
              <w:wordWrap/>
              <w:overflowPunct/>
              <w:topLinePunct w:val="0"/>
              <w:autoSpaceDE/>
              <w:autoSpaceDN/>
              <w:bidi w:val="0"/>
              <w:adjustRightInd/>
              <w:snapToGrid/>
              <w:spacing w:line="44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音频: 2 路输入（Line in），1路输出（Line out）</w:t>
            </w:r>
          </w:p>
          <w:p>
            <w:pPr>
              <w:keepNext w:val="0"/>
              <w:keepLines w:val="0"/>
              <w:pageBreakBefore w:val="0"/>
              <w:kinsoku/>
              <w:wordWrap/>
              <w:overflowPunct/>
              <w:topLinePunct w:val="0"/>
              <w:autoSpaceDE/>
              <w:autoSpaceDN/>
              <w:bidi w:val="0"/>
              <w:adjustRightInd/>
              <w:snapToGrid/>
              <w:spacing w:line="44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接口类型: 外甩线</w:t>
            </w:r>
          </w:p>
          <w:p>
            <w:pPr>
              <w:keepNext w:val="0"/>
              <w:keepLines w:val="0"/>
              <w:pageBreakBefore w:val="0"/>
              <w:kinsoku/>
              <w:wordWrap/>
              <w:overflowPunct/>
              <w:topLinePunct w:val="0"/>
              <w:autoSpaceDE/>
              <w:autoSpaceDN/>
              <w:bidi w:val="0"/>
              <w:adjustRightInd/>
              <w:snapToGrid/>
              <w:spacing w:line="44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报警: 3路输入，2路输出（报警输入支持开关量，报警输出最大支持DC12 V，30 mA）</w:t>
            </w:r>
          </w:p>
          <w:p>
            <w:pPr>
              <w:keepNext w:val="0"/>
              <w:keepLines w:val="0"/>
              <w:pageBreakBefore w:val="0"/>
              <w:kinsoku/>
              <w:wordWrap/>
              <w:overflowPunct/>
              <w:topLinePunct w:val="0"/>
              <w:autoSpaceDE/>
              <w:autoSpaceDN/>
              <w:bidi w:val="0"/>
              <w:adjustRightInd/>
              <w:snapToGrid/>
              <w:spacing w:line="44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RS-485 </w:t>
            </w:r>
          </w:p>
          <w:p>
            <w:pPr>
              <w:keepNext w:val="0"/>
              <w:keepLines w:val="0"/>
              <w:pageBreakBefore w:val="0"/>
              <w:kinsoku/>
              <w:wordWrap/>
              <w:overflowPunct/>
              <w:topLinePunct w:val="0"/>
              <w:autoSpaceDE/>
              <w:autoSpaceDN/>
              <w:bidi w:val="0"/>
              <w:adjustRightInd/>
              <w:snapToGrid/>
              <w:spacing w:line="44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复位: 支持</w:t>
            </w:r>
          </w:p>
          <w:p>
            <w:pPr>
              <w:keepNext w:val="0"/>
              <w:keepLines w:val="0"/>
              <w:pageBreakBefore w:val="0"/>
              <w:kinsoku/>
              <w:wordWrap/>
              <w:overflowPunct/>
              <w:topLinePunct w:val="0"/>
              <w:autoSpaceDE/>
              <w:autoSpaceDN/>
              <w:bidi w:val="0"/>
              <w:adjustRightInd/>
              <w:snapToGrid/>
              <w:spacing w:line="44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电源输出: DC12 V，100 mA</w:t>
            </w:r>
          </w:p>
          <w:p>
            <w:pPr>
              <w:keepNext w:val="0"/>
              <w:keepLines w:val="0"/>
              <w:pageBreakBefore w:val="0"/>
              <w:kinsoku/>
              <w:wordWrap/>
              <w:overflowPunct/>
              <w:topLinePunct w:val="0"/>
              <w:autoSpaceDE/>
              <w:autoSpaceDN/>
              <w:bidi w:val="0"/>
              <w:adjustRightInd/>
              <w:snapToGrid/>
              <w:spacing w:line="44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电流及功耗: DC：12 V，1.33 A，最大功耗：15.9 W；PoE：802.3at，42.5 V~57 V，0.35 A~0.26 A，最大功耗：14.8 W</w:t>
            </w:r>
          </w:p>
          <w:p>
            <w:pPr>
              <w:keepNext w:val="0"/>
              <w:keepLines w:val="0"/>
              <w:pageBreakBefore w:val="0"/>
              <w:kinsoku/>
              <w:wordWrap/>
              <w:overflowPunct/>
              <w:topLinePunct w:val="0"/>
              <w:autoSpaceDE/>
              <w:autoSpaceDN/>
              <w:bidi w:val="0"/>
              <w:adjustRightInd/>
              <w:snapToGrid/>
              <w:spacing w:line="44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线缆长度: 35cm</w:t>
            </w:r>
          </w:p>
          <w:p>
            <w:pPr>
              <w:keepNext w:val="0"/>
              <w:keepLines w:val="0"/>
              <w:pageBreakBefore w:val="0"/>
              <w:kinsoku/>
              <w:wordWrap/>
              <w:overflowPunct/>
              <w:topLinePunct w:val="0"/>
              <w:autoSpaceDE/>
              <w:autoSpaceDN/>
              <w:bidi w:val="0"/>
              <w:adjustRightInd/>
              <w:snapToGrid/>
              <w:spacing w:line="44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包装尺寸: 385×158×155mm</w:t>
            </w:r>
          </w:p>
          <w:p>
            <w:pPr>
              <w:keepNext w:val="0"/>
              <w:keepLines w:val="0"/>
              <w:pageBreakBefore w:val="0"/>
              <w:kinsoku/>
              <w:wordWrap/>
              <w:overflowPunct/>
              <w:topLinePunct w:val="0"/>
              <w:autoSpaceDE/>
              <w:autoSpaceDN/>
              <w:bidi w:val="0"/>
              <w:adjustRightInd/>
              <w:snapToGrid/>
              <w:spacing w:line="44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存储温湿度: -30 ℃~60 ℃，湿度小于95%(无凝结)</w:t>
            </w:r>
          </w:p>
          <w:p>
            <w:pPr>
              <w:keepNext w:val="0"/>
              <w:keepLines w:val="0"/>
              <w:pageBreakBefore w:val="0"/>
              <w:kinsoku/>
              <w:wordWrap/>
              <w:overflowPunct/>
              <w:topLinePunct w:val="0"/>
              <w:autoSpaceDE/>
              <w:autoSpaceDN/>
              <w:bidi w:val="0"/>
              <w:adjustRightInd/>
              <w:snapToGrid/>
              <w:spacing w:line="44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启动和工作温湿度: -30 ℃~60 ℃，湿度小于95%(无凝结)</w:t>
            </w:r>
          </w:p>
          <w:p>
            <w:pPr>
              <w:keepNext w:val="0"/>
              <w:keepLines w:val="0"/>
              <w:pageBreakBefore w:val="0"/>
              <w:kinsoku/>
              <w:wordWrap/>
              <w:overflowPunct/>
              <w:topLinePunct w:val="0"/>
              <w:autoSpaceDE/>
              <w:autoSpaceDN/>
              <w:bidi w:val="0"/>
              <w:adjustRightInd/>
              <w:snapToGrid/>
              <w:spacing w:line="44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供电方式: DC：12V±20% ，支持防反接保护；PoE：802.3at,Type 2 Class 4</w:t>
            </w:r>
          </w:p>
          <w:p>
            <w:pPr>
              <w:keepNext w:val="0"/>
              <w:keepLines w:val="0"/>
              <w:pageBreakBefore w:val="0"/>
              <w:kinsoku/>
              <w:wordWrap/>
              <w:overflowPunct/>
              <w:topLinePunct w:val="0"/>
              <w:autoSpaceDE/>
              <w:autoSpaceDN/>
              <w:bidi w:val="0"/>
              <w:adjustRightInd/>
              <w:snapToGrid/>
              <w:spacing w:line="44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电源接口类型: 3芯接口</w:t>
            </w:r>
          </w:p>
          <w:p>
            <w:pPr>
              <w:keepNext w:val="0"/>
              <w:keepLines w:val="0"/>
              <w:pageBreakBefore w:val="0"/>
              <w:kinsoku/>
              <w:wordWrap/>
              <w:overflowPunct/>
              <w:topLinePunct w:val="0"/>
              <w:autoSpaceDE/>
              <w:autoSpaceDN/>
              <w:bidi w:val="0"/>
              <w:adjustRightInd/>
              <w:snapToGrid/>
              <w:spacing w:line="44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防护: IP67</w:t>
            </w:r>
          </w:p>
        </w:tc>
        <w:tc>
          <w:tcPr>
            <w:tcW w:w="43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4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套</w:t>
            </w:r>
          </w:p>
        </w:tc>
      </w:tr>
      <w:tr>
        <w:tblPrEx>
          <w:tblCellMar>
            <w:top w:w="0" w:type="dxa"/>
            <w:left w:w="108" w:type="dxa"/>
            <w:bottom w:w="0" w:type="dxa"/>
            <w:right w:w="108" w:type="dxa"/>
          </w:tblCellMar>
        </w:tblPrEx>
        <w:trPr>
          <w:trHeight w:val="0" w:hRule="atLeast"/>
          <w:jc w:val="center"/>
        </w:trPr>
        <w:tc>
          <w:tcPr>
            <w:tcW w:w="40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w:t>
            </w:r>
          </w:p>
        </w:tc>
        <w:tc>
          <w:tcPr>
            <w:tcW w:w="4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**保障智能服务</w:t>
            </w:r>
          </w:p>
        </w:tc>
        <w:tc>
          <w:tcPr>
            <w:tcW w:w="58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摄像机支架</w:t>
            </w:r>
          </w:p>
        </w:tc>
        <w:tc>
          <w:tcPr>
            <w:tcW w:w="265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4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壁装支架</w:t>
            </w:r>
          </w:p>
          <w:p>
            <w:pPr>
              <w:keepNext w:val="0"/>
              <w:keepLines w:val="0"/>
              <w:pageBreakBefore w:val="0"/>
              <w:kinsoku/>
              <w:wordWrap/>
              <w:overflowPunct/>
              <w:topLinePunct w:val="0"/>
              <w:autoSpaceDE/>
              <w:autoSpaceDN/>
              <w:bidi w:val="0"/>
              <w:adjustRightInd/>
              <w:snapToGrid/>
              <w:spacing w:line="44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适用范围 适合枪型、筒型、一体型摄像机壁装</w:t>
            </w:r>
          </w:p>
          <w:p>
            <w:pPr>
              <w:keepNext w:val="0"/>
              <w:keepLines w:val="0"/>
              <w:pageBreakBefore w:val="0"/>
              <w:kinsoku/>
              <w:wordWrap/>
              <w:overflowPunct/>
              <w:topLinePunct w:val="0"/>
              <w:autoSpaceDE/>
              <w:autoSpaceDN/>
              <w:bidi w:val="0"/>
              <w:adjustRightInd/>
              <w:snapToGrid/>
              <w:spacing w:line="44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材料 铝合金</w:t>
            </w:r>
          </w:p>
          <w:p>
            <w:pPr>
              <w:keepNext w:val="0"/>
              <w:keepLines w:val="0"/>
              <w:pageBreakBefore w:val="0"/>
              <w:kinsoku/>
              <w:wordWrap/>
              <w:overflowPunct/>
              <w:topLinePunct w:val="0"/>
              <w:autoSpaceDE/>
              <w:autoSpaceDN/>
              <w:bidi w:val="0"/>
              <w:adjustRightInd/>
              <w:snapToGrid/>
              <w:spacing w:line="44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调整角度 水平：360°，垂直：-45°~45°</w:t>
            </w:r>
          </w:p>
        </w:tc>
        <w:tc>
          <w:tcPr>
            <w:tcW w:w="43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4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个</w:t>
            </w:r>
          </w:p>
        </w:tc>
      </w:tr>
      <w:tr>
        <w:tblPrEx>
          <w:tblCellMar>
            <w:top w:w="0" w:type="dxa"/>
            <w:left w:w="108" w:type="dxa"/>
            <w:bottom w:w="0" w:type="dxa"/>
            <w:right w:w="108" w:type="dxa"/>
          </w:tblCellMar>
        </w:tblPrEx>
        <w:trPr>
          <w:trHeight w:val="0" w:hRule="atLeast"/>
          <w:jc w:val="center"/>
        </w:trPr>
        <w:tc>
          <w:tcPr>
            <w:tcW w:w="40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w:t>
            </w:r>
          </w:p>
        </w:tc>
        <w:tc>
          <w:tcPr>
            <w:tcW w:w="4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**保障智能服务</w:t>
            </w:r>
          </w:p>
        </w:tc>
        <w:tc>
          <w:tcPr>
            <w:tcW w:w="58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人员身份登记</w:t>
            </w:r>
          </w:p>
        </w:tc>
        <w:tc>
          <w:tcPr>
            <w:tcW w:w="265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4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1、设备外观：高清双屏显示，带有15.6寸电容触摸显示屏和11.6寸液晶显示屏；</w:t>
            </w:r>
          </w:p>
          <w:p>
            <w:pPr>
              <w:keepNext w:val="0"/>
              <w:keepLines w:val="0"/>
              <w:pageBreakBefore w:val="0"/>
              <w:kinsoku/>
              <w:wordWrap/>
              <w:overflowPunct/>
              <w:topLinePunct w:val="0"/>
              <w:autoSpaceDE/>
              <w:autoSpaceDN/>
              <w:bidi w:val="0"/>
              <w:adjustRightInd/>
              <w:snapToGrid/>
              <w:spacing w:line="44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2、系统参数：设备采用Windows 7  64位操作系统；</w:t>
            </w:r>
          </w:p>
          <w:p>
            <w:pPr>
              <w:keepNext w:val="0"/>
              <w:keepLines w:val="0"/>
              <w:pageBreakBefore w:val="0"/>
              <w:kinsoku/>
              <w:wordWrap/>
              <w:overflowPunct/>
              <w:topLinePunct w:val="0"/>
              <w:autoSpaceDE/>
              <w:autoSpaceDN/>
              <w:bidi w:val="0"/>
              <w:adjustRightInd/>
              <w:snapToGrid/>
              <w:spacing w:line="44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3、存储大小：64G固态硬盘、DDR3 4GB内存</w:t>
            </w:r>
          </w:p>
          <w:p>
            <w:pPr>
              <w:keepNext w:val="0"/>
              <w:keepLines w:val="0"/>
              <w:pageBreakBefore w:val="0"/>
              <w:kinsoku/>
              <w:wordWrap/>
              <w:overflowPunct/>
              <w:topLinePunct w:val="0"/>
              <w:autoSpaceDE/>
              <w:autoSpaceDN/>
              <w:bidi w:val="0"/>
              <w:adjustRightInd/>
              <w:snapToGrid/>
              <w:spacing w:line="44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4、人证功能：内置200万高清摄像头，自带身份证阅读器，支持1：1人证比对成功后自动填入访客信息；</w:t>
            </w:r>
          </w:p>
          <w:p>
            <w:pPr>
              <w:keepNext w:val="0"/>
              <w:keepLines w:val="0"/>
              <w:pageBreakBefore w:val="0"/>
              <w:kinsoku/>
              <w:wordWrap/>
              <w:overflowPunct/>
              <w:topLinePunct w:val="0"/>
              <w:autoSpaceDE/>
              <w:autoSpaceDN/>
              <w:bidi w:val="0"/>
              <w:adjustRightInd/>
              <w:snapToGrid/>
              <w:spacing w:line="44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5、发卡功能：可通过身份证阅读器给访客发卡（Mifare卡、CPU卡序列号、身份证序列号或身份证号码（仅ISC客访客客户端支持）），使访客能够在被授权的门禁刷卡通行；</w:t>
            </w:r>
          </w:p>
          <w:p>
            <w:pPr>
              <w:keepNext w:val="0"/>
              <w:keepLines w:val="0"/>
              <w:pageBreakBefore w:val="0"/>
              <w:kinsoku/>
              <w:wordWrap/>
              <w:overflowPunct/>
              <w:topLinePunct w:val="0"/>
              <w:autoSpaceDE/>
              <w:autoSpaceDN/>
              <w:bidi w:val="0"/>
              <w:adjustRightInd/>
              <w:snapToGrid/>
              <w:spacing w:line="44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6、内置二维码扫描仪，可识别H5界面访客预约码完成访客登记，或识别访客凭条的二维码完成访客签离；</w:t>
            </w:r>
          </w:p>
          <w:p>
            <w:pPr>
              <w:keepNext w:val="0"/>
              <w:keepLines w:val="0"/>
              <w:pageBreakBefore w:val="0"/>
              <w:kinsoku/>
              <w:wordWrap/>
              <w:overflowPunct/>
              <w:topLinePunct w:val="0"/>
              <w:autoSpaceDE/>
              <w:autoSpaceDN/>
              <w:bidi w:val="0"/>
              <w:adjustRightInd/>
              <w:snapToGrid/>
              <w:spacing w:line="44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7、内置高速热敏打印机，可打印访客凭条（打印纸要求：纸宽58mm、纸卷直径≤45mm）；</w:t>
            </w:r>
          </w:p>
          <w:p>
            <w:pPr>
              <w:keepNext w:val="0"/>
              <w:keepLines w:val="0"/>
              <w:pageBreakBefore w:val="0"/>
              <w:kinsoku/>
              <w:wordWrap/>
              <w:overflowPunct/>
              <w:topLinePunct w:val="0"/>
              <w:autoSpaceDE/>
              <w:autoSpaceDN/>
              <w:bidi w:val="0"/>
              <w:adjustRightInd/>
              <w:snapToGrid/>
              <w:spacing w:line="44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8、通信方式：双网口设计，支持TCP/IP有线网络通讯；</w:t>
            </w:r>
          </w:p>
          <w:p>
            <w:pPr>
              <w:keepNext w:val="0"/>
              <w:keepLines w:val="0"/>
              <w:pageBreakBefore w:val="0"/>
              <w:kinsoku/>
              <w:wordWrap/>
              <w:overflowPunct/>
              <w:topLinePunct w:val="0"/>
              <w:autoSpaceDE/>
              <w:autoSpaceDN/>
              <w:bidi w:val="0"/>
              <w:adjustRightInd/>
              <w:snapToGrid/>
              <w:spacing w:line="44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9、输入电压：AC220V（自带电源适配器）；</w:t>
            </w:r>
          </w:p>
          <w:p>
            <w:pPr>
              <w:keepNext w:val="0"/>
              <w:keepLines w:val="0"/>
              <w:pageBreakBefore w:val="0"/>
              <w:kinsoku/>
              <w:wordWrap/>
              <w:overflowPunct/>
              <w:topLinePunct w:val="0"/>
              <w:autoSpaceDE/>
              <w:autoSpaceDN/>
              <w:bidi w:val="0"/>
              <w:adjustRightInd/>
              <w:snapToGrid/>
              <w:spacing w:line="44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10、工作功率：≤59W；</w:t>
            </w:r>
          </w:p>
        </w:tc>
        <w:tc>
          <w:tcPr>
            <w:tcW w:w="43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4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台</w:t>
            </w:r>
          </w:p>
        </w:tc>
      </w:tr>
      <w:tr>
        <w:tblPrEx>
          <w:tblCellMar>
            <w:top w:w="0" w:type="dxa"/>
            <w:left w:w="108" w:type="dxa"/>
            <w:bottom w:w="0" w:type="dxa"/>
            <w:right w:w="108" w:type="dxa"/>
          </w:tblCellMar>
        </w:tblPrEx>
        <w:trPr>
          <w:trHeight w:val="0" w:hRule="atLeast"/>
          <w:jc w:val="center"/>
        </w:trPr>
        <w:tc>
          <w:tcPr>
            <w:tcW w:w="40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w:t>
            </w:r>
          </w:p>
        </w:tc>
        <w:tc>
          <w:tcPr>
            <w:tcW w:w="4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**保障智能服务</w:t>
            </w:r>
          </w:p>
        </w:tc>
        <w:tc>
          <w:tcPr>
            <w:tcW w:w="58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测温人脸门禁一体机</w:t>
            </w:r>
          </w:p>
        </w:tc>
        <w:tc>
          <w:tcPr>
            <w:tcW w:w="265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4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【测温、人脸识别】</w:t>
            </w:r>
          </w:p>
          <w:p>
            <w:pPr>
              <w:keepNext w:val="0"/>
              <w:keepLines w:val="0"/>
              <w:pageBreakBefore w:val="0"/>
              <w:kinsoku/>
              <w:wordWrap/>
              <w:overflowPunct/>
              <w:topLinePunct w:val="0"/>
              <w:autoSpaceDE/>
              <w:autoSpaceDN/>
              <w:bidi w:val="0"/>
              <w:adjustRightInd/>
              <w:snapToGrid/>
              <w:spacing w:line="44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1、设备外观：采用7英寸触摸显示屏，200万像素双目摄像头，面部识别距离0.5m-1.5m；</w:t>
            </w:r>
          </w:p>
          <w:p>
            <w:pPr>
              <w:keepNext w:val="0"/>
              <w:keepLines w:val="0"/>
              <w:pageBreakBefore w:val="0"/>
              <w:kinsoku/>
              <w:wordWrap/>
              <w:overflowPunct/>
              <w:topLinePunct w:val="0"/>
              <w:autoSpaceDE/>
              <w:autoSpaceDN/>
              <w:bidi w:val="0"/>
              <w:adjustRightInd/>
              <w:snapToGrid/>
              <w:spacing w:line="44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2、设备容量：支持5000张人脸白名单，6000张卡，50000条记录存储；</w:t>
            </w:r>
          </w:p>
          <w:p>
            <w:pPr>
              <w:keepNext w:val="0"/>
              <w:keepLines w:val="0"/>
              <w:pageBreakBefore w:val="0"/>
              <w:kinsoku/>
              <w:wordWrap/>
              <w:overflowPunct/>
              <w:topLinePunct w:val="0"/>
              <w:autoSpaceDE/>
              <w:autoSpaceDN/>
              <w:bidi w:val="0"/>
              <w:adjustRightInd/>
              <w:snapToGrid/>
              <w:spacing w:line="44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3、体温检测：非接触式体温检测，温度检测距离在0.5m~1.5m之间，测温精度±0.5℃；</w:t>
            </w:r>
          </w:p>
          <w:p>
            <w:pPr>
              <w:keepNext w:val="0"/>
              <w:keepLines w:val="0"/>
              <w:pageBreakBefore w:val="0"/>
              <w:kinsoku/>
              <w:wordWrap/>
              <w:overflowPunct/>
              <w:topLinePunct w:val="0"/>
              <w:autoSpaceDE/>
              <w:autoSpaceDN/>
              <w:bidi w:val="0"/>
              <w:adjustRightInd/>
              <w:snapToGrid/>
              <w:spacing w:line="44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4、认证方式：支持人脸识别、刷卡、密码（超级密码）及组合认证方式，支持二维码识别，可外接身份证模块做人证比对，识别人员身份后获取该人员体温数据统一绑定；</w:t>
            </w:r>
          </w:p>
          <w:p>
            <w:pPr>
              <w:keepNext w:val="0"/>
              <w:keepLines w:val="0"/>
              <w:pageBreakBefore w:val="0"/>
              <w:kinsoku/>
              <w:wordWrap/>
              <w:overflowPunct/>
              <w:topLinePunct w:val="0"/>
              <w:autoSpaceDE/>
              <w:autoSpaceDN/>
              <w:bidi w:val="0"/>
              <w:adjustRightInd/>
              <w:snapToGrid/>
              <w:spacing w:line="44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5、通讯方式：有线网络；</w:t>
            </w:r>
          </w:p>
          <w:p>
            <w:pPr>
              <w:keepNext w:val="0"/>
              <w:keepLines w:val="0"/>
              <w:pageBreakBefore w:val="0"/>
              <w:kinsoku/>
              <w:wordWrap/>
              <w:overflowPunct/>
              <w:topLinePunct w:val="0"/>
              <w:autoSpaceDE/>
              <w:autoSpaceDN/>
              <w:bidi w:val="0"/>
              <w:adjustRightInd/>
              <w:snapToGrid/>
              <w:spacing w:line="44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6、设备接口： LAN*1；RS485*1；韦根*1；USB *2；门磁*1、开门按钮*1、报警输入*2；电锁*1、报警输出*1；</w:t>
            </w:r>
          </w:p>
          <w:p>
            <w:pPr>
              <w:keepNext w:val="0"/>
              <w:keepLines w:val="0"/>
              <w:pageBreakBefore w:val="0"/>
              <w:kinsoku/>
              <w:wordWrap/>
              <w:overflowPunct/>
              <w:topLinePunct w:val="0"/>
              <w:autoSpaceDE/>
              <w:autoSpaceDN/>
              <w:bidi w:val="0"/>
              <w:adjustRightInd/>
              <w:snapToGrid/>
              <w:spacing w:line="44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7、传感器类型：氧化钒(VOx)微测辐射热计（热成像测温）；</w:t>
            </w:r>
          </w:p>
          <w:p>
            <w:pPr>
              <w:keepNext w:val="0"/>
              <w:keepLines w:val="0"/>
              <w:pageBreakBefore w:val="0"/>
              <w:kinsoku/>
              <w:wordWrap/>
              <w:overflowPunct/>
              <w:topLinePunct w:val="0"/>
              <w:autoSpaceDE/>
              <w:autoSpaceDN/>
              <w:bidi w:val="0"/>
              <w:adjustRightInd/>
              <w:snapToGrid/>
              <w:spacing w:line="44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8、工作电压：DC 12V/2A，不自带电源；</w:t>
            </w:r>
          </w:p>
          <w:p>
            <w:pPr>
              <w:keepNext w:val="0"/>
              <w:keepLines w:val="0"/>
              <w:pageBreakBefore w:val="0"/>
              <w:kinsoku/>
              <w:wordWrap/>
              <w:overflowPunct/>
              <w:topLinePunct w:val="0"/>
              <w:autoSpaceDE/>
              <w:autoSpaceDN/>
              <w:bidi w:val="0"/>
              <w:adjustRightInd/>
              <w:snapToGrid/>
              <w:spacing w:line="44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9、使用环境：室内，无风环境；</w:t>
            </w:r>
          </w:p>
          <w:p>
            <w:pPr>
              <w:keepNext w:val="0"/>
              <w:keepLines w:val="0"/>
              <w:pageBreakBefore w:val="0"/>
              <w:kinsoku/>
              <w:wordWrap/>
              <w:overflowPunct/>
              <w:topLinePunct w:val="0"/>
              <w:autoSpaceDE/>
              <w:autoSpaceDN/>
              <w:bidi w:val="0"/>
              <w:adjustRightInd/>
              <w:snapToGrid/>
              <w:spacing w:line="44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10、安装方式：标配金属安装挂板，支持明装、86底盒安装；</w:t>
            </w:r>
          </w:p>
          <w:p>
            <w:pPr>
              <w:keepNext w:val="0"/>
              <w:keepLines w:val="0"/>
              <w:pageBreakBefore w:val="0"/>
              <w:kinsoku/>
              <w:wordWrap/>
              <w:overflowPunct/>
              <w:topLinePunct w:val="0"/>
              <w:autoSpaceDE/>
              <w:autoSpaceDN/>
              <w:bidi w:val="0"/>
              <w:adjustRightInd/>
              <w:snapToGrid/>
              <w:spacing w:line="44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11、工作温度：0℃-50℃。</w:t>
            </w:r>
          </w:p>
        </w:tc>
        <w:tc>
          <w:tcPr>
            <w:tcW w:w="43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4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台</w:t>
            </w:r>
          </w:p>
        </w:tc>
      </w:tr>
      <w:tr>
        <w:tblPrEx>
          <w:tblCellMar>
            <w:top w:w="0" w:type="dxa"/>
            <w:left w:w="108" w:type="dxa"/>
            <w:bottom w:w="0" w:type="dxa"/>
            <w:right w:w="108" w:type="dxa"/>
          </w:tblCellMar>
        </w:tblPrEx>
        <w:trPr>
          <w:trHeight w:val="0" w:hRule="atLeast"/>
          <w:jc w:val="center"/>
        </w:trPr>
        <w:tc>
          <w:tcPr>
            <w:tcW w:w="40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w:t>
            </w:r>
          </w:p>
        </w:tc>
        <w:tc>
          <w:tcPr>
            <w:tcW w:w="4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**保障智能服务</w:t>
            </w:r>
          </w:p>
        </w:tc>
        <w:tc>
          <w:tcPr>
            <w:tcW w:w="58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可视对讲分机</w:t>
            </w:r>
          </w:p>
        </w:tc>
        <w:tc>
          <w:tcPr>
            <w:tcW w:w="265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4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显示屏：7寸彩色触摸TFT LCD；</w:t>
            </w:r>
          </w:p>
          <w:p>
            <w:pPr>
              <w:keepNext w:val="0"/>
              <w:keepLines w:val="0"/>
              <w:pageBreakBefore w:val="0"/>
              <w:kinsoku/>
              <w:wordWrap/>
              <w:overflowPunct/>
              <w:topLinePunct w:val="0"/>
              <w:autoSpaceDE/>
              <w:autoSpaceDN/>
              <w:bidi w:val="0"/>
              <w:adjustRightInd/>
              <w:snapToGrid/>
              <w:spacing w:line="44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显示屏分辨率：1024*600；</w:t>
            </w:r>
          </w:p>
          <w:p>
            <w:pPr>
              <w:keepNext w:val="0"/>
              <w:keepLines w:val="0"/>
              <w:pageBreakBefore w:val="0"/>
              <w:kinsoku/>
              <w:wordWrap/>
              <w:overflowPunct/>
              <w:topLinePunct w:val="0"/>
              <w:autoSpaceDE/>
              <w:autoSpaceDN/>
              <w:bidi w:val="0"/>
              <w:adjustRightInd/>
              <w:snapToGrid/>
              <w:spacing w:line="44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操作方式：电容式触摸屏；</w:t>
            </w:r>
          </w:p>
          <w:p>
            <w:pPr>
              <w:keepNext w:val="0"/>
              <w:keepLines w:val="0"/>
              <w:pageBreakBefore w:val="0"/>
              <w:kinsoku/>
              <w:wordWrap/>
              <w:overflowPunct/>
              <w:topLinePunct w:val="0"/>
              <w:autoSpaceDE/>
              <w:autoSpaceDN/>
              <w:bidi w:val="0"/>
              <w:adjustRightInd/>
              <w:snapToGrid/>
              <w:spacing w:line="44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支持主动查看门口机画面与门口机进行双向对讲，并可进行一键远程开门；</w:t>
            </w:r>
          </w:p>
          <w:p>
            <w:pPr>
              <w:keepNext w:val="0"/>
              <w:keepLines w:val="0"/>
              <w:pageBreakBefore w:val="0"/>
              <w:kinsoku/>
              <w:wordWrap/>
              <w:overflowPunct/>
              <w:topLinePunct w:val="0"/>
              <w:autoSpaceDE/>
              <w:autoSpaceDN/>
              <w:bidi w:val="0"/>
              <w:adjustRightInd/>
              <w:snapToGrid/>
              <w:spacing w:line="44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网线供电：支持；</w:t>
            </w:r>
          </w:p>
          <w:p>
            <w:pPr>
              <w:keepNext w:val="0"/>
              <w:keepLines w:val="0"/>
              <w:pageBreakBefore w:val="0"/>
              <w:kinsoku/>
              <w:wordWrap/>
              <w:overflowPunct/>
              <w:topLinePunct w:val="0"/>
              <w:autoSpaceDE/>
              <w:autoSpaceDN/>
              <w:bidi w:val="0"/>
              <w:adjustRightInd/>
              <w:snapToGrid/>
              <w:spacing w:line="44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防区数：8防区；</w:t>
            </w:r>
          </w:p>
          <w:p>
            <w:pPr>
              <w:keepNext w:val="0"/>
              <w:keepLines w:val="0"/>
              <w:pageBreakBefore w:val="0"/>
              <w:kinsoku/>
              <w:wordWrap/>
              <w:overflowPunct/>
              <w:topLinePunct w:val="0"/>
              <w:autoSpaceDE/>
              <w:autoSpaceDN/>
              <w:bidi w:val="0"/>
              <w:adjustRightInd/>
              <w:snapToGrid/>
              <w:spacing w:line="44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网口：10M/100M自适应以太网口；</w:t>
            </w:r>
          </w:p>
          <w:p>
            <w:pPr>
              <w:keepNext w:val="0"/>
              <w:keepLines w:val="0"/>
              <w:pageBreakBefore w:val="0"/>
              <w:kinsoku/>
              <w:wordWrap/>
              <w:overflowPunct/>
              <w:topLinePunct w:val="0"/>
              <w:autoSpaceDE/>
              <w:autoSpaceDN/>
              <w:bidi w:val="0"/>
              <w:adjustRightInd/>
              <w:snapToGrid/>
              <w:spacing w:line="44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IO输出：无；</w:t>
            </w:r>
          </w:p>
          <w:p>
            <w:pPr>
              <w:keepNext w:val="0"/>
              <w:keepLines w:val="0"/>
              <w:pageBreakBefore w:val="0"/>
              <w:kinsoku/>
              <w:wordWrap/>
              <w:overflowPunct/>
              <w:topLinePunct w:val="0"/>
              <w:autoSpaceDE/>
              <w:autoSpaceDN/>
              <w:bidi w:val="0"/>
              <w:adjustRightInd/>
              <w:snapToGrid/>
              <w:spacing w:line="44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探测器供电：室内机网线供电时支持输出1路12V 200mA电源用于探测器供电； </w:t>
            </w:r>
          </w:p>
          <w:p>
            <w:pPr>
              <w:keepNext w:val="0"/>
              <w:keepLines w:val="0"/>
              <w:pageBreakBefore w:val="0"/>
              <w:kinsoku/>
              <w:wordWrap/>
              <w:overflowPunct/>
              <w:topLinePunct w:val="0"/>
              <w:autoSpaceDE/>
              <w:autoSpaceDN/>
              <w:bidi w:val="0"/>
              <w:adjustRightInd/>
              <w:snapToGrid/>
              <w:spacing w:line="44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电源：网线供电或DC12V ；</w:t>
            </w:r>
          </w:p>
          <w:p>
            <w:pPr>
              <w:keepNext w:val="0"/>
              <w:keepLines w:val="0"/>
              <w:pageBreakBefore w:val="0"/>
              <w:kinsoku/>
              <w:wordWrap/>
              <w:overflowPunct/>
              <w:topLinePunct w:val="0"/>
              <w:autoSpaceDE/>
              <w:autoSpaceDN/>
              <w:bidi w:val="0"/>
              <w:adjustRightInd/>
              <w:snapToGrid/>
              <w:spacing w:line="44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功耗：≤6W 。</w:t>
            </w:r>
          </w:p>
        </w:tc>
        <w:tc>
          <w:tcPr>
            <w:tcW w:w="43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4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台</w:t>
            </w:r>
          </w:p>
        </w:tc>
      </w:tr>
      <w:tr>
        <w:tblPrEx>
          <w:tblCellMar>
            <w:top w:w="0" w:type="dxa"/>
            <w:left w:w="108" w:type="dxa"/>
            <w:bottom w:w="0" w:type="dxa"/>
            <w:right w:w="108" w:type="dxa"/>
          </w:tblCellMar>
        </w:tblPrEx>
        <w:trPr>
          <w:trHeight w:val="0" w:hRule="atLeast"/>
          <w:jc w:val="center"/>
        </w:trPr>
        <w:tc>
          <w:tcPr>
            <w:tcW w:w="40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19</w:t>
            </w:r>
          </w:p>
        </w:tc>
        <w:tc>
          <w:tcPr>
            <w:tcW w:w="4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**保障智能服务</w:t>
            </w:r>
          </w:p>
        </w:tc>
        <w:tc>
          <w:tcPr>
            <w:tcW w:w="58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单门磁力锁</w:t>
            </w:r>
          </w:p>
        </w:tc>
        <w:tc>
          <w:tcPr>
            <w:tcW w:w="265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4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锁体主体颜色为：氧化银。</w:t>
            </w:r>
          </w:p>
          <w:p>
            <w:pPr>
              <w:keepNext w:val="0"/>
              <w:keepLines w:val="0"/>
              <w:pageBreakBefore w:val="0"/>
              <w:kinsoku/>
              <w:wordWrap/>
              <w:overflowPunct/>
              <w:topLinePunct w:val="0"/>
              <w:autoSpaceDE/>
              <w:autoSpaceDN/>
              <w:bidi w:val="0"/>
              <w:adjustRightInd/>
              <w:snapToGrid/>
              <w:spacing w:line="44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最大静态直线拉力：280kg(600Lbs) ± 5%；</w:t>
            </w:r>
          </w:p>
          <w:p>
            <w:pPr>
              <w:keepNext w:val="0"/>
              <w:keepLines w:val="0"/>
              <w:pageBreakBefore w:val="0"/>
              <w:kinsoku/>
              <w:wordWrap/>
              <w:overflowPunct/>
              <w:topLinePunct w:val="0"/>
              <w:autoSpaceDE/>
              <w:autoSpaceDN/>
              <w:bidi w:val="0"/>
              <w:adjustRightInd/>
              <w:snapToGrid/>
              <w:spacing w:line="44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具有电锁状态指示灯（红灯为开锁状态， 绿灯为上锁状态）；</w:t>
            </w:r>
          </w:p>
          <w:p>
            <w:pPr>
              <w:keepNext w:val="0"/>
              <w:keepLines w:val="0"/>
              <w:pageBreakBefore w:val="0"/>
              <w:kinsoku/>
              <w:wordWrap/>
              <w:overflowPunct/>
              <w:topLinePunct w:val="0"/>
              <w:autoSpaceDE/>
              <w:autoSpaceDN/>
              <w:bidi w:val="0"/>
              <w:adjustRightInd/>
              <w:snapToGrid/>
              <w:spacing w:line="44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支持锁状态侦测信号(门磁)输出：NO/NC/COM接点；</w:t>
            </w:r>
          </w:p>
          <w:p>
            <w:pPr>
              <w:keepNext w:val="0"/>
              <w:keepLines w:val="0"/>
              <w:pageBreakBefore w:val="0"/>
              <w:kinsoku/>
              <w:wordWrap/>
              <w:overflowPunct/>
              <w:topLinePunct w:val="0"/>
              <w:autoSpaceDE/>
              <w:autoSpaceDN/>
              <w:bidi w:val="0"/>
              <w:adjustRightInd/>
              <w:snapToGrid/>
              <w:spacing w:line="44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工作电压：12V/500mA 或 24V/250mA；</w:t>
            </w:r>
          </w:p>
          <w:p>
            <w:pPr>
              <w:keepNext w:val="0"/>
              <w:keepLines w:val="0"/>
              <w:pageBreakBefore w:val="0"/>
              <w:kinsoku/>
              <w:wordWrap/>
              <w:overflowPunct/>
              <w:topLinePunct w:val="0"/>
              <w:autoSpaceDE/>
              <w:autoSpaceDN/>
              <w:bidi w:val="0"/>
              <w:adjustRightInd/>
              <w:snapToGrid/>
              <w:spacing w:line="44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使用环境：室内（不防水）；</w:t>
            </w:r>
          </w:p>
          <w:p>
            <w:pPr>
              <w:keepNext w:val="0"/>
              <w:keepLines w:val="0"/>
              <w:pageBreakBefore w:val="0"/>
              <w:kinsoku/>
              <w:wordWrap/>
              <w:overflowPunct/>
              <w:topLinePunct w:val="0"/>
              <w:autoSpaceDE/>
              <w:autoSpaceDN/>
              <w:bidi w:val="0"/>
              <w:adjustRightInd/>
              <w:snapToGrid/>
              <w:spacing w:line="44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适用门型：木门、玻璃门、金属门、防火门；</w:t>
            </w:r>
          </w:p>
        </w:tc>
        <w:tc>
          <w:tcPr>
            <w:tcW w:w="43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4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把</w:t>
            </w:r>
          </w:p>
        </w:tc>
      </w:tr>
      <w:tr>
        <w:tblPrEx>
          <w:tblCellMar>
            <w:top w:w="0" w:type="dxa"/>
            <w:left w:w="108" w:type="dxa"/>
            <w:bottom w:w="0" w:type="dxa"/>
            <w:right w:w="108" w:type="dxa"/>
          </w:tblCellMar>
        </w:tblPrEx>
        <w:trPr>
          <w:trHeight w:val="0" w:hRule="atLeast"/>
          <w:jc w:val="center"/>
        </w:trPr>
        <w:tc>
          <w:tcPr>
            <w:tcW w:w="40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w:t>
            </w:r>
          </w:p>
        </w:tc>
        <w:tc>
          <w:tcPr>
            <w:tcW w:w="4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**保障智能服务</w:t>
            </w:r>
          </w:p>
        </w:tc>
        <w:tc>
          <w:tcPr>
            <w:tcW w:w="58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闭门器</w:t>
            </w:r>
          </w:p>
        </w:tc>
        <w:tc>
          <w:tcPr>
            <w:tcW w:w="265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4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适装门重：60-85KG      适装门宽 ≤ 1100mm     闭门力量：EN4      开门角度 ≤ 180°</w:t>
            </w:r>
          </w:p>
          <w:p>
            <w:pPr>
              <w:keepNext w:val="0"/>
              <w:keepLines w:val="0"/>
              <w:pageBreakBefore w:val="0"/>
              <w:kinsoku/>
              <w:wordWrap/>
              <w:overflowPunct/>
              <w:topLinePunct w:val="0"/>
              <w:autoSpaceDE/>
              <w:autoSpaceDN/>
              <w:bidi w:val="0"/>
              <w:adjustRightInd/>
              <w:snapToGrid/>
              <w:spacing w:line="44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使用寿命：100万次    适用环境温度范围：-30℃---50℃</w:t>
            </w:r>
          </w:p>
          <w:p>
            <w:pPr>
              <w:keepNext w:val="0"/>
              <w:keepLines w:val="0"/>
              <w:pageBreakBefore w:val="0"/>
              <w:kinsoku/>
              <w:wordWrap/>
              <w:overflowPunct/>
              <w:topLinePunct w:val="0"/>
              <w:autoSpaceDE/>
              <w:autoSpaceDN/>
              <w:bidi w:val="0"/>
              <w:adjustRightInd/>
              <w:snapToGrid/>
              <w:spacing w:line="44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双段速度可调    锁门速度：0°--15°范围内可调   闭门速度：15°--180°范围内可调</w:t>
            </w:r>
          </w:p>
          <w:p>
            <w:pPr>
              <w:keepNext w:val="0"/>
              <w:keepLines w:val="0"/>
              <w:pageBreakBefore w:val="0"/>
              <w:kinsoku/>
              <w:wordWrap/>
              <w:overflowPunct/>
              <w:topLinePunct w:val="0"/>
              <w:autoSpaceDE/>
              <w:autoSpaceDN/>
              <w:bidi w:val="0"/>
              <w:adjustRightInd/>
              <w:snapToGrid/>
              <w:spacing w:line="44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建议闭门速度在180°至15°时略快，在15°至0°时放慢，以门扇充分关闭为准。防止关门速度过快导致门扇与门框发生撞击。</w:t>
            </w:r>
          </w:p>
          <w:p>
            <w:pPr>
              <w:keepNext w:val="0"/>
              <w:keepLines w:val="0"/>
              <w:pageBreakBefore w:val="0"/>
              <w:kinsoku/>
              <w:wordWrap/>
              <w:overflowPunct/>
              <w:topLinePunct w:val="0"/>
              <w:autoSpaceDE/>
              <w:autoSpaceDN/>
              <w:bidi w:val="0"/>
              <w:adjustRightInd/>
              <w:snapToGrid/>
              <w:spacing w:line="44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无90度定位停门的功能。</w:t>
            </w:r>
          </w:p>
        </w:tc>
        <w:tc>
          <w:tcPr>
            <w:tcW w:w="43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4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套</w:t>
            </w:r>
          </w:p>
        </w:tc>
      </w:tr>
    </w:tbl>
    <w:p>
      <w:pPr>
        <w:keepNext w:val="0"/>
        <w:keepLines w:val="0"/>
        <w:pageBreakBefore w:val="0"/>
        <w:numPr>
          <w:ilvl w:val="0"/>
          <w:numId w:val="0"/>
        </w:numPr>
        <w:kinsoku/>
        <w:wordWrap/>
        <w:overflowPunct/>
        <w:topLinePunct w:val="0"/>
        <w:autoSpaceDE/>
        <w:autoSpaceDN/>
        <w:bidi w:val="0"/>
        <w:adjustRightInd/>
        <w:snapToGrid/>
        <w:spacing w:line="440" w:lineRule="exact"/>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5.</w:t>
      </w:r>
      <w:r>
        <w:rPr>
          <w:rFonts w:hint="eastAsia" w:ascii="宋体" w:hAnsi="宋体" w:eastAsia="宋体" w:cs="宋体"/>
          <w:b/>
          <w:bCs/>
          <w:color w:val="auto"/>
          <w:sz w:val="24"/>
          <w:szCs w:val="24"/>
          <w:highlight w:val="none"/>
        </w:rPr>
        <w:t>信息展示发布系统</w:t>
      </w:r>
    </w:p>
    <w:p>
      <w:pPr>
        <w:keepNext w:val="0"/>
        <w:keepLines w:val="0"/>
        <w:pageBreakBefore w:val="0"/>
        <w:kinsoku/>
        <w:wordWrap/>
        <w:overflowPunct/>
        <w:topLinePunct w:val="0"/>
        <w:autoSpaceDE/>
        <w:autoSpaceDN/>
        <w:bidi w:val="0"/>
        <w:adjustRightInd/>
        <w:snapToGrid/>
        <w:spacing w:line="440" w:lineRule="exact"/>
        <w:ind w:firstLine="723" w:firstLineChars="3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1）</w:t>
      </w:r>
      <w:r>
        <w:rPr>
          <w:rFonts w:hint="eastAsia" w:ascii="宋体" w:hAnsi="宋体" w:eastAsia="宋体" w:cs="宋体"/>
          <w:b/>
          <w:bCs/>
          <w:color w:val="auto"/>
          <w:sz w:val="24"/>
          <w:szCs w:val="24"/>
          <w:highlight w:val="none"/>
        </w:rPr>
        <w:t>多媒体信息展示系统</w:t>
      </w:r>
    </w:p>
    <w:tbl>
      <w:tblPr>
        <w:tblStyle w:val="20"/>
        <w:tblW w:w="99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
      <w:tblGrid>
        <w:gridCol w:w="511"/>
        <w:gridCol w:w="795"/>
        <w:gridCol w:w="885"/>
        <w:gridCol w:w="6225"/>
        <w:gridCol w:w="705"/>
        <w:gridCol w:w="8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11"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序号</w:t>
            </w:r>
          </w:p>
        </w:tc>
        <w:tc>
          <w:tcPr>
            <w:tcW w:w="795"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系统名称</w:t>
            </w:r>
          </w:p>
        </w:tc>
        <w:tc>
          <w:tcPr>
            <w:tcW w:w="885"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产品类别</w:t>
            </w:r>
          </w:p>
        </w:tc>
        <w:tc>
          <w:tcPr>
            <w:tcW w:w="6225"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技术参数</w:t>
            </w:r>
          </w:p>
        </w:tc>
        <w:tc>
          <w:tcPr>
            <w:tcW w:w="705"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数量</w:t>
            </w:r>
          </w:p>
        </w:tc>
        <w:tc>
          <w:tcPr>
            <w:tcW w:w="810"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11"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795"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合成作战指挥体系</w:t>
            </w:r>
          </w:p>
        </w:tc>
        <w:tc>
          <w:tcPr>
            <w:tcW w:w="885"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专业会议音柱</w:t>
            </w:r>
          </w:p>
        </w:tc>
        <w:tc>
          <w:tcPr>
            <w:tcW w:w="6225"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1、频响范围：≥60Hz-20KHz；</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2、单元结构：4"x4；</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3、阻抗：8Ω；</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4、最大声压级：≥122dB；</w:t>
            </w:r>
          </w:p>
        </w:tc>
        <w:tc>
          <w:tcPr>
            <w:tcW w:w="705"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w:t>
            </w:r>
          </w:p>
        </w:tc>
        <w:tc>
          <w:tcPr>
            <w:tcW w:w="810"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11"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w:t>
            </w:r>
          </w:p>
        </w:tc>
        <w:tc>
          <w:tcPr>
            <w:tcW w:w="795"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合成作战指挥体系</w:t>
            </w:r>
          </w:p>
        </w:tc>
        <w:tc>
          <w:tcPr>
            <w:tcW w:w="885"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专业数字功放</w:t>
            </w:r>
          </w:p>
        </w:tc>
        <w:tc>
          <w:tcPr>
            <w:tcW w:w="6225"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1.CLASS-D数字电路，全铝合金面板</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2.提供立体声、桥接、并联三种工作模式可选</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3.前面板带有精确的音量旋钮控制，并具有保护、削峰、信号和电源指示灯</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4.带延时启动系统，能有效防止开机浪涌，保护音箱设备</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5.带智能导风系统，风机会随机内的温度自动升高而加速排热</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6.带直流保护、过载保护、短路保护、过热保护、软启动、失真限幅输出等</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7.频率响应：20Hz～20KHz(±1dB)</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8.输入灵敏度：0.775V</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9.谐波失真：&lt;0.1% (1KHz,8Ω)</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10.信噪比：≥100dB(A计权)</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11.转换速率：28V/μS</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 xml:space="preserve">12.输入阻抗：平衡20KΩ/不平衡10KΩ </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13.阻尼系数：≥350(1KHz,8Ω)</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14.通道隔离度：60dB@8Ω 1KHz</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15.工作电源：AC 220V~50/60Hz</w:t>
            </w:r>
          </w:p>
        </w:tc>
        <w:tc>
          <w:tcPr>
            <w:tcW w:w="705"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810"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0" w:hRule="atLeast"/>
          <w:jc w:val="center"/>
        </w:trPr>
        <w:tc>
          <w:tcPr>
            <w:tcW w:w="511"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w:t>
            </w:r>
          </w:p>
        </w:tc>
        <w:tc>
          <w:tcPr>
            <w:tcW w:w="795"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合成作战指挥体系</w:t>
            </w:r>
          </w:p>
        </w:tc>
        <w:tc>
          <w:tcPr>
            <w:tcW w:w="885"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专业会议吸顶音箱</w:t>
            </w:r>
          </w:p>
        </w:tc>
        <w:tc>
          <w:tcPr>
            <w:tcW w:w="6225"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1、定压模式：100V/70V；</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2、定阻模式：8Ω；</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3、额定功率：40W；</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 xml:space="preserve">4、声压级：≥91dB；          </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5、覆盖角度:120°*120°</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6、喇叭单元：低音8"，高音1" 两分频同轴单元；</w:t>
            </w:r>
          </w:p>
        </w:tc>
        <w:tc>
          <w:tcPr>
            <w:tcW w:w="705"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w:t>
            </w:r>
          </w:p>
        </w:tc>
        <w:tc>
          <w:tcPr>
            <w:tcW w:w="810"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11"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w:t>
            </w:r>
          </w:p>
        </w:tc>
        <w:tc>
          <w:tcPr>
            <w:tcW w:w="795"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合成作战指挥体系</w:t>
            </w:r>
          </w:p>
        </w:tc>
        <w:tc>
          <w:tcPr>
            <w:tcW w:w="885"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专业数字功放</w:t>
            </w:r>
          </w:p>
        </w:tc>
        <w:tc>
          <w:tcPr>
            <w:tcW w:w="6225"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1.全铝合金面板</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2.提供立体声、桥接、并联三种工作模式可选</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3.前面板带有精确的音量旋钮控制，并具有故障、削峰、信号和电源指示灯</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4.带延时启动系统，能有效防止开机浪涌，保护音箱设备</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5.带智能导风系统，风机会随机内的温度自动升高而加速排热</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6.带直流保护、过载保护、短路保护、过热保护、软启动、失真限幅输出等</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7.立体声输出：≧2x200W/8Ω   ≧2x350W/4Ω</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8.桥接输出：≧600W/8Ω</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9.频率响应：20Hz～20KHz(±1dB)</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10.输入灵敏度：0.775V</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11.谐波失真：&lt;0.1% (1KHz,8Ω)</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12.信噪比：≥100dB(A计权)</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13.转换速率：25V/μS</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 xml:space="preserve">14.输入阻抗：平衡20KΩ/不平衡10KΩ </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15.阻尼系数：≥300(1KHz,8Ω)</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16.通道隔离度：60dB@8Ω 1KHz</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17.输入插座：2xXLR输入、2xXLR输出</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18.输出插座：2xSpeakon、2x接线柱</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19.工作电源：AC 190-220V~50/60Hz</w:t>
            </w:r>
          </w:p>
        </w:tc>
        <w:tc>
          <w:tcPr>
            <w:tcW w:w="705"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w:t>
            </w:r>
          </w:p>
        </w:tc>
        <w:tc>
          <w:tcPr>
            <w:tcW w:w="810"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0" w:hRule="atLeast"/>
          <w:jc w:val="center"/>
        </w:trPr>
        <w:tc>
          <w:tcPr>
            <w:tcW w:w="511"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w:t>
            </w:r>
          </w:p>
        </w:tc>
        <w:tc>
          <w:tcPr>
            <w:tcW w:w="795"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合成作战指挥体系</w:t>
            </w:r>
          </w:p>
        </w:tc>
        <w:tc>
          <w:tcPr>
            <w:tcW w:w="885"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数字音频媒体矩阵</w:t>
            </w:r>
          </w:p>
        </w:tc>
        <w:tc>
          <w:tcPr>
            <w:tcW w:w="6225"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1、不少于8路平衡/线路输入，8路平衡/线路输出，8*8全功能矩阵混音；</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2、采用ADI SHARC处理器芯片作为运算核心，专业级的数字音频算法；</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3、采用DSP音频处理技术，内置不少于8通道自动混音台，自适应反馈抑制（AFC），噪声抑制(ANC)，自适应回声消除(AEC)，自动增益（AGC），闪避器等；</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4、具有噪声增益补偿功能，可根据现场噪声值大小自动调整语音输出音量大小；</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5、全模块化、全开放式功能架构，用户可根据需求，自定义每路输入输出通道功能；</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6、可自定义终端用户操作界面，支持将多台设备管理（如音量加减、静音、预设等）编辑到一个界面内，真正实现多设备的统一管理；</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7、可实时监控显示设备当前CPU及内存运行状态；</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8、可通过本机的UDP、RS232、RS485控制第三方设备；</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9、支持输入输出通道拷贝、粘贴、联控、分组功能；</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10、输入每通道可调：前级放大、+48V幻象供电、反相、信号发生器、扩展器、压缩器、自动增益、延时器、5/8/12段参量均衡、10/15/31段图示均衡、8/12/16段反馈抑制、闪避器、噪声门、噪声增益补偿；</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11、输出每通道可调：高低通滤波器、5/8/12段参量均衡、10/15/31段图示均衡、延时器、反相、限幅器、最大输出电平调节；</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12、内置USB声卡，支持音频录制和电脑音频播放；</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13、同一界面内可添加多台设备，无需断开连接，快速切换，方便实时管理多台设备；</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14、内置自动摄像跟踪功能，支持视像联动控制；</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15、开放的RS-232、UDP协议，UDP端口可设定，实现第三方控制；</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16、内置中控命令生成器，可查看软件控制代码；</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17、支持16组场景预设功能，可通过UDP、RS-232协议调用；</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18、不少于8组GPIO可编程控制接口，可自定义输入输出；</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19、带断电自动保护记忆功能；</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20、支持手机、平板控制与电脑控制，支持windows、iOS系统；</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21、可选配墙面控制面板，支持软件自定义功能编辑；</w:t>
            </w:r>
          </w:p>
        </w:tc>
        <w:tc>
          <w:tcPr>
            <w:tcW w:w="705"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810"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11"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w:t>
            </w:r>
          </w:p>
        </w:tc>
        <w:tc>
          <w:tcPr>
            <w:tcW w:w="795"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合成作战指挥体系</w:t>
            </w:r>
          </w:p>
        </w:tc>
        <w:tc>
          <w:tcPr>
            <w:tcW w:w="885"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调音台</w:t>
            </w:r>
          </w:p>
        </w:tc>
        <w:tc>
          <w:tcPr>
            <w:tcW w:w="6225"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1、具有不少于8路输入，2路立体声输入；</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2、内置USB声卡，可连接电脑进行播放或录音；</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3、支持蓝牙无线连接；</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4、内置专业DSP数字效果器，具有双99种DSP效果；</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5、具有不少于2路主输出，4路编组输出，4路AUX输出；</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6、输入通道个有四段均衡；</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7、主输出具有双七段图示均衡；</w:t>
            </w:r>
          </w:p>
        </w:tc>
        <w:tc>
          <w:tcPr>
            <w:tcW w:w="705"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810"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0" w:hRule="atLeast"/>
          <w:jc w:val="center"/>
        </w:trPr>
        <w:tc>
          <w:tcPr>
            <w:tcW w:w="511"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7</w:t>
            </w:r>
          </w:p>
        </w:tc>
        <w:tc>
          <w:tcPr>
            <w:tcW w:w="795"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合成作战指挥体系</w:t>
            </w:r>
          </w:p>
        </w:tc>
        <w:tc>
          <w:tcPr>
            <w:tcW w:w="885"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无线话筒</w:t>
            </w:r>
          </w:p>
        </w:tc>
        <w:tc>
          <w:tcPr>
            <w:tcW w:w="6225"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1、一拖二无线手持话筒，支持混合和独立输出；</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2、具有LCD显示屏，可显示RF和AF信号强度，频率，频率组/频道等工作状态；</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3、能快速将接收机频率同步到发射器上；</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4、支持≥200个调谐频点可选；</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5、使用距离理想环境不低于60m，复杂环境使用距离不低于40m；</w:t>
            </w:r>
          </w:p>
        </w:tc>
        <w:tc>
          <w:tcPr>
            <w:tcW w:w="705"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810"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0" w:hRule="atLeast"/>
          <w:jc w:val="center"/>
        </w:trPr>
        <w:tc>
          <w:tcPr>
            <w:tcW w:w="511"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8</w:t>
            </w:r>
          </w:p>
        </w:tc>
        <w:tc>
          <w:tcPr>
            <w:tcW w:w="795"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合成作战指挥体系</w:t>
            </w:r>
          </w:p>
        </w:tc>
        <w:tc>
          <w:tcPr>
            <w:tcW w:w="885"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全数字会议主机</w:t>
            </w:r>
          </w:p>
        </w:tc>
        <w:tc>
          <w:tcPr>
            <w:tcW w:w="6225"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1、主机菜单全中文液晶屏显示；</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2、主机分4路输出，可接不少于100支单元，支持连接不少于12支主席单元，扩展后可接不少于250支单元；</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3、主机支持单元热插拨操作；</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4、支持自动编地址与手动编地址两种方式；</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5、双供电技术，任意一路延长线可接不少于40只单元；</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6、支持主席专有、普通讨论、自动模式、全开模式、先进先出、后进先出多种会议模式；</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7、主机发言人数可任意设置1－12支之间；</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1.支持不少于8路HDMI信号输入，8路HDMI信号输出</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2.支持4K@60Hz分辨率，向下兼容1080P@60Hz分辨率</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3.支持4:4:4数字无损信号采集，具有超高色彩还原</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4.支持HDMI 2.0、HDCP 2.2协议</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5.带LCD液晶屏，可同步显示实时连接状态、切换状态、HDCP状态和输出分辨率</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 xml:space="preserve">6.具有掉电记忆功能及断电现场保护功能 </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7.具有长线输入自动均衡补偿功能</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8.具有 RS-232、IR、TCP/IP接口，可通过面板、遥控器、软件远程网络控制</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9.支持国际通用输入电源，支持100V-240V电压下运行</w:t>
            </w:r>
          </w:p>
        </w:tc>
        <w:tc>
          <w:tcPr>
            <w:tcW w:w="705"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810"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0" w:hRule="atLeast"/>
          <w:jc w:val="center"/>
        </w:trPr>
        <w:tc>
          <w:tcPr>
            <w:tcW w:w="511"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9</w:t>
            </w:r>
          </w:p>
        </w:tc>
        <w:tc>
          <w:tcPr>
            <w:tcW w:w="795"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合成作战指挥体系</w:t>
            </w:r>
          </w:p>
        </w:tc>
        <w:tc>
          <w:tcPr>
            <w:tcW w:w="885"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会议发言主席单元</w:t>
            </w:r>
          </w:p>
        </w:tc>
        <w:tc>
          <w:tcPr>
            <w:tcW w:w="6225"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1、主席单元具有会议系统 “优先权”键，主席可按改建关闭所有代表的话筒，由主席独立发言；</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2、符合IEC60914国际标准;</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3、内置高保真扬声器，可作为会议监听使用;</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4、具有音量集中在主机调节采用专业的音频处理设计，使发言者声音清晰透彻;</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5、单元为无源设备，由系统主机供电，低功耗设计，单台主机可接驳100只会议单元;</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6、单元表面嵌入3.5寸TFT显示屏;</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7、驻极体超心形指向性麦克风，确保拾音距离及声音质量;</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8、单元之间具备线路带电“热插拔”功能，让系统的安全性得到更大的保障;</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9、通过PC会议管理软件支持申请发言、电脑允许、发言限时、排队模式；</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10、话筒杆在休会期间可以拆卸，方便设备维护。话筒杆和按键均带有LED光圈，可显示正在发言、设置视频、未编ID等状态;</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11、采用静电隔离技术设计，即使在干燥地区也可以避免产生静电;</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12、支持执行主席和列席功能设计，系统可接入150个主席单元，可设置一个主席和若干个列席。执行主席有控制权和优先权，列席有优先权;</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13、单元支持六种发言管理模式：</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（1）开启限制模式，达到发言人数限制数量后，其它话筒无法开启；</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（2）自动关闭模式，达到发言人数限制数量后，如再有话筒开启，自动关闭最先开启的话筒；</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（3）声控开启模式，声控开启话筒；</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（4）申请发言模式，由系统中设置成执行主席的主席单元批准或否决代表的发言申请；（5）自由讨论模式，可不受任何限制自由开启话筒；</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（6）发言限时模式，可限定会议单元的发言时间;</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会议单元自带DSP数字音频处理芯片，可单独调节每个单元的高中低音，可根据现场情况任意调节指定话筒的增益，满足个人喜好调整拾音距离;</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14、具有恢复出厂值功能，可初始化音频调节，防止声音调乱；</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15、支持发言单元视频跟踪功能；</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16、支持连接8台专业会议高清摄像机，内置8×6路视频矩阵，无软件及控制键盘情况下可进行摄像跟踪设置、保存及自动调用；支持PELCO-D/P协议。</w:t>
            </w:r>
          </w:p>
        </w:tc>
        <w:tc>
          <w:tcPr>
            <w:tcW w:w="705"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810"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0" w:hRule="atLeast"/>
          <w:jc w:val="center"/>
        </w:trPr>
        <w:tc>
          <w:tcPr>
            <w:tcW w:w="511"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w:t>
            </w:r>
          </w:p>
        </w:tc>
        <w:tc>
          <w:tcPr>
            <w:tcW w:w="795"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合成作战指挥体系</w:t>
            </w:r>
          </w:p>
        </w:tc>
        <w:tc>
          <w:tcPr>
            <w:tcW w:w="885"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会议发言列席单元</w:t>
            </w:r>
          </w:p>
        </w:tc>
        <w:tc>
          <w:tcPr>
            <w:tcW w:w="6225"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1、内置高保真扬声器，音质清晰，可作为会议监听使用;</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2、具有音量集中在主机调节采用专业的音频处理设计，使发言者声音清晰透彻;</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3、单元为无源设备，由系统主机供电，低功耗设计，单台主机可接驳100只会议单元;</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4、单元表面嵌入3.5寸TFT显示屏;</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5、驻极体超心形指向性麦克风，确保拾音距离及声音质量;</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6、单元之间具备线路带电“热插拔”功能;</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7、通过PC会议管理软件支持申请发言、电脑允许、发言限时、排队模式；</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8、话筒杆在休会期间可以拆卸，方便设备维护。话筒杆和按键均带有LED光圈，可显示正在发言、设置视频、未编ID等状态;</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9、采用静电隔离技术设计，即使在干燥地区也可以避免产生静电;</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10、支持执行主席和列席功能设计，系统可接入150个主席单元，可设置一个主席和若干个列席。执行主席有控制权和优先权，列席有优先权;</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11、单元支持六种发言管理模式：</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（1）开启限制模式，达到发言人数限制数量后，其它话筒无法开启；</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（2）自动关闭模式，达到发言人数限制数量后，如再有话筒开启，自动关闭最先开启的话筒；</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（3）声控开启模式，声控开启话筒；</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（4）申请发言模式，由系统中设置成执行主席的主席单元批准或否决代表的发言申请；（5）自由讨论模式，可不受任何限制自由开启话筒；</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（6）发言限时模式，可限定会议单元的发言时间;</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会议单元自带DSP数字音频处理芯片，可单独调节每个单元的高中低音，可根据现场情况任意调节指定话筒的增益，满足个人喜好调整拾音距离;</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12、具有恢复出厂值功能，可初始化音频调节，防止声音调乱；</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13、支持发言单元视频跟踪功能；</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14、支持连接8台专业会议高清摄像机，内置8×6路视频矩阵，无软件及控制键盘情况下可进行摄像跟踪设置、保存及自动调用；支持PELCO-D/P协议。</w:t>
            </w:r>
          </w:p>
        </w:tc>
        <w:tc>
          <w:tcPr>
            <w:tcW w:w="705"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w:t>
            </w:r>
          </w:p>
        </w:tc>
        <w:tc>
          <w:tcPr>
            <w:tcW w:w="810"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0" w:hRule="atLeast"/>
          <w:jc w:val="center"/>
        </w:trPr>
        <w:tc>
          <w:tcPr>
            <w:tcW w:w="511"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11</w:t>
            </w:r>
          </w:p>
        </w:tc>
        <w:tc>
          <w:tcPr>
            <w:tcW w:w="795"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合成作战指挥体系</w:t>
            </w:r>
          </w:p>
        </w:tc>
        <w:tc>
          <w:tcPr>
            <w:tcW w:w="885"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话筒连接器</w:t>
            </w:r>
          </w:p>
        </w:tc>
        <w:tc>
          <w:tcPr>
            <w:tcW w:w="6225"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配套话筒</w:t>
            </w:r>
          </w:p>
        </w:tc>
        <w:tc>
          <w:tcPr>
            <w:tcW w:w="705"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w:t>
            </w:r>
          </w:p>
        </w:tc>
        <w:tc>
          <w:tcPr>
            <w:tcW w:w="810"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11"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12</w:t>
            </w:r>
          </w:p>
        </w:tc>
        <w:tc>
          <w:tcPr>
            <w:tcW w:w="795"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合成作战指挥体系</w:t>
            </w:r>
          </w:p>
        </w:tc>
        <w:tc>
          <w:tcPr>
            <w:tcW w:w="885"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会议专用延长线</w:t>
            </w:r>
          </w:p>
        </w:tc>
        <w:tc>
          <w:tcPr>
            <w:tcW w:w="6225"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1.会议延长线，20米，配合会议发言主机使用，          </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2.外皮颜色：黑色</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3.外被材料/外径：非迁移性黑色PVC/7.2MM</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 xml:space="preserve">4.绝缘体/外径：PVC/1.3MM                     </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5.屏蔽方式：铝箔+网编织</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6.接头：6P DIN公母头</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7.使用温度: -15℃ - +70℃</w:t>
            </w:r>
          </w:p>
        </w:tc>
        <w:tc>
          <w:tcPr>
            <w:tcW w:w="705"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810"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0" w:hRule="atLeast"/>
          <w:jc w:val="center"/>
        </w:trPr>
        <w:tc>
          <w:tcPr>
            <w:tcW w:w="511"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13</w:t>
            </w:r>
          </w:p>
        </w:tc>
        <w:tc>
          <w:tcPr>
            <w:tcW w:w="795"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合成作战指挥体系</w:t>
            </w:r>
          </w:p>
        </w:tc>
        <w:tc>
          <w:tcPr>
            <w:tcW w:w="885"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语音采集流媒体管理器</w:t>
            </w:r>
          </w:p>
        </w:tc>
        <w:tc>
          <w:tcPr>
            <w:tcW w:w="6225"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1.可对结果中出现数字、日期、时间等内容格式化成规整的文本，可在会议过程中提供实时字幕，实现直播效果，语音识别引擎服务器实时转写，快速形成会议纪要等功能。</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2.语音识别引擎服务器支持在保障安全的离线场景下将接收的语音实时转写成文字。</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3.普通话准确率最高可达98%（清晰普通话中文语音实时转写效果）；支持在保障安全的离线场景下将接收的语音实时转写成文字；录音文件识别，支持客户将音频文件上传识别成文字；系统支持mp3\wav\wma\mp4\avi 等格式的音频导入。</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 xml:space="preserve">4.实时语音转写速度≤200毫秒，可实现5-10分钟完成1小时的音频识别。 </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5.语音转写服务器支持对识别结果语句智能预测其对话语境，提供智能断句和标点符号的预测，同时也支持数字规整和替换列表能力。</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6.具备≥1×HDMI、≥1×VGA、≥8×USB2.0， ≥4×USB3.0 ，≥1×PS/2，≥1×MIC in,≥1×Line out</w:t>
            </w:r>
          </w:p>
        </w:tc>
        <w:tc>
          <w:tcPr>
            <w:tcW w:w="705"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810"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0" w:hRule="atLeast"/>
          <w:jc w:val="center"/>
        </w:trPr>
        <w:tc>
          <w:tcPr>
            <w:tcW w:w="511"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14</w:t>
            </w:r>
          </w:p>
        </w:tc>
        <w:tc>
          <w:tcPr>
            <w:tcW w:w="795"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合成作战指挥体系</w:t>
            </w:r>
          </w:p>
        </w:tc>
        <w:tc>
          <w:tcPr>
            <w:tcW w:w="885"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人工智能语音识别转换端软件</w:t>
            </w:r>
          </w:p>
        </w:tc>
        <w:tc>
          <w:tcPr>
            <w:tcW w:w="6225"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1.实时语音转写：是对音频流做实时语音识别，可以做到“边说话边同步输出文字”的效果。</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 xml:space="preserve">2.语音识别准确率：普通话准确率最高可达98%（清晰普通话中文语音实时转写效果）。 </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3.支持多种音频编解码格式：目前实时语音转写支持 pcm、wav、speex、speex-wb、opus 等音频编解码算法。非实时转写只支持 mp3、wav、wma、mp4、avi、pcm、m4a 格式音频。</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4.文本后处理：语音转写私有云支持对识别结果语句智能预测其对话语境，提供智能断句和标点符号的预测，同时也支持数字规整和替换列表能力。</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5.支持中文普通话、英文、中英文混合。中文普通话引擎支持中文中夹带英文单词、简单的英文语句，基本可以达到中国人日常生活的要求。中英文混合引擎可在中文和英文语境下自由切换。</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6.音频文件导入转写：录音文件识别，支持客户将音频文件上传识别成文字。支持客户上传音频流，获得识别后的文字流结果。系统支持每次上传50条音频，文件总大小可达5GB，单条音频数据时长可达18 小时；系统支持 mp3、wav、wma、mp4、avi、pcm、m4a 等格式的音频导入。</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7.热词优化：可将个性化人名、地名、建筑名、专业词汇等专有名词，添加到热词列表中，有效提升该热词的识别准确率。分为会话级热词和全局热词。会话级热词只对当前会话生效，会话结束后立即失效。全局热词需要在服务启动前配置好，且对所有会话请求都生效。</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8.语气词过滤：可将语气词，如：啊、嗯、哦、这个等多余的词汇去除，以保证文稿的规整，和语义的顺滑。</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9.增加多会议室管理，可添加多个会议室进行同时开会,并可对多个会议室的音频进行分别转写。</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10.增加多用户管理，多个用户可同时登陆同一个服务器，方便进行相互独立的会议。</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11.根据设备接线自动识别音频设备的模式。</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12.增加多路转录功能，音频导入转写文件可进行多路转录。</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13.会议录音：录制会议现场音频，方便记录员回听录音。可对照转写文本回听录音，方便追根溯源，提高会议纪要书写的准确性和内容的可追溯。</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14.屏幕支持浮窗字幕的形式展示语音转写文本内容，同时设置大屏字幕字号，字幕位置可支持上停靠和下停靠，同时支持显示样式有单行、双行、三行、全屏等四种样式。</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15.支持自定义已转写文字和未转写文字的字体颜色和字体的透明度。</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16.支持可自定义Logo图片，支持自定义Logo的显示与隐藏。</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17.支持字幕背景颜色和背景颜色的透明度调节；支持自定义全屏投屏背景颜色或背景图更换，支持自定义全屏背景的透明度设置。</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18.具备4路输入接口，同时支持4路音频平衡输入采集。</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19.支持混音模式下最大可支持4096路角色分离。</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20.支持各通道独立调节音量值配置。</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21.支持两种编码传输模式选择：FIFO模式/混音模式。</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22.支持串口RS232对各通道控制及通道的名称标识。</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23.支持配置各通道自动检测，自动采集音频上传服务器。</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24.支持在线固件升级，无需拆机，可通过局域网进行固件升级。</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25.采用嵌入式计算技术和DSP音频处理技术，启动时间小于1s。</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 xml:space="preserve">26.音频导入转写：该功能可对历史音频进行整理，系统支持将音频数据文件导入系统进行快速转写；转写结果与音频可实现音字对应，支持对转写结果导出进行编辑整理。系统支持最多每次上传50条音频，总大小不超过 5GB，单条数据时长小于18小时；目前系统支持多种音频格式，如： mp3、wav、wma、mp4、avi、pcm、m4a。 </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27.支持自动角色分离：当会议室内已有的麦克风设备能够提供多路信号输出的情况下，结合数字会议主机和音频编码器即可实现硬件角色分离（最大支持4000个角色）。在客户端实时转写内容前会自动显示对应的角色名；同时也支持手动角色分离：可在参会人员列表中对某些角色进行手动绑定，按F1-F12进行手动切换发言角色。</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28.会议录音：录制会议现场音频，方便记录员回听录音。可对照转写文本回听录音，方便追根溯源，提高会议纪要书写效率。</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29.播放器、时间轴及文本区互相同步定位。更方便找到录音时间对应的文本对照修改。</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30.克隆会议：支持克隆会议功能，克隆参会人员、会议角色设置、投影配置，极大地提高开会效率。</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31.人员管理：将参会人员设为默认人员，无需每场会议重复添加。支持批量导入、导出人员。</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32.组织架构：三级组织架构功能，自定义单位、部门、职务。选择参会人员可按照组织架构排列选择。</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33.导出文本：分为导出实时语音转写文本与音频导入转写文件文本，导出编辑后的文本、重点标记文本、全程音频文件或某一角色的转写文本，按角色导出则每个角色为单独的文件。</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34.下载音频：会议录音与音频文件支持下载音频格式，分别为WAV、MP3两种格式，方便会后进行聆听。</w:t>
            </w:r>
          </w:p>
        </w:tc>
        <w:tc>
          <w:tcPr>
            <w:tcW w:w="705"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810"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11"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15</w:t>
            </w:r>
          </w:p>
        </w:tc>
        <w:tc>
          <w:tcPr>
            <w:tcW w:w="795"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合成作战指挥体系</w:t>
            </w:r>
          </w:p>
        </w:tc>
        <w:tc>
          <w:tcPr>
            <w:tcW w:w="885"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中央控制主机</w:t>
            </w:r>
          </w:p>
        </w:tc>
        <w:tc>
          <w:tcPr>
            <w:tcW w:w="6225"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1、双嵌入式高速处理器并行运算，采用高速FLASH，处理响应速度快；</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2、可视化交互式软件编程，编程界面所见即所得，不需学习专业知识即可完成项目编程；</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3、支持多种控制方式，可用Andriod、鸿蒙、IOS、WINDOWS等多种系统控制终端，多台控制终端可同时使用，互为备份；</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4、支持Web网页方式控制，用户可通过访问网页进行控制，网页控制功能支持自由编辑，操作简单快捷，支持账号密码登录管控；</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5、支持8路RS-485接口，16路红外接口，8路I/O接口，8路继电器接口，1路NET接口；</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6、主机前面板带有不少于8个可自定义功能的快速按键；</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7、具有1路TF卡槽，支持数据备份等功能；</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8、前面板支持定制4.3寸高清触摸屏和USB编程接口，界面支持任意自定义编辑；</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9、支持网络预览，带1路HDMI信号输入，输入视频可在软件上视窗显示，用于预览矩阵输入信号及摄像头信号等；</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10、软件界面支持嵌入网页，嵌入视频播放组件，可播放常见种类的视频文件，也可显示 RTSP\RTMP\HTTP等视频流图像；</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11、支持串口转发功能，命令代码可以从某串口输入，也设定同步从其它串口输出；</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12、支持电脑脚本语言编写，支持下载脚本程序，可实现更高级的逻辑控制功能；</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13、支持TCP/UDP控制方式，可同时连接不低于100多台被控设备，也可分时连接上万台网络受控设备，支持主机网络级联；</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14、内置万年历功能，可让系统在指定时间自动执行控制操作；</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15、支持在操控界面嵌入网页，嵌入视频播放组件，可播放常见种类的视频文件，也可以显示RTSP\RTMP\HTTP视频流图像；</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16、支持拉杆滑块控制，通过推拉方式实现音量控制、灯光亮度调节等；</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17、控制终端可通过WIFI以及有线连接等方式与主机进行通信；</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18、主机自带智能红外学习功能模块，无须配置专业学习器，自动识别红外代码类型，能轻松学习超长码的空调遥控器；</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19、主机内置代码库支持导出保存到电脑上，方便日后工程维护或升级备案使用；</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20、支持一键多码控制，即一个按键可发送多条代码，也可实现按键按下和弹起时发送不同的代码；</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21、支持双向状态反馈，可显示本机及受控设备状态，支持数值实时反馈；</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22、支持多屏联动同步，每台控制终端软件自动和主机同步，保证最新开关、数值等显示状态；</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23、COM1~3接口可自定义接收触发控制代码，可接任何外部控制设备，兼容性、扩展性强；</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24、支持通过以太网络进行网络编程，远程网络维护，远程升级等，降低设备维护成本；</w:t>
            </w:r>
          </w:p>
        </w:tc>
        <w:tc>
          <w:tcPr>
            <w:tcW w:w="705"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810"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11"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16</w:t>
            </w:r>
          </w:p>
        </w:tc>
        <w:tc>
          <w:tcPr>
            <w:tcW w:w="795"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合成作战指挥体系</w:t>
            </w:r>
          </w:p>
        </w:tc>
        <w:tc>
          <w:tcPr>
            <w:tcW w:w="885"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中央控制软件</w:t>
            </w:r>
          </w:p>
        </w:tc>
        <w:tc>
          <w:tcPr>
            <w:tcW w:w="6225"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1、包括命令库编辑软件、控制界面设计软件、红外命令学习软件、主机IP设置软件；</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2、控制界面设计软件支持各种字体一次编程，便能生成安卓、IOS和windows等多种终端的控制软件，控制界面完全相同，不需要重复编程；</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3、用户界面可自由编辑，自动生成2D、3D按键，同时可自定义图片按钮；</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4、具有自动识别字体技术，任何字体均能在界面中正确显示；</w:t>
            </w:r>
          </w:p>
        </w:tc>
        <w:tc>
          <w:tcPr>
            <w:tcW w:w="705"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810"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0" w:hRule="atLeast"/>
          <w:jc w:val="center"/>
        </w:trPr>
        <w:tc>
          <w:tcPr>
            <w:tcW w:w="511"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17</w:t>
            </w:r>
          </w:p>
        </w:tc>
        <w:tc>
          <w:tcPr>
            <w:tcW w:w="795"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合成作战指挥体系</w:t>
            </w:r>
          </w:p>
        </w:tc>
        <w:tc>
          <w:tcPr>
            <w:tcW w:w="885"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电源管理器</w:t>
            </w:r>
          </w:p>
        </w:tc>
        <w:tc>
          <w:tcPr>
            <w:tcW w:w="6225"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1、主机接口不少于8路独立的强电继电器接口，每路最大承载电流不小于20A</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2、主机前面板带有不少于8个独立的控制开关，支持在紧急情况下手动控制开关</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3、支持每路独立或多路同时控制，且每路均可编程控制</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4、支持至少RS-232、RS-485两种控制方式</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5、设备支持扩展级联，级联数量可达256台</w:t>
            </w:r>
          </w:p>
        </w:tc>
        <w:tc>
          <w:tcPr>
            <w:tcW w:w="705"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810"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11"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18</w:t>
            </w:r>
          </w:p>
        </w:tc>
        <w:tc>
          <w:tcPr>
            <w:tcW w:w="795"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合成作战指挥体系</w:t>
            </w:r>
          </w:p>
        </w:tc>
        <w:tc>
          <w:tcPr>
            <w:tcW w:w="885"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中控控制移动终端</w:t>
            </w:r>
          </w:p>
        </w:tc>
        <w:tc>
          <w:tcPr>
            <w:tcW w:w="6225"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10.8英寸全面屏平板电脑8GB+128GB WIFI</w:t>
            </w:r>
          </w:p>
        </w:tc>
        <w:tc>
          <w:tcPr>
            <w:tcW w:w="705"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810"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0" w:hRule="atLeast"/>
          <w:jc w:val="center"/>
        </w:trPr>
        <w:tc>
          <w:tcPr>
            <w:tcW w:w="511"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19</w:t>
            </w:r>
          </w:p>
        </w:tc>
        <w:tc>
          <w:tcPr>
            <w:tcW w:w="795"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合成作战指挥体系</w:t>
            </w:r>
          </w:p>
        </w:tc>
        <w:tc>
          <w:tcPr>
            <w:tcW w:w="885"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一体化视频会议终端</w:t>
            </w:r>
          </w:p>
        </w:tc>
        <w:tc>
          <w:tcPr>
            <w:tcW w:w="6225"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终端采用嵌入式硬件一体化结构，内置1080p高清摄像头，部署便捷。</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会议终端须接入公安局现有高清MCU，实现多级视频会议召开，能够进行设备呼叫、图像及语音控制。</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会议速率支持64Kbps－8Mbps。</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支持ITU-T H.323和IETF SIP通信标准。</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支持H.261、H.263、MPEG4、H.264、H.264 High Profile、H.265视频编解码协议，具备较强的兼容性。</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支持G.711、G.722、G.728、G.722.1AnnexC、G.719、MPEG4-AAC LC/LD、Opus等音频协议，可达到20KHz以上的宽频效果。</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支持H.239、BFCP双流协议标准。</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内置高清PTZ摄像机，支持5倍光学变焦，支持不小于70°水平广角视野，水平转动角度不小于±100°、垂直不小于±30°</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除内置摄像机外，提供2路高清视频输入、2路高清视频输出接口、1路10/100M以太网接口。</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支持2进1出独立的音频输入输出接口，支持HDMI伴随音频输入输出功能。</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系统具有字幕叠加功能，可通过终端控制系统在本地图像上不同位置设置叠加中文会场名、横幅、滚动字幕。</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具备较强的网络抗丢包能力，在IP网络达到25%丢包率情况下声音清晰、图像流畅、无马赛克，70%的丢包率情况下音频不受影响、声音基本清晰流畅，偶有卡顿，但可恢复。</w:t>
            </w:r>
          </w:p>
        </w:tc>
        <w:tc>
          <w:tcPr>
            <w:tcW w:w="705"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810"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11"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20</w:t>
            </w:r>
          </w:p>
        </w:tc>
        <w:tc>
          <w:tcPr>
            <w:tcW w:w="795"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合成作战指挥体系</w:t>
            </w:r>
          </w:p>
        </w:tc>
        <w:tc>
          <w:tcPr>
            <w:tcW w:w="885"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会议高清摄像机</w:t>
            </w:r>
          </w:p>
        </w:tc>
        <w:tc>
          <w:tcPr>
            <w:tcW w:w="6225"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1、采用207万像素， 1/2.8英寸CMOS传感器；</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2、全高清HD多分辨率输出，最高支持1080P60；</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3、支持HDMI、SDI、RJ45接口输出；</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4、采用72.5°高品质超广焦镜头，光学变焦12倍，数字变焦16倍；</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5、支持255个预置位，可直接调用其内部预置位进行摄像跟踪；</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6、支持红外遥控，摄像机所有功能均可通过遥控器完成；</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7、支持RS-232C和RS485控制摄像头；</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8、兼容SONY VISCA协议以及PELCO P/D协议；</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9、支持图像翻转；</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10、支持本地存储功能，可通过USB2.0接口，安装U盘后本地直接录制；</w:t>
            </w:r>
          </w:p>
        </w:tc>
        <w:tc>
          <w:tcPr>
            <w:tcW w:w="705"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w:t>
            </w:r>
          </w:p>
        </w:tc>
        <w:tc>
          <w:tcPr>
            <w:tcW w:w="810"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0" w:hRule="atLeast"/>
          <w:jc w:val="center"/>
        </w:trPr>
        <w:tc>
          <w:tcPr>
            <w:tcW w:w="511"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21</w:t>
            </w:r>
          </w:p>
        </w:tc>
        <w:tc>
          <w:tcPr>
            <w:tcW w:w="795"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合成作战指挥体系</w:t>
            </w:r>
          </w:p>
        </w:tc>
        <w:tc>
          <w:tcPr>
            <w:tcW w:w="885"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专业会议录播主机</w:t>
            </w:r>
          </w:p>
        </w:tc>
        <w:tc>
          <w:tcPr>
            <w:tcW w:w="6225"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1、录播主机采用一体化嵌入式硬件设计，设备高度不高于1U；</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2、视频输入接口:提供不低于4路HD SDI视频输入接口、2路DVI输入；</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3、视频输出接口：提供不低于1路HDMI视频输出接口、1路VGA视频输出接口；</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4、音频编码：AAC-LC，1路3.5mm输入和1路3.5mm输出；</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5、其他接口：RJ45网络接口：1个千兆网络接口，USB接口:3个，2个USB2.0，1个USB3.0；</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6、录播主机支持本地和远程两种方式进行录播功能操作；</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7、支持TCP/UDP各类云台控制协议，集云台切换于一体的实用控制系统；</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 xml:space="preserve">8、支持与跟踪系统对接，实现手动跟踪和自动跟踪； </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9、录播主机内置RTMP直播服务器，单台录播主机支持100路直播并发；</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10、资源模式下最多可同时录制6路视频，具备存储空间预警功能；</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11、支持录制的视频同时录制在硬盘或U盘中，支持U盘直接下载视频；</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12、系统可实时对主机和软件运行状态进行监测；</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13、支持至少5条字幕内容预设或临时输入；</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14、支持全屏、双分屏、画中画、三分屏、六分屏画面拼接操作；</w:t>
            </w:r>
          </w:p>
        </w:tc>
        <w:tc>
          <w:tcPr>
            <w:tcW w:w="705"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810"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11"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22</w:t>
            </w:r>
          </w:p>
        </w:tc>
        <w:tc>
          <w:tcPr>
            <w:tcW w:w="795"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合成作战指挥体系</w:t>
            </w:r>
          </w:p>
        </w:tc>
        <w:tc>
          <w:tcPr>
            <w:tcW w:w="885"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智慧综合管理中心服务器</w:t>
            </w:r>
          </w:p>
        </w:tc>
        <w:tc>
          <w:tcPr>
            <w:tcW w:w="6225"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1.采用标准19英寸机柜设计，面板具有指示灯，可直观反馈串口、红外、设备的工作状态；支持通过IOS平台/安卓平台等移动设备终端进行集中式管控。</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2.面板有≥4.3英寸触摸彩屏，可查看IP地址、修改IP地址。具备1路TF卡接口，实现项目中的程序导入或导出。</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3.支持不同操作端对中控进行管控，支持操作状态双向反馈功能。支持多台网络中控主机实现级联控制，达到互联、互控的效果。</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4.采用可编程控制平台，交互式的控制结构，中英文可编程界面。全面支持第三方设备及控制协议，支持用户自定义编程设置任何控制协议或者控制代码。</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5.采用32位Cortex-A8 ARM架构内嵌式处理器（配置不可低于此），处理速度最高可达720MHz。主机内置≥256MDPR及8GEMMC的大容量FLASH 存储器。</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6.内嵌智能红外学习功能模块，无须配置专业学习器。可导入各种常用的电器设备的红外代码库到主机，并实现控制。支持串口环出功能，主机的8路串口均可实现任意一个输入都可以从另外一个串口环出。</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7.主机具备≥8路独立可编程串口，可收发RS-232，RS-485及RS-422信号，≥8路独立可编程IR红外发射口，≥8路数字I/0输入输出控制口，带保护电路，≥8路弱电继电器控制接口，≥1个NET网络控制接口，可做外部功能扩展使用，可并接256个网络设备。</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8.支持双机热备份功能，当一台中控主机出现故障时，可以由另外一台中控主机承担服务，从而在不需要人工干预的情况下，自动保证系统能持续。</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9.支持通过微信扫一扫云平台生成的二维码，实现通过微信小程序对中控系统进行控制；支持设置密码权限。</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10.配置交互传感，实现设备感应联动。</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技术参数：</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1.集成多个MEMS传感，可用于移动感应、光照传感、温度感应、湿度感应、气压感应检测。</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2.支持 BLE / BLE Mesh 无线通讯，典型通讯距离50m</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3.支持传感数据和高速传输的数据完备性管理。</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4.支持本地算法和规则执行。</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5.支持锂电池供电，具备提供5V ～ 24V DALI供电接口。</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6.支持DALI/SR驱动调光。</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7.支持 RS485 数据传输。</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8.创新的可调节角度的PIR遮挡罩设计，用于遮挡如走廊、接近传感器控制的区域。</w:t>
            </w:r>
          </w:p>
        </w:tc>
        <w:tc>
          <w:tcPr>
            <w:tcW w:w="705"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810"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11"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23</w:t>
            </w:r>
          </w:p>
        </w:tc>
        <w:tc>
          <w:tcPr>
            <w:tcW w:w="795"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合成作战指挥体系</w:t>
            </w:r>
          </w:p>
        </w:tc>
        <w:tc>
          <w:tcPr>
            <w:tcW w:w="885"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智慧综合管理平台软件</w:t>
            </w:r>
          </w:p>
        </w:tc>
        <w:tc>
          <w:tcPr>
            <w:tcW w:w="6225"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1、通过移动端（手机或平板）控制上大屏的电脑界面，可将打开对应电脑的PPT等格式文档功能，并且支持PPT全屏、翻页等功能。</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2、支持放大镜放大局部功能，可对PPT中文字等较小或看不清的部分进行放大操作。</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3、具备基本辅助工具，包括荧光笔、聚光灯、放大镜等，荧光笔颜色、聚光灯大小及放大镜倍数通过移动端轻松可调。</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4、通过移动端与电脑端软件进行互动，通过移动端扫描二维码方式与PC电脑端连接。</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5、支持将现场情况通过拍摄方式，实时同步到现场PC电脑端（输出给大屏）放大显示。</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6、根据现场情况进行其他功能定制</w:t>
            </w:r>
          </w:p>
        </w:tc>
        <w:tc>
          <w:tcPr>
            <w:tcW w:w="705"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810"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11"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24</w:t>
            </w:r>
          </w:p>
        </w:tc>
        <w:tc>
          <w:tcPr>
            <w:tcW w:w="795"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合成作战指挥体系</w:t>
            </w:r>
          </w:p>
        </w:tc>
        <w:tc>
          <w:tcPr>
            <w:tcW w:w="885"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电源时序器</w:t>
            </w:r>
          </w:p>
        </w:tc>
        <w:tc>
          <w:tcPr>
            <w:tcW w:w="6225"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输出电源插座：万用插座，符合欧美标准。后面板8个受控万用插座；</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插座材质：每个插座材质磷铜，均通过检验才安装；</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每一路开关间隔时间：1秒每通道带开关指示1个；</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电路板线路：采用60%高纯度锡，高端分流技术，大电流线路处加焊铜条；</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变压器：专供定制变压器，减少干扰前级，音源敏感设备；</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电压显示表：LED数字显示电压表；</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照明配置：配置一个USB照明灯接口。</w:t>
            </w:r>
          </w:p>
        </w:tc>
        <w:tc>
          <w:tcPr>
            <w:tcW w:w="705"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810"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0" w:hRule="atLeast"/>
          <w:jc w:val="center"/>
        </w:trPr>
        <w:tc>
          <w:tcPr>
            <w:tcW w:w="511"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25</w:t>
            </w:r>
          </w:p>
        </w:tc>
        <w:tc>
          <w:tcPr>
            <w:tcW w:w="795"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合成作战指挥体系</w:t>
            </w:r>
          </w:p>
        </w:tc>
        <w:tc>
          <w:tcPr>
            <w:tcW w:w="885"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多媒体插座</w:t>
            </w:r>
          </w:p>
        </w:tc>
        <w:tc>
          <w:tcPr>
            <w:tcW w:w="6225"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根据实际需求定制</w:t>
            </w:r>
          </w:p>
        </w:tc>
        <w:tc>
          <w:tcPr>
            <w:tcW w:w="705"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w:t>
            </w:r>
          </w:p>
        </w:tc>
        <w:tc>
          <w:tcPr>
            <w:tcW w:w="810"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11"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26</w:t>
            </w:r>
          </w:p>
        </w:tc>
        <w:tc>
          <w:tcPr>
            <w:tcW w:w="795"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三层安全防范宣讲体验中心</w:t>
            </w:r>
          </w:p>
        </w:tc>
        <w:tc>
          <w:tcPr>
            <w:tcW w:w="885"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无纸化服务器</w:t>
            </w:r>
          </w:p>
        </w:tc>
        <w:tc>
          <w:tcPr>
            <w:tcW w:w="6225"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无纸化服务主机搭配管理软件，负责处理会议功能模块、会议主题、参会人员信息、会议议题、投票内容等会前信息预设，具有会议各类文件资料的上传共享、人员的权限管理设置、会议信息的实时记录等应用功能。</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2.采用CPU配置不低于四核/八线程/CPU主频3.2GHz-4.0GHz（参考的配置不低于I7-4790）</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3.采用内存配置不低于8G DDR3 1600</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4.采用硬盘容量不低于1TB</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5.具有千兆网络接口（RJ45）</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6.具有视频输出接口：≥1×HDMI、≥1×VGA；具备音频接口：≥1×3.5mm音频输入接口、≥1×3.5mm音频输出接口；具备其他接口：≥1×RS232、≥4×USB接口。</w:t>
            </w:r>
          </w:p>
        </w:tc>
        <w:tc>
          <w:tcPr>
            <w:tcW w:w="705"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810"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0" w:hRule="atLeast"/>
          <w:jc w:val="center"/>
        </w:trPr>
        <w:tc>
          <w:tcPr>
            <w:tcW w:w="511"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27</w:t>
            </w:r>
          </w:p>
        </w:tc>
        <w:tc>
          <w:tcPr>
            <w:tcW w:w="795"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三层安全防范宣讲体验中心</w:t>
            </w:r>
          </w:p>
        </w:tc>
        <w:tc>
          <w:tcPr>
            <w:tcW w:w="885"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无纸化会议管理平台软件</w:t>
            </w:r>
          </w:p>
        </w:tc>
        <w:tc>
          <w:tcPr>
            <w:tcW w:w="6225"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支持多会议室管理，会议室支持可视化布局配置管理。会议室可添加不同会议终端，可对会议终端进行独立或统一开机、关机、升降控制，并可关联会议话筒单元。支持会议室坐席可视化控制，显示系统所有会议室使用情况，可对终端进行单独或统一开关机、上升下降控制。</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2.支持用户管理功能，添加、导入、修改、删除用户，支持对用户进行分组，支持建立用户的组织架构，投票管理、会议资料权限管理可根据用户分组或组织架构快捷筛选人员。</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3.支持异地互联会议，多个单位使用无纸化会议系统进行远程互联会议，支持屏幕广播、会议资料共享、投票评分功能。（需搭建专网专线）；支持本地联合会议，同一区域内多个会议室联合开会，共享会议资料、视频文件、投票评分信息。</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4.支持欢迎界面设计，可编辑背景内容为纯色或背景图；显示/隐藏职务、单位、会议名称、会议时间、主持人、参会人姓名、自定义文案；支持编辑文本框字号大小、颜色以及字体类型，支持将文本框居左、居中、居右排列位置。</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5.支持会议室坐席模拟排位功能，支持人员筛选，支持根据人员权重自动排位和手动排位，支持排位方案实时调整下发。支持按议题独立排位，支持手动或自动系统议题排位方案切换。</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6.支持多个会议议题进行开启、结束等管理操作，每个议题可以独立上传多份附件，通过组织架构、用户分组、普通罗列的展示方式筛选议题查看者；支持议题内加入文件夹，以议题+文件夹+文件三级目录文件展示，议题包含汇报人和汇报时间、保密权限、U盘下载权限开关等配置；支持快速创建议题关联的投票。</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7.支持统一管理多个投票，实时查看投票过程与结果，控制投票结果实时投屏展示，支持文字、柱状图、饼状图三种投屏模式。支持投票导入导出功能，方便批量进行投票管理。支持投票身份认证。</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8.支持统一管理多个评分，实时查看评分过程与结果，控制评分投屏，最高支持100项评分。支持评分导入导出功能，方便批量进行评分管理。支持评分身份认证。支持配置平均分规则为默认或截尾平均数。支持评分备注功能。</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9.支持批注白板，可同时管理各参会人员的电子白板存档、手写批注、文档批注，支持后台预览及一键导出功能。</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10.支持三员管理功能。开启该功能后系统将分为系统管理员、会务管理员、审计员三种角色。系统管理员负责系统管理，包含人员、服务器、会议室、升级、系统等模块管理；会务管理员负责会议管理，创建会议、编辑会议、删除会议；审计员负责日志审计查看、追溯无纸化管理系统的人员操作记录。</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11.支持个人中心H5网页展示，可会前、会中上传资料，查看资料，支持会后下载参加过的会议的资料及批注文件，保密会议会前会后不能查看会议资料。</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12.支持双机热备,主从设备数据同步，当主设备出现故障时从机接管。</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13.支持服务器监控，可查看服务器cpu使用率、内存使用率、磁盘空间、网络传输速率，可设置阈值警告。</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14.支持多文件服务器分布式部署功能，可增加服务器进行单独文件存储。</w:t>
            </w:r>
          </w:p>
        </w:tc>
        <w:tc>
          <w:tcPr>
            <w:tcW w:w="705"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810"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0" w:hRule="atLeast"/>
          <w:jc w:val="center"/>
        </w:trPr>
        <w:tc>
          <w:tcPr>
            <w:tcW w:w="511"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28</w:t>
            </w:r>
          </w:p>
        </w:tc>
        <w:tc>
          <w:tcPr>
            <w:tcW w:w="795"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三层安全防范宣讲体验中心</w:t>
            </w:r>
          </w:p>
        </w:tc>
        <w:tc>
          <w:tcPr>
            <w:tcW w:w="885"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无纸化移动终端</w:t>
            </w:r>
          </w:p>
        </w:tc>
        <w:tc>
          <w:tcPr>
            <w:tcW w:w="6225"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10.8英寸全面屏平板电脑8GB+128GB WIFI</w:t>
            </w:r>
          </w:p>
        </w:tc>
        <w:tc>
          <w:tcPr>
            <w:tcW w:w="705"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w:t>
            </w:r>
          </w:p>
        </w:tc>
        <w:tc>
          <w:tcPr>
            <w:tcW w:w="810"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11"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29</w:t>
            </w:r>
          </w:p>
        </w:tc>
        <w:tc>
          <w:tcPr>
            <w:tcW w:w="795"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三层安全防范宣讲体验中心</w:t>
            </w:r>
          </w:p>
        </w:tc>
        <w:tc>
          <w:tcPr>
            <w:tcW w:w="885"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无纸化会议客户端软件</w:t>
            </w:r>
          </w:p>
        </w:tc>
        <w:tc>
          <w:tcPr>
            <w:tcW w:w="6225"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1.支持显示参会人的名称、会议角色、单位、职位等基本信息,并支持在座位表展示个人名称；支持会议信息展示，可直接查看包含会议议程、会议简介、主持人等信息。</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2.文件阅览：可查看进行中或未开始的议题及其文件，并附有议题状态；打开文档后可支持文档批注功能；支持查看会议临时文件，支持上传本地文件，新文件下发时，会议终端支持小红点提示。</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3.支持手写批注，支持单人、多人进行屏幕批注，批注可保存至服务器；支持文档批注功能，客户端支持对后台的pdf文档进行批注，并保存至服务器，方便会后整理。</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4.支持会议服务呼叫，支持茶水、笔、纸、服务员等呼叫，也可自定义服务需求。支持呼叫服务后可显示等待状态，后勤服务人员处理完成则状态显示完成。支持与会议服务APP对接，服务内容及时发送给后勤服务人员。</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5.支持对服务器中的视频进行任意点播，支持实时观看视频流直播。</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6.支持电子白板功能，支持插入个人图片作为背景并进行批注，并支持将批注保存至服务器进行存储。</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7.支持网络浏览功能，可浏览以太网网络，并可在服务端统一配置预设的网页地址，用户可在App中直接打开配置好的网页。</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8.支持个人中心功能，查看历史资料（保密文件没有权限不可查看）。</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9.支持文档主讲异步浏览，参会人员可以通过异步浏览自由使用终端其他功能，方便用户在观看同步文件时查看其他会议文件或内容。</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10.支持会议签到功能，支持签到开始、签到结束、协助签到等功能。可查看当前签到情况，支持签到的过程与结果进行实时投屏。支持在签名签到、登录即签到、按钮签到、人脸签到、拍照签到。（指纹、人脸身份认证功能需要相应硬件支持和人脸识别服务器）</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11.支持会议投票功能，支持在会议中进行投票启用、投票结束、查看结果等功能，投票过程实时投屏。支持投屏签名确认、拍照确认、人脸认证。</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12.支持会议评分功能，支持在会议中进行评分启用、评分结束、查看结果等功能，评分过程实时投屏，最高支持100项评分。支持评分签名确认、拍照确认、人脸认证。</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13.支持参会人查看会议纪要文件，确认纪要文件，以及提出意见，并生成最终纪要文件。</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14.支持会议议题功能，支持会议议题的启动、结束，并支持下发议题至侯会屏进行显示；支持会议标语功能，支持多个会议标语切换，并支持推送至大屏和客户端显示。</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15.支持在会议中统一控制终端显示欢迎欢迎界面、会议信息、显示标语、退出标语、显示铭牌、退出铭牌、结束会议等操作。</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16.支持大屏点播功能，可远程控制流媒体服务器点播，并可广播到终端上显示。</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17.系统支持侯会信息发布显示，支持开始议题前进行提示（带语音播报提示功能）。</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18.支持免密登录、账号密码、人脸识别入会。</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19.支持屏幕广播功能，发起人员的画面会同步显示至其他参会人员的屏幕上。并支持任何页面点击屏幕广播功能进行广播。</w:t>
            </w:r>
          </w:p>
        </w:tc>
        <w:tc>
          <w:tcPr>
            <w:tcW w:w="705"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w:t>
            </w:r>
          </w:p>
        </w:tc>
        <w:tc>
          <w:tcPr>
            <w:tcW w:w="810"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0" w:hRule="atLeast"/>
          <w:jc w:val="center"/>
        </w:trPr>
        <w:tc>
          <w:tcPr>
            <w:tcW w:w="511"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30</w:t>
            </w:r>
          </w:p>
        </w:tc>
        <w:tc>
          <w:tcPr>
            <w:tcW w:w="795"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三层安全防范宣讲体验中心</w:t>
            </w:r>
          </w:p>
        </w:tc>
        <w:tc>
          <w:tcPr>
            <w:tcW w:w="885"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无纸化会议视频拓展一体机</w:t>
            </w:r>
          </w:p>
        </w:tc>
        <w:tc>
          <w:tcPr>
            <w:tcW w:w="6225"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1、输出分辨率1920*1080；</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2、接口:VGA、HDMI；</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2* USB 2.0接口, 2* USB 3.0接口；</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1* RJ-45千兆网络接口；</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3、12～19V DC电源输入接口；</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4、处理器 I5四核处理器</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内  存 4G内存</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网  络 1* RTL8111F千兆网卡芯片, 支持网络唤醒、PXE功能</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 xml:space="preserve">存  储 64G </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音  频 集成ALC662 6声道高保真音频控制器</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5、背板I/O接口 2* USB 2.0接口, 2* USB 3.0接口,1* VGA DB15接口 , 1* HDMI接口,1* RJ-45千兆网络接口, 1* Line out(绿色), 1* Mic (红色), 1* 12～19V DC电源输入接口</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内置I/O接口 1* LVDS接口 2*15pin, 1* JVGA接口 1*12pin (和背板VGA接口相同信号), 1* JHDMI接口 2*8pin, 支持双HDMI显示, 6* RS232串口, COM3支持RS422/RS485模式, 1* LPT打印口 2*13pin, 2* USB 2.0接口 2*5pin, 2* USB 3.0接口 2*10pin(B85/H87/Q87/Q85/Z87等芯片组可支持), 1* PS/2鼠标键盘接口 6pin, 1* 前置音频接口 2*5pin, 1* 功放接口 1* 4pin, 1* 前面板开关按钮和指示灯接口2*5pin, 1* ATX 4pin电源接口,支持12V～19V电压输入输出(根据所使用的电源输出电压), 1* LVDS 背光供电接口 1*6pin, 2* 硬盘供电接口 1*4pin</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风扇接口 1* 4pin CPU智能风扇接口 1*3pin 系统风扇接口</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6、GPIO 支持4路输入输出GPIO</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7、BIOS 32Mb Flash ROM</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8、电源类型 采用DC 12V～19V单电源输入</w:t>
            </w:r>
          </w:p>
        </w:tc>
        <w:tc>
          <w:tcPr>
            <w:tcW w:w="705"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810"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0" w:hRule="atLeast"/>
          <w:jc w:val="center"/>
        </w:trPr>
        <w:tc>
          <w:tcPr>
            <w:tcW w:w="511"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31</w:t>
            </w:r>
          </w:p>
        </w:tc>
        <w:tc>
          <w:tcPr>
            <w:tcW w:w="795"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三层安全防范宣讲体验中心</w:t>
            </w:r>
          </w:p>
        </w:tc>
        <w:tc>
          <w:tcPr>
            <w:tcW w:w="885"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无纸化会议客户端软件（视频端）</w:t>
            </w:r>
          </w:p>
        </w:tc>
        <w:tc>
          <w:tcPr>
            <w:tcW w:w="6225"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1.支持签到投屏功能，将签到过程、签到结果展示在大屏上。</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2.支持将电子白板、会议标语、文档主讲、外部信号等信息广播到大屏展示。</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3.支持多媒体(桌面同屏、电子白板、文档资料等)分组投屏功能， 最大可支持4分屏画面同时投屏输出显示。</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4.支持大屏点播功能，直接播放服务器原生视频文件；支持大屏广播功能，将大屏的画面广播同步到各个终端并显示。</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5.支持大屏视频矩阵功能，同时支持多路多媒体源(视频点播，视频直播，外部信号，同屏信号，电子白板，文档）进行播放功能。</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6.支持投票投屏功能，将投票过程、投票结果以文字、柱状图、饼状图方式展示在大屏上。</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7.支持评分投屏功能，评分过程中查看评分人数、未提交人数。支持评分结束后以柱状图（10项以下）或表格（10项以上）的形式投屏显示评分结果。</w:t>
            </w:r>
          </w:p>
        </w:tc>
        <w:tc>
          <w:tcPr>
            <w:tcW w:w="705"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810"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0" w:hRule="atLeast"/>
          <w:jc w:val="center"/>
        </w:trPr>
        <w:tc>
          <w:tcPr>
            <w:tcW w:w="511"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32</w:t>
            </w:r>
          </w:p>
        </w:tc>
        <w:tc>
          <w:tcPr>
            <w:tcW w:w="795"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三层安全防范宣讲体验中心</w:t>
            </w:r>
          </w:p>
        </w:tc>
        <w:tc>
          <w:tcPr>
            <w:tcW w:w="885"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无纸化会议流媒体管理器</w:t>
            </w:r>
          </w:p>
        </w:tc>
        <w:tc>
          <w:tcPr>
            <w:tcW w:w="6225"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1.内嵌高清、标清视频信号处理模块，同步、异步处理视频信号输入、输出。</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2.支持HDMI、VGA信号输入，外部信号通过此接口实时广播画面到所有会议终端并同步显示。</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3.支持HDMI、VGA信号输出，任何会议终端画面通过此接口输出至大屏幕或其他信号显示设备。</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4.配置1路3.5mm音频输入接口和1路3.5mm音频输出接口，实现音视频同步输入输出。</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5.支持全高清1080P、高清720P等多种高清分辨率输出。</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6.要求服务器的CPU配置不低于四核/四线程/CPU主频3.2GHz-3.4GHzz（参考配置不低于I5-4460），内存配置不低于4G DDR3 1600，硬盘为固态硬盘且容量至少128GB。</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7.具备视频输入接口：≥1×HDMI、1×VGA；具备视频输出接口：≥1×HDMI、1×VGA；具备音频接口：≥1×3.5mm音频输入接口、≥1×3.5mm音频输出接口；具备≥2×RS-232、≥4×USB接口。</w:t>
            </w:r>
          </w:p>
        </w:tc>
        <w:tc>
          <w:tcPr>
            <w:tcW w:w="705"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810"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0" w:hRule="atLeast"/>
          <w:jc w:val="center"/>
        </w:trPr>
        <w:tc>
          <w:tcPr>
            <w:tcW w:w="511"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33</w:t>
            </w:r>
          </w:p>
        </w:tc>
        <w:tc>
          <w:tcPr>
            <w:tcW w:w="795"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三层安全防范宣讲体验中心</w:t>
            </w:r>
          </w:p>
        </w:tc>
        <w:tc>
          <w:tcPr>
            <w:tcW w:w="885"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语音采集流媒体管理器</w:t>
            </w:r>
          </w:p>
        </w:tc>
        <w:tc>
          <w:tcPr>
            <w:tcW w:w="6225"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1.屏幕支持浮窗字幕的形式展示语音转写文本内容，同时设置大屏字幕字号，字幕位置可支持上停靠和下停靠，同时支持显示样式有单行、双行、三行、全屏等四种样式。</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2.支持自定义已转写文字和未转写文字的字体颜色和字体的透明度。</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3.支持可自定义Logo图片，支持自定义Logo的显示与隐藏。</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4.支持字幕背景颜色和背景颜色的透明度调节；支持自定义全屏投屏背景颜色或背景图更换，支持自定义全屏背景的透明度设置。</w:t>
            </w:r>
          </w:p>
        </w:tc>
        <w:tc>
          <w:tcPr>
            <w:tcW w:w="705"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810"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11"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34</w:t>
            </w:r>
          </w:p>
        </w:tc>
        <w:tc>
          <w:tcPr>
            <w:tcW w:w="795"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三层安全防范宣讲体验中心</w:t>
            </w:r>
          </w:p>
        </w:tc>
        <w:tc>
          <w:tcPr>
            <w:tcW w:w="885"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人工智能语音识别转换端软件</w:t>
            </w:r>
          </w:p>
        </w:tc>
        <w:tc>
          <w:tcPr>
            <w:tcW w:w="6225"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1.音频导入转写：该功能可对历史音频进行整理，系统支持将音频数据文件导入系统进行快速转写；转写结果与音频可实现音字对应，支持对转写结果导出进行编辑整理。系统支持最多每次上传50条音频，总大小不超过 5GB，单条数据时长小于18小时；目前系统支持多种音频格式，如： mp3、wav、wma、mp4、avi、pcm、m4a。 </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2.支持自动角色分离：当会议室内已有的麦克风设备能够提供多路信号输出的情况下，结合数字会议主机和音频编码器即可实现硬件角色分离（最大支持4000个角色）。在客户端实时转写内容前会自动显示对应的角色名；同时也支持手动角色分离：可在参会人员列表中对某些角色进行手动绑定，按F1-F12进行手动切换发言角色。</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3.会议录音：录制会议现场音频，方便记录员回听录音。可对照转写文本回听录音，方便追根溯源，提高会议纪要书写效率。</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4.播放器、时间轴及文本区互相同步定位。更方便找到录音时间对应的文本对照修改。</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5.克隆会议：支持克隆会议功能，克隆参会人员、会议角色设置、投影配置，极大地提高开会效率。</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6.人员管理：将参会人员设为默认人员，无需每场会议重复添加。支持批量导入、导出人员。</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7.组织架构：三级组织架构功能，自定义单位、部门、职务。选择参会人员可按照组织架构排列选择。</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8.导出文本：分为导出实时语音转写文本与音频导入转写文件文本，导出编辑后的文本、重点标记文本、全程音频文件或某一角色的转写文本，按角色导出则每个角色为单独的文件。</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9.下载音频：会议录音与音频文件支持下载音频格式，分别为WAV、MP3两种格式，方便会后进行聆听。</w:t>
            </w:r>
          </w:p>
        </w:tc>
        <w:tc>
          <w:tcPr>
            <w:tcW w:w="705"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810"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0" w:hRule="atLeast"/>
          <w:jc w:val="center"/>
        </w:trPr>
        <w:tc>
          <w:tcPr>
            <w:tcW w:w="511"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35</w:t>
            </w:r>
          </w:p>
        </w:tc>
        <w:tc>
          <w:tcPr>
            <w:tcW w:w="795"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三层安全防范宣讲体验中心</w:t>
            </w:r>
          </w:p>
        </w:tc>
        <w:tc>
          <w:tcPr>
            <w:tcW w:w="885"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会议发言主机</w:t>
            </w:r>
          </w:p>
        </w:tc>
        <w:tc>
          <w:tcPr>
            <w:tcW w:w="6225"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1.设备具有时钟同步和传输技术，音频延时小于5ms。</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2.内置高性能DSP处理器，具有音频矩阵、啸叫抑制、EQ、音量、延时器等调节功能。</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3.音频输入接口包括有1路RCA、1路卡侬头、2路凤凰端子。音频输出接口包括有1路RCA、1路卡侬头、16路凤凰端子。</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4.支持16通道输出功能，可灵活配置为角色分离输出模式、同传输出模式、相控输出模式。每个输出通道都可以调节EQ、音量、延时器等参数。</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5.支持16通道角色分离输出模式，可使有线或无线单元根据ID号独立输出，可供录音或语音转写设备使用。且输出通道数量，可通过外部设备扩展。</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6.支持16通道同传输出模式，可使同传音频根据通道号独立输出，可供录音或监听设备使用。且输出通道数量，可通过外部设备扩展。</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7.支持16通道相控输出模式，基于独创的会议矩阵技术，内置nx16音频矩阵处理器，实现16通道分组输出功能。可使任意输入源（包括所有输入源和在线话筒），按任意音量比例，输出到任意通道。</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8.会议主机采用TCP/IP网络协议，且同时支持C/S、B/S架构，可供PC软件或浏览器控制。</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9.通过WEB控制音频矩阵参数（包括EQ、音量、延时器、话筒灵敏度等）、16通道输出模式切换、开关话筒同步、中英俄法四种语言切换、控制角色分离主机。</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10.超大系统容量，系统最大支持4096台有线会议单元和300台无线会议单元。系统最大发言数量为8个有线话筒和6个无线话筒。</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11.支持环形手拉手功能，确保在其中的一条网线断开或者单元出问题时，会议能继续正常进行。</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12.具有支持中、英、俄、法文多种语言任意切换显示。</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13.PC软件可查看在线无线单元的电池电量、WiFi信号等信息状态；支持一键关闭所有无线单元、单独关闭某个无线单元。</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14.支持同声传译功能，系统最大可同时传输63+1的有线同声传译。</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15.具有消防报警连动触发接口，提供火灾报警信息，第一时间提醒会场人员紧急撤离，确保与会人员安全。</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16.支持PELCO-D、VISCA摄像机控制协议，可配合高清摄像跟踪主机，实现自动摄像跟踪。</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17.四种话筒管理模式:FIFO（先进先出）、NORMAL（普通模式）、VOICE（声控模式）、APPLY（申请模式）。</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18.系统具有发起会议签到、表决、选举、评级、满意度、自定义等功能。</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19.具有4.3英寸全彩触摸屏，可实现对参数设置或查看，进行任意触摸操作。</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20.强大的编ID功能，可对有线单元、无线单元、译员机、角色分离主机进行编ID。</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21.具备USB录音功能，可录制和播放会议记录。</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22.支持10段 EQ调节功能，16路多功能输出通道与2路LINEOUT输出通道都具有10段 EQ调节功能。</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23.支持AP信道扫描，了解现场的无线信道使用情况，支持信道自动或手动配置最佳信道，支持AP名称在线显示列表。</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24.支持触摸屏幕输入注册码进行主机注册。</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25.支持对接语音转写服务器，实现语音转写功能</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26.会议主机具备设置主机或从机功能，当主机出现故障时，可自动切换至从机运行，实现双备份功能</w:t>
            </w:r>
          </w:p>
        </w:tc>
        <w:tc>
          <w:tcPr>
            <w:tcW w:w="705"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810"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0" w:hRule="atLeast"/>
          <w:jc w:val="center"/>
        </w:trPr>
        <w:tc>
          <w:tcPr>
            <w:tcW w:w="511"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36</w:t>
            </w:r>
          </w:p>
        </w:tc>
        <w:tc>
          <w:tcPr>
            <w:tcW w:w="795"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三层安全防范宣讲体验中心</w:t>
            </w:r>
          </w:p>
        </w:tc>
        <w:tc>
          <w:tcPr>
            <w:tcW w:w="885"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会议发言主席单元</w:t>
            </w:r>
          </w:p>
        </w:tc>
        <w:tc>
          <w:tcPr>
            <w:tcW w:w="6225"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1.采用数字传输链路，通过网口转六芯航空线连接到会议主机级联口供电，非压缩音频传输技术。</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2.采用电容触摸按键，可有效杜绝按键敲击声，保障会场环境良好。</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3.单元支持PC软件话筒控制，支持声控功能。</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4.主席单元具备关闭代表单元发言的优先权限。</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5.单元具有TCP/IP协议簇，支持ICMP、HTTP、UDP、TCP、IGMP等多种协议。</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6.单元支持PING包功能。</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7.单元具有独立的web控制页面，支持调节话筒ID号、话筒灵敏度、话筒EQ等参数。</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8.单元内部具有反馈抑制功能，具有声控功能，声控灵敏度可调。</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9.单元具有5段EQ调节功能，可针对发言者的声音特点调节不同的音效。</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10.单元支持签到功能，也可以通过PC软件禁止单元签到、控制单元签到等功能。</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11.单元支持web页面固件升级功能。</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12.单元支持IP地址嗅探功能，通过PC工具可以查找到未知单元的ID号、IP地址、MAC地址等参数。</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13.具有2个网口，可用于手拉手级联。</w:t>
            </w:r>
          </w:p>
        </w:tc>
        <w:tc>
          <w:tcPr>
            <w:tcW w:w="705"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810"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0" w:hRule="atLeast"/>
          <w:jc w:val="center"/>
        </w:trPr>
        <w:tc>
          <w:tcPr>
            <w:tcW w:w="511"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37</w:t>
            </w:r>
          </w:p>
        </w:tc>
        <w:tc>
          <w:tcPr>
            <w:tcW w:w="795"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三层安全防范宣讲体验中心</w:t>
            </w:r>
          </w:p>
        </w:tc>
        <w:tc>
          <w:tcPr>
            <w:tcW w:w="885"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会议发言列席单元</w:t>
            </w:r>
          </w:p>
        </w:tc>
        <w:tc>
          <w:tcPr>
            <w:tcW w:w="6225"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1.采用数字传输链路，通过网口转六芯航空线连接到会议主机级联口供电，非压缩音频传输技术。</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2.采用电容触摸按键，可有效杜绝按键敲击声，保障会场环境良好。</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3.单元支持PC软件话筒控制，支持声控功能。</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4.具有2个网口，可用于手拉手级联。</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5.单元具有TCP/IP协议簇，支持ICMP、HTTP、UDP、TCP、IGMP等多种协议。</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6.单元支持PING包功能。</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7.单元具有独立的web控制页面，支持调节话筒ID号、话筒灵敏度、话筒EQ等参数。</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8.单元内部具有反馈抑制功能，具有声控功能，声控灵敏度可调。</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9.单元具有5段EQ调节功能，可针对发言者的声音特点调节不同的音效。</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10.单元支持签到功能，也可以通过PC软件禁止单元签到、控制单元签到等功能。</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11.单元支持web页面固件升级功能。</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12.单元支持IP地址嗅探功能，通过PC工具可以查找到未知单元的ID号、IP地址、MAC地址等参数。</w:t>
            </w:r>
          </w:p>
        </w:tc>
        <w:tc>
          <w:tcPr>
            <w:tcW w:w="705"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9</w:t>
            </w:r>
          </w:p>
        </w:tc>
        <w:tc>
          <w:tcPr>
            <w:tcW w:w="810"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0" w:hRule="atLeast"/>
          <w:jc w:val="center"/>
        </w:trPr>
        <w:tc>
          <w:tcPr>
            <w:tcW w:w="511"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38</w:t>
            </w:r>
          </w:p>
        </w:tc>
        <w:tc>
          <w:tcPr>
            <w:tcW w:w="795"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三层安全防范宣讲体验中心</w:t>
            </w:r>
          </w:p>
        </w:tc>
        <w:tc>
          <w:tcPr>
            <w:tcW w:w="885"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话筒连接器</w:t>
            </w:r>
          </w:p>
        </w:tc>
        <w:tc>
          <w:tcPr>
            <w:tcW w:w="6225"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配套话筒</w:t>
            </w:r>
          </w:p>
        </w:tc>
        <w:tc>
          <w:tcPr>
            <w:tcW w:w="705"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w:t>
            </w:r>
          </w:p>
        </w:tc>
        <w:tc>
          <w:tcPr>
            <w:tcW w:w="810"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0" w:hRule="atLeast"/>
          <w:jc w:val="center"/>
        </w:trPr>
        <w:tc>
          <w:tcPr>
            <w:tcW w:w="511"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39</w:t>
            </w:r>
          </w:p>
        </w:tc>
        <w:tc>
          <w:tcPr>
            <w:tcW w:w="795"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三层安全防范宣讲体验中心</w:t>
            </w:r>
          </w:p>
        </w:tc>
        <w:tc>
          <w:tcPr>
            <w:tcW w:w="885"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会议专用延长线</w:t>
            </w:r>
          </w:p>
        </w:tc>
        <w:tc>
          <w:tcPr>
            <w:tcW w:w="6225"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1.会议延长线，10米，配合会议发言主机使用，          </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2.外皮颜色：黑色</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3.外被材料/外径：非迁移性黑色PVC/7.2MM</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 xml:space="preserve">4.绝缘体/外径：PVC/1.3MM                     </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5.屏蔽方式：铝箔+网编织</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6.接头：6P DIN公母头</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7.使用温度: -15℃ - +70℃</w:t>
            </w:r>
          </w:p>
        </w:tc>
        <w:tc>
          <w:tcPr>
            <w:tcW w:w="705"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810"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11"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40</w:t>
            </w:r>
          </w:p>
        </w:tc>
        <w:tc>
          <w:tcPr>
            <w:tcW w:w="795"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三层安全防范宣讲体验中心</w:t>
            </w:r>
          </w:p>
        </w:tc>
        <w:tc>
          <w:tcPr>
            <w:tcW w:w="885"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专业会议吸顶音箱</w:t>
            </w:r>
          </w:p>
        </w:tc>
        <w:tc>
          <w:tcPr>
            <w:tcW w:w="6225"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1.采用高档PP盘振膜，大口径磁路系统。</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2.高音采用丝膜软球顶喇叭单元。</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3.额定功率: 40W</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4.阻抗：8Ω</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5.灵敏度：90dB±3dB</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6.频率响应(-10dB)：60Hz-20KHz</w:t>
            </w:r>
          </w:p>
        </w:tc>
        <w:tc>
          <w:tcPr>
            <w:tcW w:w="705"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w:t>
            </w:r>
          </w:p>
        </w:tc>
        <w:tc>
          <w:tcPr>
            <w:tcW w:w="810"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11"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41</w:t>
            </w:r>
          </w:p>
        </w:tc>
        <w:tc>
          <w:tcPr>
            <w:tcW w:w="795"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三层安全防范宣讲体验中心</w:t>
            </w:r>
          </w:p>
        </w:tc>
        <w:tc>
          <w:tcPr>
            <w:tcW w:w="885"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专业数字功放</w:t>
            </w:r>
          </w:p>
        </w:tc>
        <w:tc>
          <w:tcPr>
            <w:tcW w:w="6225"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1.工业造型钢面板，面板防尘网可折洗结构设计，可拆卸清洗的散热通风口。</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2.开机软启动，防止开机时向电网吸收大电流，干扰其它用电设备。</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 xml:space="preserve">3.智能控制强制散热设计。 </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4.两声道功放有三档输入灵敏度选择，轻松接纳宽幅度范围信号源输入；输入灵敏度：0.775V/1V/1.44V</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5.安全保护措施和工作状态指示（短路、过载、直流和过热保护、变压器过热保护）。</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 xml:space="preserve">6.智能削峰限幅器，控制功率模块及扬声器系统在安全范围内工作。 </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7.标准XLR+TRS1/4" 复合输入接口。</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 xml:space="preserve">8.变压器和低阻大容量电解滤波，保证大动态工作应付自如。 </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9.支持立体声或桥接工作模式。</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10.输入座接地脚接地和悬浮控制。</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11.输出功率（20Hz-20KHz/THD≤1％）：立体声/并联8Ω×2：200W×2；立体声/并联4Ω×2：300W×2；桥接8Ω：600W</w:t>
            </w:r>
          </w:p>
        </w:tc>
        <w:tc>
          <w:tcPr>
            <w:tcW w:w="705"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810"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0" w:hRule="atLeast"/>
          <w:jc w:val="center"/>
        </w:trPr>
        <w:tc>
          <w:tcPr>
            <w:tcW w:w="511"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42</w:t>
            </w:r>
          </w:p>
        </w:tc>
        <w:tc>
          <w:tcPr>
            <w:tcW w:w="795"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三层安全防范宣讲体验中心</w:t>
            </w:r>
          </w:p>
        </w:tc>
        <w:tc>
          <w:tcPr>
            <w:tcW w:w="885"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调音台</w:t>
            </w:r>
          </w:p>
        </w:tc>
        <w:tc>
          <w:tcPr>
            <w:tcW w:w="6225"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1.支持≥4路Mic输入兼容4路线路输入接口，话筒接口幻象电源：+48V，≥4组立体线性输入。</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2.具有≥1组立体声主输出、≥1组辅助输出、≥1组立体声监听输出、≥1路耳机监听输出、≥1组CD/Tape输出。</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3.每路单声道输入通道设有3段EQ，设有峰值LED指示灯。</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4.内置24位DSP效果器，提供100种预设效果。</w:t>
            </w:r>
          </w:p>
        </w:tc>
        <w:tc>
          <w:tcPr>
            <w:tcW w:w="705"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810"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0" w:hRule="atLeast"/>
          <w:jc w:val="center"/>
        </w:trPr>
        <w:tc>
          <w:tcPr>
            <w:tcW w:w="511"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43</w:t>
            </w:r>
          </w:p>
        </w:tc>
        <w:tc>
          <w:tcPr>
            <w:tcW w:w="795"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三层安全防范宣讲体验中心</w:t>
            </w:r>
          </w:p>
        </w:tc>
        <w:tc>
          <w:tcPr>
            <w:tcW w:w="885"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数字音频媒体矩阵</w:t>
            </w:r>
          </w:p>
        </w:tc>
        <w:tc>
          <w:tcPr>
            <w:tcW w:w="6225"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1.输入每通道：支持4、8、12路平衡式线路输入选择，采用标准卡侬接口，平衡接法。 </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2.输出每通道：支持4、8、12路平衡式线路输出选择，采用标准卡侬接口，平衡接法。</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3.支持FIR滤波器。</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4.输入通道支持前级放大、信号发生器、扩展器、压缩器、5段参量均衡、AM自动混音功能、AFC自适应反馈消除、AEC回声消除、ANC噪声消除。</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5.输出通道支持31段图示均衡器、延时器、分频器、高低通滤波器、限幅器。</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6.支持24bit/48KHz的声音，支持输入通道48V幻象供电。</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7.支持通过ipad或iPhone或安卓手机APP软件进行操作控制、切换8个不同场景。面板具备USB接口，支持多媒体存储，可进行播放或存储录播。</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8.配置双向RS-232接口，可用于控制外部设备；配置RS-485接口，可实现自动摄像跟踪功能。配置8通道可编程GPIO控制接口（可自定义输入输出）。</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9.支持断电自动保护记忆功能。支持通道拷贝、粘贴、联控功能。支持通过浏览器访问设备，下载自带管理控制软件；可工作在XP/Windows7、8、10等系统环境下。</w:t>
            </w:r>
          </w:p>
        </w:tc>
        <w:tc>
          <w:tcPr>
            <w:tcW w:w="705"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810"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0" w:hRule="atLeast"/>
          <w:jc w:val="center"/>
        </w:trPr>
        <w:tc>
          <w:tcPr>
            <w:tcW w:w="511"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44</w:t>
            </w:r>
          </w:p>
        </w:tc>
        <w:tc>
          <w:tcPr>
            <w:tcW w:w="795"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三层安全防范宣讲体验中心</w:t>
            </w:r>
          </w:p>
        </w:tc>
        <w:tc>
          <w:tcPr>
            <w:tcW w:w="885"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物联网电源管理器</w:t>
            </w:r>
          </w:p>
        </w:tc>
        <w:tc>
          <w:tcPr>
            <w:tcW w:w="6225"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1.设有电源锁，支持主从机设置，通过主设备电源锁可一键开启或关闭所有从设备。</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2.提供智能化电源控制管理，设置定时任务。支持顺序打开或关闭电源功能，支持设置电源的开关时序间隔。</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3.具备≥8路电源输出插座，其中≥4路10A的、≥4路16A的插座规格，总电流达30A。支持实时监控插座功率。</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4.采用≥2.2英寸LCD显示屏，可显示温度信息，实时输入电压信息、时间信息、IP信息，定时任务信息等。</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5.支持PC客户端软件管理，支持三层网络协议，支持跨网关控制和管理。</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6.支持对每一路电源输出进行定时编程，实现全自动无人值守的电源管理。</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7.支持离线模式，本地自带定时程序，内置高精度时钟，在脱离服务器时，也能保证定时任务按时执行。</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8.具备≥2个10M/100M网口，≥2路RS485接口、≥1路外接传感器供电接口。</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9.带USB供电接口可以提供照明灯供电。</w:t>
            </w:r>
          </w:p>
        </w:tc>
        <w:tc>
          <w:tcPr>
            <w:tcW w:w="705"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810"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11"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45</w:t>
            </w:r>
          </w:p>
        </w:tc>
        <w:tc>
          <w:tcPr>
            <w:tcW w:w="795"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二层警民互动中心</w:t>
            </w:r>
          </w:p>
        </w:tc>
        <w:tc>
          <w:tcPr>
            <w:tcW w:w="885"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专业会议吸顶音箱</w:t>
            </w:r>
          </w:p>
        </w:tc>
        <w:tc>
          <w:tcPr>
            <w:tcW w:w="6225"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1、定压模式：100V/70V；</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2、定阻模式：8Ω；</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3、额定功率：40W；</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4、声压级：≥91dB；</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5、最大声压级：≥107dB；</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 xml:space="preserve">6、频率响应：≥60-20KHz；          </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7、覆盖角度:120°*120°</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8、喇叭单元：低音8"，高音1" 两分频同轴单元；</w:t>
            </w:r>
          </w:p>
        </w:tc>
        <w:tc>
          <w:tcPr>
            <w:tcW w:w="705"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w:t>
            </w:r>
          </w:p>
        </w:tc>
        <w:tc>
          <w:tcPr>
            <w:tcW w:w="810"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0" w:hRule="atLeast"/>
          <w:jc w:val="center"/>
        </w:trPr>
        <w:tc>
          <w:tcPr>
            <w:tcW w:w="511"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46</w:t>
            </w:r>
          </w:p>
        </w:tc>
        <w:tc>
          <w:tcPr>
            <w:tcW w:w="795"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二层警民互动中心</w:t>
            </w:r>
          </w:p>
        </w:tc>
        <w:tc>
          <w:tcPr>
            <w:tcW w:w="885"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专业数字功放</w:t>
            </w:r>
          </w:p>
        </w:tc>
        <w:tc>
          <w:tcPr>
            <w:tcW w:w="6225"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1.全铝合金面板</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2.提供立体声、桥接、并联三种工作模式可选</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3.前面板带有精确的音量旋钮控制，并具有故障、削峰、信号和电源指示灯</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4.带延时启动系统，能有效防止开机浪涌，保护音箱设备</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5.带智能导风系统，风机会随机内的温度自动升高而加速排热</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6.带直流保护、过载保护、短路保护、过热保护、软启动、失真限幅输出等</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7.立体声输出：≧2x200W/8Ω   ≧2x350W/4Ω</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8.桥接输出：≧600W/8Ω</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9.频率响应：20Hz～20KHz(±1dB)</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10.输入灵敏度：0.775V</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11.谐波失真：&lt;0.1% (1KHz,8Ω)</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12.信噪比：≥100dB(A计权)</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13.转换速率：25V/μS</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 xml:space="preserve">14.输入阻抗：平衡20KΩ/不平衡10KΩ </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15.阻尼系数：≥300(1KHz,8Ω)</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16.通道隔离度：60dB@8Ω 1KHz</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17.输入插座：2xXLR输入、2xXLR输出</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18.输出插座：2xSpeakon、2x接线柱</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19.工作电源：AC 190-220V~50/60Hz</w:t>
            </w:r>
          </w:p>
        </w:tc>
        <w:tc>
          <w:tcPr>
            <w:tcW w:w="705"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810"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11"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47</w:t>
            </w:r>
          </w:p>
        </w:tc>
        <w:tc>
          <w:tcPr>
            <w:tcW w:w="795"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二层警民互动中心</w:t>
            </w:r>
          </w:p>
        </w:tc>
        <w:tc>
          <w:tcPr>
            <w:tcW w:w="885"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调音台</w:t>
            </w:r>
          </w:p>
        </w:tc>
        <w:tc>
          <w:tcPr>
            <w:tcW w:w="6225"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1、具有不少于8路输入，2路立体声输入；</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2、内置USB声卡，可连接电脑进行播放或录音；</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3、支持蓝牙无线连接；</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4、内置专业DSP数字效果器，具有双99种DSP效果；</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5、具有不少于2路主输出，4路编组输出，4路AUX输出；</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6、输入通道个有四段均衡；</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7、主输出具有双七段图示均衡；</w:t>
            </w:r>
          </w:p>
        </w:tc>
        <w:tc>
          <w:tcPr>
            <w:tcW w:w="705"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810"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11"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48</w:t>
            </w:r>
          </w:p>
        </w:tc>
        <w:tc>
          <w:tcPr>
            <w:tcW w:w="795"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二层警民互动中心</w:t>
            </w:r>
          </w:p>
        </w:tc>
        <w:tc>
          <w:tcPr>
            <w:tcW w:w="885"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数字音频媒体矩阵</w:t>
            </w:r>
          </w:p>
        </w:tc>
        <w:tc>
          <w:tcPr>
            <w:tcW w:w="6225"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1、不少于8路平衡/线路输入，8路平衡/线路输出，8*8全功能矩阵混音；</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2、采用ADI SHARC处理器芯片作为运算核心，专业级的数字音频算法；</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3、采用DSP音频处理技术，内置不少于8通道自动混音台，自适应反馈抑制（AFC），噪声抑制(ANC)，自适应回声消除(AEC)，自动增益（AGC），闪避器等；</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4、具有噪声增益补偿功能，可根据现场噪声值大小自动调整语音输出音量大小（提供噪声增益补偿界面截图，加盖厂家鲜章）；</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5、全模块化、全开放式功能架构，用户可根据需求，自定义每路输入输出通道功能；</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6、可自定义终端用户操作界面，支持将多台设备管理（如音量加减、静音、预设等）编辑到一个界面内，真正实现多设备的统一管理；</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7、可实时监控显示设备当前CPU及内存运行状态；</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8、可通过本机的UDP、RS232、RS485控制第三方设备；</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9、支持输入输出通道拷贝、粘贴、联控、分组功能；</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10、输入每通道可调：前级放大、+48V幻象供电、反相、信号发生器、扩展器、压缩器、自动增益、延时器、5/8/12段参量均衡、10/15/31段图示均衡、8/12/16段反馈抑制、闪避器、噪声门、噪声增益补偿；</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11、输出每通道可调：高低通滤波器、5/8/12段参量均衡、10/15/31段图示均衡、延时器、反相、限幅器、最大输出电平调节；</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12、内置USB声卡，支持音频录制和电脑音频播放；</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13、同一界面内可添加多台设备，无需断开连接，快速切换，方便实时管理多台设备；</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14、内置自动摄像跟踪功能，支持视像联动控制；</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15、开放的RS-232、UDP协议，UDP端口可设定，实现第三方控制；</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16、内置中控命令生成器，可查看软件控制代码；</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17、支持16组场景预设功能，可通过UDP、RS-232协议调用；</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18、不少于8组GPIO可编程控制接口，可自定义输入输出；</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19、带断电自动保护记忆功能；</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20、支持手机、平板控制与电脑控制，支持windows、iOS系统；</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21、可选配墙面控制面板，支持软件自定义功能编辑；</w:t>
            </w:r>
          </w:p>
        </w:tc>
        <w:tc>
          <w:tcPr>
            <w:tcW w:w="705"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810"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0" w:hRule="atLeast"/>
          <w:jc w:val="center"/>
        </w:trPr>
        <w:tc>
          <w:tcPr>
            <w:tcW w:w="511"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49</w:t>
            </w:r>
          </w:p>
        </w:tc>
        <w:tc>
          <w:tcPr>
            <w:tcW w:w="795"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二层警民互动中心</w:t>
            </w:r>
          </w:p>
        </w:tc>
        <w:tc>
          <w:tcPr>
            <w:tcW w:w="885"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电源时序器</w:t>
            </w:r>
          </w:p>
        </w:tc>
        <w:tc>
          <w:tcPr>
            <w:tcW w:w="6225"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1、8路电源时序器，采用多功能一体化设计，1U机箱</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2、设备级联接口采用RJ45网头设计，通过网钳制作网线即可。</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3、支持设备多台级联</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4、工作电压：AC220V/50~60HZ</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5、可控路数：8路</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6、外部控制：标准RS232/RS485串口控制</w:t>
            </w:r>
          </w:p>
        </w:tc>
        <w:tc>
          <w:tcPr>
            <w:tcW w:w="705"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810"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11"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50</w:t>
            </w:r>
          </w:p>
        </w:tc>
        <w:tc>
          <w:tcPr>
            <w:tcW w:w="795"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二层警民互动中心</w:t>
            </w:r>
          </w:p>
        </w:tc>
        <w:tc>
          <w:tcPr>
            <w:tcW w:w="885"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无线话筒</w:t>
            </w:r>
          </w:p>
        </w:tc>
        <w:tc>
          <w:tcPr>
            <w:tcW w:w="6225"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1、一拖二无线手持话筒，支持混合和独立输出；</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2、具有LCD显示屏，可显示RF和AF信号强度，频率，频率组/频道等工作状态；</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3、支持红外线数据自动同步（SYNC）， 能快速将接收机频率同步到发射器上；</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4、支持≥200个调谐频点可选；</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5、使用距离理想环境不低于60m，复杂环境使用距离不低于40m；</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6、频率范围：≥640MHz-690MHz；</w:t>
            </w:r>
          </w:p>
        </w:tc>
        <w:tc>
          <w:tcPr>
            <w:tcW w:w="705"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810"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11"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51</w:t>
            </w:r>
          </w:p>
        </w:tc>
        <w:tc>
          <w:tcPr>
            <w:tcW w:w="795"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一层勤务指挥中心</w:t>
            </w:r>
          </w:p>
        </w:tc>
        <w:tc>
          <w:tcPr>
            <w:tcW w:w="885"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会议专用麦克风</w:t>
            </w:r>
          </w:p>
        </w:tc>
        <w:tc>
          <w:tcPr>
            <w:tcW w:w="6225"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1、带LED轻触开关；</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2、话筒红色光环电源指示灯环；</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3、换能方式：电容式；</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4、指向性：超心型指向；</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5、频率响应：≥50Hz-16KHz；</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6、灵敏度：≥-47dB±3dB；</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7、供电电压：DC3V/幻像48V；</w:t>
            </w:r>
          </w:p>
        </w:tc>
        <w:tc>
          <w:tcPr>
            <w:tcW w:w="705"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21</w:t>
            </w:r>
          </w:p>
        </w:tc>
        <w:tc>
          <w:tcPr>
            <w:tcW w:w="810"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0" w:hRule="atLeast"/>
          <w:jc w:val="center"/>
        </w:trPr>
        <w:tc>
          <w:tcPr>
            <w:tcW w:w="511"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52</w:t>
            </w:r>
          </w:p>
        </w:tc>
        <w:tc>
          <w:tcPr>
            <w:tcW w:w="795"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一层勤务指挥中心</w:t>
            </w:r>
          </w:p>
        </w:tc>
        <w:tc>
          <w:tcPr>
            <w:tcW w:w="885"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混音器</w:t>
            </w:r>
          </w:p>
        </w:tc>
        <w:tc>
          <w:tcPr>
            <w:tcW w:w="6225"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1、8通道智能混音,每个通道音量独立调整；</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2、不少于8路话筒信号输入，自动开启只有信号输入的声门，动作电平自动调整；</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3、每路可设定为优先发言通道功能；</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4、非优先发言的通道电平自动衰减可设定20dB/40dB；</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5、2路莲花头端口辅助音频输入输出；</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6、+48V幻像电源选择开关，适应多种类话筒应用需求；</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7、RS-232通讯端口可连接外部中控或外部控制器开启或关闭任意一路话筒；</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8、NOMA功能：自动调整输出电平，在多台扩展使用是，可防止因系统整体增益上升产生的啸叫；</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9、15针外部控制输出接口可连接视像跟踪解码器组成视频自动追踪会议系统；</w:t>
            </w:r>
          </w:p>
        </w:tc>
        <w:tc>
          <w:tcPr>
            <w:tcW w:w="705"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w:t>
            </w:r>
          </w:p>
        </w:tc>
        <w:tc>
          <w:tcPr>
            <w:tcW w:w="810"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11"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53</w:t>
            </w:r>
          </w:p>
        </w:tc>
        <w:tc>
          <w:tcPr>
            <w:tcW w:w="795"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一层勤务指挥中心</w:t>
            </w:r>
          </w:p>
        </w:tc>
        <w:tc>
          <w:tcPr>
            <w:tcW w:w="885"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反馈抑制器</w:t>
            </w:r>
          </w:p>
        </w:tc>
        <w:tc>
          <w:tcPr>
            <w:tcW w:w="6225"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1、双通道全自动高速数字反馈抑制器；</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2、自适应全自动抑制啸叫动态滤波技术；</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3、全自动式陷波啸叫寻找与抑制方式；</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4、每通道24个反馈抑制频点选择，具有led灯可显示啸叫点数量；</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5、96KHz采样频率，32-bit DSP处理器，24-bit A/D及D/A转换；</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6、可切换工作模式：直通、反馈抑制；</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 xml:space="preserve">7、可一键清除找到的啸叫点及一键保存/清除滤波器设置； </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8、每通道提供压缩、限幅、噪声门、功能设置；</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9、具有LCD显示屏，可显示功能设定，可提供6段LED显示输出电平；</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10、具有不少于30组预存设置功能；</w:t>
            </w:r>
          </w:p>
        </w:tc>
        <w:tc>
          <w:tcPr>
            <w:tcW w:w="705"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w:t>
            </w:r>
          </w:p>
        </w:tc>
        <w:tc>
          <w:tcPr>
            <w:tcW w:w="810"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0" w:hRule="atLeast"/>
          <w:jc w:val="center"/>
        </w:trPr>
        <w:tc>
          <w:tcPr>
            <w:tcW w:w="511"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54</w:t>
            </w:r>
          </w:p>
        </w:tc>
        <w:tc>
          <w:tcPr>
            <w:tcW w:w="795"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一层勤务指挥中心</w:t>
            </w:r>
          </w:p>
        </w:tc>
        <w:tc>
          <w:tcPr>
            <w:tcW w:w="885"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全数字会议主机</w:t>
            </w:r>
          </w:p>
        </w:tc>
        <w:tc>
          <w:tcPr>
            <w:tcW w:w="6225"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1、主机菜单全中文液晶屏显示；</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2、主机分4路输出，可接不少于100支单元，支持连接不少于12支主席单元，扩展后可接不少于250支单元；</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3、主机支持单元热插拨操作；</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4、支持自动编地址与手动编地址两种方式；</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5、双供电技术，任意一路延长线可接不少于40只单元；</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6、支持主席专有、普通讨论、自动模式、全开模式、先进先出、后进先出多种会议模式；</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7、主机发言人数可任意设置1－12支之间；</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1.支持不少于8路HDMI信号输入，8路HDMI信号输出</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2.支持4K@60Hz分辨率，向下兼容1080P@60Hz分辨率</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3.支持4:4:4数字无损信号采集，具有超高色彩还原</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4.支持HDMI 2.0、HDCP 2.2协议</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5.带LCD液晶屏，可同步显示实时连接状态、切换状态、HDCP状态和输出分辨率</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 xml:space="preserve">6.具有掉电记忆功能及断电现场保护功能 </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7.具有长线输入自动均衡补偿功能</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8.具有 RS-232、IR、TCP/IP接口，可通过面板、遥控器、软件远程网络控制</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9.支持国际通用输入电源，支持100V-240V电压下运行</w:t>
            </w:r>
          </w:p>
        </w:tc>
        <w:tc>
          <w:tcPr>
            <w:tcW w:w="705"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810"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11"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55</w:t>
            </w:r>
          </w:p>
        </w:tc>
        <w:tc>
          <w:tcPr>
            <w:tcW w:w="795"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一层勤务指挥中心</w:t>
            </w:r>
          </w:p>
        </w:tc>
        <w:tc>
          <w:tcPr>
            <w:tcW w:w="885"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会议发言主席单元</w:t>
            </w:r>
          </w:p>
        </w:tc>
        <w:tc>
          <w:tcPr>
            <w:tcW w:w="6225"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1、便携式主席发言单元，触摸开关设计</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2、超心型指向的电容话筒</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3、咪杆带有红色指示灯环，同时话筒触摸按键采用红绿双色设计，显示话筒的工作状态</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4、OLED液晶显示屏，显示当前话筒的参数状态</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5、咪杆双鹅颈设计，可自由调整话筒指向角度</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6、单元具有手动和声控开启两种开启方式选择</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7、主席单元具有优先功能，主席单元优先后，代表单元具有手动恢复和自动恢复两种模式可选</w:t>
            </w:r>
          </w:p>
        </w:tc>
        <w:tc>
          <w:tcPr>
            <w:tcW w:w="705"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810"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0" w:hRule="atLeast"/>
          <w:jc w:val="center"/>
        </w:trPr>
        <w:tc>
          <w:tcPr>
            <w:tcW w:w="511"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56</w:t>
            </w:r>
          </w:p>
        </w:tc>
        <w:tc>
          <w:tcPr>
            <w:tcW w:w="795"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一层勤务指挥中心</w:t>
            </w:r>
          </w:p>
        </w:tc>
        <w:tc>
          <w:tcPr>
            <w:tcW w:w="885"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会议发言列席单元</w:t>
            </w:r>
          </w:p>
        </w:tc>
        <w:tc>
          <w:tcPr>
            <w:tcW w:w="6225"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1、便携式代表发言单元，触摸开关设计</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2、超心型指向的电容话筒</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3、咪杆带有红色指示灯环，同时话筒触摸按键采用红绿双色设计，显示话筒的工作状态</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4、OLED液晶显示屏，显示当前话筒的参数状态</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5、咪杆采用双鹅颈设计，可自由调整话筒指向角度</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6、单元具有手动和声控开启两种开启方式选择</w:t>
            </w:r>
          </w:p>
        </w:tc>
        <w:tc>
          <w:tcPr>
            <w:tcW w:w="705"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7</w:t>
            </w:r>
          </w:p>
        </w:tc>
        <w:tc>
          <w:tcPr>
            <w:tcW w:w="810"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11"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57</w:t>
            </w:r>
          </w:p>
        </w:tc>
        <w:tc>
          <w:tcPr>
            <w:tcW w:w="795"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一层勤务指挥中心</w:t>
            </w:r>
          </w:p>
        </w:tc>
        <w:tc>
          <w:tcPr>
            <w:tcW w:w="885"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话筒连接器</w:t>
            </w:r>
          </w:p>
        </w:tc>
        <w:tc>
          <w:tcPr>
            <w:tcW w:w="6225"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配套话筒</w:t>
            </w:r>
          </w:p>
        </w:tc>
        <w:tc>
          <w:tcPr>
            <w:tcW w:w="705"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w:t>
            </w:r>
          </w:p>
        </w:tc>
        <w:tc>
          <w:tcPr>
            <w:tcW w:w="810"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0" w:hRule="atLeast"/>
          <w:jc w:val="center"/>
        </w:trPr>
        <w:tc>
          <w:tcPr>
            <w:tcW w:w="511"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58</w:t>
            </w:r>
          </w:p>
        </w:tc>
        <w:tc>
          <w:tcPr>
            <w:tcW w:w="795"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一层勤务指挥中心</w:t>
            </w:r>
          </w:p>
        </w:tc>
        <w:tc>
          <w:tcPr>
            <w:tcW w:w="885"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会议专用延长线</w:t>
            </w:r>
          </w:p>
        </w:tc>
        <w:tc>
          <w:tcPr>
            <w:tcW w:w="6225"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会议系统专业航空锁插头8芯10米长成品线,带一公一母接口</w:t>
            </w:r>
          </w:p>
        </w:tc>
        <w:tc>
          <w:tcPr>
            <w:tcW w:w="705"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810"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11"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59</w:t>
            </w:r>
          </w:p>
        </w:tc>
        <w:tc>
          <w:tcPr>
            <w:tcW w:w="795"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一层勤务指挥中心</w:t>
            </w:r>
          </w:p>
        </w:tc>
        <w:tc>
          <w:tcPr>
            <w:tcW w:w="885"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专业会议吸顶音箱</w:t>
            </w:r>
          </w:p>
        </w:tc>
        <w:tc>
          <w:tcPr>
            <w:tcW w:w="6225"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1、LF: 1×8″  HF: 1×1.4″；</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2、频率响应：150-20KHz；</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3、灵  敏 度：88±3dB；</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4、最大声压级：102dB</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5、额定功率：60W；</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6、面 板：ABS；</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7、后 壳：铝；</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8、阻 抗：8Ω；</w:t>
            </w:r>
          </w:p>
        </w:tc>
        <w:tc>
          <w:tcPr>
            <w:tcW w:w="705"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12</w:t>
            </w:r>
          </w:p>
        </w:tc>
        <w:tc>
          <w:tcPr>
            <w:tcW w:w="810"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0" w:hRule="atLeast"/>
          <w:jc w:val="center"/>
        </w:trPr>
        <w:tc>
          <w:tcPr>
            <w:tcW w:w="511"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60</w:t>
            </w:r>
          </w:p>
        </w:tc>
        <w:tc>
          <w:tcPr>
            <w:tcW w:w="795"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一层勤务指挥中心</w:t>
            </w:r>
          </w:p>
        </w:tc>
        <w:tc>
          <w:tcPr>
            <w:tcW w:w="885"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专业数字功放</w:t>
            </w:r>
          </w:p>
        </w:tc>
        <w:tc>
          <w:tcPr>
            <w:tcW w:w="6225"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1、8Ω额定功率2*300W   4Ω额定功率2*500W   桥接8Ω900W</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2、通道数：2CH；</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3、谐波失真+噪声（1kHz,-10dB,4ohms) ：&lt;0.1%；</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4、频率响应：15Hz-20kHz: ±0.1dB (1W/8Ω)；</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5、输入阻抗：平衡20K ohm 非平衡 10K Ohm度:0.775V；</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6、信噪比：≥100dB；</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7、阻尼系数:（350:1,1Khz 8ohms）；</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8、转换速率：28V/US；</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9、输出级：Class-D；</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10、LED指示灯：电源/信号/失真/削波；</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11、输入连接器：平衡卡侬公母座；</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12、输出连接器：SPEAKON(可以定制）,接线柱；</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13、散热系统：双变速风扇，从前到后排风；</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14、保护功能：过热，短路，直流输出；</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15、电源要求：AC220V (可以定制AC110V)。</w:t>
            </w:r>
          </w:p>
        </w:tc>
        <w:tc>
          <w:tcPr>
            <w:tcW w:w="705"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w:t>
            </w:r>
          </w:p>
        </w:tc>
        <w:tc>
          <w:tcPr>
            <w:tcW w:w="810"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11"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61</w:t>
            </w:r>
          </w:p>
        </w:tc>
        <w:tc>
          <w:tcPr>
            <w:tcW w:w="795"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一层勤务指挥中心</w:t>
            </w:r>
          </w:p>
        </w:tc>
        <w:tc>
          <w:tcPr>
            <w:tcW w:w="885"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数字音频媒体矩阵</w:t>
            </w:r>
          </w:p>
        </w:tc>
        <w:tc>
          <w:tcPr>
            <w:tcW w:w="6225"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1、32位500MHz工业级嵌入式处理器，512M内存；</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2、96KHz/24bit数据处理，可达到110dB动态范围和高质数的声音品质</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3、1.8英寸彩色LCD显示屏，金属拨轮式操控旋钮；</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4、具备24位数模的转换，96KHz采样频率；</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5、具备8通道平衡输入音频通道；</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6、具备8通道支持MIC输入；</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7、每路MIC输入支持48V幻象供电；</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8、具备8个平衡音频输出通道；</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9、具备8通道独立的自适应反馈抑制器；</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10、具备8通道自动混音；</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11、输入31段PEQ可调，输出10段PEQ可调、增益（Gaina）电平范围：+-18dB,Q值：0.4-128，每段均支持直通（Bypass）；</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12、内置信号发生器：正弦波信号、粉红噪声、白噪声；</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13、输入通道的噪声门阀值、压缩器启动时间、恢复时间连续可调。拐点0-30连续可调，起控电平0-21dB连续可调，起控时间0-2895ms连续可调，释放时间0-2895ms连续可调；</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14、具备摄像跟踪控制功能，通过预设位可实现自动摄像联动功能；</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15、使用嵌入式控制面板可对系统进行分区预设和远程音量大小控制；</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16、支持21个场景保存，支持12dB／18dB／24dB／48dB斜率，180相应；</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17、支持GPIO口控制，支持网口，支持232／485管理控制；</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18、采用三级防静电、防雷保护技术。</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19、音频输入：8路平衡输入；</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20、音频输出：8路平衡线路电平，凤凰接口；</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21、幻象电源（每通道）：DC 48V；</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22、频率响应：20Hz—20KHz(+/-0.5dB)；</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23、通道隔离度：100dB@1KHz,+20dBu；</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24、采样率：96KHz；</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25、DSP 频率：80MHz；</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26、输入量化：48KHz/24bit；</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27、输出量化：48KHz/24bit</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28、总谐波失真THD+N：≤ 0.005%@1KHz,+4dBu ；</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29、等效输入噪声 EIN：≤ -128dB（20Hz—20KHz,A计权）；</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30、工作温度：-10---+40℃；</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31、输入电压：AC110V—220V,50Hz/60Hz。</w:t>
            </w:r>
          </w:p>
        </w:tc>
        <w:tc>
          <w:tcPr>
            <w:tcW w:w="705"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810"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0" w:hRule="atLeast"/>
          <w:jc w:val="center"/>
        </w:trPr>
        <w:tc>
          <w:tcPr>
            <w:tcW w:w="511"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62</w:t>
            </w:r>
          </w:p>
        </w:tc>
        <w:tc>
          <w:tcPr>
            <w:tcW w:w="795"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一层勤务指挥中心</w:t>
            </w:r>
          </w:p>
        </w:tc>
        <w:tc>
          <w:tcPr>
            <w:tcW w:w="885"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调音台</w:t>
            </w:r>
          </w:p>
        </w:tc>
        <w:tc>
          <w:tcPr>
            <w:tcW w:w="6225"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1、输入方式：8路话筒卡龙母，4路莲花;</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2、输出方式：主声道双声道平衡、6.35插座;</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3、单声道输入配备高品质话筒放大器;</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4、功能：高中低音调节，话筒48V供电选择，录音输出，2编组输出，2路辅助输出，数码混响;</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5、备有录音输入输出功能;</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6、最大输出电平:19dBm(1KHz,THD=0.5%);</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7、剩余噪声：-75dB;</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8、信噪比：71dB;</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9、等效噪声源输入电动势：-12dBm;</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10、均衡： 低频：80Hz±15dB</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 xml:space="preserve">         中频2.5KHz±15dB</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 xml:space="preserve">         高频：12KHz±15dB</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11、增益控制：单声道：-55dB～0 dB。立体声：-10dB～0dB;</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12、频率响应：80Hz～15KHz（+1dB,-3dB);</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13、总谐波失真+噪声：≤0.05%（1KHz，0.775V）;</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输入电压： 220V；</w:t>
            </w:r>
          </w:p>
        </w:tc>
        <w:tc>
          <w:tcPr>
            <w:tcW w:w="705"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810"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11"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63</w:t>
            </w:r>
          </w:p>
        </w:tc>
        <w:tc>
          <w:tcPr>
            <w:tcW w:w="795"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一层勤务指挥中心</w:t>
            </w:r>
          </w:p>
        </w:tc>
        <w:tc>
          <w:tcPr>
            <w:tcW w:w="885"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语音采集流媒体管理器</w:t>
            </w:r>
          </w:p>
        </w:tc>
        <w:tc>
          <w:tcPr>
            <w:tcW w:w="6225"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1.屏幕支持浮窗字幕的形式展示语音转写文本内容，同时设置大屏字幕字号，字幕位置可支持上停靠和下停靠，同时支持显示样式有单行、双行、三行、全屏等四种样式。</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2.支持自定义已转写文字和未转写文字的字体颜色和字体的透明度。</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3.支持可自定义Logo图片，支持自定义Logo的显示与隐藏。</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4.支持字幕背景颜色和背景颜色的透明度调节；支持自定义全屏投屏背景颜色或背景图更换，支持自定义全屏背景的透明度设置。</w:t>
            </w:r>
          </w:p>
        </w:tc>
        <w:tc>
          <w:tcPr>
            <w:tcW w:w="705"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810"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11"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64</w:t>
            </w:r>
          </w:p>
        </w:tc>
        <w:tc>
          <w:tcPr>
            <w:tcW w:w="795"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一层勤务指挥中心</w:t>
            </w:r>
          </w:p>
        </w:tc>
        <w:tc>
          <w:tcPr>
            <w:tcW w:w="885"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人工智能语音识别转换端软件</w:t>
            </w:r>
          </w:p>
        </w:tc>
        <w:tc>
          <w:tcPr>
            <w:tcW w:w="6225"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1.音频导入转写：该功能可对历史音频进行整理，系统支持将音频数据文件导入系统进行快速转写；转写结果与音频可实现音字对应，支持对转写结果导出进行编辑整理。系统支持最多每次上传50条音频，总大小不超过 5GB，单条数据时长小于18小时；目前系统支持多种音频格式，如： mp3、wav、wma、mp4、avi、pcm、m4a。 </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2.支持自动角色分离：当会议室内已有的麦克风设备能够提供多路信号输出的情况下，结合数字会议主机和音频编码器即可实现硬件角色分离（最大支持4000个角色）。在客户端实时转写内容前会自动显示对应的角色名；同时也支持手动角色分离：可在参会人员列表中对某些角色进行手动绑定，按F1-F12进行手动切换发言角色。</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3.会议录音：录制会议现场音频，方便记录员回听录音。可对照转写文本回听录音，方便追根溯源，提高会议纪要书写效率。</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4.播放器、时间轴及文本区互相同步定位。更方便找到录音时间对应的文本对照修改。</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5.克隆会议：支持克隆会议功能，克隆参会人员、会议角色设置、投影配置，极大地提高开会效率。</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6.人员管理：将参会人员设为默认人员，无需每场会议重复添加。支持批量导入、导出人员。</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7.组织架构：三级组织架构功能，自定义单位、部门、职务。选择参会人员可按照组织架构排列选择。</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8.导出文本：分为导出实时语音转写文本与音频导入转写文件文本，导出编辑后的文本、重点标记文本、全程音频文件或某一角色的转写文本，按角色导出则每个角色为单独的文件。</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9.下载音频：会议录音与音频文件支持下载音频格式，分别为WAV、MP3两种格式，方便会后进行聆听。</w:t>
            </w:r>
          </w:p>
        </w:tc>
        <w:tc>
          <w:tcPr>
            <w:tcW w:w="705"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810"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11"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65</w:t>
            </w:r>
          </w:p>
        </w:tc>
        <w:tc>
          <w:tcPr>
            <w:tcW w:w="795"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一层勤务指挥中心</w:t>
            </w:r>
          </w:p>
        </w:tc>
        <w:tc>
          <w:tcPr>
            <w:tcW w:w="885"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物联网电源管理器</w:t>
            </w:r>
          </w:p>
        </w:tc>
        <w:tc>
          <w:tcPr>
            <w:tcW w:w="6225"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1、8路电源时序器，采用多功能一体化设计，1U机箱</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2、设备级联接口采用RJ45网头设计，通过网钳制作网线即可。</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3、支持设备多台级联</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4、工作电压：AC220V/50~60HZ</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5、可控路数：8路</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6、外部控制：标准RS232/RS485串口控制</w:t>
            </w:r>
          </w:p>
        </w:tc>
        <w:tc>
          <w:tcPr>
            <w:tcW w:w="705"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810"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0" w:hRule="atLeast"/>
          <w:jc w:val="center"/>
        </w:trPr>
        <w:tc>
          <w:tcPr>
            <w:tcW w:w="511"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66</w:t>
            </w:r>
          </w:p>
        </w:tc>
        <w:tc>
          <w:tcPr>
            <w:tcW w:w="795"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一层勤务指挥中心</w:t>
            </w:r>
          </w:p>
        </w:tc>
        <w:tc>
          <w:tcPr>
            <w:tcW w:w="885"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中央控制主机</w:t>
            </w:r>
          </w:p>
        </w:tc>
        <w:tc>
          <w:tcPr>
            <w:tcW w:w="6225"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1、双嵌入式高速处理器并行运算，采用高速FLASH，处理响应速度快；</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2、可视化交互式软件编程，编程界面所见即所得，不需学习专业知识即可完成项目编程；</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3、支持多种控制方式，可用Andriod、鸿蒙、IOS、WINDOWS等多种系统控制终端，多台控制终端可同时使用，互为备份；</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4、支持Web网页方式控制，用户可通过访问网页进行控制，网页控制功能支持自由编辑，操作简单快捷，支持账号密码登录管控；</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5、具有8路RS-485接口，16路红外接口，8路I/O接口，8路继电器接口，1路NET接口；</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6、主机前面板带有不少于8个可自定义功能的快速按键；</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7、具有1路TF卡槽，支持数据备份等功能；</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8、前面板支持定制4.3寸高清触摸屏和USB编程接口，界面支持任意自定义编辑；</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9、支持网络预览，带1路HDMI信号输入，输入视频可在软件上视窗显示，用于预览矩阵输入信号及摄像头信号等；</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10、软件界面支持嵌入网页，嵌入视频播放组件，可播放常见种类的视频文件，也可显示 RTSP\RTMP\HTTP等视频流图像；</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11、支持串口转发功能，命令代码可以从某串口输入，也设定同步从其它串口输出；</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12、支持电脑脚本语言编写，支持下载脚本程序，可实现更高级的逻辑控制功能；</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13、支持TCP/UDP控制方式，可同时连接不低于100多台被控设备，也可分时连接上万台网络受控设备，支持主机网络级联；</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14、内置万年历功能，可让系统在指定时间自动执行控制操作；</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15、支持在操控界面嵌入网页，嵌入视频播放组件，可播放常见种类的视频文件，也可以显示RTSP\RTMP\HTTP视频流图像；</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16、支持拉杆滑块控制，通过推拉方式实现音量控制、灯光亮度调节等；</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17、IOS控制端软件通过苹果官方认证，苹果手机及平板电脑不需要破解越狱，可直接从苹果APP官网下载安装；</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18、控制终端可通过WIFI以及有线连接等方式与主机进行通信；</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19、主机自带智能红外学习功能模块，无须配置专业学习器，自动识别红外代码类型，能轻松学习超长码的空调遥控器；</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20、主机内置代码库支持导出保存到电脑上，方便日后工程维护或升级备案使用；</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21、支持一键多码控制，即一个按键可发送多条代码，也可实现按键按下和弹起时发送不同的代码；</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22、支持双向状态反馈，可显示本机及受控设备状态，支持数值实时反馈；</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23、支持多屏联动同步，每台控制终端软件自动和主机同步，保证最新开关、数值等显示状态；</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24、COM1~3接口可自定义接收触发控制代码，可接任何外部控制设备，兼容性、扩展性强；</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25、支持通过以太网络进行网络编程，远程网络维护，远程升级等，降低设备维护成本；</w:t>
            </w:r>
          </w:p>
        </w:tc>
        <w:tc>
          <w:tcPr>
            <w:tcW w:w="705"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810"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11"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67</w:t>
            </w:r>
          </w:p>
        </w:tc>
        <w:tc>
          <w:tcPr>
            <w:tcW w:w="795"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一层勤务指挥中心</w:t>
            </w:r>
          </w:p>
        </w:tc>
        <w:tc>
          <w:tcPr>
            <w:tcW w:w="885"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中央控制软件</w:t>
            </w:r>
          </w:p>
        </w:tc>
        <w:tc>
          <w:tcPr>
            <w:tcW w:w="6225"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1、包括命令库编辑软件、控制界面设计软件、红外命令学习软件、主机IP设置软件；</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2、控制界面设计软件支持各种字体一次编程，便能生成安卓、IOS和windows等多种终端的控制软件，控制界面完全相同，不需要重复编程；</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3、用户界面可自由编辑，自动生成2D、3D按键，同时可自定义图片按钮；</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4、具有自动识别字体技术，任何字体均能在界面中正确显示；</w:t>
            </w:r>
          </w:p>
        </w:tc>
        <w:tc>
          <w:tcPr>
            <w:tcW w:w="705"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810"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0" w:hRule="atLeast"/>
          <w:jc w:val="center"/>
        </w:trPr>
        <w:tc>
          <w:tcPr>
            <w:tcW w:w="511"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68</w:t>
            </w:r>
          </w:p>
        </w:tc>
        <w:tc>
          <w:tcPr>
            <w:tcW w:w="795"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一层勤务指挥中心</w:t>
            </w:r>
          </w:p>
        </w:tc>
        <w:tc>
          <w:tcPr>
            <w:tcW w:w="885"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控制平板</w:t>
            </w:r>
          </w:p>
        </w:tc>
        <w:tc>
          <w:tcPr>
            <w:tcW w:w="6225"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10.8英寸全面屏平板电脑8GB+128GB WIFI</w:t>
            </w:r>
          </w:p>
        </w:tc>
        <w:tc>
          <w:tcPr>
            <w:tcW w:w="705"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810"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0" w:hRule="atLeast"/>
          <w:jc w:val="center"/>
        </w:trPr>
        <w:tc>
          <w:tcPr>
            <w:tcW w:w="511"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69</w:t>
            </w:r>
          </w:p>
        </w:tc>
        <w:tc>
          <w:tcPr>
            <w:tcW w:w="795"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一层勤务指挥中心</w:t>
            </w:r>
          </w:p>
        </w:tc>
        <w:tc>
          <w:tcPr>
            <w:tcW w:w="885"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视频分配器</w:t>
            </w:r>
          </w:p>
        </w:tc>
        <w:tc>
          <w:tcPr>
            <w:tcW w:w="6225"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接处警终端连接显示器与视频拼接设备，1路输入信号（DP/HDMI)，≥2路输出信号（DP/HDMI)</w:t>
            </w:r>
          </w:p>
        </w:tc>
        <w:tc>
          <w:tcPr>
            <w:tcW w:w="705"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w:t>
            </w:r>
          </w:p>
        </w:tc>
        <w:tc>
          <w:tcPr>
            <w:tcW w:w="810"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11"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70</w:t>
            </w:r>
          </w:p>
        </w:tc>
        <w:tc>
          <w:tcPr>
            <w:tcW w:w="795"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一层勤务指挥中心</w:t>
            </w:r>
          </w:p>
        </w:tc>
        <w:tc>
          <w:tcPr>
            <w:tcW w:w="885"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面板式音响主机</w:t>
            </w:r>
          </w:p>
        </w:tc>
        <w:tc>
          <w:tcPr>
            <w:tcW w:w="6225"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1.具备节能开关电源与D类数字功率放大器相结合</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2.各路输入具有独立音量调节，且总音量具有高音、低音调节及音量大小控制。</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3.支持mp3/TUNER/蓝牙遥控功能，自带遥控器控制。</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4.具有USB接口和SD卡接口，集成MP3播放模块，具有自动优先播放音频功能，数码屏可显示USB当前播放的曲目。</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5.集成蓝牙模块，支持通过蓝牙手机播放音乐功能。</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6.集成TUNER模块，具有FM收音机天线端口。</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7.支持宽电压供电：180V-240V 能正常工作。</w:t>
            </w:r>
          </w:p>
        </w:tc>
        <w:tc>
          <w:tcPr>
            <w:tcW w:w="705"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w:t>
            </w:r>
          </w:p>
        </w:tc>
        <w:tc>
          <w:tcPr>
            <w:tcW w:w="810"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11"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71</w:t>
            </w:r>
          </w:p>
        </w:tc>
        <w:tc>
          <w:tcPr>
            <w:tcW w:w="795"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一层勤务指挥中心</w:t>
            </w:r>
          </w:p>
        </w:tc>
        <w:tc>
          <w:tcPr>
            <w:tcW w:w="885"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吸顶音箱</w:t>
            </w:r>
          </w:p>
        </w:tc>
        <w:tc>
          <w:tcPr>
            <w:tcW w:w="6225"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1．额定功率（100V）：1W,2W,3W</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2．额定功率（70V）：0.5W,1W,1.5W</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3．灵敏度≥88dB</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4．频率响应（-10dB）：100-16KHz</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5．喇叭单元：4"×1</w:t>
            </w:r>
          </w:p>
        </w:tc>
        <w:tc>
          <w:tcPr>
            <w:tcW w:w="705"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w:t>
            </w:r>
          </w:p>
        </w:tc>
        <w:tc>
          <w:tcPr>
            <w:tcW w:w="810"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11"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72</w:t>
            </w:r>
          </w:p>
        </w:tc>
        <w:tc>
          <w:tcPr>
            <w:tcW w:w="795"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一层勤务指挥中心</w:t>
            </w:r>
          </w:p>
        </w:tc>
        <w:tc>
          <w:tcPr>
            <w:tcW w:w="885"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电源管理器</w:t>
            </w:r>
          </w:p>
        </w:tc>
        <w:tc>
          <w:tcPr>
            <w:tcW w:w="6225"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1、主机接口不少于8路独立的强电继电器接口，每路最大承载电流不小于20A</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2、主机前面板带有不少于8个独立的控制开关，支持在紧急情况下手动控制开关</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3、支持每路独立或多路同时控制，且每路均可编程控制</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4、支持至少RS-232、RS-485两种控制方式</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5、设备支持扩展级联，级联数量可达256台</w:t>
            </w:r>
          </w:p>
        </w:tc>
        <w:tc>
          <w:tcPr>
            <w:tcW w:w="705"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810"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0" w:hRule="atLeast"/>
          <w:jc w:val="center"/>
        </w:trPr>
        <w:tc>
          <w:tcPr>
            <w:tcW w:w="511"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73</w:t>
            </w:r>
          </w:p>
        </w:tc>
        <w:tc>
          <w:tcPr>
            <w:tcW w:w="795"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合成作战指挥体系</w:t>
            </w:r>
          </w:p>
        </w:tc>
        <w:tc>
          <w:tcPr>
            <w:tcW w:w="885"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LED全彩显示屏</w:t>
            </w:r>
          </w:p>
        </w:tc>
        <w:tc>
          <w:tcPr>
            <w:tcW w:w="6225"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1）小间距LED全彩显示屏；</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2）像素间距：1.875mm；</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3）封装品牌：国产铜线；</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4）屏幕宽高比：8:9，压铸铝底壳模组；</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5）像素结构：LED表贴三合一；</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6）单元分辨率：128×144，模组尺寸（mm）：240（W）×270（H）×14（D）</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7）像素密度：284 444点/㎡ ；</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8）光学参数：显示屏亮度0-600nits，色温3200K—9300K可调，水平、垂直视角160°，亮度均匀性≥97%，色度均匀性±0.003Cx,Cy之内，最大对比度≥5000:1；刷新率：3840Hz</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9）电气参数：峰值功耗25W/块，平均功耗17W/块，供电要求110~220VAC±15%；</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10）寿命：≥10万小时，工作温度范围0—40℃，存储温度范围-10—50℃，工作湿度范围（RH）无结露10-60%，存储湿度范围（RH）无结露10-70%。</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11）功能特性：支持任意方向、任意尺寸、任意造型拼接，画面均匀一致，无黑线，实现真正无缝拼接。</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12）维护方式：磁吸，前安装，前维护</w:t>
            </w:r>
          </w:p>
        </w:tc>
        <w:tc>
          <w:tcPr>
            <w:tcW w:w="705"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15.55</w:t>
            </w:r>
          </w:p>
        </w:tc>
        <w:tc>
          <w:tcPr>
            <w:tcW w:w="810"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11"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74</w:t>
            </w:r>
          </w:p>
        </w:tc>
        <w:tc>
          <w:tcPr>
            <w:tcW w:w="795"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合成作战指挥体系</w:t>
            </w:r>
          </w:p>
        </w:tc>
        <w:tc>
          <w:tcPr>
            <w:tcW w:w="885"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LED发送卡</w:t>
            </w:r>
          </w:p>
        </w:tc>
        <w:tc>
          <w:tcPr>
            <w:tcW w:w="6225"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1)LED全彩显示屏控制器,1路DVI输入1路HDMI输入，6路网口输出</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2)带载分辨率1920x1200</w:t>
            </w:r>
          </w:p>
        </w:tc>
        <w:tc>
          <w:tcPr>
            <w:tcW w:w="705"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w:t>
            </w:r>
          </w:p>
        </w:tc>
        <w:tc>
          <w:tcPr>
            <w:tcW w:w="810"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0" w:hRule="atLeast"/>
          <w:jc w:val="center"/>
        </w:trPr>
        <w:tc>
          <w:tcPr>
            <w:tcW w:w="511"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75</w:t>
            </w:r>
          </w:p>
        </w:tc>
        <w:tc>
          <w:tcPr>
            <w:tcW w:w="795"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合成作战指挥体系</w:t>
            </w:r>
          </w:p>
        </w:tc>
        <w:tc>
          <w:tcPr>
            <w:tcW w:w="885"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多视频拼接器</w:t>
            </w:r>
          </w:p>
        </w:tc>
        <w:tc>
          <w:tcPr>
            <w:tcW w:w="6225"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基于FPGA的纯硬件图像处理设备，适用于LCD拼接屏、LED屏幕、DLP拼接屏等，拥有全新的系统构架、数据交换体系、数据处理方式和设备结构，系统带宽高，支持多路高清信号的接入和实时处理，是一款性能强大的高端图像处理设备。</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2、机箱描述：4U机箱（含主控板和电源），9个槽位（6个输入板槽位，3个输出板槽位）</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接口：支持VGA、DVI、HDMI、DP及IP源多种信号源采集；</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3、解码能力：解码板支持2路800W（2路600w或2路500W或8路1080P或16路720P或32路D1）网络信号解码上墙，且支持本地录像文件回放上墙；</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4、画面分割：单个输出口支持1/4/9/16画面分割（LED不支持9/16画面分割）；</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5、图层叠加：支持图层叠加，最大支持6个图层，其中包括一个虚拟LED图层和一个底图图层，虚拟LED字体大小及背景颜色可调，可选择LED滚动方式，底图分辨率可高达8192*8192；</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6、内置矩阵功能，可支持单个信号源开多个窗口同时显示；支持信号开窗、漫游；</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7、支持SADP自动搜索IP，重置管理员密码；</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8、支持显示墙连接调整，可以实现客户端虚拟显示墙窗口和控制器输出口任意对应；</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9、客户端提供上墙信号的预览功能，方便用户调用信号；</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10、客户端支持管理16台设备，电视墙最多可显示4个虚拟电视墙；</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12、支持ipad客户端、安卓客户端、WEB控制；</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13、机箱风扇转速根据温度自适应；</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14、整机支持3个虚拟LED</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15、支持信号源列表预览</w:t>
            </w:r>
          </w:p>
        </w:tc>
        <w:tc>
          <w:tcPr>
            <w:tcW w:w="705"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810"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0" w:hRule="atLeast"/>
          <w:jc w:val="center"/>
        </w:trPr>
        <w:tc>
          <w:tcPr>
            <w:tcW w:w="511"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76</w:t>
            </w:r>
          </w:p>
        </w:tc>
        <w:tc>
          <w:tcPr>
            <w:tcW w:w="795"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合成作战指挥体系</w:t>
            </w:r>
          </w:p>
        </w:tc>
        <w:tc>
          <w:tcPr>
            <w:tcW w:w="885"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输出板卡</w:t>
            </w:r>
          </w:p>
        </w:tc>
        <w:tc>
          <w:tcPr>
            <w:tcW w:w="6225"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HDMI输出板，4路输出，4K@30Hz ,1920*1200</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1024×768@60Hz,1024×768@75Hz,1360×768@60Hz,1400x1050@60Hz,</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1920x1200@60Hz,720P@60Hz,1080P@60Hz</w:t>
            </w:r>
          </w:p>
        </w:tc>
        <w:tc>
          <w:tcPr>
            <w:tcW w:w="705"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810"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0" w:hRule="atLeast"/>
          <w:jc w:val="center"/>
        </w:trPr>
        <w:tc>
          <w:tcPr>
            <w:tcW w:w="511"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77</w:t>
            </w:r>
          </w:p>
        </w:tc>
        <w:tc>
          <w:tcPr>
            <w:tcW w:w="795"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合成作战指挥体系</w:t>
            </w:r>
          </w:p>
        </w:tc>
        <w:tc>
          <w:tcPr>
            <w:tcW w:w="885"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输入板卡</w:t>
            </w:r>
          </w:p>
        </w:tc>
        <w:tc>
          <w:tcPr>
            <w:tcW w:w="6225"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HDMI输入板，4个HDMI接口</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1024×768@60Hz， 1024×768@75Hz， 1280×720@50Hz， 1280×720@60Hz，</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1280×1024@60Hz， 1280×1024@75Hz， 1366×768@60Hz， 1400×1050@60Hz，</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1600×1200@60Hz， 1920×1080@50Hz， 1920×1080@60Hz， 1920×1200@60Hz</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（替代DS-C10S-HI4T，302300536）</w:t>
            </w:r>
          </w:p>
        </w:tc>
        <w:tc>
          <w:tcPr>
            <w:tcW w:w="705"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810"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11"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78</w:t>
            </w:r>
          </w:p>
        </w:tc>
        <w:tc>
          <w:tcPr>
            <w:tcW w:w="795"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合成作战指挥体系</w:t>
            </w:r>
          </w:p>
        </w:tc>
        <w:tc>
          <w:tcPr>
            <w:tcW w:w="885"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控制系统</w:t>
            </w:r>
          </w:p>
        </w:tc>
        <w:tc>
          <w:tcPr>
            <w:tcW w:w="6225"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智能大屏管理平台轻量版，属于通用产品，适用于DLP/LCD/LED大屏、拼控设备以及中控设备，定位于屏幕数量小、规模小的场景使用，比如会议室、培训室等，已实现统一设备管理、内容上墙、远程操控功能</w:t>
            </w:r>
          </w:p>
        </w:tc>
        <w:tc>
          <w:tcPr>
            <w:tcW w:w="705"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810"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0" w:hRule="atLeast"/>
          <w:jc w:val="center"/>
        </w:trPr>
        <w:tc>
          <w:tcPr>
            <w:tcW w:w="511"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79</w:t>
            </w:r>
          </w:p>
        </w:tc>
        <w:tc>
          <w:tcPr>
            <w:tcW w:w="795"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合成作战指挥体系</w:t>
            </w:r>
          </w:p>
        </w:tc>
        <w:tc>
          <w:tcPr>
            <w:tcW w:w="885"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控制工作站</w:t>
            </w:r>
          </w:p>
        </w:tc>
        <w:tc>
          <w:tcPr>
            <w:tcW w:w="6225"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屏控工作站，含显示器，配置不低于I5/8G/128G+1T/2G独显</w:t>
            </w:r>
          </w:p>
        </w:tc>
        <w:tc>
          <w:tcPr>
            <w:tcW w:w="705"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810"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11"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80</w:t>
            </w:r>
          </w:p>
        </w:tc>
        <w:tc>
          <w:tcPr>
            <w:tcW w:w="795"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合成作战指挥体系</w:t>
            </w:r>
          </w:p>
        </w:tc>
        <w:tc>
          <w:tcPr>
            <w:tcW w:w="885"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配电柜（含PLC）</w:t>
            </w:r>
          </w:p>
        </w:tc>
        <w:tc>
          <w:tcPr>
            <w:tcW w:w="6225"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 类型：30KW配电柜</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2) 控制：欧姆龙PLC控制器，网络远程控制</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3）元器件：德力西断路器，施耐德接触器</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4) 输入电压：380V，三相五线</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5）输出电压：220V</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6）输出回路：6个单相回路</w:t>
            </w:r>
          </w:p>
        </w:tc>
        <w:tc>
          <w:tcPr>
            <w:tcW w:w="705"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810"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11"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81</w:t>
            </w:r>
          </w:p>
        </w:tc>
        <w:tc>
          <w:tcPr>
            <w:tcW w:w="795"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合成作战指挥体系</w:t>
            </w:r>
          </w:p>
        </w:tc>
        <w:tc>
          <w:tcPr>
            <w:tcW w:w="885"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配套线材</w:t>
            </w:r>
          </w:p>
        </w:tc>
        <w:tc>
          <w:tcPr>
            <w:tcW w:w="6225"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信号线、视频线、电源线、音视频线及相关连接件等</w:t>
            </w:r>
          </w:p>
        </w:tc>
        <w:tc>
          <w:tcPr>
            <w:tcW w:w="705"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810"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0" w:hRule="atLeast"/>
          <w:jc w:val="center"/>
        </w:trPr>
        <w:tc>
          <w:tcPr>
            <w:tcW w:w="511"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82</w:t>
            </w:r>
          </w:p>
        </w:tc>
        <w:tc>
          <w:tcPr>
            <w:tcW w:w="795"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合成作战指挥体系</w:t>
            </w:r>
          </w:p>
        </w:tc>
        <w:tc>
          <w:tcPr>
            <w:tcW w:w="885"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钢结构底座+铝型材支架</w:t>
            </w:r>
          </w:p>
        </w:tc>
        <w:tc>
          <w:tcPr>
            <w:tcW w:w="6225"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定制支架</w:t>
            </w:r>
          </w:p>
        </w:tc>
        <w:tc>
          <w:tcPr>
            <w:tcW w:w="705"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19.39</w:t>
            </w:r>
          </w:p>
        </w:tc>
        <w:tc>
          <w:tcPr>
            <w:tcW w:w="810"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11"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83</w:t>
            </w:r>
          </w:p>
        </w:tc>
        <w:tc>
          <w:tcPr>
            <w:tcW w:w="795"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会议显示系统</w:t>
            </w:r>
          </w:p>
        </w:tc>
        <w:tc>
          <w:tcPr>
            <w:tcW w:w="885"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65寸交互触摸一体机</w:t>
            </w:r>
          </w:p>
        </w:tc>
        <w:tc>
          <w:tcPr>
            <w:tcW w:w="6225"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显示参数</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刷新率：60 Hz</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像素间距：0.124(H) × 0.372(V) mm</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物理分辨率：3840 × 2160 @60 Hz</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背光源类型：DLED</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响应时间：6 ms</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色域：90% NTSC（CIE1931）（Typ.）</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色深度：10 bit</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对比度：1200：1（Typ.）</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亮度：350 cd/m²</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可视角：178°(H)/178°(V)</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触控参数</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触控响应速度：＜ 10 ms</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触摸方式：红外触控</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触摸精度：90%以上的触摸区域为 ±1 mm</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玻璃：AG顺滑玻璃</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触控点：20点</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触摸工艺：零贴合</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系统参数</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CPU：4核 A73*2+A53*2，主频1.5 GHz</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内置存储：32 GB</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内存：3 GB</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操作系统：Android 8.0</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网卡：内置百兆网卡，支持路由功能</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功能参数</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内部喇叭：2个内置16W音箱</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蓝牙：内置BLE低功耗蓝牙模块，支持5.0及以下蓝牙版本</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接口参数</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音视频输出接口：HDMI OUT 1路，最大4K@60Hz；LINE OUT 1路；</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控制接口：RS-232 1个</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数据传输接口：USB接口 2个前置接口，2个板载接口</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音视频输入接口：HDMI IN 2路，最大4K@60Hz；LINE IN 1路</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网络接口：RJ45(百兆网口) 2个</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★产品具备有效监控、预繁、降温和断电保护功能的智能温控系统。 当设备温度超过用户设罚的警告或报警温度时会进行报警提示， 避免设备过热造成损坏。（提供检测报告）</w:t>
            </w:r>
          </w:p>
        </w:tc>
        <w:tc>
          <w:tcPr>
            <w:tcW w:w="705"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w:t>
            </w:r>
          </w:p>
        </w:tc>
        <w:tc>
          <w:tcPr>
            <w:tcW w:w="810"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0" w:hRule="atLeast"/>
          <w:jc w:val="center"/>
        </w:trPr>
        <w:tc>
          <w:tcPr>
            <w:tcW w:w="511"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84</w:t>
            </w:r>
          </w:p>
        </w:tc>
        <w:tc>
          <w:tcPr>
            <w:tcW w:w="795"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会议显示系统</w:t>
            </w:r>
          </w:p>
        </w:tc>
        <w:tc>
          <w:tcPr>
            <w:tcW w:w="885"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传屏器</w:t>
            </w:r>
          </w:p>
        </w:tc>
        <w:tc>
          <w:tcPr>
            <w:tcW w:w="6225"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配置安装：免配置，免安装，自动连接，自动运行</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接口：USB接口即插即用</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支持系统： Windows7/8/10 , macOS 10以上</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分辨率：1080P 30fps</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传输延时：&lt; 200 ms</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触控回传：支持10点触摸回传（Windows 、 Mac），支持鼠标模式回传 （Windows，Mac）</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WiFi类型：2.4G/5G 双频 WiFi</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无线速率：&gt; 400 Mbps</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无线传输协议：IEEE 802.11 a/g/n/ac</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频段：2.4G&amp;5.8G</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加密：AES</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验证协议： WPA2-PSK</w:t>
            </w:r>
          </w:p>
        </w:tc>
        <w:tc>
          <w:tcPr>
            <w:tcW w:w="705"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w:t>
            </w:r>
          </w:p>
        </w:tc>
        <w:tc>
          <w:tcPr>
            <w:tcW w:w="810"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11"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85</w:t>
            </w:r>
          </w:p>
        </w:tc>
        <w:tc>
          <w:tcPr>
            <w:tcW w:w="795"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会议显示系统</w:t>
            </w:r>
          </w:p>
        </w:tc>
        <w:tc>
          <w:tcPr>
            <w:tcW w:w="885"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电容笔</w:t>
            </w:r>
          </w:p>
        </w:tc>
        <w:tc>
          <w:tcPr>
            <w:tcW w:w="6225"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基本参数</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无线接收器：USB HID</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开关机方式：笔身传感器自动识别</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笔尖压力感应级数：4096</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充电方式：USB Type-C</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供电方式：Li-on battery 120mAh/3.7V</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笔尖初始驱动压力：&lt;10g</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无线有效距离：≤6m（无遮挡）</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平均使用时间：约两周</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USB Type-C充电：5V/110mA</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支持操作系统：Windows7 SP1及以上、Android6.0及以上</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笔重：20±1g</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笔帽+无线接收器重：4g</w:t>
            </w:r>
          </w:p>
        </w:tc>
        <w:tc>
          <w:tcPr>
            <w:tcW w:w="705"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w:t>
            </w:r>
          </w:p>
        </w:tc>
        <w:tc>
          <w:tcPr>
            <w:tcW w:w="810"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11"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86</w:t>
            </w:r>
          </w:p>
        </w:tc>
        <w:tc>
          <w:tcPr>
            <w:tcW w:w="795"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会议显示系统</w:t>
            </w:r>
          </w:p>
        </w:tc>
        <w:tc>
          <w:tcPr>
            <w:tcW w:w="885"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移动支架</w:t>
            </w:r>
          </w:p>
        </w:tc>
        <w:tc>
          <w:tcPr>
            <w:tcW w:w="6225"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支架最大承重150kg，承载机型86英寸以下</w:t>
            </w:r>
          </w:p>
        </w:tc>
        <w:tc>
          <w:tcPr>
            <w:tcW w:w="705"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w:t>
            </w:r>
          </w:p>
        </w:tc>
        <w:tc>
          <w:tcPr>
            <w:tcW w:w="810"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11"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87</w:t>
            </w:r>
          </w:p>
        </w:tc>
        <w:tc>
          <w:tcPr>
            <w:tcW w:w="795"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一层勤务指挥中心</w:t>
            </w:r>
          </w:p>
        </w:tc>
        <w:tc>
          <w:tcPr>
            <w:tcW w:w="885"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98寸液晶电视</w:t>
            </w:r>
          </w:p>
        </w:tc>
        <w:tc>
          <w:tcPr>
            <w:tcW w:w="6225"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1、外观参数</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颜色 高档金属烤漆外壳，黑色</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材质 铝型材边框，一级冷轧板</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屏幕尺寸 98"</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分辨率 3840*2160（支持4K）</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显示面积 2158.8（H）×1214.3.5（V）</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亮度 450cd/m2</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可视角度 178 degree(H):178 degree(V)</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对比度 1200 ：1</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颜色深度 16.7M</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扫描频率 50-60Hz</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背光源 CCFL LED</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表面 超薄超白钢化玻璃，透光率95%以上</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抗光性 ≥100000LUX</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容错率 10%</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供电 10%</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2、电视参数</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电视制式：PAL/SECAM/NTSC（Option）</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图像模式：16：9/4：3/全屏</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声音制式：B/G,D/K,I,M</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色彩度：B/G,D/K,I,M</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输入接口：1路高频接口（TV）；1路音视频复合AV （+AUDIO）；1路音视频分量YPBPR（+AUDIO）；1路VGA（15针D-Sub）；1路PC-Audio；3路HDMI；1路HDMI4K；2路多媒体USB</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3、工作参数</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电压范围 Input：AC110-220</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环境 工作温度：0℃—45℃</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工作湿度：20%-80%RH</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储存湿度：10%-75%RH</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4、其他 配件：电源线、合格证、保修卡、电子档说明书</w:t>
            </w:r>
          </w:p>
        </w:tc>
        <w:tc>
          <w:tcPr>
            <w:tcW w:w="705"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1 </w:t>
            </w:r>
          </w:p>
        </w:tc>
        <w:tc>
          <w:tcPr>
            <w:tcW w:w="810"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0" w:hRule="atLeast"/>
          <w:jc w:val="center"/>
        </w:trPr>
        <w:tc>
          <w:tcPr>
            <w:tcW w:w="511"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88</w:t>
            </w:r>
          </w:p>
        </w:tc>
        <w:tc>
          <w:tcPr>
            <w:tcW w:w="795"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一层勤务指挥中心</w:t>
            </w:r>
          </w:p>
        </w:tc>
        <w:tc>
          <w:tcPr>
            <w:tcW w:w="885"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电视墙装支架</w:t>
            </w:r>
          </w:p>
        </w:tc>
        <w:tc>
          <w:tcPr>
            <w:tcW w:w="6225"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配套壁装支架</w:t>
            </w:r>
          </w:p>
        </w:tc>
        <w:tc>
          <w:tcPr>
            <w:tcW w:w="705"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1 </w:t>
            </w:r>
          </w:p>
        </w:tc>
        <w:tc>
          <w:tcPr>
            <w:tcW w:w="810"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11"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89</w:t>
            </w:r>
          </w:p>
        </w:tc>
        <w:tc>
          <w:tcPr>
            <w:tcW w:w="795"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**保障智能服务</w:t>
            </w:r>
          </w:p>
        </w:tc>
        <w:tc>
          <w:tcPr>
            <w:tcW w:w="885"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65寸电子屏监视器</w:t>
            </w:r>
          </w:p>
        </w:tc>
        <w:tc>
          <w:tcPr>
            <w:tcW w:w="6225"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kern w:val="0"/>
                <w:sz w:val="24"/>
                <w:szCs w:val="24"/>
                <w:highlight w:val="none"/>
              </w:rPr>
              <w:t>支持3840*2160@60Hz超高清显示</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 采用超宽视角屏幕（上下左右）178°</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3D数字图象降噪处理技术，画质更真实更清晰</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内置喇叭及功放，支持3.5 mm音频输入</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支持U盘点播，含文本、图片、音频、视频等多种格式多媒体播放</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显示参数</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刷新率：60 Hz</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像素间距：0.372 (H) mm × 0.372 (V) mm</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亮度：300 cd/m²</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连续使用时间：7 × 16 H</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背光源类型：D-LED</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物理分辨率：3840 × 2160</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对比度：4000  : 1</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表面处理：5.1 %</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屏幕可视区域：1428.48 (H) mm × 803.52 (V) mm</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可视角：178° (H)/178° (V)</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显示尺寸：64.5 inch</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响应时间：8 ms</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色域：72% NTSC</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色深度：8 bit, 16.7 M</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接口参数</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数据传输接口：USB2.0 × 1（支持程序升级及USB播放）</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音视频输出接口：Audio-Out (3.5mm) × 1</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Speaker (6Ω 6W) × 2</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控制接口：无</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音视频输入接口：HDMI2.0 × 3</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电源参数</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电源：100~240 VAC, 50/60 Hz</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功耗：≤160 W</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待机功耗：≤ 0.5 W</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运行环境</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存储湿度：5% ~ 95% RH (无冷凝水)</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工作温度：5 ℃ ~ 40 ℃</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工作湿度：10% ~ 85% RH (无冷凝水)</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存储温度：-20 ℃ ~ 55 ℃</w:t>
            </w:r>
            <w:r>
              <w:rPr>
                <w:rFonts w:hint="eastAsia" w:ascii="宋体" w:hAnsi="宋体" w:eastAsia="宋体" w:cs="宋体"/>
                <w:color w:val="auto"/>
                <w:kern w:val="0"/>
                <w:sz w:val="24"/>
                <w:szCs w:val="24"/>
                <w:highlight w:val="none"/>
              </w:rPr>
              <w:fldChar w:fldCharType="end"/>
            </w:r>
          </w:p>
        </w:tc>
        <w:tc>
          <w:tcPr>
            <w:tcW w:w="705"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810"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台</w:t>
            </w:r>
          </w:p>
        </w:tc>
      </w:tr>
    </w:tbl>
    <w:p>
      <w:pPr>
        <w:keepNext w:val="0"/>
        <w:keepLines w:val="0"/>
        <w:pageBreakBefore w:val="0"/>
        <w:kinsoku/>
        <w:wordWrap/>
        <w:overflowPunct/>
        <w:topLinePunct w:val="0"/>
        <w:autoSpaceDE/>
        <w:autoSpaceDN/>
        <w:bidi w:val="0"/>
        <w:adjustRightInd/>
        <w:snapToGrid/>
        <w:spacing w:line="440" w:lineRule="exact"/>
        <w:ind w:firstLine="723" w:firstLineChars="3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2）</w:t>
      </w:r>
      <w:r>
        <w:rPr>
          <w:rFonts w:hint="eastAsia" w:ascii="宋体" w:hAnsi="宋体" w:eastAsia="宋体" w:cs="宋体"/>
          <w:b/>
          <w:bCs/>
          <w:color w:val="auto"/>
          <w:sz w:val="24"/>
          <w:szCs w:val="24"/>
          <w:highlight w:val="none"/>
        </w:rPr>
        <w:t>信息发布系统</w:t>
      </w:r>
    </w:p>
    <w:tbl>
      <w:tblPr>
        <w:tblStyle w:val="20"/>
        <w:tblW w:w="95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13"/>
        <w:gridCol w:w="905"/>
        <w:gridCol w:w="900"/>
        <w:gridCol w:w="5685"/>
        <w:gridCol w:w="795"/>
        <w:gridCol w:w="7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0" w:type="auto"/>
            <w:shd w:val="clear" w:color="auto" w:fill="A6A6A6"/>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序号</w:t>
            </w:r>
          </w:p>
        </w:tc>
        <w:tc>
          <w:tcPr>
            <w:tcW w:w="905" w:type="dxa"/>
            <w:shd w:val="clear" w:color="auto" w:fill="A6A6A6"/>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系统名称</w:t>
            </w:r>
          </w:p>
        </w:tc>
        <w:tc>
          <w:tcPr>
            <w:tcW w:w="900" w:type="dxa"/>
            <w:shd w:val="clear" w:color="auto" w:fill="A6A6A6"/>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产品类别</w:t>
            </w:r>
          </w:p>
        </w:tc>
        <w:tc>
          <w:tcPr>
            <w:tcW w:w="5685" w:type="dxa"/>
            <w:shd w:val="clear" w:color="auto" w:fill="A6A6A6"/>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技术参数</w:t>
            </w:r>
          </w:p>
        </w:tc>
        <w:tc>
          <w:tcPr>
            <w:tcW w:w="795" w:type="dxa"/>
            <w:shd w:val="clear" w:color="auto" w:fill="A6A6A6"/>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数量</w:t>
            </w:r>
          </w:p>
        </w:tc>
        <w:tc>
          <w:tcPr>
            <w:tcW w:w="758" w:type="dxa"/>
            <w:shd w:val="clear" w:color="auto" w:fill="A6A6A6"/>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0" w:type="auto"/>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905"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信息发布管理</w:t>
            </w:r>
          </w:p>
        </w:tc>
        <w:tc>
          <w:tcPr>
            <w:tcW w:w="90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综合显示屏一体机55寸</w:t>
            </w:r>
          </w:p>
        </w:tc>
        <w:tc>
          <w:tcPr>
            <w:tcW w:w="5685"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塑壳外观，纤薄机身，一体化设计。</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画面细腻生动，采用工业级 A+面板，自动彩色及图像增加引擎，显示效果出众。</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素材类型多样，包括图片、音频、视频、滚动字幕、 PDF 文档、网页、实时监控画面、叫号、弹图等。</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节目编排灵活，支持多种素材自由排版、分区显示；支持多种播放方式，按日、按周、轮播、自定义等。</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终端集中管理，支持终端统一远程管理和控制，定时开关机设置、一键开关机、显示亮度/音量定时调节、播放画面截图预览等；支持网络远程下发节目和无网络本地（U 盘）节目更新。</w:t>
            </w:r>
          </w:p>
          <w:p>
            <w:pPr>
              <w:keepNext w:val="0"/>
              <w:keepLines w:val="0"/>
              <w:pageBreakBefore w:val="0"/>
              <w:widowControl/>
              <w:kinsoku/>
              <w:wordWrap/>
              <w:overflowPunct/>
              <w:topLinePunct w:val="0"/>
              <w:autoSpaceDE/>
              <w:autoSpaceDN/>
              <w:bidi w:val="0"/>
              <w:adjustRightInd/>
              <w:snapToGrid/>
              <w:spacing w:line="440" w:lineRule="exac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分级管理权限，支持 5 级组织管理素材、节目、终端、用户等资源；支持创建自定义用户，精确分配多种用户的权限，多种权限模板可选。</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多重安全保障，素材、节目、日程三级审核，防误播误报，终端屏保密码功能，保障系统播出内容安全；数据存储、数据传输加密，防数据篡改；客户自行激活设置初始密码，保障密码安全。</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操作系统：Android 8.1</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内存：2 GB 内置存储：16 GB EMMC</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亮度：500 cd/m² 物理分辨率：3840 × 2160</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音视频输入接口：AUDIO IN × 1，HDMI × 2, VGA × 1</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音视频输出接口：AUDIO OUT × 1，speaker (8 Ω 5 W) × 2</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数据传输接口：USB 2.0 × 2, TF Card × 1, BT 4.0 × 1</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网络接口：LAN × 1，Wi-Fi × 1</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★设备支持联屏播放，支持图片和视频进行联屏播放（提供检测报告）</w:t>
            </w:r>
          </w:p>
        </w:tc>
        <w:tc>
          <w:tcPr>
            <w:tcW w:w="795"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w:t>
            </w:r>
          </w:p>
        </w:tc>
        <w:tc>
          <w:tcPr>
            <w:tcW w:w="758"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0" w:type="auto"/>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w:t>
            </w:r>
          </w:p>
        </w:tc>
        <w:tc>
          <w:tcPr>
            <w:tcW w:w="905"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信息发布管理</w:t>
            </w:r>
          </w:p>
        </w:tc>
        <w:tc>
          <w:tcPr>
            <w:tcW w:w="90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信息发布管理平台</w:t>
            </w:r>
          </w:p>
        </w:tc>
        <w:tc>
          <w:tcPr>
            <w:tcW w:w="5685"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信息发布系统是一款对终端进行操作控制、信息发布操作的综合性发布平台。该平台与内部终端配套使用。                                 1、支持屏幕的在线管理，可以远程实时查看屏幕的播放内容；</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2、可以远程直接发送指令进行节目的切换；</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3、可以局域网屏幕远程定时开关机（要求屏幕的网卡支持局域网唤醒）；</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 xml:space="preserve">4、支持在线节目制作，包含文字、图片、视频等内容，支持windows屏幕PPT节目原生播放，支持直播信号的直接发布；                         </w:t>
            </w:r>
          </w:p>
          <w:p>
            <w:pPr>
              <w:keepNext w:val="0"/>
              <w:keepLines w:val="0"/>
              <w:pageBreakBefore w:val="0"/>
              <w:widowControl/>
              <w:kinsoku/>
              <w:wordWrap/>
              <w:overflowPunct/>
              <w:topLinePunct w:val="0"/>
              <w:autoSpaceDE/>
              <w:autoSpaceDN/>
              <w:bidi w:val="0"/>
              <w:adjustRightInd/>
              <w:snapToGrid/>
              <w:spacing w:line="440" w:lineRule="exac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5、配合信息发布播放平台使用，在播放盒或者一体机上安装上播放软件，并配置连接到信息发布服务器；</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6、支持通知、公告、视频、图文等节目推送，并离线到本地播放；</w:t>
            </w:r>
          </w:p>
        </w:tc>
        <w:tc>
          <w:tcPr>
            <w:tcW w:w="795"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758"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0" w:type="auto"/>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w:t>
            </w:r>
          </w:p>
        </w:tc>
        <w:tc>
          <w:tcPr>
            <w:tcW w:w="905"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信息发布管理</w:t>
            </w:r>
          </w:p>
        </w:tc>
        <w:tc>
          <w:tcPr>
            <w:tcW w:w="90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嵌入式信息发布系统软件</w:t>
            </w:r>
          </w:p>
        </w:tc>
        <w:tc>
          <w:tcPr>
            <w:tcW w:w="5685"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可支持在Windows2000/Windows2003/WindowsXP/Windows7等系统上安装，系统基于B/S结构，系统基于网络,通过IP地址来管理各个显示终端的显示内容，显示参数、休眠设置等；</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系统功能：</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系统首页:首页可以查看服务器运行状态、终端状态、任务发布状态等内容，并可进行就常用功能进行快捷导航。</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素材管理模块:对媒体素材进行管理，包括各种格式的图片、视频、音频、文档等素材进行上传、分类、删除等操作;接口素材管理，可定义视频、图片、文字等类型的接口素材，用于显示其他IT系统中获取的实时数据。</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节目管理模块:可编辑节目模板，并添加多媒体内容，支持视频、图片、文字、时间、天气、网页、视频输入、设备输入等各元素自由编辑组合形成节目；可编辑互动节目，为互动节目编辑按钮、菜单及定义按钮事件，从而生成互动触摸节目。（提供功能截图）</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终端管理模块:管理终端、编辑终端名称、分组、所在地等信息;为终端绑定各类任务，并下发。</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终端监控模块:设置终端音量、亮度、开关时段、下载时段、互动时段、密码等内容；设置终端网络连接方式(以太网、WIFI、3G/4G)；进行格式化终端、开关机操作、升级终端软件、监视异常信息、获取终端播放日志、远程截屏监视等操作。</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用户管理模块：管理系统用户、角色，并为用户、角色分配各种系统权限；</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统计报表管理模块：查看个终端报表、包括播放报告及触摸点击统计等；</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系统帮助模块：可查看系统快速入门、常见问题、完整使用说明及软件版本；</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U盘管理：支持将节目拷贝到U盘进行播放，支持U盘下载任务、更新客户端软件等操作；</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简易发布：可针对一些用途相对简单的项目设置简易发布模式，一步操作完成信息发布操作；</w:t>
            </w:r>
          </w:p>
        </w:tc>
        <w:tc>
          <w:tcPr>
            <w:tcW w:w="795"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758"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0" w:type="auto"/>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w:t>
            </w:r>
          </w:p>
        </w:tc>
        <w:tc>
          <w:tcPr>
            <w:tcW w:w="905"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信息发布管理</w:t>
            </w:r>
          </w:p>
        </w:tc>
        <w:tc>
          <w:tcPr>
            <w:tcW w:w="90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管理终端</w:t>
            </w:r>
          </w:p>
        </w:tc>
        <w:tc>
          <w:tcPr>
            <w:tcW w:w="5685"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信息发布管理终端，含显示器，配置不低于I5/8G/128G+1T/2G独显</w:t>
            </w:r>
          </w:p>
        </w:tc>
        <w:tc>
          <w:tcPr>
            <w:tcW w:w="795"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758"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台</w:t>
            </w:r>
          </w:p>
        </w:tc>
      </w:tr>
    </w:tbl>
    <w:p>
      <w:pPr>
        <w:keepNext w:val="0"/>
        <w:keepLines w:val="0"/>
        <w:pageBreakBefore w:val="0"/>
        <w:kinsoku/>
        <w:wordWrap/>
        <w:overflowPunct/>
        <w:topLinePunct w:val="0"/>
        <w:autoSpaceDE/>
        <w:autoSpaceDN/>
        <w:bidi w:val="0"/>
        <w:adjustRightInd/>
        <w:snapToGrid/>
        <w:spacing w:line="440" w:lineRule="exact"/>
        <w:ind w:firstLine="723" w:firstLineChars="3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3）</w:t>
      </w:r>
      <w:r>
        <w:rPr>
          <w:rFonts w:hint="eastAsia" w:ascii="宋体" w:hAnsi="宋体" w:eastAsia="宋体" w:cs="宋体"/>
          <w:b/>
          <w:bCs/>
          <w:color w:val="auto"/>
          <w:sz w:val="24"/>
          <w:szCs w:val="24"/>
          <w:highlight w:val="none"/>
        </w:rPr>
        <w:t>公共广播系统</w:t>
      </w:r>
    </w:p>
    <w:tbl>
      <w:tblPr>
        <w:tblStyle w:val="20"/>
        <w:tblW w:w="96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1"/>
        <w:gridCol w:w="1711"/>
        <w:gridCol w:w="827"/>
        <w:gridCol w:w="4782"/>
        <w:gridCol w:w="765"/>
        <w:gridCol w:w="7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81" w:type="dxa"/>
            <w:shd w:val="clear" w:color="auto" w:fill="A6A6A6"/>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序号</w:t>
            </w:r>
          </w:p>
        </w:tc>
        <w:tc>
          <w:tcPr>
            <w:tcW w:w="1711" w:type="dxa"/>
            <w:shd w:val="clear" w:color="auto" w:fill="A6A6A6"/>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系统名称</w:t>
            </w:r>
          </w:p>
        </w:tc>
        <w:tc>
          <w:tcPr>
            <w:tcW w:w="0" w:type="auto"/>
            <w:shd w:val="clear" w:color="auto" w:fill="A6A6A6"/>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产品类别</w:t>
            </w:r>
          </w:p>
        </w:tc>
        <w:tc>
          <w:tcPr>
            <w:tcW w:w="4782" w:type="dxa"/>
            <w:shd w:val="clear" w:color="auto" w:fill="A6A6A6"/>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技术参数</w:t>
            </w:r>
          </w:p>
        </w:tc>
        <w:tc>
          <w:tcPr>
            <w:tcW w:w="765" w:type="dxa"/>
            <w:shd w:val="clear" w:color="auto" w:fill="A6A6A6"/>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数量</w:t>
            </w:r>
          </w:p>
        </w:tc>
        <w:tc>
          <w:tcPr>
            <w:tcW w:w="735" w:type="dxa"/>
            <w:shd w:val="clear" w:color="auto" w:fill="A6A6A6"/>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81"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1711"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**保障智能服务</w:t>
            </w:r>
          </w:p>
        </w:tc>
        <w:tc>
          <w:tcPr>
            <w:tcW w:w="0" w:type="auto"/>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控制主机</w:t>
            </w:r>
          </w:p>
        </w:tc>
        <w:tc>
          <w:tcPr>
            <w:tcW w:w="4782"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1.采用工控机机箱设计，≥17.3英寸LED液晶显示屏，支持触摸控制屏；服务器运载windows server 2008或以上操作系统。</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2.支持1路短路触发开机接口，用于实现定时驱动开机运行。</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 xml:space="preserve">3.具有≥8×USB接口、≥6×串口接口、≥2×千兆网口。 </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4.配置不低于四核/i5处理器。</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5.设备支持1路VGA、1路HDMI输出接口，可将画面输出至大屏放大显示。</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6.支持操作系统配置通电自动开机、定时自动开机，定时自动关机功能。</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7.内置抽拉键盘、内置触控鼠标面板+左右按键设计，支持通过USB接口外接鼠标键盘。</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8.支持录音存储功能，可在后台自定义设置录音文件保存路径。</w:t>
            </w:r>
          </w:p>
        </w:tc>
        <w:tc>
          <w:tcPr>
            <w:tcW w:w="765"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735"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81"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w:t>
            </w:r>
          </w:p>
        </w:tc>
        <w:tc>
          <w:tcPr>
            <w:tcW w:w="1711"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**保障智能服务</w:t>
            </w:r>
          </w:p>
        </w:tc>
        <w:tc>
          <w:tcPr>
            <w:tcW w:w="0" w:type="auto"/>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数字化IP网络广播客户端管理软件</w:t>
            </w:r>
          </w:p>
        </w:tc>
        <w:tc>
          <w:tcPr>
            <w:tcW w:w="4782"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1.统一管理系统内所有音频终端，包括寻呼话筒、对讲终端、广播终端和消防接口设备，实时显示音频终端的IP地址、在线状态、任务状态、音量等运行状态。</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2.支撑各音频终端的运行，负责音频流传输管理，响应各音频终端播放请求和音频全双工交换，支持B/S架构，通过网页登陆可进行终端管理、用户管理、节目播放管理、音频文件管理、录音存贮、内部通讯调度处理等功能。</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3.管理节目库资源，为所有音频终端器提供定时播放和实时点播媒体服务，响应各终端的节目播放请求，为各音频工作站提供数据接口服务。</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4.提供全双工语音数据交换，响应各对讲终端的呼叫和通话请求，支持一键呼叫、一键对讲、一键求助、一键报警等通话模式，支持自动接听、手动接听，支持自定义接听提示音。</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5.支持多种呼叫策略，包括无响应转移、占线转移、关机转移，支持时间策略和转移策略自定义设置。支持设置对讲终端呼叫策略，可自定义通话时间0-180S或不受限，可选择是否自动接听，支持自定义选择来电铃声与等待铃声。</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6.支持终端短路输入联动触发，可任意设置联动触发方案和触发终端数量，触发方案包括短路输出、音乐播放、巡更警报等。</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7.编程定时任务，支持编程多套定时方案，支持选择任意终端和设置任意时间；支持定时任务执行测试、设置重复周期。支持定时任务多种音源选择（音乐播放、声卡采集、终端采集）。</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8.支持多套定时打铃方案同时启用，每套定时打铃方案支持多套任务同时进行，支持一键启用/停用所有方案。</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9.支持定时打铃功能，支持打铃方案克隆，任务执行与停止控制、定时任务禁用与启用功能。</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10.支持定时巡更功能，支持自定义巡更任务的执行时间及重复周期，可自定义指示灯闪烁间隔时间0-30s。</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11.支持今日任务列表查看，轻松管理今日执行的所有定时任务信息和执行状态。</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12.日志记录系统运行状态，实时记录系统运行及终端工作状态，每次呼叫、通话和广播操作均有记录</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13.支持对8路功率分区终端进行功率控制分区设置，通过web页面后台或分控客户端均可设置分区。</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14.支持对终端设置时间显示配置，可设置0-6级别亮度值，可设置离线后不显示时间等模式。</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15.支持对终端设置不同的灯光模式，可分别自定义设置红灯亮、红灯灭、绿灯/蓝灯亮、绿灯/蓝灯灭时间0.1S-10S。</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16.支持配置终端冻结时间，在终端被冻结期间禁止终端执行任务，适用于考试或休息等场景。</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17.支持广播、对讲、实时采集、终端监听进行录音；支持文本广播功能，可实现将文本转成语音，支持后台调整语速。</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18.支持后台换肤功能，可根据喜好自由切换皮肤主题。</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19.支持终端明细导出功能，支持通过表格方式导出当前系统终端的配置详情。支持批量修改定时任务的时间、执行终端。</w:t>
            </w:r>
          </w:p>
        </w:tc>
        <w:tc>
          <w:tcPr>
            <w:tcW w:w="765"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735"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81"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w:t>
            </w:r>
          </w:p>
        </w:tc>
        <w:tc>
          <w:tcPr>
            <w:tcW w:w="1711"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**保障智能服务</w:t>
            </w:r>
          </w:p>
        </w:tc>
        <w:tc>
          <w:tcPr>
            <w:tcW w:w="0" w:type="auto"/>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控制器</w:t>
            </w:r>
          </w:p>
        </w:tc>
        <w:tc>
          <w:tcPr>
            <w:tcW w:w="4782"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1.设备采用机柜式设计，自动实现卫星自动校时，使用地球同步卫星作为校时基准，与格林威治时间误差小于0.1秒。</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2.液晶显示屏可显示时间；自动实现卫星自动校时，自适应全球时区，根据时区自动切换显示语音。</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3.支持与公共广播系统对接作为校时系统。</w:t>
            </w:r>
          </w:p>
        </w:tc>
        <w:tc>
          <w:tcPr>
            <w:tcW w:w="765"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735"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81"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w:t>
            </w:r>
          </w:p>
        </w:tc>
        <w:tc>
          <w:tcPr>
            <w:tcW w:w="1711"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**保障智能服务</w:t>
            </w:r>
          </w:p>
        </w:tc>
        <w:tc>
          <w:tcPr>
            <w:tcW w:w="0" w:type="auto"/>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话筒</w:t>
            </w:r>
          </w:p>
        </w:tc>
        <w:tc>
          <w:tcPr>
            <w:tcW w:w="4782"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1.换能方式：驻极体</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2.钟声提示：带钟声提示功能</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3.线材配备：10米（卡农母头转6.35音频线）</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4.咪杆长度 ：420mm</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5.具备有灯环提示功能</w:t>
            </w:r>
          </w:p>
        </w:tc>
        <w:tc>
          <w:tcPr>
            <w:tcW w:w="765"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735"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81"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w:t>
            </w:r>
          </w:p>
        </w:tc>
        <w:tc>
          <w:tcPr>
            <w:tcW w:w="1711"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**保障智能服务</w:t>
            </w:r>
          </w:p>
        </w:tc>
        <w:tc>
          <w:tcPr>
            <w:tcW w:w="0" w:type="auto"/>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合并式播放器</w:t>
            </w:r>
          </w:p>
        </w:tc>
        <w:tc>
          <w:tcPr>
            <w:tcW w:w="4782"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1.设备采用机柜式设计，为广播系统提供合并音源，支持手动控制CD、MP3和收音机三种音源的播放器。</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2.内置USB接口/SD卡槽、CD机芯和收音机、蓝牙四种音源，CD播放和MP3播放共用一个通道输出，收音机、蓝牙共用一个通道输出。</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3.CD采用吸入式机芯；收音机采用收音模块； 调频、调幅（AM/FM）立体声二波段接收可选，电台频率记忆存储可达99个。</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4.具备有≥1路USB接口、≥1路SD卡槽口、≥1路收音FM天线口、≥2路音频输出接口。</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5.带红外遥控功能，并能够独立遥控音量控制。</w:t>
            </w:r>
          </w:p>
        </w:tc>
        <w:tc>
          <w:tcPr>
            <w:tcW w:w="765"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735"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81"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w:t>
            </w:r>
          </w:p>
        </w:tc>
        <w:tc>
          <w:tcPr>
            <w:tcW w:w="1711"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**保障智能服务</w:t>
            </w:r>
          </w:p>
        </w:tc>
        <w:tc>
          <w:tcPr>
            <w:tcW w:w="0" w:type="auto"/>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前置放大器</w:t>
            </w:r>
          </w:p>
        </w:tc>
        <w:tc>
          <w:tcPr>
            <w:tcW w:w="4782"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1具有≥5路话筒（MIC）输入，≥3路标准信号线路（AUX）输入，≥2路紧急线路（EMC）输入；</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2.MIC 5具有最高优先、强行切入优先功能；MIC 5和EMC最高优先权限功能可通过拔动开关交替选择；</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3.紧急输入线路具有二级优先，强行切入优先功能；</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4.MIC1.2.3.4.5 和2路紧急输入（EMC）通道均附设有线路辅助输入接口功能；</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5.具有默音深度调节旋钮和EMC输入增益调节旋钮。</w:t>
            </w:r>
          </w:p>
        </w:tc>
        <w:tc>
          <w:tcPr>
            <w:tcW w:w="765"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735"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81"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7</w:t>
            </w:r>
          </w:p>
        </w:tc>
        <w:tc>
          <w:tcPr>
            <w:tcW w:w="1711"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**保障智能服务</w:t>
            </w:r>
          </w:p>
        </w:tc>
        <w:tc>
          <w:tcPr>
            <w:tcW w:w="0" w:type="auto"/>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IP音频采集器</w:t>
            </w:r>
          </w:p>
        </w:tc>
        <w:tc>
          <w:tcPr>
            <w:tcW w:w="4782"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1.采集设备支持将模拟音频采集编码成数字音频，具有1路RJ45网络接口，支持定时采播任务、临时采播任务功能。</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2.具有≥2组RCA音频输入接口，支持音量调节功能。</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3.采播任务支持3种采集音质可选，支持普通、中级、高级音质选择模式。</w:t>
            </w:r>
          </w:p>
        </w:tc>
        <w:tc>
          <w:tcPr>
            <w:tcW w:w="765"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735"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81"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8</w:t>
            </w:r>
          </w:p>
        </w:tc>
        <w:tc>
          <w:tcPr>
            <w:tcW w:w="1711"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**保障智能服务</w:t>
            </w:r>
          </w:p>
        </w:tc>
        <w:tc>
          <w:tcPr>
            <w:tcW w:w="0" w:type="auto"/>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寻呼话筒</w:t>
            </w:r>
          </w:p>
        </w:tc>
        <w:tc>
          <w:tcPr>
            <w:tcW w:w="4782"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1.采用话筒桌面式设计，带有7英寸显示屏，带触摸控制功能；显示屏自带数字键、功能键，支持通过触摸呼叫广播，支持呼叫分区及多个分区，呼叫全区广播；可支持10个按键自定义一键呼叫广播功能。</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2.内置1路网络硬件音频解码模块，具有1路RJ45网络接口，100Mbps传输速率。</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3.支持监听任意终端功能，内置2W全频扬声器，实现双向通话和网络监听。</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4.支持1路音频线路输入，支持采集播放功能；具有1路音频线路输出，可外接功率放大器。</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5.支持直接操作呼叫或对讲任意终端，支持通过话筒广播呼叫功能，广播延时低于100毫秒。</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6.支持多种呼叫策略，包括无响应转移、占线转移、关机转移；自动接听、手动接听，支持自定义接听提示音，支持转移时间、无人接听时间、呼叫等待时间自定义。</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7.具有1个3.5耳机接口、1路3.5话筒输入接口。</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8.具有1路短路输出接口、1路短路输入接口。</w:t>
            </w:r>
          </w:p>
        </w:tc>
        <w:tc>
          <w:tcPr>
            <w:tcW w:w="765"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735"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81"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9</w:t>
            </w:r>
          </w:p>
        </w:tc>
        <w:tc>
          <w:tcPr>
            <w:tcW w:w="1711"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**保障智能服务</w:t>
            </w:r>
          </w:p>
        </w:tc>
        <w:tc>
          <w:tcPr>
            <w:tcW w:w="0" w:type="auto"/>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IP解码终端</w:t>
            </w:r>
          </w:p>
        </w:tc>
        <w:tc>
          <w:tcPr>
            <w:tcW w:w="4782"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接消防广播功放，一个分区一个，按消防系统11个防区配置，根据实际情况调整。</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1.标准19英寸机架设计。</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2.工业级LCD显示屏，屏幕尺寸不小于3.4英寸。</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3.设备采用嵌入式计算机技术和DSP音频处理技术设计。</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4.内置1路网络硬件音频解码模块，支持TCP/IP、UDP，实现网络化传输16位CD音质的音频信号。</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5.1路线路（AUX）和1路话筒（MIC）输入接口，具有独立的音量和高低音调节电位器控制，支持断网本地寻呼功能。</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6.1路EMC输入接口，输入紧急报警语音信号为直通，具有最高优先级。</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7.1路音频信号辅助输出接口，可扩展外接功率放大器，标准的莲花座接口，布线连接非常方便。</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8.2路三线制音控强切输出接口，无需强切电源。</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9.支持2路电源输出插座，内置智能电源管理，无音乐或呼叫时，自动切断输出座电源，有信号时自动打开输出座电源。</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10.内置3级优先设置：</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EMC为最高优先。</w:t>
            </w:r>
          </w:p>
          <w:p>
            <w:pPr>
              <w:keepNext w:val="0"/>
              <w:keepLines w:val="0"/>
              <w:pageBreakBefore w:val="0"/>
              <w:widowControl/>
              <w:kinsoku/>
              <w:wordWrap/>
              <w:overflowPunct/>
              <w:topLinePunct w:val="0"/>
              <w:autoSpaceDE/>
              <w:autoSpaceDN/>
              <w:bidi w:val="0"/>
              <w:adjustRightInd/>
              <w:snapToGrid/>
              <w:spacing w:line="440" w:lineRule="exac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网络报警信号优先MIC,AUX和网络背景音乐信号。</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MIC优先AUX和网络背景音乐信号。</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AUX和网络背景音乐为同级，无任何优先。</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11.支持缄默强度预置减少功能，支持背景伴奏预置功能；支持状态灯显示，包括电平指示灯、保护指示灯、待机指示灯等；支持授权操作管理功能，由服务器统一配置管理用户及密码。</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12.兼容路由器、交换机、网桥网关、Modem、Internet、2G、3G、4G等任意网络结构。</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13.数字化产品，扩容方便，不受地理位置限制，无需增加机房管理设备，采用共网免线路施工的设计理念，安装简便。</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14.支持广播系统对终端进行远程固件升级，无需到终端本地升级，减轻维护人员工作强度。</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15.具有USB播放功能，接入U盘。可遥控播放任意一首歌曲和播放上一曲、下一曲、暂停、停止等功能（或选择面板按键操作）。</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技术参数</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1.网络接口：标准RJ45输入</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2.传输速率：100Mbps</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3.支持协议：TCP/IP，UDP</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4.音频格式：MP3</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5.音频模式：16位CD音质</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6.采样率：8KHz～48KHz</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7.EMC输入灵敏度：775mV  (非平衡）</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8.AUX输入灵敏度：350mV  (非平衡）</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9.MIC输入灵敏度：5mV   (非平衡）</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10.AUX输出幅度：1000mV  2路莲花座输出接口</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11.AUX输出阻抗：470Ω</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12.高音提升、衰减：±10dB</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13.低音提升、衰减：±10dB</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14.USB接口：最大支持16G内存U盘接入</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15.频率响应：80Hz～16KHz</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16.整机功耗：≤2000W</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17.谐波失真：≤0.3%</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18.信噪比：＞65dB</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19.工作环境温度：5℃～40℃</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20.工作环境湿度：20%～80%相对湿度，无结露</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21.输入电源：~220V 50Hz</w:t>
            </w:r>
          </w:p>
        </w:tc>
        <w:tc>
          <w:tcPr>
            <w:tcW w:w="765"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11</w:t>
            </w:r>
          </w:p>
        </w:tc>
        <w:tc>
          <w:tcPr>
            <w:tcW w:w="735"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81"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w:t>
            </w:r>
          </w:p>
        </w:tc>
        <w:tc>
          <w:tcPr>
            <w:tcW w:w="1711"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**保障智能服务</w:t>
            </w:r>
          </w:p>
        </w:tc>
        <w:tc>
          <w:tcPr>
            <w:tcW w:w="0" w:type="auto"/>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NTP校时服务器</w:t>
            </w:r>
          </w:p>
        </w:tc>
        <w:tc>
          <w:tcPr>
            <w:tcW w:w="4782"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一、产品特点：</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精密的校时精度</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超高守时能力</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支持GPS、北斗、上级NTP、CDMA校时</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支持多网域校时</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高稳定性、可靠性设计</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支持双机热备、级联方案</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1U标准机架式产品</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二、性能参数</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处理器：ARM处理器</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同步精度：卫星同步精度纳秒级；NTP同步精度毫秒级；</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存储：256M</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守时精度：≤28us</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跟踪通道数：32</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捕获通道数：128</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授时容量： 10000次/每秒（单端口）</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授时精度：≤5us</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 xml:space="preserve">授时频段：GPS: 1575.42±1.023MHz ，北斗: 1561.098±2.046MHz </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三、接口：</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机箱前部：</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网络管理端口（RJ45）：管理口；</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NTP输入端口（RJ45）:NTP INP;</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 xml:space="preserve">PPS授时端口（SMA）：1PPS   </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10M授时端口（SMA）：10MHZ</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串行管理端口（RS232）：串口</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机箱后部；</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1路GPS/BD天线接口 （支持选配2路）</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4槽位输出位：</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NTP输出卡（RJ45）：NTP1~NTP4，支持端口、双卡绑定;</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光输出卡（ST）：1-4路</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RS422输出卡（凤凰端子）：1-5路，支持子钟管理</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四、指示灯：</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电源指示灯，标识PWR，绿：有外部电源输入，灭：无外部电源输入；</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卫星指示灯，标识GNSS，绿：卫星搜星正常，灭：卫星搜星异常；</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NTP输入状态指示灯，标识NTPINP，绿色常亮：NTP输入正常，绿色闪烁：锁定NTP输入源，灭：未同步；</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授时状态指示灯，标识SYNC，绿色常亮：设备正常输出，绿色闪烁：设备守时输出，灭：未同步。</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五、电气参数</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电源电压：90-240V/55Hz±8Hz 65w（1+1冗余电源）</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机箱：机架式安装</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工作温度：-10° C- +60° C</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工作湿度：10％--90％ 无凝结</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六、软件功能：</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设备上电或重启后，系统自启校时服务</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可通过NTP模式或BD/GPS模式对待授时设备进行授时</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可通过固定时间间隔方式对待授时设备进行授时</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支持对监控设备（DVR、NVR、网络摄像机）、终端设备进行授时</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支持对服务器进行授时</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支持同时对多个网段的待授时设备进行授时，单端口授时容量≥10000次/秒</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可通过WEB管理对NTP时钟进行配置管理</w:t>
            </w:r>
          </w:p>
        </w:tc>
        <w:tc>
          <w:tcPr>
            <w:tcW w:w="765"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735"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81"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11</w:t>
            </w:r>
          </w:p>
        </w:tc>
        <w:tc>
          <w:tcPr>
            <w:tcW w:w="1711"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**保障智能服务</w:t>
            </w:r>
          </w:p>
        </w:tc>
        <w:tc>
          <w:tcPr>
            <w:tcW w:w="0" w:type="auto"/>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NTP天线</w:t>
            </w:r>
          </w:p>
        </w:tc>
        <w:tc>
          <w:tcPr>
            <w:tcW w:w="4782"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天线材质：介质陶瓷</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天线罩材质：ABS</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工作温度：-40℃~+80℃</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相对湿度：Up to 90%</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防护等级：IP67</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接口方式：入室侧BNC公头</w:t>
            </w:r>
          </w:p>
        </w:tc>
        <w:tc>
          <w:tcPr>
            <w:tcW w:w="765"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735"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套</w:t>
            </w:r>
          </w:p>
        </w:tc>
      </w:tr>
    </w:tbl>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三、商务需求</w:t>
      </w:r>
    </w:p>
    <w:p>
      <w:pPr>
        <w:keepNext w:val="0"/>
        <w:keepLines w:val="0"/>
        <w:pageBreakBefore w:val="0"/>
        <w:kinsoku/>
        <w:wordWrap/>
        <w:overflowPunct/>
        <w:topLinePunct w:val="0"/>
        <w:autoSpaceDE/>
        <w:autoSpaceDN/>
        <w:bidi w:val="0"/>
        <w:adjustRightInd/>
        <w:snapToGrid/>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1、建设期：合同签订后90天内完成供货、安装、调试、验收等工作。</w:t>
      </w:r>
    </w:p>
    <w:p>
      <w:pPr>
        <w:keepNext w:val="0"/>
        <w:keepLines w:val="0"/>
        <w:pageBreakBefore w:val="0"/>
        <w:kinsoku/>
        <w:wordWrap/>
        <w:overflowPunct/>
        <w:topLinePunct w:val="0"/>
        <w:autoSpaceDE/>
        <w:autoSpaceDN/>
        <w:bidi w:val="0"/>
        <w:adjustRightInd/>
        <w:snapToGrid/>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2、质保期：整个系统服务期不少于36个月，时间从项目整体竣工验收合格之日起计。在质保期内，供应商须免费负责修理和替换任何由于质量问题造成的损坏及故障。</w:t>
      </w:r>
    </w:p>
    <w:p>
      <w:pPr>
        <w:keepNext w:val="0"/>
        <w:keepLines w:val="0"/>
        <w:pageBreakBefore w:val="0"/>
        <w:kinsoku/>
        <w:wordWrap/>
        <w:overflowPunct/>
        <w:topLinePunct w:val="0"/>
        <w:autoSpaceDE/>
        <w:autoSpaceDN/>
        <w:bidi w:val="0"/>
        <w:adjustRightInd/>
        <w:snapToGrid/>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3、建设时间及地点：同前面“招标项目一览表”内所填的相关内容。</w:t>
      </w:r>
    </w:p>
    <w:p>
      <w:pPr>
        <w:keepNext w:val="0"/>
        <w:keepLines w:val="0"/>
        <w:pageBreakBefore w:val="0"/>
        <w:kinsoku/>
        <w:wordWrap/>
        <w:overflowPunct/>
        <w:topLinePunct w:val="0"/>
        <w:autoSpaceDE/>
        <w:autoSpaceDN/>
        <w:bidi w:val="0"/>
        <w:adjustRightInd/>
        <w:snapToGrid/>
        <w:spacing w:line="440" w:lineRule="exact"/>
        <w:ind w:firstLine="480" w:firstLineChars="200"/>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rPr>
        <w:t>4、付款条件：合同签订后15个工作日内支付合同总额的60%作为预付款，项目初验后15个工作日内支付合同总额的20%，项目终验后15个工作日内支付合同总额的20%。</w:t>
      </w:r>
      <w:r>
        <w:rPr>
          <w:rFonts w:hint="eastAsia" w:ascii="宋体" w:hAnsi="宋体" w:eastAsia="宋体" w:cs="宋体"/>
          <w:color w:val="auto"/>
          <w:sz w:val="24"/>
          <w:szCs w:val="24"/>
          <w:highlight w:val="none"/>
          <w:lang w:val="zh-CN" w:eastAsia="zh-CN"/>
        </w:rPr>
        <w:t>正式税务发票(增值税专用发票)应随付款进度及时提供。</w:t>
      </w:r>
    </w:p>
    <w:p>
      <w:pPr>
        <w:keepNext w:val="0"/>
        <w:keepLines w:val="0"/>
        <w:pageBreakBefore w:val="0"/>
        <w:kinsoku/>
        <w:wordWrap/>
        <w:overflowPunct/>
        <w:topLinePunct w:val="0"/>
        <w:autoSpaceDE/>
        <w:autoSpaceDN/>
        <w:bidi w:val="0"/>
        <w:adjustRightInd/>
        <w:snapToGrid/>
        <w:spacing w:line="440" w:lineRule="exact"/>
        <w:ind w:firstLine="480" w:firstLineChars="200"/>
        <w:rPr>
          <w:rFonts w:hint="default"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履约保证金：合同签订后</w:t>
      </w:r>
      <w:r>
        <w:rPr>
          <w:rFonts w:hint="default" w:ascii="宋体" w:hAnsi="宋体" w:eastAsia="宋体" w:cs="宋体"/>
          <w:color w:val="auto"/>
          <w:sz w:val="24"/>
          <w:szCs w:val="24"/>
          <w:highlight w:val="none"/>
          <w:lang w:val="en-US"/>
        </w:rPr>
        <w:t>10</w:t>
      </w:r>
      <w:r>
        <w:rPr>
          <w:rFonts w:hint="eastAsia" w:ascii="宋体" w:hAnsi="宋体" w:eastAsia="宋体" w:cs="宋体"/>
          <w:color w:val="auto"/>
          <w:sz w:val="24"/>
          <w:szCs w:val="24"/>
          <w:highlight w:val="none"/>
        </w:rPr>
        <w:t>个工作日内乙方须向甲方提交合同总金额的</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%作为履约保证金，履约保证金以现金/转账/保函/保险/担保等形式提交，在项目验收结束后7个工作日内退还或解除保函。</w:t>
      </w:r>
    </w:p>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b/>
          <w:bCs/>
          <w:color w:val="auto"/>
          <w:sz w:val="24"/>
          <w:szCs w:val="24"/>
          <w:highlight w:val="none"/>
        </w:rPr>
      </w:pPr>
    </w:p>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四、其他</w:t>
      </w:r>
    </w:p>
    <w:p>
      <w:pPr>
        <w:keepNext w:val="0"/>
        <w:keepLines w:val="0"/>
        <w:pageBreakBefore w:val="0"/>
        <w:kinsoku/>
        <w:wordWrap/>
        <w:overflowPunct/>
        <w:topLinePunct w:val="0"/>
        <w:autoSpaceDE/>
        <w:autoSpaceDN/>
        <w:bidi w:val="0"/>
        <w:adjustRightInd/>
        <w:snapToGrid/>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本项目为交钥匙服务项目，中标人不得以任何理由增加费用。项目实施过程中可能涉及的所有财务成本已经包含投标总报价之中，对标书中未体现，但又是提供服务所必须的组件，中标方必须自行增加。同时，中标方需对项目建设及试运行期间的安全责任问题及第三方责任赔偿负责，投标的报价包含实现标书的所有功能及安全保障工作，其应包括（但不限于）施工设备、劳务、管理、材料、系统集成、安装调试、软件开发、试运行、质保、保险、利润、税金、培训费、开办费、措施费、人身意外伤害保险费、第三方检测费用、备品备件费用、建设期财务费用、光纤租赁费用、安全文明施工设施费用、机房和网络建设费用、维修维护服务、设备使用电费、相关审批费用、政策性文件规定费用及合同包含的所有风险、责任等各项所有费用。为保证工程建设及售后服务质量，要求投标方的总体报价不得明显低于成本价。</w:t>
      </w:r>
    </w:p>
    <w:p>
      <w:pPr>
        <w:keepNext w:val="0"/>
        <w:keepLines w:val="0"/>
        <w:pageBreakBefore w:val="0"/>
        <w:kinsoku/>
        <w:wordWrap/>
        <w:overflowPunct/>
        <w:topLinePunct w:val="0"/>
        <w:autoSpaceDE/>
        <w:autoSpaceDN/>
        <w:bidi w:val="0"/>
        <w:adjustRightInd/>
        <w:snapToGrid/>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2、为保障本项目建设的完整性，完成公安日常工作任务所需，投标单位需提供一套符合公安需求的兑换系统(包含软硬件设施)。</w:t>
      </w:r>
    </w:p>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color w:val="auto"/>
          <w:sz w:val="24"/>
          <w:szCs w:val="24"/>
          <w:highlight w:val="none"/>
        </w:rPr>
      </w:pPr>
    </w:p>
    <w:p>
      <w:pPr>
        <w:spacing w:line="360" w:lineRule="auto"/>
        <w:jc w:val="center"/>
        <w:rPr>
          <w:rFonts w:hint="eastAsia" w:ascii="宋体" w:hAnsi="宋体" w:eastAsia="宋体" w:cs="宋体"/>
          <w:b/>
          <w:bCs/>
          <w:color w:val="auto"/>
          <w:sz w:val="36"/>
          <w:szCs w:val="36"/>
          <w:highlight w:val="none"/>
        </w:rPr>
      </w:pPr>
    </w:p>
    <w:p>
      <w:pPr>
        <w:spacing w:line="360" w:lineRule="auto"/>
        <w:jc w:val="center"/>
        <w:rPr>
          <w:rFonts w:hint="eastAsia" w:ascii="宋体" w:hAnsi="宋体" w:eastAsia="宋体" w:cs="宋体"/>
          <w:b/>
          <w:bCs/>
          <w:color w:val="auto"/>
          <w:sz w:val="36"/>
          <w:szCs w:val="36"/>
          <w:highlight w:val="none"/>
        </w:rPr>
      </w:pPr>
    </w:p>
    <w:p>
      <w:pPr>
        <w:spacing w:line="360" w:lineRule="auto"/>
        <w:jc w:val="center"/>
        <w:rPr>
          <w:rFonts w:hint="eastAsia" w:ascii="宋体" w:hAnsi="宋体" w:eastAsia="宋体" w:cs="宋体"/>
          <w:b/>
          <w:bCs/>
          <w:color w:val="auto"/>
          <w:sz w:val="36"/>
          <w:szCs w:val="36"/>
          <w:highlight w:val="none"/>
        </w:rPr>
      </w:pPr>
    </w:p>
    <w:p>
      <w:pPr>
        <w:spacing w:line="360" w:lineRule="auto"/>
        <w:jc w:val="center"/>
        <w:rPr>
          <w:rFonts w:hint="eastAsia" w:ascii="宋体" w:hAnsi="宋体" w:eastAsia="宋体" w:cs="宋体"/>
          <w:b/>
          <w:bCs/>
          <w:color w:val="auto"/>
          <w:sz w:val="36"/>
          <w:szCs w:val="36"/>
          <w:highlight w:val="none"/>
        </w:rPr>
      </w:pPr>
    </w:p>
    <w:p>
      <w:pPr>
        <w:spacing w:line="360" w:lineRule="auto"/>
        <w:jc w:val="center"/>
        <w:rPr>
          <w:rFonts w:hint="eastAsia" w:ascii="宋体" w:hAnsi="宋体" w:eastAsia="宋体" w:cs="宋体"/>
          <w:b/>
          <w:bCs/>
          <w:color w:val="auto"/>
          <w:sz w:val="36"/>
          <w:szCs w:val="36"/>
          <w:highlight w:val="none"/>
        </w:rPr>
      </w:pPr>
    </w:p>
    <w:p>
      <w:pPr>
        <w:spacing w:line="360" w:lineRule="auto"/>
        <w:jc w:val="center"/>
        <w:rPr>
          <w:rFonts w:hint="eastAsia" w:ascii="宋体" w:hAnsi="宋体" w:eastAsia="宋体" w:cs="宋体"/>
          <w:b/>
          <w:bCs/>
          <w:color w:val="auto"/>
          <w:sz w:val="36"/>
          <w:szCs w:val="36"/>
          <w:highlight w:val="none"/>
        </w:rPr>
      </w:pPr>
    </w:p>
    <w:p>
      <w:pPr>
        <w:spacing w:line="360" w:lineRule="auto"/>
        <w:jc w:val="center"/>
        <w:rPr>
          <w:rFonts w:hint="eastAsia" w:ascii="宋体" w:hAnsi="宋体" w:eastAsia="宋体" w:cs="宋体"/>
          <w:b/>
          <w:bCs/>
          <w:color w:val="auto"/>
          <w:sz w:val="36"/>
          <w:szCs w:val="36"/>
          <w:highlight w:val="none"/>
        </w:rPr>
      </w:pPr>
    </w:p>
    <w:p>
      <w:pPr>
        <w:spacing w:line="360" w:lineRule="auto"/>
        <w:jc w:val="center"/>
        <w:rPr>
          <w:rFonts w:hint="eastAsia" w:ascii="宋体" w:hAnsi="宋体" w:eastAsia="宋体" w:cs="宋体"/>
          <w:b/>
          <w:bCs/>
          <w:color w:val="auto"/>
          <w:sz w:val="36"/>
          <w:szCs w:val="36"/>
          <w:highlight w:val="none"/>
        </w:rPr>
      </w:pPr>
    </w:p>
    <w:p>
      <w:pPr>
        <w:spacing w:line="360" w:lineRule="auto"/>
        <w:jc w:val="center"/>
        <w:rPr>
          <w:rFonts w:hint="eastAsia" w:ascii="宋体" w:hAnsi="宋体" w:eastAsia="宋体" w:cs="宋体"/>
          <w:b/>
          <w:bCs/>
          <w:color w:val="auto"/>
          <w:sz w:val="36"/>
          <w:szCs w:val="36"/>
          <w:highlight w:val="none"/>
        </w:rPr>
      </w:pPr>
    </w:p>
    <w:p>
      <w:pPr>
        <w:spacing w:line="360" w:lineRule="auto"/>
        <w:jc w:val="center"/>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t>第五章</w:t>
      </w:r>
      <w:r>
        <w:rPr>
          <w:rFonts w:hint="eastAsia" w:ascii="宋体" w:hAnsi="宋体" w:eastAsia="宋体" w:cs="宋体"/>
          <w:b/>
          <w:bCs/>
          <w:color w:val="auto"/>
          <w:sz w:val="36"/>
          <w:szCs w:val="36"/>
          <w:highlight w:val="none"/>
          <w:lang w:val="en-US" w:eastAsia="zh-CN"/>
        </w:rPr>
        <w:t xml:space="preserve"> </w:t>
      </w:r>
      <w:r>
        <w:rPr>
          <w:rFonts w:hint="eastAsia" w:ascii="宋体" w:hAnsi="宋体" w:eastAsia="宋体" w:cs="宋体"/>
          <w:b/>
          <w:bCs/>
          <w:color w:val="auto"/>
          <w:sz w:val="36"/>
          <w:szCs w:val="36"/>
          <w:highlight w:val="none"/>
        </w:rPr>
        <w:t>合同主要条款</w:t>
      </w:r>
    </w:p>
    <w:p>
      <w:pPr>
        <w:keepNext w:val="0"/>
        <w:keepLines w:val="0"/>
        <w:pageBreakBefore w:val="0"/>
        <w:kinsoku/>
        <w:wordWrap/>
        <w:overflowPunct/>
        <w:topLinePunct w:val="0"/>
        <w:bidi w:val="0"/>
        <w:snapToGrid/>
        <w:spacing w:line="360" w:lineRule="auto"/>
        <w:ind w:left="1200" w:hanging="1205" w:hangingChars="500"/>
        <w:textAlignment w:val="auto"/>
        <w:rPr>
          <w:rFonts w:hint="eastAsia" w:ascii="宋体" w:hAnsi="宋体" w:eastAsia="宋体" w:cs="宋体"/>
          <w:b/>
          <w:bCs/>
          <w:color w:val="auto"/>
          <w:sz w:val="24"/>
          <w:szCs w:val="24"/>
          <w:highlight w:val="none"/>
        </w:rPr>
      </w:pPr>
    </w:p>
    <w:p>
      <w:pPr>
        <w:keepNext w:val="0"/>
        <w:keepLines w:val="0"/>
        <w:pageBreakBefore w:val="0"/>
        <w:widowControl w:val="0"/>
        <w:kinsoku/>
        <w:wordWrap/>
        <w:overflowPunct/>
        <w:topLinePunct w:val="0"/>
        <w:bidi w:val="0"/>
        <w:snapToGrid/>
        <w:spacing w:line="450" w:lineRule="exact"/>
        <w:ind w:left="1200" w:hanging="1205" w:hangingChars="500"/>
        <w:textAlignment w:val="auto"/>
        <w:rPr>
          <w:rFonts w:hint="eastAsia" w:ascii="宋体" w:hAnsi="宋体" w:eastAsia="宋体" w:cs="宋体"/>
          <w:color w:val="auto"/>
          <w:sz w:val="24"/>
          <w:szCs w:val="24"/>
          <w:highlight w:val="none"/>
          <w:lang w:eastAsia="zh-CN"/>
        </w:rPr>
      </w:pPr>
      <w:r>
        <w:rPr>
          <w:rFonts w:hint="eastAsia" w:ascii="宋体" w:hAnsi="宋体" w:eastAsia="宋体" w:cs="宋体"/>
          <w:b/>
          <w:bCs/>
          <w:color w:val="auto"/>
          <w:sz w:val="24"/>
          <w:szCs w:val="24"/>
          <w:highlight w:val="none"/>
        </w:rPr>
        <w:t>项目名称：</w:t>
      </w:r>
      <w:r>
        <w:rPr>
          <w:rFonts w:hint="eastAsia" w:ascii="宋体" w:hAnsi="宋体" w:eastAsia="宋体" w:cs="宋体"/>
          <w:color w:val="auto"/>
          <w:sz w:val="24"/>
          <w:szCs w:val="24"/>
          <w:highlight w:val="none"/>
          <w:u w:val="single"/>
          <w:lang w:eastAsia="zh-CN"/>
        </w:rPr>
        <w:t>“数字黄岩”智慧城市基础设施提升工程--智慧公安（基层治理能力提升工程-行指舆情）</w:t>
      </w:r>
    </w:p>
    <w:p>
      <w:pPr>
        <w:keepNext w:val="0"/>
        <w:keepLines w:val="0"/>
        <w:pageBreakBefore w:val="0"/>
        <w:widowControl w:val="0"/>
        <w:kinsoku/>
        <w:wordWrap/>
        <w:overflowPunct/>
        <w:topLinePunct w:val="0"/>
        <w:bidi w:val="0"/>
        <w:snapToGrid/>
        <w:spacing w:line="450" w:lineRule="exact"/>
        <w:textAlignment w:val="auto"/>
        <w:rPr>
          <w:rFonts w:hint="eastAsia" w:ascii="宋体" w:hAnsi="宋体" w:eastAsia="宋体" w:cs="宋体"/>
          <w:color w:val="auto"/>
          <w:sz w:val="24"/>
          <w:szCs w:val="24"/>
          <w:highlight w:val="none"/>
          <w:lang w:eastAsia="zh-CN"/>
        </w:rPr>
      </w:pPr>
      <w:r>
        <w:rPr>
          <w:rFonts w:hint="eastAsia" w:ascii="宋体" w:hAnsi="宋体" w:eastAsia="宋体" w:cs="宋体"/>
          <w:b/>
          <w:bCs/>
          <w:color w:val="auto"/>
          <w:sz w:val="24"/>
          <w:szCs w:val="24"/>
          <w:highlight w:val="none"/>
        </w:rPr>
        <w:t>项目编号：</w:t>
      </w:r>
      <w:r>
        <w:rPr>
          <w:rFonts w:hint="eastAsia" w:ascii="宋体" w:hAnsi="宋体" w:eastAsia="宋体" w:cs="宋体"/>
          <w:color w:val="auto"/>
          <w:sz w:val="24"/>
          <w:szCs w:val="24"/>
          <w:highlight w:val="none"/>
          <w:u w:val="single"/>
          <w:lang w:eastAsia="zh-CN"/>
        </w:rPr>
        <w:t>ZJWS2022-HYCMJT09</w:t>
      </w:r>
    </w:p>
    <w:p>
      <w:pPr>
        <w:keepNext w:val="0"/>
        <w:keepLines w:val="0"/>
        <w:pageBreakBefore w:val="0"/>
        <w:widowControl w:val="0"/>
        <w:kinsoku/>
        <w:wordWrap/>
        <w:overflowPunct/>
        <w:topLinePunct w:val="0"/>
        <w:bidi w:val="0"/>
        <w:snapToGrid/>
        <w:spacing w:line="450" w:lineRule="exact"/>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甲方（采购人）：</w:t>
      </w:r>
      <w:r>
        <w:rPr>
          <w:rFonts w:hint="eastAsia" w:ascii="宋体" w:hAnsi="宋体" w:eastAsia="宋体" w:cs="宋体"/>
          <w:color w:val="auto"/>
          <w:sz w:val="24"/>
          <w:szCs w:val="24"/>
          <w:highlight w:val="none"/>
          <w:u w:val="single"/>
          <w:lang w:eastAsia="zh-CN"/>
        </w:rPr>
        <w:t>台州市黄岩区传媒集团（台州市黄岩区广播电视台）</w:t>
      </w:r>
    </w:p>
    <w:p>
      <w:pPr>
        <w:keepNext w:val="0"/>
        <w:keepLines w:val="0"/>
        <w:pageBreakBefore w:val="0"/>
        <w:widowControl w:val="0"/>
        <w:kinsoku/>
        <w:wordWrap/>
        <w:overflowPunct/>
        <w:topLinePunct w:val="0"/>
        <w:bidi w:val="0"/>
        <w:snapToGrid/>
        <w:spacing w:line="450" w:lineRule="exact"/>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rPr>
        <w:t>乙方（中标人）：</w:t>
      </w:r>
      <w:r>
        <w:rPr>
          <w:rFonts w:hint="eastAsia" w:ascii="宋体" w:hAnsi="宋体" w:eastAsia="宋体" w:cs="宋体"/>
          <w:color w:val="auto"/>
          <w:sz w:val="24"/>
          <w:szCs w:val="24"/>
          <w:highlight w:val="none"/>
          <w:u w:val="single"/>
          <w:lang w:val="en-US" w:eastAsia="zh-CN"/>
        </w:rPr>
        <w:t xml:space="preserve">                                              </w:t>
      </w:r>
    </w:p>
    <w:p>
      <w:pPr>
        <w:keepNext w:val="0"/>
        <w:keepLines w:val="0"/>
        <w:pageBreakBefore w:val="0"/>
        <w:widowControl w:val="0"/>
        <w:kinsoku/>
        <w:wordWrap/>
        <w:overflowPunct/>
        <w:topLinePunct w:val="0"/>
        <w:bidi w:val="0"/>
        <w:snapToGrid/>
        <w:spacing w:line="45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根据</w:t>
      </w:r>
      <w:r>
        <w:rPr>
          <w:rFonts w:hint="eastAsia" w:ascii="宋体" w:hAnsi="宋体" w:cs="宋体"/>
          <w:color w:val="auto"/>
          <w:sz w:val="24"/>
          <w:szCs w:val="24"/>
          <w:highlight w:val="none"/>
          <w:lang w:eastAsia="zh-CN"/>
        </w:rPr>
        <w:t>“数字黄岩”智慧城市基础设施提升工程--智慧公安（基层治理能力提升工程-行指舆情）</w:t>
      </w:r>
      <w:r>
        <w:rPr>
          <w:rFonts w:hint="eastAsia" w:ascii="宋体" w:hAnsi="宋体" w:cs="宋体"/>
          <w:color w:val="auto"/>
          <w:sz w:val="24"/>
          <w:szCs w:val="24"/>
          <w:highlight w:val="none"/>
        </w:rPr>
        <w:t>的招标结果，经双方协商一致，达成以下条款：</w:t>
      </w:r>
    </w:p>
    <w:p>
      <w:pPr>
        <w:keepNext w:val="0"/>
        <w:keepLines w:val="0"/>
        <w:pageBreakBefore w:val="0"/>
        <w:widowControl w:val="0"/>
        <w:kinsoku/>
        <w:wordWrap/>
        <w:overflowPunct/>
        <w:topLinePunct w:val="0"/>
        <w:bidi w:val="0"/>
        <w:snapToGrid/>
        <w:spacing w:line="450" w:lineRule="exact"/>
        <w:textAlignment w:val="auto"/>
        <w:rPr>
          <w:rFonts w:ascii="宋体" w:hAnsi="宋体" w:cs="宋体"/>
          <w:b/>
          <w:bCs/>
          <w:color w:val="auto"/>
          <w:sz w:val="24"/>
          <w:szCs w:val="24"/>
          <w:highlight w:val="none"/>
        </w:rPr>
      </w:pPr>
      <w:r>
        <w:rPr>
          <w:rFonts w:hint="eastAsia" w:ascii="宋体" w:hAnsi="宋体" w:cs="宋体"/>
          <w:b/>
          <w:bCs/>
          <w:color w:val="auto"/>
          <w:sz w:val="24"/>
          <w:szCs w:val="24"/>
          <w:highlight w:val="none"/>
        </w:rPr>
        <w:t>第一条：承包内容</w:t>
      </w:r>
    </w:p>
    <w:p>
      <w:pPr>
        <w:keepNext w:val="0"/>
        <w:keepLines w:val="0"/>
        <w:pageBreakBefore w:val="0"/>
        <w:widowControl w:val="0"/>
        <w:kinsoku/>
        <w:wordWrap/>
        <w:overflowPunct/>
        <w:topLinePunct w:val="0"/>
        <w:bidi w:val="0"/>
        <w:snapToGrid/>
        <w:spacing w:line="45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“数字黄岩”智慧城市基础设施提升工程--智慧公安（基层治理能力提升工程-行指舆情）</w:t>
      </w:r>
      <w:r>
        <w:rPr>
          <w:rFonts w:hint="eastAsia" w:ascii="宋体" w:hAnsi="宋体" w:eastAsia="宋体" w:cs="宋体"/>
          <w:color w:val="auto"/>
          <w:sz w:val="24"/>
          <w:szCs w:val="24"/>
          <w:highlight w:val="none"/>
        </w:rPr>
        <w:t>，包括项目</w:t>
      </w:r>
      <w:r>
        <w:rPr>
          <w:rFonts w:hint="eastAsia" w:ascii="宋体" w:hAnsi="宋体" w:eastAsia="宋体" w:cs="宋体"/>
          <w:color w:val="auto"/>
          <w:sz w:val="24"/>
          <w:szCs w:val="24"/>
          <w:highlight w:val="none"/>
          <w:lang w:val="en-US" w:eastAsia="zh-CN"/>
        </w:rPr>
        <w:t>建设</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实施</w:t>
      </w:r>
      <w:r>
        <w:rPr>
          <w:rFonts w:hint="eastAsia" w:ascii="宋体" w:hAnsi="宋体" w:eastAsia="宋体" w:cs="宋体"/>
          <w:color w:val="auto"/>
          <w:sz w:val="24"/>
          <w:szCs w:val="24"/>
          <w:highlight w:val="none"/>
        </w:rPr>
        <w:t>、直至验收合格及售后服务等。</w:t>
      </w:r>
    </w:p>
    <w:p>
      <w:pPr>
        <w:keepNext w:val="0"/>
        <w:keepLines w:val="0"/>
        <w:pageBreakBefore w:val="0"/>
        <w:widowControl w:val="0"/>
        <w:kinsoku/>
        <w:wordWrap/>
        <w:overflowPunct/>
        <w:topLinePunct w:val="0"/>
        <w:bidi w:val="0"/>
        <w:snapToGrid/>
        <w:spacing w:line="450" w:lineRule="exact"/>
        <w:textAlignment w:val="auto"/>
        <w:rPr>
          <w:rFonts w:ascii="宋体" w:hAnsi="宋体" w:cs="宋体"/>
          <w:b/>
          <w:bCs/>
          <w:color w:val="auto"/>
          <w:sz w:val="24"/>
          <w:szCs w:val="24"/>
          <w:highlight w:val="none"/>
        </w:rPr>
      </w:pPr>
      <w:r>
        <w:rPr>
          <w:rFonts w:hint="eastAsia" w:ascii="宋体" w:hAnsi="宋体" w:cs="宋体"/>
          <w:b/>
          <w:bCs/>
          <w:color w:val="auto"/>
          <w:sz w:val="24"/>
          <w:szCs w:val="24"/>
          <w:highlight w:val="none"/>
        </w:rPr>
        <w:t>第二条：合同金额</w:t>
      </w:r>
    </w:p>
    <w:p>
      <w:pPr>
        <w:keepNext w:val="0"/>
        <w:keepLines w:val="0"/>
        <w:pageBreakBefore w:val="0"/>
        <w:widowControl w:val="0"/>
        <w:kinsoku/>
        <w:wordWrap/>
        <w:overflowPunct/>
        <w:topLinePunct w:val="0"/>
        <w:bidi w:val="0"/>
        <w:snapToGrid/>
        <w:spacing w:line="45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本合同金额为（大写）：</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元（¥</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元）人民币。</w:t>
      </w:r>
    </w:p>
    <w:p>
      <w:pPr>
        <w:keepNext w:val="0"/>
        <w:keepLines w:val="0"/>
        <w:pageBreakBefore w:val="0"/>
        <w:widowControl w:val="0"/>
        <w:kinsoku/>
        <w:wordWrap/>
        <w:overflowPunct/>
        <w:topLinePunct w:val="0"/>
        <w:bidi w:val="0"/>
        <w:snapToGrid/>
        <w:spacing w:line="450" w:lineRule="exac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第三条：</w:t>
      </w:r>
      <w:r>
        <w:rPr>
          <w:rFonts w:hint="eastAsia" w:ascii="宋体" w:hAnsi="宋体" w:eastAsia="宋体" w:cs="宋体"/>
          <w:b/>
          <w:bCs/>
          <w:color w:val="auto"/>
          <w:sz w:val="24"/>
          <w:szCs w:val="24"/>
          <w:highlight w:val="none"/>
          <w:lang w:val="en-US" w:eastAsia="zh-CN"/>
        </w:rPr>
        <w:t>建设工</w:t>
      </w:r>
      <w:r>
        <w:rPr>
          <w:rFonts w:hint="eastAsia" w:ascii="宋体" w:hAnsi="宋体" w:eastAsia="宋体" w:cs="宋体"/>
          <w:b/>
          <w:bCs/>
          <w:color w:val="auto"/>
          <w:sz w:val="24"/>
          <w:szCs w:val="24"/>
          <w:highlight w:val="none"/>
        </w:rPr>
        <w:t>期、验收方式及地点</w:t>
      </w:r>
    </w:p>
    <w:p>
      <w:pPr>
        <w:keepNext w:val="0"/>
        <w:keepLines w:val="0"/>
        <w:pageBreakBefore w:val="0"/>
        <w:widowControl w:val="0"/>
        <w:kinsoku/>
        <w:wordWrap/>
        <w:overflowPunct/>
        <w:topLinePunct w:val="0"/>
        <w:bidi w:val="0"/>
        <w:snapToGrid/>
        <w:spacing w:line="45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建设工</w:t>
      </w:r>
      <w:r>
        <w:rPr>
          <w:rFonts w:hint="eastAsia" w:ascii="宋体" w:hAnsi="宋体" w:eastAsia="宋体" w:cs="宋体"/>
          <w:color w:val="auto"/>
          <w:sz w:val="24"/>
          <w:szCs w:val="24"/>
          <w:highlight w:val="none"/>
        </w:rPr>
        <w:t>期：</w:t>
      </w:r>
    </w:p>
    <w:p>
      <w:pPr>
        <w:keepNext w:val="0"/>
        <w:keepLines w:val="0"/>
        <w:pageBreakBefore w:val="0"/>
        <w:widowControl w:val="0"/>
        <w:kinsoku/>
        <w:wordWrap/>
        <w:overflowPunct/>
        <w:topLinePunct w:val="0"/>
        <w:bidi w:val="0"/>
        <w:snapToGrid/>
        <w:spacing w:line="45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验收方式及地点：按</w:t>
      </w:r>
      <w:r>
        <w:rPr>
          <w:rFonts w:hint="eastAsia" w:ascii="宋体" w:hAnsi="宋体" w:eastAsia="宋体" w:cs="宋体"/>
          <w:color w:val="auto"/>
          <w:sz w:val="24"/>
          <w:szCs w:val="24"/>
          <w:highlight w:val="none"/>
          <w:lang w:eastAsia="zh-CN"/>
        </w:rPr>
        <w:t>台州市黄岩区传媒集团（台州市黄岩区广播电视台）</w:t>
      </w:r>
      <w:r>
        <w:rPr>
          <w:rFonts w:hint="eastAsia" w:ascii="宋体" w:hAnsi="宋体" w:eastAsia="宋体" w:cs="宋体"/>
          <w:color w:val="auto"/>
          <w:sz w:val="24"/>
          <w:szCs w:val="24"/>
          <w:highlight w:val="none"/>
        </w:rPr>
        <w:t>指定的方式、地点验收。</w:t>
      </w:r>
    </w:p>
    <w:p>
      <w:pPr>
        <w:keepNext w:val="0"/>
        <w:keepLines w:val="0"/>
        <w:pageBreakBefore w:val="0"/>
        <w:widowControl w:val="0"/>
        <w:kinsoku/>
        <w:wordWrap/>
        <w:overflowPunct/>
        <w:topLinePunct w:val="0"/>
        <w:bidi w:val="0"/>
        <w:snapToGrid/>
        <w:spacing w:line="450" w:lineRule="exac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第四条：免费质保期</w:t>
      </w:r>
    </w:p>
    <w:p>
      <w:pPr>
        <w:keepNext w:val="0"/>
        <w:keepLines w:val="0"/>
        <w:pageBreakBefore w:val="0"/>
        <w:widowControl w:val="0"/>
        <w:kinsoku/>
        <w:wordWrap/>
        <w:overflowPunct/>
        <w:topLinePunct w:val="0"/>
        <w:bidi w:val="0"/>
        <w:snapToGrid/>
        <w:spacing w:line="45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免费维保</w:t>
      </w:r>
      <w:r>
        <w:rPr>
          <w:rFonts w:hint="eastAsia" w:ascii="宋体" w:hAnsi="宋体" w:eastAsia="宋体" w:cs="宋体"/>
          <w:color w:val="auto"/>
          <w:sz w:val="24"/>
          <w:szCs w:val="24"/>
          <w:highlight w:val="none"/>
        </w:rPr>
        <w:t>期：</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en-US" w:eastAsia="zh-CN"/>
        </w:rPr>
        <w:t>年。</w:t>
      </w:r>
      <w:r>
        <w:rPr>
          <w:rFonts w:hint="eastAsia" w:ascii="宋体" w:hAnsi="宋体" w:eastAsia="宋体" w:cs="宋体"/>
          <w:color w:val="auto"/>
          <w:sz w:val="24"/>
          <w:szCs w:val="24"/>
          <w:highlight w:val="none"/>
        </w:rPr>
        <w:t>（自</w:t>
      </w:r>
      <w:r>
        <w:rPr>
          <w:rFonts w:hint="eastAsia" w:ascii="宋体" w:hAnsi="宋体" w:eastAsia="宋体" w:cs="宋体"/>
          <w:color w:val="auto"/>
          <w:sz w:val="24"/>
          <w:szCs w:val="24"/>
          <w:highlight w:val="none"/>
          <w:lang w:val="en-US" w:eastAsia="zh-CN"/>
        </w:rPr>
        <w:t>终验</w:t>
      </w:r>
      <w:r>
        <w:rPr>
          <w:rFonts w:hint="eastAsia" w:ascii="宋体" w:hAnsi="宋体" w:eastAsia="宋体" w:cs="宋体"/>
          <w:color w:val="auto"/>
          <w:sz w:val="24"/>
          <w:szCs w:val="24"/>
          <w:highlight w:val="none"/>
        </w:rPr>
        <w:t>合格之日起计算）</w:t>
      </w:r>
    </w:p>
    <w:p>
      <w:pPr>
        <w:keepNext w:val="0"/>
        <w:keepLines w:val="0"/>
        <w:pageBreakBefore w:val="0"/>
        <w:widowControl w:val="0"/>
        <w:kinsoku/>
        <w:wordWrap/>
        <w:overflowPunct/>
        <w:topLinePunct w:val="0"/>
        <w:bidi w:val="0"/>
        <w:snapToGrid/>
        <w:spacing w:line="450" w:lineRule="exact"/>
        <w:textAlignment w:val="auto"/>
        <w:rPr>
          <w:rFonts w:hint="eastAsia" w:ascii="宋体" w:hAnsi="宋体" w:eastAsia="宋体" w:cs="宋体"/>
          <w:b/>
          <w:bCs/>
          <w:color w:val="auto"/>
          <w:sz w:val="24"/>
          <w:szCs w:val="24"/>
          <w:highlight w:val="none"/>
          <w:lang w:val="zh-CN" w:eastAsia="zh-CN"/>
        </w:rPr>
      </w:pPr>
      <w:r>
        <w:rPr>
          <w:rFonts w:hint="eastAsia" w:ascii="宋体" w:hAnsi="宋体" w:eastAsia="宋体" w:cs="宋体"/>
          <w:b/>
          <w:bCs/>
          <w:color w:val="auto"/>
          <w:sz w:val="24"/>
          <w:szCs w:val="24"/>
          <w:highlight w:val="none"/>
          <w:lang w:val="en-US" w:eastAsia="zh-CN"/>
        </w:rPr>
        <w:t>第五条：</w:t>
      </w:r>
      <w:r>
        <w:rPr>
          <w:rFonts w:hint="eastAsia" w:ascii="宋体" w:hAnsi="宋体" w:eastAsia="宋体" w:cs="宋体"/>
          <w:b/>
          <w:bCs/>
          <w:color w:val="auto"/>
          <w:sz w:val="24"/>
          <w:szCs w:val="24"/>
          <w:highlight w:val="none"/>
          <w:lang w:val="zh-CN" w:eastAsia="zh-CN"/>
        </w:rPr>
        <w:t>技术资料</w:t>
      </w:r>
    </w:p>
    <w:p>
      <w:pPr>
        <w:keepNext w:val="0"/>
        <w:keepLines w:val="0"/>
        <w:pageBreakBefore w:val="0"/>
        <w:widowControl w:val="0"/>
        <w:kinsoku/>
        <w:wordWrap/>
        <w:overflowPunct/>
        <w:topLinePunct w:val="0"/>
        <w:bidi w:val="0"/>
        <w:snapToGrid/>
        <w:spacing w:line="45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1.乙方应按</w:t>
      </w:r>
      <w:r>
        <w:rPr>
          <w:rFonts w:hint="eastAsia" w:ascii="宋体" w:hAnsi="宋体" w:eastAsia="宋体" w:cs="宋体"/>
          <w:color w:val="auto"/>
          <w:sz w:val="24"/>
          <w:szCs w:val="24"/>
          <w:highlight w:val="none"/>
          <w:lang w:val="en-US" w:eastAsia="zh-CN"/>
        </w:rPr>
        <w:t>招标</w:t>
      </w:r>
      <w:r>
        <w:rPr>
          <w:rFonts w:hint="eastAsia" w:ascii="宋体" w:hAnsi="宋体" w:eastAsia="宋体" w:cs="宋体"/>
          <w:color w:val="auto"/>
          <w:sz w:val="24"/>
          <w:szCs w:val="24"/>
          <w:highlight w:val="none"/>
        </w:rPr>
        <w:t>文件规定的时间向甲方提供</w:t>
      </w:r>
      <w:r>
        <w:rPr>
          <w:rFonts w:hint="eastAsia" w:ascii="宋体" w:hAnsi="宋体" w:eastAsia="宋体" w:cs="宋体"/>
          <w:color w:val="auto"/>
          <w:sz w:val="24"/>
          <w:szCs w:val="24"/>
          <w:highlight w:val="none"/>
          <w:lang w:val="en-US" w:eastAsia="zh-CN"/>
        </w:rPr>
        <w:t>产品、</w:t>
      </w:r>
      <w:r>
        <w:rPr>
          <w:rFonts w:hint="eastAsia" w:ascii="宋体" w:hAnsi="宋体" w:eastAsia="宋体" w:cs="宋体"/>
          <w:color w:val="auto"/>
          <w:sz w:val="24"/>
          <w:szCs w:val="24"/>
          <w:highlight w:val="none"/>
        </w:rPr>
        <w:t>服务及指导。</w:t>
      </w:r>
    </w:p>
    <w:p>
      <w:pPr>
        <w:keepNext w:val="0"/>
        <w:keepLines w:val="0"/>
        <w:pageBreakBefore w:val="0"/>
        <w:widowControl w:val="0"/>
        <w:kinsoku/>
        <w:wordWrap/>
        <w:overflowPunct/>
        <w:topLinePunct w:val="0"/>
        <w:bidi w:val="0"/>
        <w:snapToGrid/>
        <w:spacing w:line="45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 没有甲方事先书面同意，乙方不得将由甲方提供的有关合同或任何合同条文、规格、计划、图纸或资料提供给与履行本合同无关的任何其他人。即使向履行本合同有关的人员提供，也应注意保密并限于履行合同的必需范围。</w:t>
      </w:r>
    </w:p>
    <w:p>
      <w:pPr>
        <w:keepNext w:val="0"/>
        <w:keepLines w:val="0"/>
        <w:pageBreakBefore w:val="0"/>
        <w:widowControl w:val="0"/>
        <w:kinsoku/>
        <w:wordWrap/>
        <w:overflowPunct/>
        <w:topLinePunct w:val="0"/>
        <w:bidi w:val="0"/>
        <w:snapToGrid/>
        <w:spacing w:line="450" w:lineRule="exact"/>
        <w:textAlignment w:val="auto"/>
        <w:rPr>
          <w:rFonts w:hint="eastAsia" w:ascii="宋体" w:hAnsi="宋体" w:eastAsia="宋体" w:cs="宋体"/>
          <w:b/>
          <w:bCs/>
          <w:color w:val="auto"/>
          <w:sz w:val="24"/>
          <w:szCs w:val="24"/>
          <w:highlight w:val="none"/>
          <w:lang w:val="zh-CN" w:eastAsia="zh-CN"/>
        </w:rPr>
      </w:pPr>
      <w:r>
        <w:rPr>
          <w:rFonts w:hint="eastAsia" w:ascii="宋体" w:hAnsi="宋体" w:eastAsia="宋体" w:cs="宋体"/>
          <w:b/>
          <w:bCs/>
          <w:color w:val="auto"/>
          <w:sz w:val="24"/>
          <w:szCs w:val="24"/>
          <w:highlight w:val="none"/>
          <w:lang w:val="en-US" w:eastAsia="zh-CN"/>
        </w:rPr>
        <w:t>第六条：</w:t>
      </w:r>
      <w:r>
        <w:rPr>
          <w:rFonts w:hint="eastAsia" w:ascii="宋体" w:hAnsi="宋体" w:eastAsia="宋体" w:cs="宋体"/>
          <w:b/>
          <w:bCs/>
          <w:color w:val="auto"/>
          <w:sz w:val="24"/>
          <w:szCs w:val="24"/>
          <w:highlight w:val="none"/>
          <w:lang w:val="zh-CN" w:eastAsia="zh-CN"/>
        </w:rPr>
        <w:t>知识产权</w:t>
      </w:r>
    </w:p>
    <w:p>
      <w:pPr>
        <w:keepNext w:val="0"/>
        <w:keepLines w:val="0"/>
        <w:pageBreakBefore w:val="0"/>
        <w:widowControl w:val="0"/>
        <w:kinsoku/>
        <w:wordWrap/>
        <w:overflowPunct/>
        <w:topLinePunct w:val="0"/>
        <w:bidi w:val="0"/>
        <w:snapToGrid/>
        <w:spacing w:line="45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1.乙方应保证所提供的服务、产品或其任何一部分均不会侵犯任何第三方的知识产权。</w:t>
      </w:r>
    </w:p>
    <w:p>
      <w:pPr>
        <w:keepNext w:val="0"/>
        <w:keepLines w:val="0"/>
        <w:pageBreakBefore w:val="0"/>
        <w:widowControl w:val="0"/>
        <w:kinsoku/>
        <w:wordWrap/>
        <w:overflowPunct/>
        <w:topLinePunct w:val="0"/>
        <w:bidi w:val="0"/>
        <w:snapToGrid/>
        <w:spacing w:line="45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2.若侵犯,由乙方赔偿甲方因此遭受的损失（包括但不限于应对及追偿过程中所支付的律师费、差旅费、诉讼费、保全费、鉴定费、评估费等）。</w:t>
      </w:r>
    </w:p>
    <w:p>
      <w:pPr>
        <w:keepNext w:val="0"/>
        <w:keepLines w:val="0"/>
        <w:pageBreakBefore w:val="0"/>
        <w:widowControl w:val="0"/>
        <w:kinsoku/>
        <w:wordWrap/>
        <w:overflowPunct/>
        <w:topLinePunct w:val="0"/>
        <w:bidi w:val="0"/>
        <w:snapToGrid/>
        <w:spacing w:line="450" w:lineRule="exac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第七条：</w:t>
      </w:r>
      <w:r>
        <w:rPr>
          <w:rFonts w:hint="eastAsia" w:ascii="宋体" w:hAnsi="宋体" w:eastAsia="宋体" w:cs="宋体"/>
          <w:b/>
          <w:bCs/>
          <w:color w:val="auto"/>
          <w:sz w:val="24"/>
          <w:szCs w:val="24"/>
          <w:highlight w:val="none"/>
          <w:lang w:val="en-US" w:eastAsia="zh-CN"/>
        </w:rPr>
        <w:t>履约保证金</w:t>
      </w:r>
    </w:p>
    <w:p>
      <w:pPr>
        <w:pStyle w:val="25"/>
        <w:keepNext w:val="0"/>
        <w:keepLines w:val="0"/>
        <w:pageBreakBefore w:val="0"/>
        <w:widowControl w:val="0"/>
        <w:kinsoku/>
        <w:wordWrap/>
        <w:overflowPunct/>
        <w:topLinePunct w:val="0"/>
        <w:bidi w:val="0"/>
        <w:snapToGrid/>
        <w:spacing w:line="450" w:lineRule="exact"/>
        <w:ind w:firstLine="480" w:firstLineChars="200"/>
        <w:textAlignment w:val="auto"/>
        <w:rPr>
          <w:rFonts w:ascii="宋体" w:hAnsi="宋体" w:cs="宋体"/>
          <w:color w:val="auto"/>
          <w:highlight w:val="none"/>
        </w:rPr>
      </w:pPr>
      <w:r>
        <w:rPr>
          <w:rFonts w:hint="eastAsia" w:ascii="宋体" w:hAnsi="宋体" w:cs="宋体"/>
          <w:color w:val="auto"/>
          <w:highlight w:val="none"/>
        </w:rPr>
        <w:t>合同签订后</w:t>
      </w:r>
      <w:r>
        <w:rPr>
          <w:rFonts w:hint="default" w:ascii="宋体" w:hAnsi="宋体" w:cs="宋体"/>
          <w:color w:val="auto"/>
          <w:highlight w:val="none"/>
          <w:lang w:val="en-US"/>
        </w:rPr>
        <w:t>10</w:t>
      </w:r>
      <w:r>
        <w:rPr>
          <w:rFonts w:hint="eastAsia" w:ascii="宋体" w:hAnsi="宋体" w:cs="宋体"/>
          <w:color w:val="auto"/>
          <w:highlight w:val="none"/>
        </w:rPr>
        <w:t>个工作日内乙方须向甲方提交</w:t>
      </w:r>
      <w:r>
        <w:rPr>
          <w:rFonts w:ascii="宋体" w:hAnsi="宋体" w:cs="宋体"/>
          <w:color w:val="auto"/>
          <w:highlight w:val="none"/>
        </w:rPr>
        <w:t>合同总金额的</w:t>
      </w:r>
      <w:r>
        <w:rPr>
          <w:rFonts w:hint="eastAsia" w:ascii="宋体" w:hAnsi="宋体" w:cs="宋体"/>
          <w:color w:val="auto"/>
          <w:highlight w:val="none"/>
          <w:lang w:val="en-US" w:eastAsia="zh-CN"/>
        </w:rPr>
        <w:t>1</w:t>
      </w:r>
      <w:r>
        <w:rPr>
          <w:rFonts w:ascii="宋体" w:hAnsi="宋体" w:cs="宋体"/>
          <w:color w:val="auto"/>
          <w:highlight w:val="none"/>
        </w:rPr>
        <w:t>%</w:t>
      </w:r>
      <w:r>
        <w:rPr>
          <w:rFonts w:hint="eastAsia" w:ascii="宋体" w:hAnsi="宋体" w:cs="宋体"/>
          <w:color w:val="auto"/>
          <w:highlight w:val="none"/>
        </w:rPr>
        <w:t>作为履约保证金</w:t>
      </w:r>
      <w:r>
        <w:rPr>
          <w:rFonts w:ascii="宋体" w:hAnsi="宋体" w:cs="宋体"/>
          <w:color w:val="auto"/>
          <w:highlight w:val="none"/>
        </w:rPr>
        <w:t>，履约保证金以</w:t>
      </w:r>
      <w:r>
        <w:rPr>
          <w:rFonts w:hint="eastAsia" w:ascii="宋体" w:hAnsi="宋体" w:cs="宋体"/>
          <w:color w:val="auto"/>
          <w:highlight w:val="none"/>
        </w:rPr>
        <w:t>现金/转账/保函/保险/担保等</w:t>
      </w:r>
      <w:r>
        <w:rPr>
          <w:rFonts w:ascii="宋体" w:hAnsi="宋体" w:cs="宋体"/>
          <w:color w:val="auto"/>
          <w:highlight w:val="none"/>
        </w:rPr>
        <w:t>形式提交</w:t>
      </w:r>
      <w:r>
        <w:rPr>
          <w:rFonts w:hint="eastAsia" w:ascii="宋体" w:hAnsi="宋体" w:cs="宋体"/>
          <w:color w:val="auto"/>
          <w:highlight w:val="none"/>
        </w:rPr>
        <w:t>，</w:t>
      </w:r>
      <w:r>
        <w:rPr>
          <w:rFonts w:ascii="宋体" w:hAnsi="宋体" w:cs="宋体"/>
          <w:color w:val="auto"/>
          <w:highlight w:val="none"/>
        </w:rPr>
        <w:t>在</w:t>
      </w:r>
      <w:r>
        <w:rPr>
          <w:rFonts w:hint="eastAsia" w:ascii="宋体" w:hAnsi="宋体" w:cs="宋体"/>
          <w:color w:val="auto"/>
          <w:highlight w:val="none"/>
        </w:rPr>
        <w:t>项目验收结束后</w:t>
      </w:r>
      <w:r>
        <w:rPr>
          <w:rFonts w:ascii="宋体" w:hAnsi="宋体" w:cs="宋体"/>
          <w:color w:val="auto"/>
          <w:highlight w:val="none"/>
        </w:rPr>
        <w:t>7个工作日内退还</w:t>
      </w:r>
      <w:r>
        <w:rPr>
          <w:rFonts w:hint="eastAsia" w:ascii="宋体" w:hAnsi="宋体" w:cs="宋体"/>
          <w:color w:val="auto"/>
          <w:highlight w:val="none"/>
        </w:rPr>
        <w:t>或解除保函</w:t>
      </w:r>
      <w:r>
        <w:rPr>
          <w:rFonts w:ascii="宋体" w:hAnsi="宋体" w:cs="宋体"/>
          <w:color w:val="auto"/>
          <w:highlight w:val="none"/>
        </w:rPr>
        <w:t>。</w:t>
      </w:r>
    </w:p>
    <w:p>
      <w:pPr>
        <w:keepNext w:val="0"/>
        <w:keepLines w:val="0"/>
        <w:pageBreakBefore w:val="0"/>
        <w:widowControl w:val="0"/>
        <w:kinsoku/>
        <w:wordWrap/>
        <w:overflowPunct/>
        <w:topLinePunct w:val="0"/>
        <w:bidi w:val="0"/>
        <w:snapToGrid/>
        <w:spacing w:line="450" w:lineRule="exac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第</w:t>
      </w:r>
      <w:r>
        <w:rPr>
          <w:rFonts w:hint="eastAsia" w:ascii="宋体" w:hAnsi="宋体" w:eastAsia="宋体" w:cs="宋体"/>
          <w:b/>
          <w:bCs/>
          <w:color w:val="auto"/>
          <w:sz w:val="24"/>
          <w:szCs w:val="24"/>
          <w:highlight w:val="none"/>
          <w:lang w:val="en-US" w:eastAsia="zh-CN"/>
        </w:rPr>
        <w:t>八</w:t>
      </w:r>
      <w:r>
        <w:rPr>
          <w:rFonts w:hint="eastAsia" w:ascii="宋体" w:hAnsi="宋体" w:eastAsia="宋体" w:cs="宋体"/>
          <w:b/>
          <w:bCs/>
          <w:color w:val="auto"/>
          <w:sz w:val="24"/>
          <w:szCs w:val="24"/>
          <w:highlight w:val="none"/>
        </w:rPr>
        <w:t>条：付款方式</w:t>
      </w:r>
    </w:p>
    <w:p>
      <w:pPr>
        <w:keepNext w:val="0"/>
        <w:keepLines w:val="0"/>
        <w:pageBreakBefore w:val="0"/>
        <w:widowControl w:val="0"/>
        <w:kinsoku/>
        <w:wordWrap/>
        <w:overflowPunct/>
        <w:topLinePunct w:val="0"/>
        <w:bidi w:val="0"/>
        <w:snapToGrid/>
        <w:spacing w:line="450" w:lineRule="exact"/>
        <w:ind w:firstLine="480" w:firstLineChars="200"/>
        <w:textAlignment w:val="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rPr>
        <w:t>合同签订后15个工作日内支付合同总额的60%作为预付款，项目初验后15个工作日内支付合同总额的20%，项目终验后15个工作日内支付合同总额的20%。</w:t>
      </w:r>
      <w:r>
        <w:rPr>
          <w:rFonts w:hint="eastAsia" w:ascii="宋体" w:hAnsi="宋体" w:eastAsia="宋体" w:cs="宋体"/>
          <w:color w:val="auto"/>
          <w:sz w:val="24"/>
          <w:szCs w:val="24"/>
          <w:highlight w:val="none"/>
          <w:lang w:val="zh-CN" w:eastAsia="zh-CN"/>
        </w:rPr>
        <w:t>正式税务发票(增值税专用发票)应随付款进度及时提供。</w:t>
      </w:r>
    </w:p>
    <w:p>
      <w:pPr>
        <w:keepNext w:val="0"/>
        <w:keepLines w:val="0"/>
        <w:pageBreakBefore w:val="0"/>
        <w:widowControl w:val="0"/>
        <w:kinsoku/>
        <w:wordWrap/>
        <w:overflowPunct/>
        <w:topLinePunct w:val="0"/>
        <w:bidi w:val="0"/>
        <w:snapToGrid/>
        <w:spacing w:line="450" w:lineRule="exact"/>
        <w:textAlignment w:val="auto"/>
        <w:rPr>
          <w:rFonts w:hint="eastAsia" w:ascii="宋体" w:hAnsi="宋体" w:eastAsia="宋体" w:cs="宋体"/>
          <w:b/>
          <w:bCs/>
          <w:color w:val="auto"/>
          <w:sz w:val="24"/>
          <w:szCs w:val="24"/>
          <w:highlight w:val="none"/>
          <w:lang w:val="zh-CN" w:eastAsia="zh-CN"/>
        </w:rPr>
      </w:pPr>
      <w:r>
        <w:rPr>
          <w:rFonts w:hint="eastAsia" w:ascii="宋体" w:hAnsi="宋体" w:eastAsia="宋体" w:cs="宋体"/>
          <w:b/>
          <w:bCs/>
          <w:color w:val="auto"/>
          <w:sz w:val="24"/>
          <w:szCs w:val="24"/>
          <w:highlight w:val="none"/>
          <w:lang w:val="en-US" w:eastAsia="zh-CN"/>
        </w:rPr>
        <w:t>第九条：</w:t>
      </w:r>
      <w:r>
        <w:rPr>
          <w:rFonts w:hint="eastAsia" w:ascii="宋体" w:hAnsi="宋体" w:eastAsia="宋体" w:cs="宋体"/>
          <w:b/>
          <w:bCs/>
          <w:color w:val="auto"/>
          <w:sz w:val="24"/>
          <w:szCs w:val="24"/>
          <w:highlight w:val="none"/>
          <w:lang w:val="zh-CN" w:eastAsia="zh-CN"/>
        </w:rPr>
        <w:t>转包或分包</w:t>
      </w:r>
    </w:p>
    <w:p>
      <w:pPr>
        <w:keepNext w:val="0"/>
        <w:keepLines w:val="0"/>
        <w:pageBreakBefore w:val="0"/>
        <w:widowControl w:val="0"/>
        <w:kinsoku/>
        <w:wordWrap/>
        <w:overflowPunct/>
        <w:topLinePunct w:val="0"/>
        <w:bidi w:val="0"/>
        <w:snapToGrid/>
        <w:spacing w:line="45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本合同范围的</w:t>
      </w:r>
      <w:r>
        <w:rPr>
          <w:rFonts w:hint="eastAsia" w:ascii="宋体" w:hAnsi="宋体" w:eastAsia="宋体" w:cs="宋体"/>
          <w:color w:val="auto"/>
          <w:sz w:val="24"/>
          <w:szCs w:val="24"/>
          <w:highlight w:val="none"/>
          <w:lang w:val="en-US" w:eastAsia="zh-CN"/>
        </w:rPr>
        <w:t>产品及服务</w:t>
      </w:r>
      <w:r>
        <w:rPr>
          <w:rFonts w:hint="eastAsia" w:ascii="宋体" w:hAnsi="宋体" w:eastAsia="宋体" w:cs="宋体"/>
          <w:color w:val="auto"/>
          <w:sz w:val="24"/>
          <w:szCs w:val="24"/>
          <w:highlight w:val="none"/>
        </w:rPr>
        <w:t>，应由乙方直接供应，不得转让他人供应；</w:t>
      </w:r>
    </w:p>
    <w:p>
      <w:pPr>
        <w:keepNext w:val="0"/>
        <w:keepLines w:val="0"/>
        <w:pageBreakBefore w:val="0"/>
        <w:widowControl w:val="0"/>
        <w:kinsoku/>
        <w:wordWrap/>
        <w:overflowPunct/>
        <w:topLinePunct w:val="0"/>
        <w:bidi w:val="0"/>
        <w:snapToGrid/>
        <w:spacing w:line="45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除非得到甲方的书面同意，乙方不得将本合同范围的</w:t>
      </w:r>
      <w:r>
        <w:rPr>
          <w:rFonts w:hint="eastAsia" w:ascii="宋体" w:hAnsi="宋体" w:eastAsia="宋体" w:cs="宋体"/>
          <w:color w:val="auto"/>
          <w:sz w:val="24"/>
          <w:szCs w:val="24"/>
          <w:highlight w:val="none"/>
          <w:lang w:val="en-US" w:eastAsia="zh-CN"/>
        </w:rPr>
        <w:t>产品及服务</w:t>
      </w:r>
      <w:r>
        <w:rPr>
          <w:rFonts w:hint="eastAsia" w:ascii="宋体" w:hAnsi="宋体" w:eastAsia="宋体" w:cs="宋体"/>
          <w:color w:val="auto"/>
          <w:sz w:val="24"/>
          <w:szCs w:val="24"/>
          <w:highlight w:val="none"/>
        </w:rPr>
        <w:t>全部或部分分包给他人供应；</w:t>
      </w:r>
    </w:p>
    <w:p>
      <w:pPr>
        <w:keepNext w:val="0"/>
        <w:keepLines w:val="0"/>
        <w:pageBreakBefore w:val="0"/>
        <w:widowControl w:val="0"/>
        <w:kinsoku/>
        <w:wordWrap/>
        <w:overflowPunct/>
        <w:topLinePunct w:val="0"/>
        <w:bidi w:val="0"/>
        <w:snapToGrid/>
        <w:spacing w:line="45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如有转让和未经甲方同意的分包行为，甲方有权解除合同，没收履约保证金并追究乙方的违约责任。</w:t>
      </w:r>
    </w:p>
    <w:p>
      <w:pPr>
        <w:keepNext w:val="0"/>
        <w:keepLines w:val="0"/>
        <w:pageBreakBefore w:val="0"/>
        <w:widowControl w:val="0"/>
        <w:kinsoku/>
        <w:wordWrap/>
        <w:overflowPunct/>
        <w:topLinePunct w:val="0"/>
        <w:bidi w:val="0"/>
        <w:snapToGrid/>
        <w:spacing w:line="450" w:lineRule="exac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第十条：</w:t>
      </w:r>
      <w:r>
        <w:rPr>
          <w:rFonts w:hint="eastAsia" w:ascii="宋体" w:hAnsi="宋体" w:eastAsia="宋体" w:cs="宋体"/>
          <w:b/>
          <w:bCs/>
          <w:color w:val="auto"/>
          <w:sz w:val="24"/>
          <w:szCs w:val="24"/>
          <w:highlight w:val="none"/>
          <w:lang w:val="zh-CN" w:eastAsia="zh-CN"/>
        </w:rPr>
        <w:t>调试和验收</w:t>
      </w:r>
    </w:p>
    <w:p>
      <w:pPr>
        <w:keepNext w:val="0"/>
        <w:keepLines w:val="0"/>
        <w:pageBreakBefore w:val="0"/>
        <w:widowControl w:val="0"/>
        <w:kinsoku/>
        <w:wordWrap/>
        <w:overflowPunct/>
        <w:topLinePunct w:val="0"/>
        <w:bidi w:val="0"/>
        <w:snapToGrid/>
        <w:spacing w:line="45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甲方对乙方提交的产品依据招标文件上的技术规格要求和国家有关质量标准进行现场初步验收，外观、说明书符合招标文件技术要求的，给予签收，初步验收不合格的不予签收。</w:t>
      </w:r>
    </w:p>
    <w:p>
      <w:pPr>
        <w:keepNext w:val="0"/>
        <w:keepLines w:val="0"/>
        <w:pageBreakBefore w:val="0"/>
        <w:widowControl w:val="0"/>
        <w:kinsoku/>
        <w:wordWrap/>
        <w:overflowPunct/>
        <w:topLinePunct w:val="0"/>
        <w:bidi w:val="0"/>
        <w:snapToGrid/>
        <w:spacing w:line="45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乙方交付前应对产品做出全面检查和对验收文件进行整理，并列出清单，作为甲方验收和使用的技术条件依据，检验的结果应随产品交甲方。</w:t>
      </w:r>
    </w:p>
    <w:p>
      <w:pPr>
        <w:keepNext w:val="0"/>
        <w:keepLines w:val="0"/>
        <w:pageBreakBefore w:val="0"/>
        <w:widowControl w:val="0"/>
        <w:kinsoku/>
        <w:wordWrap/>
        <w:overflowPunct/>
        <w:topLinePunct w:val="0"/>
        <w:bidi w:val="0"/>
        <w:snapToGrid/>
        <w:spacing w:line="45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甲方对乙方提供的产品在使用前进行调试时，乙方需负责安装并培训甲方的使用操作人员，并协助甲方一起调试，直到符合技术要求，系统进入试运行，试运行期满</w:t>
      </w:r>
      <w:r>
        <w:rPr>
          <w:rFonts w:hint="eastAsia" w:ascii="宋体" w:hAnsi="宋体" w:eastAsia="宋体" w:cs="宋体"/>
          <w:color w:val="auto"/>
          <w:sz w:val="24"/>
          <w:szCs w:val="24"/>
          <w:highlight w:val="none"/>
          <w:lang w:eastAsia="zh-CN"/>
        </w:rPr>
        <w:t>六个月</w:t>
      </w:r>
      <w:r>
        <w:rPr>
          <w:rFonts w:hint="eastAsia" w:ascii="宋体" w:hAnsi="宋体" w:eastAsia="宋体" w:cs="宋体"/>
          <w:color w:val="auto"/>
          <w:sz w:val="24"/>
          <w:szCs w:val="24"/>
          <w:highlight w:val="none"/>
        </w:rPr>
        <w:t>无问题后，甲方才做最终验收。</w:t>
      </w:r>
    </w:p>
    <w:p>
      <w:pPr>
        <w:keepNext w:val="0"/>
        <w:keepLines w:val="0"/>
        <w:pageBreakBefore w:val="0"/>
        <w:widowControl w:val="0"/>
        <w:kinsoku/>
        <w:wordWrap/>
        <w:overflowPunct/>
        <w:topLinePunct w:val="0"/>
        <w:bidi w:val="0"/>
        <w:snapToGrid/>
        <w:spacing w:line="45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对技术复杂的产品，甲方应请国家认可的专业检测机构参与初步验收及最终验收，并由其出具质量检测报告。</w:t>
      </w:r>
    </w:p>
    <w:p>
      <w:pPr>
        <w:keepNext w:val="0"/>
        <w:keepLines w:val="0"/>
        <w:pageBreakBefore w:val="0"/>
        <w:widowControl w:val="0"/>
        <w:kinsoku/>
        <w:wordWrap/>
        <w:overflowPunct/>
        <w:topLinePunct w:val="0"/>
        <w:bidi w:val="0"/>
        <w:snapToGrid/>
        <w:spacing w:line="45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验收时乙方必须在现场，验收完毕后作出验收结果报告。</w:t>
      </w:r>
    </w:p>
    <w:p>
      <w:pPr>
        <w:keepNext w:val="0"/>
        <w:keepLines w:val="0"/>
        <w:pageBreakBefore w:val="0"/>
        <w:widowControl w:val="0"/>
        <w:kinsoku/>
        <w:wordWrap/>
        <w:overflowPunct/>
        <w:topLinePunct w:val="0"/>
        <w:bidi w:val="0"/>
        <w:snapToGrid/>
        <w:spacing w:line="450" w:lineRule="exac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第</w:t>
      </w:r>
      <w:r>
        <w:rPr>
          <w:rFonts w:hint="eastAsia" w:ascii="宋体" w:hAnsi="宋体" w:eastAsia="宋体" w:cs="宋体"/>
          <w:b/>
          <w:bCs/>
          <w:color w:val="auto"/>
          <w:sz w:val="24"/>
          <w:szCs w:val="24"/>
          <w:highlight w:val="none"/>
          <w:lang w:val="en-US" w:eastAsia="zh-CN"/>
        </w:rPr>
        <w:t>十一</w:t>
      </w:r>
      <w:r>
        <w:rPr>
          <w:rFonts w:hint="eastAsia" w:ascii="宋体" w:hAnsi="宋体" w:eastAsia="宋体" w:cs="宋体"/>
          <w:b/>
          <w:bCs/>
          <w:color w:val="auto"/>
          <w:sz w:val="24"/>
          <w:szCs w:val="24"/>
          <w:highlight w:val="none"/>
        </w:rPr>
        <w:t>条：违约责任</w:t>
      </w:r>
    </w:p>
    <w:p>
      <w:pPr>
        <w:keepNext w:val="0"/>
        <w:keepLines w:val="0"/>
        <w:pageBreakBefore w:val="0"/>
        <w:widowControl w:val="0"/>
        <w:kinsoku/>
        <w:wordWrap/>
        <w:overflowPunct/>
        <w:topLinePunct w:val="0"/>
        <w:bidi w:val="0"/>
        <w:snapToGrid/>
        <w:spacing w:line="45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1.甲方无正当理由拒收产品的，甲方向乙方偿付拒收合同金额的</w:t>
      </w:r>
      <w:r>
        <w:rPr>
          <w:rFonts w:hint="eastAsia" w:ascii="宋体" w:hAnsi="宋体" w:eastAsia="宋体" w:cs="宋体"/>
          <w:color w:val="auto"/>
          <w:sz w:val="24"/>
          <w:szCs w:val="24"/>
          <w:highlight w:val="none"/>
          <w:lang w:val="en-US" w:eastAsia="zh-CN"/>
        </w:rPr>
        <w:t>万</w:t>
      </w:r>
      <w:r>
        <w:rPr>
          <w:rFonts w:hint="eastAsia" w:ascii="宋体" w:hAnsi="宋体" w:eastAsia="宋体" w:cs="宋体"/>
          <w:color w:val="auto"/>
          <w:sz w:val="24"/>
          <w:szCs w:val="24"/>
          <w:highlight w:val="none"/>
        </w:rPr>
        <w:t>分之五违约金。</w:t>
      </w:r>
    </w:p>
    <w:p>
      <w:pPr>
        <w:keepNext w:val="0"/>
        <w:keepLines w:val="0"/>
        <w:pageBreakBefore w:val="0"/>
        <w:widowControl w:val="0"/>
        <w:kinsoku/>
        <w:wordWrap/>
        <w:overflowPunct/>
        <w:topLinePunct w:val="0"/>
        <w:bidi w:val="0"/>
        <w:snapToGrid/>
        <w:spacing w:line="45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2.甲方无故逾期验收和支付手续的,甲方应按逾期付款总额每日万分之五向乙方支付违约金。</w:t>
      </w:r>
    </w:p>
    <w:p>
      <w:pPr>
        <w:keepNext w:val="0"/>
        <w:keepLines w:val="0"/>
        <w:pageBreakBefore w:val="0"/>
        <w:widowControl w:val="0"/>
        <w:kinsoku/>
        <w:wordWrap/>
        <w:overflowPunct/>
        <w:topLinePunct w:val="0"/>
        <w:bidi w:val="0"/>
        <w:snapToGrid/>
        <w:spacing w:line="450" w:lineRule="exact"/>
        <w:ind w:firstLine="480" w:firstLineChars="200"/>
        <w:textAlignment w:val="auto"/>
        <w:rPr>
          <w:rFonts w:ascii="宋体" w:hAnsi="宋体" w:cs="宋体"/>
          <w:color w:val="auto"/>
          <w:sz w:val="24"/>
          <w:szCs w:val="32"/>
          <w:highlight w:val="none"/>
        </w:rPr>
      </w:pPr>
      <w:r>
        <w:rPr>
          <w:rFonts w:hint="eastAsia" w:ascii="宋体" w:hAnsi="宋体" w:cs="宋体"/>
          <w:color w:val="auto"/>
          <w:sz w:val="24"/>
          <w:szCs w:val="32"/>
          <w:highlight w:val="none"/>
        </w:rPr>
        <w:t>3.乙方所交的产品或服务不符合合同规定及招标文件规定标准的，甲方有权拒收该产品或服务；若乙方愿意更换产品或服务，但逾期交付产品或服务的，按乙方逾期交付处理，乙方应按逾期付款总额每日千分之六向甲方支付违约金，由甲方从待付合同款中扣除。逾期超过约定日期10个工作日不能交付的，甲方可解除本合同。乙方拒绝更换产品或服务，或者乙方在合同签订后不能交付的，甲方可单方面解除合同，乙方应向甲方偿付产品或服务总值20%的违约金，且合同履约保证金不予退还。如造成甲方损失超过违约金的，超出部分由乙方继续承担赔偿责任。</w:t>
      </w:r>
    </w:p>
    <w:p>
      <w:pPr>
        <w:keepNext w:val="0"/>
        <w:keepLines w:val="0"/>
        <w:pageBreakBefore w:val="0"/>
        <w:widowControl w:val="0"/>
        <w:kinsoku/>
        <w:wordWrap/>
        <w:overflowPunct/>
        <w:topLinePunct w:val="0"/>
        <w:bidi w:val="0"/>
        <w:snapToGrid/>
        <w:spacing w:line="450" w:lineRule="exact"/>
        <w:ind w:firstLine="480" w:firstLineChars="200"/>
        <w:textAlignment w:val="auto"/>
        <w:rPr>
          <w:rFonts w:ascii="宋体" w:hAnsi="宋体" w:cs="宋体"/>
          <w:color w:val="auto"/>
          <w:sz w:val="24"/>
          <w:szCs w:val="32"/>
          <w:highlight w:val="none"/>
        </w:rPr>
      </w:pPr>
      <w:r>
        <w:rPr>
          <w:rFonts w:hint="eastAsia" w:ascii="宋体" w:hAnsi="宋体" w:cs="宋体"/>
          <w:color w:val="auto"/>
          <w:sz w:val="24"/>
          <w:szCs w:val="32"/>
          <w:highlight w:val="none"/>
        </w:rPr>
        <w:t>4.乙方提供的产品质量低于国家标准规定的，由国家相关部门依法处理。若高于国家标准但不符招标文件规定要求的，参照上一条约定情形办理。</w:t>
      </w:r>
    </w:p>
    <w:p>
      <w:pPr>
        <w:keepNext w:val="0"/>
        <w:keepLines w:val="0"/>
        <w:pageBreakBefore w:val="0"/>
        <w:widowControl w:val="0"/>
        <w:kinsoku/>
        <w:wordWrap/>
        <w:overflowPunct/>
        <w:topLinePunct w:val="0"/>
        <w:bidi w:val="0"/>
        <w:snapToGrid/>
        <w:spacing w:line="45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若发生纠纷，由违约方赔偿守约方因纠纷所支付的费用（包括但不限于律师费、差旅费、诉讼费、保全费、鉴定费、评估费等）。</w:t>
      </w:r>
    </w:p>
    <w:p>
      <w:pPr>
        <w:keepNext w:val="0"/>
        <w:keepLines w:val="0"/>
        <w:pageBreakBefore w:val="0"/>
        <w:widowControl w:val="0"/>
        <w:kinsoku/>
        <w:wordWrap/>
        <w:overflowPunct/>
        <w:topLinePunct w:val="0"/>
        <w:bidi w:val="0"/>
        <w:snapToGrid/>
        <w:spacing w:line="450" w:lineRule="exac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第</w:t>
      </w:r>
      <w:r>
        <w:rPr>
          <w:rFonts w:hint="eastAsia" w:ascii="宋体" w:hAnsi="宋体" w:eastAsia="宋体" w:cs="宋体"/>
          <w:b/>
          <w:bCs/>
          <w:color w:val="auto"/>
          <w:sz w:val="24"/>
          <w:szCs w:val="24"/>
          <w:highlight w:val="none"/>
          <w:lang w:val="en-US" w:eastAsia="zh-CN"/>
        </w:rPr>
        <w:t>十二</w:t>
      </w:r>
      <w:r>
        <w:rPr>
          <w:rFonts w:hint="eastAsia" w:ascii="宋体" w:hAnsi="宋体" w:eastAsia="宋体" w:cs="宋体"/>
          <w:b/>
          <w:bCs/>
          <w:color w:val="auto"/>
          <w:sz w:val="24"/>
          <w:szCs w:val="24"/>
          <w:highlight w:val="none"/>
        </w:rPr>
        <w:t>条：质量保证及售后服务</w:t>
      </w:r>
    </w:p>
    <w:p>
      <w:pPr>
        <w:keepNext w:val="0"/>
        <w:keepLines w:val="0"/>
        <w:pageBreakBefore w:val="0"/>
        <w:widowControl w:val="0"/>
        <w:kinsoku/>
        <w:wordWrap/>
        <w:overflowPunct/>
        <w:topLinePunct w:val="0"/>
        <w:bidi w:val="0"/>
        <w:snapToGrid/>
        <w:spacing w:line="45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乙方应按招标文件规定的产品性能、技术要求、质量标准向甲方提供未经使用的全新产品。同时提供服务质量保证书、技术性能说明书、有关部门的检测测试报告、质量标准认证证书等相关材料。</w:t>
      </w:r>
    </w:p>
    <w:p>
      <w:pPr>
        <w:keepNext w:val="0"/>
        <w:keepLines w:val="0"/>
        <w:pageBreakBefore w:val="0"/>
        <w:widowControl w:val="0"/>
        <w:kinsoku/>
        <w:wordWrap/>
        <w:overflowPunct/>
        <w:topLinePunct w:val="0"/>
        <w:bidi w:val="0"/>
        <w:snapToGrid/>
        <w:spacing w:line="45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乙方提供的产品在质保期内因产品本身的质量问题发生故障，乙方应负责免费更换。对达不到技术要求者，根据实际情况，经双方协商，可按以下办法处理：</w:t>
      </w:r>
    </w:p>
    <w:p>
      <w:pPr>
        <w:keepNext w:val="0"/>
        <w:keepLines w:val="0"/>
        <w:pageBreakBefore w:val="0"/>
        <w:widowControl w:val="0"/>
        <w:kinsoku/>
        <w:wordWrap/>
        <w:overflowPunct/>
        <w:topLinePunct w:val="0"/>
        <w:bidi w:val="0"/>
        <w:snapToGrid/>
        <w:spacing w:line="45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⑴更换：由乙方承担所发生的全部费用。</w:t>
      </w:r>
    </w:p>
    <w:p>
      <w:pPr>
        <w:keepNext w:val="0"/>
        <w:keepLines w:val="0"/>
        <w:pageBreakBefore w:val="0"/>
        <w:widowControl w:val="0"/>
        <w:kinsoku/>
        <w:wordWrap/>
        <w:overflowPunct/>
        <w:topLinePunct w:val="0"/>
        <w:bidi w:val="0"/>
        <w:snapToGrid/>
        <w:spacing w:line="45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⑵贬值处理：由甲乙双方合议定价。</w:t>
      </w:r>
    </w:p>
    <w:p>
      <w:pPr>
        <w:keepNext w:val="0"/>
        <w:keepLines w:val="0"/>
        <w:pageBreakBefore w:val="0"/>
        <w:widowControl w:val="0"/>
        <w:kinsoku/>
        <w:wordWrap/>
        <w:overflowPunct/>
        <w:topLinePunct w:val="0"/>
        <w:bidi w:val="0"/>
        <w:snapToGrid/>
        <w:spacing w:line="45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⑶退货处理：乙方应退还甲方支付的合同款，同时应承担该产品的直接费用（运输、保险、检验、利息及银行手续费等）。</w:t>
      </w:r>
    </w:p>
    <w:p>
      <w:pPr>
        <w:keepNext w:val="0"/>
        <w:keepLines w:val="0"/>
        <w:pageBreakBefore w:val="0"/>
        <w:widowControl w:val="0"/>
        <w:kinsoku/>
        <w:wordWrap/>
        <w:overflowPunct/>
        <w:topLinePunct w:val="0"/>
        <w:bidi w:val="0"/>
        <w:snapToGrid/>
        <w:spacing w:line="45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如在使用过程中发生质量问题，乙方在接到甲方通知后在</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小时内到达甲方现场。</w:t>
      </w:r>
    </w:p>
    <w:p>
      <w:pPr>
        <w:keepNext w:val="0"/>
        <w:keepLines w:val="0"/>
        <w:pageBreakBefore w:val="0"/>
        <w:widowControl w:val="0"/>
        <w:kinsoku/>
        <w:wordWrap/>
        <w:overflowPunct/>
        <w:topLinePunct w:val="0"/>
        <w:bidi w:val="0"/>
        <w:snapToGrid/>
        <w:spacing w:line="45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在质保期内,乙方应对出现的质量及安全问题负责处理解决并承担一切费用。提供免费的维修及技术咨询服务。</w:t>
      </w:r>
    </w:p>
    <w:p>
      <w:pPr>
        <w:keepNext w:val="0"/>
        <w:keepLines w:val="0"/>
        <w:pageBreakBefore w:val="0"/>
        <w:widowControl w:val="0"/>
        <w:kinsoku/>
        <w:wordWrap/>
        <w:overflowPunct/>
        <w:topLinePunct w:val="0"/>
        <w:bidi w:val="0"/>
        <w:snapToGrid/>
        <w:spacing w:line="45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上述的产品免费保修期为</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年，保修期自终验合格之日算起，因人为因素出现的故障不在免费保修范围内。超过保修期的设备，终生维修，维修时只收部件成本费。</w:t>
      </w:r>
    </w:p>
    <w:p>
      <w:pPr>
        <w:keepNext w:val="0"/>
        <w:keepLines w:val="0"/>
        <w:pageBreakBefore w:val="0"/>
        <w:widowControl w:val="0"/>
        <w:kinsoku/>
        <w:wordWrap/>
        <w:overflowPunct/>
        <w:topLinePunct w:val="0"/>
        <w:bidi w:val="0"/>
        <w:snapToGrid/>
        <w:spacing w:line="45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培训：为使甲方对本系统能够有效使用和正确操作、维护，乙方有责任对甲方指派的操作、维护人员进行培训，培训内容包括理论培训和实际操作培训。培训内容包括维护、常见故障的排除等。</w:t>
      </w:r>
    </w:p>
    <w:p>
      <w:pPr>
        <w:keepNext w:val="0"/>
        <w:keepLines w:val="0"/>
        <w:pageBreakBefore w:val="0"/>
        <w:widowControl w:val="0"/>
        <w:kinsoku/>
        <w:wordWrap/>
        <w:overflowPunct/>
        <w:topLinePunct w:val="0"/>
        <w:bidi w:val="0"/>
        <w:snapToGrid/>
        <w:spacing w:line="450" w:lineRule="exac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第十</w:t>
      </w:r>
      <w:r>
        <w:rPr>
          <w:rFonts w:hint="eastAsia" w:ascii="宋体" w:hAnsi="宋体" w:eastAsia="宋体" w:cs="宋体"/>
          <w:b/>
          <w:bCs/>
          <w:color w:val="auto"/>
          <w:sz w:val="24"/>
          <w:szCs w:val="24"/>
          <w:highlight w:val="none"/>
          <w:lang w:val="en-US" w:eastAsia="zh-CN"/>
        </w:rPr>
        <w:t>三</w:t>
      </w:r>
      <w:r>
        <w:rPr>
          <w:rFonts w:hint="eastAsia" w:ascii="宋体" w:hAnsi="宋体" w:eastAsia="宋体" w:cs="宋体"/>
          <w:b/>
          <w:bCs/>
          <w:color w:val="auto"/>
          <w:sz w:val="24"/>
          <w:szCs w:val="24"/>
          <w:highlight w:val="none"/>
        </w:rPr>
        <w:t>条：</w:t>
      </w:r>
      <w:r>
        <w:rPr>
          <w:rFonts w:hint="eastAsia" w:ascii="宋体" w:hAnsi="宋体" w:eastAsia="宋体" w:cs="宋体"/>
          <w:b/>
          <w:bCs/>
          <w:color w:val="auto"/>
          <w:sz w:val="24"/>
          <w:szCs w:val="24"/>
          <w:highlight w:val="none"/>
          <w:lang w:val="zh-CN"/>
        </w:rPr>
        <w:t>不可抗力事件处理</w:t>
      </w:r>
    </w:p>
    <w:p>
      <w:pPr>
        <w:keepNext w:val="0"/>
        <w:keepLines w:val="0"/>
        <w:pageBreakBefore w:val="0"/>
        <w:widowControl w:val="0"/>
        <w:kinsoku/>
        <w:wordWrap/>
        <w:overflowPunct/>
        <w:topLinePunct w:val="0"/>
        <w:bidi w:val="0"/>
        <w:snapToGrid/>
        <w:spacing w:line="45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在合同有效期内，任何一方因不可抗力事件导致不能履行合同，则合同履行期可延长，其延长期与不可抗力影响期相同。</w:t>
      </w:r>
    </w:p>
    <w:p>
      <w:pPr>
        <w:keepNext w:val="0"/>
        <w:keepLines w:val="0"/>
        <w:pageBreakBefore w:val="0"/>
        <w:widowControl w:val="0"/>
        <w:kinsoku/>
        <w:wordWrap/>
        <w:overflowPunct/>
        <w:topLinePunct w:val="0"/>
        <w:bidi w:val="0"/>
        <w:snapToGrid/>
        <w:spacing w:line="45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不可抗力事件发生后，应立即通知对方，并寄送有关权威机构出具的证明。</w:t>
      </w:r>
    </w:p>
    <w:p>
      <w:pPr>
        <w:keepNext w:val="0"/>
        <w:keepLines w:val="0"/>
        <w:pageBreakBefore w:val="0"/>
        <w:widowControl w:val="0"/>
        <w:kinsoku/>
        <w:wordWrap/>
        <w:overflowPunct/>
        <w:topLinePunct w:val="0"/>
        <w:bidi w:val="0"/>
        <w:snapToGrid/>
        <w:spacing w:line="45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不可抗力事件延续120天以上，双方应通过友好协商，确定是否继续履行合同。</w:t>
      </w:r>
    </w:p>
    <w:p>
      <w:pPr>
        <w:keepNext w:val="0"/>
        <w:keepLines w:val="0"/>
        <w:pageBreakBefore w:val="0"/>
        <w:widowControl w:val="0"/>
        <w:kinsoku/>
        <w:wordWrap/>
        <w:overflowPunct/>
        <w:topLinePunct w:val="0"/>
        <w:bidi w:val="0"/>
        <w:snapToGrid/>
        <w:spacing w:line="450" w:lineRule="exact"/>
        <w:textAlignment w:val="auto"/>
        <w:rPr>
          <w:rFonts w:hint="eastAsia" w:ascii="宋体" w:hAnsi="宋体" w:eastAsia="宋体" w:cs="宋体"/>
          <w:b/>
          <w:bCs/>
          <w:color w:val="auto"/>
          <w:sz w:val="24"/>
          <w:szCs w:val="24"/>
          <w:highlight w:val="none"/>
          <w:lang w:val="zh-CN" w:eastAsia="zh-CN"/>
        </w:rPr>
      </w:pPr>
      <w:r>
        <w:rPr>
          <w:rFonts w:hint="eastAsia" w:ascii="宋体" w:hAnsi="宋体" w:eastAsia="宋体" w:cs="宋体"/>
          <w:b/>
          <w:bCs/>
          <w:color w:val="auto"/>
          <w:sz w:val="24"/>
          <w:szCs w:val="24"/>
          <w:highlight w:val="none"/>
          <w:lang w:val="en-US" w:eastAsia="zh-CN"/>
        </w:rPr>
        <w:t>第十四条：</w:t>
      </w:r>
      <w:r>
        <w:rPr>
          <w:rFonts w:hint="eastAsia" w:ascii="宋体" w:hAnsi="宋体" w:eastAsia="宋体" w:cs="宋体"/>
          <w:b/>
          <w:bCs/>
          <w:color w:val="auto"/>
          <w:sz w:val="24"/>
          <w:szCs w:val="24"/>
          <w:highlight w:val="none"/>
          <w:lang w:val="zh-CN" w:eastAsia="zh-CN"/>
        </w:rPr>
        <w:t>解决争议的方法</w:t>
      </w:r>
    </w:p>
    <w:p>
      <w:pPr>
        <w:keepNext w:val="0"/>
        <w:keepLines w:val="0"/>
        <w:pageBreakBefore w:val="0"/>
        <w:widowControl w:val="0"/>
        <w:kinsoku/>
        <w:wordWrap/>
        <w:overflowPunct/>
        <w:topLinePunct w:val="0"/>
        <w:bidi w:val="0"/>
        <w:snapToGrid/>
        <w:spacing w:line="45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如双方在履行合同时发生纠纷，应协商解决；协商不成时，可依法向甲方所在地人民法院提起诉讼。 </w:t>
      </w:r>
    </w:p>
    <w:p>
      <w:pPr>
        <w:keepNext w:val="0"/>
        <w:keepLines w:val="0"/>
        <w:pageBreakBefore w:val="0"/>
        <w:widowControl w:val="0"/>
        <w:kinsoku/>
        <w:wordWrap/>
        <w:overflowPunct/>
        <w:topLinePunct w:val="0"/>
        <w:bidi w:val="0"/>
        <w:snapToGrid/>
        <w:spacing w:line="450" w:lineRule="exac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第十五条：</w:t>
      </w:r>
      <w:r>
        <w:rPr>
          <w:rFonts w:hint="eastAsia" w:ascii="宋体" w:hAnsi="宋体" w:eastAsia="宋体" w:cs="宋体"/>
          <w:b/>
          <w:bCs/>
          <w:color w:val="auto"/>
          <w:sz w:val="24"/>
          <w:szCs w:val="24"/>
          <w:highlight w:val="none"/>
          <w:lang w:val="zh-CN" w:eastAsia="zh-CN"/>
        </w:rPr>
        <w:t>合同生效及其它</w:t>
      </w:r>
      <w:r>
        <w:rPr>
          <w:rFonts w:hint="eastAsia" w:ascii="宋体" w:hAnsi="宋体" w:eastAsia="宋体" w:cs="宋体"/>
          <w:b/>
          <w:bCs/>
          <w:color w:val="auto"/>
          <w:sz w:val="24"/>
          <w:szCs w:val="24"/>
          <w:highlight w:val="none"/>
        </w:rPr>
        <w:tab/>
      </w:r>
    </w:p>
    <w:p>
      <w:pPr>
        <w:keepNext w:val="0"/>
        <w:keepLines w:val="0"/>
        <w:pageBreakBefore w:val="0"/>
        <w:widowControl w:val="0"/>
        <w:kinsoku/>
        <w:wordWrap/>
        <w:overflowPunct/>
        <w:topLinePunct w:val="0"/>
        <w:bidi w:val="0"/>
        <w:snapToGrid/>
        <w:spacing w:line="45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1.合同经双方法定代表人或授权代表签字并加盖单位公章后生效。</w:t>
      </w:r>
    </w:p>
    <w:p>
      <w:pPr>
        <w:keepNext w:val="0"/>
        <w:keepLines w:val="0"/>
        <w:pageBreakBefore w:val="0"/>
        <w:widowControl w:val="0"/>
        <w:kinsoku/>
        <w:wordWrap/>
        <w:overflowPunct/>
        <w:topLinePunct w:val="0"/>
        <w:bidi w:val="0"/>
        <w:snapToGrid/>
        <w:spacing w:line="45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2.本合同未尽事宜，遵照《中华人民共和国民法典》有关条文执行。</w:t>
      </w:r>
    </w:p>
    <w:p>
      <w:pPr>
        <w:keepNext w:val="0"/>
        <w:keepLines w:val="0"/>
        <w:pageBreakBefore w:val="0"/>
        <w:widowControl w:val="0"/>
        <w:kinsoku/>
        <w:wordWrap/>
        <w:overflowPunct/>
        <w:topLinePunct w:val="0"/>
        <w:bidi w:val="0"/>
        <w:snapToGrid/>
        <w:spacing w:line="45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3.本合同一式</w:t>
      </w:r>
      <w:r>
        <w:rPr>
          <w:rFonts w:hint="eastAsia" w:ascii="宋体" w:hAnsi="宋体" w:eastAsia="宋体" w:cs="宋体"/>
          <w:color w:val="auto"/>
          <w:sz w:val="24"/>
          <w:szCs w:val="24"/>
          <w:highlight w:val="none"/>
          <w:lang w:eastAsia="zh-CN"/>
        </w:rPr>
        <w:t>八</w:t>
      </w:r>
      <w:r>
        <w:rPr>
          <w:rFonts w:hint="eastAsia" w:ascii="宋体" w:hAnsi="宋体" w:eastAsia="宋体" w:cs="宋体"/>
          <w:color w:val="auto"/>
          <w:sz w:val="24"/>
          <w:szCs w:val="24"/>
          <w:highlight w:val="none"/>
        </w:rPr>
        <w:t>份。甲、乙双方及牵头单位各执两份，采购组织机构及同级人民政府财政采购监管部门各执一份。</w:t>
      </w:r>
    </w:p>
    <w:p>
      <w:pPr>
        <w:keepNext w:val="0"/>
        <w:keepLines w:val="0"/>
        <w:pageBreakBefore w:val="0"/>
        <w:widowControl w:val="0"/>
        <w:kinsoku/>
        <w:wordWrap/>
        <w:overflowPunct/>
        <w:topLinePunct w:val="0"/>
        <w:bidi w:val="0"/>
        <w:snapToGrid/>
        <w:spacing w:line="45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4.本项目未尽事宜以招标文件、投标文件及澄清文件等为准，本合同中如有未尽事宜，由双方协商另行解决。</w:t>
      </w:r>
    </w:p>
    <w:p>
      <w:pPr>
        <w:pStyle w:val="2"/>
        <w:keepNext w:val="0"/>
        <w:keepLines w:val="0"/>
        <w:pageBreakBefore w:val="0"/>
        <w:widowControl w:val="0"/>
        <w:kinsoku/>
        <w:wordWrap/>
        <w:overflowPunct/>
        <w:topLinePunct w:val="0"/>
        <w:bidi w:val="0"/>
        <w:snapToGrid/>
        <w:spacing w:line="450" w:lineRule="exact"/>
        <w:textAlignment w:val="auto"/>
        <w:rPr>
          <w:rFonts w:hint="eastAsia" w:ascii="宋体" w:hAnsi="宋体" w:eastAsia="宋体" w:cs="宋体"/>
          <w:color w:val="auto"/>
          <w:sz w:val="24"/>
          <w:szCs w:val="24"/>
          <w:highlight w:val="none"/>
        </w:rPr>
      </w:pPr>
    </w:p>
    <w:p>
      <w:pPr>
        <w:pStyle w:val="3"/>
        <w:rPr>
          <w:rFonts w:hint="eastAsia"/>
          <w:color w:val="auto"/>
          <w:highlight w:val="none"/>
        </w:rPr>
      </w:pPr>
    </w:p>
    <w:p>
      <w:pPr>
        <w:keepNext w:val="0"/>
        <w:keepLines w:val="0"/>
        <w:pageBreakBefore w:val="0"/>
        <w:widowControl w:val="0"/>
        <w:kinsoku/>
        <w:wordWrap/>
        <w:overflowPunct/>
        <w:topLinePunct w:val="0"/>
        <w:bidi w:val="0"/>
        <w:snapToGrid/>
        <w:spacing w:line="45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甲     方（公章）：　　                乙     方（公章）：</w:t>
      </w:r>
    </w:p>
    <w:p>
      <w:pPr>
        <w:keepNext w:val="0"/>
        <w:keepLines w:val="0"/>
        <w:pageBreakBefore w:val="0"/>
        <w:widowControl w:val="0"/>
        <w:kinsoku/>
        <w:wordWrap/>
        <w:overflowPunct/>
        <w:topLinePunct w:val="0"/>
        <w:bidi w:val="0"/>
        <w:snapToGrid/>
        <w:spacing w:line="45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法定代表人（签章）：　                 法定代表人（签章）：</w:t>
      </w:r>
    </w:p>
    <w:p>
      <w:pPr>
        <w:keepNext w:val="0"/>
        <w:keepLines w:val="0"/>
        <w:pageBreakBefore w:val="0"/>
        <w:widowControl w:val="0"/>
        <w:kinsoku/>
        <w:wordWrap/>
        <w:overflowPunct/>
        <w:topLinePunct w:val="0"/>
        <w:bidi w:val="0"/>
        <w:snapToGrid/>
        <w:spacing w:line="45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委托代理人（签章）：　　               委托代理人（签章）：</w:t>
      </w:r>
    </w:p>
    <w:p>
      <w:pPr>
        <w:keepNext w:val="0"/>
        <w:keepLines w:val="0"/>
        <w:pageBreakBefore w:val="0"/>
        <w:widowControl w:val="0"/>
        <w:kinsoku/>
        <w:wordWrap/>
        <w:overflowPunct/>
        <w:topLinePunct w:val="0"/>
        <w:bidi w:val="0"/>
        <w:snapToGrid/>
        <w:spacing w:line="45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经办人（签章）：                       经办人（签章）：</w:t>
      </w:r>
    </w:p>
    <w:p>
      <w:pPr>
        <w:keepNext w:val="0"/>
        <w:keepLines w:val="0"/>
        <w:pageBreakBefore w:val="0"/>
        <w:widowControl w:val="0"/>
        <w:kinsoku/>
        <w:wordWrap/>
        <w:overflowPunct/>
        <w:topLinePunct w:val="0"/>
        <w:bidi w:val="0"/>
        <w:snapToGrid/>
        <w:spacing w:line="45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     话：                           电     话：</w:t>
      </w:r>
    </w:p>
    <w:p>
      <w:pPr>
        <w:keepNext w:val="0"/>
        <w:keepLines w:val="0"/>
        <w:pageBreakBefore w:val="0"/>
        <w:widowControl w:val="0"/>
        <w:kinsoku/>
        <w:wordWrap/>
        <w:overflowPunct/>
        <w:topLinePunct w:val="0"/>
        <w:bidi w:val="0"/>
        <w:snapToGrid/>
        <w:spacing w:line="45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传     真：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传     真：</w:t>
      </w:r>
    </w:p>
    <w:p>
      <w:pPr>
        <w:keepNext w:val="0"/>
        <w:keepLines w:val="0"/>
        <w:pageBreakBefore w:val="0"/>
        <w:widowControl w:val="0"/>
        <w:kinsoku/>
        <w:wordWrap/>
        <w:overflowPunct/>
        <w:topLinePunct w:val="0"/>
        <w:bidi w:val="0"/>
        <w:snapToGrid/>
        <w:spacing w:line="45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开户 银行：                            开户 银行（必填）： </w:t>
      </w:r>
    </w:p>
    <w:p>
      <w:pPr>
        <w:keepNext w:val="0"/>
        <w:keepLines w:val="0"/>
        <w:pageBreakBefore w:val="0"/>
        <w:widowControl w:val="0"/>
        <w:kinsoku/>
        <w:wordWrap/>
        <w:overflowPunct/>
        <w:topLinePunct w:val="0"/>
        <w:bidi w:val="0"/>
        <w:snapToGrid/>
        <w:spacing w:line="45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账     号：                            账     号（必填）：</w:t>
      </w:r>
    </w:p>
    <w:p>
      <w:pPr>
        <w:keepNext w:val="0"/>
        <w:keepLines w:val="0"/>
        <w:pageBreakBefore w:val="0"/>
        <w:widowControl w:val="0"/>
        <w:kinsoku/>
        <w:wordWrap/>
        <w:overflowPunct/>
        <w:topLinePunct w:val="0"/>
        <w:bidi w:val="0"/>
        <w:snapToGrid/>
        <w:spacing w:line="45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     期：                            日     期：</w:t>
      </w:r>
    </w:p>
    <w:p>
      <w:pPr>
        <w:spacing w:line="360" w:lineRule="auto"/>
        <w:jc w:val="center"/>
        <w:rPr>
          <w:rFonts w:ascii="宋体"/>
          <w:b/>
          <w:bCs/>
          <w:color w:val="auto"/>
          <w:sz w:val="36"/>
          <w:szCs w:val="36"/>
          <w:highlight w:val="none"/>
        </w:rPr>
      </w:pPr>
      <w:r>
        <w:rPr>
          <w:rFonts w:hint="eastAsia" w:ascii="宋体" w:hAnsi="宋体" w:cs="宋体"/>
          <w:b/>
          <w:bCs/>
          <w:color w:val="auto"/>
          <w:sz w:val="36"/>
          <w:szCs w:val="36"/>
          <w:highlight w:val="none"/>
        </w:rPr>
        <w:t>第六章  投标文件格式附件</w:t>
      </w:r>
    </w:p>
    <w:p>
      <w:pP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 xml:space="preserve">附件1　　                                      </w:t>
      </w:r>
      <w:r>
        <w:rPr>
          <w:rFonts w:hint="eastAsia" w:ascii="宋体" w:hAnsi="宋体" w:eastAsia="宋体" w:cs="宋体"/>
          <w:b/>
          <w:bCs/>
          <w:color w:val="auto"/>
          <w:sz w:val="28"/>
          <w:szCs w:val="28"/>
          <w:highlight w:val="none"/>
          <w:lang w:val="en-US" w:eastAsia="zh-CN"/>
        </w:rPr>
        <w:t xml:space="preserve">    </w:t>
      </w:r>
      <w:r>
        <w:rPr>
          <w:rFonts w:hint="eastAsia" w:ascii="宋体" w:hAnsi="宋体" w:eastAsia="宋体" w:cs="宋体"/>
          <w:b/>
          <w:bCs/>
          <w:color w:val="auto"/>
          <w:sz w:val="28"/>
          <w:szCs w:val="28"/>
          <w:highlight w:val="none"/>
          <w:u w:val="single"/>
          <w:lang w:val="en-US" w:eastAsia="zh-CN"/>
        </w:rPr>
        <w:t xml:space="preserve"> </w:t>
      </w:r>
      <w:r>
        <w:rPr>
          <w:rFonts w:hint="eastAsia" w:ascii="宋体" w:hAnsi="宋体" w:eastAsia="宋体" w:cs="宋体"/>
          <w:b/>
          <w:bCs/>
          <w:color w:val="auto"/>
          <w:sz w:val="28"/>
          <w:szCs w:val="28"/>
          <w:highlight w:val="none"/>
          <w:u w:val="single"/>
        </w:rPr>
        <w:t xml:space="preserve">  　</w:t>
      </w:r>
      <w:r>
        <w:rPr>
          <w:rFonts w:hint="eastAsia" w:ascii="宋体" w:hAnsi="宋体" w:eastAsia="宋体" w:cs="宋体"/>
          <w:b/>
          <w:bCs/>
          <w:color w:val="auto"/>
          <w:sz w:val="28"/>
          <w:szCs w:val="28"/>
          <w:highlight w:val="none"/>
        </w:rPr>
        <w:t>本</w:t>
      </w:r>
    </w:p>
    <w:p>
      <w:pPr>
        <w:spacing w:line="360" w:lineRule="auto"/>
        <w:rPr>
          <w:rFonts w:ascii="宋体"/>
          <w:b/>
          <w:bCs/>
          <w:color w:val="auto"/>
          <w:sz w:val="30"/>
          <w:szCs w:val="30"/>
          <w:highlight w:val="none"/>
        </w:rPr>
      </w:pPr>
    </w:p>
    <w:p>
      <w:pPr>
        <w:spacing w:line="360" w:lineRule="auto"/>
        <w:jc w:val="center"/>
        <w:rPr>
          <w:rFonts w:ascii="宋体"/>
          <w:color w:val="auto"/>
          <w:spacing w:val="40"/>
          <w:sz w:val="52"/>
          <w:szCs w:val="52"/>
          <w:highlight w:val="none"/>
        </w:rPr>
      </w:pPr>
      <w:r>
        <w:rPr>
          <w:rFonts w:hint="eastAsia" w:ascii="宋体" w:hAnsi="宋体" w:cs="宋体"/>
          <w:color w:val="auto"/>
          <w:spacing w:val="40"/>
          <w:sz w:val="52"/>
          <w:szCs w:val="52"/>
          <w:highlight w:val="none"/>
        </w:rPr>
        <w:t>项目名称</w:t>
      </w:r>
    </w:p>
    <w:p>
      <w:pPr>
        <w:spacing w:line="360" w:lineRule="auto"/>
        <w:jc w:val="center"/>
        <w:rPr>
          <w:rFonts w:ascii="宋体"/>
          <w:color w:val="auto"/>
          <w:sz w:val="36"/>
          <w:szCs w:val="36"/>
          <w:highlight w:val="none"/>
        </w:rPr>
      </w:pPr>
      <w:r>
        <w:rPr>
          <w:rFonts w:hint="eastAsia" w:ascii="宋体" w:hAnsi="宋体" w:cs="宋体"/>
          <w:color w:val="auto"/>
          <w:sz w:val="36"/>
          <w:szCs w:val="36"/>
          <w:highlight w:val="none"/>
        </w:rPr>
        <w:t>项目编号：</w:t>
      </w:r>
    </w:p>
    <w:p>
      <w:pPr>
        <w:autoSpaceDE w:val="0"/>
        <w:autoSpaceDN w:val="0"/>
        <w:adjustRightInd w:val="0"/>
        <w:spacing w:line="360" w:lineRule="auto"/>
        <w:jc w:val="center"/>
        <w:rPr>
          <w:rFonts w:ascii="宋体"/>
          <w:color w:val="auto"/>
          <w:sz w:val="84"/>
          <w:szCs w:val="84"/>
          <w:highlight w:val="none"/>
          <w:lang w:val="zh-CN"/>
        </w:rPr>
      </w:pPr>
    </w:p>
    <w:p>
      <w:pPr>
        <w:autoSpaceDE w:val="0"/>
        <w:autoSpaceDN w:val="0"/>
        <w:adjustRightInd w:val="0"/>
        <w:spacing w:line="360" w:lineRule="auto"/>
        <w:jc w:val="center"/>
        <w:rPr>
          <w:rFonts w:ascii="宋体"/>
          <w:color w:val="auto"/>
          <w:sz w:val="84"/>
          <w:szCs w:val="84"/>
          <w:highlight w:val="none"/>
          <w:lang w:val="zh-CN"/>
        </w:rPr>
      </w:pPr>
      <w:r>
        <w:rPr>
          <w:rFonts w:hint="eastAsia" w:ascii="宋体" w:hAnsi="宋体" w:cs="宋体"/>
          <w:color w:val="auto"/>
          <w:sz w:val="84"/>
          <w:szCs w:val="84"/>
          <w:highlight w:val="none"/>
          <w:lang w:val="zh-CN"/>
        </w:rPr>
        <w:t>投</w:t>
      </w:r>
    </w:p>
    <w:p>
      <w:pPr>
        <w:autoSpaceDE w:val="0"/>
        <w:autoSpaceDN w:val="0"/>
        <w:adjustRightInd w:val="0"/>
        <w:spacing w:line="360" w:lineRule="auto"/>
        <w:jc w:val="center"/>
        <w:rPr>
          <w:rFonts w:ascii="宋体"/>
          <w:color w:val="auto"/>
          <w:sz w:val="84"/>
          <w:szCs w:val="84"/>
          <w:highlight w:val="none"/>
          <w:lang w:val="zh-CN"/>
        </w:rPr>
      </w:pPr>
      <w:r>
        <w:rPr>
          <w:rFonts w:hint="eastAsia" w:ascii="宋体" w:hAnsi="宋体" w:cs="宋体"/>
          <w:color w:val="auto"/>
          <w:sz w:val="84"/>
          <w:szCs w:val="84"/>
          <w:highlight w:val="none"/>
          <w:lang w:val="zh-CN"/>
        </w:rPr>
        <w:t>标</w:t>
      </w:r>
    </w:p>
    <w:p>
      <w:pPr>
        <w:autoSpaceDE w:val="0"/>
        <w:autoSpaceDN w:val="0"/>
        <w:adjustRightInd w:val="0"/>
        <w:spacing w:line="360" w:lineRule="auto"/>
        <w:jc w:val="center"/>
        <w:rPr>
          <w:rFonts w:ascii="宋体"/>
          <w:color w:val="auto"/>
          <w:sz w:val="84"/>
          <w:szCs w:val="84"/>
          <w:highlight w:val="none"/>
        </w:rPr>
      </w:pPr>
      <w:r>
        <w:rPr>
          <w:rFonts w:hint="eastAsia" w:ascii="宋体" w:hAnsi="宋体" w:cs="宋体"/>
          <w:color w:val="auto"/>
          <w:sz w:val="84"/>
          <w:szCs w:val="84"/>
          <w:highlight w:val="none"/>
          <w:lang w:val="zh-CN"/>
        </w:rPr>
        <w:t>文</w:t>
      </w:r>
    </w:p>
    <w:p>
      <w:pPr>
        <w:autoSpaceDE w:val="0"/>
        <w:autoSpaceDN w:val="0"/>
        <w:adjustRightInd w:val="0"/>
        <w:spacing w:line="360" w:lineRule="auto"/>
        <w:jc w:val="center"/>
        <w:rPr>
          <w:rFonts w:ascii="宋体"/>
          <w:color w:val="auto"/>
          <w:sz w:val="84"/>
          <w:szCs w:val="84"/>
          <w:highlight w:val="none"/>
          <w:lang w:val="zh-CN"/>
        </w:rPr>
      </w:pPr>
      <w:r>
        <w:rPr>
          <w:rFonts w:hint="eastAsia" w:ascii="宋体" w:hAnsi="宋体" w:cs="宋体"/>
          <w:color w:val="auto"/>
          <w:sz w:val="84"/>
          <w:szCs w:val="84"/>
          <w:highlight w:val="none"/>
          <w:lang w:val="zh-CN"/>
        </w:rPr>
        <w:t>件</w:t>
      </w:r>
    </w:p>
    <w:p>
      <w:pPr>
        <w:autoSpaceDE w:val="0"/>
        <w:autoSpaceDN w:val="0"/>
        <w:adjustRightInd w:val="0"/>
        <w:spacing w:line="360" w:lineRule="auto"/>
        <w:rPr>
          <w:rFonts w:ascii="宋体"/>
          <w:color w:val="auto"/>
          <w:sz w:val="36"/>
          <w:szCs w:val="36"/>
          <w:highlight w:val="none"/>
        </w:rPr>
      </w:pPr>
    </w:p>
    <w:p>
      <w:pPr>
        <w:autoSpaceDE w:val="0"/>
        <w:autoSpaceDN w:val="0"/>
        <w:adjustRightInd w:val="0"/>
        <w:spacing w:line="360" w:lineRule="auto"/>
        <w:jc w:val="center"/>
        <w:rPr>
          <w:rFonts w:ascii="宋体"/>
          <w:b/>
          <w:bCs/>
          <w:color w:val="auto"/>
          <w:spacing w:val="40"/>
          <w:sz w:val="36"/>
          <w:szCs w:val="36"/>
          <w:highlight w:val="none"/>
        </w:rPr>
      </w:pPr>
      <w:r>
        <w:rPr>
          <w:rFonts w:hint="eastAsia" w:ascii="宋体" w:hAnsi="宋体" w:cs="宋体"/>
          <w:color w:val="auto"/>
          <w:sz w:val="36"/>
          <w:szCs w:val="36"/>
          <w:highlight w:val="none"/>
          <w:lang w:val="zh-CN"/>
        </w:rPr>
        <w:t>（资格及商务技术文件</w:t>
      </w:r>
      <w:r>
        <w:rPr>
          <w:rFonts w:hint="eastAsia" w:ascii="宋体" w:hAnsi="宋体" w:cs="宋体"/>
          <w:color w:val="auto"/>
          <w:spacing w:val="40"/>
          <w:sz w:val="36"/>
          <w:szCs w:val="36"/>
          <w:highlight w:val="none"/>
        </w:rPr>
        <w:t>）</w:t>
      </w:r>
    </w:p>
    <w:p>
      <w:pPr>
        <w:autoSpaceDE w:val="0"/>
        <w:autoSpaceDN w:val="0"/>
        <w:adjustRightInd w:val="0"/>
        <w:spacing w:line="360" w:lineRule="auto"/>
        <w:rPr>
          <w:rFonts w:ascii="宋体"/>
          <w:color w:val="auto"/>
          <w:sz w:val="36"/>
          <w:szCs w:val="36"/>
          <w:highlight w:val="none"/>
        </w:rPr>
      </w:pPr>
    </w:p>
    <w:p>
      <w:pPr>
        <w:autoSpaceDE w:val="0"/>
        <w:autoSpaceDN w:val="0"/>
        <w:adjustRightInd w:val="0"/>
        <w:spacing w:line="360" w:lineRule="auto"/>
        <w:rPr>
          <w:rFonts w:ascii="宋体"/>
          <w:color w:val="auto"/>
          <w:sz w:val="32"/>
          <w:szCs w:val="32"/>
          <w:highlight w:val="none"/>
        </w:rPr>
      </w:pPr>
      <w:r>
        <w:rPr>
          <w:rFonts w:hint="eastAsia" w:ascii="宋体" w:hAnsi="宋体" w:cs="宋体"/>
          <w:color w:val="auto"/>
          <w:sz w:val="32"/>
          <w:szCs w:val="32"/>
          <w:highlight w:val="none"/>
        </w:rPr>
        <w:t>投标人全称（加盖公章，如为联合体，则为联合体牵头人）：</w:t>
      </w:r>
    </w:p>
    <w:p>
      <w:pPr>
        <w:autoSpaceDE w:val="0"/>
        <w:autoSpaceDN w:val="0"/>
        <w:adjustRightInd w:val="0"/>
        <w:spacing w:line="360" w:lineRule="auto"/>
        <w:rPr>
          <w:rFonts w:ascii="宋体"/>
          <w:color w:val="auto"/>
          <w:sz w:val="32"/>
          <w:szCs w:val="32"/>
          <w:highlight w:val="none"/>
        </w:rPr>
      </w:pPr>
      <w:r>
        <w:rPr>
          <w:rFonts w:hint="eastAsia" w:ascii="宋体" w:hAnsi="宋体" w:cs="宋体"/>
          <w:color w:val="auto"/>
          <w:sz w:val="32"/>
          <w:szCs w:val="32"/>
          <w:highlight w:val="none"/>
        </w:rPr>
        <w:t>地址：</w:t>
      </w:r>
    </w:p>
    <w:p>
      <w:pPr>
        <w:autoSpaceDE w:val="0"/>
        <w:autoSpaceDN w:val="0"/>
        <w:adjustRightInd w:val="0"/>
        <w:spacing w:line="360" w:lineRule="auto"/>
        <w:rPr>
          <w:rFonts w:ascii="宋体"/>
          <w:color w:val="auto"/>
          <w:sz w:val="32"/>
          <w:szCs w:val="32"/>
          <w:highlight w:val="none"/>
        </w:rPr>
      </w:pPr>
      <w:r>
        <w:rPr>
          <w:rFonts w:hint="eastAsia" w:ascii="宋体" w:hAnsi="宋体" w:cs="宋体"/>
          <w:color w:val="auto"/>
          <w:sz w:val="32"/>
          <w:szCs w:val="32"/>
          <w:highlight w:val="none"/>
        </w:rPr>
        <w:t>时间：</w:t>
      </w:r>
    </w:p>
    <w:p>
      <w:pPr>
        <w:pageBreakBefore w:val="0"/>
        <w:widowControl w:val="0"/>
        <w:kinsoku/>
        <w:wordWrap/>
        <w:overflowPunct/>
        <w:topLinePunct w:val="0"/>
        <w:bidi w:val="0"/>
        <w:spacing w:line="360" w:lineRule="auto"/>
        <w:textAlignment w:val="auto"/>
        <w:rPr>
          <w:rFonts w:hint="eastAsia" w:ascii="宋体" w:hAnsi="宋体" w:eastAsia="宋体" w:cs="宋体"/>
          <w:color w:val="auto"/>
          <w:sz w:val="24"/>
          <w:szCs w:val="24"/>
          <w:highlight w:val="none"/>
        </w:rPr>
      </w:pPr>
    </w:p>
    <w:p>
      <w:pPr>
        <w:spacing w:line="360" w:lineRule="auto"/>
        <w:jc w:val="center"/>
        <w:rPr>
          <w:b/>
          <w:bCs/>
          <w:color w:val="auto"/>
          <w:sz w:val="36"/>
          <w:szCs w:val="44"/>
          <w:highlight w:val="none"/>
        </w:rPr>
      </w:pPr>
      <w:r>
        <w:rPr>
          <w:rFonts w:hint="eastAsia"/>
          <w:b/>
          <w:bCs/>
          <w:color w:val="auto"/>
          <w:sz w:val="36"/>
          <w:szCs w:val="44"/>
          <w:highlight w:val="none"/>
        </w:rPr>
        <w:t>资格及商务技术文件目录</w:t>
      </w:r>
    </w:p>
    <w:p>
      <w:pPr>
        <w:spacing w:line="360" w:lineRule="auto"/>
        <w:jc w:val="center"/>
        <w:rPr>
          <w:rFonts w:ascii="宋体" w:hAnsi="宋体" w:cs="宋体"/>
          <w:b/>
          <w:bCs/>
          <w:color w:val="auto"/>
          <w:sz w:val="28"/>
          <w:szCs w:val="36"/>
          <w:highlight w:val="none"/>
        </w:rPr>
      </w:pPr>
      <w:r>
        <w:rPr>
          <w:rFonts w:hint="eastAsia" w:ascii="宋体" w:hAnsi="宋体" w:cs="宋体"/>
          <w:b/>
          <w:bCs/>
          <w:color w:val="auto"/>
          <w:sz w:val="28"/>
          <w:szCs w:val="36"/>
          <w:highlight w:val="none"/>
        </w:rPr>
        <w:t>第一部分 资格证明文件目录</w:t>
      </w:r>
    </w:p>
    <w:p>
      <w:pPr>
        <w:spacing w:line="360" w:lineRule="auto"/>
        <w:ind w:firstLine="480" w:firstLineChars="200"/>
        <w:rPr>
          <w:rFonts w:hint="eastAsia" w:ascii="宋体" w:hAnsi="宋体" w:cs="宋体"/>
          <w:color w:val="auto"/>
          <w:sz w:val="24"/>
          <w:szCs w:val="32"/>
          <w:highlight w:val="none"/>
          <w:lang w:val="en-US" w:eastAsia="zh-CN"/>
        </w:rPr>
      </w:pP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lang w:val="en-US" w:eastAsia="zh-CN"/>
        </w:rPr>
        <w:t>1、</w:t>
      </w:r>
      <w:r>
        <w:rPr>
          <w:rFonts w:hint="eastAsia" w:ascii="宋体" w:hAnsi="宋体" w:cs="宋体"/>
          <w:color w:val="auto"/>
          <w:sz w:val="24"/>
          <w:szCs w:val="32"/>
          <w:highlight w:val="none"/>
        </w:rPr>
        <w:t>投标声明书（附件2）；</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lang w:val="en-US" w:eastAsia="zh-CN"/>
        </w:rPr>
        <w:t>2、</w:t>
      </w:r>
      <w:r>
        <w:rPr>
          <w:rFonts w:hint="eastAsia" w:ascii="宋体" w:hAnsi="宋体" w:cs="宋体"/>
          <w:color w:val="auto"/>
          <w:sz w:val="24"/>
          <w:szCs w:val="32"/>
          <w:highlight w:val="none"/>
        </w:rPr>
        <w:t>授权委托书（附件3）；（法定代表人亲自办理投标事宜的，则无需提交）；</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lang w:val="en-US" w:eastAsia="zh-CN"/>
        </w:rPr>
        <w:t>3、</w:t>
      </w:r>
      <w:r>
        <w:rPr>
          <w:rFonts w:hint="eastAsia" w:ascii="宋体" w:hAnsi="宋体" w:cs="宋体"/>
          <w:color w:val="auto"/>
          <w:sz w:val="24"/>
          <w:szCs w:val="32"/>
          <w:highlight w:val="none"/>
        </w:rPr>
        <w:t>法人或者其他组织的营业执照等证明文件，自然人的身份证明；</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lang w:val="en-US" w:eastAsia="zh-CN"/>
        </w:rPr>
        <w:t>4、</w:t>
      </w:r>
      <w:r>
        <w:rPr>
          <w:rFonts w:hint="eastAsia" w:ascii="宋体" w:hAnsi="宋体" w:cs="宋体"/>
          <w:color w:val="auto"/>
          <w:sz w:val="24"/>
          <w:szCs w:val="32"/>
          <w:highlight w:val="none"/>
          <w:lang w:eastAsia="zh-CN"/>
        </w:rPr>
        <w:t>良好财务状况证明材料或承诺</w:t>
      </w:r>
      <w:r>
        <w:rPr>
          <w:rFonts w:hint="eastAsia" w:ascii="宋体" w:hAnsi="宋体" w:cs="宋体"/>
          <w:color w:val="auto"/>
          <w:sz w:val="24"/>
          <w:szCs w:val="32"/>
          <w:highlight w:val="none"/>
        </w:rPr>
        <w:t>；</w:t>
      </w:r>
    </w:p>
    <w:p>
      <w:pPr>
        <w:spacing w:line="360" w:lineRule="auto"/>
        <w:ind w:firstLine="480" w:firstLineChars="200"/>
        <w:rPr>
          <w:rFonts w:hint="eastAsia" w:ascii="宋体" w:hAnsi="宋体" w:eastAsia="宋体" w:cs="宋体"/>
          <w:color w:val="auto"/>
          <w:sz w:val="24"/>
          <w:szCs w:val="32"/>
          <w:highlight w:val="none"/>
          <w:lang w:eastAsia="zh-CN"/>
        </w:rPr>
      </w:pPr>
      <w:r>
        <w:rPr>
          <w:rFonts w:hint="eastAsia" w:ascii="宋体" w:hAnsi="宋体" w:cs="宋体"/>
          <w:color w:val="auto"/>
          <w:sz w:val="24"/>
          <w:szCs w:val="32"/>
          <w:highlight w:val="none"/>
          <w:lang w:val="en-US" w:eastAsia="zh-CN"/>
        </w:rPr>
        <w:t>5、</w:t>
      </w:r>
      <w:r>
        <w:rPr>
          <w:rFonts w:hint="eastAsia" w:ascii="宋体" w:hAnsi="宋体" w:cs="宋体"/>
          <w:color w:val="auto"/>
          <w:sz w:val="24"/>
          <w:szCs w:val="32"/>
          <w:highlight w:val="none"/>
        </w:rPr>
        <w:t>投标人具备电子与智能化工程专业承包资质二级及以上</w:t>
      </w:r>
      <w:r>
        <w:rPr>
          <w:rFonts w:hint="eastAsia" w:ascii="宋体" w:hAnsi="宋体" w:cs="宋体"/>
          <w:color w:val="auto"/>
          <w:sz w:val="24"/>
          <w:szCs w:val="32"/>
          <w:highlight w:val="none"/>
          <w:lang w:val="en-US" w:eastAsia="zh-CN"/>
        </w:rPr>
        <w:t>证明</w:t>
      </w:r>
      <w:r>
        <w:rPr>
          <w:rFonts w:hint="eastAsia" w:ascii="宋体" w:hAnsi="宋体" w:cs="宋体"/>
          <w:color w:val="auto"/>
          <w:sz w:val="24"/>
          <w:szCs w:val="32"/>
          <w:highlight w:val="none"/>
        </w:rPr>
        <w:t>，以及需要说明的其他资料</w:t>
      </w:r>
      <w:r>
        <w:rPr>
          <w:rFonts w:hint="eastAsia" w:ascii="宋体" w:hAnsi="宋体" w:cs="宋体"/>
          <w:color w:val="auto"/>
          <w:sz w:val="24"/>
          <w:szCs w:val="32"/>
          <w:highlight w:val="none"/>
          <w:lang w:eastAsia="zh-CN"/>
        </w:rPr>
        <w:t>；</w:t>
      </w:r>
    </w:p>
    <w:p>
      <w:pPr>
        <w:spacing w:line="360" w:lineRule="auto"/>
        <w:ind w:firstLine="480" w:firstLineChars="200"/>
        <w:rPr>
          <w:rFonts w:hint="eastAsia" w:ascii="宋体" w:hAnsi="宋体" w:eastAsia="宋体" w:cs="宋体"/>
          <w:color w:val="auto"/>
          <w:sz w:val="24"/>
          <w:szCs w:val="32"/>
          <w:highlight w:val="none"/>
          <w:lang w:eastAsia="zh-CN"/>
        </w:rPr>
      </w:pPr>
      <w:r>
        <w:rPr>
          <w:rFonts w:hint="eastAsia" w:ascii="宋体" w:hAnsi="宋体" w:cs="宋体"/>
          <w:color w:val="auto"/>
          <w:sz w:val="24"/>
          <w:szCs w:val="32"/>
          <w:highlight w:val="none"/>
          <w:lang w:val="en-US" w:eastAsia="zh-CN"/>
        </w:rPr>
        <w:t>6、</w:t>
      </w:r>
      <w:r>
        <w:rPr>
          <w:rFonts w:hint="eastAsia" w:ascii="宋体" w:hAnsi="宋体" w:cs="宋体"/>
          <w:color w:val="auto"/>
          <w:sz w:val="24"/>
          <w:szCs w:val="32"/>
          <w:highlight w:val="none"/>
        </w:rPr>
        <w:t>联合体协议（若非联合体投标则无需提供）</w:t>
      </w:r>
      <w:r>
        <w:rPr>
          <w:rFonts w:hint="eastAsia" w:ascii="宋体" w:hAnsi="宋体" w:cs="宋体"/>
          <w:color w:val="auto"/>
          <w:sz w:val="24"/>
          <w:szCs w:val="24"/>
          <w:highlight w:val="none"/>
          <w:lang w:val="zh-CN"/>
        </w:rPr>
        <w:t>（附件</w:t>
      </w:r>
      <w:r>
        <w:rPr>
          <w:rFonts w:hint="eastAsia" w:ascii="宋体" w:hAnsi="宋体" w:cs="宋体"/>
          <w:color w:val="auto"/>
          <w:sz w:val="24"/>
          <w:szCs w:val="24"/>
          <w:highlight w:val="none"/>
        </w:rPr>
        <w:t>4</w:t>
      </w:r>
      <w:r>
        <w:rPr>
          <w:rFonts w:hint="eastAsia" w:ascii="宋体" w:hAnsi="宋体" w:cs="宋体"/>
          <w:color w:val="auto"/>
          <w:sz w:val="24"/>
          <w:szCs w:val="24"/>
          <w:highlight w:val="none"/>
          <w:lang w:val="zh-CN"/>
        </w:rPr>
        <w:t>）</w:t>
      </w:r>
      <w:r>
        <w:rPr>
          <w:rFonts w:hint="eastAsia" w:ascii="宋体" w:hAnsi="宋体" w:cs="宋体"/>
          <w:color w:val="auto"/>
          <w:sz w:val="24"/>
          <w:szCs w:val="32"/>
          <w:highlight w:val="none"/>
        </w:rPr>
        <w:t>。</w:t>
      </w:r>
    </w:p>
    <w:p>
      <w:pPr>
        <w:pageBreakBefore w:val="0"/>
        <w:widowControl w:val="0"/>
        <w:kinsoku/>
        <w:wordWrap/>
        <w:overflowPunct/>
        <w:topLinePunct w:val="0"/>
        <w:bidi w:val="0"/>
        <w:spacing w:line="360" w:lineRule="auto"/>
        <w:textAlignment w:val="auto"/>
        <w:rPr>
          <w:rFonts w:hint="eastAsia" w:ascii="宋体" w:hAnsi="宋体" w:eastAsia="宋体" w:cs="宋体"/>
          <w:color w:val="auto"/>
          <w:sz w:val="24"/>
          <w:szCs w:val="24"/>
          <w:highlight w:val="none"/>
        </w:rPr>
      </w:pPr>
    </w:p>
    <w:p>
      <w:pPr>
        <w:pageBreakBefore w:val="0"/>
        <w:widowControl w:val="0"/>
        <w:kinsoku/>
        <w:wordWrap/>
        <w:overflowPunct/>
        <w:topLinePunct w:val="0"/>
        <w:bidi w:val="0"/>
        <w:spacing w:line="360" w:lineRule="auto"/>
        <w:textAlignment w:val="auto"/>
        <w:rPr>
          <w:rFonts w:hint="eastAsia" w:ascii="宋体" w:hAnsi="宋体" w:eastAsia="宋体" w:cs="宋体"/>
          <w:color w:val="auto"/>
          <w:sz w:val="24"/>
          <w:szCs w:val="24"/>
          <w:highlight w:val="none"/>
        </w:rPr>
      </w:pPr>
    </w:p>
    <w:p>
      <w:pPr>
        <w:pageBreakBefore w:val="0"/>
        <w:widowControl w:val="0"/>
        <w:kinsoku/>
        <w:wordWrap/>
        <w:overflowPunct/>
        <w:topLinePunct w:val="0"/>
        <w:bidi w:val="0"/>
        <w:spacing w:line="360" w:lineRule="auto"/>
        <w:textAlignment w:val="auto"/>
        <w:rPr>
          <w:rFonts w:hint="eastAsia" w:ascii="宋体" w:hAnsi="宋体" w:eastAsia="宋体" w:cs="宋体"/>
          <w:color w:val="auto"/>
          <w:sz w:val="24"/>
          <w:szCs w:val="24"/>
          <w:highlight w:val="none"/>
        </w:rPr>
      </w:pPr>
    </w:p>
    <w:p>
      <w:pPr>
        <w:pageBreakBefore w:val="0"/>
        <w:widowControl w:val="0"/>
        <w:kinsoku/>
        <w:wordWrap/>
        <w:overflowPunct/>
        <w:topLinePunct w:val="0"/>
        <w:bidi w:val="0"/>
        <w:spacing w:line="360" w:lineRule="auto"/>
        <w:textAlignment w:val="auto"/>
        <w:rPr>
          <w:rFonts w:hint="eastAsia" w:ascii="宋体" w:hAnsi="宋体" w:eastAsia="宋体" w:cs="宋体"/>
          <w:color w:val="auto"/>
          <w:sz w:val="24"/>
          <w:szCs w:val="24"/>
          <w:highlight w:val="none"/>
        </w:rPr>
      </w:pPr>
    </w:p>
    <w:p>
      <w:pPr>
        <w:pageBreakBefore w:val="0"/>
        <w:widowControl w:val="0"/>
        <w:kinsoku/>
        <w:wordWrap/>
        <w:overflowPunct/>
        <w:topLinePunct w:val="0"/>
        <w:bidi w:val="0"/>
        <w:spacing w:line="360" w:lineRule="auto"/>
        <w:textAlignment w:val="auto"/>
        <w:rPr>
          <w:rFonts w:hint="eastAsia" w:ascii="宋体" w:hAnsi="宋体" w:eastAsia="宋体" w:cs="宋体"/>
          <w:color w:val="auto"/>
          <w:sz w:val="24"/>
          <w:szCs w:val="24"/>
          <w:highlight w:val="none"/>
        </w:rPr>
      </w:pPr>
    </w:p>
    <w:p>
      <w:pPr>
        <w:pageBreakBefore w:val="0"/>
        <w:widowControl w:val="0"/>
        <w:kinsoku/>
        <w:wordWrap/>
        <w:overflowPunct/>
        <w:topLinePunct w:val="0"/>
        <w:bidi w:val="0"/>
        <w:spacing w:line="360" w:lineRule="auto"/>
        <w:textAlignment w:val="auto"/>
        <w:rPr>
          <w:rFonts w:hint="eastAsia" w:ascii="宋体" w:hAnsi="宋体" w:eastAsia="宋体" w:cs="宋体"/>
          <w:color w:val="auto"/>
          <w:sz w:val="24"/>
          <w:szCs w:val="24"/>
          <w:highlight w:val="none"/>
        </w:rPr>
      </w:pPr>
    </w:p>
    <w:p>
      <w:pPr>
        <w:pageBreakBefore w:val="0"/>
        <w:widowControl w:val="0"/>
        <w:kinsoku/>
        <w:wordWrap/>
        <w:overflowPunct/>
        <w:topLinePunct w:val="0"/>
        <w:bidi w:val="0"/>
        <w:spacing w:line="360" w:lineRule="auto"/>
        <w:textAlignment w:val="auto"/>
        <w:rPr>
          <w:rFonts w:hint="eastAsia" w:ascii="宋体" w:hAnsi="宋体" w:eastAsia="宋体" w:cs="宋体"/>
          <w:color w:val="auto"/>
          <w:sz w:val="24"/>
          <w:szCs w:val="24"/>
          <w:highlight w:val="none"/>
        </w:rPr>
      </w:pPr>
    </w:p>
    <w:p>
      <w:pPr>
        <w:pageBreakBefore w:val="0"/>
        <w:widowControl w:val="0"/>
        <w:kinsoku/>
        <w:wordWrap/>
        <w:overflowPunct/>
        <w:topLinePunct w:val="0"/>
        <w:bidi w:val="0"/>
        <w:spacing w:line="360" w:lineRule="auto"/>
        <w:textAlignment w:val="auto"/>
        <w:rPr>
          <w:rFonts w:hint="eastAsia" w:ascii="宋体" w:hAnsi="宋体" w:eastAsia="宋体" w:cs="宋体"/>
          <w:color w:val="auto"/>
          <w:sz w:val="24"/>
          <w:szCs w:val="24"/>
          <w:highlight w:val="none"/>
        </w:rPr>
      </w:pPr>
    </w:p>
    <w:p>
      <w:pPr>
        <w:pageBreakBefore w:val="0"/>
        <w:widowControl w:val="0"/>
        <w:kinsoku/>
        <w:wordWrap/>
        <w:overflowPunct/>
        <w:topLinePunct w:val="0"/>
        <w:bidi w:val="0"/>
        <w:spacing w:line="360" w:lineRule="auto"/>
        <w:textAlignment w:val="auto"/>
        <w:rPr>
          <w:rFonts w:hint="eastAsia" w:ascii="宋体" w:hAnsi="宋体" w:eastAsia="宋体" w:cs="宋体"/>
          <w:color w:val="auto"/>
          <w:sz w:val="24"/>
          <w:szCs w:val="24"/>
          <w:highlight w:val="none"/>
        </w:rPr>
      </w:pPr>
    </w:p>
    <w:p>
      <w:pPr>
        <w:spacing w:line="360" w:lineRule="auto"/>
        <w:rPr>
          <w:rFonts w:hint="eastAsia" w:ascii="宋体" w:hAnsi="宋体" w:cs="宋体"/>
          <w:b/>
          <w:bCs/>
          <w:color w:val="auto"/>
          <w:sz w:val="28"/>
          <w:szCs w:val="28"/>
          <w:highlight w:val="none"/>
        </w:rPr>
      </w:pPr>
    </w:p>
    <w:p>
      <w:pPr>
        <w:spacing w:line="360" w:lineRule="auto"/>
        <w:rPr>
          <w:rFonts w:hint="eastAsia" w:ascii="宋体" w:hAnsi="宋体" w:cs="宋体"/>
          <w:b/>
          <w:bCs/>
          <w:color w:val="auto"/>
          <w:sz w:val="28"/>
          <w:szCs w:val="28"/>
          <w:highlight w:val="none"/>
        </w:rPr>
      </w:pPr>
    </w:p>
    <w:p>
      <w:pPr>
        <w:spacing w:line="360" w:lineRule="auto"/>
        <w:rPr>
          <w:rFonts w:hint="eastAsia" w:ascii="宋体" w:hAnsi="宋体" w:cs="宋体"/>
          <w:b/>
          <w:bCs/>
          <w:color w:val="auto"/>
          <w:sz w:val="28"/>
          <w:szCs w:val="28"/>
          <w:highlight w:val="none"/>
        </w:rPr>
      </w:pPr>
    </w:p>
    <w:p>
      <w:pPr>
        <w:spacing w:line="360" w:lineRule="auto"/>
        <w:rPr>
          <w:rFonts w:hint="eastAsia" w:ascii="宋体" w:hAnsi="宋体" w:cs="宋体"/>
          <w:b/>
          <w:bCs/>
          <w:color w:val="auto"/>
          <w:sz w:val="28"/>
          <w:szCs w:val="28"/>
          <w:highlight w:val="none"/>
        </w:rPr>
      </w:pPr>
    </w:p>
    <w:p>
      <w:pPr>
        <w:spacing w:line="360" w:lineRule="auto"/>
        <w:rPr>
          <w:rFonts w:hint="eastAsia" w:ascii="宋体" w:hAnsi="宋体" w:cs="宋体"/>
          <w:b/>
          <w:bCs/>
          <w:color w:val="auto"/>
          <w:sz w:val="28"/>
          <w:szCs w:val="28"/>
          <w:highlight w:val="none"/>
        </w:rPr>
      </w:pPr>
    </w:p>
    <w:p>
      <w:pPr>
        <w:spacing w:line="360" w:lineRule="auto"/>
        <w:rPr>
          <w:rFonts w:hint="eastAsia" w:ascii="宋体" w:hAnsi="宋体" w:cs="宋体"/>
          <w:b/>
          <w:bCs/>
          <w:color w:val="auto"/>
          <w:sz w:val="28"/>
          <w:szCs w:val="28"/>
          <w:highlight w:val="none"/>
        </w:rPr>
      </w:pPr>
    </w:p>
    <w:p>
      <w:pPr>
        <w:spacing w:line="360" w:lineRule="auto"/>
        <w:rPr>
          <w:rFonts w:hint="eastAsia" w:ascii="宋体" w:hAnsi="宋体" w:cs="宋体"/>
          <w:b/>
          <w:bCs/>
          <w:color w:val="auto"/>
          <w:sz w:val="28"/>
          <w:szCs w:val="28"/>
          <w:highlight w:val="none"/>
        </w:rPr>
      </w:pPr>
    </w:p>
    <w:p>
      <w:pPr>
        <w:spacing w:line="360" w:lineRule="auto"/>
        <w:rPr>
          <w:rFonts w:ascii="宋体"/>
          <w:b/>
          <w:bCs/>
          <w:color w:val="auto"/>
          <w:kern w:val="0"/>
          <w:sz w:val="32"/>
          <w:szCs w:val="32"/>
          <w:highlight w:val="none"/>
          <w:lang w:val="zh-CN"/>
        </w:rPr>
      </w:pPr>
      <w:r>
        <w:rPr>
          <w:rFonts w:hint="eastAsia" w:ascii="宋体" w:hAnsi="宋体" w:cs="宋体"/>
          <w:b/>
          <w:bCs/>
          <w:color w:val="auto"/>
          <w:sz w:val="28"/>
          <w:szCs w:val="28"/>
          <w:highlight w:val="none"/>
        </w:rPr>
        <w:t>附件</w:t>
      </w:r>
      <w:r>
        <w:rPr>
          <w:rFonts w:hint="eastAsia" w:ascii="宋体" w:hAnsi="宋体" w:cs="宋体"/>
          <w:b/>
          <w:bCs/>
          <w:color w:val="auto"/>
          <w:sz w:val="28"/>
          <w:szCs w:val="28"/>
          <w:highlight w:val="none"/>
          <w:lang w:val="en-US" w:eastAsia="zh-CN"/>
        </w:rPr>
        <w:t>2</w:t>
      </w:r>
      <w:r>
        <w:rPr>
          <w:rFonts w:ascii="宋体" w:hAnsi="宋体" w:cs="宋体"/>
          <w:b/>
          <w:bCs/>
          <w:color w:val="auto"/>
          <w:sz w:val="28"/>
          <w:szCs w:val="28"/>
          <w:highlight w:val="none"/>
        </w:rPr>
        <w:t xml:space="preserve">                 </w:t>
      </w:r>
      <w:r>
        <w:rPr>
          <w:rFonts w:hint="eastAsia" w:ascii="宋体" w:hAnsi="宋体" w:cs="宋体"/>
          <w:b/>
          <w:bCs/>
          <w:color w:val="auto"/>
          <w:kern w:val="0"/>
          <w:sz w:val="32"/>
          <w:szCs w:val="32"/>
          <w:highlight w:val="none"/>
          <w:lang w:val="zh-CN"/>
        </w:rPr>
        <w:t>投标声明书</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ascii="宋体"/>
          <w:color w:val="auto"/>
          <w:sz w:val="24"/>
          <w:szCs w:val="24"/>
          <w:highlight w:val="none"/>
        </w:rPr>
      </w:pPr>
      <w:r>
        <w:rPr>
          <w:rFonts w:hint="eastAsia" w:ascii="宋体" w:hAnsi="宋体" w:cs="宋体"/>
          <w:color w:val="auto"/>
          <w:sz w:val="24"/>
          <w:szCs w:val="24"/>
          <w:highlight w:val="none"/>
          <w:u w:val="single"/>
        </w:rPr>
        <w:t>浙江五石中正工程咨询有限公司</w:t>
      </w:r>
      <w:r>
        <w:rPr>
          <w:rFonts w:hint="eastAsia" w:ascii="宋体" w:hAnsi="宋体" w:cs="宋体"/>
          <w:color w:val="auto"/>
          <w:sz w:val="24"/>
          <w:szCs w:val="24"/>
          <w:highlight w:val="none"/>
        </w:rPr>
        <w:t>（采购代理机构名称）：</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color w:val="auto"/>
          <w:sz w:val="24"/>
          <w:szCs w:val="24"/>
          <w:highlight w:val="none"/>
        </w:rPr>
      </w:pPr>
      <w:r>
        <w:rPr>
          <w:rFonts w:hint="eastAsia" w:ascii="宋体" w:hAnsi="宋体" w:cs="宋体"/>
          <w:color w:val="auto"/>
          <w:sz w:val="24"/>
          <w:szCs w:val="24"/>
          <w:highlight w:val="none"/>
          <w:u w:val="single"/>
        </w:rPr>
        <w:t>（投标人名称）</w:t>
      </w:r>
      <w:r>
        <w:rPr>
          <w:rFonts w:hint="eastAsia" w:ascii="宋体" w:hAnsi="宋体" w:cs="宋体"/>
          <w:color w:val="auto"/>
          <w:sz w:val="24"/>
          <w:szCs w:val="24"/>
          <w:highlight w:val="none"/>
        </w:rPr>
        <w:t>系中华人民共和国合法企业，经营地址。</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color w:val="auto"/>
          <w:sz w:val="24"/>
          <w:szCs w:val="24"/>
          <w:highlight w:val="none"/>
        </w:rPr>
      </w:pPr>
      <w:r>
        <w:rPr>
          <w:rFonts w:hint="eastAsia" w:ascii="宋体" w:hAnsi="宋体" w:cs="宋体"/>
          <w:color w:val="auto"/>
          <w:sz w:val="24"/>
          <w:szCs w:val="24"/>
          <w:highlight w:val="none"/>
        </w:rPr>
        <w:t>我（</w:t>
      </w:r>
      <w:r>
        <w:rPr>
          <w:rFonts w:hint="eastAsia" w:ascii="宋体" w:hAnsi="宋体" w:cs="宋体"/>
          <w:color w:val="auto"/>
          <w:sz w:val="24"/>
          <w:szCs w:val="24"/>
          <w:highlight w:val="none"/>
          <w:u w:val="single"/>
        </w:rPr>
        <w:t>姓名</w:t>
      </w:r>
      <w:r>
        <w:rPr>
          <w:rFonts w:hint="eastAsia" w:ascii="宋体" w:hAnsi="宋体" w:cs="宋体"/>
          <w:color w:val="auto"/>
          <w:sz w:val="24"/>
          <w:szCs w:val="24"/>
          <w:highlight w:val="none"/>
        </w:rPr>
        <w:t>）系（</w:t>
      </w:r>
      <w:r>
        <w:rPr>
          <w:rFonts w:hint="eastAsia" w:ascii="宋体" w:hAnsi="宋体" w:cs="宋体"/>
          <w:color w:val="auto"/>
          <w:sz w:val="24"/>
          <w:szCs w:val="24"/>
          <w:highlight w:val="none"/>
          <w:u w:val="single"/>
        </w:rPr>
        <w:t>投标人名称</w:t>
      </w:r>
      <w:r>
        <w:rPr>
          <w:rFonts w:hint="eastAsia" w:ascii="宋体" w:hAnsi="宋体" w:cs="宋体"/>
          <w:color w:val="auto"/>
          <w:sz w:val="24"/>
          <w:szCs w:val="24"/>
          <w:highlight w:val="none"/>
        </w:rPr>
        <w:t>）的法定代表人，我公司自愿参加贵方组织的（</w:t>
      </w:r>
      <w:r>
        <w:rPr>
          <w:rFonts w:hint="eastAsia" w:ascii="宋体" w:hAnsi="宋体" w:cs="宋体"/>
          <w:color w:val="auto"/>
          <w:sz w:val="24"/>
          <w:szCs w:val="24"/>
          <w:highlight w:val="none"/>
          <w:u w:val="single"/>
          <w:lang w:eastAsia="zh-CN"/>
        </w:rPr>
        <w:t>“数字黄岩”智慧城市基础设施提升工程--智慧公安（基层治理能力提升工程-行指舆情）</w:t>
      </w:r>
      <w:r>
        <w:rPr>
          <w:rFonts w:hint="eastAsia" w:ascii="宋体" w:hAnsi="宋体" w:cs="宋体"/>
          <w:color w:val="auto"/>
          <w:sz w:val="24"/>
          <w:szCs w:val="24"/>
          <w:highlight w:val="none"/>
        </w:rPr>
        <w:t>）（编号为：</w:t>
      </w:r>
      <w:r>
        <w:rPr>
          <w:rFonts w:hint="eastAsia" w:ascii="宋体" w:hAnsi="宋体" w:cs="宋体"/>
          <w:color w:val="auto"/>
          <w:sz w:val="24"/>
          <w:szCs w:val="24"/>
          <w:highlight w:val="none"/>
          <w:u w:val="single"/>
          <w:lang w:eastAsia="zh-CN"/>
        </w:rPr>
        <w:t>ZJWS2022-HYCMJT09</w:t>
      </w:r>
      <w:r>
        <w:rPr>
          <w:rFonts w:hint="eastAsia" w:ascii="宋体" w:hAnsi="宋体" w:cs="宋体"/>
          <w:color w:val="auto"/>
          <w:sz w:val="24"/>
          <w:szCs w:val="24"/>
          <w:highlight w:val="none"/>
        </w:rPr>
        <w:t>）的投标，为此，我公司就本次投标有关事项郑重声明如下：</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color w:val="auto"/>
          <w:sz w:val="24"/>
          <w:szCs w:val="24"/>
          <w:highlight w:val="none"/>
          <w:lang w:val="zh-CN"/>
        </w:rPr>
      </w:pPr>
      <w:r>
        <w:rPr>
          <w:rFonts w:hint="eastAsia" w:ascii="宋体"/>
          <w:color w:val="auto"/>
          <w:sz w:val="24"/>
          <w:szCs w:val="24"/>
          <w:highlight w:val="none"/>
          <w:lang w:val="zh-CN"/>
        </w:rPr>
        <w:t>1、我公司声明截止投标时间近三年以来：在政府采购领域中的项目招标、投标和合同履约期间无任何不良行为记录；无重大违法记录（重大违法记录是指供应商因违法经营受到刑事处罚或者责令停产停业、吊销许可证或者执照、较大数额罚款等行政处罚）。</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color w:val="auto"/>
          <w:sz w:val="24"/>
          <w:szCs w:val="24"/>
          <w:highlight w:val="none"/>
          <w:lang w:val="zh-CN"/>
        </w:rPr>
      </w:pPr>
      <w:r>
        <w:rPr>
          <w:rFonts w:hint="eastAsia" w:ascii="宋体"/>
          <w:color w:val="auto"/>
          <w:sz w:val="24"/>
          <w:szCs w:val="24"/>
          <w:highlight w:val="none"/>
          <w:lang w:val="zh-CN"/>
        </w:rPr>
        <w:t>2、我公司在参与投标前已详细审查了招标文件和所有相关资料，包括招标文件澄清或更正内容（如果有），我方完全明白并认为此招标文件没有倾向性，也没有存在排斥潜在投标人的内容，我方同意招标文件的相关条款，放弃对招标文件提出误解和质疑的一切权利。</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color w:val="auto"/>
          <w:sz w:val="24"/>
          <w:szCs w:val="24"/>
          <w:highlight w:val="none"/>
          <w:lang w:val="zh-CN"/>
        </w:rPr>
      </w:pPr>
      <w:r>
        <w:rPr>
          <w:rFonts w:hint="eastAsia" w:ascii="宋体"/>
          <w:color w:val="auto"/>
          <w:sz w:val="24"/>
          <w:szCs w:val="24"/>
          <w:highlight w:val="none"/>
          <w:lang w:val="zh-CN"/>
        </w:rPr>
        <w:t>3、我公司不是采购人的附属机构；在获知本项目采购信息后，与采购人聘请的为此项目提供咨询服务的公司及其附属机构没有任何联系。</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color w:val="auto"/>
          <w:sz w:val="24"/>
          <w:szCs w:val="24"/>
          <w:highlight w:val="none"/>
          <w:lang w:val="zh-CN"/>
        </w:rPr>
      </w:pPr>
      <w:r>
        <w:rPr>
          <w:rFonts w:hint="eastAsia" w:ascii="宋体"/>
          <w:color w:val="auto"/>
          <w:sz w:val="24"/>
          <w:szCs w:val="24"/>
          <w:highlight w:val="none"/>
          <w:lang w:val="zh-CN"/>
        </w:rPr>
        <w:t>4、我公司保证，采购人在中华人民共和国境内使用我公司投标产品、资料、技术、服务或其任何一部分时，享有不受限制的无偿使用权，如有第三方向采购人提出侵犯其专利权、商标权或其它知识产权的主张，该责任由我方承担。我方的投标报价已包含所有应向所有权人支付的专利权、商标权或其它知识产权的一切相关费用。</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color w:val="auto"/>
          <w:sz w:val="24"/>
          <w:szCs w:val="24"/>
          <w:highlight w:val="none"/>
          <w:lang w:val="zh-CN"/>
        </w:rPr>
      </w:pPr>
      <w:r>
        <w:rPr>
          <w:rFonts w:hint="eastAsia" w:ascii="宋体"/>
          <w:color w:val="auto"/>
          <w:sz w:val="24"/>
          <w:szCs w:val="24"/>
          <w:highlight w:val="none"/>
          <w:lang w:val="zh-CN"/>
        </w:rPr>
        <w:t>5、我公司严格履行政府采购合同，不降低合同约定的产品质量和服务，不擅自变更、中止、终止合同，或拒绝履行合同义务；</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color w:val="auto"/>
          <w:sz w:val="24"/>
          <w:szCs w:val="24"/>
          <w:highlight w:val="none"/>
          <w:lang w:val="zh-CN"/>
        </w:rPr>
      </w:pPr>
      <w:r>
        <w:rPr>
          <w:rFonts w:hint="eastAsia" w:ascii="宋体"/>
          <w:color w:val="auto"/>
          <w:sz w:val="24"/>
          <w:szCs w:val="24"/>
          <w:highlight w:val="none"/>
          <w:lang w:val="zh-CN"/>
        </w:rPr>
        <w:t>6、以上事项如有虚假或隐瞒，我公司愿意承担一切后果，并不再寻求任何旨在减轻或免除法律责任的辩解。</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color w:val="auto"/>
          <w:sz w:val="24"/>
          <w:szCs w:val="24"/>
          <w:highlight w:val="none"/>
          <w:lang w:val="zh-CN"/>
        </w:rPr>
      </w:pPr>
      <w:r>
        <w:rPr>
          <w:rFonts w:hint="eastAsia" w:ascii="宋体"/>
          <w:color w:val="auto"/>
          <w:sz w:val="24"/>
          <w:szCs w:val="24"/>
          <w:highlight w:val="none"/>
          <w:lang w:val="zh-CN"/>
        </w:rPr>
        <w:t>本单位若违反以上承诺，将无条件接受项目主管部门和有关监督管理部门的调查，并愿意承担取消中标资格及限制在本地区参与投标等一切法律责任。</w:t>
      </w:r>
    </w:p>
    <w:p>
      <w:pPr>
        <w:keepNext w:val="0"/>
        <w:keepLines w:val="0"/>
        <w:pageBreakBefore w:val="0"/>
        <w:widowControl w:val="0"/>
        <w:kinsoku/>
        <w:wordWrap/>
        <w:overflowPunct/>
        <w:topLinePunct w:val="0"/>
        <w:autoSpaceDE/>
        <w:autoSpaceDN/>
        <w:bidi w:val="0"/>
        <w:adjustRightInd/>
        <w:snapToGrid/>
        <w:spacing w:line="460" w:lineRule="exact"/>
        <w:ind w:firstLine="3120" w:firstLineChars="1300"/>
        <w:textAlignment w:val="auto"/>
        <w:rPr>
          <w:rFonts w:ascii="宋体"/>
          <w:color w:val="auto"/>
          <w:sz w:val="24"/>
          <w:szCs w:val="24"/>
          <w:highlight w:val="none"/>
          <w:lang w:val="zh-CN"/>
        </w:rPr>
      </w:pPr>
      <w:r>
        <w:rPr>
          <w:rFonts w:hint="eastAsia" w:ascii="宋体" w:hAnsi="宋体" w:cs="宋体"/>
          <w:color w:val="auto"/>
          <w:sz w:val="24"/>
          <w:szCs w:val="24"/>
          <w:highlight w:val="none"/>
          <w:lang w:val="zh-CN"/>
        </w:rPr>
        <w:t>投标人名称（公章）：</w:t>
      </w:r>
    </w:p>
    <w:p>
      <w:pPr>
        <w:keepNext w:val="0"/>
        <w:keepLines w:val="0"/>
        <w:pageBreakBefore w:val="0"/>
        <w:widowControl w:val="0"/>
        <w:kinsoku/>
        <w:wordWrap/>
        <w:overflowPunct/>
        <w:topLinePunct w:val="0"/>
        <w:autoSpaceDE/>
        <w:autoSpaceDN/>
        <w:bidi w:val="0"/>
        <w:adjustRightInd/>
        <w:snapToGrid/>
        <w:spacing w:line="460" w:lineRule="exact"/>
        <w:ind w:firstLine="3120" w:firstLineChars="1300"/>
        <w:textAlignment w:val="auto"/>
        <w:rPr>
          <w:rFonts w:ascii="宋体"/>
          <w:color w:val="auto"/>
          <w:sz w:val="24"/>
          <w:szCs w:val="24"/>
          <w:highlight w:val="none"/>
          <w:lang w:val="zh-CN"/>
        </w:rPr>
      </w:pPr>
      <w:r>
        <w:rPr>
          <w:rFonts w:hint="eastAsia" w:ascii="宋体" w:hAnsi="宋体" w:cs="宋体"/>
          <w:color w:val="auto"/>
          <w:sz w:val="24"/>
          <w:szCs w:val="24"/>
          <w:highlight w:val="none"/>
          <w:lang w:val="zh-CN"/>
        </w:rPr>
        <w:t>法定代表人或授权委托代理人（签字或盖章）：</w:t>
      </w:r>
    </w:p>
    <w:p>
      <w:pPr>
        <w:keepNext w:val="0"/>
        <w:keepLines w:val="0"/>
        <w:pageBreakBefore w:val="0"/>
        <w:widowControl w:val="0"/>
        <w:kinsoku/>
        <w:wordWrap/>
        <w:overflowPunct/>
        <w:topLinePunct w:val="0"/>
        <w:autoSpaceDE/>
        <w:autoSpaceDN/>
        <w:bidi w:val="0"/>
        <w:adjustRightInd/>
        <w:snapToGrid/>
        <w:spacing w:line="460" w:lineRule="exact"/>
        <w:ind w:firstLine="3120" w:firstLineChars="1300"/>
        <w:textAlignment w:val="auto"/>
        <w:rPr>
          <w:rFonts w:ascii="宋体"/>
          <w:color w:val="auto"/>
          <w:sz w:val="24"/>
          <w:szCs w:val="24"/>
          <w:highlight w:val="none"/>
        </w:rPr>
      </w:pPr>
      <w:r>
        <w:rPr>
          <w:rFonts w:hint="eastAsia" w:ascii="宋体" w:hAnsi="宋体" w:cs="宋体"/>
          <w:color w:val="auto"/>
          <w:sz w:val="24"/>
          <w:szCs w:val="24"/>
          <w:highlight w:val="none"/>
          <w:lang w:val="zh-CN"/>
        </w:rPr>
        <w:t>日期：</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lang w:val="zh-CN"/>
        </w:rPr>
        <w:t>年</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lang w:val="zh-CN"/>
        </w:rPr>
        <w:t>月</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lang w:val="zh-CN"/>
        </w:rPr>
        <w:t>日</w:t>
      </w:r>
    </w:p>
    <w:p>
      <w:pPr>
        <w:spacing w:line="360" w:lineRule="auto"/>
        <w:rPr>
          <w:rFonts w:ascii="宋体"/>
          <w:b/>
          <w:bCs/>
          <w:color w:val="auto"/>
          <w:sz w:val="28"/>
          <w:szCs w:val="28"/>
          <w:highlight w:val="none"/>
        </w:rPr>
      </w:pPr>
      <w:r>
        <w:rPr>
          <w:rFonts w:hint="eastAsia" w:ascii="宋体" w:hAnsi="宋体" w:cs="宋体"/>
          <w:b/>
          <w:bCs/>
          <w:color w:val="auto"/>
          <w:sz w:val="28"/>
          <w:szCs w:val="28"/>
          <w:highlight w:val="none"/>
        </w:rPr>
        <w:t>附件</w:t>
      </w:r>
      <w:r>
        <w:rPr>
          <w:rFonts w:hint="eastAsia" w:ascii="宋体" w:hAnsi="宋体" w:cs="宋体"/>
          <w:b/>
          <w:bCs/>
          <w:color w:val="auto"/>
          <w:sz w:val="28"/>
          <w:szCs w:val="28"/>
          <w:highlight w:val="none"/>
          <w:lang w:val="en-US" w:eastAsia="zh-CN"/>
        </w:rPr>
        <w:t>3</w:t>
      </w:r>
      <w:r>
        <w:rPr>
          <w:rFonts w:ascii="宋体" w:hAnsi="宋体" w:cs="宋体"/>
          <w:b/>
          <w:bCs/>
          <w:color w:val="auto"/>
          <w:sz w:val="28"/>
          <w:szCs w:val="28"/>
          <w:highlight w:val="none"/>
        </w:rPr>
        <w:t xml:space="preserve">                   </w:t>
      </w:r>
      <w:r>
        <w:rPr>
          <w:rFonts w:hint="eastAsia" w:ascii="宋体" w:hAnsi="宋体" w:cs="宋体"/>
          <w:b/>
          <w:bCs/>
          <w:color w:val="auto"/>
          <w:sz w:val="28"/>
          <w:szCs w:val="28"/>
          <w:highlight w:val="none"/>
        </w:rPr>
        <w:t>授权委托书</w:t>
      </w:r>
    </w:p>
    <w:p>
      <w:pPr>
        <w:spacing w:line="360" w:lineRule="auto"/>
        <w:jc w:val="left"/>
        <w:rPr>
          <w:rFonts w:ascii="宋体"/>
          <w:color w:val="auto"/>
          <w:sz w:val="24"/>
          <w:szCs w:val="24"/>
          <w:highlight w:val="none"/>
        </w:rPr>
      </w:pPr>
      <w:r>
        <w:rPr>
          <w:rFonts w:hint="eastAsia" w:ascii="宋体" w:hAnsi="宋体" w:cs="宋体"/>
          <w:color w:val="auto"/>
          <w:sz w:val="24"/>
          <w:szCs w:val="24"/>
          <w:highlight w:val="none"/>
          <w:u w:val="single"/>
        </w:rPr>
        <w:t>浙江五石中正工程咨询有限公司</w:t>
      </w:r>
      <w:r>
        <w:rPr>
          <w:rFonts w:hint="eastAsia" w:ascii="宋体" w:hAnsi="宋体" w:cs="宋体"/>
          <w:color w:val="auto"/>
          <w:sz w:val="24"/>
          <w:szCs w:val="24"/>
          <w:highlight w:val="none"/>
        </w:rPr>
        <w:t>（采购代理机构名称）：</w:t>
      </w:r>
    </w:p>
    <w:p>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u w:val="single"/>
        </w:rPr>
        <w:t>（投标人全称）</w:t>
      </w:r>
      <w:r>
        <w:rPr>
          <w:rFonts w:hint="eastAsia" w:ascii="宋体" w:hAnsi="宋体" w:cs="宋体"/>
          <w:color w:val="auto"/>
          <w:sz w:val="24"/>
          <w:szCs w:val="24"/>
          <w:highlight w:val="none"/>
        </w:rPr>
        <w:t>法定代表人（或营业执照中单位负责人）</w:t>
      </w:r>
      <w:r>
        <w:rPr>
          <w:rFonts w:ascii="宋体"/>
          <w:color w:val="auto"/>
          <w:sz w:val="24"/>
          <w:szCs w:val="24"/>
          <w:highlight w:val="none"/>
          <w:u w:val="single"/>
        </w:rPr>
        <w:tab/>
      </w:r>
      <w:r>
        <w:rPr>
          <w:rFonts w:hint="eastAsia" w:ascii="宋体" w:hAnsi="宋体" w:cs="宋体"/>
          <w:color w:val="auto"/>
          <w:sz w:val="24"/>
          <w:szCs w:val="24"/>
          <w:highlight w:val="none"/>
          <w:u w:val="single"/>
        </w:rPr>
        <w:t>（法定代表人或营业执照中单位负责人姓名）</w:t>
      </w:r>
      <w:r>
        <w:rPr>
          <w:rFonts w:hint="eastAsia" w:ascii="宋体" w:hAnsi="宋体" w:cs="宋体"/>
          <w:color w:val="auto"/>
          <w:sz w:val="24"/>
          <w:szCs w:val="24"/>
          <w:highlight w:val="none"/>
        </w:rPr>
        <w:t>授权</w:t>
      </w:r>
      <w:r>
        <w:rPr>
          <w:rFonts w:hint="eastAsia" w:ascii="宋体" w:hAnsi="宋体" w:cs="宋体"/>
          <w:color w:val="auto"/>
          <w:sz w:val="24"/>
          <w:szCs w:val="24"/>
          <w:highlight w:val="none"/>
          <w:u w:val="single"/>
        </w:rPr>
        <w:t>（授权委托代理人姓名）</w:t>
      </w:r>
      <w:r>
        <w:rPr>
          <w:rFonts w:hint="eastAsia" w:ascii="宋体" w:hAnsi="宋体" w:cs="宋体"/>
          <w:color w:val="auto"/>
          <w:sz w:val="24"/>
          <w:szCs w:val="24"/>
          <w:highlight w:val="none"/>
        </w:rPr>
        <w:t>为授权委托代理人，参加贵单位组织的</w:t>
      </w:r>
      <w:r>
        <w:rPr>
          <w:rFonts w:hint="eastAsia" w:ascii="宋体" w:hAnsi="宋体" w:cs="宋体"/>
          <w:color w:val="auto"/>
          <w:sz w:val="24"/>
          <w:szCs w:val="24"/>
          <w:highlight w:val="none"/>
          <w:u w:val="single"/>
          <w:lang w:eastAsia="zh-CN"/>
        </w:rPr>
        <w:t>“数字黄岩”智慧城市基础设施提升工程--智慧公安（基层治理能力提升工程-行指舆情）</w:t>
      </w:r>
      <w:r>
        <w:rPr>
          <w:rFonts w:hint="eastAsia" w:ascii="宋体" w:hAnsi="宋体" w:cs="宋体"/>
          <w:color w:val="auto"/>
          <w:sz w:val="24"/>
          <w:szCs w:val="24"/>
          <w:highlight w:val="none"/>
        </w:rPr>
        <w:t>的采购活动，并代表我方全权办理针对上述项目的投标、开标、评标、签约等具体事务和签署相关文件。我方对授权委托代理人的签字事项负全部责任。</w:t>
      </w:r>
    </w:p>
    <w:p>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在撤销授权的书面通知以前，本授权书一直有效。授权委托代理人在授权委托书有效期内签署的所有文件不因授权的撤销而失效。</w:t>
      </w:r>
    </w:p>
    <w:p>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授权委托代理人无转委托权，特此委托。</w:t>
      </w:r>
    </w:p>
    <w:p>
      <w:pPr>
        <w:spacing w:line="360" w:lineRule="auto"/>
        <w:ind w:firstLine="480" w:firstLineChars="200"/>
        <w:rPr>
          <w:rFonts w:ascii="宋体"/>
          <w:color w:val="auto"/>
          <w:sz w:val="24"/>
          <w:szCs w:val="24"/>
          <w:highlight w:val="none"/>
        </w:rPr>
      </w:pPr>
    </w:p>
    <w:p>
      <w:pPr>
        <w:spacing w:line="360" w:lineRule="auto"/>
        <w:rPr>
          <w:rFonts w:ascii="宋体"/>
          <w:color w:val="auto"/>
          <w:sz w:val="24"/>
          <w:szCs w:val="24"/>
          <w:highlight w:val="none"/>
        </w:rPr>
      </w:pPr>
      <w:r>
        <w:rPr>
          <w:rFonts w:hint="eastAsia" w:ascii="宋体" w:hAnsi="宋体" w:cs="宋体"/>
          <w:color w:val="auto"/>
          <w:sz w:val="24"/>
          <w:szCs w:val="24"/>
          <w:highlight w:val="none"/>
        </w:rPr>
        <w:t>法定代表人签字或盖章：</w:t>
      </w:r>
    </w:p>
    <w:p>
      <w:pPr>
        <w:spacing w:line="360" w:lineRule="auto"/>
        <w:rPr>
          <w:rFonts w:ascii="宋体"/>
          <w:color w:val="auto"/>
          <w:sz w:val="24"/>
          <w:szCs w:val="24"/>
          <w:highlight w:val="none"/>
        </w:rPr>
      </w:pPr>
    </w:p>
    <w:p>
      <w:pPr>
        <w:spacing w:line="360" w:lineRule="auto"/>
        <w:rPr>
          <w:rFonts w:ascii="宋体"/>
          <w:color w:val="auto"/>
          <w:sz w:val="24"/>
          <w:szCs w:val="24"/>
          <w:highlight w:val="none"/>
        </w:rPr>
      </w:pPr>
      <w:r>
        <w:rPr>
          <w:rFonts w:hint="eastAsia" w:ascii="宋体" w:hAnsi="宋体" w:cs="宋体"/>
          <w:color w:val="auto"/>
          <w:sz w:val="24"/>
          <w:szCs w:val="24"/>
          <w:highlight w:val="none"/>
        </w:rPr>
        <w:t>投标人全称（公章）：</w:t>
      </w:r>
      <w:r>
        <w:rPr>
          <w:rFonts w:hint="eastAsia" w:ascii="宋体" w:hAnsi="宋体" w:cs="宋体"/>
          <w:color w:val="auto"/>
          <w:sz w:val="24"/>
          <w:szCs w:val="24"/>
          <w:highlight w:val="none"/>
          <w:lang w:val="en-US" w:eastAsia="zh-CN"/>
        </w:rPr>
        <w:t xml:space="preserve">                                  </w:t>
      </w:r>
      <w:r>
        <w:rPr>
          <w:rFonts w:hint="eastAsia" w:ascii="宋体" w:hAnsi="宋体" w:cs="宋体"/>
          <w:color w:val="auto"/>
          <w:sz w:val="24"/>
          <w:szCs w:val="24"/>
          <w:highlight w:val="none"/>
        </w:rPr>
        <w:t>日期：</w:t>
      </w:r>
    </w:p>
    <w:p>
      <w:pPr>
        <w:spacing w:line="360" w:lineRule="auto"/>
        <w:ind w:firstLine="480" w:firstLineChars="200"/>
        <w:rPr>
          <w:rFonts w:ascii="宋体"/>
          <w:color w:val="auto"/>
          <w:sz w:val="24"/>
          <w:szCs w:val="24"/>
          <w:highlight w:val="none"/>
        </w:rPr>
      </w:pPr>
    </w:p>
    <w:p>
      <w:pPr>
        <w:spacing w:line="360" w:lineRule="auto"/>
        <w:rPr>
          <w:rFonts w:ascii="宋体"/>
          <w:b/>
          <w:bCs/>
          <w:color w:val="auto"/>
          <w:sz w:val="24"/>
          <w:szCs w:val="24"/>
          <w:highlight w:val="none"/>
        </w:rPr>
      </w:pPr>
      <w:r>
        <w:rPr>
          <w:rFonts w:hint="eastAsia" w:ascii="宋体" w:hAnsi="宋体" w:cs="宋体"/>
          <w:b/>
          <w:bCs/>
          <w:color w:val="auto"/>
          <w:sz w:val="24"/>
          <w:szCs w:val="24"/>
          <w:highlight w:val="none"/>
        </w:rPr>
        <w:t>附：</w:t>
      </w:r>
    </w:p>
    <w:tbl>
      <w:tblPr>
        <w:tblStyle w:val="20"/>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noWrap w:val="0"/>
            <w:vAlign w:val="center"/>
          </w:tcPr>
          <w:p>
            <w:pPr>
              <w:spacing w:line="360" w:lineRule="auto"/>
              <w:jc w:val="center"/>
              <w:rPr>
                <w:rFonts w:ascii="宋体"/>
                <w:b/>
                <w:bCs/>
                <w:color w:val="auto"/>
                <w:sz w:val="24"/>
                <w:szCs w:val="24"/>
                <w:highlight w:val="none"/>
              </w:rPr>
            </w:pPr>
            <w:r>
              <w:rPr>
                <w:rFonts w:hint="eastAsia" w:ascii="宋体" w:hAnsi="宋体" w:cs="宋体"/>
                <w:b/>
                <w:bCs/>
                <w:color w:val="auto"/>
                <w:sz w:val="24"/>
                <w:szCs w:val="24"/>
                <w:highlight w:val="none"/>
              </w:rPr>
              <w:t>法定代表身份证复印件粘帖处</w:t>
            </w:r>
          </w:p>
        </w:tc>
      </w:tr>
    </w:tbl>
    <w:p>
      <w:pPr>
        <w:spacing w:line="360" w:lineRule="auto"/>
        <w:rPr>
          <w:rFonts w:ascii="宋体"/>
          <w:color w:val="auto"/>
          <w:sz w:val="24"/>
          <w:szCs w:val="24"/>
          <w:highlight w:val="none"/>
        </w:rPr>
      </w:pPr>
      <w:r>
        <w:rPr>
          <w:rFonts w:hint="eastAsia" w:ascii="宋体" w:hAnsi="宋体" w:cs="宋体"/>
          <w:color w:val="auto"/>
          <w:sz w:val="24"/>
          <w:szCs w:val="24"/>
          <w:highlight w:val="none"/>
        </w:rPr>
        <w:t>法定代表人姓名：</w:t>
      </w:r>
    </w:p>
    <w:p>
      <w:pPr>
        <w:spacing w:line="360" w:lineRule="auto"/>
        <w:rPr>
          <w:rFonts w:ascii="宋体"/>
          <w:color w:val="auto"/>
          <w:sz w:val="24"/>
          <w:szCs w:val="24"/>
          <w:highlight w:val="none"/>
        </w:rPr>
      </w:pPr>
      <w:r>
        <w:rPr>
          <w:rFonts w:hint="eastAsia" w:ascii="宋体" w:hAnsi="宋体" w:cs="宋体"/>
          <w:color w:val="auto"/>
          <w:sz w:val="24"/>
          <w:szCs w:val="24"/>
          <w:highlight w:val="none"/>
        </w:rPr>
        <w:t>传真：</w:t>
      </w:r>
    </w:p>
    <w:p>
      <w:pPr>
        <w:spacing w:line="360" w:lineRule="auto"/>
        <w:rPr>
          <w:rFonts w:ascii="宋体"/>
          <w:color w:val="auto"/>
          <w:sz w:val="24"/>
          <w:szCs w:val="24"/>
          <w:highlight w:val="none"/>
        </w:rPr>
      </w:pPr>
      <w:r>
        <w:rPr>
          <w:rFonts w:hint="eastAsia" w:ascii="宋体" w:hAnsi="宋体" w:cs="宋体"/>
          <w:color w:val="auto"/>
          <w:sz w:val="24"/>
          <w:szCs w:val="24"/>
          <w:highlight w:val="none"/>
        </w:rPr>
        <w:t>手机：</w:t>
      </w:r>
    </w:p>
    <w:p>
      <w:pPr>
        <w:spacing w:line="360" w:lineRule="auto"/>
        <w:rPr>
          <w:rFonts w:ascii="宋体"/>
          <w:color w:val="auto"/>
          <w:sz w:val="24"/>
          <w:szCs w:val="24"/>
          <w:highlight w:val="none"/>
        </w:rPr>
      </w:pPr>
      <w:r>
        <w:rPr>
          <w:rFonts w:hint="eastAsia" w:ascii="宋体" w:hAnsi="宋体" w:cs="宋体"/>
          <w:color w:val="auto"/>
          <w:sz w:val="24"/>
          <w:szCs w:val="24"/>
          <w:highlight w:val="none"/>
        </w:rPr>
        <w:t>详细通讯地址：</w:t>
      </w:r>
    </w:p>
    <w:p>
      <w:pPr>
        <w:spacing w:line="360" w:lineRule="auto"/>
        <w:rPr>
          <w:rFonts w:ascii="宋体"/>
          <w:color w:val="auto"/>
          <w:sz w:val="24"/>
          <w:szCs w:val="24"/>
          <w:highlight w:val="none"/>
        </w:rPr>
      </w:pPr>
      <w:r>
        <w:rPr>
          <w:rFonts w:hint="eastAsia" w:ascii="宋体" w:hAnsi="宋体" w:cs="宋体"/>
          <w:color w:val="auto"/>
          <w:sz w:val="24"/>
          <w:szCs w:val="24"/>
          <w:highlight w:val="none"/>
        </w:rPr>
        <w:t>邮政编码：</w:t>
      </w:r>
    </w:p>
    <w:p>
      <w:pPr>
        <w:spacing w:line="360" w:lineRule="auto"/>
        <w:rPr>
          <w:rFonts w:ascii="宋体"/>
          <w:b/>
          <w:bCs/>
          <w:color w:val="auto"/>
          <w:sz w:val="24"/>
          <w:szCs w:val="24"/>
          <w:highlight w:val="none"/>
        </w:rPr>
      </w:pPr>
    </w:p>
    <w:tbl>
      <w:tblPr>
        <w:tblStyle w:val="20"/>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noWrap w:val="0"/>
            <w:vAlign w:val="center"/>
          </w:tcPr>
          <w:p>
            <w:pPr>
              <w:spacing w:line="360" w:lineRule="auto"/>
              <w:jc w:val="center"/>
              <w:rPr>
                <w:rFonts w:ascii="宋体"/>
                <w:b/>
                <w:bCs/>
                <w:color w:val="auto"/>
                <w:sz w:val="24"/>
                <w:szCs w:val="24"/>
                <w:highlight w:val="none"/>
              </w:rPr>
            </w:pPr>
            <w:r>
              <w:rPr>
                <w:rFonts w:hint="eastAsia" w:ascii="宋体" w:hAnsi="宋体" w:cs="宋体"/>
                <w:b/>
                <w:bCs/>
                <w:color w:val="auto"/>
                <w:sz w:val="24"/>
                <w:szCs w:val="24"/>
                <w:highlight w:val="none"/>
              </w:rPr>
              <w:t>授权委托代理人身份证复印件粘帖处</w:t>
            </w:r>
          </w:p>
        </w:tc>
      </w:tr>
    </w:tbl>
    <w:p>
      <w:pPr>
        <w:spacing w:line="360" w:lineRule="auto"/>
        <w:rPr>
          <w:rFonts w:ascii="宋体"/>
          <w:color w:val="auto"/>
          <w:sz w:val="24"/>
          <w:szCs w:val="24"/>
          <w:highlight w:val="none"/>
        </w:rPr>
      </w:pPr>
      <w:r>
        <w:rPr>
          <w:rFonts w:hint="eastAsia" w:ascii="宋体" w:hAnsi="宋体" w:cs="宋体"/>
          <w:color w:val="auto"/>
          <w:sz w:val="24"/>
          <w:szCs w:val="24"/>
          <w:highlight w:val="none"/>
        </w:rPr>
        <w:t>授权委托代理人姓名：</w:t>
      </w:r>
    </w:p>
    <w:p>
      <w:pPr>
        <w:spacing w:line="360" w:lineRule="auto"/>
        <w:rPr>
          <w:rFonts w:ascii="宋体"/>
          <w:color w:val="auto"/>
          <w:sz w:val="24"/>
          <w:szCs w:val="24"/>
          <w:highlight w:val="none"/>
        </w:rPr>
      </w:pPr>
      <w:r>
        <w:rPr>
          <w:rFonts w:hint="eastAsia" w:ascii="宋体" w:hAnsi="宋体" w:cs="宋体"/>
          <w:color w:val="auto"/>
          <w:sz w:val="24"/>
          <w:szCs w:val="24"/>
          <w:highlight w:val="none"/>
        </w:rPr>
        <w:t>职务：</w:t>
      </w:r>
    </w:p>
    <w:p>
      <w:pPr>
        <w:spacing w:line="360" w:lineRule="auto"/>
        <w:rPr>
          <w:rFonts w:ascii="宋体"/>
          <w:color w:val="auto"/>
          <w:sz w:val="24"/>
          <w:szCs w:val="24"/>
          <w:highlight w:val="none"/>
        </w:rPr>
      </w:pPr>
      <w:r>
        <w:rPr>
          <w:rFonts w:hint="eastAsia" w:ascii="宋体" w:hAnsi="宋体" w:cs="宋体"/>
          <w:color w:val="auto"/>
          <w:sz w:val="24"/>
          <w:szCs w:val="24"/>
          <w:highlight w:val="none"/>
        </w:rPr>
        <w:t>传真：</w:t>
      </w:r>
    </w:p>
    <w:p>
      <w:pPr>
        <w:spacing w:line="360" w:lineRule="auto"/>
        <w:rPr>
          <w:rFonts w:ascii="宋体"/>
          <w:color w:val="auto"/>
          <w:sz w:val="24"/>
          <w:szCs w:val="24"/>
          <w:highlight w:val="none"/>
        </w:rPr>
      </w:pPr>
      <w:r>
        <w:rPr>
          <w:rFonts w:hint="eastAsia" w:ascii="宋体" w:hAnsi="宋体" w:cs="宋体"/>
          <w:color w:val="auto"/>
          <w:sz w:val="24"/>
          <w:szCs w:val="24"/>
          <w:highlight w:val="none"/>
        </w:rPr>
        <w:t>手机：</w:t>
      </w:r>
    </w:p>
    <w:p>
      <w:pPr>
        <w:spacing w:line="360" w:lineRule="auto"/>
        <w:rPr>
          <w:rFonts w:ascii="宋体"/>
          <w:color w:val="auto"/>
          <w:sz w:val="24"/>
          <w:szCs w:val="24"/>
          <w:highlight w:val="none"/>
        </w:rPr>
      </w:pPr>
      <w:r>
        <w:rPr>
          <w:rFonts w:hint="eastAsia" w:ascii="宋体" w:hAnsi="宋体" w:cs="宋体"/>
          <w:color w:val="auto"/>
          <w:sz w:val="24"/>
          <w:szCs w:val="24"/>
          <w:highlight w:val="none"/>
        </w:rPr>
        <w:t>详细通讯地址：</w:t>
      </w:r>
    </w:p>
    <w:p>
      <w:pPr>
        <w:spacing w:line="360" w:lineRule="auto"/>
        <w:rPr>
          <w:rFonts w:ascii="宋体"/>
          <w:color w:val="auto"/>
          <w:sz w:val="24"/>
          <w:szCs w:val="24"/>
          <w:highlight w:val="none"/>
        </w:rPr>
      </w:pPr>
      <w:r>
        <w:rPr>
          <w:rFonts w:hint="eastAsia" w:ascii="宋体" w:hAnsi="宋体" w:cs="宋体"/>
          <w:color w:val="auto"/>
          <w:sz w:val="24"/>
          <w:szCs w:val="24"/>
          <w:highlight w:val="none"/>
        </w:rPr>
        <w:t>邮政编码：</w:t>
      </w:r>
    </w:p>
    <w:p>
      <w:pPr>
        <w:spacing w:line="360" w:lineRule="auto"/>
        <w:rPr>
          <w:rFonts w:hint="eastAsia" w:ascii="宋体" w:hAnsi="宋体" w:eastAsia="宋体" w:cs="宋体"/>
          <w:b/>
          <w:bCs/>
          <w:color w:val="auto"/>
          <w:sz w:val="28"/>
          <w:szCs w:val="36"/>
          <w:highlight w:val="none"/>
          <w:lang w:val="zh-CN"/>
        </w:rPr>
      </w:pPr>
      <w:r>
        <w:rPr>
          <w:rFonts w:hint="eastAsia" w:ascii="宋体" w:hAnsi="宋体" w:eastAsia="宋体" w:cs="宋体"/>
          <w:b/>
          <w:bCs/>
          <w:color w:val="auto"/>
          <w:sz w:val="28"/>
          <w:szCs w:val="36"/>
          <w:highlight w:val="none"/>
        </w:rPr>
        <w:t>附件</w:t>
      </w:r>
      <w:r>
        <w:rPr>
          <w:rFonts w:hint="eastAsia" w:ascii="宋体" w:hAnsi="宋体" w:cs="宋体"/>
          <w:b/>
          <w:bCs/>
          <w:color w:val="auto"/>
          <w:sz w:val="28"/>
          <w:szCs w:val="36"/>
          <w:highlight w:val="none"/>
          <w:lang w:val="en-US" w:eastAsia="zh-CN"/>
        </w:rPr>
        <w:t>4</w:t>
      </w:r>
      <w:r>
        <w:rPr>
          <w:rFonts w:hint="eastAsia" w:ascii="宋体" w:hAnsi="宋体" w:eastAsia="宋体" w:cs="宋体"/>
          <w:b/>
          <w:bCs/>
          <w:color w:val="auto"/>
          <w:sz w:val="28"/>
          <w:szCs w:val="36"/>
          <w:highlight w:val="none"/>
          <w:lang w:val="en-US" w:eastAsia="zh-CN"/>
        </w:rPr>
        <w:t xml:space="preserve">             </w:t>
      </w:r>
      <w:r>
        <w:rPr>
          <w:rFonts w:hint="eastAsia" w:ascii="宋体" w:hAnsi="宋体" w:cs="宋体"/>
          <w:b/>
          <w:bCs/>
          <w:color w:val="auto"/>
          <w:sz w:val="28"/>
          <w:szCs w:val="36"/>
          <w:highlight w:val="none"/>
          <w:lang w:val="en-US" w:eastAsia="zh-CN"/>
        </w:rPr>
        <w:t xml:space="preserve">    </w:t>
      </w:r>
      <w:r>
        <w:rPr>
          <w:rFonts w:hint="eastAsia" w:ascii="宋体" w:hAnsi="宋体" w:eastAsia="宋体" w:cs="宋体"/>
          <w:b/>
          <w:bCs/>
          <w:color w:val="auto"/>
          <w:sz w:val="28"/>
          <w:szCs w:val="36"/>
          <w:highlight w:val="none"/>
          <w:lang w:val="en-US" w:eastAsia="zh-CN"/>
        </w:rPr>
        <w:t xml:space="preserve">    </w:t>
      </w:r>
      <w:r>
        <w:rPr>
          <w:rFonts w:hint="eastAsia" w:ascii="宋体" w:hAnsi="宋体" w:eastAsia="宋体" w:cs="宋体"/>
          <w:b/>
          <w:bCs/>
          <w:color w:val="auto"/>
          <w:sz w:val="28"/>
          <w:szCs w:val="36"/>
          <w:highlight w:val="none"/>
          <w:lang w:val="zh-CN"/>
        </w:rPr>
        <w:t>联合协议</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（联合体所有成员名称）</w:t>
      </w:r>
      <w:r>
        <w:rPr>
          <w:rFonts w:hint="eastAsia" w:ascii="宋体" w:hAnsi="宋体" w:eastAsia="宋体" w:cs="宋体"/>
          <w:color w:val="auto"/>
          <w:kern w:val="0"/>
          <w:sz w:val="24"/>
          <w:highlight w:val="none"/>
        </w:rPr>
        <w:t>自愿</w:t>
      </w:r>
      <w:r>
        <w:rPr>
          <w:rFonts w:hint="eastAsia" w:ascii="宋体" w:hAnsi="宋体" w:eastAsia="宋体" w:cs="宋体"/>
          <w:color w:val="auto"/>
          <w:kern w:val="0"/>
          <w:sz w:val="24"/>
          <w:highlight w:val="none"/>
          <w:lang w:val="zh-CN"/>
        </w:rPr>
        <w:t>组成一个联合体，以一个投标人的身份</w:t>
      </w:r>
      <w:r>
        <w:rPr>
          <w:rFonts w:hint="eastAsia" w:ascii="宋体" w:hAnsi="宋体" w:eastAsia="宋体" w:cs="宋体"/>
          <w:color w:val="auto"/>
          <w:kern w:val="0"/>
          <w:sz w:val="24"/>
          <w:highlight w:val="none"/>
        </w:rPr>
        <w:t>参加</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u w:val="single"/>
          <w:lang w:eastAsia="zh-CN"/>
        </w:rPr>
        <w:t>“数字黄岩”智慧城市基础设施提升工程--智慧公安（基层治理能力提升工程-行指舆情）</w:t>
      </w:r>
      <w:r>
        <w:rPr>
          <w:rFonts w:hint="eastAsia" w:ascii="宋体" w:hAnsi="宋体" w:cs="宋体"/>
          <w:color w:val="auto"/>
          <w:kern w:val="0"/>
          <w:sz w:val="24"/>
          <w:highlight w:val="none"/>
          <w:u w:val="single"/>
          <w:lang w:val="en-US" w:eastAsia="zh-CN"/>
        </w:rPr>
        <w:t xml:space="preserve"> </w:t>
      </w:r>
      <w:r>
        <w:rPr>
          <w:rFonts w:hint="eastAsia" w:ascii="宋体" w:hAnsi="宋体" w:eastAsia="宋体" w:cs="宋体"/>
          <w:color w:val="auto"/>
          <w:sz w:val="24"/>
          <w:highlight w:val="none"/>
        </w:rPr>
        <w:t>（项目名称）【招标编号：</w:t>
      </w:r>
      <w:r>
        <w:rPr>
          <w:rFonts w:hint="eastAsia" w:ascii="宋体" w:hAnsi="宋体" w:cs="宋体"/>
          <w:color w:val="auto"/>
          <w:sz w:val="24"/>
          <w:highlight w:val="none"/>
          <w:u w:val="single"/>
          <w:lang w:eastAsia="zh-CN"/>
        </w:rPr>
        <w:t>ZJWS2022-HYCMJT09</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 xml:space="preserve">投标。 </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一、各方一致决定，</w:t>
      </w:r>
      <w:r>
        <w:rPr>
          <w:rFonts w:hint="eastAsia" w:ascii="宋体" w:hAnsi="宋体" w:eastAsia="宋体" w:cs="宋体"/>
          <w:color w:val="auto"/>
          <w:kern w:val="0"/>
          <w:sz w:val="24"/>
          <w:highlight w:val="none"/>
          <w:u w:val="single"/>
        </w:rPr>
        <w:t>（某联合体成员名称）</w:t>
      </w:r>
      <w:r>
        <w:rPr>
          <w:rFonts w:hint="eastAsia" w:ascii="宋体" w:hAnsi="宋体" w:eastAsia="宋体" w:cs="宋体"/>
          <w:color w:val="auto"/>
          <w:kern w:val="0"/>
          <w:sz w:val="24"/>
          <w:highlight w:val="none"/>
        </w:rPr>
        <w:t>为联合体</w:t>
      </w:r>
      <w:r>
        <w:rPr>
          <w:rFonts w:hint="eastAsia" w:ascii="宋体" w:hAnsi="宋体" w:eastAsia="宋体" w:cs="宋体"/>
          <w:color w:val="auto"/>
          <w:kern w:val="0"/>
          <w:sz w:val="24"/>
          <w:highlight w:val="none"/>
          <w:lang w:val="zh-CN"/>
        </w:rPr>
        <w:t>牵头人</w:t>
      </w:r>
      <w:r>
        <w:rPr>
          <w:rFonts w:hint="eastAsia" w:ascii="宋体" w:hAnsi="宋体" w:eastAsia="宋体" w:cs="宋体"/>
          <w:color w:val="auto"/>
          <w:sz w:val="24"/>
          <w:highlight w:val="none"/>
        </w:rPr>
        <w:t>，代表所有联合体成员负责投标和合同实施阶段的主办、协调工作</w:t>
      </w:r>
      <w:r>
        <w:rPr>
          <w:rFonts w:hint="eastAsia" w:ascii="宋体" w:hAnsi="宋体" w:eastAsia="宋体" w:cs="宋体"/>
          <w:color w:val="auto"/>
          <w:kern w:val="0"/>
          <w:sz w:val="24"/>
          <w:highlight w:val="none"/>
          <w:lang w:val="zh-CN"/>
        </w:rPr>
        <w:t>。</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二、</w:t>
      </w:r>
      <w:r>
        <w:rPr>
          <w:rFonts w:hint="eastAsia" w:ascii="宋体" w:hAnsi="宋体" w:eastAsia="宋体" w:cs="宋体"/>
          <w:color w:val="auto"/>
          <w:sz w:val="24"/>
          <w:highlight w:val="none"/>
        </w:rPr>
        <w:t>所有联合体成员各方签署授权书，授权书载明的</w:t>
      </w:r>
      <w:r>
        <w:rPr>
          <w:rFonts w:hint="eastAsia" w:ascii="宋体" w:hAnsi="宋体" w:eastAsia="宋体" w:cs="宋体"/>
          <w:color w:val="auto"/>
          <w:kern w:val="0"/>
          <w:sz w:val="24"/>
          <w:highlight w:val="none"/>
          <w:lang w:val="zh-CN"/>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三、本次联合投标中，分工如下：</w:t>
      </w:r>
      <w:r>
        <w:rPr>
          <w:rFonts w:hint="eastAsia" w:ascii="宋体" w:hAnsi="宋体" w:eastAsia="宋体" w:cs="宋体"/>
          <w:color w:val="auto"/>
          <w:kern w:val="0"/>
          <w:sz w:val="24"/>
          <w:highlight w:val="none"/>
          <w:u w:val="single"/>
        </w:rPr>
        <w:t>（联合体其中一方成员名称）</w:t>
      </w:r>
      <w:r>
        <w:rPr>
          <w:rFonts w:hint="eastAsia" w:ascii="宋体" w:hAnsi="宋体" w:eastAsia="宋体" w:cs="宋体"/>
          <w:color w:val="auto"/>
          <w:kern w:val="0"/>
          <w:sz w:val="24"/>
          <w:highlight w:val="none"/>
          <w:lang w:val="zh-CN"/>
        </w:rPr>
        <w:t>承担的工作和义务为：</w:t>
      </w:r>
      <w:r>
        <w:rPr>
          <w:rFonts w:hint="eastAsia" w:ascii="宋体" w:hAnsi="宋体" w:eastAsia="宋体" w:cs="宋体"/>
          <w:color w:val="auto"/>
          <w:highlight w:val="none"/>
          <w:u w:val="single"/>
        </w:rPr>
        <w:t xml:space="preserve">             </w:t>
      </w:r>
      <w:r>
        <w:rPr>
          <w:rFonts w:hint="eastAsia" w:ascii="宋体" w:hAnsi="宋体" w:eastAsia="宋体" w:cs="宋体"/>
          <w:color w:val="auto"/>
          <w:kern w:val="0"/>
          <w:sz w:val="24"/>
          <w:highlight w:val="none"/>
          <w:lang w:val="zh-CN"/>
        </w:rPr>
        <w:t>；</w:t>
      </w:r>
      <w:r>
        <w:rPr>
          <w:rFonts w:hint="eastAsia" w:ascii="宋体" w:hAnsi="宋体" w:eastAsia="宋体" w:cs="宋体"/>
          <w:color w:val="auto"/>
          <w:kern w:val="0"/>
          <w:sz w:val="24"/>
          <w:highlight w:val="none"/>
          <w:u w:val="single"/>
        </w:rPr>
        <w:t>（联合体其中一方成员名称）</w:t>
      </w:r>
      <w:r>
        <w:rPr>
          <w:rFonts w:hint="eastAsia" w:ascii="宋体" w:hAnsi="宋体" w:eastAsia="宋体" w:cs="宋体"/>
          <w:color w:val="auto"/>
          <w:kern w:val="0"/>
          <w:sz w:val="24"/>
          <w:highlight w:val="none"/>
          <w:lang w:val="zh-CN"/>
        </w:rPr>
        <w:t>承担的工作和义务为：</w:t>
      </w:r>
      <w:r>
        <w:rPr>
          <w:rFonts w:hint="eastAsia" w:ascii="宋体" w:hAnsi="宋体" w:eastAsia="宋体" w:cs="宋体"/>
          <w:color w:val="auto"/>
          <w:highlight w:val="none"/>
          <w:u w:val="single"/>
        </w:rPr>
        <w:t xml:space="preserve">            </w:t>
      </w:r>
      <w:r>
        <w:rPr>
          <w:rFonts w:hint="eastAsia" w:ascii="宋体" w:hAnsi="宋体" w:eastAsia="宋体" w:cs="宋体"/>
          <w:color w:val="auto"/>
          <w:kern w:val="0"/>
          <w:sz w:val="24"/>
          <w:highlight w:val="none"/>
          <w:lang w:val="zh-CN"/>
        </w:rPr>
        <w:t xml:space="preserve"> ；……。</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四、</w:t>
      </w:r>
      <w:r>
        <w:rPr>
          <w:rFonts w:hint="eastAsia" w:ascii="宋体" w:hAnsi="宋体" w:eastAsia="宋体" w:cs="宋体"/>
          <w:color w:val="auto"/>
          <w:sz w:val="24"/>
          <w:highlight w:val="none"/>
        </w:rPr>
        <w:t>中小企业合同金额达到</w:t>
      </w:r>
      <w:r>
        <w:rPr>
          <w:rFonts w:hint="eastAsia" w:ascii="宋体" w:hAnsi="宋体" w:cs="宋体"/>
          <w:color w:val="auto"/>
          <w:sz w:val="24"/>
          <w:highlight w:val="none"/>
          <w:u w:val="single"/>
          <w:lang w:val="en-US" w:eastAsia="zh-CN"/>
        </w:rPr>
        <w:t xml:space="preserve">     </w:t>
      </w:r>
      <w:r>
        <w:rPr>
          <w:rFonts w:hint="eastAsia" w:ascii="宋体" w:hAnsi="宋体" w:eastAsia="宋体" w:cs="宋体"/>
          <w:color w:val="auto"/>
          <w:sz w:val="24"/>
          <w:highlight w:val="none"/>
        </w:rPr>
        <w:t>%，小微企业合同金额达到</w:t>
      </w:r>
      <w:r>
        <w:rPr>
          <w:rFonts w:hint="eastAsia" w:ascii="宋体" w:hAnsi="宋体" w:cs="宋体"/>
          <w:color w:val="auto"/>
          <w:sz w:val="24"/>
          <w:highlight w:val="none"/>
          <w:u w:val="single"/>
          <w:lang w:val="en-US" w:eastAsia="zh-CN"/>
        </w:rPr>
        <w:t xml:space="preserve">     </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五、如果中标，</w:t>
      </w:r>
      <w:r>
        <w:rPr>
          <w:rFonts w:hint="eastAsia" w:ascii="宋体" w:hAnsi="宋体" w:eastAsia="宋体" w:cs="宋体"/>
          <w:color w:val="auto"/>
          <w:sz w:val="24"/>
          <w:highlight w:val="none"/>
        </w:rPr>
        <w:t>联合体各成员方共同与采购人签订合同，并就采购合同约定的事项对采购人承担连带责任。</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六、有关本次联合投标的其他事宜：</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1、联合体各方不再单独参加或者与其他供应商另外组成联合体参加同一合同项下的政府采购活动。</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2、联合体中有同类资质的各方按照联合体分工承担相同工作的，按照资质等级较低的供应商确定资质等级。</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3、本协议提交采购人、采购机构后，联合体各方不得以任何形式对上述内容进行修改或撤销。</w:t>
      </w:r>
    </w:p>
    <w:p>
      <w:pPr>
        <w:snapToGrid w:val="0"/>
        <w:spacing w:line="360" w:lineRule="auto"/>
        <w:ind w:firstLine="4080" w:firstLineChars="17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联合体成员名称(电子签名/公章)：</w:t>
      </w:r>
    </w:p>
    <w:p>
      <w:pPr>
        <w:snapToGrid w:val="0"/>
        <w:spacing w:line="360" w:lineRule="auto"/>
        <w:ind w:firstLine="4080" w:firstLineChars="17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联合体成员名称(电子签名/公章)：</w:t>
      </w:r>
    </w:p>
    <w:p>
      <w:pPr>
        <w:snapToGrid w:val="0"/>
        <w:spacing w:line="360" w:lineRule="auto"/>
        <w:ind w:firstLine="5760" w:firstLineChars="2400"/>
        <w:rPr>
          <w:rFonts w:hint="eastAsia" w:ascii="宋体" w:hAnsi="宋体" w:eastAsia="宋体" w:cs="宋体"/>
          <w:color w:val="auto"/>
          <w:highlight w:val="none"/>
        </w:rPr>
      </w:pPr>
      <w:r>
        <w:rPr>
          <w:rFonts w:hint="eastAsia" w:ascii="宋体" w:hAnsi="宋体" w:eastAsia="宋体" w:cs="宋体"/>
          <w:color w:val="auto"/>
          <w:kern w:val="0"/>
          <w:sz w:val="24"/>
          <w:highlight w:val="none"/>
          <w:lang w:val="zh-CN"/>
        </w:rPr>
        <w:t>……</w:t>
      </w:r>
    </w:p>
    <w:p>
      <w:pPr>
        <w:snapToGrid w:val="0"/>
        <w:spacing w:line="360" w:lineRule="auto"/>
        <w:rPr>
          <w:color w:val="auto"/>
          <w:highlight w:val="none"/>
        </w:rPr>
      </w:pPr>
      <w:r>
        <w:rPr>
          <w:rFonts w:hint="eastAsia" w:ascii="宋体" w:hAnsi="宋体" w:eastAsia="宋体" w:cs="宋体"/>
          <w:color w:val="auto"/>
          <w:kern w:val="0"/>
          <w:sz w:val="24"/>
          <w:highlight w:val="none"/>
          <w:lang w:val="zh-CN"/>
        </w:rPr>
        <w:t xml:space="preserve">                                               日期：  年  月   日</w:t>
      </w:r>
    </w:p>
    <w:p>
      <w:pPr>
        <w:keepNext w:val="0"/>
        <w:keepLines w:val="0"/>
        <w:pageBreakBefore w:val="0"/>
        <w:widowControl w:val="0"/>
        <w:kinsoku/>
        <w:wordWrap/>
        <w:overflowPunct/>
        <w:topLinePunct w:val="0"/>
        <w:autoSpaceDE/>
        <w:autoSpaceDN/>
        <w:bidi w:val="0"/>
        <w:adjustRightInd/>
        <w:snapToGrid/>
        <w:spacing w:line="380" w:lineRule="exact"/>
        <w:ind w:firstLine="3120" w:firstLineChars="1300"/>
        <w:textAlignment w:val="auto"/>
        <w:rPr>
          <w:rFonts w:hint="eastAsia" w:ascii="宋体" w:hAnsi="宋体" w:eastAsia="宋体" w:cs="宋体"/>
          <w:color w:val="auto"/>
          <w:sz w:val="24"/>
          <w:szCs w:val="32"/>
          <w:highlight w:val="none"/>
        </w:rPr>
      </w:pPr>
    </w:p>
    <w:p>
      <w:pPr>
        <w:bidi w:val="0"/>
        <w:spacing w:line="360" w:lineRule="auto"/>
        <w:rPr>
          <w:rFonts w:hint="eastAsia" w:ascii="宋体" w:hAnsi="宋体" w:eastAsia="宋体" w:cs="宋体"/>
          <w:b/>
          <w:bCs/>
          <w:color w:val="auto"/>
          <w:sz w:val="24"/>
          <w:szCs w:val="32"/>
          <w:highlight w:val="none"/>
        </w:rPr>
      </w:pPr>
      <w:r>
        <w:rPr>
          <w:rFonts w:hint="eastAsia" w:ascii="宋体" w:hAnsi="宋体" w:eastAsia="宋体" w:cs="宋体"/>
          <w:b/>
          <w:bCs/>
          <w:color w:val="auto"/>
          <w:sz w:val="24"/>
          <w:szCs w:val="32"/>
          <w:highlight w:val="none"/>
        </w:rPr>
        <w:t>注：协议书中须明确联合体各方在项目招投标、项目合同签订、项目实施等所有阶段中涉及到的工作分工。</w:t>
      </w:r>
    </w:p>
    <w:p>
      <w:pPr>
        <w:spacing w:line="360" w:lineRule="auto"/>
        <w:jc w:val="center"/>
        <w:rPr>
          <w:rFonts w:ascii="宋体" w:hAnsi="宋体" w:cs="宋体"/>
          <w:b/>
          <w:bCs/>
          <w:color w:val="auto"/>
          <w:sz w:val="32"/>
          <w:szCs w:val="32"/>
          <w:highlight w:val="none"/>
          <w:lang w:val="zh-CN"/>
        </w:rPr>
      </w:pPr>
      <w:r>
        <w:rPr>
          <w:rFonts w:hint="eastAsia" w:ascii="宋体" w:hAnsi="宋体" w:cs="宋体"/>
          <w:b/>
          <w:bCs/>
          <w:color w:val="auto"/>
          <w:sz w:val="32"/>
          <w:szCs w:val="32"/>
          <w:highlight w:val="none"/>
          <w:lang w:val="zh-CN"/>
        </w:rPr>
        <w:t>第二部分 商务与技术文件目录</w:t>
      </w:r>
    </w:p>
    <w:p>
      <w:pPr>
        <w:snapToGrid w:val="0"/>
        <w:spacing w:line="360" w:lineRule="auto"/>
        <w:ind w:firstLine="480" w:firstLineChars="200"/>
        <w:rPr>
          <w:rFonts w:ascii="宋体" w:hAnsi="宋体" w:cs="宋体"/>
          <w:color w:val="auto"/>
          <w:sz w:val="24"/>
          <w:szCs w:val="24"/>
          <w:highlight w:val="none"/>
        </w:rPr>
      </w:pPr>
    </w:p>
    <w:p>
      <w:pPr>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1、投标人情况介绍（附件5）；</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2、投标方案描述：</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A.项目需求的理解与分析(投标人对项目现状及需求的理解情况，对项目现状和需求描述的全面性、准确性、针对性，项目功能设计完备、对系统各组成部分等功能进行准确的分析，对项目重点、难点的把握，解决方案及合理化建议)。</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B.项目组织实施方案（包括项目工期、确保项目供货的措施或方案、项目实施进度安排、项目实施人员及项目负责人的资质、类似经验及社保证明等）。</w:t>
      </w:r>
    </w:p>
    <w:p>
      <w:pPr>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项目实施人员一览表（附件6）</w:t>
      </w:r>
    </w:p>
    <w:p>
      <w:pPr>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 xml:space="preserve">项目负责人资格情况表(附件7) </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C.安装、调试及验收方案（包括项目验收标准和验收方法等）和措施。</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3、投标产品描述及相关资料：</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A.产品清单(附件8）</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B.投标产品技术参数、性能特点以及所遵循的技术规范等内容。</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4、投标产品相应检测报告；</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5、投标产品主体列入节能产品证明资料、投标产品主体列入环境标志产品证明资料（如有）；</w:t>
      </w:r>
    </w:p>
    <w:p>
      <w:pPr>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6、技术需求响应表（附件9）；</w:t>
      </w:r>
    </w:p>
    <w:p>
      <w:pPr>
        <w:snapToGrid w:val="0"/>
        <w:spacing w:line="360" w:lineRule="auto"/>
        <w:ind w:firstLine="470" w:firstLineChars="196"/>
        <w:rPr>
          <w:rFonts w:ascii="宋体" w:hAnsi="宋体" w:cs="宋体"/>
          <w:color w:val="auto"/>
          <w:sz w:val="24"/>
          <w:szCs w:val="24"/>
          <w:highlight w:val="none"/>
        </w:rPr>
      </w:pPr>
      <w:r>
        <w:rPr>
          <w:rFonts w:hint="eastAsia" w:ascii="宋体" w:hAnsi="宋体" w:cs="宋体"/>
          <w:color w:val="auto"/>
          <w:sz w:val="24"/>
          <w:szCs w:val="24"/>
          <w:highlight w:val="none"/>
        </w:rPr>
        <w:t>7、证书一览表（附件10）；</w:t>
      </w:r>
    </w:p>
    <w:p>
      <w:pPr>
        <w:snapToGrid w:val="0"/>
        <w:spacing w:line="360" w:lineRule="auto"/>
        <w:ind w:firstLine="470" w:firstLineChars="196"/>
        <w:rPr>
          <w:rFonts w:ascii="宋体" w:hAnsi="宋体" w:cs="宋体"/>
          <w:color w:val="auto"/>
          <w:sz w:val="24"/>
          <w:szCs w:val="24"/>
          <w:highlight w:val="none"/>
        </w:rPr>
      </w:pPr>
      <w:r>
        <w:rPr>
          <w:rFonts w:hint="eastAsia" w:ascii="宋体" w:hAnsi="宋体" w:cs="宋体"/>
          <w:color w:val="auto"/>
          <w:sz w:val="24"/>
          <w:szCs w:val="24"/>
          <w:highlight w:val="none"/>
        </w:rPr>
        <w:t>8、投标人类似项目实施情况一览表（附件11）；</w:t>
      </w:r>
    </w:p>
    <w:p>
      <w:pPr>
        <w:snapToGrid w:val="0"/>
        <w:spacing w:line="360" w:lineRule="auto"/>
        <w:ind w:firstLine="470" w:firstLineChars="196"/>
        <w:rPr>
          <w:rFonts w:ascii="宋体" w:hAnsi="宋体" w:cs="宋体"/>
          <w:color w:val="auto"/>
          <w:sz w:val="24"/>
          <w:szCs w:val="24"/>
          <w:highlight w:val="none"/>
        </w:rPr>
      </w:pPr>
      <w:r>
        <w:rPr>
          <w:rFonts w:hint="eastAsia" w:ascii="宋体" w:hAnsi="宋体" w:cs="宋体"/>
          <w:color w:val="auto"/>
          <w:sz w:val="24"/>
          <w:szCs w:val="24"/>
          <w:highlight w:val="none"/>
        </w:rPr>
        <w:t>9、商务需求响应表 （附件12）；</w:t>
      </w:r>
    </w:p>
    <w:p>
      <w:pPr>
        <w:snapToGrid w:val="0"/>
        <w:spacing w:line="360" w:lineRule="auto"/>
        <w:ind w:firstLine="470" w:firstLineChars="196"/>
        <w:rPr>
          <w:rFonts w:ascii="宋体" w:hAnsi="宋体" w:cs="宋体"/>
          <w:color w:val="auto"/>
          <w:sz w:val="24"/>
          <w:szCs w:val="24"/>
          <w:highlight w:val="none"/>
        </w:rPr>
      </w:pPr>
      <w:r>
        <w:rPr>
          <w:rFonts w:hint="eastAsia" w:ascii="宋体" w:hAnsi="宋体" w:cs="宋体"/>
          <w:color w:val="auto"/>
          <w:sz w:val="24"/>
          <w:szCs w:val="24"/>
          <w:highlight w:val="none"/>
        </w:rPr>
        <w:t>10、售后服务情况表（附件13）；</w:t>
      </w:r>
    </w:p>
    <w:p>
      <w:pPr>
        <w:snapToGrid w:val="0"/>
        <w:spacing w:line="360" w:lineRule="auto"/>
        <w:ind w:firstLine="470" w:firstLineChars="196"/>
        <w:rPr>
          <w:rFonts w:ascii="宋体" w:hAnsi="宋体" w:cs="宋体"/>
          <w:color w:val="auto"/>
          <w:sz w:val="24"/>
          <w:szCs w:val="24"/>
          <w:highlight w:val="none"/>
        </w:rPr>
      </w:pPr>
      <w:r>
        <w:rPr>
          <w:rFonts w:hint="eastAsia" w:ascii="宋体" w:hAnsi="宋体" w:cs="宋体"/>
          <w:color w:val="auto"/>
          <w:sz w:val="24"/>
          <w:szCs w:val="24"/>
          <w:highlight w:val="none"/>
        </w:rPr>
        <w:t>11、投标人需要说明的其他内容。（包括可能影响投标人商务与技术文件评分的各类证明材料）</w:t>
      </w:r>
    </w:p>
    <w:p>
      <w:pPr>
        <w:rPr>
          <w:rFonts w:ascii="宋体" w:hAnsi="宋体" w:cs="宋体"/>
          <w:b/>
          <w:bCs/>
          <w:color w:val="auto"/>
          <w:sz w:val="28"/>
          <w:szCs w:val="28"/>
          <w:highlight w:val="none"/>
        </w:rPr>
      </w:pPr>
    </w:p>
    <w:p>
      <w:pPr>
        <w:pStyle w:val="9"/>
        <w:rPr>
          <w:rFonts w:ascii="宋体" w:hAnsi="宋体" w:cs="宋体"/>
          <w:b/>
          <w:bCs/>
          <w:color w:val="auto"/>
          <w:sz w:val="28"/>
          <w:szCs w:val="28"/>
          <w:highlight w:val="none"/>
        </w:rPr>
      </w:pPr>
    </w:p>
    <w:p>
      <w:pPr>
        <w:rPr>
          <w:color w:val="auto"/>
          <w:highlight w:val="none"/>
        </w:rPr>
      </w:pPr>
    </w:p>
    <w:p>
      <w:pPr>
        <w:rPr>
          <w:color w:val="auto"/>
          <w:highlight w:val="none"/>
        </w:rPr>
      </w:pPr>
    </w:p>
    <w:p>
      <w:pPr>
        <w:rPr>
          <w:rFonts w:ascii="宋体"/>
          <w:b/>
          <w:bCs/>
          <w:color w:val="auto"/>
          <w:sz w:val="28"/>
          <w:szCs w:val="28"/>
          <w:highlight w:val="none"/>
        </w:rPr>
      </w:pPr>
      <w:r>
        <w:rPr>
          <w:rFonts w:hint="eastAsia" w:ascii="宋体" w:hAnsi="宋体" w:cs="宋体"/>
          <w:b/>
          <w:bCs/>
          <w:color w:val="auto"/>
          <w:sz w:val="28"/>
          <w:szCs w:val="28"/>
          <w:highlight w:val="none"/>
        </w:rPr>
        <w:t>附件</w:t>
      </w:r>
      <w:r>
        <w:rPr>
          <w:rFonts w:ascii="宋体" w:hAnsi="宋体" w:cs="宋体"/>
          <w:b/>
          <w:bCs/>
          <w:color w:val="auto"/>
          <w:sz w:val="28"/>
          <w:szCs w:val="28"/>
          <w:highlight w:val="none"/>
        </w:rPr>
        <w:t>5</w:t>
      </w:r>
    </w:p>
    <w:p>
      <w:pPr>
        <w:spacing w:line="360" w:lineRule="auto"/>
        <w:jc w:val="center"/>
        <w:rPr>
          <w:rFonts w:ascii="宋体"/>
          <w:b/>
          <w:bCs/>
          <w:color w:val="auto"/>
          <w:sz w:val="32"/>
          <w:szCs w:val="32"/>
          <w:highlight w:val="none"/>
          <w:lang w:val="zh-CN"/>
        </w:rPr>
      </w:pPr>
      <w:r>
        <w:rPr>
          <w:rFonts w:hint="eastAsia" w:ascii="宋体" w:hAnsi="宋体" w:cs="宋体"/>
          <w:b/>
          <w:bCs/>
          <w:color w:val="auto"/>
          <w:sz w:val="32"/>
          <w:szCs w:val="32"/>
          <w:highlight w:val="none"/>
          <w:lang w:val="zh-CN"/>
        </w:rPr>
        <w:t>投标人基本情况表</w:t>
      </w:r>
    </w:p>
    <w:p>
      <w:pPr>
        <w:spacing w:line="360" w:lineRule="auto"/>
        <w:rPr>
          <w:rFonts w:ascii="宋体"/>
          <w:color w:val="auto"/>
          <w:sz w:val="24"/>
          <w:szCs w:val="24"/>
          <w:highlight w:val="none"/>
        </w:rPr>
      </w:pPr>
    </w:p>
    <w:tbl>
      <w:tblPr>
        <w:tblStyle w:val="20"/>
        <w:tblW w:w="88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2"/>
        <w:gridCol w:w="701"/>
        <w:gridCol w:w="852"/>
        <w:gridCol w:w="58"/>
        <w:gridCol w:w="1163"/>
        <w:gridCol w:w="112"/>
        <w:gridCol w:w="1093"/>
        <w:gridCol w:w="325"/>
        <w:gridCol w:w="1276"/>
        <w:gridCol w:w="400"/>
        <w:gridCol w:w="1218"/>
        <w:gridCol w:w="9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2" w:type="dxa"/>
            <w:noWrap w:val="0"/>
            <w:vAlign w:val="center"/>
          </w:tcPr>
          <w:p>
            <w:pPr>
              <w:spacing w:line="360" w:lineRule="auto"/>
              <w:jc w:val="center"/>
              <w:rPr>
                <w:rFonts w:ascii="宋体"/>
                <w:color w:val="auto"/>
                <w:sz w:val="24"/>
                <w:szCs w:val="24"/>
                <w:highlight w:val="none"/>
              </w:rPr>
            </w:pPr>
            <w:r>
              <w:rPr>
                <w:rFonts w:hint="eastAsia" w:ascii="宋体" w:hAnsi="宋体" w:cs="宋体"/>
                <w:color w:val="auto"/>
                <w:sz w:val="24"/>
                <w:szCs w:val="24"/>
                <w:highlight w:val="none"/>
              </w:rPr>
              <w:t>企业名称</w:t>
            </w:r>
          </w:p>
        </w:tc>
        <w:tc>
          <w:tcPr>
            <w:tcW w:w="3979" w:type="dxa"/>
            <w:gridSpan w:val="6"/>
            <w:noWrap w:val="0"/>
            <w:vAlign w:val="center"/>
          </w:tcPr>
          <w:p>
            <w:pPr>
              <w:spacing w:line="360" w:lineRule="auto"/>
              <w:jc w:val="center"/>
              <w:rPr>
                <w:rFonts w:ascii="宋体"/>
                <w:color w:val="auto"/>
                <w:sz w:val="24"/>
                <w:szCs w:val="24"/>
                <w:highlight w:val="none"/>
              </w:rPr>
            </w:pPr>
          </w:p>
        </w:tc>
        <w:tc>
          <w:tcPr>
            <w:tcW w:w="2001" w:type="dxa"/>
            <w:gridSpan w:val="3"/>
            <w:noWrap w:val="0"/>
            <w:vAlign w:val="center"/>
          </w:tcPr>
          <w:p>
            <w:pPr>
              <w:spacing w:line="360" w:lineRule="auto"/>
              <w:jc w:val="center"/>
              <w:rPr>
                <w:rFonts w:ascii="宋体"/>
                <w:color w:val="auto"/>
                <w:sz w:val="24"/>
                <w:szCs w:val="24"/>
                <w:highlight w:val="none"/>
              </w:rPr>
            </w:pPr>
            <w:r>
              <w:rPr>
                <w:rFonts w:hint="eastAsia" w:ascii="宋体" w:hAnsi="宋体" w:cs="宋体"/>
                <w:color w:val="auto"/>
                <w:sz w:val="24"/>
                <w:szCs w:val="24"/>
                <w:highlight w:val="none"/>
              </w:rPr>
              <w:t>法人代表</w:t>
            </w:r>
          </w:p>
        </w:tc>
        <w:tc>
          <w:tcPr>
            <w:tcW w:w="2151" w:type="dxa"/>
            <w:gridSpan w:val="2"/>
            <w:noWrap w:val="0"/>
            <w:vAlign w:val="center"/>
          </w:tcPr>
          <w:p>
            <w:pPr>
              <w:spacing w:line="360" w:lineRule="auto"/>
              <w:jc w:val="center"/>
              <w:rPr>
                <w:rFonts w:asci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2" w:type="dxa"/>
            <w:noWrap w:val="0"/>
            <w:vAlign w:val="center"/>
          </w:tcPr>
          <w:p>
            <w:pPr>
              <w:spacing w:line="360" w:lineRule="auto"/>
              <w:jc w:val="center"/>
              <w:rPr>
                <w:rFonts w:ascii="宋体"/>
                <w:color w:val="auto"/>
                <w:sz w:val="24"/>
                <w:szCs w:val="24"/>
                <w:highlight w:val="none"/>
              </w:rPr>
            </w:pPr>
            <w:r>
              <w:rPr>
                <w:rFonts w:hint="eastAsia" w:ascii="宋体" w:hAnsi="宋体" w:cs="宋体"/>
                <w:color w:val="auto"/>
                <w:sz w:val="24"/>
                <w:szCs w:val="24"/>
                <w:highlight w:val="none"/>
              </w:rPr>
              <w:t>地址</w:t>
            </w:r>
          </w:p>
        </w:tc>
        <w:tc>
          <w:tcPr>
            <w:tcW w:w="3979" w:type="dxa"/>
            <w:gridSpan w:val="6"/>
            <w:noWrap w:val="0"/>
            <w:vAlign w:val="center"/>
          </w:tcPr>
          <w:p>
            <w:pPr>
              <w:spacing w:line="360" w:lineRule="auto"/>
              <w:jc w:val="center"/>
              <w:rPr>
                <w:rFonts w:ascii="宋体"/>
                <w:color w:val="auto"/>
                <w:sz w:val="24"/>
                <w:szCs w:val="24"/>
                <w:highlight w:val="none"/>
              </w:rPr>
            </w:pPr>
          </w:p>
        </w:tc>
        <w:tc>
          <w:tcPr>
            <w:tcW w:w="2001" w:type="dxa"/>
            <w:gridSpan w:val="3"/>
            <w:noWrap w:val="0"/>
            <w:vAlign w:val="center"/>
          </w:tcPr>
          <w:p>
            <w:pPr>
              <w:spacing w:line="360" w:lineRule="auto"/>
              <w:jc w:val="center"/>
              <w:rPr>
                <w:rFonts w:ascii="宋体"/>
                <w:color w:val="auto"/>
                <w:sz w:val="24"/>
                <w:szCs w:val="24"/>
                <w:highlight w:val="none"/>
              </w:rPr>
            </w:pPr>
            <w:r>
              <w:rPr>
                <w:rFonts w:hint="eastAsia" w:ascii="宋体" w:hAnsi="宋体" w:cs="宋体"/>
                <w:color w:val="auto"/>
                <w:sz w:val="24"/>
                <w:szCs w:val="24"/>
                <w:highlight w:val="none"/>
              </w:rPr>
              <w:t>企业性质</w:t>
            </w:r>
          </w:p>
        </w:tc>
        <w:tc>
          <w:tcPr>
            <w:tcW w:w="2151" w:type="dxa"/>
            <w:gridSpan w:val="2"/>
            <w:noWrap w:val="0"/>
            <w:vAlign w:val="center"/>
          </w:tcPr>
          <w:p>
            <w:pPr>
              <w:spacing w:line="360" w:lineRule="auto"/>
              <w:jc w:val="center"/>
              <w:rPr>
                <w:rFonts w:asci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2" w:type="dxa"/>
            <w:noWrap w:val="0"/>
            <w:vAlign w:val="center"/>
          </w:tcPr>
          <w:p>
            <w:pPr>
              <w:spacing w:line="360" w:lineRule="auto"/>
              <w:jc w:val="center"/>
              <w:rPr>
                <w:rFonts w:ascii="宋体"/>
                <w:color w:val="auto"/>
                <w:sz w:val="24"/>
                <w:szCs w:val="24"/>
                <w:highlight w:val="none"/>
              </w:rPr>
            </w:pPr>
            <w:r>
              <w:rPr>
                <w:rFonts w:hint="eastAsia" w:ascii="宋体" w:hAnsi="宋体" w:cs="宋体"/>
                <w:color w:val="auto"/>
                <w:sz w:val="24"/>
                <w:szCs w:val="24"/>
                <w:highlight w:val="none"/>
              </w:rPr>
              <w:t>股东姓名</w:t>
            </w:r>
          </w:p>
        </w:tc>
        <w:tc>
          <w:tcPr>
            <w:tcW w:w="701" w:type="dxa"/>
            <w:noWrap w:val="0"/>
            <w:vAlign w:val="center"/>
          </w:tcPr>
          <w:p>
            <w:pPr>
              <w:spacing w:line="360" w:lineRule="auto"/>
              <w:jc w:val="center"/>
              <w:rPr>
                <w:rFonts w:ascii="宋体"/>
                <w:color w:val="auto"/>
                <w:sz w:val="24"/>
                <w:szCs w:val="24"/>
                <w:highlight w:val="none"/>
              </w:rPr>
            </w:pPr>
          </w:p>
        </w:tc>
        <w:tc>
          <w:tcPr>
            <w:tcW w:w="910" w:type="dxa"/>
            <w:gridSpan w:val="2"/>
            <w:noWrap w:val="0"/>
            <w:vAlign w:val="center"/>
          </w:tcPr>
          <w:p>
            <w:pPr>
              <w:spacing w:line="360" w:lineRule="auto"/>
              <w:jc w:val="center"/>
              <w:rPr>
                <w:rFonts w:ascii="宋体"/>
                <w:color w:val="auto"/>
                <w:sz w:val="24"/>
                <w:szCs w:val="24"/>
                <w:highlight w:val="none"/>
              </w:rPr>
            </w:pPr>
            <w:r>
              <w:rPr>
                <w:rFonts w:hint="eastAsia" w:ascii="宋体" w:hAnsi="宋体" w:cs="宋体"/>
                <w:color w:val="auto"/>
                <w:sz w:val="24"/>
                <w:szCs w:val="24"/>
                <w:highlight w:val="none"/>
              </w:rPr>
              <w:t>股权结构（</w:t>
            </w:r>
            <w:r>
              <w:rPr>
                <w:rFonts w:ascii="宋体" w:hAnsi="宋体" w:cs="宋体"/>
                <w:color w:val="auto"/>
                <w:sz w:val="24"/>
                <w:szCs w:val="24"/>
                <w:highlight w:val="none"/>
              </w:rPr>
              <w:t>%</w:t>
            </w:r>
            <w:r>
              <w:rPr>
                <w:rFonts w:hint="eastAsia" w:ascii="宋体" w:hAnsi="宋体" w:cs="宋体"/>
                <w:color w:val="auto"/>
                <w:sz w:val="24"/>
                <w:szCs w:val="24"/>
                <w:highlight w:val="none"/>
              </w:rPr>
              <w:t>）</w:t>
            </w:r>
          </w:p>
        </w:tc>
        <w:tc>
          <w:tcPr>
            <w:tcW w:w="2368" w:type="dxa"/>
            <w:gridSpan w:val="3"/>
            <w:noWrap w:val="0"/>
            <w:vAlign w:val="center"/>
          </w:tcPr>
          <w:p>
            <w:pPr>
              <w:spacing w:line="360" w:lineRule="auto"/>
              <w:jc w:val="center"/>
              <w:rPr>
                <w:rFonts w:ascii="宋体"/>
                <w:color w:val="auto"/>
                <w:sz w:val="24"/>
                <w:szCs w:val="24"/>
                <w:highlight w:val="none"/>
              </w:rPr>
            </w:pPr>
          </w:p>
          <w:p>
            <w:pPr>
              <w:spacing w:line="360" w:lineRule="auto"/>
              <w:jc w:val="center"/>
              <w:rPr>
                <w:rFonts w:ascii="宋体"/>
                <w:color w:val="auto"/>
                <w:sz w:val="24"/>
                <w:szCs w:val="24"/>
                <w:highlight w:val="none"/>
              </w:rPr>
            </w:pPr>
          </w:p>
        </w:tc>
        <w:tc>
          <w:tcPr>
            <w:tcW w:w="2001" w:type="dxa"/>
            <w:gridSpan w:val="3"/>
            <w:noWrap w:val="0"/>
            <w:vAlign w:val="center"/>
          </w:tcPr>
          <w:p>
            <w:pPr>
              <w:spacing w:line="360" w:lineRule="auto"/>
              <w:jc w:val="center"/>
              <w:rPr>
                <w:rFonts w:ascii="宋体"/>
                <w:color w:val="auto"/>
                <w:sz w:val="24"/>
                <w:szCs w:val="24"/>
                <w:highlight w:val="none"/>
              </w:rPr>
            </w:pPr>
            <w:r>
              <w:rPr>
                <w:rFonts w:hint="eastAsia" w:ascii="宋体" w:hAnsi="宋体" w:cs="宋体"/>
                <w:color w:val="auto"/>
                <w:sz w:val="24"/>
                <w:szCs w:val="24"/>
                <w:highlight w:val="none"/>
              </w:rPr>
              <w:t>股东关系</w:t>
            </w:r>
          </w:p>
        </w:tc>
        <w:tc>
          <w:tcPr>
            <w:tcW w:w="2151" w:type="dxa"/>
            <w:gridSpan w:val="2"/>
            <w:noWrap w:val="0"/>
            <w:vAlign w:val="center"/>
          </w:tcPr>
          <w:p>
            <w:pPr>
              <w:spacing w:line="360" w:lineRule="auto"/>
              <w:jc w:val="center"/>
              <w:rPr>
                <w:rFonts w:asci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2" w:type="dxa"/>
            <w:vMerge w:val="restart"/>
            <w:noWrap w:val="0"/>
            <w:vAlign w:val="center"/>
          </w:tcPr>
          <w:p>
            <w:pPr>
              <w:spacing w:line="360" w:lineRule="auto"/>
              <w:jc w:val="center"/>
              <w:rPr>
                <w:rFonts w:ascii="宋体"/>
                <w:color w:val="auto"/>
                <w:sz w:val="24"/>
                <w:szCs w:val="24"/>
                <w:highlight w:val="none"/>
              </w:rPr>
            </w:pPr>
            <w:r>
              <w:rPr>
                <w:rFonts w:hint="eastAsia" w:ascii="宋体" w:hAnsi="宋体" w:cs="宋体"/>
                <w:color w:val="auto"/>
                <w:sz w:val="24"/>
                <w:szCs w:val="24"/>
                <w:highlight w:val="none"/>
              </w:rPr>
              <w:t>联系人姓名</w:t>
            </w:r>
          </w:p>
        </w:tc>
        <w:tc>
          <w:tcPr>
            <w:tcW w:w="701" w:type="dxa"/>
            <w:vMerge w:val="restart"/>
            <w:tcBorders>
              <w:top w:val="nil"/>
            </w:tcBorders>
            <w:noWrap w:val="0"/>
            <w:vAlign w:val="center"/>
          </w:tcPr>
          <w:p>
            <w:pPr>
              <w:spacing w:line="360" w:lineRule="auto"/>
              <w:jc w:val="center"/>
              <w:rPr>
                <w:rFonts w:ascii="宋体"/>
                <w:color w:val="auto"/>
                <w:sz w:val="24"/>
                <w:szCs w:val="24"/>
                <w:highlight w:val="none"/>
              </w:rPr>
            </w:pPr>
          </w:p>
        </w:tc>
        <w:tc>
          <w:tcPr>
            <w:tcW w:w="910" w:type="dxa"/>
            <w:gridSpan w:val="2"/>
            <w:tcBorders>
              <w:top w:val="nil"/>
            </w:tcBorders>
            <w:noWrap w:val="0"/>
            <w:vAlign w:val="center"/>
          </w:tcPr>
          <w:p>
            <w:pPr>
              <w:spacing w:line="360" w:lineRule="auto"/>
              <w:jc w:val="center"/>
              <w:rPr>
                <w:rFonts w:ascii="宋体"/>
                <w:color w:val="auto"/>
                <w:sz w:val="24"/>
                <w:szCs w:val="24"/>
                <w:highlight w:val="none"/>
              </w:rPr>
            </w:pPr>
            <w:r>
              <w:rPr>
                <w:rFonts w:hint="eastAsia" w:ascii="宋体" w:hAnsi="宋体" w:cs="宋体"/>
                <w:color w:val="auto"/>
                <w:sz w:val="24"/>
                <w:szCs w:val="24"/>
                <w:highlight w:val="none"/>
              </w:rPr>
              <w:t>固定电话</w:t>
            </w:r>
          </w:p>
        </w:tc>
        <w:tc>
          <w:tcPr>
            <w:tcW w:w="2368" w:type="dxa"/>
            <w:gridSpan w:val="3"/>
            <w:tcBorders>
              <w:top w:val="nil"/>
            </w:tcBorders>
            <w:noWrap w:val="0"/>
            <w:vAlign w:val="center"/>
          </w:tcPr>
          <w:p>
            <w:pPr>
              <w:spacing w:line="360" w:lineRule="auto"/>
              <w:jc w:val="center"/>
              <w:rPr>
                <w:rFonts w:ascii="宋体"/>
                <w:color w:val="auto"/>
                <w:sz w:val="24"/>
                <w:szCs w:val="24"/>
                <w:highlight w:val="none"/>
              </w:rPr>
            </w:pPr>
          </w:p>
          <w:p>
            <w:pPr>
              <w:spacing w:line="360" w:lineRule="auto"/>
              <w:jc w:val="center"/>
              <w:rPr>
                <w:rFonts w:ascii="宋体"/>
                <w:color w:val="auto"/>
                <w:sz w:val="24"/>
                <w:szCs w:val="24"/>
                <w:highlight w:val="none"/>
              </w:rPr>
            </w:pPr>
          </w:p>
        </w:tc>
        <w:tc>
          <w:tcPr>
            <w:tcW w:w="2001" w:type="dxa"/>
            <w:gridSpan w:val="3"/>
            <w:vMerge w:val="restart"/>
            <w:noWrap w:val="0"/>
            <w:vAlign w:val="center"/>
          </w:tcPr>
          <w:p>
            <w:pPr>
              <w:spacing w:line="360" w:lineRule="auto"/>
              <w:jc w:val="center"/>
              <w:rPr>
                <w:rFonts w:ascii="宋体"/>
                <w:color w:val="auto"/>
                <w:sz w:val="24"/>
                <w:szCs w:val="24"/>
                <w:highlight w:val="none"/>
              </w:rPr>
            </w:pPr>
            <w:r>
              <w:rPr>
                <w:rFonts w:hint="eastAsia" w:ascii="宋体" w:hAnsi="宋体" w:cs="宋体"/>
                <w:color w:val="auto"/>
                <w:sz w:val="24"/>
                <w:szCs w:val="24"/>
                <w:highlight w:val="none"/>
              </w:rPr>
              <w:t>传真</w:t>
            </w:r>
          </w:p>
        </w:tc>
        <w:tc>
          <w:tcPr>
            <w:tcW w:w="2151" w:type="dxa"/>
            <w:gridSpan w:val="2"/>
            <w:vMerge w:val="restart"/>
            <w:noWrap w:val="0"/>
            <w:vAlign w:val="center"/>
          </w:tcPr>
          <w:p>
            <w:pPr>
              <w:spacing w:line="360" w:lineRule="auto"/>
              <w:jc w:val="center"/>
              <w:rPr>
                <w:rFonts w:asci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2" w:type="dxa"/>
            <w:vMerge w:val="continue"/>
            <w:noWrap w:val="0"/>
            <w:vAlign w:val="center"/>
          </w:tcPr>
          <w:p>
            <w:pPr>
              <w:spacing w:line="360" w:lineRule="auto"/>
              <w:jc w:val="center"/>
              <w:rPr>
                <w:rFonts w:ascii="宋体"/>
                <w:color w:val="auto"/>
                <w:sz w:val="24"/>
                <w:szCs w:val="24"/>
                <w:highlight w:val="none"/>
              </w:rPr>
            </w:pPr>
          </w:p>
        </w:tc>
        <w:tc>
          <w:tcPr>
            <w:tcW w:w="701" w:type="dxa"/>
            <w:vMerge w:val="continue"/>
            <w:noWrap w:val="0"/>
            <w:vAlign w:val="center"/>
          </w:tcPr>
          <w:p>
            <w:pPr>
              <w:spacing w:line="360" w:lineRule="auto"/>
              <w:jc w:val="center"/>
              <w:rPr>
                <w:rFonts w:ascii="宋体"/>
                <w:color w:val="auto"/>
                <w:sz w:val="24"/>
                <w:szCs w:val="24"/>
                <w:highlight w:val="none"/>
              </w:rPr>
            </w:pPr>
          </w:p>
        </w:tc>
        <w:tc>
          <w:tcPr>
            <w:tcW w:w="910" w:type="dxa"/>
            <w:gridSpan w:val="2"/>
            <w:noWrap w:val="0"/>
            <w:vAlign w:val="center"/>
          </w:tcPr>
          <w:p>
            <w:pPr>
              <w:spacing w:line="360" w:lineRule="auto"/>
              <w:jc w:val="center"/>
              <w:rPr>
                <w:rFonts w:ascii="宋体"/>
                <w:color w:val="auto"/>
                <w:sz w:val="24"/>
                <w:szCs w:val="24"/>
                <w:highlight w:val="none"/>
              </w:rPr>
            </w:pPr>
            <w:r>
              <w:rPr>
                <w:rFonts w:hint="eastAsia" w:ascii="宋体" w:hAnsi="宋体" w:cs="宋体"/>
                <w:color w:val="auto"/>
                <w:sz w:val="24"/>
                <w:szCs w:val="24"/>
                <w:highlight w:val="none"/>
              </w:rPr>
              <w:t>手机</w:t>
            </w:r>
          </w:p>
        </w:tc>
        <w:tc>
          <w:tcPr>
            <w:tcW w:w="2368" w:type="dxa"/>
            <w:gridSpan w:val="3"/>
            <w:noWrap w:val="0"/>
            <w:vAlign w:val="center"/>
          </w:tcPr>
          <w:p>
            <w:pPr>
              <w:spacing w:line="360" w:lineRule="auto"/>
              <w:jc w:val="center"/>
              <w:rPr>
                <w:rFonts w:ascii="宋体"/>
                <w:color w:val="auto"/>
                <w:sz w:val="24"/>
                <w:szCs w:val="24"/>
                <w:highlight w:val="none"/>
              </w:rPr>
            </w:pPr>
          </w:p>
        </w:tc>
        <w:tc>
          <w:tcPr>
            <w:tcW w:w="2001" w:type="dxa"/>
            <w:gridSpan w:val="3"/>
            <w:vMerge w:val="continue"/>
            <w:noWrap w:val="0"/>
            <w:vAlign w:val="center"/>
          </w:tcPr>
          <w:p>
            <w:pPr>
              <w:spacing w:line="360" w:lineRule="auto"/>
              <w:jc w:val="center"/>
              <w:rPr>
                <w:rFonts w:ascii="宋体"/>
                <w:color w:val="auto"/>
                <w:sz w:val="24"/>
                <w:szCs w:val="24"/>
                <w:highlight w:val="none"/>
              </w:rPr>
            </w:pPr>
          </w:p>
        </w:tc>
        <w:tc>
          <w:tcPr>
            <w:tcW w:w="2151" w:type="dxa"/>
            <w:gridSpan w:val="2"/>
            <w:vMerge w:val="continue"/>
            <w:noWrap w:val="0"/>
            <w:vAlign w:val="center"/>
          </w:tcPr>
          <w:p>
            <w:pPr>
              <w:spacing w:line="360" w:lineRule="auto"/>
              <w:jc w:val="center"/>
              <w:rPr>
                <w:rFonts w:asci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2" w:type="dxa"/>
            <w:vMerge w:val="restart"/>
            <w:noWrap w:val="0"/>
            <w:vAlign w:val="center"/>
          </w:tcPr>
          <w:p>
            <w:pPr>
              <w:spacing w:line="360" w:lineRule="auto"/>
              <w:jc w:val="center"/>
              <w:rPr>
                <w:rFonts w:ascii="宋体"/>
                <w:color w:val="auto"/>
                <w:sz w:val="24"/>
                <w:szCs w:val="24"/>
                <w:highlight w:val="none"/>
              </w:rPr>
            </w:pPr>
            <w:r>
              <w:rPr>
                <w:rFonts w:ascii="宋体" w:hAnsi="宋体" w:cs="宋体"/>
                <w:color w:val="auto"/>
                <w:sz w:val="24"/>
                <w:szCs w:val="24"/>
                <w:highlight w:val="none"/>
              </w:rPr>
              <w:t>1.</w:t>
            </w:r>
          </w:p>
          <w:p>
            <w:pPr>
              <w:spacing w:line="360" w:lineRule="auto"/>
              <w:jc w:val="center"/>
              <w:rPr>
                <w:rFonts w:ascii="宋体"/>
                <w:color w:val="auto"/>
                <w:sz w:val="24"/>
                <w:szCs w:val="24"/>
                <w:highlight w:val="none"/>
              </w:rPr>
            </w:pPr>
            <w:r>
              <w:rPr>
                <w:rFonts w:hint="eastAsia" w:ascii="宋体" w:hAnsi="宋体" w:cs="宋体"/>
                <w:color w:val="auto"/>
                <w:sz w:val="24"/>
                <w:szCs w:val="24"/>
                <w:highlight w:val="none"/>
              </w:rPr>
              <w:t>企</w:t>
            </w:r>
          </w:p>
          <w:p>
            <w:pPr>
              <w:spacing w:line="360" w:lineRule="auto"/>
              <w:jc w:val="center"/>
              <w:rPr>
                <w:rFonts w:ascii="宋体"/>
                <w:color w:val="auto"/>
                <w:sz w:val="24"/>
                <w:szCs w:val="24"/>
                <w:highlight w:val="none"/>
              </w:rPr>
            </w:pPr>
            <w:r>
              <w:rPr>
                <w:rFonts w:hint="eastAsia" w:ascii="宋体" w:hAnsi="宋体" w:cs="宋体"/>
                <w:color w:val="auto"/>
                <w:sz w:val="24"/>
                <w:szCs w:val="24"/>
                <w:highlight w:val="none"/>
              </w:rPr>
              <w:t>业</w:t>
            </w:r>
          </w:p>
          <w:p>
            <w:pPr>
              <w:spacing w:line="360" w:lineRule="auto"/>
              <w:jc w:val="center"/>
              <w:rPr>
                <w:rFonts w:ascii="宋体"/>
                <w:color w:val="auto"/>
                <w:sz w:val="24"/>
                <w:szCs w:val="24"/>
                <w:highlight w:val="none"/>
              </w:rPr>
            </w:pPr>
            <w:r>
              <w:rPr>
                <w:rFonts w:hint="eastAsia" w:ascii="宋体" w:hAnsi="宋体" w:cs="宋体"/>
                <w:color w:val="auto"/>
                <w:sz w:val="24"/>
                <w:szCs w:val="24"/>
                <w:highlight w:val="none"/>
              </w:rPr>
              <w:t>概</w:t>
            </w:r>
          </w:p>
          <w:p>
            <w:pPr>
              <w:spacing w:line="360" w:lineRule="auto"/>
              <w:jc w:val="center"/>
              <w:rPr>
                <w:rFonts w:ascii="宋体"/>
                <w:color w:val="auto"/>
                <w:sz w:val="24"/>
                <w:szCs w:val="24"/>
                <w:highlight w:val="none"/>
              </w:rPr>
            </w:pPr>
            <w:r>
              <w:rPr>
                <w:rFonts w:hint="eastAsia" w:ascii="宋体" w:hAnsi="宋体" w:cs="宋体"/>
                <w:color w:val="auto"/>
                <w:sz w:val="24"/>
                <w:szCs w:val="24"/>
                <w:highlight w:val="none"/>
              </w:rPr>
              <w:t>况</w:t>
            </w:r>
          </w:p>
        </w:tc>
        <w:tc>
          <w:tcPr>
            <w:tcW w:w="701" w:type="dxa"/>
            <w:tcBorders>
              <w:top w:val="nil"/>
            </w:tcBorders>
            <w:noWrap w:val="0"/>
            <w:vAlign w:val="center"/>
          </w:tcPr>
          <w:p>
            <w:pPr>
              <w:spacing w:line="360" w:lineRule="auto"/>
              <w:jc w:val="center"/>
              <w:rPr>
                <w:rFonts w:ascii="宋体"/>
                <w:color w:val="auto"/>
                <w:sz w:val="24"/>
                <w:szCs w:val="24"/>
                <w:highlight w:val="none"/>
              </w:rPr>
            </w:pPr>
            <w:r>
              <w:rPr>
                <w:rFonts w:hint="eastAsia" w:ascii="宋体" w:hAnsi="宋体" w:cs="宋体"/>
                <w:color w:val="auto"/>
                <w:sz w:val="24"/>
                <w:szCs w:val="24"/>
                <w:highlight w:val="none"/>
              </w:rPr>
              <w:t>职工人数</w:t>
            </w:r>
          </w:p>
        </w:tc>
        <w:tc>
          <w:tcPr>
            <w:tcW w:w="910" w:type="dxa"/>
            <w:gridSpan w:val="2"/>
            <w:tcBorders>
              <w:top w:val="nil"/>
            </w:tcBorders>
            <w:noWrap w:val="0"/>
            <w:vAlign w:val="center"/>
          </w:tcPr>
          <w:p>
            <w:pPr>
              <w:spacing w:line="360" w:lineRule="auto"/>
              <w:jc w:val="center"/>
              <w:rPr>
                <w:rFonts w:ascii="宋体"/>
                <w:color w:val="auto"/>
                <w:sz w:val="24"/>
                <w:szCs w:val="24"/>
                <w:highlight w:val="none"/>
              </w:rPr>
            </w:pPr>
          </w:p>
        </w:tc>
        <w:tc>
          <w:tcPr>
            <w:tcW w:w="1163" w:type="dxa"/>
            <w:tcBorders>
              <w:top w:val="nil"/>
            </w:tcBorders>
            <w:noWrap w:val="0"/>
            <w:vAlign w:val="center"/>
          </w:tcPr>
          <w:p>
            <w:pPr>
              <w:spacing w:line="360" w:lineRule="auto"/>
              <w:jc w:val="center"/>
              <w:rPr>
                <w:rFonts w:ascii="宋体"/>
                <w:color w:val="auto"/>
                <w:sz w:val="24"/>
                <w:szCs w:val="24"/>
                <w:highlight w:val="none"/>
              </w:rPr>
            </w:pPr>
            <w:r>
              <w:rPr>
                <w:rFonts w:hint="eastAsia" w:ascii="宋体" w:hAnsi="宋体" w:cs="宋体"/>
                <w:color w:val="auto"/>
                <w:sz w:val="24"/>
                <w:szCs w:val="24"/>
                <w:highlight w:val="none"/>
              </w:rPr>
              <w:t>具备大专以上学历人数</w:t>
            </w:r>
          </w:p>
        </w:tc>
        <w:tc>
          <w:tcPr>
            <w:tcW w:w="1205" w:type="dxa"/>
            <w:gridSpan w:val="2"/>
            <w:tcBorders>
              <w:top w:val="nil"/>
            </w:tcBorders>
            <w:noWrap w:val="0"/>
            <w:vAlign w:val="center"/>
          </w:tcPr>
          <w:p>
            <w:pPr>
              <w:spacing w:line="360" w:lineRule="auto"/>
              <w:jc w:val="center"/>
              <w:rPr>
                <w:rFonts w:ascii="宋体"/>
                <w:color w:val="auto"/>
                <w:sz w:val="24"/>
                <w:szCs w:val="24"/>
                <w:highlight w:val="none"/>
              </w:rPr>
            </w:pPr>
          </w:p>
          <w:p>
            <w:pPr>
              <w:spacing w:line="360" w:lineRule="auto"/>
              <w:jc w:val="center"/>
              <w:rPr>
                <w:rFonts w:ascii="宋体"/>
                <w:color w:val="auto"/>
                <w:sz w:val="24"/>
                <w:szCs w:val="24"/>
                <w:highlight w:val="none"/>
              </w:rPr>
            </w:pPr>
          </w:p>
          <w:p>
            <w:pPr>
              <w:spacing w:line="360" w:lineRule="auto"/>
              <w:jc w:val="center"/>
              <w:rPr>
                <w:rFonts w:ascii="宋体"/>
                <w:color w:val="auto"/>
                <w:sz w:val="24"/>
                <w:szCs w:val="24"/>
                <w:highlight w:val="none"/>
              </w:rPr>
            </w:pPr>
          </w:p>
        </w:tc>
        <w:tc>
          <w:tcPr>
            <w:tcW w:w="2001" w:type="dxa"/>
            <w:gridSpan w:val="3"/>
            <w:noWrap w:val="0"/>
            <w:vAlign w:val="center"/>
          </w:tcPr>
          <w:p>
            <w:pPr>
              <w:spacing w:line="360" w:lineRule="auto"/>
              <w:jc w:val="center"/>
              <w:rPr>
                <w:rFonts w:ascii="宋体"/>
                <w:color w:val="auto"/>
                <w:sz w:val="24"/>
                <w:szCs w:val="24"/>
                <w:highlight w:val="none"/>
              </w:rPr>
            </w:pPr>
            <w:r>
              <w:rPr>
                <w:rFonts w:hint="eastAsia" w:ascii="宋体" w:hAnsi="宋体" w:cs="宋体"/>
                <w:color w:val="auto"/>
                <w:sz w:val="24"/>
                <w:szCs w:val="24"/>
                <w:highlight w:val="none"/>
              </w:rPr>
              <w:t>国家授予技术职称人数</w:t>
            </w:r>
          </w:p>
        </w:tc>
        <w:tc>
          <w:tcPr>
            <w:tcW w:w="2151" w:type="dxa"/>
            <w:gridSpan w:val="2"/>
            <w:noWrap w:val="0"/>
            <w:vAlign w:val="center"/>
          </w:tcPr>
          <w:p>
            <w:pPr>
              <w:spacing w:line="360" w:lineRule="auto"/>
              <w:jc w:val="center"/>
              <w:rPr>
                <w:rFonts w:ascii="宋体"/>
                <w:color w:val="auto"/>
                <w:sz w:val="24"/>
                <w:szCs w:val="24"/>
                <w:highlight w:val="none"/>
              </w:rPr>
            </w:pPr>
          </w:p>
          <w:p>
            <w:pPr>
              <w:spacing w:line="360" w:lineRule="auto"/>
              <w:jc w:val="center"/>
              <w:rPr>
                <w:rFonts w:asci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2" w:type="dxa"/>
            <w:vMerge w:val="continue"/>
            <w:noWrap w:val="0"/>
            <w:vAlign w:val="center"/>
          </w:tcPr>
          <w:p>
            <w:pPr>
              <w:spacing w:line="360" w:lineRule="auto"/>
              <w:jc w:val="center"/>
              <w:rPr>
                <w:rFonts w:ascii="宋体"/>
                <w:color w:val="auto"/>
                <w:sz w:val="24"/>
                <w:szCs w:val="24"/>
                <w:highlight w:val="none"/>
              </w:rPr>
            </w:pPr>
          </w:p>
        </w:tc>
        <w:tc>
          <w:tcPr>
            <w:tcW w:w="701" w:type="dxa"/>
            <w:noWrap w:val="0"/>
            <w:vAlign w:val="center"/>
          </w:tcPr>
          <w:p>
            <w:pPr>
              <w:spacing w:line="360" w:lineRule="auto"/>
              <w:jc w:val="center"/>
              <w:rPr>
                <w:rFonts w:ascii="宋体"/>
                <w:color w:val="auto"/>
                <w:sz w:val="24"/>
                <w:szCs w:val="24"/>
                <w:highlight w:val="none"/>
              </w:rPr>
            </w:pPr>
            <w:r>
              <w:rPr>
                <w:rFonts w:hint="eastAsia" w:ascii="宋体" w:hAnsi="宋体" w:cs="宋体"/>
                <w:color w:val="auto"/>
                <w:sz w:val="24"/>
                <w:szCs w:val="24"/>
                <w:highlight w:val="none"/>
              </w:rPr>
              <w:t>占地面积</w:t>
            </w:r>
          </w:p>
        </w:tc>
        <w:tc>
          <w:tcPr>
            <w:tcW w:w="910" w:type="dxa"/>
            <w:gridSpan w:val="2"/>
            <w:noWrap w:val="0"/>
            <w:vAlign w:val="center"/>
          </w:tcPr>
          <w:p>
            <w:pPr>
              <w:spacing w:line="360" w:lineRule="auto"/>
              <w:jc w:val="center"/>
              <w:rPr>
                <w:rFonts w:ascii="宋体"/>
                <w:color w:val="auto"/>
                <w:sz w:val="24"/>
                <w:szCs w:val="24"/>
                <w:highlight w:val="none"/>
              </w:rPr>
            </w:pPr>
          </w:p>
        </w:tc>
        <w:tc>
          <w:tcPr>
            <w:tcW w:w="1163" w:type="dxa"/>
            <w:noWrap w:val="0"/>
            <w:vAlign w:val="center"/>
          </w:tcPr>
          <w:p>
            <w:pPr>
              <w:spacing w:line="360" w:lineRule="auto"/>
              <w:jc w:val="center"/>
              <w:rPr>
                <w:rFonts w:ascii="宋体"/>
                <w:color w:val="auto"/>
                <w:sz w:val="24"/>
                <w:szCs w:val="24"/>
                <w:highlight w:val="none"/>
              </w:rPr>
            </w:pPr>
            <w:r>
              <w:rPr>
                <w:rFonts w:hint="eastAsia" w:ascii="宋体" w:hAnsi="宋体" w:cs="宋体"/>
                <w:color w:val="auto"/>
                <w:sz w:val="24"/>
                <w:szCs w:val="24"/>
                <w:highlight w:val="none"/>
              </w:rPr>
              <w:t>建筑面积</w:t>
            </w:r>
          </w:p>
        </w:tc>
        <w:tc>
          <w:tcPr>
            <w:tcW w:w="1205" w:type="dxa"/>
            <w:gridSpan w:val="2"/>
            <w:noWrap w:val="0"/>
            <w:vAlign w:val="center"/>
          </w:tcPr>
          <w:p>
            <w:pPr>
              <w:spacing w:line="360" w:lineRule="auto"/>
              <w:jc w:val="center"/>
              <w:rPr>
                <w:rFonts w:ascii="宋体"/>
                <w:color w:val="auto"/>
                <w:sz w:val="24"/>
                <w:szCs w:val="24"/>
                <w:highlight w:val="none"/>
              </w:rPr>
            </w:pPr>
            <w:r>
              <w:rPr>
                <w:rFonts w:hint="eastAsia" w:ascii="宋体" w:hAnsi="宋体" w:cs="宋体"/>
                <w:color w:val="auto"/>
                <w:sz w:val="24"/>
                <w:szCs w:val="24"/>
                <w:highlight w:val="none"/>
              </w:rPr>
              <w:t>平方米</w:t>
            </w:r>
          </w:p>
          <w:p>
            <w:pPr>
              <w:spacing w:line="360" w:lineRule="auto"/>
              <w:jc w:val="center"/>
              <w:rPr>
                <w:rFonts w:ascii="宋体"/>
                <w:color w:val="auto"/>
                <w:sz w:val="24"/>
                <w:szCs w:val="24"/>
                <w:highlight w:val="none"/>
              </w:rPr>
            </w:pPr>
            <w:r>
              <w:rPr>
                <w:rFonts w:hint="eastAsia" w:ascii="宋体" w:hAnsi="宋体" w:cs="宋体"/>
                <w:color w:val="auto"/>
                <w:sz w:val="24"/>
                <w:szCs w:val="24"/>
                <w:highlight w:val="none"/>
              </w:rPr>
              <w:t>□自有</w:t>
            </w:r>
          </w:p>
          <w:p>
            <w:pPr>
              <w:spacing w:line="360" w:lineRule="auto"/>
              <w:jc w:val="center"/>
              <w:rPr>
                <w:rFonts w:ascii="宋体"/>
                <w:color w:val="auto"/>
                <w:sz w:val="24"/>
                <w:szCs w:val="24"/>
                <w:highlight w:val="none"/>
              </w:rPr>
            </w:pPr>
            <w:r>
              <w:rPr>
                <w:rFonts w:hint="eastAsia" w:ascii="宋体" w:hAnsi="宋体" w:cs="宋体"/>
                <w:color w:val="auto"/>
                <w:sz w:val="24"/>
                <w:szCs w:val="24"/>
                <w:highlight w:val="none"/>
              </w:rPr>
              <w:t>□租赁</w:t>
            </w:r>
          </w:p>
        </w:tc>
        <w:tc>
          <w:tcPr>
            <w:tcW w:w="2001" w:type="dxa"/>
            <w:gridSpan w:val="3"/>
            <w:noWrap w:val="0"/>
            <w:vAlign w:val="center"/>
          </w:tcPr>
          <w:p>
            <w:pPr>
              <w:spacing w:line="360" w:lineRule="auto"/>
              <w:jc w:val="center"/>
              <w:rPr>
                <w:rFonts w:ascii="宋体"/>
                <w:color w:val="auto"/>
                <w:sz w:val="24"/>
                <w:szCs w:val="24"/>
                <w:highlight w:val="none"/>
              </w:rPr>
            </w:pPr>
            <w:r>
              <w:rPr>
                <w:rFonts w:hint="eastAsia" w:ascii="宋体" w:hAnsi="宋体" w:cs="宋体"/>
                <w:color w:val="auto"/>
                <w:sz w:val="24"/>
                <w:szCs w:val="24"/>
                <w:highlight w:val="none"/>
              </w:rPr>
              <w:t>生产经营场所及场所的设施与设备</w:t>
            </w:r>
          </w:p>
        </w:tc>
        <w:tc>
          <w:tcPr>
            <w:tcW w:w="2151" w:type="dxa"/>
            <w:gridSpan w:val="2"/>
            <w:noWrap w:val="0"/>
            <w:vAlign w:val="center"/>
          </w:tcPr>
          <w:p>
            <w:pPr>
              <w:spacing w:line="360" w:lineRule="auto"/>
              <w:jc w:val="center"/>
              <w:rPr>
                <w:rFonts w:asci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2" w:type="dxa"/>
            <w:vMerge w:val="continue"/>
            <w:noWrap w:val="0"/>
            <w:vAlign w:val="center"/>
          </w:tcPr>
          <w:p>
            <w:pPr>
              <w:spacing w:line="360" w:lineRule="auto"/>
              <w:jc w:val="center"/>
              <w:rPr>
                <w:rFonts w:ascii="宋体"/>
                <w:color w:val="auto"/>
                <w:sz w:val="24"/>
                <w:szCs w:val="24"/>
                <w:highlight w:val="none"/>
              </w:rPr>
            </w:pPr>
          </w:p>
        </w:tc>
        <w:tc>
          <w:tcPr>
            <w:tcW w:w="701" w:type="dxa"/>
            <w:noWrap w:val="0"/>
            <w:vAlign w:val="center"/>
          </w:tcPr>
          <w:p>
            <w:pPr>
              <w:spacing w:line="360" w:lineRule="auto"/>
              <w:jc w:val="center"/>
              <w:rPr>
                <w:rFonts w:ascii="宋体"/>
                <w:color w:val="auto"/>
                <w:sz w:val="24"/>
                <w:szCs w:val="24"/>
                <w:highlight w:val="none"/>
              </w:rPr>
            </w:pPr>
            <w:r>
              <w:rPr>
                <w:rFonts w:hint="eastAsia" w:ascii="宋体" w:hAnsi="宋体" w:cs="宋体"/>
                <w:color w:val="auto"/>
                <w:sz w:val="24"/>
                <w:szCs w:val="24"/>
                <w:highlight w:val="none"/>
              </w:rPr>
              <w:t>注册资金</w:t>
            </w:r>
          </w:p>
        </w:tc>
        <w:tc>
          <w:tcPr>
            <w:tcW w:w="910" w:type="dxa"/>
            <w:gridSpan w:val="2"/>
            <w:noWrap w:val="0"/>
            <w:vAlign w:val="center"/>
          </w:tcPr>
          <w:p>
            <w:pPr>
              <w:spacing w:line="360" w:lineRule="auto"/>
              <w:jc w:val="center"/>
              <w:rPr>
                <w:rFonts w:ascii="宋体"/>
                <w:color w:val="auto"/>
                <w:sz w:val="24"/>
                <w:szCs w:val="24"/>
                <w:highlight w:val="none"/>
              </w:rPr>
            </w:pPr>
          </w:p>
        </w:tc>
        <w:tc>
          <w:tcPr>
            <w:tcW w:w="1163" w:type="dxa"/>
            <w:noWrap w:val="0"/>
            <w:vAlign w:val="center"/>
          </w:tcPr>
          <w:p>
            <w:pPr>
              <w:spacing w:line="360" w:lineRule="auto"/>
              <w:jc w:val="center"/>
              <w:rPr>
                <w:rFonts w:ascii="宋体"/>
                <w:color w:val="auto"/>
                <w:sz w:val="24"/>
                <w:szCs w:val="24"/>
                <w:highlight w:val="none"/>
              </w:rPr>
            </w:pPr>
            <w:r>
              <w:rPr>
                <w:rFonts w:hint="eastAsia" w:ascii="宋体" w:hAnsi="宋体" w:cs="宋体"/>
                <w:color w:val="auto"/>
                <w:sz w:val="24"/>
                <w:szCs w:val="24"/>
                <w:highlight w:val="none"/>
              </w:rPr>
              <w:t>注册发证机关</w:t>
            </w:r>
          </w:p>
        </w:tc>
        <w:tc>
          <w:tcPr>
            <w:tcW w:w="3206" w:type="dxa"/>
            <w:gridSpan w:val="5"/>
            <w:noWrap w:val="0"/>
            <w:vAlign w:val="center"/>
          </w:tcPr>
          <w:p>
            <w:pPr>
              <w:spacing w:line="360" w:lineRule="auto"/>
              <w:jc w:val="center"/>
              <w:rPr>
                <w:rFonts w:ascii="宋体"/>
                <w:color w:val="auto"/>
                <w:sz w:val="24"/>
                <w:szCs w:val="24"/>
                <w:highlight w:val="none"/>
              </w:rPr>
            </w:pPr>
          </w:p>
          <w:p>
            <w:pPr>
              <w:spacing w:line="360" w:lineRule="auto"/>
              <w:jc w:val="center"/>
              <w:rPr>
                <w:rFonts w:ascii="宋体"/>
                <w:color w:val="auto"/>
                <w:sz w:val="24"/>
                <w:szCs w:val="24"/>
                <w:highlight w:val="none"/>
              </w:rPr>
            </w:pPr>
          </w:p>
        </w:tc>
        <w:tc>
          <w:tcPr>
            <w:tcW w:w="1218" w:type="dxa"/>
            <w:noWrap w:val="0"/>
            <w:vAlign w:val="center"/>
          </w:tcPr>
          <w:p>
            <w:pPr>
              <w:spacing w:line="360" w:lineRule="auto"/>
              <w:jc w:val="center"/>
              <w:rPr>
                <w:rFonts w:ascii="宋体"/>
                <w:color w:val="auto"/>
                <w:sz w:val="24"/>
                <w:szCs w:val="24"/>
                <w:highlight w:val="none"/>
              </w:rPr>
            </w:pPr>
            <w:r>
              <w:rPr>
                <w:rFonts w:hint="eastAsia" w:ascii="宋体" w:hAnsi="宋体" w:cs="宋体"/>
                <w:color w:val="auto"/>
                <w:sz w:val="24"/>
                <w:szCs w:val="24"/>
                <w:highlight w:val="none"/>
              </w:rPr>
              <w:t>公司成立时间</w:t>
            </w:r>
          </w:p>
        </w:tc>
        <w:tc>
          <w:tcPr>
            <w:tcW w:w="933" w:type="dxa"/>
            <w:noWrap w:val="0"/>
            <w:vAlign w:val="center"/>
          </w:tcPr>
          <w:p>
            <w:pPr>
              <w:spacing w:line="360" w:lineRule="auto"/>
              <w:jc w:val="center"/>
              <w:rPr>
                <w:rFonts w:asci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2" w:type="dxa"/>
            <w:vMerge w:val="continue"/>
            <w:noWrap w:val="0"/>
            <w:vAlign w:val="center"/>
          </w:tcPr>
          <w:p>
            <w:pPr>
              <w:spacing w:line="360" w:lineRule="auto"/>
              <w:jc w:val="center"/>
              <w:rPr>
                <w:rFonts w:ascii="宋体"/>
                <w:color w:val="auto"/>
                <w:sz w:val="24"/>
                <w:szCs w:val="24"/>
                <w:highlight w:val="none"/>
              </w:rPr>
            </w:pPr>
          </w:p>
        </w:tc>
        <w:tc>
          <w:tcPr>
            <w:tcW w:w="701" w:type="dxa"/>
            <w:noWrap w:val="0"/>
            <w:vAlign w:val="center"/>
          </w:tcPr>
          <w:p>
            <w:pPr>
              <w:spacing w:line="360" w:lineRule="auto"/>
              <w:jc w:val="center"/>
              <w:rPr>
                <w:rFonts w:ascii="宋体"/>
                <w:color w:val="auto"/>
                <w:sz w:val="24"/>
                <w:szCs w:val="24"/>
                <w:highlight w:val="none"/>
              </w:rPr>
            </w:pPr>
            <w:r>
              <w:rPr>
                <w:rFonts w:hint="eastAsia" w:ascii="宋体" w:hAnsi="宋体" w:cs="宋体"/>
                <w:color w:val="auto"/>
                <w:sz w:val="24"/>
                <w:szCs w:val="24"/>
                <w:highlight w:val="none"/>
              </w:rPr>
              <w:t>核准经营范围</w:t>
            </w:r>
          </w:p>
        </w:tc>
        <w:tc>
          <w:tcPr>
            <w:tcW w:w="7430" w:type="dxa"/>
            <w:gridSpan w:val="10"/>
            <w:noWrap w:val="0"/>
            <w:vAlign w:val="center"/>
          </w:tcPr>
          <w:p>
            <w:pPr>
              <w:spacing w:line="360" w:lineRule="auto"/>
              <w:jc w:val="center"/>
              <w:rPr>
                <w:rFonts w:asci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2" w:type="dxa"/>
            <w:vMerge w:val="continue"/>
            <w:noWrap w:val="0"/>
            <w:vAlign w:val="center"/>
          </w:tcPr>
          <w:p>
            <w:pPr>
              <w:spacing w:line="360" w:lineRule="auto"/>
              <w:jc w:val="center"/>
              <w:rPr>
                <w:rFonts w:ascii="宋体"/>
                <w:color w:val="auto"/>
                <w:sz w:val="24"/>
                <w:szCs w:val="24"/>
                <w:highlight w:val="none"/>
              </w:rPr>
            </w:pPr>
          </w:p>
        </w:tc>
        <w:tc>
          <w:tcPr>
            <w:tcW w:w="8131" w:type="dxa"/>
            <w:gridSpan w:val="11"/>
            <w:noWrap w:val="0"/>
            <w:vAlign w:val="center"/>
          </w:tcPr>
          <w:p>
            <w:pPr>
              <w:spacing w:line="360" w:lineRule="auto"/>
              <w:rPr>
                <w:rFonts w:ascii="宋体"/>
                <w:color w:val="auto"/>
                <w:sz w:val="24"/>
                <w:szCs w:val="24"/>
                <w:highlight w:val="none"/>
              </w:rPr>
            </w:pPr>
            <w:r>
              <w:rPr>
                <w:rFonts w:hint="eastAsia" w:ascii="宋体" w:hAnsi="宋体" w:cs="宋体"/>
                <w:color w:val="auto"/>
                <w:sz w:val="24"/>
                <w:szCs w:val="24"/>
                <w:highlight w:val="none"/>
              </w:rPr>
              <w:t>发展历程及主要荣誉：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2" w:type="dxa"/>
            <w:vMerge w:val="restart"/>
            <w:noWrap w:val="0"/>
            <w:vAlign w:val="center"/>
          </w:tcPr>
          <w:p>
            <w:pPr>
              <w:spacing w:line="360" w:lineRule="auto"/>
              <w:jc w:val="center"/>
              <w:rPr>
                <w:rFonts w:ascii="宋体"/>
                <w:color w:val="auto"/>
                <w:sz w:val="24"/>
                <w:szCs w:val="24"/>
                <w:highlight w:val="none"/>
              </w:rPr>
            </w:pPr>
            <w:r>
              <w:rPr>
                <w:rFonts w:ascii="宋体" w:hAnsi="宋体" w:cs="宋体"/>
                <w:color w:val="auto"/>
                <w:sz w:val="24"/>
                <w:szCs w:val="24"/>
                <w:highlight w:val="none"/>
              </w:rPr>
              <w:t>2</w:t>
            </w:r>
            <w:r>
              <w:rPr>
                <w:rFonts w:hint="eastAsia" w:ascii="宋体" w:hAnsi="宋体" w:cs="宋体"/>
                <w:color w:val="auto"/>
                <w:sz w:val="24"/>
                <w:szCs w:val="24"/>
                <w:highlight w:val="none"/>
              </w:rPr>
              <w:t>．</w:t>
            </w:r>
          </w:p>
          <w:p>
            <w:pPr>
              <w:spacing w:line="360" w:lineRule="auto"/>
              <w:jc w:val="center"/>
              <w:rPr>
                <w:rFonts w:ascii="宋体"/>
                <w:color w:val="auto"/>
                <w:sz w:val="24"/>
                <w:szCs w:val="24"/>
                <w:highlight w:val="none"/>
              </w:rPr>
            </w:pPr>
            <w:r>
              <w:rPr>
                <w:rFonts w:hint="eastAsia" w:ascii="宋体" w:hAnsi="宋体" w:cs="宋体"/>
                <w:color w:val="auto"/>
                <w:sz w:val="24"/>
                <w:szCs w:val="24"/>
                <w:highlight w:val="none"/>
              </w:rPr>
              <w:t>企业有关资质获证情况</w:t>
            </w:r>
          </w:p>
        </w:tc>
        <w:tc>
          <w:tcPr>
            <w:tcW w:w="1553" w:type="dxa"/>
            <w:gridSpan w:val="2"/>
            <w:vMerge w:val="restart"/>
            <w:noWrap w:val="0"/>
            <w:vAlign w:val="center"/>
          </w:tcPr>
          <w:p>
            <w:pPr>
              <w:spacing w:line="360" w:lineRule="auto"/>
              <w:jc w:val="center"/>
              <w:rPr>
                <w:rFonts w:ascii="宋体"/>
                <w:color w:val="auto"/>
                <w:sz w:val="24"/>
                <w:szCs w:val="24"/>
                <w:highlight w:val="none"/>
              </w:rPr>
            </w:pPr>
            <w:r>
              <w:rPr>
                <w:rFonts w:hint="eastAsia" w:ascii="宋体" w:hAnsi="宋体" w:cs="宋体"/>
                <w:color w:val="auto"/>
                <w:sz w:val="24"/>
                <w:szCs w:val="24"/>
                <w:highlight w:val="none"/>
              </w:rPr>
              <w:t>产品生产许可证情况（对需获得生产许可证的产品要填写此栏）</w:t>
            </w:r>
          </w:p>
        </w:tc>
        <w:tc>
          <w:tcPr>
            <w:tcW w:w="1333" w:type="dxa"/>
            <w:gridSpan w:val="3"/>
            <w:noWrap w:val="0"/>
            <w:vAlign w:val="center"/>
          </w:tcPr>
          <w:p>
            <w:pPr>
              <w:spacing w:line="360" w:lineRule="auto"/>
              <w:jc w:val="center"/>
              <w:rPr>
                <w:rFonts w:ascii="宋体"/>
                <w:color w:val="auto"/>
                <w:sz w:val="24"/>
                <w:szCs w:val="24"/>
                <w:highlight w:val="none"/>
              </w:rPr>
            </w:pPr>
            <w:r>
              <w:rPr>
                <w:rFonts w:hint="eastAsia" w:ascii="宋体" w:hAnsi="宋体" w:cs="宋体"/>
                <w:color w:val="auto"/>
                <w:sz w:val="24"/>
                <w:szCs w:val="24"/>
                <w:highlight w:val="none"/>
              </w:rPr>
              <w:t>产品名称</w:t>
            </w:r>
          </w:p>
        </w:tc>
        <w:tc>
          <w:tcPr>
            <w:tcW w:w="1418" w:type="dxa"/>
            <w:gridSpan w:val="2"/>
            <w:noWrap w:val="0"/>
            <w:vAlign w:val="center"/>
          </w:tcPr>
          <w:p>
            <w:pPr>
              <w:spacing w:line="360" w:lineRule="auto"/>
              <w:jc w:val="center"/>
              <w:rPr>
                <w:rFonts w:ascii="宋体"/>
                <w:color w:val="auto"/>
                <w:sz w:val="24"/>
                <w:szCs w:val="24"/>
                <w:highlight w:val="none"/>
              </w:rPr>
            </w:pPr>
            <w:r>
              <w:rPr>
                <w:rFonts w:hint="eastAsia" w:ascii="宋体" w:hAnsi="宋体" w:cs="宋体"/>
                <w:color w:val="auto"/>
                <w:sz w:val="24"/>
                <w:szCs w:val="24"/>
                <w:highlight w:val="none"/>
              </w:rPr>
              <w:t>发证机关</w:t>
            </w:r>
          </w:p>
        </w:tc>
        <w:tc>
          <w:tcPr>
            <w:tcW w:w="1276" w:type="dxa"/>
            <w:noWrap w:val="0"/>
            <w:vAlign w:val="center"/>
          </w:tcPr>
          <w:p>
            <w:pPr>
              <w:spacing w:line="360" w:lineRule="auto"/>
              <w:jc w:val="center"/>
              <w:rPr>
                <w:rFonts w:ascii="宋体"/>
                <w:color w:val="auto"/>
                <w:sz w:val="24"/>
                <w:szCs w:val="24"/>
                <w:highlight w:val="none"/>
              </w:rPr>
            </w:pPr>
            <w:r>
              <w:rPr>
                <w:rFonts w:hint="eastAsia" w:ascii="宋体" w:hAnsi="宋体" w:cs="宋体"/>
                <w:color w:val="auto"/>
                <w:sz w:val="24"/>
                <w:szCs w:val="24"/>
                <w:highlight w:val="none"/>
              </w:rPr>
              <w:t>编号</w:t>
            </w:r>
          </w:p>
        </w:tc>
        <w:tc>
          <w:tcPr>
            <w:tcW w:w="1618" w:type="dxa"/>
            <w:gridSpan w:val="2"/>
            <w:noWrap w:val="0"/>
            <w:vAlign w:val="center"/>
          </w:tcPr>
          <w:p>
            <w:pPr>
              <w:spacing w:line="360" w:lineRule="auto"/>
              <w:jc w:val="center"/>
              <w:rPr>
                <w:rFonts w:ascii="宋体"/>
                <w:color w:val="auto"/>
                <w:sz w:val="24"/>
                <w:szCs w:val="24"/>
                <w:highlight w:val="none"/>
              </w:rPr>
            </w:pPr>
            <w:r>
              <w:rPr>
                <w:rFonts w:hint="eastAsia" w:ascii="宋体" w:hAnsi="宋体" w:cs="宋体"/>
                <w:color w:val="auto"/>
                <w:sz w:val="24"/>
                <w:szCs w:val="24"/>
                <w:highlight w:val="none"/>
              </w:rPr>
              <w:t>发证时间</w:t>
            </w:r>
          </w:p>
        </w:tc>
        <w:tc>
          <w:tcPr>
            <w:tcW w:w="933" w:type="dxa"/>
            <w:noWrap w:val="0"/>
            <w:vAlign w:val="center"/>
          </w:tcPr>
          <w:p>
            <w:pPr>
              <w:spacing w:line="360" w:lineRule="auto"/>
              <w:jc w:val="center"/>
              <w:rPr>
                <w:rFonts w:ascii="宋体"/>
                <w:color w:val="auto"/>
                <w:sz w:val="24"/>
                <w:szCs w:val="24"/>
                <w:highlight w:val="none"/>
              </w:rPr>
            </w:pPr>
            <w:r>
              <w:rPr>
                <w:rFonts w:hint="eastAsia" w:ascii="宋体" w:hAnsi="宋体" w:cs="宋体"/>
                <w:color w:val="auto"/>
                <w:sz w:val="24"/>
                <w:szCs w:val="24"/>
                <w:highlight w:val="none"/>
              </w:rPr>
              <w:t>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2" w:type="dxa"/>
            <w:vMerge w:val="continue"/>
            <w:noWrap w:val="0"/>
            <w:vAlign w:val="center"/>
          </w:tcPr>
          <w:p>
            <w:pPr>
              <w:spacing w:line="360" w:lineRule="auto"/>
              <w:jc w:val="center"/>
              <w:rPr>
                <w:rFonts w:ascii="宋体"/>
                <w:color w:val="auto"/>
                <w:sz w:val="24"/>
                <w:szCs w:val="24"/>
                <w:highlight w:val="none"/>
              </w:rPr>
            </w:pPr>
          </w:p>
        </w:tc>
        <w:tc>
          <w:tcPr>
            <w:tcW w:w="1553" w:type="dxa"/>
            <w:gridSpan w:val="2"/>
            <w:vMerge w:val="continue"/>
            <w:noWrap w:val="0"/>
            <w:vAlign w:val="center"/>
          </w:tcPr>
          <w:p>
            <w:pPr>
              <w:spacing w:line="360" w:lineRule="auto"/>
              <w:jc w:val="center"/>
              <w:rPr>
                <w:rFonts w:ascii="宋体"/>
                <w:color w:val="auto"/>
                <w:sz w:val="24"/>
                <w:szCs w:val="24"/>
                <w:highlight w:val="none"/>
              </w:rPr>
            </w:pPr>
          </w:p>
        </w:tc>
        <w:tc>
          <w:tcPr>
            <w:tcW w:w="1333" w:type="dxa"/>
            <w:gridSpan w:val="3"/>
            <w:noWrap w:val="0"/>
            <w:vAlign w:val="center"/>
          </w:tcPr>
          <w:p>
            <w:pPr>
              <w:spacing w:line="360" w:lineRule="auto"/>
              <w:jc w:val="center"/>
              <w:rPr>
                <w:rFonts w:ascii="宋体"/>
                <w:color w:val="auto"/>
                <w:sz w:val="24"/>
                <w:szCs w:val="24"/>
                <w:highlight w:val="none"/>
              </w:rPr>
            </w:pPr>
          </w:p>
        </w:tc>
        <w:tc>
          <w:tcPr>
            <w:tcW w:w="1418" w:type="dxa"/>
            <w:gridSpan w:val="2"/>
            <w:noWrap w:val="0"/>
            <w:vAlign w:val="center"/>
          </w:tcPr>
          <w:p>
            <w:pPr>
              <w:spacing w:line="360" w:lineRule="auto"/>
              <w:jc w:val="center"/>
              <w:rPr>
                <w:rFonts w:ascii="宋体"/>
                <w:color w:val="auto"/>
                <w:sz w:val="24"/>
                <w:szCs w:val="24"/>
                <w:highlight w:val="none"/>
              </w:rPr>
            </w:pPr>
          </w:p>
        </w:tc>
        <w:tc>
          <w:tcPr>
            <w:tcW w:w="1276" w:type="dxa"/>
            <w:noWrap w:val="0"/>
            <w:vAlign w:val="center"/>
          </w:tcPr>
          <w:p>
            <w:pPr>
              <w:spacing w:line="360" w:lineRule="auto"/>
              <w:jc w:val="center"/>
              <w:rPr>
                <w:rFonts w:ascii="宋体"/>
                <w:color w:val="auto"/>
                <w:sz w:val="24"/>
                <w:szCs w:val="24"/>
                <w:highlight w:val="none"/>
              </w:rPr>
            </w:pPr>
          </w:p>
        </w:tc>
        <w:tc>
          <w:tcPr>
            <w:tcW w:w="2551" w:type="dxa"/>
            <w:gridSpan w:val="3"/>
            <w:noWrap w:val="0"/>
            <w:vAlign w:val="center"/>
          </w:tcPr>
          <w:p>
            <w:pPr>
              <w:spacing w:line="360" w:lineRule="auto"/>
              <w:jc w:val="center"/>
              <w:rPr>
                <w:rFonts w:asci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2" w:type="dxa"/>
            <w:vMerge w:val="continue"/>
            <w:noWrap w:val="0"/>
            <w:vAlign w:val="center"/>
          </w:tcPr>
          <w:p>
            <w:pPr>
              <w:spacing w:line="360" w:lineRule="auto"/>
              <w:jc w:val="center"/>
              <w:rPr>
                <w:rFonts w:ascii="宋体"/>
                <w:color w:val="auto"/>
                <w:sz w:val="24"/>
                <w:szCs w:val="24"/>
                <w:highlight w:val="none"/>
              </w:rPr>
            </w:pPr>
          </w:p>
        </w:tc>
        <w:tc>
          <w:tcPr>
            <w:tcW w:w="1553" w:type="dxa"/>
            <w:gridSpan w:val="2"/>
            <w:noWrap w:val="0"/>
            <w:vAlign w:val="center"/>
          </w:tcPr>
          <w:p>
            <w:pPr>
              <w:spacing w:line="360" w:lineRule="auto"/>
              <w:jc w:val="center"/>
              <w:rPr>
                <w:rFonts w:ascii="宋体"/>
                <w:color w:val="auto"/>
                <w:sz w:val="24"/>
                <w:szCs w:val="24"/>
                <w:highlight w:val="none"/>
              </w:rPr>
            </w:pPr>
            <w:r>
              <w:rPr>
                <w:rFonts w:hint="eastAsia" w:ascii="宋体" w:hAnsi="宋体" w:cs="宋体"/>
                <w:color w:val="auto"/>
                <w:sz w:val="24"/>
                <w:szCs w:val="24"/>
                <w:highlight w:val="none"/>
              </w:rPr>
              <w:t>企业通过质量体系、环保体系、计量等认证情况</w:t>
            </w:r>
          </w:p>
        </w:tc>
        <w:tc>
          <w:tcPr>
            <w:tcW w:w="6578" w:type="dxa"/>
            <w:gridSpan w:val="9"/>
            <w:noWrap w:val="0"/>
            <w:vAlign w:val="center"/>
          </w:tcPr>
          <w:p>
            <w:pPr>
              <w:spacing w:line="360" w:lineRule="auto"/>
              <w:jc w:val="center"/>
              <w:rPr>
                <w:rFonts w:asci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2" w:type="dxa"/>
            <w:vMerge w:val="continue"/>
            <w:noWrap w:val="0"/>
            <w:vAlign w:val="center"/>
          </w:tcPr>
          <w:p>
            <w:pPr>
              <w:spacing w:line="360" w:lineRule="auto"/>
              <w:jc w:val="center"/>
              <w:rPr>
                <w:rFonts w:ascii="宋体"/>
                <w:color w:val="auto"/>
                <w:sz w:val="24"/>
                <w:szCs w:val="24"/>
                <w:highlight w:val="none"/>
              </w:rPr>
            </w:pPr>
          </w:p>
        </w:tc>
        <w:tc>
          <w:tcPr>
            <w:tcW w:w="1553" w:type="dxa"/>
            <w:gridSpan w:val="2"/>
            <w:noWrap w:val="0"/>
            <w:vAlign w:val="center"/>
          </w:tcPr>
          <w:p>
            <w:pPr>
              <w:spacing w:line="360" w:lineRule="auto"/>
              <w:jc w:val="center"/>
              <w:rPr>
                <w:rFonts w:ascii="宋体"/>
                <w:color w:val="auto"/>
                <w:sz w:val="24"/>
                <w:szCs w:val="24"/>
                <w:highlight w:val="none"/>
              </w:rPr>
            </w:pPr>
            <w:r>
              <w:rPr>
                <w:rFonts w:hint="eastAsia" w:ascii="宋体" w:hAnsi="宋体" w:cs="宋体"/>
                <w:color w:val="auto"/>
                <w:sz w:val="24"/>
                <w:szCs w:val="24"/>
                <w:highlight w:val="none"/>
              </w:rPr>
              <w:t>企业获得专利情况</w:t>
            </w:r>
          </w:p>
        </w:tc>
        <w:tc>
          <w:tcPr>
            <w:tcW w:w="6578" w:type="dxa"/>
            <w:gridSpan w:val="9"/>
            <w:noWrap w:val="0"/>
            <w:vAlign w:val="center"/>
          </w:tcPr>
          <w:p>
            <w:pPr>
              <w:spacing w:line="360" w:lineRule="auto"/>
              <w:jc w:val="center"/>
              <w:rPr>
                <w:rFonts w:ascii="宋体"/>
                <w:color w:val="auto"/>
                <w:sz w:val="24"/>
                <w:szCs w:val="24"/>
                <w:highlight w:val="none"/>
              </w:rPr>
            </w:pPr>
          </w:p>
        </w:tc>
      </w:tr>
    </w:tbl>
    <w:p>
      <w:pPr>
        <w:spacing w:line="360" w:lineRule="auto"/>
        <w:rPr>
          <w:rFonts w:ascii="宋体"/>
          <w:color w:val="auto"/>
          <w:sz w:val="24"/>
          <w:szCs w:val="24"/>
          <w:highlight w:val="none"/>
        </w:rPr>
      </w:pPr>
    </w:p>
    <w:p>
      <w:pPr>
        <w:spacing w:line="360" w:lineRule="auto"/>
        <w:rPr>
          <w:rFonts w:ascii="宋体"/>
          <w:b/>
          <w:bCs/>
          <w:color w:val="auto"/>
          <w:sz w:val="24"/>
          <w:szCs w:val="24"/>
          <w:highlight w:val="none"/>
        </w:rPr>
      </w:pPr>
      <w:r>
        <w:rPr>
          <w:rFonts w:hint="eastAsia" w:ascii="宋体" w:hAnsi="宋体" w:cs="宋体"/>
          <w:b/>
          <w:bCs/>
          <w:color w:val="auto"/>
          <w:sz w:val="24"/>
          <w:szCs w:val="24"/>
          <w:highlight w:val="none"/>
        </w:rPr>
        <w:t>要求：</w:t>
      </w:r>
    </w:p>
    <w:p>
      <w:pPr>
        <w:spacing w:line="360" w:lineRule="auto"/>
        <w:rPr>
          <w:rFonts w:ascii="宋体"/>
          <w:color w:val="auto"/>
          <w:sz w:val="24"/>
          <w:szCs w:val="24"/>
          <w:highlight w:val="none"/>
        </w:rPr>
      </w:pPr>
      <w:r>
        <w:rPr>
          <w:rFonts w:ascii="宋体" w:hAnsi="宋体" w:cs="宋体"/>
          <w:color w:val="auto"/>
          <w:sz w:val="24"/>
          <w:szCs w:val="24"/>
          <w:highlight w:val="none"/>
        </w:rPr>
        <w:t>1.</w:t>
      </w:r>
      <w:r>
        <w:rPr>
          <w:rFonts w:hint="eastAsia" w:ascii="宋体" w:hAnsi="宋体" w:cs="宋体"/>
          <w:color w:val="auto"/>
          <w:sz w:val="24"/>
          <w:szCs w:val="24"/>
          <w:highlight w:val="none"/>
        </w:rPr>
        <w:t>姓名栏必须将所有股东都统计在内，若非股份公司此行（第三行）无需填写；</w:t>
      </w:r>
    </w:p>
    <w:p>
      <w:pPr>
        <w:spacing w:line="360" w:lineRule="auto"/>
        <w:rPr>
          <w:rFonts w:ascii="宋体"/>
          <w:color w:val="auto"/>
          <w:sz w:val="24"/>
          <w:szCs w:val="24"/>
          <w:highlight w:val="none"/>
        </w:rPr>
      </w:pPr>
    </w:p>
    <w:p>
      <w:pPr>
        <w:spacing w:line="480" w:lineRule="auto"/>
        <w:rPr>
          <w:rFonts w:ascii="宋体"/>
          <w:color w:val="auto"/>
          <w:sz w:val="24"/>
          <w:szCs w:val="24"/>
          <w:highlight w:val="none"/>
        </w:rPr>
      </w:pPr>
      <w:r>
        <w:rPr>
          <w:rFonts w:hint="eastAsia" w:ascii="宋体" w:hAnsi="宋体" w:cs="宋体"/>
          <w:color w:val="auto"/>
          <w:sz w:val="24"/>
          <w:szCs w:val="24"/>
          <w:highlight w:val="none"/>
        </w:rPr>
        <w:t>投标人名称（盖章）：</w:t>
      </w:r>
    </w:p>
    <w:p>
      <w:pPr>
        <w:spacing w:line="480" w:lineRule="auto"/>
        <w:rPr>
          <w:rFonts w:ascii="宋体"/>
          <w:color w:val="auto"/>
          <w:sz w:val="24"/>
          <w:szCs w:val="24"/>
          <w:highlight w:val="none"/>
        </w:rPr>
      </w:pPr>
      <w:r>
        <w:rPr>
          <w:rFonts w:hint="eastAsia" w:ascii="宋体" w:hAnsi="宋体" w:cs="宋体"/>
          <w:color w:val="auto"/>
          <w:sz w:val="24"/>
          <w:szCs w:val="24"/>
          <w:highlight w:val="none"/>
        </w:rPr>
        <w:t>法定代表人或授权委托代理人（签字或盖章）：</w:t>
      </w:r>
    </w:p>
    <w:p>
      <w:pPr>
        <w:spacing w:line="480" w:lineRule="auto"/>
        <w:rPr>
          <w:rFonts w:ascii="宋体"/>
          <w:color w:val="auto"/>
          <w:sz w:val="24"/>
          <w:szCs w:val="24"/>
          <w:highlight w:val="none"/>
        </w:rPr>
      </w:pPr>
      <w:r>
        <w:rPr>
          <w:rFonts w:hint="eastAsia" w:ascii="宋体" w:hAnsi="宋体" w:cs="宋体"/>
          <w:color w:val="auto"/>
          <w:sz w:val="24"/>
          <w:szCs w:val="24"/>
          <w:highlight w:val="none"/>
        </w:rPr>
        <w:t>日期：</w:t>
      </w:r>
    </w:p>
    <w:p>
      <w:pPr>
        <w:spacing w:line="360" w:lineRule="auto"/>
        <w:rPr>
          <w:rFonts w:ascii="宋体"/>
          <w:color w:val="auto"/>
          <w:sz w:val="24"/>
          <w:szCs w:val="24"/>
          <w:highlight w:val="none"/>
        </w:rPr>
      </w:pPr>
    </w:p>
    <w:p>
      <w:pPr>
        <w:spacing w:line="360" w:lineRule="auto"/>
        <w:rPr>
          <w:rFonts w:ascii="宋体"/>
          <w:color w:val="auto"/>
          <w:sz w:val="24"/>
          <w:szCs w:val="24"/>
          <w:highlight w:val="none"/>
        </w:rPr>
      </w:pPr>
    </w:p>
    <w:p>
      <w:pPr>
        <w:spacing w:line="360" w:lineRule="auto"/>
        <w:rPr>
          <w:rFonts w:ascii="宋体"/>
          <w:color w:val="auto"/>
          <w:sz w:val="24"/>
          <w:szCs w:val="24"/>
          <w:highlight w:val="none"/>
        </w:rPr>
      </w:pPr>
    </w:p>
    <w:p>
      <w:pPr>
        <w:spacing w:line="360" w:lineRule="auto"/>
        <w:rPr>
          <w:rFonts w:ascii="宋体"/>
          <w:color w:val="auto"/>
          <w:sz w:val="24"/>
          <w:szCs w:val="24"/>
          <w:highlight w:val="none"/>
        </w:rPr>
      </w:pPr>
    </w:p>
    <w:p>
      <w:pPr>
        <w:pStyle w:val="2"/>
        <w:rPr>
          <w:rFonts w:ascii="宋体"/>
          <w:color w:val="auto"/>
          <w:sz w:val="24"/>
          <w:szCs w:val="24"/>
          <w:highlight w:val="none"/>
        </w:rPr>
      </w:pPr>
    </w:p>
    <w:p>
      <w:pPr>
        <w:pStyle w:val="3"/>
        <w:rPr>
          <w:color w:val="auto"/>
          <w:highlight w:val="none"/>
        </w:rPr>
      </w:pPr>
    </w:p>
    <w:p>
      <w:pPr>
        <w:spacing w:line="360" w:lineRule="auto"/>
        <w:rPr>
          <w:rFonts w:ascii="宋体"/>
          <w:color w:val="auto"/>
          <w:sz w:val="24"/>
          <w:szCs w:val="24"/>
          <w:highlight w:val="none"/>
        </w:rPr>
      </w:pPr>
    </w:p>
    <w:p>
      <w:pPr>
        <w:spacing w:line="360" w:lineRule="auto"/>
        <w:rPr>
          <w:rFonts w:ascii="宋体"/>
          <w:color w:val="auto"/>
          <w:sz w:val="24"/>
          <w:szCs w:val="24"/>
          <w:highlight w:val="none"/>
        </w:rPr>
      </w:pPr>
    </w:p>
    <w:p>
      <w:pPr>
        <w:spacing w:line="360" w:lineRule="auto"/>
        <w:rPr>
          <w:rFonts w:ascii="宋体"/>
          <w:color w:val="auto"/>
          <w:sz w:val="24"/>
          <w:szCs w:val="24"/>
          <w:highlight w:val="none"/>
        </w:rPr>
      </w:pPr>
      <w:r>
        <w:rPr>
          <w:rFonts w:hint="eastAsia" w:ascii="宋体" w:hAnsi="宋体" w:cs="宋体"/>
          <w:b/>
          <w:bCs/>
          <w:color w:val="auto"/>
          <w:sz w:val="28"/>
          <w:szCs w:val="28"/>
          <w:highlight w:val="none"/>
        </w:rPr>
        <w:t>附件</w:t>
      </w:r>
      <w:r>
        <w:rPr>
          <w:rFonts w:ascii="宋体" w:hAnsi="宋体" w:cs="宋体"/>
          <w:b/>
          <w:bCs/>
          <w:color w:val="auto"/>
          <w:sz w:val="28"/>
          <w:szCs w:val="28"/>
          <w:highlight w:val="none"/>
        </w:rPr>
        <w:t>6</w:t>
      </w:r>
    </w:p>
    <w:p>
      <w:pPr>
        <w:spacing w:line="360" w:lineRule="auto"/>
        <w:jc w:val="center"/>
        <w:rPr>
          <w:rFonts w:ascii="宋体"/>
          <w:b/>
          <w:bCs/>
          <w:color w:val="auto"/>
          <w:sz w:val="32"/>
          <w:szCs w:val="32"/>
          <w:highlight w:val="none"/>
          <w:lang w:val="zh-CN"/>
        </w:rPr>
      </w:pPr>
      <w:r>
        <w:rPr>
          <w:rFonts w:hint="eastAsia" w:ascii="宋体" w:hAnsi="宋体" w:cs="宋体"/>
          <w:b/>
          <w:bCs/>
          <w:color w:val="auto"/>
          <w:sz w:val="32"/>
          <w:szCs w:val="32"/>
          <w:highlight w:val="none"/>
          <w:lang w:val="zh-CN"/>
        </w:rPr>
        <w:t>项目实施人员一览表</w:t>
      </w:r>
    </w:p>
    <w:p>
      <w:pPr>
        <w:spacing w:line="360" w:lineRule="auto"/>
        <w:jc w:val="center"/>
        <w:rPr>
          <w:rFonts w:ascii="宋体"/>
          <w:color w:val="auto"/>
          <w:sz w:val="24"/>
          <w:szCs w:val="24"/>
          <w:highlight w:val="none"/>
        </w:rPr>
      </w:pPr>
      <w:r>
        <w:rPr>
          <w:rFonts w:hint="eastAsia" w:ascii="宋体" w:hAnsi="宋体" w:cs="宋体"/>
          <w:color w:val="auto"/>
          <w:sz w:val="24"/>
          <w:szCs w:val="24"/>
          <w:highlight w:val="none"/>
        </w:rPr>
        <w:t>（主要从业人员及其技术资格）</w:t>
      </w:r>
    </w:p>
    <w:tbl>
      <w:tblPr>
        <w:tblStyle w:val="20"/>
        <w:tblW w:w="889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61"/>
        <w:gridCol w:w="543"/>
        <w:gridCol w:w="1004"/>
        <w:gridCol w:w="795"/>
        <w:gridCol w:w="1276"/>
        <w:gridCol w:w="1275"/>
        <w:gridCol w:w="1418"/>
        <w:gridCol w:w="212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bottom w:val="single" w:color="auto" w:sz="4" w:space="0"/>
              <w:right w:val="single" w:color="auto" w:sz="4" w:space="0"/>
            </w:tcBorders>
            <w:noWrap w:val="0"/>
            <w:vAlign w:val="center"/>
          </w:tcPr>
          <w:p>
            <w:pPr>
              <w:snapToGrid w:val="0"/>
              <w:spacing w:before="159" w:beforeLines="50" w:after="50" w:line="360" w:lineRule="auto"/>
              <w:jc w:val="center"/>
              <w:rPr>
                <w:rFonts w:ascii="宋体"/>
                <w:b/>
                <w:bCs/>
                <w:color w:val="auto"/>
                <w:sz w:val="24"/>
                <w:szCs w:val="24"/>
                <w:highlight w:val="none"/>
              </w:rPr>
            </w:pPr>
            <w:r>
              <w:rPr>
                <w:rFonts w:hint="eastAsia" w:ascii="宋体" w:hAnsi="宋体" w:cs="宋体"/>
                <w:b/>
                <w:bCs/>
                <w:color w:val="auto"/>
                <w:sz w:val="24"/>
                <w:szCs w:val="24"/>
                <w:highlight w:val="none"/>
              </w:rPr>
              <w:t>序号</w:t>
            </w:r>
          </w:p>
        </w:tc>
        <w:tc>
          <w:tcPr>
            <w:tcW w:w="543"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9" w:beforeLines="50" w:after="50" w:line="360" w:lineRule="auto"/>
              <w:jc w:val="center"/>
              <w:rPr>
                <w:rFonts w:ascii="宋体"/>
                <w:b/>
                <w:bCs/>
                <w:color w:val="auto"/>
                <w:sz w:val="24"/>
                <w:szCs w:val="24"/>
                <w:highlight w:val="none"/>
              </w:rPr>
            </w:pPr>
            <w:r>
              <w:rPr>
                <w:rFonts w:hint="eastAsia" w:ascii="宋体" w:hAnsi="宋体" w:cs="宋体"/>
                <w:b/>
                <w:bCs/>
                <w:color w:val="auto"/>
                <w:sz w:val="24"/>
                <w:szCs w:val="24"/>
                <w:highlight w:val="none"/>
              </w:rPr>
              <w:t>姓名</w:t>
            </w:r>
          </w:p>
        </w:tc>
        <w:tc>
          <w:tcPr>
            <w:tcW w:w="1004"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9" w:beforeLines="50" w:after="50" w:line="360" w:lineRule="auto"/>
              <w:jc w:val="center"/>
              <w:rPr>
                <w:rFonts w:ascii="宋体"/>
                <w:b/>
                <w:bCs/>
                <w:color w:val="auto"/>
                <w:sz w:val="24"/>
                <w:szCs w:val="24"/>
                <w:highlight w:val="none"/>
              </w:rPr>
            </w:pPr>
            <w:r>
              <w:rPr>
                <w:rFonts w:hint="eastAsia" w:ascii="宋体" w:hAnsi="宋体" w:cs="宋体"/>
                <w:b/>
                <w:bCs/>
                <w:color w:val="auto"/>
                <w:sz w:val="24"/>
                <w:szCs w:val="24"/>
                <w:highlight w:val="none"/>
              </w:rPr>
              <w:t>职务</w:t>
            </w:r>
          </w:p>
        </w:tc>
        <w:tc>
          <w:tcPr>
            <w:tcW w:w="795"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9" w:beforeLines="50" w:after="50" w:line="360" w:lineRule="auto"/>
              <w:jc w:val="center"/>
              <w:rPr>
                <w:rFonts w:ascii="宋体"/>
                <w:b/>
                <w:bCs/>
                <w:color w:val="auto"/>
                <w:sz w:val="24"/>
                <w:szCs w:val="24"/>
                <w:highlight w:val="none"/>
              </w:rPr>
            </w:pPr>
            <w:r>
              <w:rPr>
                <w:rFonts w:hint="eastAsia" w:ascii="宋体" w:hAnsi="宋体" w:cs="宋体"/>
                <w:b/>
                <w:bCs/>
                <w:color w:val="auto"/>
                <w:sz w:val="24"/>
                <w:szCs w:val="24"/>
                <w:highlight w:val="none"/>
              </w:rPr>
              <w:t>职责</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9" w:beforeLines="50" w:after="50" w:line="360" w:lineRule="auto"/>
              <w:jc w:val="center"/>
              <w:rPr>
                <w:rFonts w:ascii="宋体"/>
                <w:b/>
                <w:bCs/>
                <w:color w:val="auto"/>
                <w:sz w:val="24"/>
                <w:szCs w:val="24"/>
                <w:highlight w:val="none"/>
              </w:rPr>
            </w:pPr>
            <w:r>
              <w:rPr>
                <w:rFonts w:hint="eastAsia" w:ascii="宋体" w:hAnsi="宋体" w:cs="宋体"/>
                <w:b/>
                <w:bCs/>
                <w:color w:val="auto"/>
                <w:sz w:val="24"/>
                <w:szCs w:val="24"/>
                <w:highlight w:val="none"/>
              </w:rPr>
              <w:t>专业技术资格</w:t>
            </w:r>
          </w:p>
        </w:tc>
        <w:tc>
          <w:tcPr>
            <w:tcW w:w="1275"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9" w:beforeLines="50" w:after="50" w:line="360" w:lineRule="auto"/>
              <w:jc w:val="center"/>
              <w:rPr>
                <w:rFonts w:ascii="宋体"/>
                <w:b/>
                <w:bCs/>
                <w:color w:val="auto"/>
                <w:sz w:val="24"/>
                <w:szCs w:val="24"/>
                <w:highlight w:val="none"/>
              </w:rPr>
            </w:pPr>
            <w:r>
              <w:rPr>
                <w:rFonts w:hint="eastAsia" w:ascii="宋体" w:hAnsi="宋体" w:cs="宋体"/>
                <w:b/>
                <w:bCs/>
                <w:color w:val="auto"/>
                <w:sz w:val="24"/>
                <w:szCs w:val="24"/>
                <w:highlight w:val="none"/>
              </w:rPr>
              <w:t>证书编号</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9" w:beforeLines="50" w:after="50" w:line="360" w:lineRule="auto"/>
              <w:jc w:val="center"/>
              <w:rPr>
                <w:rFonts w:ascii="宋体"/>
                <w:b/>
                <w:bCs/>
                <w:color w:val="auto"/>
                <w:sz w:val="24"/>
                <w:szCs w:val="24"/>
                <w:highlight w:val="none"/>
              </w:rPr>
            </w:pPr>
            <w:r>
              <w:rPr>
                <w:rFonts w:hint="eastAsia" w:ascii="宋体" w:hAnsi="宋体" w:cs="宋体"/>
                <w:b/>
                <w:bCs/>
                <w:color w:val="auto"/>
                <w:sz w:val="24"/>
                <w:szCs w:val="24"/>
                <w:highlight w:val="none"/>
              </w:rPr>
              <w:t>参加本单位工作时间</w:t>
            </w:r>
          </w:p>
        </w:tc>
        <w:tc>
          <w:tcPr>
            <w:tcW w:w="2126" w:type="dxa"/>
            <w:tcBorders>
              <w:top w:val="single" w:color="auto" w:sz="4" w:space="0"/>
              <w:left w:val="single" w:color="auto" w:sz="4" w:space="0"/>
              <w:bottom w:val="single" w:color="auto" w:sz="4" w:space="0"/>
            </w:tcBorders>
            <w:noWrap w:val="0"/>
            <w:vAlign w:val="center"/>
          </w:tcPr>
          <w:p>
            <w:pPr>
              <w:snapToGrid w:val="0"/>
              <w:spacing w:before="159" w:beforeLines="50" w:after="50" w:line="360" w:lineRule="auto"/>
              <w:jc w:val="center"/>
              <w:rPr>
                <w:rFonts w:ascii="宋体"/>
                <w:b/>
                <w:bCs/>
                <w:color w:val="auto"/>
                <w:sz w:val="24"/>
                <w:szCs w:val="24"/>
                <w:highlight w:val="none"/>
              </w:rPr>
            </w:pPr>
            <w:r>
              <w:rPr>
                <w:rFonts w:hint="eastAsia" w:ascii="宋体" w:hAnsi="宋体" w:cs="宋体"/>
                <w:b/>
                <w:bCs/>
                <w:color w:val="auto"/>
                <w:sz w:val="24"/>
                <w:szCs w:val="24"/>
                <w:highlight w:val="none"/>
              </w:rPr>
              <w:t>劳动合同编号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bottom w:val="single" w:color="auto" w:sz="4" w:space="0"/>
              <w:right w:val="single" w:color="auto" w:sz="4" w:space="0"/>
            </w:tcBorders>
            <w:noWrap w:val="0"/>
            <w:vAlign w:val="top"/>
          </w:tcPr>
          <w:p>
            <w:pPr>
              <w:snapToGrid w:val="0"/>
              <w:spacing w:before="159" w:beforeLines="50" w:after="50" w:line="360" w:lineRule="auto"/>
              <w:rPr>
                <w:rFonts w:ascii="宋体"/>
                <w:color w:val="auto"/>
                <w:sz w:val="24"/>
                <w:szCs w:val="24"/>
                <w:highlight w:val="none"/>
              </w:rPr>
            </w:pPr>
          </w:p>
        </w:tc>
        <w:tc>
          <w:tcPr>
            <w:tcW w:w="543" w:type="dxa"/>
            <w:tcBorders>
              <w:top w:val="single" w:color="auto" w:sz="4" w:space="0"/>
              <w:left w:val="single" w:color="auto" w:sz="4" w:space="0"/>
              <w:bottom w:val="single" w:color="auto" w:sz="4" w:space="0"/>
              <w:right w:val="single" w:color="auto" w:sz="4" w:space="0"/>
            </w:tcBorders>
            <w:noWrap w:val="0"/>
            <w:vAlign w:val="top"/>
          </w:tcPr>
          <w:p>
            <w:pPr>
              <w:snapToGrid w:val="0"/>
              <w:spacing w:before="159" w:beforeLines="50" w:after="50" w:line="360" w:lineRule="auto"/>
              <w:rPr>
                <w:rFonts w:ascii="宋体"/>
                <w:b/>
                <w:bCs/>
                <w:color w:val="auto"/>
                <w:kern w:val="44"/>
                <w:sz w:val="24"/>
                <w:szCs w:val="24"/>
                <w:highlight w:val="none"/>
              </w:rPr>
            </w:pPr>
          </w:p>
        </w:tc>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59" w:beforeLines="50" w:after="50" w:line="360" w:lineRule="auto"/>
              <w:rPr>
                <w:rFonts w:ascii="宋体"/>
                <w:b/>
                <w:bCs/>
                <w:color w:val="auto"/>
                <w:kern w:val="44"/>
                <w:sz w:val="24"/>
                <w:szCs w:val="24"/>
                <w:highlight w:val="none"/>
              </w:rPr>
            </w:pPr>
          </w:p>
        </w:tc>
        <w:tc>
          <w:tcPr>
            <w:tcW w:w="795" w:type="dxa"/>
            <w:tcBorders>
              <w:top w:val="single" w:color="auto" w:sz="4" w:space="0"/>
              <w:left w:val="single" w:color="auto" w:sz="4" w:space="0"/>
              <w:bottom w:val="single" w:color="auto" w:sz="4" w:space="0"/>
              <w:right w:val="single" w:color="auto" w:sz="4" w:space="0"/>
            </w:tcBorders>
            <w:noWrap w:val="0"/>
            <w:vAlign w:val="top"/>
          </w:tcPr>
          <w:p>
            <w:pPr>
              <w:snapToGrid w:val="0"/>
              <w:spacing w:before="159" w:beforeLines="50" w:after="50" w:line="360" w:lineRule="auto"/>
              <w:rPr>
                <w:rFonts w:ascii="宋体"/>
                <w:b/>
                <w:bCs/>
                <w:color w:val="auto"/>
                <w:kern w:val="44"/>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top"/>
          </w:tcPr>
          <w:p>
            <w:pPr>
              <w:snapToGrid w:val="0"/>
              <w:spacing w:before="159" w:beforeLines="50" w:after="50" w:line="360" w:lineRule="auto"/>
              <w:rPr>
                <w:rFonts w:ascii="宋体"/>
                <w:b/>
                <w:bCs/>
                <w:color w:val="auto"/>
                <w:kern w:val="44"/>
                <w:sz w:val="24"/>
                <w:szCs w:val="24"/>
                <w:highlight w:val="none"/>
              </w:rPr>
            </w:pPr>
          </w:p>
        </w:tc>
        <w:tc>
          <w:tcPr>
            <w:tcW w:w="1275" w:type="dxa"/>
            <w:tcBorders>
              <w:top w:val="single" w:color="auto" w:sz="4" w:space="0"/>
              <w:left w:val="single" w:color="auto" w:sz="4" w:space="0"/>
              <w:bottom w:val="single" w:color="auto" w:sz="4" w:space="0"/>
              <w:right w:val="single" w:color="auto" w:sz="4" w:space="0"/>
            </w:tcBorders>
            <w:noWrap w:val="0"/>
            <w:vAlign w:val="top"/>
          </w:tcPr>
          <w:p>
            <w:pPr>
              <w:snapToGrid w:val="0"/>
              <w:spacing w:before="159" w:beforeLines="50" w:after="50" w:line="360" w:lineRule="auto"/>
              <w:rPr>
                <w:rFonts w:ascii="宋体"/>
                <w:b/>
                <w:bCs/>
                <w:color w:val="auto"/>
                <w:kern w:val="44"/>
                <w:sz w:val="24"/>
                <w:szCs w:val="24"/>
                <w:highlight w:val="none"/>
              </w:rPr>
            </w:pPr>
          </w:p>
        </w:tc>
        <w:tc>
          <w:tcPr>
            <w:tcW w:w="1418" w:type="dxa"/>
            <w:tcBorders>
              <w:top w:val="single" w:color="auto" w:sz="4" w:space="0"/>
              <w:left w:val="single" w:color="auto" w:sz="4" w:space="0"/>
              <w:bottom w:val="single" w:color="auto" w:sz="4" w:space="0"/>
              <w:right w:val="single" w:color="auto" w:sz="4" w:space="0"/>
            </w:tcBorders>
            <w:noWrap w:val="0"/>
            <w:vAlign w:val="top"/>
          </w:tcPr>
          <w:p>
            <w:pPr>
              <w:snapToGrid w:val="0"/>
              <w:spacing w:before="159" w:beforeLines="50" w:after="50" w:line="360" w:lineRule="auto"/>
              <w:rPr>
                <w:rFonts w:ascii="宋体"/>
                <w:b/>
                <w:bCs/>
                <w:color w:val="auto"/>
                <w:kern w:val="44"/>
                <w:sz w:val="24"/>
                <w:szCs w:val="24"/>
                <w:highlight w:val="none"/>
              </w:rPr>
            </w:pPr>
          </w:p>
        </w:tc>
        <w:tc>
          <w:tcPr>
            <w:tcW w:w="2126" w:type="dxa"/>
            <w:tcBorders>
              <w:top w:val="single" w:color="auto" w:sz="4" w:space="0"/>
              <w:left w:val="single" w:color="auto" w:sz="4" w:space="0"/>
              <w:bottom w:val="single" w:color="auto" w:sz="4" w:space="0"/>
            </w:tcBorders>
            <w:noWrap w:val="0"/>
            <w:vAlign w:val="top"/>
          </w:tcPr>
          <w:p>
            <w:pPr>
              <w:snapToGrid w:val="0"/>
              <w:spacing w:before="159" w:beforeLines="50" w:after="50" w:line="360" w:lineRule="auto"/>
              <w:rPr>
                <w:rFonts w:ascii="宋体"/>
                <w:b/>
                <w:bCs/>
                <w:color w:val="auto"/>
                <w:kern w:val="44"/>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bottom w:val="single" w:color="auto" w:sz="4" w:space="0"/>
              <w:right w:val="single" w:color="auto" w:sz="4" w:space="0"/>
            </w:tcBorders>
            <w:noWrap w:val="0"/>
            <w:vAlign w:val="top"/>
          </w:tcPr>
          <w:p>
            <w:pPr>
              <w:snapToGrid w:val="0"/>
              <w:spacing w:before="159" w:beforeLines="50" w:after="50" w:line="360" w:lineRule="auto"/>
              <w:rPr>
                <w:rFonts w:ascii="宋体"/>
                <w:color w:val="auto"/>
                <w:sz w:val="24"/>
                <w:szCs w:val="24"/>
                <w:highlight w:val="none"/>
              </w:rPr>
            </w:pPr>
          </w:p>
        </w:tc>
        <w:tc>
          <w:tcPr>
            <w:tcW w:w="543" w:type="dxa"/>
            <w:tcBorders>
              <w:top w:val="single" w:color="auto" w:sz="4" w:space="0"/>
              <w:left w:val="single" w:color="auto" w:sz="4" w:space="0"/>
              <w:bottom w:val="single" w:color="auto" w:sz="4" w:space="0"/>
              <w:right w:val="single" w:color="auto" w:sz="4" w:space="0"/>
            </w:tcBorders>
            <w:noWrap w:val="0"/>
            <w:vAlign w:val="top"/>
          </w:tcPr>
          <w:p>
            <w:pPr>
              <w:snapToGrid w:val="0"/>
              <w:spacing w:before="159" w:beforeLines="50" w:after="50" w:line="360" w:lineRule="auto"/>
              <w:rPr>
                <w:rFonts w:ascii="宋体"/>
                <w:b/>
                <w:bCs/>
                <w:color w:val="auto"/>
                <w:kern w:val="44"/>
                <w:sz w:val="24"/>
                <w:szCs w:val="24"/>
                <w:highlight w:val="none"/>
              </w:rPr>
            </w:pPr>
          </w:p>
        </w:tc>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59" w:beforeLines="50" w:after="50" w:line="360" w:lineRule="auto"/>
              <w:rPr>
                <w:rFonts w:ascii="宋体"/>
                <w:b/>
                <w:bCs/>
                <w:color w:val="auto"/>
                <w:kern w:val="44"/>
                <w:sz w:val="24"/>
                <w:szCs w:val="24"/>
                <w:highlight w:val="none"/>
              </w:rPr>
            </w:pPr>
          </w:p>
        </w:tc>
        <w:tc>
          <w:tcPr>
            <w:tcW w:w="795" w:type="dxa"/>
            <w:tcBorders>
              <w:top w:val="single" w:color="auto" w:sz="4" w:space="0"/>
              <w:left w:val="single" w:color="auto" w:sz="4" w:space="0"/>
              <w:bottom w:val="single" w:color="auto" w:sz="4" w:space="0"/>
              <w:right w:val="single" w:color="auto" w:sz="4" w:space="0"/>
            </w:tcBorders>
            <w:noWrap w:val="0"/>
            <w:vAlign w:val="top"/>
          </w:tcPr>
          <w:p>
            <w:pPr>
              <w:snapToGrid w:val="0"/>
              <w:spacing w:before="159" w:beforeLines="50" w:after="50" w:line="360" w:lineRule="auto"/>
              <w:rPr>
                <w:rFonts w:ascii="宋体"/>
                <w:b/>
                <w:bCs/>
                <w:color w:val="auto"/>
                <w:kern w:val="44"/>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top"/>
          </w:tcPr>
          <w:p>
            <w:pPr>
              <w:snapToGrid w:val="0"/>
              <w:spacing w:before="159" w:beforeLines="50" w:after="50" w:line="360" w:lineRule="auto"/>
              <w:rPr>
                <w:rFonts w:ascii="宋体"/>
                <w:b/>
                <w:bCs/>
                <w:color w:val="auto"/>
                <w:kern w:val="44"/>
                <w:sz w:val="24"/>
                <w:szCs w:val="24"/>
                <w:highlight w:val="none"/>
              </w:rPr>
            </w:pPr>
          </w:p>
        </w:tc>
        <w:tc>
          <w:tcPr>
            <w:tcW w:w="1275" w:type="dxa"/>
            <w:tcBorders>
              <w:top w:val="single" w:color="auto" w:sz="4" w:space="0"/>
              <w:left w:val="single" w:color="auto" w:sz="4" w:space="0"/>
              <w:bottom w:val="single" w:color="auto" w:sz="4" w:space="0"/>
              <w:right w:val="single" w:color="auto" w:sz="4" w:space="0"/>
            </w:tcBorders>
            <w:noWrap w:val="0"/>
            <w:vAlign w:val="top"/>
          </w:tcPr>
          <w:p>
            <w:pPr>
              <w:snapToGrid w:val="0"/>
              <w:spacing w:before="159" w:beforeLines="50" w:after="50" w:line="360" w:lineRule="auto"/>
              <w:rPr>
                <w:rFonts w:ascii="宋体"/>
                <w:b/>
                <w:bCs/>
                <w:color w:val="auto"/>
                <w:kern w:val="44"/>
                <w:sz w:val="24"/>
                <w:szCs w:val="24"/>
                <w:highlight w:val="none"/>
              </w:rPr>
            </w:pPr>
          </w:p>
        </w:tc>
        <w:tc>
          <w:tcPr>
            <w:tcW w:w="1418" w:type="dxa"/>
            <w:tcBorders>
              <w:top w:val="single" w:color="auto" w:sz="4" w:space="0"/>
              <w:left w:val="single" w:color="auto" w:sz="4" w:space="0"/>
              <w:bottom w:val="single" w:color="auto" w:sz="4" w:space="0"/>
              <w:right w:val="single" w:color="auto" w:sz="4" w:space="0"/>
            </w:tcBorders>
            <w:noWrap w:val="0"/>
            <w:vAlign w:val="top"/>
          </w:tcPr>
          <w:p>
            <w:pPr>
              <w:snapToGrid w:val="0"/>
              <w:spacing w:before="159" w:beforeLines="50" w:after="50" w:line="360" w:lineRule="auto"/>
              <w:rPr>
                <w:rFonts w:ascii="宋体"/>
                <w:b/>
                <w:bCs/>
                <w:color w:val="auto"/>
                <w:kern w:val="44"/>
                <w:sz w:val="24"/>
                <w:szCs w:val="24"/>
                <w:highlight w:val="none"/>
              </w:rPr>
            </w:pPr>
          </w:p>
        </w:tc>
        <w:tc>
          <w:tcPr>
            <w:tcW w:w="2126" w:type="dxa"/>
            <w:tcBorders>
              <w:top w:val="single" w:color="auto" w:sz="4" w:space="0"/>
              <w:left w:val="single" w:color="auto" w:sz="4" w:space="0"/>
              <w:bottom w:val="single" w:color="auto" w:sz="4" w:space="0"/>
            </w:tcBorders>
            <w:noWrap w:val="0"/>
            <w:vAlign w:val="top"/>
          </w:tcPr>
          <w:p>
            <w:pPr>
              <w:snapToGrid w:val="0"/>
              <w:spacing w:before="159" w:beforeLines="50" w:after="50" w:line="360" w:lineRule="auto"/>
              <w:rPr>
                <w:rFonts w:ascii="宋体"/>
                <w:b/>
                <w:bCs/>
                <w:color w:val="auto"/>
                <w:kern w:val="44"/>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bottom w:val="single" w:color="auto" w:sz="4" w:space="0"/>
              <w:right w:val="single" w:color="auto" w:sz="4" w:space="0"/>
            </w:tcBorders>
            <w:noWrap w:val="0"/>
            <w:vAlign w:val="top"/>
          </w:tcPr>
          <w:p>
            <w:pPr>
              <w:snapToGrid w:val="0"/>
              <w:spacing w:before="159" w:beforeLines="50" w:after="50" w:line="360" w:lineRule="auto"/>
              <w:rPr>
                <w:rFonts w:ascii="宋体"/>
                <w:color w:val="auto"/>
                <w:sz w:val="24"/>
                <w:szCs w:val="24"/>
                <w:highlight w:val="none"/>
              </w:rPr>
            </w:pPr>
          </w:p>
        </w:tc>
        <w:tc>
          <w:tcPr>
            <w:tcW w:w="543" w:type="dxa"/>
            <w:tcBorders>
              <w:top w:val="single" w:color="auto" w:sz="4" w:space="0"/>
              <w:left w:val="single" w:color="auto" w:sz="4" w:space="0"/>
              <w:bottom w:val="single" w:color="auto" w:sz="4" w:space="0"/>
              <w:right w:val="single" w:color="auto" w:sz="4" w:space="0"/>
            </w:tcBorders>
            <w:noWrap w:val="0"/>
            <w:vAlign w:val="top"/>
          </w:tcPr>
          <w:p>
            <w:pPr>
              <w:snapToGrid w:val="0"/>
              <w:spacing w:before="159" w:beforeLines="50" w:after="50" w:line="360" w:lineRule="auto"/>
              <w:rPr>
                <w:rFonts w:ascii="宋体"/>
                <w:b/>
                <w:bCs/>
                <w:color w:val="auto"/>
                <w:kern w:val="44"/>
                <w:sz w:val="24"/>
                <w:szCs w:val="24"/>
                <w:highlight w:val="none"/>
              </w:rPr>
            </w:pPr>
          </w:p>
        </w:tc>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59" w:beforeLines="50" w:after="50" w:line="360" w:lineRule="auto"/>
              <w:rPr>
                <w:rFonts w:ascii="宋体"/>
                <w:b/>
                <w:bCs/>
                <w:color w:val="auto"/>
                <w:kern w:val="44"/>
                <w:sz w:val="24"/>
                <w:szCs w:val="24"/>
                <w:highlight w:val="none"/>
              </w:rPr>
            </w:pPr>
          </w:p>
        </w:tc>
        <w:tc>
          <w:tcPr>
            <w:tcW w:w="795" w:type="dxa"/>
            <w:tcBorders>
              <w:top w:val="single" w:color="auto" w:sz="4" w:space="0"/>
              <w:left w:val="single" w:color="auto" w:sz="4" w:space="0"/>
              <w:bottom w:val="single" w:color="auto" w:sz="4" w:space="0"/>
              <w:right w:val="single" w:color="auto" w:sz="4" w:space="0"/>
            </w:tcBorders>
            <w:noWrap w:val="0"/>
            <w:vAlign w:val="top"/>
          </w:tcPr>
          <w:p>
            <w:pPr>
              <w:pStyle w:val="13"/>
              <w:snapToGrid w:val="0"/>
              <w:spacing w:before="159" w:beforeLines="50" w:after="50" w:line="360" w:lineRule="auto"/>
              <w:ind w:left="5250"/>
              <w:rPr>
                <w:rFonts w:ascii="宋体" w:hAnsi="宋体" w:eastAsia="宋体" w:cs="Times New Roman"/>
                <w:b/>
                <w:bCs/>
                <w:color w:val="auto"/>
                <w:kern w:val="44"/>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top"/>
          </w:tcPr>
          <w:p>
            <w:pPr>
              <w:pStyle w:val="13"/>
              <w:snapToGrid w:val="0"/>
              <w:spacing w:before="159" w:beforeLines="50" w:after="50" w:line="360" w:lineRule="auto"/>
              <w:ind w:left="5250"/>
              <w:rPr>
                <w:rFonts w:ascii="宋体" w:hAnsi="宋体" w:eastAsia="宋体" w:cs="Times New Roman"/>
                <w:b/>
                <w:bCs/>
                <w:color w:val="auto"/>
                <w:kern w:val="44"/>
                <w:sz w:val="24"/>
                <w:szCs w:val="24"/>
                <w:highlight w:val="none"/>
              </w:rPr>
            </w:pPr>
          </w:p>
        </w:tc>
        <w:tc>
          <w:tcPr>
            <w:tcW w:w="1275" w:type="dxa"/>
            <w:tcBorders>
              <w:top w:val="single" w:color="auto" w:sz="4" w:space="0"/>
              <w:left w:val="single" w:color="auto" w:sz="4" w:space="0"/>
              <w:bottom w:val="single" w:color="auto" w:sz="4" w:space="0"/>
              <w:right w:val="single" w:color="auto" w:sz="4" w:space="0"/>
            </w:tcBorders>
            <w:noWrap w:val="0"/>
            <w:vAlign w:val="top"/>
          </w:tcPr>
          <w:p>
            <w:pPr>
              <w:pStyle w:val="13"/>
              <w:spacing w:line="360" w:lineRule="auto"/>
              <w:ind w:left="5250"/>
              <w:rPr>
                <w:rFonts w:ascii="宋体" w:hAnsi="宋体" w:eastAsia="宋体" w:cs="Times New Roman"/>
                <w:color w:val="auto"/>
                <w:sz w:val="24"/>
                <w:szCs w:val="24"/>
                <w:highlight w:val="none"/>
              </w:rPr>
            </w:pPr>
          </w:p>
        </w:tc>
        <w:tc>
          <w:tcPr>
            <w:tcW w:w="1418" w:type="dxa"/>
            <w:tcBorders>
              <w:top w:val="single" w:color="auto" w:sz="4" w:space="0"/>
              <w:left w:val="single" w:color="auto" w:sz="4" w:space="0"/>
              <w:bottom w:val="single" w:color="auto" w:sz="4" w:space="0"/>
              <w:right w:val="single" w:color="auto" w:sz="4" w:space="0"/>
            </w:tcBorders>
            <w:noWrap w:val="0"/>
            <w:vAlign w:val="top"/>
          </w:tcPr>
          <w:p>
            <w:pPr>
              <w:snapToGrid w:val="0"/>
              <w:spacing w:before="159" w:beforeLines="50" w:after="50" w:line="360" w:lineRule="auto"/>
              <w:rPr>
                <w:rFonts w:ascii="宋体"/>
                <w:color w:val="auto"/>
                <w:sz w:val="24"/>
                <w:szCs w:val="24"/>
                <w:highlight w:val="none"/>
              </w:rPr>
            </w:pPr>
          </w:p>
        </w:tc>
        <w:tc>
          <w:tcPr>
            <w:tcW w:w="2126" w:type="dxa"/>
            <w:tcBorders>
              <w:top w:val="single" w:color="auto" w:sz="4" w:space="0"/>
              <w:left w:val="single" w:color="auto" w:sz="4" w:space="0"/>
              <w:bottom w:val="single" w:color="auto" w:sz="4" w:space="0"/>
            </w:tcBorders>
            <w:noWrap w:val="0"/>
            <w:vAlign w:val="top"/>
          </w:tcPr>
          <w:p>
            <w:pPr>
              <w:snapToGrid w:val="0"/>
              <w:spacing w:before="159" w:beforeLines="50" w:after="50" w:line="360" w:lineRule="auto"/>
              <w:rPr>
                <w:rFonts w:ascii="宋体"/>
                <w:b/>
                <w:bCs/>
                <w:color w:val="auto"/>
                <w:kern w:val="44"/>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bottom w:val="single" w:color="auto" w:sz="4" w:space="0"/>
              <w:right w:val="single" w:color="auto" w:sz="4" w:space="0"/>
            </w:tcBorders>
            <w:noWrap w:val="0"/>
            <w:vAlign w:val="top"/>
          </w:tcPr>
          <w:p>
            <w:pPr>
              <w:snapToGrid w:val="0"/>
              <w:spacing w:before="159" w:beforeLines="50" w:after="50" w:line="360" w:lineRule="auto"/>
              <w:rPr>
                <w:rFonts w:ascii="宋体"/>
                <w:color w:val="auto"/>
                <w:sz w:val="24"/>
                <w:szCs w:val="24"/>
                <w:highlight w:val="none"/>
              </w:rPr>
            </w:pPr>
          </w:p>
        </w:tc>
        <w:tc>
          <w:tcPr>
            <w:tcW w:w="543" w:type="dxa"/>
            <w:tcBorders>
              <w:top w:val="single" w:color="auto" w:sz="4" w:space="0"/>
              <w:left w:val="single" w:color="auto" w:sz="4" w:space="0"/>
              <w:bottom w:val="single" w:color="auto" w:sz="4" w:space="0"/>
              <w:right w:val="single" w:color="auto" w:sz="4" w:space="0"/>
            </w:tcBorders>
            <w:noWrap w:val="0"/>
            <w:vAlign w:val="top"/>
          </w:tcPr>
          <w:p>
            <w:pPr>
              <w:snapToGrid w:val="0"/>
              <w:spacing w:before="159" w:beforeLines="50" w:after="50" w:line="360" w:lineRule="auto"/>
              <w:rPr>
                <w:rFonts w:ascii="宋体"/>
                <w:b/>
                <w:bCs/>
                <w:color w:val="auto"/>
                <w:kern w:val="44"/>
                <w:sz w:val="24"/>
                <w:szCs w:val="24"/>
                <w:highlight w:val="none"/>
              </w:rPr>
            </w:pPr>
          </w:p>
        </w:tc>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59" w:beforeLines="50" w:after="50" w:line="360" w:lineRule="auto"/>
              <w:rPr>
                <w:rFonts w:ascii="宋体"/>
                <w:b/>
                <w:bCs/>
                <w:color w:val="auto"/>
                <w:kern w:val="44"/>
                <w:sz w:val="24"/>
                <w:szCs w:val="24"/>
                <w:highlight w:val="none"/>
              </w:rPr>
            </w:pPr>
          </w:p>
        </w:tc>
        <w:tc>
          <w:tcPr>
            <w:tcW w:w="795" w:type="dxa"/>
            <w:tcBorders>
              <w:top w:val="single" w:color="auto" w:sz="4" w:space="0"/>
              <w:left w:val="single" w:color="auto" w:sz="4" w:space="0"/>
              <w:bottom w:val="single" w:color="auto" w:sz="4" w:space="0"/>
              <w:right w:val="single" w:color="auto" w:sz="4" w:space="0"/>
            </w:tcBorders>
            <w:noWrap w:val="0"/>
            <w:vAlign w:val="top"/>
          </w:tcPr>
          <w:p>
            <w:pPr>
              <w:snapToGrid w:val="0"/>
              <w:spacing w:before="159" w:beforeLines="50" w:after="50" w:line="360" w:lineRule="auto"/>
              <w:rPr>
                <w:rFonts w:ascii="宋体"/>
                <w:b/>
                <w:bCs/>
                <w:color w:val="auto"/>
                <w:kern w:val="44"/>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top"/>
          </w:tcPr>
          <w:p>
            <w:pPr>
              <w:snapToGrid w:val="0"/>
              <w:spacing w:before="159" w:beforeLines="50" w:after="50" w:line="360" w:lineRule="auto"/>
              <w:rPr>
                <w:rFonts w:ascii="宋体"/>
                <w:b/>
                <w:bCs/>
                <w:color w:val="auto"/>
                <w:kern w:val="44"/>
                <w:sz w:val="24"/>
                <w:szCs w:val="24"/>
                <w:highlight w:val="none"/>
              </w:rPr>
            </w:pPr>
          </w:p>
        </w:tc>
        <w:tc>
          <w:tcPr>
            <w:tcW w:w="1275" w:type="dxa"/>
            <w:tcBorders>
              <w:top w:val="single" w:color="auto" w:sz="4" w:space="0"/>
              <w:left w:val="single" w:color="auto" w:sz="4" w:space="0"/>
              <w:bottom w:val="single" w:color="auto" w:sz="4" w:space="0"/>
              <w:right w:val="single" w:color="auto" w:sz="4" w:space="0"/>
            </w:tcBorders>
            <w:noWrap w:val="0"/>
            <w:vAlign w:val="top"/>
          </w:tcPr>
          <w:p>
            <w:pPr>
              <w:snapToGrid w:val="0"/>
              <w:spacing w:before="159" w:beforeLines="50" w:after="50" w:line="360" w:lineRule="auto"/>
              <w:rPr>
                <w:rFonts w:ascii="宋体"/>
                <w:b/>
                <w:bCs/>
                <w:color w:val="auto"/>
                <w:kern w:val="44"/>
                <w:sz w:val="24"/>
                <w:szCs w:val="24"/>
                <w:highlight w:val="none"/>
              </w:rPr>
            </w:pPr>
          </w:p>
        </w:tc>
        <w:tc>
          <w:tcPr>
            <w:tcW w:w="1418" w:type="dxa"/>
            <w:tcBorders>
              <w:top w:val="single" w:color="auto" w:sz="4" w:space="0"/>
              <w:left w:val="single" w:color="auto" w:sz="4" w:space="0"/>
              <w:bottom w:val="single" w:color="auto" w:sz="4" w:space="0"/>
              <w:right w:val="single" w:color="auto" w:sz="4" w:space="0"/>
            </w:tcBorders>
            <w:noWrap w:val="0"/>
            <w:vAlign w:val="top"/>
          </w:tcPr>
          <w:p>
            <w:pPr>
              <w:snapToGrid w:val="0"/>
              <w:spacing w:before="159" w:beforeLines="50" w:after="50" w:line="360" w:lineRule="auto"/>
              <w:rPr>
                <w:rFonts w:ascii="宋体"/>
                <w:b/>
                <w:bCs/>
                <w:color w:val="auto"/>
                <w:kern w:val="44"/>
                <w:sz w:val="24"/>
                <w:szCs w:val="24"/>
                <w:highlight w:val="none"/>
              </w:rPr>
            </w:pPr>
          </w:p>
        </w:tc>
        <w:tc>
          <w:tcPr>
            <w:tcW w:w="2126" w:type="dxa"/>
            <w:tcBorders>
              <w:top w:val="single" w:color="auto" w:sz="4" w:space="0"/>
              <w:left w:val="single" w:color="auto" w:sz="4" w:space="0"/>
              <w:bottom w:val="single" w:color="auto" w:sz="4" w:space="0"/>
            </w:tcBorders>
            <w:noWrap w:val="0"/>
            <w:vAlign w:val="top"/>
          </w:tcPr>
          <w:p>
            <w:pPr>
              <w:snapToGrid w:val="0"/>
              <w:spacing w:before="159" w:beforeLines="50" w:after="50" w:line="360" w:lineRule="auto"/>
              <w:rPr>
                <w:rFonts w:ascii="宋体"/>
                <w:b/>
                <w:bCs/>
                <w:color w:val="auto"/>
                <w:kern w:val="44"/>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bottom w:val="single" w:color="auto" w:sz="4" w:space="0"/>
              <w:right w:val="single" w:color="auto" w:sz="4" w:space="0"/>
            </w:tcBorders>
            <w:noWrap w:val="0"/>
            <w:vAlign w:val="top"/>
          </w:tcPr>
          <w:p>
            <w:pPr>
              <w:snapToGrid w:val="0"/>
              <w:spacing w:before="159" w:beforeLines="50" w:after="50" w:line="360" w:lineRule="auto"/>
              <w:rPr>
                <w:rFonts w:ascii="宋体"/>
                <w:color w:val="auto"/>
                <w:sz w:val="24"/>
                <w:szCs w:val="24"/>
                <w:highlight w:val="none"/>
              </w:rPr>
            </w:pPr>
          </w:p>
        </w:tc>
        <w:tc>
          <w:tcPr>
            <w:tcW w:w="543" w:type="dxa"/>
            <w:tcBorders>
              <w:top w:val="single" w:color="auto" w:sz="4" w:space="0"/>
              <w:left w:val="single" w:color="auto" w:sz="4" w:space="0"/>
              <w:bottom w:val="single" w:color="auto" w:sz="4" w:space="0"/>
              <w:right w:val="single" w:color="auto" w:sz="4" w:space="0"/>
            </w:tcBorders>
            <w:noWrap w:val="0"/>
            <w:vAlign w:val="top"/>
          </w:tcPr>
          <w:p>
            <w:pPr>
              <w:snapToGrid w:val="0"/>
              <w:spacing w:before="159" w:beforeLines="50" w:after="50" w:line="360" w:lineRule="auto"/>
              <w:rPr>
                <w:rFonts w:ascii="宋体"/>
                <w:b/>
                <w:bCs/>
                <w:color w:val="auto"/>
                <w:kern w:val="44"/>
                <w:sz w:val="24"/>
                <w:szCs w:val="24"/>
                <w:highlight w:val="none"/>
              </w:rPr>
            </w:pPr>
          </w:p>
        </w:tc>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59" w:beforeLines="50" w:after="50" w:line="360" w:lineRule="auto"/>
              <w:rPr>
                <w:rFonts w:ascii="宋体"/>
                <w:b/>
                <w:bCs/>
                <w:color w:val="auto"/>
                <w:kern w:val="44"/>
                <w:sz w:val="24"/>
                <w:szCs w:val="24"/>
                <w:highlight w:val="none"/>
              </w:rPr>
            </w:pPr>
          </w:p>
        </w:tc>
        <w:tc>
          <w:tcPr>
            <w:tcW w:w="795" w:type="dxa"/>
            <w:tcBorders>
              <w:top w:val="single" w:color="auto" w:sz="4" w:space="0"/>
              <w:left w:val="single" w:color="auto" w:sz="4" w:space="0"/>
              <w:bottom w:val="single" w:color="auto" w:sz="4" w:space="0"/>
              <w:right w:val="single" w:color="auto" w:sz="4" w:space="0"/>
            </w:tcBorders>
            <w:noWrap w:val="0"/>
            <w:vAlign w:val="top"/>
          </w:tcPr>
          <w:p>
            <w:pPr>
              <w:snapToGrid w:val="0"/>
              <w:spacing w:before="159" w:beforeLines="50" w:after="50" w:line="360" w:lineRule="auto"/>
              <w:rPr>
                <w:rFonts w:ascii="宋体"/>
                <w:b/>
                <w:bCs/>
                <w:color w:val="auto"/>
                <w:kern w:val="44"/>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top"/>
          </w:tcPr>
          <w:p>
            <w:pPr>
              <w:snapToGrid w:val="0"/>
              <w:spacing w:before="159" w:beforeLines="50" w:after="50" w:line="360" w:lineRule="auto"/>
              <w:rPr>
                <w:rFonts w:ascii="宋体"/>
                <w:b/>
                <w:bCs/>
                <w:color w:val="auto"/>
                <w:kern w:val="44"/>
                <w:sz w:val="24"/>
                <w:szCs w:val="24"/>
                <w:highlight w:val="none"/>
              </w:rPr>
            </w:pPr>
          </w:p>
        </w:tc>
        <w:tc>
          <w:tcPr>
            <w:tcW w:w="1275" w:type="dxa"/>
            <w:tcBorders>
              <w:top w:val="single" w:color="auto" w:sz="4" w:space="0"/>
              <w:left w:val="single" w:color="auto" w:sz="4" w:space="0"/>
              <w:bottom w:val="single" w:color="auto" w:sz="4" w:space="0"/>
              <w:right w:val="single" w:color="auto" w:sz="4" w:space="0"/>
            </w:tcBorders>
            <w:noWrap w:val="0"/>
            <w:vAlign w:val="top"/>
          </w:tcPr>
          <w:p>
            <w:pPr>
              <w:snapToGrid w:val="0"/>
              <w:spacing w:before="159" w:beforeLines="50" w:after="50" w:line="360" w:lineRule="auto"/>
              <w:rPr>
                <w:rFonts w:ascii="宋体"/>
                <w:b/>
                <w:bCs/>
                <w:color w:val="auto"/>
                <w:kern w:val="44"/>
                <w:sz w:val="24"/>
                <w:szCs w:val="24"/>
                <w:highlight w:val="none"/>
              </w:rPr>
            </w:pPr>
          </w:p>
        </w:tc>
        <w:tc>
          <w:tcPr>
            <w:tcW w:w="1418" w:type="dxa"/>
            <w:tcBorders>
              <w:top w:val="single" w:color="auto" w:sz="4" w:space="0"/>
              <w:left w:val="single" w:color="auto" w:sz="4" w:space="0"/>
              <w:bottom w:val="single" w:color="auto" w:sz="4" w:space="0"/>
              <w:right w:val="single" w:color="auto" w:sz="4" w:space="0"/>
            </w:tcBorders>
            <w:noWrap w:val="0"/>
            <w:vAlign w:val="top"/>
          </w:tcPr>
          <w:p>
            <w:pPr>
              <w:snapToGrid w:val="0"/>
              <w:spacing w:before="159" w:beforeLines="50" w:after="50" w:line="360" w:lineRule="auto"/>
              <w:rPr>
                <w:rFonts w:ascii="宋体"/>
                <w:b/>
                <w:bCs/>
                <w:color w:val="auto"/>
                <w:kern w:val="44"/>
                <w:sz w:val="24"/>
                <w:szCs w:val="24"/>
                <w:highlight w:val="none"/>
              </w:rPr>
            </w:pPr>
          </w:p>
        </w:tc>
        <w:tc>
          <w:tcPr>
            <w:tcW w:w="2126" w:type="dxa"/>
            <w:tcBorders>
              <w:top w:val="single" w:color="auto" w:sz="4" w:space="0"/>
              <w:left w:val="single" w:color="auto" w:sz="4" w:space="0"/>
              <w:bottom w:val="single" w:color="auto" w:sz="4" w:space="0"/>
            </w:tcBorders>
            <w:noWrap w:val="0"/>
            <w:vAlign w:val="top"/>
          </w:tcPr>
          <w:p>
            <w:pPr>
              <w:snapToGrid w:val="0"/>
              <w:spacing w:before="159" w:beforeLines="50" w:after="50" w:line="360" w:lineRule="auto"/>
              <w:rPr>
                <w:rFonts w:ascii="宋体"/>
                <w:b/>
                <w:bCs/>
                <w:color w:val="auto"/>
                <w:kern w:val="44"/>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bottom w:val="single" w:color="auto" w:sz="4" w:space="0"/>
              <w:right w:val="single" w:color="auto" w:sz="4" w:space="0"/>
            </w:tcBorders>
            <w:noWrap w:val="0"/>
            <w:vAlign w:val="top"/>
          </w:tcPr>
          <w:p>
            <w:pPr>
              <w:snapToGrid w:val="0"/>
              <w:spacing w:before="159" w:beforeLines="50" w:after="50" w:line="360" w:lineRule="auto"/>
              <w:rPr>
                <w:rFonts w:ascii="宋体"/>
                <w:color w:val="auto"/>
                <w:sz w:val="24"/>
                <w:szCs w:val="24"/>
                <w:highlight w:val="none"/>
              </w:rPr>
            </w:pPr>
          </w:p>
        </w:tc>
        <w:tc>
          <w:tcPr>
            <w:tcW w:w="543" w:type="dxa"/>
            <w:tcBorders>
              <w:top w:val="single" w:color="auto" w:sz="4" w:space="0"/>
              <w:left w:val="single" w:color="auto" w:sz="4" w:space="0"/>
              <w:bottom w:val="single" w:color="auto" w:sz="4" w:space="0"/>
              <w:right w:val="single" w:color="auto" w:sz="4" w:space="0"/>
            </w:tcBorders>
            <w:noWrap w:val="0"/>
            <w:vAlign w:val="top"/>
          </w:tcPr>
          <w:p>
            <w:pPr>
              <w:snapToGrid w:val="0"/>
              <w:spacing w:before="159" w:beforeLines="50" w:after="50" w:line="360" w:lineRule="auto"/>
              <w:rPr>
                <w:rFonts w:ascii="宋体"/>
                <w:b/>
                <w:bCs/>
                <w:color w:val="auto"/>
                <w:kern w:val="44"/>
                <w:sz w:val="24"/>
                <w:szCs w:val="24"/>
                <w:highlight w:val="none"/>
              </w:rPr>
            </w:pPr>
          </w:p>
        </w:tc>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59" w:beforeLines="50" w:after="50" w:line="360" w:lineRule="auto"/>
              <w:rPr>
                <w:rFonts w:ascii="宋体"/>
                <w:b/>
                <w:bCs/>
                <w:color w:val="auto"/>
                <w:kern w:val="44"/>
                <w:sz w:val="24"/>
                <w:szCs w:val="24"/>
                <w:highlight w:val="none"/>
              </w:rPr>
            </w:pPr>
          </w:p>
        </w:tc>
        <w:tc>
          <w:tcPr>
            <w:tcW w:w="795" w:type="dxa"/>
            <w:tcBorders>
              <w:top w:val="single" w:color="auto" w:sz="4" w:space="0"/>
              <w:left w:val="single" w:color="auto" w:sz="4" w:space="0"/>
              <w:bottom w:val="single" w:color="auto" w:sz="4" w:space="0"/>
              <w:right w:val="single" w:color="auto" w:sz="4" w:space="0"/>
            </w:tcBorders>
            <w:noWrap w:val="0"/>
            <w:vAlign w:val="top"/>
          </w:tcPr>
          <w:p>
            <w:pPr>
              <w:snapToGrid w:val="0"/>
              <w:spacing w:before="159" w:beforeLines="50" w:after="50" w:line="360" w:lineRule="auto"/>
              <w:rPr>
                <w:rFonts w:ascii="宋体"/>
                <w:b/>
                <w:bCs/>
                <w:color w:val="auto"/>
                <w:kern w:val="44"/>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top"/>
          </w:tcPr>
          <w:p>
            <w:pPr>
              <w:snapToGrid w:val="0"/>
              <w:spacing w:before="159" w:beforeLines="50" w:after="50" w:line="360" w:lineRule="auto"/>
              <w:rPr>
                <w:rFonts w:ascii="宋体"/>
                <w:b/>
                <w:bCs/>
                <w:color w:val="auto"/>
                <w:kern w:val="44"/>
                <w:sz w:val="24"/>
                <w:szCs w:val="24"/>
                <w:highlight w:val="none"/>
              </w:rPr>
            </w:pPr>
          </w:p>
        </w:tc>
        <w:tc>
          <w:tcPr>
            <w:tcW w:w="1275" w:type="dxa"/>
            <w:tcBorders>
              <w:top w:val="single" w:color="auto" w:sz="4" w:space="0"/>
              <w:left w:val="single" w:color="auto" w:sz="4" w:space="0"/>
              <w:bottom w:val="single" w:color="auto" w:sz="4" w:space="0"/>
              <w:right w:val="single" w:color="auto" w:sz="4" w:space="0"/>
            </w:tcBorders>
            <w:noWrap w:val="0"/>
            <w:vAlign w:val="top"/>
          </w:tcPr>
          <w:p>
            <w:pPr>
              <w:snapToGrid w:val="0"/>
              <w:spacing w:before="159" w:beforeLines="50" w:after="50" w:line="360" w:lineRule="auto"/>
              <w:rPr>
                <w:rFonts w:ascii="宋体"/>
                <w:b/>
                <w:bCs/>
                <w:color w:val="auto"/>
                <w:kern w:val="44"/>
                <w:sz w:val="24"/>
                <w:szCs w:val="24"/>
                <w:highlight w:val="none"/>
              </w:rPr>
            </w:pPr>
          </w:p>
        </w:tc>
        <w:tc>
          <w:tcPr>
            <w:tcW w:w="1418" w:type="dxa"/>
            <w:tcBorders>
              <w:top w:val="single" w:color="auto" w:sz="4" w:space="0"/>
              <w:left w:val="single" w:color="auto" w:sz="4" w:space="0"/>
              <w:bottom w:val="single" w:color="auto" w:sz="4" w:space="0"/>
              <w:right w:val="single" w:color="auto" w:sz="4" w:space="0"/>
            </w:tcBorders>
            <w:noWrap w:val="0"/>
            <w:vAlign w:val="top"/>
          </w:tcPr>
          <w:p>
            <w:pPr>
              <w:snapToGrid w:val="0"/>
              <w:spacing w:before="159" w:beforeLines="50" w:after="50" w:line="360" w:lineRule="auto"/>
              <w:rPr>
                <w:rFonts w:ascii="宋体"/>
                <w:b/>
                <w:bCs/>
                <w:color w:val="auto"/>
                <w:kern w:val="44"/>
                <w:sz w:val="24"/>
                <w:szCs w:val="24"/>
                <w:highlight w:val="none"/>
              </w:rPr>
            </w:pPr>
          </w:p>
        </w:tc>
        <w:tc>
          <w:tcPr>
            <w:tcW w:w="2126" w:type="dxa"/>
            <w:tcBorders>
              <w:top w:val="single" w:color="auto" w:sz="4" w:space="0"/>
              <w:left w:val="single" w:color="auto" w:sz="4" w:space="0"/>
              <w:bottom w:val="single" w:color="auto" w:sz="4" w:space="0"/>
            </w:tcBorders>
            <w:noWrap w:val="0"/>
            <w:vAlign w:val="top"/>
          </w:tcPr>
          <w:p>
            <w:pPr>
              <w:snapToGrid w:val="0"/>
              <w:spacing w:before="159" w:beforeLines="50" w:after="50" w:line="360" w:lineRule="auto"/>
              <w:rPr>
                <w:rFonts w:ascii="宋体"/>
                <w:b/>
                <w:bCs/>
                <w:color w:val="auto"/>
                <w:kern w:val="44"/>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bottom w:val="single" w:color="auto" w:sz="4" w:space="0"/>
              <w:right w:val="single" w:color="auto" w:sz="4" w:space="0"/>
            </w:tcBorders>
            <w:noWrap w:val="0"/>
            <w:vAlign w:val="top"/>
          </w:tcPr>
          <w:p>
            <w:pPr>
              <w:snapToGrid w:val="0"/>
              <w:spacing w:before="159" w:beforeLines="50" w:after="50" w:line="360" w:lineRule="auto"/>
              <w:rPr>
                <w:rFonts w:ascii="宋体"/>
                <w:color w:val="auto"/>
                <w:sz w:val="24"/>
                <w:szCs w:val="24"/>
                <w:highlight w:val="none"/>
              </w:rPr>
            </w:pPr>
          </w:p>
        </w:tc>
        <w:tc>
          <w:tcPr>
            <w:tcW w:w="543" w:type="dxa"/>
            <w:tcBorders>
              <w:top w:val="single" w:color="auto" w:sz="4" w:space="0"/>
              <w:left w:val="single" w:color="auto" w:sz="4" w:space="0"/>
              <w:bottom w:val="single" w:color="auto" w:sz="4" w:space="0"/>
              <w:right w:val="single" w:color="auto" w:sz="4" w:space="0"/>
            </w:tcBorders>
            <w:noWrap w:val="0"/>
            <w:vAlign w:val="top"/>
          </w:tcPr>
          <w:p>
            <w:pPr>
              <w:snapToGrid w:val="0"/>
              <w:spacing w:before="159" w:beforeLines="50" w:after="50" w:line="360" w:lineRule="auto"/>
              <w:rPr>
                <w:rFonts w:ascii="宋体"/>
                <w:b/>
                <w:bCs/>
                <w:color w:val="auto"/>
                <w:kern w:val="44"/>
                <w:sz w:val="24"/>
                <w:szCs w:val="24"/>
                <w:highlight w:val="none"/>
              </w:rPr>
            </w:pPr>
          </w:p>
        </w:tc>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59" w:beforeLines="50" w:after="50" w:line="360" w:lineRule="auto"/>
              <w:rPr>
                <w:rFonts w:ascii="宋体"/>
                <w:b/>
                <w:bCs/>
                <w:color w:val="auto"/>
                <w:kern w:val="44"/>
                <w:sz w:val="24"/>
                <w:szCs w:val="24"/>
                <w:highlight w:val="none"/>
              </w:rPr>
            </w:pPr>
          </w:p>
        </w:tc>
        <w:tc>
          <w:tcPr>
            <w:tcW w:w="795" w:type="dxa"/>
            <w:tcBorders>
              <w:top w:val="single" w:color="auto" w:sz="4" w:space="0"/>
              <w:left w:val="single" w:color="auto" w:sz="4" w:space="0"/>
              <w:bottom w:val="single" w:color="auto" w:sz="4" w:space="0"/>
              <w:right w:val="single" w:color="auto" w:sz="4" w:space="0"/>
            </w:tcBorders>
            <w:noWrap w:val="0"/>
            <w:vAlign w:val="top"/>
          </w:tcPr>
          <w:p>
            <w:pPr>
              <w:snapToGrid w:val="0"/>
              <w:spacing w:before="159" w:beforeLines="50" w:after="50" w:line="360" w:lineRule="auto"/>
              <w:rPr>
                <w:rFonts w:ascii="宋体"/>
                <w:b/>
                <w:bCs/>
                <w:color w:val="auto"/>
                <w:kern w:val="44"/>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top"/>
          </w:tcPr>
          <w:p>
            <w:pPr>
              <w:snapToGrid w:val="0"/>
              <w:spacing w:before="159" w:beforeLines="50" w:after="50" w:line="360" w:lineRule="auto"/>
              <w:rPr>
                <w:rFonts w:ascii="宋体"/>
                <w:b/>
                <w:bCs/>
                <w:color w:val="auto"/>
                <w:kern w:val="44"/>
                <w:sz w:val="24"/>
                <w:szCs w:val="24"/>
                <w:highlight w:val="none"/>
              </w:rPr>
            </w:pPr>
          </w:p>
        </w:tc>
        <w:tc>
          <w:tcPr>
            <w:tcW w:w="1275" w:type="dxa"/>
            <w:tcBorders>
              <w:top w:val="single" w:color="auto" w:sz="4" w:space="0"/>
              <w:left w:val="single" w:color="auto" w:sz="4" w:space="0"/>
              <w:bottom w:val="single" w:color="auto" w:sz="4" w:space="0"/>
              <w:right w:val="single" w:color="auto" w:sz="4" w:space="0"/>
            </w:tcBorders>
            <w:noWrap w:val="0"/>
            <w:vAlign w:val="top"/>
          </w:tcPr>
          <w:p>
            <w:pPr>
              <w:snapToGrid w:val="0"/>
              <w:spacing w:before="159" w:beforeLines="50" w:after="50" w:line="360" w:lineRule="auto"/>
              <w:rPr>
                <w:rFonts w:ascii="宋体"/>
                <w:b/>
                <w:bCs/>
                <w:color w:val="auto"/>
                <w:kern w:val="44"/>
                <w:sz w:val="24"/>
                <w:szCs w:val="24"/>
                <w:highlight w:val="none"/>
              </w:rPr>
            </w:pPr>
          </w:p>
        </w:tc>
        <w:tc>
          <w:tcPr>
            <w:tcW w:w="1418" w:type="dxa"/>
            <w:tcBorders>
              <w:top w:val="single" w:color="auto" w:sz="4" w:space="0"/>
              <w:left w:val="single" w:color="auto" w:sz="4" w:space="0"/>
              <w:bottom w:val="single" w:color="auto" w:sz="4" w:space="0"/>
              <w:right w:val="single" w:color="auto" w:sz="4" w:space="0"/>
            </w:tcBorders>
            <w:noWrap w:val="0"/>
            <w:vAlign w:val="top"/>
          </w:tcPr>
          <w:p>
            <w:pPr>
              <w:snapToGrid w:val="0"/>
              <w:spacing w:before="159" w:beforeLines="50" w:after="50" w:line="360" w:lineRule="auto"/>
              <w:rPr>
                <w:rFonts w:ascii="宋体"/>
                <w:b/>
                <w:bCs/>
                <w:color w:val="auto"/>
                <w:kern w:val="44"/>
                <w:sz w:val="24"/>
                <w:szCs w:val="24"/>
                <w:highlight w:val="none"/>
              </w:rPr>
            </w:pPr>
          </w:p>
        </w:tc>
        <w:tc>
          <w:tcPr>
            <w:tcW w:w="2126" w:type="dxa"/>
            <w:tcBorders>
              <w:top w:val="single" w:color="auto" w:sz="4" w:space="0"/>
              <w:left w:val="single" w:color="auto" w:sz="4" w:space="0"/>
              <w:bottom w:val="single" w:color="auto" w:sz="4" w:space="0"/>
            </w:tcBorders>
            <w:noWrap w:val="0"/>
            <w:vAlign w:val="top"/>
          </w:tcPr>
          <w:p>
            <w:pPr>
              <w:snapToGrid w:val="0"/>
              <w:spacing w:before="159" w:beforeLines="50" w:after="50" w:line="360" w:lineRule="auto"/>
              <w:rPr>
                <w:rFonts w:ascii="宋体"/>
                <w:b/>
                <w:bCs/>
                <w:color w:val="auto"/>
                <w:kern w:val="44"/>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bottom w:val="single" w:color="auto" w:sz="4" w:space="0"/>
              <w:right w:val="single" w:color="auto" w:sz="4" w:space="0"/>
            </w:tcBorders>
            <w:noWrap w:val="0"/>
            <w:vAlign w:val="top"/>
          </w:tcPr>
          <w:p>
            <w:pPr>
              <w:snapToGrid w:val="0"/>
              <w:spacing w:before="159" w:beforeLines="50" w:after="50" w:line="360" w:lineRule="auto"/>
              <w:rPr>
                <w:rFonts w:ascii="宋体"/>
                <w:color w:val="auto"/>
                <w:sz w:val="24"/>
                <w:szCs w:val="24"/>
                <w:highlight w:val="none"/>
              </w:rPr>
            </w:pPr>
          </w:p>
        </w:tc>
        <w:tc>
          <w:tcPr>
            <w:tcW w:w="543" w:type="dxa"/>
            <w:tcBorders>
              <w:top w:val="single" w:color="auto" w:sz="4" w:space="0"/>
              <w:left w:val="single" w:color="auto" w:sz="4" w:space="0"/>
              <w:bottom w:val="single" w:color="auto" w:sz="4" w:space="0"/>
              <w:right w:val="single" w:color="auto" w:sz="4" w:space="0"/>
            </w:tcBorders>
            <w:noWrap w:val="0"/>
            <w:vAlign w:val="top"/>
          </w:tcPr>
          <w:p>
            <w:pPr>
              <w:snapToGrid w:val="0"/>
              <w:spacing w:before="159" w:beforeLines="50" w:after="50" w:line="360" w:lineRule="auto"/>
              <w:rPr>
                <w:rFonts w:ascii="宋体"/>
                <w:b/>
                <w:bCs/>
                <w:color w:val="auto"/>
                <w:kern w:val="44"/>
                <w:sz w:val="24"/>
                <w:szCs w:val="24"/>
                <w:highlight w:val="none"/>
              </w:rPr>
            </w:pPr>
          </w:p>
        </w:tc>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59" w:beforeLines="50" w:after="50" w:line="360" w:lineRule="auto"/>
              <w:rPr>
                <w:rFonts w:ascii="宋体"/>
                <w:b/>
                <w:bCs/>
                <w:color w:val="auto"/>
                <w:kern w:val="44"/>
                <w:sz w:val="24"/>
                <w:szCs w:val="24"/>
                <w:highlight w:val="none"/>
              </w:rPr>
            </w:pPr>
          </w:p>
        </w:tc>
        <w:tc>
          <w:tcPr>
            <w:tcW w:w="795" w:type="dxa"/>
            <w:tcBorders>
              <w:top w:val="single" w:color="auto" w:sz="4" w:space="0"/>
              <w:left w:val="single" w:color="auto" w:sz="4" w:space="0"/>
              <w:bottom w:val="single" w:color="auto" w:sz="4" w:space="0"/>
              <w:right w:val="single" w:color="auto" w:sz="4" w:space="0"/>
            </w:tcBorders>
            <w:noWrap w:val="0"/>
            <w:vAlign w:val="top"/>
          </w:tcPr>
          <w:p>
            <w:pPr>
              <w:snapToGrid w:val="0"/>
              <w:spacing w:before="159" w:beforeLines="50" w:after="50" w:line="360" w:lineRule="auto"/>
              <w:rPr>
                <w:rFonts w:ascii="宋体"/>
                <w:b/>
                <w:bCs/>
                <w:color w:val="auto"/>
                <w:kern w:val="44"/>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top"/>
          </w:tcPr>
          <w:p>
            <w:pPr>
              <w:snapToGrid w:val="0"/>
              <w:spacing w:before="159" w:beforeLines="50" w:after="50" w:line="360" w:lineRule="auto"/>
              <w:rPr>
                <w:rFonts w:ascii="宋体"/>
                <w:b/>
                <w:bCs/>
                <w:color w:val="auto"/>
                <w:kern w:val="44"/>
                <w:sz w:val="24"/>
                <w:szCs w:val="24"/>
                <w:highlight w:val="none"/>
              </w:rPr>
            </w:pPr>
          </w:p>
        </w:tc>
        <w:tc>
          <w:tcPr>
            <w:tcW w:w="1275" w:type="dxa"/>
            <w:tcBorders>
              <w:top w:val="single" w:color="auto" w:sz="4" w:space="0"/>
              <w:left w:val="single" w:color="auto" w:sz="4" w:space="0"/>
              <w:bottom w:val="single" w:color="auto" w:sz="4" w:space="0"/>
              <w:right w:val="single" w:color="auto" w:sz="4" w:space="0"/>
            </w:tcBorders>
            <w:noWrap w:val="0"/>
            <w:vAlign w:val="top"/>
          </w:tcPr>
          <w:p>
            <w:pPr>
              <w:snapToGrid w:val="0"/>
              <w:spacing w:before="159" w:beforeLines="50" w:after="50" w:line="360" w:lineRule="auto"/>
              <w:rPr>
                <w:rFonts w:ascii="宋体"/>
                <w:b/>
                <w:bCs/>
                <w:color w:val="auto"/>
                <w:kern w:val="44"/>
                <w:sz w:val="24"/>
                <w:szCs w:val="24"/>
                <w:highlight w:val="none"/>
              </w:rPr>
            </w:pPr>
          </w:p>
        </w:tc>
        <w:tc>
          <w:tcPr>
            <w:tcW w:w="1418" w:type="dxa"/>
            <w:tcBorders>
              <w:top w:val="single" w:color="auto" w:sz="4" w:space="0"/>
              <w:left w:val="single" w:color="auto" w:sz="4" w:space="0"/>
              <w:bottom w:val="single" w:color="auto" w:sz="4" w:space="0"/>
              <w:right w:val="single" w:color="auto" w:sz="4" w:space="0"/>
            </w:tcBorders>
            <w:noWrap w:val="0"/>
            <w:vAlign w:val="top"/>
          </w:tcPr>
          <w:p>
            <w:pPr>
              <w:snapToGrid w:val="0"/>
              <w:spacing w:before="159" w:beforeLines="50" w:after="50" w:line="360" w:lineRule="auto"/>
              <w:rPr>
                <w:rFonts w:ascii="宋体"/>
                <w:b/>
                <w:bCs/>
                <w:color w:val="auto"/>
                <w:kern w:val="44"/>
                <w:sz w:val="24"/>
                <w:szCs w:val="24"/>
                <w:highlight w:val="none"/>
              </w:rPr>
            </w:pPr>
          </w:p>
        </w:tc>
        <w:tc>
          <w:tcPr>
            <w:tcW w:w="2126" w:type="dxa"/>
            <w:tcBorders>
              <w:top w:val="single" w:color="auto" w:sz="4" w:space="0"/>
              <w:left w:val="single" w:color="auto" w:sz="4" w:space="0"/>
              <w:bottom w:val="single" w:color="auto" w:sz="4" w:space="0"/>
            </w:tcBorders>
            <w:noWrap w:val="0"/>
            <w:vAlign w:val="top"/>
          </w:tcPr>
          <w:p>
            <w:pPr>
              <w:snapToGrid w:val="0"/>
              <w:spacing w:before="159" w:beforeLines="50" w:after="50" w:line="360" w:lineRule="auto"/>
              <w:rPr>
                <w:rFonts w:ascii="宋体"/>
                <w:b/>
                <w:bCs/>
                <w:color w:val="auto"/>
                <w:kern w:val="44"/>
                <w:sz w:val="24"/>
                <w:szCs w:val="24"/>
                <w:highlight w:val="none"/>
              </w:rPr>
            </w:pPr>
          </w:p>
        </w:tc>
      </w:tr>
    </w:tbl>
    <w:p>
      <w:pPr>
        <w:spacing w:line="360" w:lineRule="auto"/>
        <w:jc w:val="left"/>
        <w:rPr>
          <w:rFonts w:ascii="宋体"/>
          <w:b/>
          <w:bCs/>
          <w:color w:val="auto"/>
          <w:sz w:val="24"/>
          <w:szCs w:val="24"/>
          <w:highlight w:val="none"/>
        </w:rPr>
      </w:pPr>
      <w:r>
        <w:rPr>
          <w:rFonts w:hint="eastAsia" w:ascii="宋体" w:hAnsi="宋体" w:cs="宋体"/>
          <w:b/>
          <w:bCs/>
          <w:color w:val="auto"/>
          <w:sz w:val="24"/>
          <w:szCs w:val="24"/>
          <w:highlight w:val="none"/>
        </w:rPr>
        <w:t>要求：</w:t>
      </w:r>
    </w:p>
    <w:p>
      <w:pPr>
        <w:spacing w:line="360" w:lineRule="auto"/>
        <w:ind w:firstLine="480" w:firstLineChars="200"/>
        <w:jc w:val="left"/>
        <w:rPr>
          <w:rFonts w:ascii="宋体"/>
          <w:color w:val="auto"/>
          <w:sz w:val="24"/>
          <w:szCs w:val="24"/>
          <w:highlight w:val="none"/>
        </w:rPr>
      </w:pPr>
      <w:r>
        <w:rPr>
          <w:rFonts w:ascii="宋体" w:hAnsi="宋体" w:cs="宋体"/>
          <w:color w:val="auto"/>
          <w:sz w:val="24"/>
          <w:szCs w:val="24"/>
          <w:highlight w:val="none"/>
        </w:rPr>
        <w:t>1.</w:t>
      </w:r>
      <w:r>
        <w:rPr>
          <w:rFonts w:hint="eastAsia" w:ascii="宋体" w:hAnsi="宋体" w:cs="宋体"/>
          <w:color w:val="auto"/>
          <w:sz w:val="24"/>
          <w:szCs w:val="24"/>
          <w:highlight w:val="none"/>
        </w:rPr>
        <w:t>在填写时，如本表格不适合投标单位的实际情况，可根据本表格式自行划表填写。</w:t>
      </w:r>
    </w:p>
    <w:p>
      <w:pPr>
        <w:spacing w:line="360" w:lineRule="auto"/>
        <w:ind w:firstLine="480" w:firstLineChars="200"/>
        <w:jc w:val="left"/>
        <w:rPr>
          <w:rFonts w:ascii="宋体"/>
          <w:color w:val="auto"/>
          <w:sz w:val="24"/>
          <w:szCs w:val="24"/>
          <w:highlight w:val="none"/>
        </w:rPr>
      </w:pPr>
      <w:r>
        <w:rPr>
          <w:rFonts w:ascii="宋体" w:hAnsi="宋体" w:cs="宋体"/>
          <w:color w:val="auto"/>
          <w:sz w:val="24"/>
          <w:szCs w:val="24"/>
          <w:highlight w:val="none"/>
        </w:rPr>
        <w:t>2.</w:t>
      </w:r>
      <w:r>
        <w:rPr>
          <w:rFonts w:hint="eastAsia" w:ascii="宋体" w:hAnsi="宋体" w:cs="宋体"/>
          <w:color w:val="auto"/>
          <w:sz w:val="24"/>
          <w:szCs w:val="24"/>
          <w:highlight w:val="none"/>
        </w:rPr>
        <w:t>附人员证书复印件；</w:t>
      </w:r>
    </w:p>
    <w:p>
      <w:pPr>
        <w:spacing w:line="360" w:lineRule="auto"/>
        <w:ind w:firstLine="480" w:firstLineChars="200"/>
        <w:jc w:val="left"/>
        <w:rPr>
          <w:rFonts w:ascii="宋体"/>
          <w:color w:val="auto"/>
          <w:sz w:val="24"/>
          <w:szCs w:val="24"/>
          <w:highlight w:val="none"/>
        </w:rPr>
      </w:pPr>
      <w:r>
        <w:rPr>
          <w:rFonts w:ascii="宋体" w:hAnsi="宋体" w:cs="宋体"/>
          <w:color w:val="auto"/>
          <w:sz w:val="24"/>
          <w:szCs w:val="24"/>
          <w:highlight w:val="none"/>
        </w:rPr>
        <w:t>3.</w:t>
      </w:r>
      <w:r>
        <w:rPr>
          <w:rFonts w:hint="eastAsia" w:ascii="宋体" w:hAnsi="宋体" w:cs="宋体"/>
          <w:color w:val="auto"/>
          <w:sz w:val="24"/>
          <w:szCs w:val="24"/>
          <w:highlight w:val="none"/>
        </w:rPr>
        <w:t>出具上述人员在本单位服务的外部证明，如：投标截止日之前</w:t>
      </w:r>
      <w:r>
        <w:rPr>
          <w:rFonts w:hint="eastAsia" w:ascii="宋体" w:hAnsi="宋体" w:cs="宋体"/>
          <w:color w:val="auto"/>
          <w:sz w:val="24"/>
          <w:szCs w:val="24"/>
          <w:highlight w:val="none"/>
          <w:lang w:eastAsia="zh-CN"/>
        </w:rPr>
        <w:t>六个月</w:t>
      </w:r>
      <w:r>
        <w:rPr>
          <w:rFonts w:hint="eastAsia" w:ascii="宋体" w:hAnsi="宋体" w:cs="宋体"/>
          <w:color w:val="auto"/>
          <w:sz w:val="24"/>
          <w:szCs w:val="24"/>
          <w:highlight w:val="none"/>
        </w:rPr>
        <w:t>以内的代缴个税税单、参加社会保险的《投保单》或《社会保险参保人员证明》等。</w:t>
      </w:r>
    </w:p>
    <w:p>
      <w:pPr>
        <w:spacing w:line="360" w:lineRule="auto"/>
        <w:rPr>
          <w:rFonts w:ascii="宋体"/>
          <w:color w:val="auto"/>
          <w:sz w:val="24"/>
          <w:szCs w:val="24"/>
          <w:highlight w:val="none"/>
        </w:rPr>
      </w:pPr>
    </w:p>
    <w:p>
      <w:pPr>
        <w:spacing w:line="360" w:lineRule="auto"/>
        <w:rPr>
          <w:rFonts w:ascii="宋体"/>
          <w:color w:val="auto"/>
          <w:sz w:val="24"/>
          <w:szCs w:val="24"/>
          <w:highlight w:val="none"/>
        </w:rPr>
      </w:pPr>
      <w:r>
        <w:rPr>
          <w:rFonts w:hint="eastAsia" w:ascii="宋体" w:hAnsi="宋体" w:cs="宋体"/>
          <w:color w:val="auto"/>
          <w:sz w:val="24"/>
          <w:szCs w:val="24"/>
          <w:highlight w:val="none"/>
        </w:rPr>
        <w:t>投标人名称（盖章）：</w:t>
      </w:r>
    </w:p>
    <w:p>
      <w:pPr>
        <w:spacing w:line="360" w:lineRule="auto"/>
        <w:rPr>
          <w:rFonts w:ascii="宋体"/>
          <w:color w:val="auto"/>
          <w:sz w:val="24"/>
          <w:szCs w:val="24"/>
          <w:highlight w:val="none"/>
        </w:rPr>
      </w:pPr>
      <w:r>
        <w:rPr>
          <w:rFonts w:hint="eastAsia" w:ascii="宋体" w:hAnsi="宋体" w:cs="宋体"/>
          <w:color w:val="auto"/>
          <w:sz w:val="24"/>
          <w:szCs w:val="24"/>
          <w:highlight w:val="none"/>
        </w:rPr>
        <w:t>法定代表人或授权委托代理人（签字或盖章）：</w:t>
      </w:r>
    </w:p>
    <w:p>
      <w:pPr>
        <w:spacing w:line="360" w:lineRule="auto"/>
        <w:rPr>
          <w:rFonts w:ascii="宋体"/>
          <w:color w:val="auto"/>
          <w:sz w:val="24"/>
          <w:szCs w:val="24"/>
          <w:highlight w:val="none"/>
        </w:rPr>
      </w:pPr>
      <w:r>
        <w:rPr>
          <w:rFonts w:hint="eastAsia" w:ascii="宋体" w:hAnsi="宋体" w:cs="宋体"/>
          <w:color w:val="auto"/>
          <w:sz w:val="24"/>
          <w:szCs w:val="24"/>
          <w:highlight w:val="none"/>
        </w:rPr>
        <w:t>日期：</w:t>
      </w:r>
    </w:p>
    <w:p>
      <w:pPr>
        <w:spacing w:line="360" w:lineRule="auto"/>
        <w:rPr>
          <w:rFonts w:ascii="宋体"/>
          <w:b/>
          <w:bCs/>
          <w:color w:val="auto"/>
          <w:sz w:val="28"/>
          <w:szCs w:val="28"/>
          <w:highlight w:val="none"/>
        </w:rPr>
      </w:pPr>
      <w:r>
        <w:rPr>
          <w:rFonts w:hint="eastAsia" w:ascii="宋体" w:hAnsi="宋体" w:cs="宋体"/>
          <w:b/>
          <w:bCs/>
          <w:color w:val="auto"/>
          <w:sz w:val="28"/>
          <w:szCs w:val="28"/>
          <w:highlight w:val="none"/>
        </w:rPr>
        <w:t>附件</w:t>
      </w:r>
      <w:r>
        <w:rPr>
          <w:rFonts w:ascii="宋体" w:hAnsi="宋体" w:cs="宋体"/>
          <w:b/>
          <w:bCs/>
          <w:color w:val="auto"/>
          <w:sz w:val="28"/>
          <w:szCs w:val="28"/>
          <w:highlight w:val="none"/>
        </w:rPr>
        <w:t>7</w:t>
      </w:r>
    </w:p>
    <w:p>
      <w:pPr>
        <w:spacing w:line="360" w:lineRule="auto"/>
        <w:jc w:val="center"/>
        <w:rPr>
          <w:rFonts w:ascii="宋体"/>
          <w:b/>
          <w:bCs/>
          <w:color w:val="auto"/>
          <w:sz w:val="32"/>
          <w:szCs w:val="32"/>
          <w:highlight w:val="none"/>
          <w:lang w:val="zh-CN"/>
        </w:rPr>
      </w:pPr>
      <w:r>
        <w:rPr>
          <w:rFonts w:hint="eastAsia" w:ascii="宋体" w:hAnsi="宋体" w:cs="宋体"/>
          <w:b/>
          <w:bCs/>
          <w:color w:val="auto"/>
          <w:sz w:val="32"/>
          <w:szCs w:val="32"/>
          <w:highlight w:val="none"/>
          <w:lang w:val="zh-CN"/>
        </w:rPr>
        <w:t>项目负责人资格情况表</w:t>
      </w:r>
    </w:p>
    <w:p>
      <w:pPr>
        <w:spacing w:line="360" w:lineRule="auto"/>
        <w:rPr>
          <w:rFonts w:ascii="宋体"/>
          <w:color w:val="auto"/>
          <w:sz w:val="24"/>
          <w:szCs w:val="24"/>
          <w:highlight w:val="none"/>
        </w:rPr>
      </w:pPr>
      <w:r>
        <w:rPr>
          <w:rFonts w:hint="eastAsia" w:ascii="宋体" w:hAnsi="宋体" w:cs="宋体"/>
          <w:color w:val="auto"/>
          <w:sz w:val="24"/>
          <w:szCs w:val="24"/>
          <w:highlight w:val="none"/>
        </w:rPr>
        <w:t>采购项目：采购编号：</w:t>
      </w:r>
    </w:p>
    <w:tbl>
      <w:tblPr>
        <w:tblStyle w:val="20"/>
        <w:tblW w:w="86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4"/>
        <w:gridCol w:w="2967"/>
        <w:gridCol w:w="36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1974" w:type="dxa"/>
            <w:tcBorders>
              <w:top w:val="single" w:color="auto" w:sz="12" w:space="0"/>
              <w:left w:val="single" w:color="auto" w:sz="12" w:space="0"/>
            </w:tcBorders>
            <w:noWrap w:val="0"/>
            <w:vAlign w:val="center"/>
          </w:tcPr>
          <w:p>
            <w:pPr>
              <w:jc w:val="center"/>
              <w:rPr>
                <w:rFonts w:ascii="宋体"/>
                <w:b/>
                <w:bCs/>
                <w:color w:val="auto"/>
                <w:sz w:val="24"/>
                <w:szCs w:val="24"/>
                <w:highlight w:val="none"/>
                <w:lang w:val="zh-CN"/>
              </w:rPr>
            </w:pPr>
            <w:r>
              <w:rPr>
                <w:rFonts w:hint="eastAsia" w:ascii="宋体" w:hAnsi="宋体" w:cs="宋体"/>
                <w:b/>
                <w:bCs/>
                <w:color w:val="auto"/>
                <w:sz w:val="24"/>
                <w:szCs w:val="24"/>
                <w:highlight w:val="none"/>
                <w:lang w:val="zh-CN"/>
              </w:rPr>
              <w:t>姓名</w:t>
            </w:r>
          </w:p>
        </w:tc>
        <w:tc>
          <w:tcPr>
            <w:tcW w:w="2967" w:type="dxa"/>
            <w:tcBorders>
              <w:top w:val="single" w:color="auto" w:sz="12" w:space="0"/>
            </w:tcBorders>
            <w:noWrap w:val="0"/>
            <w:vAlign w:val="center"/>
          </w:tcPr>
          <w:p>
            <w:pPr>
              <w:jc w:val="center"/>
              <w:rPr>
                <w:rFonts w:ascii="宋体"/>
                <w:color w:val="auto"/>
                <w:sz w:val="24"/>
                <w:szCs w:val="24"/>
                <w:highlight w:val="none"/>
                <w:lang w:val="zh-CN"/>
              </w:rPr>
            </w:pPr>
          </w:p>
        </w:tc>
        <w:tc>
          <w:tcPr>
            <w:tcW w:w="3685" w:type="dxa"/>
            <w:tcBorders>
              <w:top w:val="single" w:color="auto" w:sz="12" w:space="0"/>
              <w:right w:val="single" w:color="auto" w:sz="12" w:space="0"/>
            </w:tcBorders>
            <w:noWrap w:val="0"/>
            <w:vAlign w:val="center"/>
          </w:tcPr>
          <w:p>
            <w:pPr>
              <w:jc w:val="center"/>
              <w:rPr>
                <w:rFonts w:ascii="宋体"/>
                <w:color w:val="auto"/>
                <w:sz w:val="24"/>
                <w:szCs w:val="24"/>
                <w:highlight w:val="none"/>
                <w:lang w:val="zh-CN"/>
              </w:rPr>
            </w:pPr>
            <w:r>
              <w:rPr>
                <w:rFonts w:hint="eastAsia" w:ascii="宋体" w:hAnsi="宋体" w:cs="宋体"/>
                <w:b/>
                <w:bCs/>
                <w:color w:val="auto"/>
                <w:sz w:val="24"/>
                <w:szCs w:val="24"/>
                <w:highlight w:val="none"/>
                <w:lang w:val="zh-CN"/>
              </w:rPr>
              <w:t>近年来主要工作业绩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jc w:val="center"/>
        </w:trPr>
        <w:tc>
          <w:tcPr>
            <w:tcW w:w="1974" w:type="dxa"/>
            <w:tcBorders>
              <w:left w:val="single" w:color="auto" w:sz="12" w:space="0"/>
            </w:tcBorders>
            <w:noWrap w:val="0"/>
            <w:vAlign w:val="center"/>
          </w:tcPr>
          <w:p>
            <w:pPr>
              <w:jc w:val="center"/>
              <w:rPr>
                <w:rFonts w:ascii="宋体"/>
                <w:b/>
                <w:bCs/>
                <w:color w:val="auto"/>
                <w:sz w:val="24"/>
                <w:szCs w:val="24"/>
                <w:highlight w:val="none"/>
                <w:lang w:val="zh-CN"/>
              </w:rPr>
            </w:pPr>
            <w:r>
              <w:rPr>
                <w:rFonts w:hint="eastAsia" w:ascii="宋体" w:hAnsi="宋体" w:cs="宋体"/>
                <w:b/>
                <w:bCs/>
                <w:color w:val="auto"/>
                <w:sz w:val="24"/>
                <w:szCs w:val="24"/>
                <w:highlight w:val="none"/>
                <w:lang w:val="zh-CN"/>
              </w:rPr>
              <w:t>性别</w:t>
            </w:r>
          </w:p>
        </w:tc>
        <w:tc>
          <w:tcPr>
            <w:tcW w:w="2967" w:type="dxa"/>
            <w:noWrap w:val="0"/>
            <w:vAlign w:val="center"/>
          </w:tcPr>
          <w:p>
            <w:pPr>
              <w:jc w:val="center"/>
              <w:rPr>
                <w:rFonts w:ascii="宋体"/>
                <w:color w:val="auto"/>
                <w:sz w:val="24"/>
                <w:szCs w:val="24"/>
                <w:highlight w:val="none"/>
                <w:lang w:val="zh-CN"/>
              </w:rPr>
            </w:pPr>
          </w:p>
        </w:tc>
        <w:tc>
          <w:tcPr>
            <w:tcW w:w="3685" w:type="dxa"/>
            <w:vMerge w:val="restart"/>
            <w:tcBorders>
              <w:right w:val="single" w:color="auto" w:sz="12" w:space="0"/>
            </w:tcBorders>
            <w:noWrap w:val="0"/>
            <w:vAlign w:val="center"/>
          </w:tcPr>
          <w:p>
            <w:pPr>
              <w:jc w:val="center"/>
              <w:rPr>
                <w:rFonts w:ascii="宋体"/>
                <w:color w:val="auto"/>
                <w:sz w:val="24"/>
                <w:szCs w:val="24"/>
                <w:highlight w:val="none"/>
              </w:rPr>
            </w:pPr>
            <w:r>
              <w:rPr>
                <w:rFonts w:hint="eastAsia" w:ascii="宋体" w:hAnsi="宋体" w:cs="宋体"/>
                <w:color w:val="auto"/>
                <w:sz w:val="24"/>
                <w:szCs w:val="24"/>
                <w:highlight w:val="none"/>
              </w:rPr>
              <w:t>注：业绩证明应提供旁证材料</w:t>
            </w:r>
          </w:p>
          <w:p>
            <w:pPr>
              <w:jc w:val="center"/>
              <w:rPr>
                <w:rFonts w:ascii="宋体"/>
                <w:color w:val="auto"/>
                <w:sz w:val="24"/>
                <w:szCs w:val="24"/>
                <w:highlight w:val="none"/>
                <w:lang w:val="zh-CN"/>
              </w:rPr>
            </w:pPr>
            <w:r>
              <w:rPr>
                <w:rFonts w:hint="eastAsia" w:ascii="宋体" w:hAnsi="宋体" w:cs="宋体"/>
                <w:color w:val="auto"/>
                <w:sz w:val="24"/>
                <w:szCs w:val="24"/>
                <w:highlight w:val="none"/>
              </w:rPr>
              <w:t>（合同或中标通知书）。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jc w:val="center"/>
        </w:trPr>
        <w:tc>
          <w:tcPr>
            <w:tcW w:w="1974" w:type="dxa"/>
            <w:tcBorders>
              <w:left w:val="single" w:color="auto" w:sz="12" w:space="0"/>
            </w:tcBorders>
            <w:noWrap w:val="0"/>
            <w:vAlign w:val="center"/>
          </w:tcPr>
          <w:p>
            <w:pPr>
              <w:jc w:val="center"/>
              <w:rPr>
                <w:rFonts w:ascii="宋体"/>
                <w:b/>
                <w:bCs/>
                <w:color w:val="auto"/>
                <w:sz w:val="24"/>
                <w:szCs w:val="24"/>
                <w:highlight w:val="none"/>
                <w:lang w:val="zh-CN"/>
              </w:rPr>
            </w:pPr>
            <w:r>
              <w:rPr>
                <w:rFonts w:hint="eastAsia" w:ascii="宋体" w:hAnsi="宋体" w:cs="宋体"/>
                <w:b/>
                <w:bCs/>
                <w:color w:val="auto"/>
                <w:sz w:val="24"/>
                <w:szCs w:val="24"/>
                <w:highlight w:val="none"/>
                <w:lang w:val="zh-CN"/>
              </w:rPr>
              <w:t>年龄</w:t>
            </w:r>
          </w:p>
        </w:tc>
        <w:tc>
          <w:tcPr>
            <w:tcW w:w="2967" w:type="dxa"/>
            <w:noWrap w:val="0"/>
            <w:vAlign w:val="center"/>
          </w:tcPr>
          <w:p>
            <w:pPr>
              <w:jc w:val="center"/>
              <w:rPr>
                <w:rFonts w:ascii="宋体"/>
                <w:color w:val="auto"/>
                <w:sz w:val="24"/>
                <w:szCs w:val="24"/>
                <w:highlight w:val="none"/>
                <w:lang w:val="zh-CN"/>
              </w:rPr>
            </w:pPr>
          </w:p>
        </w:tc>
        <w:tc>
          <w:tcPr>
            <w:tcW w:w="3685" w:type="dxa"/>
            <w:vMerge w:val="continue"/>
            <w:tcBorders>
              <w:right w:val="single" w:color="auto" w:sz="12" w:space="0"/>
            </w:tcBorders>
            <w:noWrap w:val="0"/>
            <w:vAlign w:val="center"/>
          </w:tcPr>
          <w:p>
            <w:pPr>
              <w:jc w:val="center"/>
              <w:rPr>
                <w:rFonts w:ascii="宋体"/>
                <w:color w:val="auto"/>
                <w:sz w:val="24"/>
                <w:szCs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jc w:val="center"/>
        </w:trPr>
        <w:tc>
          <w:tcPr>
            <w:tcW w:w="1974" w:type="dxa"/>
            <w:tcBorders>
              <w:left w:val="single" w:color="auto" w:sz="12" w:space="0"/>
            </w:tcBorders>
            <w:noWrap w:val="0"/>
            <w:vAlign w:val="center"/>
          </w:tcPr>
          <w:p>
            <w:pPr>
              <w:jc w:val="center"/>
              <w:rPr>
                <w:rFonts w:ascii="宋体"/>
                <w:b/>
                <w:bCs/>
                <w:color w:val="auto"/>
                <w:sz w:val="24"/>
                <w:szCs w:val="24"/>
                <w:highlight w:val="none"/>
                <w:lang w:val="zh-CN"/>
              </w:rPr>
            </w:pPr>
            <w:r>
              <w:rPr>
                <w:rFonts w:hint="eastAsia" w:ascii="宋体" w:hAnsi="宋体" w:cs="宋体"/>
                <w:b/>
                <w:bCs/>
                <w:color w:val="auto"/>
                <w:sz w:val="24"/>
                <w:szCs w:val="24"/>
                <w:highlight w:val="none"/>
                <w:lang w:val="zh-CN"/>
              </w:rPr>
              <w:t>职称</w:t>
            </w:r>
          </w:p>
        </w:tc>
        <w:tc>
          <w:tcPr>
            <w:tcW w:w="2967" w:type="dxa"/>
            <w:noWrap w:val="0"/>
            <w:vAlign w:val="center"/>
          </w:tcPr>
          <w:p>
            <w:pPr>
              <w:jc w:val="center"/>
              <w:rPr>
                <w:rFonts w:ascii="宋体"/>
                <w:color w:val="auto"/>
                <w:sz w:val="24"/>
                <w:szCs w:val="24"/>
                <w:highlight w:val="none"/>
                <w:lang w:val="zh-CN"/>
              </w:rPr>
            </w:pPr>
          </w:p>
        </w:tc>
        <w:tc>
          <w:tcPr>
            <w:tcW w:w="3685" w:type="dxa"/>
            <w:vMerge w:val="continue"/>
            <w:tcBorders>
              <w:right w:val="single" w:color="auto" w:sz="12" w:space="0"/>
            </w:tcBorders>
            <w:noWrap w:val="0"/>
            <w:vAlign w:val="center"/>
          </w:tcPr>
          <w:p>
            <w:pPr>
              <w:jc w:val="center"/>
              <w:rPr>
                <w:rFonts w:ascii="宋体"/>
                <w:color w:val="auto"/>
                <w:sz w:val="24"/>
                <w:szCs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jc w:val="center"/>
        </w:trPr>
        <w:tc>
          <w:tcPr>
            <w:tcW w:w="1974" w:type="dxa"/>
            <w:tcBorders>
              <w:left w:val="single" w:color="auto" w:sz="12" w:space="0"/>
            </w:tcBorders>
            <w:noWrap w:val="0"/>
            <w:vAlign w:val="center"/>
          </w:tcPr>
          <w:p>
            <w:pPr>
              <w:jc w:val="center"/>
              <w:rPr>
                <w:rFonts w:ascii="宋体"/>
                <w:b/>
                <w:bCs/>
                <w:color w:val="auto"/>
                <w:sz w:val="24"/>
                <w:szCs w:val="24"/>
                <w:highlight w:val="none"/>
                <w:lang w:val="zh-CN"/>
              </w:rPr>
            </w:pPr>
            <w:r>
              <w:rPr>
                <w:rFonts w:hint="eastAsia" w:ascii="宋体" w:hAnsi="宋体" w:cs="宋体"/>
                <w:b/>
                <w:bCs/>
                <w:color w:val="auto"/>
                <w:sz w:val="24"/>
                <w:szCs w:val="24"/>
                <w:highlight w:val="none"/>
                <w:lang w:val="zh-CN"/>
              </w:rPr>
              <w:t>毕业时间</w:t>
            </w:r>
          </w:p>
        </w:tc>
        <w:tc>
          <w:tcPr>
            <w:tcW w:w="2967" w:type="dxa"/>
            <w:noWrap w:val="0"/>
            <w:vAlign w:val="center"/>
          </w:tcPr>
          <w:p>
            <w:pPr>
              <w:jc w:val="center"/>
              <w:rPr>
                <w:rFonts w:ascii="宋体"/>
                <w:color w:val="auto"/>
                <w:sz w:val="24"/>
                <w:szCs w:val="24"/>
                <w:highlight w:val="none"/>
                <w:lang w:val="zh-CN"/>
              </w:rPr>
            </w:pPr>
          </w:p>
        </w:tc>
        <w:tc>
          <w:tcPr>
            <w:tcW w:w="3685" w:type="dxa"/>
            <w:vMerge w:val="continue"/>
            <w:tcBorders>
              <w:right w:val="single" w:color="auto" w:sz="12" w:space="0"/>
            </w:tcBorders>
            <w:noWrap w:val="0"/>
            <w:vAlign w:val="center"/>
          </w:tcPr>
          <w:p>
            <w:pPr>
              <w:jc w:val="center"/>
              <w:rPr>
                <w:rFonts w:ascii="宋体"/>
                <w:color w:val="auto"/>
                <w:sz w:val="24"/>
                <w:szCs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jc w:val="center"/>
        </w:trPr>
        <w:tc>
          <w:tcPr>
            <w:tcW w:w="1974" w:type="dxa"/>
            <w:tcBorders>
              <w:left w:val="single" w:color="auto" w:sz="12" w:space="0"/>
            </w:tcBorders>
            <w:noWrap w:val="0"/>
            <w:vAlign w:val="center"/>
          </w:tcPr>
          <w:p>
            <w:pPr>
              <w:jc w:val="center"/>
              <w:rPr>
                <w:rFonts w:ascii="宋体"/>
                <w:b/>
                <w:bCs/>
                <w:color w:val="auto"/>
                <w:sz w:val="24"/>
                <w:szCs w:val="24"/>
                <w:highlight w:val="none"/>
                <w:lang w:val="zh-CN"/>
              </w:rPr>
            </w:pPr>
            <w:r>
              <w:rPr>
                <w:rFonts w:hint="eastAsia" w:ascii="宋体" w:hAnsi="宋体" w:cs="宋体"/>
                <w:b/>
                <w:bCs/>
                <w:color w:val="auto"/>
                <w:sz w:val="24"/>
                <w:szCs w:val="24"/>
                <w:highlight w:val="none"/>
                <w:lang w:val="zh-CN"/>
              </w:rPr>
              <w:t>学校专业</w:t>
            </w:r>
          </w:p>
        </w:tc>
        <w:tc>
          <w:tcPr>
            <w:tcW w:w="2967" w:type="dxa"/>
            <w:noWrap w:val="0"/>
            <w:vAlign w:val="center"/>
          </w:tcPr>
          <w:p>
            <w:pPr>
              <w:jc w:val="center"/>
              <w:rPr>
                <w:rFonts w:ascii="宋体"/>
                <w:color w:val="auto"/>
                <w:sz w:val="24"/>
                <w:szCs w:val="24"/>
                <w:highlight w:val="none"/>
                <w:lang w:val="zh-CN"/>
              </w:rPr>
            </w:pPr>
          </w:p>
        </w:tc>
        <w:tc>
          <w:tcPr>
            <w:tcW w:w="3685" w:type="dxa"/>
            <w:vMerge w:val="continue"/>
            <w:tcBorders>
              <w:right w:val="single" w:color="auto" w:sz="12" w:space="0"/>
            </w:tcBorders>
            <w:noWrap w:val="0"/>
            <w:vAlign w:val="center"/>
          </w:tcPr>
          <w:p>
            <w:pPr>
              <w:jc w:val="center"/>
              <w:rPr>
                <w:rFonts w:ascii="宋体"/>
                <w:color w:val="auto"/>
                <w:sz w:val="24"/>
                <w:szCs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jc w:val="center"/>
        </w:trPr>
        <w:tc>
          <w:tcPr>
            <w:tcW w:w="1974" w:type="dxa"/>
            <w:tcBorders>
              <w:left w:val="single" w:color="auto" w:sz="12" w:space="0"/>
            </w:tcBorders>
            <w:noWrap w:val="0"/>
            <w:vAlign w:val="center"/>
          </w:tcPr>
          <w:p>
            <w:pPr>
              <w:jc w:val="center"/>
              <w:rPr>
                <w:rFonts w:ascii="宋体"/>
                <w:b/>
                <w:bCs/>
                <w:color w:val="auto"/>
                <w:sz w:val="24"/>
                <w:szCs w:val="24"/>
                <w:highlight w:val="none"/>
                <w:lang w:val="zh-CN"/>
              </w:rPr>
            </w:pPr>
            <w:r>
              <w:rPr>
                <w:rFonts w:hint="eastAsia" w:ascii="宋体" w:hAnsi="宋体" w:cs="宋体"/>
                <w:b/>
                <w:bCs/>
                <w:color w:val="auto"/>
                <w:sz w:val="24"/>
                <w:szCs w:val="24"/>
                <w:highlight w:val="none"/>
                <w:lang w:val="zh-CN"/>
              </w:rPr>
              <w:t>联系电话</w:t>
            </w:r>
          </w:p>
        </w:tc>
        <w:tc>
          <w:tcPr>
            <w:tcW w:w="2967" w:type="dxa"/>
            <w:noWrap w:val="0"/>
            <w:vAlign w:val="center"/>
          </w:tcPr>
          <w:p>
            <w:pPr>
              <w:jc w:val="center"/>
              <w:rPr>
                <w:rFonts w:ascii="宋体"/>
                <w:color w:val="auto"/>
                <w:sz w:val="24"/>
                <w:szCs w:val="24"/>
                <w:highlight w:val="none"/>
                <w:lang w:val="zh-CN"/>
              </w:rPr>
            </w:pPr>
          </w:p>
        </w:tc>
        <w:tc>
          <w:tcPr>
            <w:tcW w:w="3685" w:type="dxa"/>
            <w:vMerge w:val="continue"/>
            <w:tcBorders>
              <w:right w:val="single" w:color="auto" w:sz="12" w:space="0"/>
            </w:tcBorders>
            <w:noWrap w:val="0"/>
            <w:vAlign w:val="center"/>
          </w:tcPr>
          <w:p>
            <w:pPr>
              <w:jc w:val="center"/>
              <w:rPr>
                <w:rFonts w:ascii="宋体"/>
                <w:color w:val="auto"/>
                <w:sz w:val="24"/>
                <w:szCs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jc w:val="center"/>
        </w:trPr>
        <w:tc>
          <w:tcPr>
            <w:tcW w:w="1974" w:type="dxa"/>
            <w:tcBorders>
              <w:left w:val="single" w:color="auto" w:sz="12" w:space="0"/>
            </w:tcBorders>
            <w:noWrap w:val="0"/>
            <w:vAlign w:val="center"/>
          </w:tcPr>
          <w:p>
            <w:pPr>
              <w:jc w:val="center"/>
              <w:rPr>
                <w:rFonts w:ascii="宋体"/>
                <w:b/>
                <w:bCs/>
                <w:color w:val="auto"/>
                <w:sz w:val="24"/>
                <w:szCs w:val="24"/>
                <w:highlight w:val="none"/>
                <w:lang w:val="zh-CN"/>
              </w:rPr>
            </w:pPr>
            <w:r>
              <w:rPr>
                <w:rFonts w:hint="eastAsia" w:ascii="宋体" w:hAnsi="宋体" w:cs="宋体"/>
                <w:b/>
                <w:bCs/>
                <w:color w:val="auto"/>
                <w:sz w:val="24"/>
                <w:szCs w:val="24"/>
                <w:highlight w:val="none"/>
              </w:rPr>
              <w:t>最近一年工作状况</w:t>
            </w:r>
          </w:p>
        </w:tc>
        <w:tc>
          <w:tcPr>
            <w:tcW w:w="2967" w:type="dxa"/>
            <w:noWrap w:val="0"/>
            <w:vAlign w:val="center"/>
          </w:tcPr>
          <w:p>
            <w:pPr>
              <w:jc w:val="center"/>
              <w:rPr>
                <w:rFonts w:ascii="宋体"/>
                <w:color w:val="auto"/>
                <w:sz w:val="24"/>
                <w:szCs w:val="24"/>
                <w:highlight w:val="none"/>
                <w:lang w:val="zh-CN"/>
              </w:rPr>
            </w:pPr>
          </w:p>
        </w:tc>
        <w:tc>
          <w:tcPr>
            <w:tcW w:w="3685" w:type="dxa"/>
            <w:vMerge w:val="continue"/>
            <w:tcBorders>
              <w:right w:val="single" w:color="auto" w:sz="12" w:space="0"/>
            </w:tcBorders>
            <w:noWrap w:val="0"/>
            <w:vAlign w:val="center"/>
          </w:tcPr>
          <w:p>
            <w:pPr>
              <w:jc w:val="center"/>
              <w:rPr>
                <w:rFonts w:ascii="宋体"/>
                <w:color w:val="auto"/>
                <w:sz w:val="24"/>
                <w:szCs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1974" w:type="dxa"/>
            <w:tcBorders>
              <w:left w:val="single" w:color="auto" w:sz="12" w:space="0"/>
              <w:bottom w:val="single" w:color="auto" w:sz="12" w:space="0"/>
            </w:tcBorders>
            <w:noWrap w:val="0"/>
            <w:vAlign w:val="center"/>
          </w:tcPr>
          <w:p>
            <w:pPr>
              <w:jc w:val="center"/>
              <w:rPr>
                <w:rFonts w:ascii="宋体"/>
                <w:b/>
                <w:bCs/>
                <w:color w:val="auto"/>
                <w:sz w:val="24"/>
                <w:szCs w:val="24"/>
                <w:highlight w:val="none"/>
                <w:lang w:val="zh-CN"/>
              </w:rPr>
            </w:pPr>
            <w:r>
              <w:rPr>
                <w:rFonts w:hint="eastAsia" w:ascii="宋体" w:hAnsi="宋体" w:cs="宋体"/>
                <w:b/>
                <w:bCs/>
                <w:color w:val="auto"/>
                <w:sz w:val="24"/>
                <w:szCs w:val="24"/>
                <w:highlight w:val="none"/>
                <w:lang w:val="zh-CN"/>
              </w:rPr>
              <w:t>拟在本项目中担任主要工作</w:t>
            </w:r>
          </w:p>
        </w:tc>
        <w:tc>
          <w:tcPr>
            <w:tcW w:w="6652" w:type="dxa"/>
            <w:gridSpan w:val="2"/>
            <w:tcBorders>
              <w:bottom w:val="single" w:color="auto" w:sz="12" w:space="0"/>
              <w:right w:val="single" w:color="auto" w:sz="12" w:space="0"/>
            </w:tcBorders>
            <w:noWrap w:val="0"/>
            <w:vAlign w:val="center"/>
          </w:tcPr>
          <w:p>
            <w:pPr>
              <w:jc w:val="center"/>
              <w:rPr>
                <w:rFonts w:ascii="宋体"/>
                <w:color w:val="auto"/>
                <w:sz w:val="24"/>
                <w:szCs w:val="24"/>
                <w:highlight w:val="none"/>
                <w:lang w:val="zh-CN"/>
              </w:rPr>
            </w:pPr>
          </w:p>
        </w:tc>
      </w:tr>
    </w:tbl>
    <w:p>
      <w:pPr>
        <w:spacing w:line="360" w:lineRule="auto"/>
        <w:rPr>
          <w:rFonts w:ascii="宋体"/>
          <w:color w:val="auto"/>
          <w:sz w:val="24"/>
          <w:szCs w:val="24"/>
          <w:highlight w:val="none"/>
        </w:rPr>
      </w:pPr>
    </w:p>
    <w:p>
      <w:pPr>
        <w:spacing w:line="480" w:lineRule="auto"/>
        <w:rPr>
          <w:rFonts w:ascii="宋体"/>
          <w:color w:val="auto"/>
          <w:sz w:val="24"/>
          <w:szCs w:val="24"/>
          <w:highlight w:val="none"/>
        </w:rPr>
      </w:pPr>
      <w:r>
        <w:rPr>
          <w:rFonts w:hint="eastAsia" w:ascii="宋体" w:hAnsi="宋体" w:cs="宋体"/>
          <w:color w:val="auto"/>
          <w:sz w:val="24"/>
          <w:szCs w:val="24"/>
          <w:highlight w:val="none"/>
        </w:rPr>
        <w:t>投标人名称（盖章）：</w:t>
      </w:r>
    </w:p>
    <w:p>
      <w:pPr>
        <w:spacing w:line="480" w:lineRule="auto"/>
        <w:rPr>
          <w:rFonts w:ascii="宋体"/>
          <w:color w:val="auto"/>
          <w:sz w:val="24"/>
          <w:szCs w:val="24"/>
          <w:highlight w:val="none"/>
        </w:rPr>
      </w:pPr>
      <w:r>
        <w:rPr>
          <w:rFonts w:hint="eastAsia" w:ascii="宋体" w:hAnsi="宋体" w:cs="宋体"/>
          <w:color w:val="auto"/>
          <w:sz w:val="24"/>
          <w:szCs w:val="24"/>
          <w:highlight w:val="none"/>
        </w:rPr>
        <w:t>法定代表人或授权委托代理人（签字或盖章）：</w:t>
      </w:r>
    </w:p>
    <w:p>
      <w:pPr>
        <w:spacing w:line="480" w:lineRule="auto"/>
        <w:rPr>
          <w:rFonts w:ascii="宋体"/>
          <w:color w:val="auto"/>
          <w:sz w:val="24"/>
          <w:szCs w:val="24"/>
          <w:highlight w:val="none"/>
        </w:rPr>
      </w:pPr>
      <w:r>
        <w:rPr>
          <w:rFonts w:hint="eastAsia" w:ascii="宋体" w:hAnsi="宋体" w:cs="宋体"/>
          <w:color w:val="auto"/>
          <w:sz w:val="24"/>
          <w:szCs w:val="24"/>
          <w:highlight w:val="none"/>
        </w:rPr>
        <w:t>日期：</w:t>
      </w:r>
    </w:p>
    <w:p>
      <w:pPr>
        <w:spacing w:line="360" w:lineRule="auto"/>
        <w:rPr>
          <w:rFonts w:ascii="宋体"/>
          <w:color w:val="auto"/>
          <w:sz w:val="24"/>
          <w:szCs w:val="24"/>
          <w:highlight w:val="none"/>
        </w:rPr>
      </w:pPr>
    </w:p>
    <w:p>
      <w:pPr>
        <w:spacing w:line="360" w:lineRule="auto"/>
        <w:rPr>
          <w:rFonts w:ascii="宋体"/>
          <w:color w:val="auto"/>
          <w:sz w:val="24"/>
          <w:szCs w:val="24"/>
          <w:highlight w:val="none"/>
        </w:rPr>
      </w:pPr>
    </w:p>
    <w:p>
      <w:pPr>
        <w:spacing w:line="360" w:lineRule="auto"/>
        <w:rPr>
          <w:rFonts w:ascii="宋体"/>
          <w:color w:val="auto"/>
          <w:sz w:val="24"/>
          <w:szCs w:val="24"/>
          <w:highlight w:val="none"/>
        </w:rPr>
      </w:pPr>
    </w:p>
    <w:p>
      <w:pPr>
        <w:spacing w:line="360" w:lineRule="auto"/>
        <w:rPr>
          <w:rFonts w:ascii="宋体"/>
          <w:color w:val="auto"/>
          <w:sz w:val="24"/>
          <w:szCs w:val="24"/>
          <w:highlight w:val="none"/>
        </w:rPr>
      </w:pPr>
    </w:p>
    <w:p>
      <w:pPr>
        <w:spacing w:line="360" w:lineRule="auto"/>
        <w:jc w:val="left"/>
        <w:rPr>
          <w:rFonts w:ascii="宋体"/>
          <w:b/>
          <w:bCs/>
          <w:color w:val="auto"/>
          <w:sz w:val="28"/>
          <w:szCs w:val="28"/>
          <w:highlight w:val="none"/>
        </w:rPr>
      </w:pPr>
      <w:r>
        <w:rPr>
          <w:rFonts w:hint="eastAsia" w:ascii="宋体" w:hAnsi="宋体" w:cs="宋体"/>
          <w:b/>
          <w:bCs/>
          <w:color w:val="auto"/>
          <w:sz w:val="28"/>
          <w:szCs w:val="28"/>
          <w:highlight w:val="none"/>
          <w:lang w:val="zh-CN"/>
        </w:rPr>
        <w:t>附件</w:t>
      </w:r>
      <w:r>
        <w:rPr>
          <w:rFonts w:ascii="宋体" w:hAnsi="宋体" w:cs="宋体"/>
          <w:b/>
          <w:bCs/>
          <w:color w:val="auto"/>
          <w:sz w:val="28"/>
          <w:szCs w:val="28"/>
          <w:highlight w:val="none"/>
        </w:rPr>
        <w:t>8</w:t>
      </w:r>
    </w:p>
    <w:p>
      <w:pPr>
        <w:spacing w:line="360" w:lineRule="auto"/>
        <w:jc w:val="center"/>
        <w:rPr>
          <w:rFonts w:ascii="宋体" w:hAnsi="宋体" w:cs="宋体"/>
          <w:b/>
          <w:bCs/>
          <w:color w:val="auto"/>
          <w:sz w:val="32"/>
          <w:szCs w:val="32"/>
          <w:highlight w:val="none"/>
          <w:lang w:val="zh-CN"/>
        </w:rPr>
      </w:pPr>
      <w:r>
        <w:rPr>
          <w:rFonts w:hint="eastAsia" w:ascii="宋体" w:hAnsi="宋体" w:cs="宋体"/>
          <w:b/>
          <w:bCs/>
          <w:color w:val="auto"/>
          <w:sz w:val="32"/>
          <w:szCs w:val="32"/>
          <w:highlight w:val="none"/>
          <w:lang w:val="zh-CN"/>
        </w:rPr>
        <w:t>产品清单</w:t>
      </w:r>
    </w:p>
    <w:p>
      <w:pPr>
        <w:spacing w:line="360" w:lineRule="auto"/>
        <w:rPr>
          <w:rFonts w:ascii="宋体"/>
          <w:color w:val="auto"/>
          <w:sz w:val="24"/>
          <w:szCs w:val="24"/>
          <w:highlight w:val="none"/>
        </w:rPr>
      </w:pPr>
      <w:r>
        <w:rPr>
          <w:rFonts w:hint="eastAsia" w:ascii="宋体" w:hAnsi="宋体" w:cs="宋体"/>
          <w:color w:val="auto"/>
          <w:sz w:val="24"/>
          <w:szCs w:val="24"/>
          <w:highlight w:val="none"/>
        </w:rPr>
        <w:t>采购项目：</w:t>
      </w:r>
    </w:p>
    <w:p>
      <w:pPr>
        <w:spacing w:line="360" w:lineRule="auto"/>
        <w:rPr>
          <w:rFonts w:ascii="宋体"/>
          <w:color w:val="auto"/>
          <w:sz w:val="24"/>
          <w:szCs w:val="24"/>
          <w:highlight w:val="none"/>
        </w:rPr>
      </w:pPr>
      <w:r>
        <w:rPr>
          <w:rFonts w:hint="eastAsia" w:ascii="宋体" w:hAnsi="宋体" w:cs="宋体"/>
          <w:color w:val="auto"/>
          <w:sz w:val="24"/>
          <w:szCs w:val="24"/>
          <w:highlight w:val="none"/>
        </w:rPr>
        <w:t>项目编号：</w:t>
      </w:r>
    </w:p>
    <w:tbl>
      <w:tblPr>
        <w:tblStyle w:val="20"/>
        <w:tblW w:w="82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4"/>
        <w:gridCol w:w="3108"/>
        <w:gridCol w:w="1577"/>
        <w:gridCol w:w="1183"/>
        <w:gridCol w:w="13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 w:hRule="atLeast"/>
          <w:jc w:val="center"/>
        </w:trPr>
        <w:tc>
          <w:tcPr>
            <w:tcW w:w="964" w:type="dxa"/>
            <w:noWrap w:val="0"/>
            <w:vAlign w:val="center"/>
          </w:tcPr>
          <w:p>
            <w:pPr>
              <w:jc w:val="center"/>
              <w:rPr>
                <w:rFonts w:ascii="宋体"/>
                <w:b/>
                <w:bCs/>
                <w:color w:val="auto"/>
                <w:sz w:val="24"/>
                <w:szCs w:val="24"/>
                <w:highlight w:val="none"/>
              </w:rPr>
            </w:pPr>
            <w:r>
              <w:rPr>
                <w:rFonts w:hint="eastAsia" w:ascii="宋体" w:hAnsi="宋体" w:cs="宋体"/>
                <w:b/>
                <w:bCs/>
                <w:color w:val="auto"/>
                <w:sz w:val="24"/>
                <w:szCs w:val="24"/>
                <w:highlight w:val="none"/>
              </w:rPr>
              <w:t>序号</w:t>
            </w:r>
          </w:p>
        </w:tc>
        <w:tc>
          <w:tcPr>
            <w:tcW w:w="3108" w:type="dxa"/>
            <w:noWrap w:val="0"/>
            <w:vAlign w:val="center"/>
          </w:tcPr>
          <w:p>
            <w:pPr>
              <w:jc w:val="center"/>
              <w:rPr>
                <w:rFonts w:ascii="宋体"/>
                <w:b/>
                <w:bCs/>
                <w:color w:val="auto"/>
                <w:sz w:val="24"/>
                <w:szCs w:val="24"/>
                <w:highlight w:val="none"/>
              </w:rPr>
            </w:pPr>
            <w:r>
              <w:rPr>
                <w:rFonts w:hint="eastAsia" w:ascii="宋体" w:hAnsi="宋体" w:cs="宋体"/>
                <w:b/>
                <w:bCs/>
                <w:color w:val="auto"/>
                <w:sz w:val="24"/>
                <w:szCs w:val="24"/>
                <w:highlight w:val="none"/>
              </w:rPr>
              <w:t>名称</w:t>
            </w:r>
          </w:p>
        </w:tc>
        <w:tc>
          <w:tcPr>
            <w:tcW w:w="1577" w:type="dxa"/>
            <w:noWrap w:val="0"/>
            <w:vAlign w:val="center"/>
          </w:tcPr>
          <w:p>
            <w:pPr>
              <w:jc w:val="center"/>
              <w:rPr>
                <w:rFonts w:ascii="宋体"/>
                <w:b/>
                <w:bCs/>
                <w:color w:val="auto"/>
                <w:sz w:val="24"/>
                <w:szCs w:val="24"/>
                <w:highlight w:val="none"/>
              </w:rPr>
            </w:pPr>
            <w:r>
              <w:rPr>
                <w:rFonts w:hint="eastAsia" w:ascii="宋体" w:hAnsi="宋体" w:cs="宋体"/>
                <w:b/>
                <w:bCs/>
                <w:color w:val="auto"/>
                <w:sz w:val="24"/>
                <w:szCs w:val="24"/>
                <w:highlight w:val="none"/>
              </w:rPr>
              <w:t>品牌</w:t>
            </w:r>
          </w:p>
        </w:tc>
        <w:tc>
          <w:tcPr>
            <w:tcW w:w="1183" w:type="dxa"/>
            <w:noWrap w:val="0"/>
            <w:vAlign w:val="center"/>
          </w:tcPr>
          <w:p>
            <w:pPr>
              <w:jc w:val="center"/>
              <w:rPr>
                <w:rFonts w:ascii="宋体"/>
                <w:b/>
                <w:bCs/>
                <w:color w:val="auto"/>
                <w:sz w:val="24"/>
                <w:szCs w:val="24"/>
                <w:highlight w:val="none"/>
              </w:rPr>
            </w:pPr>
            <w:r>
              <w:rPr>
                <w:rFonts w:hint="eastAsia" w:ascii="宋体" w:hAnsi="宋体" w:cs="宋体"/>
                <w:b/>
                <w:bCs/>
                <w:color w:val="auto"/>
                <w:sz w:val="24"/>
                <w:szCs w:val="24"/>
                <w:highlight w:val="none"/>
              </w:rPr>
              <w:t>数量</w:t>
            </w:r>
          </w:p>
        </w:tc>
        <w:tc>
          <w:tcPr>
            <w:tcW w:w="1369" w:type="dxa"/>
            <w:noWrap w:val="0"/>
            <w:vAlign w:val="center"/>
          </w:tcPr>
          <w:p>
            <w:pPr>
              <w:jc w:val="center"/>
              <w:rPr>
                <w:rFonts w:ascii="宋体"/>
                <w:b/>
                <w:bCs/>
                <w:color w:val="auto"/>
                <w:sz w:val="24"/>
                <w:szCs w:val="24"/>
                <w:highlight w:val="none"/>
              </w:rPr>
            </w:pPr>
            <w:r>
              <w:rPr>
                <w:rFonts w:hint="eastAsia" w:ascii="宋体"/>
                <w:b/>
                <w:bCs/>
                <w:color w:val="auto"/>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 w:hRule="atLeast"/>
          <w:jc w:val="center"/>
        </w:trPr>
        <w:tc>
          <w:tcPr>
            <w:tcW w:w="964" w:type="dxa"/>
            <w:noWrap w:val="0"/>
            <w:vAlign w:val="center"/>
          </w:tcPr>
          <w:p>
            <w:pPr>
              <w:jc w:val="center"/>
              <w:rPr>
                <w:rFonts w:ascii="宋体"/>
                <w:color w:val="auto"/>
                <w:sz w:val="24"/>
                <w:szCs w:val="24"/>
                <w:highlight w:val="none"/>
              </w:rPr>
            </w:pPr>
          </w:p>
        </w:tc>
        <w:tc>
          <w:tcPr>
            <w:tcW w:w="3108" w:type="dxa"/>
            <w:noWrap w:val="0"/>
            <w:vAlign w:val="center"/>
          </w:tcPr>
          <w:p>
            <w:pPr>
              <w:jc w:val="center"/>
              <w:rPr>
                <w:rFonts w:ascii="宋体"/>
                <w:color w:val="auto"/>
                <w:sz w:val="24"/>
                <w:szCs w:val="24"/>
                <w:highlight w:val="none"/>
              </w:rPr>
            </w:pPr>
          </w:p>
        </w:tc>
        <w:tc>
          <w:tcPr>
            <w:tcW w:w="1577" w:type="dxa"/>
            <w:noWrap w:val="0"/>
            <w:vAlign w:val="center"/>
          </w:tcPr>
          <w:p>
            <w:pPr>
              <w:jc w:val="center"/>
              <w:rPr>
                <w:rFonts w:ascii="宋体"/>
                <w:color w:val="auto"/>
                <w:sz w:val="24"/>
                <w:szCs w:val="24"/>
                <w:highlight w:val="none"/>
              </w:rPr>
            </w:pPr>
          </w:p>
        </w:tc>
        <w:tc>
          <w:tcPr>
            <w:tcW w:w="1183" w:type="dxa"/>
            <w:noWrap w:val="0"/>
            <w:vAlign w:val="center"/>
          </w:tcPr>
          <w:p>
            <w:pPr>
              <w:jc w:val="center"/>
              <w:rPr>
                <w:rFonts w:ascii="宋体"/>
                <w:color w:val="auto"/>
                <w:sz w:val="24"/>
                <w:szCs w:val="24"/>
                <w:highlight w:val="none"/>
              </w:rPr>
            </w:pPr>
          </w:p>
        </w:tc>
        <w:tc>
          <w:tcPr>
            <w:tcW w:w="1369" w:type="dxa"/>
            <w:noWrap w:val="0"/>
            <w:vAlign w:val="center"/>
          </w:tcPr>
          <w:p>
            <w:pPr>
              <w:jc w:val="center"/>
              <w:rPr>
                <w:rFonts w:asci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 w:hRule="atLeast"/>
          <w:jc w:val="center"/>
        </w:trPr>
        <w:tc>
          <w:tcPr>
            <w:tcW w:w="964" w:type="dxa"/>
            <w:noWrap w:val="0"/>
            <w:vAlign w:val="center"/>
          </w:tcPr>
          <w:p>
            <w:pPr>
              <w:jc w:val="center"/>
              <w:rPr>
                <w:rFonts w:ascii="宋体"/>
                <w:color w:val="auto"/>
                <w:sz w:val="24"/>
                <w:szCs w:val="24"/>
                <w:highlight w:val="none"/>
              </w:rPr>
            </w:pPr>
          </w:p>
        </w:tc>
        <w:tc>
          <w:tcPr>
            <w:tcW w:w="3108" w:type="dxa"/>
            <w:noWrap w:val="0"/>
            <w:vAlign w:val="center"/>
          </w:tcPr>
          <w:p>
            <w:pPr>
              <w:jc w:val="center"/>
              <w:rPr>
                <w:rFonts w:ascii="宋体"/>
                <w:color w:val="auto"/>
                <w:sz w:val="24"/>
                <w:szCs w:val="24"/>
                <w:highlight w:val="none"/>
              </w:rPr>
            </w:pPr>
          </w:p>
        </w:tc>
        <w:tc>
          <w:tcPr>
            <w:tcW w:w="1577" w:type="dxa"/>
            <w:noWrap w:val="0"/>
            <w:vAlign w:val="center"/>
          </w:tcPr>
          <w:p>
            <w:pPr>
              <w:jc w:val="center"/>
              <w:rPr>
                <w:rFonts w:ascii="宋体"/>
                <w:color w:val="auto"/>
                <w:sz w:val="24"/>
                <w:szCs w:val="24"/>
                <w:highlight w:val="none"/>
              </w:rPr>
            </w:pPr>
          </w:p>
        </w:tc>
        <w:tc>
          <w:tcPr>
            <w:tcW w:w="1183" w:type="dxa"/>
            <w:noWrap w:val="0"/>
            <w:vAlign w:val="center"/>
          </w:tcPr>
          <w:p>
            <w:pPr>
              <w:jc w:val="center"/>
              <w:rPr>
                <w:rFonts w:ascii="宋体"/>
                <w:color w:val="auto"/>
                <w:sz w:val="24"/>
                <w:szCs w:val="24"/>
                <w:highlight w:val="none"/>
              </w:rPr>
            </w:pPr>
          </w:p>
        </w:tc>
        <w:tc>
          <w:tcPr>
            <w:tcW w:w="1369" w:type="dxa"/>
            <w:noWrap w:val="0"/>
            <w:vAlign w:val="center"/>
          </w:tcPr>
          <w:p>
            <w:pPr>
              <w:jc w:val="center"/>
              <w:rPr>
                <w:rFonts w:asci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 w:hRule="atLeast"/>
          <w:jc w:val="center"/>
        </w:trPr>
        <w:tc>
          <w:tcPr>
            <w:tcW w:w="964" w:type="dxa"/>
            <w:noWrap w:val="0"/>
            <w:vAlign w:val="center"/>
          </w:tcPr>
          <w:p>
            <w:pPr>
              <w:jc w:val="center"/>
              <w:rPr>
                <w:rFonts w:ascii="宋体"/>
                <w:color w:val="auto"/>
                <w:sz w:val="24"/>
                <w:szCs w:val="24"/>
                <w:highlight w:val="none"/>
              </w:rPr>
            </w:pPr>
          </w:p>
        </w:tc>
        <w:tc>
          <w:tcPr>
            <w:tcW w:w="3108" w:type="dxa"/>
            <w:noWrap w:val="0"/>
            <w:vAlign w:val="center"/>
          </w:tcPr>
          <w:p>
            <w:pPr>
              <w:jc w:val="center"/>
              <w:rPr>
                <w:rFonts w:ascii="宋体"/>
                <w:color w:val="auto"/>
                <w:sz w:val="24"/>
                <w:szCs w:val="24"/>
                <w:highlight w:val="none"/>
              </w:rPr>
            </w:pPr>
          </w:p>
        </w:tc>
        <w:tc>
          <w:tcPr>
            <w:tcW w:w="1577" w:type="dxa"/>
            <w:noWrap w:val="0"/>
            <w:vAlign w:val="center"/>
          </w:tcPr>
          <w:p>
            <w:pPr>
              <w:jc w:val="center"/>
              <w:rPr>
                <w:rFonts w:ascii="宋体"/>
                <w:color w:val="auto"/>
                <w:sz w:val="24"/>
                <w:szCs w:val="24"/>
                <w:highlight w:val="none"/>
              </w:rPr>
            </w:pPr>
          </w:p>
        </w:tc>
        <w:tc>
          <w:tcPr>
            <w:tcW w:w="1183" w:type="dxa"/>
            <w:noWrap w:val="0"/>
            <w:vAlign w:val="center"/>
          </w:tcPr>
          <w:p>
            <w:pPr>
              <w:jc w:val="center"/>
              <w:rPr>
                <w:rFonts w:ascii="宋体"/>
                <w:color w:val="auto"/>
                <w:sz w:val="24"/>
                <w:szCs w:val="24"/>
                <w:highlight w:val="none"/>
              </w:rPr>
            </w:pPr>
          </w:p>
        </w:tc>
        <w:tc>
          <w:tcPr>
            <w:tcW w:w="1369" w:type="dxa"/>
            <w:noWrap w:val="0"/>
            <w:vAlign w:val="center"/>
          </w:tcPr>
          <w:p>
            <w:pPr>
              <w:jc w:val="center"/>
              <w:rPr>
                <w:rFonts w:asci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 w:hRule="atLeast"/>
          <w:jc w:val="center"/>
        </w:trPr>
        <w:tc>
          <w:tcPr>
            <w:tcW w:w="964" w:type="dxa"/>
            <w:noWrap w:val="0"/>
            <w:vAlign w:val="center"/>
          </w:tcPr>
          <w:p>
            <w:pPr>
              <w:jc w:val="center"/>
              <w:rPr>
                <w:rFonts w:ascii="宋体"/>
                <w:color w:val="auto"/>
                <w:sz w:val="24"/>
                <w:szCs w:val="24"/>
                <w:highlight w:val="none"/>
              </w:rPr>
            </w:pPr>
          </w:p>
        </w:tc>
        <w:tc>
          <w:tcPr>
            <w:tcW w:w="3108" w:type="dxa"/>
            <w:noWrap w:val="0"/>
            <w:vAlign w:val="center"/>
          </w:tcPr>
          <w:p>
            <w:pPr>
              <w:jc w:val="center"/>
              <w:rPr>
                <w:rFonts w:ascii="宋体"/>
                <w:color w:val="auto"/>
                <w:sz w:val="24"/>
                <w:szCs w:val="24"/>
                <w:highlight w:val="none"/>
              </w:rPr>
            </w:pPr>
          </w:p>
        </w:tc>
        <w:tc>
          <w:tcPr>
            <w:tcW w:w="1577" w:type="dxa"/>
            <w:noWrap w:val="0"/>
            <w:vAlign w:val="center"/>
          </w:tcPr>
          <w:p>
            <w:pPr>
              <w:jc w:val="center"/>
              <w:rPr>
                <w:rFonts w:ascii="宋体"/>
                <w:color w:val="auto"/>
                <w:sz w:val="24"/>
                <w:szCs w:val="24"/>
                <w:highlight w:val="none"/>
              </w:rPr>
            </w:pPr>
          </w:p>
        </w:tc>
        <w:tc>
          <w:tcPr>
            <w:tcW w:w="1183" w:type="dxa"/>
            <w:noWrap w:val="0"/>
            <w:vAlign w:val="center"/>
          </w:tcPr>
          <w:p>
            <w:pPr>
              <w:jc w:val="center"/>
              <w:rPr>
                <w:rFonts w:ascii="宋体"/>
                <w:color w:val="auto"/>
                <w:sz w:val="24"/>
                <w:szCs w:val="24"/>
                <w:highlight w:val="none"/>
              </w:rPr>
            </w:pPr>
          </w:p>
        </w:tc>
        <w:tc>
          <w:tcPr>
            <w:tcW w:w="1369" w:type="dxa"/>
            <w:noWrap w:val="0"/>
            <w:vAlign w:val="center"/>
          </w:tcPr>
          <w:p>
            <w:pPr>
              <w:jc w:val="center"/>
              <w:rPr>
                <w:rFonts w:asci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 w:hRule="atLeast"/>
          <w:jc w:val="center"/>
        </w:trPr>
        <w:tc>
          <w:tcPr>
            <w:tcW w:w="964" w:type="dxa"/>
            <w:noWrap w:val="0"/>
            <w:vAlign w:val="center"/>
          </w:tcPr>
          <w:p>
            <w:pPr>
              <w:jc w:val="center"/>
              <w:rPr>
                <w:rFonts w:ascii="宋体"/>
                <w:color w:val="auto"/>
                <w:sz w:val="24"/>
                <w:szCs w:val="24"/>
                <w:highlight w:val="none"/>
              </w:rPr>
            </w:pPr>
          </w:p>
        </w:tc>
        <w:tc>
          <w:tcPr>
            <w:tcW w:w="3108" w:type="dxa"/>
            <w:noWrap w:val="0"/>
            <w:vAlign w:val="center"/>
          </w:tcPr>
          <w:p>
            <w:pPr>
              <w:jc w:val="center"/>
              <w:rPr>
                <w:rFonts w:ascii="宋体"/>
                <w:color w:val="auto"/>
                <w:sz w:val="24"/>
                <w:szCs w:val="24"/>
                <w:highlight w:val="none"/>
              </w:rPr>
            </w:pPr>
          </w:p>
        </w:tc>
        <w:tc>
          <w:tcPr>
            <w:tcW w:w="1577" w:type="dxa"/>
            <w:noWrap w:val="0"/>
            <w:vAlign w:val="center"/>
          </w:tcPr>
          <w:p>
            <w:pPr>
              <w:jc w:val="center"/>
              <w:rPr>
                <w:rFonts w:ascii="宋体"/>
                <w:color w:val="auto"/>
                <w:sz w:val="24"/>
                <w:szCs w:val="24"/>
                <w:highlight w:val="none"/>
              </w:rPr>
            </w:pPr>
          </w:p>
        </w:tc>
        <w:tc>
          <w:tcPr>
            <w:tcW w:w="1183" w:type="dxa"/>
            <w:noWrap w:val="0"/>
            <w:vAlign w:val="center"/>
          </w:tcPr>
          <w:p>
            <w:pPr>
              <w:jc w:val="center"/>
              <w:rPr>
                <w:rFonts w:ascii="宋体"/>
                <w:color w:val="auto"/>
                <w:sz w:val="24"/>
                <w:szCs w:val="24"/>
                <w:highlight w:val="none"/>
              </w:rPr>
            </w:pPr>
          </w:p>
        </w:tc>
        <w:tc>
          <w:tcPr>
            <w:tcW w:w="1369" w:type="dxa"/>
            <w:noWrap w:val="0"/>
            <w:vAlign w:val="center"/>
          </w:tcPr>
          <w:p>
            <w:pPr>
              <w:jc w:val="center"/>
              <w:rPr>
                <w:rFonts w:asci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 w:hRule="atLeast"/>
          <w:jc w:val="center"/>
        </w:trPr>
        <w:tc>
          <w:tcPr>
            <w:tcW w:w="964" w:type="dxa"/>
            <w:noWrap w:val="0"/>
            <w:vAlign w:val="center"/>
          </w:tcPr>
          <w:p>
            <w:pPr>
              <w:jc w:val="center"/>
              <w:rPr>
                <w:rFonts w:ascii="宋体"/>
                <w:color w:val="auto"/>
                <w:sz w:val="24"/>
                <w:szCs w:val="24"/>
                <w:highlight w:val="none"/>
              </w:rPr>
            </w:pPr>
          </w:p>
        </w:tc>
        <w:tc>
          <w:tcPr>
            <w:tcW w:w="3108" w:type="dxa"/>
            <w:noWrap w:val="0"/>
            <w:vAlign w:val="center"/>
          </w:tcPr>
          <w:p>
            <w:pPr>
              <w:jc w:val="center"/>
              <w:rPr>
                <w:rFonts w:ascii="宋体"/>
                <w:color w:val="auto"/>
                <w:sz w:val="24"/>
                <w:szCs w:val="24"/>
                <w:highlight w:val="none"/>
              </w:rPr>
            </w:pPr>
          </w:p>
        </w:tc>
        <w:tc>
          <w:tcPr>
            <w:tcW w:w="1577" w:type="dxa"/>
            <w:noWrap w:val="0"/>
            <w:vAlign w:val="center"/>
          </w:tcPr>
          <w:p>
            <w:pPr>
              <w:jc w:val="center"/>
              <w:rPr>
                <w:rFonts w:ascii="宋体"/>
                <w:color w:val="auto"/>
                <w:sz w:val="24"/>
                <w:szCs w:val="24"/>
                <w:highlight w:val="none"/>
              </w:rPr>
            </w:pPr>
          </w:p>
        </w:tc>
        <w:tc>
          <w:tcPr>
            <w:tcW w:w="1183" w:type="dxa"/>
            <w:noWrap w:val="0"/>
            <w:vAlign w:val="center"/>
          </w:tcPr>
          <w:p>
            <w:pPr>
              <w:jc w:val="center"/>
              <w:rPr>
                <w:rFonts w:ascii="宋体"/>
                <w:color w:val="auto"/>
                <w:sz w:val="24"/>
                <w:szCs w:val="24"/>
                <w:highlight w:val="none"/>
              </w:rPr>
            </w:pPr>
          </w:p>
        </w:tc>
        <w:tc>
          <w:tcPr>
            <w:tcW w:w="1369" w:type="dxa"/>
            <w:noWrap w:val="0"/>
            <w:vAlign w:val="center"/>
          </w:tcPr>
          <w:p>
            <w:pPr>
              <w:jc w:val="center"/>
              <w:rPr>
                <w:rFonts w:asci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 w:hRule="atLeast"/>
          <w:jc w:val="center"/>
        </w:trPr>
        <w:tc>
          <w:tcPr>
            <w:tcW w:w="964" w:type="dxa"/>
            <w:noWrap w:val="0"/>
            <w:vAlign w:val="center"/>
          </w:tcPr>
          <w:p>
            <w:pPr>
              <w:jc w:val="center"/>
              <w:rPr>
                <w:rFonts w:ascii="宋体"/>
                <w:color w:val="auto"/>
                <w:sz w:val="24"/>
                <w:szCs w:val="24"/>
                <w:highlight w:val="none"/>
              </w:rPr>
            </w:pPr>
          </w:p>
        </w:tc>
        <w:tc>
          <w:tcPr>
            <w:tcW w:w="3108" w:type="dxa"/>
            <w:noWrap w:val="0"/>
            <w:vAlign w:val="center"/>
          </w:tcPr>
          <w:p>
            <w:pPr>
              <w:jc w:val="center"/>
              <w:rPr>
                <w:rFonts w:ascii="宋体"/>
                <w:color w:val="auto"/>
                <w:sz w:val="24"/>
                <w:szCs w:val="24"/>
                <w:highlight w:val="none"/>
              </w:rPr>
            </w:pPr>
          </w:p>
        </w:tc>
        <w:tc>
          <w:tcPr>
            <w:tcW w:w="1577" w:type="dxa"/>
            <w:noWrap w:val="0"/>
            <w:vAlign w:val="center"/>
          </w:tcPr>
          <w:p>
            <w:pPr>
              <w:jc w:val="center"/>
              <w:rPr>
                <w:rFonts w:ascii="宋体"/>
                <w:color w:val="auto"/>
                <w:sz w:val="24"/>
                <w:szCs w:val="24"/>
                <w:highlight w:val="none"/>
              </w:rPr>
            </w:pPr>
          </w:p>
        </w:tc>
        <w:tc>
          <w:tcPr>
            <w:tcW w:w="1183" w:type="dxa"/>
            <w:noWrap w:val="0"/>
            <w:vAlign w:val="center"/>
          </w:tcPr>
          <w:p>
            <w:pPr>
              <w:jc w:val="center"/>
              <w:rPr>
                <w:rFonts w:ascii="宋体"/>
                <w:color w:val="auto"/>
                <w:sz w:val="24"/>
                <w:szCs w:val="24"/>
                <w:highlight w:val="none"/>
              </w:rPr>
            </w:pPr>
          </w:p>
        </w:tc>
        <w:tc>
          <w:tcPr>
            <w:tcW w:w="1369" w:type="dxa"/>
            <w:noWrap w:val="0"/>
            <w:vAlign w:val="center"/>
          </w:tcPr>
          <w:p>
            <w:pPr>
              <w:jc w:val="center"/>
              <w:rPr>
                <w:rFonts w:ascii="宋体"/>
                <w:color w:val="auto"/>
                <w:sz w:val="24"/>
                <w:szCs w:val="24"/>
                <w:highlight w:val="none"/>
              </w:rPr>
            </w:pPr>
          </w:p>
        </w:tc>
      </w:tr>
    </w:tbl>
    <w:p>
      <w:pPr>
        <w:spacing w:line="360" w:lineRule="auto"/>
        <w:rPr>
          <w:rFonts w:ascii="宋体"/>
          <w:color w:val="auto"/>
          <w:sz w:val="24"/>
          <w:szCs w:val="24"/>
          <w:highlight w:val="none"/>
        </w:rPr>
      </w:pPr>
    </w:p>
    <w:p>
      <w:pPr>
        <w:spacing w:line="360" w:lineRule="auto"/>
        <w:rPr>
          <w:rFonts w:ascii="宋体"/>
          <w:b/>
          <w:bCs/>
          <w:color w:val="auto"/>
          <w:sz w:val="24"/>
          <w:highlight w:val="none"/>
        </w:rPr>
      </w:pPr>
      <w:r>
        <w:rPr>
          <w:rFonts w:hint="eastAsia" w:ascii="宋体" w:hAnsi="宋体"/>
          <w:b/>
          <w:bCs/>
          <w:color w:val="auto"/>
          <w:sz w:val="24"/>
          <w:highlight w:val="none"/>
        </w:rPr>
        <w:t>要求：</w:t>
      </w:r>
    </w:p>
    <w:p>
      <w:pPr>
        <w:spacing w:line="360" w:lineRule="auto"/>
        <w:ind w:firstLine="480" w:firstLineChars="200"/>
        <w:rPr>
          <w:rFonts w:ascii="宋体"/>
          <w:color w:val="auto"/>
          <w:sz w:val="24"/>
          <w:highlight w:val="none"/>
        </w:rPr>
      </w:pPr>
      <w:r>
        <w:rPr>
          <w:rFonts w:ascii="宋体" w:hAnsi="宋体"/>
          <w:color w:val="auto"/>
          <w:sz w:val="24"/>
          <w:highlight w:val="none"/>
        </w:rPr>
        <w:t>1.</w:t>
      </w:r>
      <w:r>
        <w:rPr>
          <w:rFonts w:hint="eastAsia" w:ascii="宋体" w:hAnsi="宋体"/>
          <w:color w:val="auto"/>
          <w:sz w:val="24"/>
          <w:highlight w:val="none"/>
        </w:rPr>
        <w:t>本表中的名称、数量应与报价明细表中相对应的报价名称、数量一致。</w:t>
      </w:r>
    </w:p>
    <w:p>
      <w:pPr>
        <w:spacing w:line="360" w:lineRule="auto"/>
        <w:rPr>
          <w:rFonts w:ascii="宋体"/>
          <w:color w:val="auto"/>
          <w:sz w:val="24"/>
          <w:szCs w:val="24"/>
          <w:highlight w:val="none"/>
        </w:rPr>
      </w:pPr>
    </w:p>
    <w:p>
      <w:pPr>
        <w:spacing w:line="480" w:lineRule="auto"/>
        <w:rPr>
          <w:rFonts w:ascii="宋体"/>
          <w:color w:val="auto"/>
          <w:sz w:val="24"/>
          <w:szCs w:val="24"/>
          <w:highlight w:val="none"/>
        </w:rPr>
      </w:pPr>
      <w:r>
        <w:rPr>
          <w:rFonts w:hint="eastAsia" w:ascii="宋体" w:hAnsi="宋体" w:cs="宋体"/>
          <w:color w:val="auto"/>
          <w:sz w:val="24"/>
          <w:szCs w:val="24"/>
          <w:highlight w:val="none"/>
        </w:rPr>
        <w:t>投标人名称（盖章）：</w:t>
      </w:r>
    </w:p>
    <w:p>
      <w:pPr>
        <w:spacing w:line="480" w:lineRule="auto"/>
        <w:rPr>
          <w:rFonts w:ascii="宋体"/>
          <w:color w:val="auto"/>
          <w:sz w:val="24"/>
          <w:szCs w:val="24"/>
          <w:highlight w:val="none"/>
        </w:rPr>
      </w:pPr>
      <w:r>
        <w:rPr>
          <w:rFonts w:hint="eastAsia" w:ascii="宋体" w:hAnsi="宋体" w:cs="宋体"/>
          <w:color w:val="auto"/>
          <w:sz w:val="24"/>
          <w:szCs w:val="24"/>
          <w:highlight w:val="none"/>
        </w:rPr>
        <w:t>法定代表人或授权委托代理人（签字或盖章）：</w:t>
      </w:r>
    </w:p>
    <w:p>
      <w:pPr>
        <w:spacing w:line="480" w:lineRule="auto"/>
        <w:rPr>
          <w:rFonts w:ascii="宋体"/>
          <w:color w:val="auto"/>
          <w:sz w:val="24"/>
          <w:szCs w:val="24"/>
          <w:highlight w:val="none"/>
        </w:rPr>
      </w:pPr>
      <w:r>
        <w:rPr>
          <w:rFonts w:hint="eastAsia" w:ascii="宋体" w:hAnsi="宋体" w:cs="宋体"/>
          <w:color w:val="auto"/>
          <w:sz w:val="24"/>
          <w:szCs w:val="24"/>
          <w:highlight w:val="none"/>
        </w:rPr>
        <w:t>日期：</w:t>
      </w:r>
    </w:p>
    <w:p>
      <w:pPr>
        <w:spacing w:line="360" w:lineRule="auto"/>
        <w:rPr>
          <w:rFonts w:ascii="宋体"/>
          <w:color w:val="auto"/>
          <w:sz w:val="24"/>
          <w:szCs w:val="24"/>
          <w:highlight w:val="none"/>
        </w:rPr>
      </w:pPr>
    </w:p>
    <w:p>
      <w:pPr>
        <w:pStyle w:val="2"/>
        <w:rPr>
          <w:rFonts w:hint="eastAsia"/>
          <w:color w:val="auto"/>
          <w:highlight w:val="none"/>
        </w:rPr>
      </w:pPr>
    </w:p>
    <w:p>
      <w:pPr>
        <w:spacing w:line="360" w:lineRule="auto"/>
        <w:rPr>
          <w:rFonts w:ascii="宋体"/>
          <w:color w:val="auto"/>
          <w:sz w:val="24"/>
          <w:szCs w:val="24"/>
          <w:highlight w:val="none"/>
        </w:rPr>
      </w:pPr>
    </w:p>
    <w:p>
      <w:pPr>
        <w:pStyle w:val="2"/>
        <w:rPr>
          <w:rFonts w:ascii="宋体"/>
          <w:color w:val="auto"/>
          <w:sz w:val="24"/>
          <w:szCs w:val="24"/>
          <w:highlight w:val="none"/>
        </w:rPr>
      </w:pPr>
    </w:p>
    <w:p>
      <w:pPr>
        <w:rPr>
          <w:rFonts w:ascii="宋体"/>
          <w:color w:val="auto"/>
          <w:sz w:val="24"/>
          <w:szCs w:val="24"/>
          <w:highlight w:val="none"/>
        </w:rPr>
      </w:pPr>
    </w:p>
    <w:p>
      <w:pPr>
        <w:pStyle w:val="2"/>
        <w:rPr>
          <w:rFonts w:ascii="宋体"/>
          <w:color w:val="auto"/>
          <w:sz w:val="24"/>
          <w:szCs w:val="24"/>
          <w:highlight w:val="none"/>
        </w:rPr>
      </w:pPr>
    </w:p>
    <w:p>
      <w:pPr>
        <w:rPr>
          <w:rFonts w:ascii="宋体"/>
          <w:color w:val="auto"/>
          <w:sz w:val="24"/>
          <w:szCs w:val="24"/>
          <w:highlight w:val="none"/>
        </w:rPr>
      </w:pPr>
    </w:p>
    <w:p>
      <w:pPr>
        <w:pStyle w:val="2"/>
        <w:rPr>
          <w:rFonts w:ascii="宋体"/>
          <w:color w:val="auto"/>
          <w:sz w:val="24"/>
          <w:szCs w:val="24"/>
          <w:highlight w:val="none"/>
        </w:rPr>
      </w:pPr>
    </w:p>
    <w:p>
      <w:pPr>
        <w:rPr>
          <w:rFonts w:ascii="宋体"/>
          <w:color w:val="auto"/>
          <w:sz w:val="24"/>
          <w:szCs w:val="24"/>
          <w:highlight w:val="none"/>
        </w:rPr>
      </w:pPr>
    </w:p>
    <w:p>
      <w:pPr>
        <w:pStyle w:val="2"/>
        <w:rPr>
          <w:color w:val="auto"/>
          <w:highlight w:val="none"/>
        </w:rPr>
      </w:pPr>
    </w:p>
    <w:p>
      <w:pPr>
        <w:spacing w:line="360" w:lineRule="auto"/>
        <w:jc w:val="left"/>
        <w:rPr>
          <w:rFonts w:ascii="宋体" w:cs="宋体"/>
          <w:b/>
          <w:bCs/>
          <w:color w:val="auto"/>
          <w:sz w:val="28"/>
          <w:szCs w:val="36"/>
          <w:highlight w:val="none"/>
        </w:rPr>
      </w:pPr>
      <w:r>
        <w:rPr>
          <w:rFonts w:hint="eastAsia" w:ascii="宋体" w:hAnsi="宋体" w:cs="宋体"/>
          <w:b/>
          <w:bCs/>
          <w:color w:val="auto"/>
          <w:sz w:val="28"/>
          <w:szCs w:val="36"/>
          <w:highlight w:val="none"/>
          <w:lang w:val="zh-CN"/>
        </w:rPr>
        <w:t>附件</w:t>
      </w:r>
      <w:r>
        <w:rPr>
          <w:rFonts w:ascii="宋体" w:hAnsi="宋体" w:cs="宋体"/>
          <w:b/>
          <w:bCs/>
          <w:color w:val="auto"/>
          <w:sz w:val="28"/>
          <w:szCs w:val="36"/>
          <w:highlight w:val="none"/>
        </w:rPr>
        <w:t>9</w:t>
      </w:r>
    </w:p>
    <w:p>
      <w:pPr>
        <w:spacing w:line="360" w:lineRule="auto"/>
        <w:jc w:val="center"/>
        <w:rPr>
          <w:rFonts w:ascii="宋体"/>
          <w:b/>
          <w:bCs/>
          <w:color w:val="auto"/>
          <w:sz w:val="32"/>
          <w:szCs w:val="32"/>
          <w:highlight w:val="none"/>
        </w:rPr>
      </w:pPr>
      <w:r>
        <w:rPr>
          <w:rFonts w:hint="eastAsia" w:ascii="宋体" w:hAnsi="宋体"/>
          <w:b/>
          <w:bCs/>
          <w:color w:val="auto"/>
          <w:kern w:val="0"/>
          <w:sz w:val="32"/>
          <w:szCs w:val="32"/>
          <w:highlight w:val="none"/>
        </w:rPr>
        <w:t>技术需求响应表</w:t>
      </w:r>
    </w:p>
    <w:p>
      <w:pPr>
        <w:spacing w:line="360" w:lineRule="auto"/>
        <w:rPr>
          <w:rFonts w:ascii="宋体"/>
          <w:color w:val="auto"/>
          <w:sz w:val="24"/>
          <w:highlight w:val="none"/>
        </w:rPr>
      </w:pPr>
    </w:p>
    <w:tbl>
      <w:tblPr>
        <w:tblStyle w:val="20"/>
        <w:tblW w:w="821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1785"/>
        <w:gridCol w:w="1560"/>
        <w:gridCol w:w="1401"/>
        <w:gridCol w:w="1365"/>
        <w:gridCol w:w="13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735" w:type="dxa"/>
            <w:noWrap w:val="0"/>
            <w:vAlign w:val="center"/>
          </w:tcPr>
          <w:p>
            <w:pPr>
              <w:spacing w:line="360" w:lineRule="auto"/>
              <w:rPr>
                <w:rFonts w:ascii="宋体"/>
                <w:b/>
                <w:color w:val="auto"/>
                <w:sz w:val="24"/>
                <w:highlight w:val="none"/>
              </w:rPr>
            </w:pPr>
            <w:r>
              <w:rPr>
                <w:rFonts w:hint="eastAsia" w:ascii="宋体" w:hAnsi="宋体"/>
                <w:b/>
                <w:color w:val="auto"/>
                <w:sz w:val="24"/>
                <w:highlight w:val="none"/>
              </w:rPr>
              <w:t>序号</w:t>
            </w:r>
          </w:p>
        </w:tc>
        <w:tc>
          <w:tcPr>
            <w:tcW w:w="1785" w:type="dxa"/>
            <w:noWrap w:val="0"/>
            <w:vAlign w:val="center"/>
          </w:tcPr>
          <w:p>
            <w:pPr>
              <w:spacing w:line="360" w:lineRule="auto"/>
              <w:ind w:left="13" w:leftChars="6" w:firstLine="482" w:firstLineChars="200"/>
              <w:rPr>
                <w:rFonts w:ascii="宋体"/>
                <w:b/>
                <w:color w:val="auto"/>
                <w:sz w:val="24"/>
                <w:highlight w:val="none"/>
              </w:rPr>
            </w:pPr>
            <w:r>
              <w:rPr>
                <w:rFonts w:hint="eastAsia" w:ascii="宋体" w:hAnsi="宋体"/>
                <w:b/>
                <w:color w:val="auto"/>
                <w:sz w:val="24"/>
                <w:highlight w:val="none"/>
              </w:rPr>
              <w:t>名称</w:t>
            </w:r>
          </w:p>
        </w:tc>
        <w:tc>
          <w:tcPr>
            <w:tcW w:w="1560" w:type="dxa"/>
            <w:noWrap w:val="0"/>
            <w:vAlign w:val="center"/>
          </w:tcPr>
          <w:p>
            <w:pPr>
              <w:spacing w:line="360" w:lineRule="auto"/>
              <w:ind w:left="152"/>
              <w:rPr>
                <w:rFonts w:ascii="宋体"/>
                <w:b/>
                <w:color w:val="auto"/>
                <w:sz w:val="24"/>
                <w:highlight w:val="none"/>
              </w:rPr>
            </w:pPr>
            <w:r>
              <w:rPr>
                <w:rFonts w:hint="eastAsia" w:ascii="宋体" w:hAnsi="宋体"/>
                <w:b/>
                <w:color w:val="auto"/>
                <w:sz w:val="24"/>
                <w:highlight w:val="none"/>
              </w:rPr>
              <w:t>招标参数</w:t>
            </w:r>
          </w:p>
        </w:tc>
        <w:tc>
          <w:tcPr>
            <w:tcW w:w="1401" w:type="dxa"/>
            <w:noWrap w:val="0"/>
            <w:vAlign w:val="center"/>
          </w:tcPr>
          <w:p>
            <w:pPr>
              <w:spacing w:line="360" w:lineRule="auto"/>
              <w:rPr>
                <w:rFonts w:ascii="宋体"/>
                <w:b/>
                <w:color w:val="auto"/>
                <w:sz w:val="24"/>
                <w:highlight w:val="none"/>
              </w:rPr>
            </w:pPr>
            <w:r>
              <w:rPr>
                <w:rFonts w:hint="eastAsia" w:ascii="宋体" w:hAnsi="宋体"/>
                <w:b/>
                <w:color w:val="auto"/>
                <w:sz w:val="24"/>
                <w:highlight w:val="none"/>
              </w:rPr>
              <w:t>投标参数</w:t>
            </w:r>
          </w:p>
        </w:tc>
        <w:tc>
          <w:tcPr>
            <w:tcW w:w="1365" w:type="dxa"/>
            <w:noWrap w:val="0"/>
            <w:vAlign w:val="center"/>
          </w:tcPr>
          <w:p>
            <w:pPr>
              <w:spacing w:line="360" w:lineRule="auto"/>
              <w:rPr>
                <w:rFonts w:ascii="宋体"/>
                <w:b/>
                <w:color w:val="auto"/>
                <w:sz w:val="24"/>
                <w:highlight w:val="none"/>
              </w:rPr>
            </w:pPr>
            <w:r>
              <w:rPr>
                <w:rFonts w:hint="eastAsia" w:ascii="宋体" w:hAnsi="宋体"/>
                <w:b/>
                <w:color w:val="auto"/>
                <w:sz w:val="24"/>
                <w:highlight w:val="none"/>
              </w:rPr>
              <w:t>偏离说明</w:t>
            </w:r>
          </w:p>
        </w:tc>
        <w:tc>
          <w:tcPr>
            <w:tcW w:w="1365" w:type="dxa"/>
            <w:noWrap w:val="0"/>
            <w:vAlign w:val="center"/>
          </w:tcPr>
          <w:p>
            <w:pPr>
              <w:spacing w:line="360" w:lineRule="auto"/>
              <w:jc w:val="center"/>
              <w:rPr>
                <w:rFonts w:ascii="宋体" w:hAnsi="宋体"/>
                <w:b/>
                <w:color w:val="auto"/>
                <w:sz w:val="24"/>
                <w:highlight w:val="none"/>
              </w:rPr>
            </w:pPr>
            <w:r>
              <w:rPr>
                <w:rFonts w:hint="eastAsia" w:ascii="宋体" w:hAnsi="宋体"/>
                <w:b/>
                <w:color w:val="auto"/>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735" w:type="dxa"/>
            <w:noWrap w:val="0"/>
            <w:vAlign w:val="center"/>
          </w:tcPr>
          <w:p>
            <w:pPr>
              <w:spacing w:line="360" w:lineRule="auto"/>
              <w:rPr>
                <w:rFonts w:ascii="宋体"/>
                <w:color w:val="auto"/>
                <w:sz w:val="24"/>
                <w:highlight w:val="none"/>
              </w:rPr>
            </w:pPr>
          </w:p>
        </w:tc>
        <w:tc>
          <w:tcPr>
            <w:tcW w:w="1785" w:type="dxa"/>
            <w:noWrap w:val="0"/>
            <w:vAlign w:val="center"/>
          </w:tcPr>
          <w:p>
            <w:pPr>
              <w:spacing w:line="360" w:lineRule="auto"/>
              <w:rPr>
                <w:rFonts w:ascii="宋体"/>
                <w:color w:val="auto"/>
                <w:sz w:val="24"/>
                <w:highlight w:val="none"/>
              </w:rPr>
            </w:pPr>
          </w:p>
        </w:tc>
        <w:tc>
          <w:tcPr>
            <w:tcW w:w="1560" w:type="dxa"/>
            <w:noWrap w:val="0"/>
            <w:vAlign w:val="center"/>
          </w:tcPr>
          <w:p>
            <w:pPr>
              <w:spacing w:line="360" w:lineRule="auto"/>
              <w:rPr>
                <w:rFonts w:ascii="宋体"/>
                <w:color w:val="auto"/>
                <w:sz w:val="24"/>
                <w:highlight w:val="none"/>
              </w:rPr>
            </w:pPr>
          </w:p>
        </w:tc>
        <w:tc>
          <w:tcPr>
            <w:tcW w:w="1401" w:type="dxa"/>
            <w:noWrap w:val="0"/>
            <w:vAlign w:val="center"/>
          </w:tcPr>
          <w:p>
            <w:pPr>
              <w:spacing w:line="360" w:lineRule="auto"/>
              <w:rPr>
                <w:rFonts w:ascii="宋体"/>
                <w:color w:val="auto"/>
                <w:sz w:val="24"/>
                <w:highlight w:val="none"/>
              </w:rPr>
            </w:pPr>
          </w:p>
        </w:tc>
        <w:tc>
          <w:tcPr>
            <w:tcW w:w="1365" w:type="dxa"/>
            <w:noWrap w:val="0"/>
            <w:vAlign w:val="center"/>
          </w:tcPr>
          <w:p>
            <w:pPr>
              <w:spacing w:line="360" w:lineRule="auto"/>
              <w:rPr>
                <w:rFonts w:ascii="宋体"/>
                <w:color w:val="auto"/>
                <w:sz w:val="24"/>
                <w:highlight w:val="none"/>
              </w:rPr>
            </w:pPr>
          </w:p>
        </w:tc>
        <w:tc>
          <w:tcPr>
            <w:tcW w:w="1365" w:type="dxa"/>
            <w:noWrap w:val="0"/>
            <w:vAlign w:val="center"/>
          </w:tcPr>
          <w:p>
            <w:pPr>
              <w:spacing w:line="360" w:lineRule="auto"/>
              <w:rPr>
                <w:rFonts w:asci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735" w:type="dxa"/>
            <w:noWrap w:val="0"/>
            <w:vAlign w:val="center"/>
          </w:tcPr>
          <w:p>
            <w:pPr>
              <w:spacing w:line="360" w:lineRule="auto"/>
              <w:rPr>
                <w:rFonts w:ascii="宋体"/>
                <w:color w:val="auto"/>
                <w:sz w:val="24"/>
                <w:highlight w:val="none"/>
              </w:rPr>
            </w:pPr>
          </w:p>
        </w:tc>
        <w:tc>
          <w:tcPr>
            <w:tcW w:w="1785" w:type="dxa"/>
            <w:noWrap w:val="0"/>
            <w:vAlign w:val="center"/>
          </w:tcPr>
          <w:p>
            <w:pPr>
              <w:spacing w:line="360" w:lineRule="auto"/>
              <w:rPr>
                <w:rFonts w:ascii="宋体"/>
                <w:color w:val="auto"/>
                <w:sz w:val="24"/>
                <w:highlight w:val="none"/>
              </w:rPr>
            </w:pPr>
          </w:p>
        </w:tc>
        <w:tc>
          <w:tcPr>
            <w:tcW w:w="1560" w:type="dxa"/>
            <w:noWrap w:val="0"/>
            <w:vAlign w:val="center"/>
          </w:tcPr>
          <w:p>
            <w:pPr>
              <w:spacing w:line="360" w:lineRule="auto"/>
              <w:rPr>
                <w:rFonts w:ascii="宋体"/>
                <w:color w:val="auto"/>
                <w:sz w:val="24"/>
                <w:highlight w:val="none"/>
              </w:rPr>
            </w:pPr>
          </w:p>
        </w:tc>
        <w:tc>
          <w:tcPr>
            <w:tcW w:w="1401" w:type="dxa"/>
            <w:noWrap w:val="0"/>
            <w:vAlign w:val="center"/>
          </w:tcPr>
          <w:p>
            <w:pPr>
              <w:spacing w:line="360" w:lineRule="auto"/>
              <w:rPr>
                <w:rFonts w:ascii="宋体"/>
                <w:color w:val="auto"/>
                <w:sz w:val="24"/>
                <w:highlight w:val="none"/>
              </w:rPr>
            </w:pPr>
          </w:p>
        </w:tc>
        <w:tc>
          <w:tcPr>
            <w:tcW w:w="1365" w:type="dxa"/>
            <w:noWrap w:val="0"/>
            <w:vAlign w:val="center"/>
          </w:tcPr>
          <w:p>
            <w:pPr>
              <w:spacing w:line="360" w:lineRule="auto"/>
              <w:rPr>
                <w:rFonts w:ascii="宋体"/>
                <w:color w:val="auto"/>
                <w:sz w:val="24"/>
                <w:highlight w:val="none"/>
              </w:rPr>
            </w:pPr>
          </w:p>
        </w:tc>
        <w:tc>
          <w:tcPr>
            <w:tcW w:w="1365" w:type="dxa"/>
            <w:noWrap w:val="0"/>
            <w:vAlign w:val="center"/>
          </w:tcPr>
          <w:p>
            <w:pPr>
              <w:spacing w:line="360" w:lineRule="auto"/>
              <w:rPr>
                <w:rFonts w:asci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noWrap w:val="0"/>
            <w:vAlign w:val="center"/>
          </w:tcPr>
          <w:p>
            <w:pPr>
              <w:spacing w:line="360" w:lineRule="auto"/>
              <w:rPr>
                <w:rFonts w:ascii="宋体"/>
                <w:color w:val="auto"/>
                <w:sz w:val="24"/>
                <w:highlight w:val="none"/>
              </w:rPr>
            </w:pPr>
          </w:p>
        </w:tc>
        <w:tc>
          <w:tcPr>
            <w:tcW w:w="1785" w:type="dxa"/>
            <w:noWrap w:val="0"/>
            <w:vAlign w:val="center"/>
          </w:tcPr>
          <w:p>
            <w:pPr>
              <w:spacing w:line="360" w:lineRule="auto"/>
              <w:rPr>
                <w:rFonts w:ascii="宋体"/>
                <w:color w:val="auto"/>
                <w:sz w:val="24"/>
                <w:highlight w:val="none"/>
              </w:rPr>
            </w:pPr>
          </w:p>
        </w:tc>
        <w:tc>
          <w:tcPr>
            <w:tcW w:w="1560" w:type="dxa"/>
            <w:noWrap w:val="0"/>
            <w:vAlign w:val="center"/>
          </w:tcPr>
          <w:p>
            <w:pPr>
              <w:spacing w:line="360" w:lineRule="auto"/>
              <w:rPr>
                <w:rFonts w:ascii="宋体"/>
                <w:color w:val="auto"/>
                <w:sz w:val="24"/>
                <w:highlight w:val="none"/>
              </w:rPr>
            </w:pPr>
          </w:p>
        </w:tc>
        <w:tc>
          <w:tcPr>
            <w:tcW w:w="1401" w:type="dxa"/>
            <w:noWrap w:val="0"/>
            <w:vAlign w:val="center"/>
          </w:tcPr>
          <w:p>
            <w:pPr>
              <w:spacing w:line="360" w:lineRule="auto"/>
              <w:rPr>
                <w:rFonts w:ascii="宋体"/>
                <w:color w:val="auto"/>
                <w:sz w:val="24"/>
                <w:highlight w:val="none"/>
              </w:rPr>
            </w:pPr>
          </w:p>
        </w:tc>
        <w:tc>
          <w:tcPr>
            <w:tcW w:w="1365" w:type="dxa"/>
            <w:noWrap w:val="0"/>
            <w:vAlign w:val="center"/>
          </w:tcPr>
          <w:p>
            <w:pPr>
              <w:spacing w:line="360" w:lineRule="auto"/>
              <w:rPr>
                <w:rFonts w:ascii="宋体"/>
                <w:color w:val="auto"/>
                <w:sz w:val="24"/>
                <w:highlight w:val="none"/>
              </w:rPr>
            </w:pPr>
          </w:p>
        </w:tc>
        <w:tc>
          <w:tcPr>
            <w:tcW w:w="1365" w:type="dxa"/>
            <w:noWrap w:val="0"/>
            <w:vAlign w:val="center"/>
          </w:tcPr>
          <w:p>
            <w:pPr>
              <w:spacing w:line="360" w:lineRule="auto"/>
              <w:rPr>
                <w:rFonts w:asci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noWrap w:val="0"/>
            <w:vAlign w:val="center"/>
          </w:tcPr>
          <w:p>
            <w:pPr>
              <w:spacing w:line="360" w:lineRule="auto"/>
              <w:rPr>
                <w:rFonts w:ascii="宋体"/>
                <w:color w:val="auto"/>
                <w:sz w:val="24"/>
                <w:highlight w:val="none"/>
              </w:rPr>
            </w:pPr>
          </w:p>
        </w:tc>
        <w:tc>
          <w:tcPr>
            <w:tcW w:w="1785" w:type="dxa"/>
            <w:noWrap w:val="0"/>
            <w:vAlign w:val="center"/>
          </w:tcPr>
          <w:p>
            <w:pPr>
              <w:spacing w:line="360" w:lineRule="auto"/>
              <w:rPr>
                <w:rFonts w:ascii="宋体"/>
                <w:color w:val="auto"/>
                <w:sz w:val="24"/>
                <w:highlight w:val="none"/>
              </w:rPr>
            </w:pPr>
          </w:p>
        </w:tc>
        <w:tc>
          <w:tcPr>
            <w:tcW w:w="1560" w:type="dxa"/>
            <w:noWrap w:val="0"/>
            <w:vAlign w:val="center"/>
          </w:tcPr>
          <w:p>
            <w:pPr>
              <w:spacing w:line="360" w:lineRule="auto"/>
              <w:rPr>
                <w:rFonts w:ascii="宋体"/>
                <w:color w:val="auto"/>
                <w:sz w:val="24"/>
                <w:highlight w:val="none"/>
              </w:rPr>
            </w:pPr>
          </w:p>
        </w:tc>
        <w:tc>
          <w:tcPr>
            <w:tcW w:w="1401" w:type="dxa"/>
            <w:noWrap w:val="0"/>
            <w:vAlign w:val="center"/>
          </w:tcPr>
          <w:p>
            <w:pPr>
              <w:spacing w:line="360" w:lineRule="auto"/>
              <w:rPr>
                <w:rFonts w:ascii="宋体"/>
                <w:color w:val="auto"/>
                <w:sz w:val="24"/>
                <w:highlight w:val="none"/>
              </w:rPr>
            </w:pPr>
          </w:p>
        </w:tc>
        <w:tc>
          <w:tcPr>
            <w:tcW w:w="1365" w:type="dxa"/>
            <w:noWrap w:val="0"/>
            <w:vAlign w:val="center"/>
          </w:tcPr>
          <w:p>
            <w:pPr>
              <w:spacing w:line="360" w:lineRule="auto"/>
              <w:rPr>
                <w:rFonts w:ascii="宋体"/>
                <w:color w:val="auto"/>
                <w:sz w:val="24"/>
                <w:highlight w:val="none"/>
              </w:rPr>
            </w:pPr>
          </w:p>
        </w:tc>
        <w:tc>
          <w:tcPr>
            <w:tcW w:w="1365" w:type="dxa"/>
            <w:noWrap w:val="0"/>
            <w:vAlign w:val="center"/>
          </w:tcPr>
          <w:p>
            <w:pPr>
              <w:spacing w:line="360" w:lineRule="auto"/>
              <w:rPr>
                <w:rFonts w:asci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rPr>
        <w:tc>
          <w:tcPr>
            <w:tcW w:w="735" w:type="dxa"/>
            <w:noWrap w:val="0"/>
            <w:vAlign w:val="center"/>
          </w:tcPr>
          <w:p>
            <w:pPr>
              <w:spacing w:line="360" w:lineRule="auto"/>
              <w:rPr>
                <w:rFonts w:ascii="宋体"/>
                <w:color w:val="auto"/>
                <w:sz w:val="24"/>
                <w:highlight w:val="none"/>
              </w:rPr>
            </w:pPr>
          </w:p>
        </w:tc>
        <w:tc>
          <w:tcPr>
            <w:tcW w:w="1785" w:type="dxa"/>
            <w:noWrap w:val="0"/>
            <w:vAlign w:val="center"/>
          </w:tcPr>
          <w:p>
            <w:pPr>
              <w:spacing w:line="360" w:lineRule="auto"/>
              <w:rPr>
                <w:rFonts w:ascii="宋体"/>
                <w:color w:val="auto"/>
                <w:sz w:val="24"/>
                <w:highlight w:val="none"/>
              </w:rPr>
            </w:pPr>
          </w:p>
        </w:tc>
        <w:tc>
          <w:tcPr>
            <w:tcW w:w="1560" w:type="dxa"/>
            <w:noWrap w:val="0"/>
            <w:vAlign w:val="center"/>
          </w:tcPr>
          <w:p>
            <w:pPr>
              <w:spacing w:line="360" w:lineRule="auto"/>
              <w:rPr>
                <w:rFonts w:ascii="宋体"/>
                <w:color w:val="auto"/>
                <w:sz w:val="24"/>
                <w:highlight w:val="none"/>
              </w:rPr>
            </w:pPr>
          </w:p>
        </w:tc>
        <w:tc>
          <w:tcPr>
            <w:tcW w:w="1401" w:type="dxa"/>
            <w:noWrap w:val="0"/>
            <w:vAlign w:val="center"/>
          </w:tcPr>
          <w:p>
            <w:pPr>
              <w:spacing w:line="360" w:lineRule="auto"/>
              <w:rPr>
                <w:rFonts w:ascii="宋体"/>
                <w:color w:val="auto"/>
                <w:sz w:val="24"/>
                <w:highlight w:val="none"/>
              </w:rPr>
            </w:pPr>
          </w:p>
        </w:tc>
        <w:tc>
          <w:tcPr>
            <w:tcW w:w="1365" w:type="dxa"/>
            <w:noWrap w:val="0"/>
            <w:vAlign w:val="center"/>
          </w:tcPr>
          <w:p>
            <w:pPr>
              <w:spacing w:line="360" w:lineRule="auto"/>
              <w:rPr>
                <w:rFonts w:ascii="宋体"/>
                <w:color w:val="auto"/>
                <w:sz w:val="24"/>
                <w:highlight w:val="none"/>
              </w:rPr>
            </w:pPr>
          </w:p>
        </w:tc>
        <w:tc>
          <w:tcPr>
            <w:tcW w:w="1365" w:type="dxa"/>
            <w:noWrap w:val="0"/>
            <w:vAlign w:val="center"/>
          </w:tcPr>
          <w:p>
            <w:pPr>
              <w:spacing w:line="360" w:lineRule="auto"/>
              <w:rPr>
                <w:rFonts w:asci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trPr>
        <w:tc>
          <w:tcPr>
            <w:tcW w:w="735" w:type="dxa"/>
            <w:noWrap w:val="0"/>
            <w:vAlign w:val="center"/>
          </w:tcPr>
          <w:p>
            <w:pPr>
              <w:spacing w:line="360" w:lineRule="auto"/>
              <w:rPr>
                <w:rFonts w:ascii="宋体"/>
                <w:color w:val="auto"/>
                <w:sz w:val="24"/>
                <w:highlight w:val="none"/>
              </w:rPr>
            </w:pPr>
          </w:p>
        </w:tc>
        <w:tc>
          <w:tcPr>
            <w:tcW w:w="1785" w:type="dxa"/>
            <w:noWrap w:val="0"/>
            <w:vAlign w:val="center"/>
          </w:tcPr>
          <w:p>
            <w:pPr>
              <w:spacing w:line="360" w:lineRule="auto"/>
              <w:rPr>
                <w:rFonts w:ascii="宋体"/>
                <w:color w:val="auto"/>
                <w:sz w:val="24"/>
                <w:highlight w:val="none"/>
              </w:rPr>
            </w:pPr>
          </w:p>
        </w:tc>
        <w:tc>
          <w:tcPr>
            <w:tcW w:w="1560" w:type="dxa"/>
            <w:noWrap w:val="0"/>
            <w:vAlign w:val="center"/>
          </w:tcPr>
          <w:p>
            <w:pPr>
              <w:spacing w:line="360" w:lineRule="auto"/>
              <w:rPr>
                <w:rFonts w:ascii="宋体"/>
                <w:color w:val="auto"/>
                <w:sz w:val="24"/>
                <w:highlight w:val="none"/>
              </w:rPr>
            </w:pPr>
          </w:p>
        </w:tc>
        <w:tc>
          <w:tcPr>
            <w:tcW w:w="1401" w:type="dxa"/>
            <w:noWrap w:val="0"/>
            <w:vAlign w:val="center"/>
          </w:tcPr>
          <w:p>
            <w:pPr>
              <w:spacing w:line="360" w:lineRule="auto"/>
              <w:rPr>
                <w:rFonts w:ascii="宋体"/>
                <w:color w:val="auto"/>
                <w:sz w:val="24"/>
                <w:highlight w:val="none"/>
              </w:rPr>
            </w:pPr>
          </w:p>
        </w:tc>
        <w:tc>
          <w:tcPr>
            <w:tcW w:w="1365" w:type="dxa"/>
            <w:noWrap w:val="0"/>
            <w:vAlign w:val="center"/>
          </w:tcPr>
          <w:p>
            <w:pPr>
              <w:spacing w:line="360" w:lineRule="auto"/>
              <w:rPr>
                <w:rFonts w:ascii="宋体"/>
                <w:color w:val="auto"/>
                <w:sz w:val="24"/>
                <w:highlight w:val="none"/>
              </w:rPr>
            </w:pPr>
          </w:p>
        </w:tc>
        <w:tc>
          <w:tcPr>
            <w:tcW w:w="1365" w:type="dxa"/>
            <w:noWrap w:val="0"/>
            <w:vAlign w:val="center"/>
          </w:tcPr>
          <w:p>
            <w:pPr>
              <w:spacing w:line="360" w:lineRule="auto"/>
              <w:rPr>
                <w:rFonts w:asci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735" w:type="dxa"/>
            <w:noWrap w:val="0"/>
            <w:vAlign w:val="center"/>
          </w:tcPr>
          <w:p>
            <w:pPr>
              <w:spacing w:line="360" w:lineRule="auto"/>
              <w:rPr>
                <w:rFonts w:ascii="宋体"/>
                <w:color w:val="auto"/>
                <w:sz w:val="24"/>
                <w:highlight w:val="none"/>
              </w:rPr>
            </w:pPr>
          </w:p>
        </w:tc>
        <w:tc>
          <w:tcPr>
            <w:tcW w:w="1785" w:type="dxa"/>
            <w:noWrap w:val="0"/>
            <w:vAlign w:val="center"/>
          </w:tcPr>
          <w:p>
            <w:pPr>
              <w:spacing w:line="360" w:lineRule="auto"/>
              <w:rPr>
                <w:rFonts w:ascii="宋体"/>
                <w:color w:val="auto"/>
                <w:sz w:val="24"/>
                <w:highlight w:val="none"/>
              </w:rPr>
            </w:pPr>
          </w:p>
        </w:tc>
        <w:tc>
          <w:tcPr>
            <w:tcW w:w="1560" w:type="dxa"/>
            <w:noWrap w:val="0"/>
            <w:vAlign w:val="center"/>
          </w:tcPr>
          <w:p>
            <w:pPr>
              <w:spacing w:line="360" w:lineRule="auto"/>
              <w:rPr>
                <w:rFonts w:ascii="宋体"/>
                <w:color w:val="auto"/>
                <w:sz w:val="24"/>
                <w:highlight w:val="none"/>
              </w:rPr>
            </w:pPr>
          </w:p>
        </w:tc>
        <w:tc>
          <w:tcPr>
            <w:tcW w:w="1401" w:type="dxa"/>
            <w:noWrap w:val="0"/>
            <w:vAlign w:val="center"/>
          </w:tcPr>
          <w:p>
            <w:pPr>
              <w:spacing w:line="360" w:lineRule="auto"/>
              <w:rPr>
                <w:rFonts w:ascii="宋体"/>
                <w:color w:val="auto"/>
                <w:sz w:val="24"/>
                <w:highlight w:val="none"/>
              </w:rPr>
            </w:pPr>
          </w:p>
        </w:tc>
        <w:tc>
          <w:tcPr>
            <w:tcW w:w="1365" w:type="dxa"/>
            <w:noWrap w:val="0"/>
            <w:vAlign w:val="center"/>
          </w:tcPr>
          <w:p>
            <w:pPr>
              <w:spacing w:line="360" w:lineRule="auto"/>
              <w:rPr>
                <w:rFonts w:ascii="宋体"/>
                <w:color w:val="auto"/>
                <w:sz w:val="24"/>
                <w:highlight w:val="none"/>
              </w:rPr>
            </w:pPr>
          </w:p>
        </w:tc>
        <w:tc>
          <w:tcPr>
            <w:tcW w:w="1365" w:type="dxa"/>
            <w:noWrap w:val="0"/>
            <w:vAlign w:val="center"/>
          </w:tcPr>
          <w:p>
            <w:pPr>
              <w:spacing w:line="360" w:lineRule="auto"/>
              <w:rPr>
                <w:rFonts w:ascii="宋体"/>
                <w:color w:val="auto"/>
                <w:sz w:val="24"/>
                <w:highlight w:val="none"/>
              </w:rPr>
            </w:pPr>
          </w:p>
        </w:tc>
      </w:tr>
    </w:tbl>
    <w:p>
      <w:pPr>
        <w:spacing w:line="360" w:lineRule="auto"/>
        <w:rPr>
          <w:rFonts w:ascii="宋体"/>
          <w:b/>
          <w:bCs/>
          <w:color w:val="auto"/>
          <w:sz w:val="24"/>
          <w:highlight w:val="none"/>
        </w:rPr>
      </w:pPr>
      <w:r>
        <w:rPr>
          <w:rFonts w:hint="eastAsia" w:ascii="宋体" w:hAnsi="宋体"/>
          <w:b/>
          <w:bCs/>
          <w:color w:val="auto"/>
          <w:sz w:val="24"/>
          <w:highlight w:val="none"/>
        </w:rPr>
        <w:t>要求：</w:t>
      </w:r>
    </w:p>
    <w:p>
      <w:pPr>
        <w:spacing w:line="360" w:lineRule="auto"/>
        <w:ind w:firstLine="480" w:firstLineChars="200"/>
        <w:rPr>
          <w:rFonts w:ascii="宋体"/>
          <w:color w:val="auto"/>
          <w:sz w:val="24"/>
          <w:highlight w:val="none"/>
        </w:rPr>
      </w:pPr>
      <w:r>
        <w:rPr>
          <w:rFonts w:ascii="宋体" w:hAnsi="宋体"/>
          <w:color w:val="auto"/>
          <w:sz w:val="24"/>
          <w:highlight w:val="none"/>
        </w:rPr>
        <w:t>1.</w:t>
      </w:r>
      <w:r>
        <w:rPr>
          <w:rFonts w:hint="eastAsia" w:ascii="宋体" w:hAnsi="宋体"/>
          <w:color w:val="auto"/>
          <w:sz w:val="24"/>
          <w:highlight w:val="none"/>
        </w:rPr>
        <w:t>本表参照本招标文件第四章“公开招标需求”内容填制，投标人应根据投标货物的性能指标、服务指标，对照招标文件要求在“偏离情况”栏注明“正偏离”、“负偏离”或“无偏离”。</w:t>
      </w:r>
    </w:p>
    <w:p>
      <w:pPr>
        <w:shd w:val="clear" w:color="auto" w:fill="auto"/>
        <w:spacing w:line="360" w:lineRule="auto"/>
        <w:ind w:firstLine="480" w:firstLineChars="200"/>
        <w:rPr>
          <w:rFonts w:ascii="宋体"/>
          <w:color w:val="auto"/>
          <w:sz w:val="24"/>
          <w:highlight w:val="none"/>
        </w:rPr>
      </w:pPr>
      <w:r>
        <w:rPr>
          <w:rFonts w:hint="eastAsia" w:ascii="宋体" w:hAnsi="宋体"/>
          <w:color w:val="auto"/>
          <w:sz w:val="24"/>
          <w:highlight w:val="none"/>
        </w:rPr>
        <w:t>2</w:t>
      </w:r>
      <w:r>
        <w:rPr>
          <w:rFonts w:ascii="宋体" w:hAnsi="宋体"/>
          <w:color w:val="auto"/>
          <w:sz w:val="24"/>
          <w:highlight w:val="none"/>
        </w:rPr>
        <w:t>.</w:t>
      </w:r>
      <w:r>
        <w:rPr>
          <w:rFonts w:hint="eastAsia" w:ascii="宋体" w:hAnsi="宋体"/>
          <w:color w:val="auto"/>
          <w:sz w:val="24"/>
          <w:highlight w:val="none"/>
        </w:rPr>
        <w:t>对于投标产品的技术偏离情况需严格按照招标文件的技术要求一一比对给出，未达到技术要求中规定的数值应以负偏离标注。若因技术实现方式等其他问题而导致的理解不同未标注负偏离的，需在备注中具体说明；若未按要求标注负偏离又未予以说明的，评审小组将视偏离程度给予扣分或认定为虚假应标。</w:t>
      </w:r>
    </w:p>
    <w:p>
      <w:pPr>
        <w:spacing w:line="480" w:lineRule="auto"/>
        <w:rPr>
          <w:rFonts w:hint="eastAsia" w:ascii="宋体" w:hAnsi="宋体"/>
          <w:color w:val="auto"/>
          <w:sz w:val="24"/>
          <w:highlight w:val="none"/>
        </w:rPr>
      </w:pPr>
    </w:p>
    <w:p>
      <w:pPr>
        <w:spacing w:line="480" w:lineRule="auto"/>
        <w:rPr>
          <w:rFonts w:ascii="宋体"/>
          <w:color w:val="auto"/>
          <w:sz w:val="24"/>
          <w:highlight w:val="none"/>
        </w:rPr>
      </w:pPr>
      <w:r>
        <w:rPr>
          <w:rFonts w:hint="eastAsia" w:ascii="宋体" w:hAnsi="宋体"/>
          <w:color w:val="auto"/>
          <w:sz w:val="24"/>
          <w:highlight w:val="none"/>
        </w:rPr>
        <w:t>投标人名称（盖章）：</w:t>
      </w:r>
    </w:p>
    <w:p>
      <w:pPr>
        <w:spacing w:line="480" w:lineRule="auto"/>
        <w:rPr>
          <w:rFonts w:ascii="宋体"/>
          <w:color w:val="auto"/>
          <w:sz w:val="24"/>
          <w:highlight w:val="none"/>
        </w:rPr>
      </w:pPr>
      <w:r>
        <w:rPr>
          <w:rFonts w:hint="eastAsia" w:ascii="宋体" w:hAnsi="宋体"/>
          <w:color w:val="auto"/>
          <w:sz w:val="24"/>
          <w:highlight w:val="none"/>
        </w:rPr>
        <w:t>法定代表人或授权委托代理人（签字或盖章）：</w:t>
      </w:r>
    </w:p>
    <w:p>
      <w:pPr>
        <w:spacing w:line="480" w:lineRule="auto"/>
        <w:rPr>
          <w:rFonts w:ascii="宋体"/>
          <w:color w:val="auto"/>
          <w:sz w:val="24"/>
          <w:highlight w:val="none"/>
        </w:rPr>
      </w:pPr>
      <w:r>
        <w:rPr>
          <w:rFonts w:hint="eastAsia" w:ascii="宋体" w:hAnsi="宋体"/>
          <w:color w:val="auto"/>
          <w:sz w:val="24"/>
          <w:highlight w:val="none"/>
        </w:rPr>
        <w:t>日期：</w:t>
      </w:r>
    </w:p>
    <w:p>
      <w:pPr>
        <w:spacing w:line="360" w:lineRule="auto"/>
        <w:rPr>
          <w:rFonts w:ascii="宋体"/>
          <w:color w:val="auto"/>
          <w:sz w:val="24"/>
          <w:highlight w:val="none"/>
        </w:rPr>
      </w:pPr>
    </w:p>
    <w:p>
      <w:pPr>
        <w:pStyle w:val="9"/>
        <w:rPr>
          <w:color w:val="auto"/>
          <w:highlight w:val="none"/>
        </w:rPr>
      </w:pPr>
    </w:p>
    <w:p>
      <w:pPr>
        <w:spacing w:line="360" w:lineRule="auto"/>
        <w:rPr>
          <w:rFonts w:ascii="宋体"/>
          <w:color w:val="auto"/>
          <w:sz w:val="24"/>
          <w:highlight w:val="none"/>
        </w:rPr>
      </w:pPr>
    </w:p>
    <w:p>
      <w:pPr>
        <w:pStyle w:val="2"/>
        <w:rPr>
          <w:rFonts w:ascii="宋体"/>
          <w:color w:val="auto"/>
          <w:sz w:val="24"/>
          <w:highlight w:val="none"/>
        </w:rPr>
      </w:pPr>
    </w:p>
    <w:p>
      <w:pPr>
        <w:spacing w:line="360" w:lineRule="auto"/>
        <w:jc w:val="left"/>
        <w:rPr>
          <w:rFonts w:ascii="宋体"/>
          <w:b/>
          <w:bCs/>
          <w:color w:val="auto"/>
          <w:sz w:val="28"/>
          <w:szCs w:val="28"/>
          <w:highlight w:val="none"/>
        </w:rPr>
      </w:pPr>
      <w:r>
        <w:rPr>
          <w:rFonts w:hint="eastAsia" w:ascii="宋体" w:hAnsi="宋体" w:cs="宋体"/>
          <w:b/>
          <w:bCs/>
          <w:color w:val="auto"/>
          <w:sz w:val="28"/>
          <w:szCs w:val="28"/>
          <w:highlight w:val="none"/>
          <w:lang w:val="zh-CN"/>
        </w:rPr>
        <w:t>附件</w:t>
      </w:r>
      <w:r>
        <w:rPr>
          <w:rFonts w:ascii="宋体" w:hAnsi="宋体" w:cs="宋体"/>
          <w:b/>
          <w:bCs/>
          <w:color w:val="auto"/>
          <w:sz w:val="28"/>
          <w:szCs w:val="28"/>
          <w:highlight w:val="none"/>
        </w:rPr>
        <w:t>10</w:t>
      </w:r>
    </w:p>
    <w:p>
      <w:pPr>
        <w:spacing w:line="360" w:lineRule="auto"/>
        <w:jc w:val="center"/>
        <w:rPr>
          <w:rFonts w:ascii="宋体"/>
          <w:b/>
          <w:bCs/>
          <w:color w:val="auto"/>
          <w:sz w:val="32"/>
          <w:szCs w:val="32"/>
          <w:highlight w:val="none"/>
          <w:lang w:val="zh-CN"/>
        </w:rPr>
      </w:pPr>
      <w:r>
        <w:rPr>
          <w:rFonts w:hint="eastAsia" w:ascii="宋体" w:hAnsi="宋体" w:cs="宋体"/>
          <w:b/>
          <w:bCs/>
          <w:color w:val="auto"/>
          <w:sz w:val="32"/>
          <w:szCs w:val="32"/>
          <w:highlight w:val="none"/>
          <w:lang w:val="zh-CN"/>
        </w:rPr>
        <w:t>证书一览表</w:t>
      </w:r>
    </w:p>
    <w:p>
      <w:pPr>
        <w:spacing w:line="360" w:lineRule="auto"/>
        <w:rPr>
          <w:rFonts w:ascii="宋体"/>
          <w:color w:val="auto"/>
          <w:sz w:val="24"/>
          <w:szCs w:val="24"/>
          <w:highlight w:val="none"/>
        </w:rPr>
      </w:pPr>
    </w:p>
    <w:tbl>
      <w:tblPr>
        <w:tblStyle w:val="20"/>
        <w:tblW w:w="8432"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7"/>
        <w:gridCol w:w="2258"/>
        <w:gridCol w:w="2260"/>
        <w:gridCol w:w="2047"/>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1867" w:type="dxa"/>
            <w:tcBorders>
              <w:top w:val="double" w:color="auto" w:sz="4" w:space="0"/>
              <w:left w:val="single" w:color="auto" w:sz="4" w:space="0"/>
            </w:tcBorders>
            <w:noWrap w:val="0"/>
            <w:vAlign w:val="center"/>
          </w:tcPr>
          <w:p>
            <w:pPr>
              <w:spacing w:line="360" w:lineRule="auto"/>
              <w:jc w:val="center"/>
              <w:rPr>
                <w:rFonts w:ascii="宋体"/>
                <w:b/>
                <w:bCs/>
                <w:color w:val="auto"/>
                <w:sz w:val="24"/>
                <w:szCs w:val="24"/>
                <w:highlight w:val="none"/>
              </w:rPr>
            </w:pPr>
            <w:r>
              <w:rPr>
                <w:rFonts w:hint="eastAsia" w:ascii="宋体" w:hAnsi="宋体" w:cs="宋体"/>
                <w:b/>
                <w:bCs/>
                <w:color w:val="auto"/>
                <w:sz w:val="24"/>
                <w:szCs w:val="24"/>
                <w:highlight w:val="none"/>
              </w:rPr>
              <w:t>证书名称</w:t>
            </w:r>
          </w:p>
        </w:tc>
        <w:tc>
          <w:tcPr>
            <w:tcW w:w="2258" w:type="dxa"/>
            <w:tcBorders>
              <w:top w:val="double" w:color="auto" w:sz="4" w:space="0"/>
            </w:tcBorders>
            <w:noWrap w:val="0"/>
            <w:vAlign w:val="center"/>
          </w:tcPr>
          <w:p>
            <w:pPr>
              <w:spacing w:line="360" w:lineRule="auto"/>
              <w:jc w:val="center"/>
              <w:rPr>
                <w:rFonts w:ascii="宋体"/>
                <w:b/>
                <w:bCs/>
                <w:color w:val="auto"/>
                <w:sz w:val="24"/>
                <w:szCs w:val="24"/>
                <w:highlight w:val="none"/>
              </w:rPr>
            </w:pPr>
            <w:r>
              <w:rPr>
                <w:rFonts w:hint="eastAsia" w:ascii="宋体" w:hAnsi="宋体" w:cs="宋体"/>
                <w:b/>
                <w:bCs/>
                <w:color w:val="auto"/>
                <w:sz w:val="24"/>
                <w:szCs w:val="24"/>
                <w:highlight w:val="none"/>
              </w:rPr>
              <w:t>发证单位</w:t>
            </w:r>
          </w:p>
        </w:tc>
        <w:tc>
          <w:tcPr>
            <w:tcW w:w="2260" w:type="dxa"/>
            <w:tcBorders>
              <w:top w:val="double" w:color="auto" w:sz="4" w:space="0"/>
            </w:tcBorders>
            <w:noWrap w:val="0"/>
            <w:vAlign w:val="center"/>
          </w:tcPr>
          <w:p>
            <w:pPr>
              <w:spacing w:line="360" w:lineRule="auto"/>
              <w:jc w:val="center"/>
              <w:rPr>
                <w:rFonts w:ascii="宋体"/>
                <w:b/>
                <w:bCs/>
                <w:color w:val="auto"/>
                <w:sz w:val="24"/>
                <w:szCs w:val="24"/>
                <w:highlight w:val="none"/>
              </w:rPr>
            </w:pPr>
            <w:r>
              <w:rPr>
                <w:rFonts w:hint="eastAsia" w:ascii="宋体" w:hAnsi="宋体" w:cs="宋体"/>
                <w:b/>
                <w:bCs/>
                <w:color w:val="auto"/>
                <w:sz w:val="24"/>
                <w:szCs w:val="24"/>
                <w:highlight w:val="none"/>
              </w:rPr>
              <w:t>证书等级</w:t>
            </w:r>
          </w:p>
        </w:tc>
        <w:tc>
          <w:tcPr>
            <w:tcW w:w="2047" w:type="dxa"/>
            <w:tcBorders>
              <w:top w:val="double" w:color="auto" w:sz="4" w:space="0"/>
              <w:right w:val="single" w:color="auto" w:sz="4" w:space="0"/>
            </w:tcBorders>
            <w:noWrap w:val="0"/>
            <w:vAlign w:val="center"/>
          </w:tcPr>
          <w:p>
            <w:pPr>
              <w:spacing w:line="360" w:lineRule="auto"/>
              <w:jc w:val="center"/>
              <w:rPr>
                <w:rFonts w:ascii="宋体"/>
                <w:b/>
                <w:bCs/>
                <w:color w:val="auto"/>
                <w:sz w:val="24"/>
                <w:szCs w:val="24"/>
                <w:highlight w:val="none"/>
              </w:rPr>
            </w:pPr>
            <w:r>
              <w:rPr>
                <w:rFonts w:hint="eastAsia" w:ascii="宋体" w:hAnsi="宋体" w:cs="宋体"/>
                <w:b/>
                <w:bCs/>
                <w:color w:val="auto"/>
                <w:sz w:val="24"/>
                <w:szCs w:val="24"/>
                <w:highlight w:val="none"/>
              </w:rPr>
              <w:t>证书有效期</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1867" w:type="dxa"/>
            <w:tcBorders>
              <w:left w:val="single" w:color="auto" w:sz="4" w:space="0"/>
            </w:tcBorders>
            <w:noWrap w:val="0"/>
            <w:vAlign w:val="center"/>
          </w:tcPr>
          <w:p>
            <w:pPr>
              <w:spacing w:line="360" w:lineRule="auto"/>
              <w:jc w:val="center"/>
              <w:rPr>
                <w:rFonts w:ascii="宋体"/>
                <w:color w:val="auto"/>
                <w:sz w:val="24"/>
                <w:szCs w:val="24"/>
                <w:highlight w:val="none"/>
              </w:rPr>
            </w:pPr>
          </w:p>
        </w:tc>
        <w:tc>
          <w:tcPr>
            <w:tcW w:w="2258" w:type="dxa"/>
            <w:noWrap w:val="0"/>
            <w:vAlign w:val="center"/>
          </w:tcPr>
          <w:p>
            <w:pPr>
              <w:spacing w:line="360" w:lineRule="auto"/>
              <w:jc w:val="center"/>
              <w:rPr>
                <w:rFonts w:ascii="宋体"/>
                <w:color w:val="auto"/>
                <w:sz w:val="24"/>
                <w:szCs w:val="24"/>
                <w:highlight w:val="none"/>
              </w:rPr>
            </w:pPr>
          </w:p>
        </w:tc>
        <w:tc>
          <w:tcPr>
            <w:tcW w:w="2260" w:type="dxa"/>
            <w:noWrap w:val="0"/>
            <w:vAlign w:val="center"/>
          </w:tcPr>
          <w:p>
            <w:pPr>
              <w:spacing w:line="360" w:lineRule="auto"/>
              <w:jc w:val="center"/>
              <w:rPr>
                <w:rFonts w:ascii="宋体"/>
                <w:color w:val="auto"/>
                <w:sz w:val="24"/>
                <w:szCs w:val="24"/>
                <w:highlight w:val="none"/>
              </w:rPr>
            </w:pPr>
          </w:p>
        </w:tc>
        <w:tc>
          <w:tcPr>
            <w:tcW w:w="2047" w:type="dxa"/>
            <w:tcBorders>
              <w:right w:val="single" w:color="auto" w:sz="4" w:space="0"/>
            </w:tcBorders>
            <w:noWrap w:val="0"/>
            <w:vAlign w:val="center"/>
          </w:tcPr>
          <w:p>
            <w:pPr>
              <w:spacing w:line="360" w:lineRule="auto"/>
              <w:jc w:val="center"/>
              <w:rPr>
                <w:rFonts w:ascii="宋体"/>
                <w:color w:val="auto"/>
                <w:sz w:val="24"/>
                <w:szCs w:val="24"/>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1867" w:type="dxa"/>
            <w:tcBorders>
              <w:left w:val="single" w:color="auto" w:sz="4" w:space="0"/>
            </w:tcBorders>
            <w:noWrap w:val="0"/>
            <w:vAlign w:val="center"/>
          </w:tcPr>
          <w:p>
            <w:pPr>
              <w:spacing w:line="360" w:lineRule="auto"/>
              <w:jc w:val="center"/>
              <w:rPr>
                <w:rFonts w:ascii="宋体"/>
                <w:color w:val="auto"/>
                <w:sz w:val="24"/>
                <w:szCs w:val="24"/>
                <w:highlight w:val="none"/>
              </w:rPr>
            </w:pPr>
          </w:p>
        </w:tc>
        <w:tc>
          <w:tcPr>
            <w:tcW w:w="2258" w:type="dxa"/>
            <w:noWrap w:val="0"/>
            <w:vAlign w:val="center"/>
          </w:tcPr>
          <w:p>
            <w:pPr>
              <w:spacing w:line="360" w:lineRule="auto"/>
              <w:jc w:val="center"/>
              <w:rPr>
                <w:rFonts w:ascii="宋体"/>
                <w:color w:val="auto"/>
                <w:sz w:val="24"/>
                <w:szCs w:val="24"/>
                <w:highlight w:val="none"/>
              </w:rPr>
            </w:pPr>
          </w:p>
        </w:tc>
        <w:tc>
          <w:tcPr>
            <w:tcW w:w="2260" w:type="dxa"/>
            <w:noWrap w:val="0"/>
            <w:vAlign w:val="center"/>
          </w:tcPr>
          <w:p>
            <w:pPr>
              <w:spacing w:line="360" w:lineRule="auto"/>
              <w:jc w:val="center"/>
              <w:rPr>
                <w:rFonts w:ascii="宋体"/>
                <w:color w:val="auto"/>
                <w:sz w:val="24"/>
                <w:szCs w:val="24"/>
                <w:highlight w:val="none"/>
              </w:rPr>
            </w:pPr>
          </w:p>
        </w:tc>
        <w:tc>
          <w:tcPr>
            <w:tcW w:w="2047" w:type="dxa"/>
            <w:tcBorders>
              <w:right w:val="single" w:color="auto" w:sz="4" w:space="0"/>
            </w:tcBorders>
            <w:noWrap w:val="0"/>
            <w:vAlign w:val="center"/>
          </w:tcPr>
          <w:p>
            <w:pPr>
              <w:spacing w:line="360" w:lineRule="auto"/>
              <w:jc w:val="center"/>
              <w:rPr>
                <w:rFonts w:ascii="宋体"/>
                <w:color w:val="auto"/>
                <w:sz w:val="24"/>
                <w:szCs w:val="24"/>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1867" w:type="dxa"/>
            <w:tcBorders>
              <w:left w:val="single" w:color="auto" w:sz="4" w:space="0"/>
            </w:tcBorders>
            <w:noWrap w:val="0"/>
            <w:vAlign w:val="center"/>
          </w:tcPr>
          <w:p>
            <w:pPr>
              <w:spacing w:line="360" w:lineRule="auto"/>
              <w:jc w:val="center"/>
              <w:rPr>
                <w:rFonts w:ascii="宋体"/>
                <w:color w:val="auto"/>
                <w:sz w:val="24"/>
                <w:szCs w:val="24"/>
                <w:highlight w:val="none"/>
              </w:rPr>
            </w:pPr>
          </w:p>
        </w:tc>
        <w:tc>
          <w:tcPr>
            <w:tcW w:w="2258" w:type="dxa"/>
            <w:noWrap w:val="0"/>
            <w:vAlign w:val="center"/>
          </w:tcPr>
          <w:p>
            <w:pPr>
              <w:spacing w:line="360" w:lineRule="auto"/>
              <w:jc w:val="center"/>
              <w:rPr>
                <w:rFonts w:ascii="宋体"/>
                <w:color w:val="auto"/>
                <w:sz w:val="24"/>
                <w:szCs w:val="24"/>
                <w:highlight w:val="none"/>
              </w:rPr>
            </w:pPr>
          </w:p>
        </w:tc>
        <w:tc>
          <w:tcPr>
            <w:tcW w:w="2260" w:type="dxa"/>
            <w:noWrap w:val="0"/>
            <w:vAlign w:val="center"/>
          </w:tcPr>
          <w:p>
            <w:pPr>
              <w:spacing w:line="360" w:lineRule="auto"/>
              <w:jc w:val="center"/>
              <w:rPr>
                <w:rFonts w:ascii="宋体"/>
                <w:color w:val="auto"/>
                <w:sz w:val="24"/>
                <w:szCs w:val="24"/>
                <w:highlight w:val="none"/>
              </w:rPr>
            </w:pPr>
          </w:p>
        </w:tc>
        <w:tc>
          <w:tcPr>
            <w:tcW w:w="2047" w:type="dxa"/>
            <w:tcBorders>
              <w:right w:val="single" w:color="auto" w:sz="4" w:space="0"/>
            </w:tcBorders>
            <w:noWrap w:val="0"/>
            <w:vAlign w:val="center"/>
          </w:tcPr>
          <w:p>
            <w:pPr>
              <w:spacing w:line="360" w:lineRule="auto"/>
              <w:jc w:val="center"/>
              <w:rPr>
                <w:rFonts w:ascii="宋体"/>
                <w:color w:val="auto"/>
                <w:sz w:val="24"/>
                <w:szCs w:val="24"/>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1867" w:type="dxa"/>
            <w:tcBorders>
              <w:left w:val="single" w:color="auto" w:sz="4" w:space="0"/>
            </w:tcBorders>
            <w:noWrap w:val="0"/>
            <w:vAlign w:val="center"/>
          </w:tcPr>
          <w:p>
            <w:pPr>
              <w:spacing w:line="360" w:lineRule="auto"/>
              <w:jc w:val="center"/>
              <w:rPr>
                <w:rFonts w:ascii="宋体"/>
                <w:color w:val="auto"/>
                <w:sz w:val="24"/>
                <w:szCs w:val="24"/>
                <w:highlight w:val="none"/>
              </w:rPr>
            </w:pPr>
          </w:p>
        </w:tc>
        <w:tc>
          <w:tcPr>
            <w:tcW w:w="2258" w:type="dxa"/>
            <w:noWrap w:val="0"/>
            <w:vAlign w:val="center"/>
          </w:tcPr>
          <w:p>
            <w:pPr>
              <w:spacing w:line="360" w:lineRule="auto"/>
              <w:jc w:val="center"/>
              <w:rPr>
                <w:rFonts w:ascii="宋体"/>
                <w:color w:val="auto"/>
                <w:sz w:val="24"/>
                <w:szCs w:val="24"/>
                <w:highlight w:val="none"/>
              </w:rPr>
            </w:pPr>
          </w:p>
        </w:tc>
        <w:tc>
          <w:tcPr>
            <w:tcW w:w="2260" w:type="dxa"/>
            <w:noWrap w:val="0"/>
            <w:vAlign w:val="center"/>
          </w:tcPr>
          <w:p>
            <w:pPr>
              <w:spacing w:line="360" w:lineRule="auto"/>
              <w:jc w:val="center"/>
              <w:rPr>
                <w:rFonts w:ascii="宋体"/>
                <w:color w:val="auto"/>
                <w:sz w:val="24"/>
                <w:szCs w:val="24"/>
                <w:highlight w:val="none"/>
              </w:rPr>
            </w:pPr>
          </w:p>
        </w:tc>
        <w:tc>
          <w:tcPr>
            <w:tcW w:w="2047" w:type="dxa"/>
            <w:tcBorders>
              <w:right w:val="single" w:color="auto" w:sz="4" w:space="0"/>
            </w:tcBorders>
            <w:noWrap w:val="0"/>
            <w:vAlign w:val="center"/>
          </w:tcPr>
          <w:p>
            <w:pPr>
              <w:spacing w:line="360" w:lineRule="auto"/>
              <w:jc w:val="center"/>
              <w:rPr>
                <w:rFonts w:ascii="宋体"/>
                <w:color w:val="auto"/>
                <w:sz w:val="24"/>
                <w:szCs w:val="24"/>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1867" w:type="dxa"/>
            <w:tcBorders>
              <w:left w:val="single" w:color="auto" w:sz="4" w:space="0"/>
            </w:tcBorders>
            <w:noWrap w:val="0"/>
            <w:vAlign w:val="center"/>
          </w:tcPr>
          <w:p>
            <w:pPr>
              <w:spacing w:line="360" w:lineRule="auto"/>
              <w:jc w:val="center"/>
              <w:rPr>
                <w:rFonts w:ascii="宋体"/>
                <w:color w:val="auto"/>
                <w:sz w:val="24"/>
                <w:szCs w:val="24"/>
                <w:highlight w:val="none"/>
              </w:rPr>
            </w:pPr>
          </w:p>
        </w:tc>
        <w:tc>
          <w:tcPr>
            <w:tcW w:w="2258" w:type="dxa"/>
            <w:noWrap w:val="0"/>
            <w:vAlign w:val="center"/>
          </w:tcPr>
          <w:p>
            <w:pPr>
              <w:spacing w:line="360" w:lineRule="auto"/>
              <w:jc w:val="center"/>
              <w:rPr>
                <w:rFonts w:ascii="宋体"/>
                <w:color w:val="auto"/>
                <w:sz w:val="24"/>
                <w:szCs w:val="24"/>
                <w:highlight w:val="none"/>
              </w:rPr>
            </w:pPr>
          </w:p>
        </w:tc>
        <w:tc>
          <w:tcPr>
            <w:tcW w:w="2260" w:type="dxa"/>
            <w:noWrap w:val="0"/>
            <w:vAlign w:val="center"/>
          </w:tcPr>
          <w:p>
            <w:pPr>
              <w:spacing w:line="360" w:lineRule="auto"/>
              <w:jc w:val="center"/>
              <w:rPr>
                <w:rFonts w:ascii="宋体"/>
                <w:color w:val="auto"/>
                <w:sz w:val="24"/>
                <w:szCs w:val="24"/>
                <w:highlight w:val="none"/>
              </w:rPr>
            </w:pPr>
          </w:p>
        </w:tc>
        <w:tc>
          <w:tcPr>
            <w:tcW w:w="2047" w:type="dxa"/>
            <w:tcBorders>
              <w:right w:val="single" w:color="auto" w:sz="4" w:space="0"/>
            </w:tcBorders>
            <w:noWrap w:val="0"/>
            <w:vAlign w:val="center"/>
          </w:tcPr>
          <w:p>
            <w:pPr>
              <w:spacing w:line="360" w:lineRule="auto"/>
              <w:jc w:val="center"/>
              <w:rPr>
                <w:rFonts w:ascii="宋体"/>
                <w:color w:val="auto"/>
                <w:sz w:val="24"/>
                <w:szCs w:val="24"/>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1867" w:type="dxa"/>
            <w:tcBorders>
              <w:left w:val="single" w:color="auto" w:sz="4" w:space="0"/>
            </w:tcBorders>
            <w:noWrap w:val="0"/>
            <w:vAlign w:val="center"/>
          </w:tcPr>
          <w:p>
            <w:pPr>
              <w:spacing w:line="360" w:lineRule="auto"/>
              <w:jc w:val="center"/>
              <w:rPr>
                <w:rFonts w:ascii="宋体"/>
                <w:color w:val="auto"/>
                <w:sz w:val="24"/>
                <w:szCs w:val="24"/>
                <w:highlight w:val="none"/>
              </w:rPr>
            </w:pPr>
          </w:p>
        </w:tc>
        <w:tc>
          <w:tcPr>
            <w:tcW w:w="2258" w:type="dxa"/>
            <w:noWrap w:val="0"/>
            <w:vAlign w:val="center"/>
          </w:tcPr>
          <w:p>
            <w:pPr>
              <w:spacing w:line="360" w:lineRule="auto"/>
              <w:jc w:val="center"/>
              <w:rPr>
                <w:rFonts w:ascii="宋体"/>
                <w:color w:val="auto"/>
                <w:sz w:val="24"/>
                <w:szCs w:val="24"/>
                <w:highlight w:val="none"/>
              </w:rPr>
            </w:pPr>
          </w:p>
        </w:tc>
        <w:tc>
          <w:tcPr>
            <w:tcW w:w="2260" w:type="dxa"/>
            <w:noWrap w:val="0"/>
            <w:vAlign w:val="center"/>
          </w:tcPr>
          <w:p>
            <w:pPr>
              <w:spacing w:line="360" w:lineRule="auto"/>
              <w:jc w:val="center"/>
              <w:rPr>
                <w:rFonts w:ascii="宋体"/>
                <w:color w:val="auto"/>
                <w:sz w:val="24"/>
                <w:szCs w:val="24"/>
                <w:highlight w:val="none"/>
              </w:rPr>
            </w:pPr>
          </w:p>
        </w:tc>
        <w:tc>
          <w:tcPr>
            <w:tcW w:w="2047" w:type="dxa"/>
            <w:tcBorders>
              <w:right w:val="single" w:color="auto" w:sz="4" w:space="0"/>
            </w:tcBorders>
            <w:noWrap w:val="0"/>
            <w:vAlign w:val="center"/>
          </w:tcPr>
          <w:p>
            <w:pPr>
              <w:spacing w:line="360" w:lineRule="auto"/>
              <w:jc w:val="center"/>
              <w:rPr>
                <w:rFonts w:ascii="宋体"/>
                <w:color w:val="auto"/>
                <w:sz w:val="24"/>
                <w:szCs w:val="24"/>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1867" w:type="dxa"/>
            <w:tcBorders>
              <w:left w:val="single" w:color="auto" w:sz="4" w:space="0"/>
              <w:bottom w:val="double" w:color="auto" w:sz="4" w:space="0"/>
            </w:tcBorders>
            <w:noWrap w:val="0"/>
            <w:vAlign w:val="center"/>
          </w:tcPr>
          <w:p>
            <w:pPr>
              <w:spacing w:line="360" w:lineRule="auto"/>
              <w:jc w:val="center"/>
              <w:rPr>
                <w:rFonts w:ascii="宋体"/>
                <w:color w:val="auto"/>
                <w:sz w:val="24"/>
                <w:szCs w:val="24"/>
                <w:highlight w:val="none"/>
              </w:rPr>
            </w:pPr>
          </w:p>
        </w:tc>
        <w:tc>
          <w:tcPr>
            <w:tcW w:w="2258" w:type="dxa"/>
            <w:tcBorders>
              <w:bottom w:val="double" w:color="auto" w:sz="4" w:space="0"/>
            </w:tcBorders>
            <w:noWrap w:val="0"/>
            <w:vAlign w:val="center"/>
          </w:tcPr>
          <w:p>
            <w:pPr>
              <w:spacing w:line="360" w:lineRule="auto"/>
              <w:jc w:val="center"/>
              <w:rPr>
                <w:rFonts w:ascii="宋体"/>
                <w:color w:val="auto"/>
                <w:sz w:val="24"/>
                <w:szCs w:val="24"/>
                <w:highlight w:val="none"/>
              </w:rPr>
            </w:pPr>
          </w:p>
        </w:tc>
        <w:tc>
          <w:tcPr>
            <w:tcW w:w="2260" w:type="dxa"/>
            <w:tcBorders>
              <w:bottom w:val="double" w:color="auto" w:sz="4" w:space="0"/>
            </w:tcBorders>
            <w:noWrap w:val="0"/>
            <w:vAlign w:val="center"/>
          </w:tcPr>
          <w:p>
            <w:pPr>
              <w:spacing w:line="360" w:lineRule="auto"/>
              <w:jc w:val="center"/>
              <w:rPr>
                <w:rFonts w:ascii="宋体"/>
                <w:color w:val="auto"/>
                <w:sz w:val="24"/>
                <w:szCs w:val="24"/>
                <w:highlight w:val="none"/>
              </w:rPr>
            </w:pPr>
          </w:p>
        </w:tc>
        <w:tc>
          <w:tcPr>
            <w:tcW w:w="2047" w:type="dxa"/>
            <w:tcBorders>
              <w:bottom w:val="double" w:color="auto" w:sz="4" w:space="0"/>
              <w:right w:val="single" w:color="auto" w:sz="4" w:space="0"/>
            </w:tcBorders>
            <w:noWrap w:val="0"/>
            <w:vAlign w:val="center"/>
          </w:tcPr>
          <w:p>
            <w:pPr>
              <w:spacing w:line="360" w:lineRule="auto"/>
              <w:jc w:val="center"/>
              <w:rPr>
                <w:rFonts w:ascii="宋体"/>
                <w:color w:val="auto"/>
                <w:sz w:val="24"/>
                <w:szCs w:val="24"/>
                <w:highlight w:val="none"/>
              </w:rPr>
            </w:pPr>
          </w:p>
        </w:tc>
      </w:tr>
    </w:tbl>
    <w:p>
      <w:pPr>
        <w:spacing w:line="360" w:lineRule="auto"/>
        <w:rPr>
          <w:rFonts w:ascii="宋体"/>
          <w:color w:val="auto"/>
          <w:sz w:val="24"/>
          <w:szCs w:val="24"/>
          <w:highlight w:val="none"/>
        </w:rPr>
      </w:pPr>
    </w:p>
    <w:p>
      <w:pPr>
        <w:spacing w:line="360" w:lineRule="auto"/>
        <w:rPr>
          <w:rFonts w:ascii="宋体"/>
          <w:b/>
          <w:bCs/>
          <w:color w:val="auto"/>
          <w:sz w:val="24"/>
          <w:szCs w:val="24"/>
          <w:highlight w:val="none"/>
        </w:rPr>
      </w:pPr>
      <w:r>
        <w:rPr>
          <w:rFonts w:hint="eastAsia" w:ascii="宋体" w:hAnsi="宋体" w:cs="宋体"/>
          <w:b/>
          <w:bCs/>
          <w:color w:val="auto"/>
          <w:sz w:val="24"/>
          <w:szCs w:val="24"/>
          <w:highlight w:val="none"/>
        </w:rPr>
        <w:t>要求：</w:t>
      </w:r>
    </w:p>
    <w:p>
      <w:pP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1.</w:t>
      </w:r>
      <w:r>
        <w:rPr>
          <w:rFonts w:hint="eastAsia" w:ascii="宋体" w:hAnsi="宋体" w:cs="宋体"/>
          <w:color w:val="auto"/>
          <w:sz w:val="24"/>
          <w:szCs w:val="24"/>
          <w:highlight w:val="none"/>
        </w:rPr>
        <w:t>填写投标人获得资质、认证或企业信誉证书；</w:t>
      </w:r>
    </w:p>
    <w:p>
      <w:pP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2.</w:t>
      </w:r>
      <w:r>
        <w:rPr>
          <w:rFonts w:hint="eastAsia" w:ascii="宋体" w:hAnsi="宋体" w:cs="宋体"/>
          <w:color w:val="auto"/>
          <w:sz w:val="24"/>
          <w:szCs w:val="24"/>
          <w:highlight w:val="none"/>
        </w:rPr>
        <w:t>附所列证书复印件或其他证明材料。</w:t>
      </w:r>
    </w:p>
    <w:p>
      <w:pPr>
        <w:spacing w:line="360" w:lineRule="auto"/>
        <w:jc w:val="left"/>
        <w:rPr>
          <w:rFonts w:ascii="宋体"/>
          <w:b/>
          <w:bCs/>
          <w:color w:val="auto"/>
          <w:sz w:val="24"/>
          <w:szCs w:val="24"/>
          <w:highlight w:val="none"/>
          <w:lang w:val="zh-CN"/>
        </w:rPr>
      </w:pPr>
    </w:p>
    <w:p>
      <w:pPr>
        <w:spacing w:line="360" w:lineRule="auto"/>
        <w:jc w:val="left"/>
        <w:rPr>
          <w:rFonts w:ascii="宋体"/>
          <w:b/>
          <w:bCs/>
          <w:color w:val="auto"/>
          <w:sz w:val="24"/>
          <w:szCs w:val="24"/>
          <w:highlight w:val="none"/>
          <w:lang w:val="zh-CN"/>
        </w:rPr>
      </w:pPr>
    </w:p>
    <w:p>
      <w:pPr>
        <w:spacing w:line="360" w:lineRule="auto"/>
        <w:jc w:val="left"/>
        <w:rPr>
          <w:rFonts w:ascii="宋体"/>
          <w:b/>
          <w:bCs/>
          <w:color w:val="auto"/>
          <w:sz w:val="24"/>
          <w:szCs w:val="24"/>
          <w:highlight w:val="none"/>
          <w:lang w:val="zh-CN"/>
        </w:rPr>
      </w:pPr>
    </w:p>
    <w:p>
      <w:pPr>
        <w:spacing w:line="480" w:lineRule="auto"/>
        <w:rPr>
          <w:rFonts w:ascii="宋体"/>
          <w:color w:val="auto"/>
          <w:sz w:val="24"/>
          <w:szCs w:val="24"/>
          <w:highlight w:val="none"/>
        </w:rPr>
      </w:pPr>
      <w:r>
        <w:rPr>
          <w:rFonts w:hint="eastAsia" w:ascii="宋体" w:hAnsi="宋体" w:cs="宋体"/>
          <w:color w:val="auto"/>
          <w:sz w:val="24"/>
          <w:szCs w:val="24"/>
          <w:highlight w:val="none"/>
        </w:rPr>
        <w:t>投标人名称（盖章）：</w:t>
      </w:r>
    </w:p>
    <w:p>
      <w:pPr>
        <w:spacing w:line="480" w:lineRule="auto"/>
        <w:rPr>
          <w:rFonts w:ascii="宋体"/>
          <w:color w:val="auto"/>
          <w:sz w:val="24"/>
          <w:szCs w:val="24"/>
          <w:highlight w:val="none"/>
        </w:rPr>
      </w:pPr>
      <w:r>
        <w:rPr>
          <w:rFonts w:hint="eastAsia" w:ascii="宋体" w:hAnsi="宋体" w:cs="宋体"/>
          <w:color w:val="auto"/>
          <w:sz w:val="24"/>
          <w:szCs w:val="24"/>
          <w:highlight w:val="none"/>
        </w:rPr>
        <w:t>法定代表人或授权委托代理人（签字或盖章）：</w:t>
      </w:r>
    </w:p>
    <w:p>
      <w:pPr>
        <w:spacing w:line="480" w:lineRule="auto"/>
        <w:rPr>
          <w:rFonts w:ascii="宋体"/>
          <w:color w:val="auto"/>
          <w:sz w:val="24"/>
          <w:szCs w:val="24"/>
          <w:highlight w:val="none"/>
        </w:rPr>
      </w:pPr>
      <w:r>
        <w:rPr>
          <w:rFonts w:hint="eastAsia" w:ascii="宋体" w:hAnsi="宋体" w:cs="宋体"/>
          <w:color w:val="auto"/>
          <w:sz w:val="24"/>
          <w:szCs w:val="24"/>
          <w:highlight w:val="none"/>
        </w:rPr>
        <w:t>日期：</w:t>
      </w:r>
    </w:p>
    <w:p>
      <w:pPr>
        <w:spacing w:line="360" w:lineRule="auto"/>
        <w:jc w:val="left"/>
        <w:rPr>
          <w:rFonts w:ascii="宋体"/>
          <w:b/>
          <w:bCs/>
          <w:color w:val="auto"/>
          <w:sz w:val="24"/>
          <w:szCs w:val="24"/>
          <w:highlight w:val="none"/>
          <w:lang w:val="zh-CN"/>
        </w:rPr>
      </w:pPr>
    </w:p>
    <w:p>
      <w:pPr>
        <w:spacing w:line="360" w:lineRule="auto"/>
        <w:jc w:val="left"/>
        <w:rPr>
          <w:rFonts w:ascii="宋体"/>
          <w:b/>
          <w:bCs/>
          <w:color w:val="auto"/>
          <w:sz w:val="24"/>
          <w:szCs w:val="24"/>
          <w:highlight w:val="none"/>
          <w:lang w:val="zh-CN"/>
        </w:rPr>
      </w:pPr>
    </w:p>
    <w:p>
      <w:pPr>
        <w:spacing w:line="360" w:lineRule="auto"/>
        <w:jc w:val="left"/>
        <w:rPr>
          <w:rFonts w:ascii="宋体"/>
          <w:b/>
          <w:bCs/>
          <w:color w:val="auto"/>
          <w:sz w:val="24"/>
          <w:szCs w:val="24"/>
          <w:highlight w:val="none"/>
          <w:lang w:val="zh-CN"/>
        </w:rPr>
      </w:pPr>
    </w:p>
    <w:p>
      <w:pPr>
        <w:spacing w:line="360" w:lineRule="auto"/>
        <w:jc w:val="left"/>
        <w:rPr>
          <w:rFonts w:ascii="宋体"/>
          <w:b/>
          <w:bCs/>
          <w:color w:val="auto"/>
          <w:sz w:val="24"/>
          <w:szCs w:val="24"/>
          <w:highlight w:val="none"/>
          <w:lang w:val="zh-CN"/>
        </w:rPr>
      </w:pPr>
    </w:p>
    <w:p>
      <w:pPr>
        <w:spacing w:line="360" w:lineRule="auto"/>
        <w:jc w:val="left"/>
        <w:rPr>
          <w:rFonts w:ascii="宋体"/>
          <w:b/>
          <w:bCs/>
          <w:color w:val="auto"/>
          <w:sz w:val="24"/>
          <w:szCs w:val="24"/>
          <w:highlight w:val="none"/>
          <w:lang w:val="zh-CN"/>
        </w:rPr>
      </w:pPr>
    </w:p>
    <w:p>
      <w:pPr>
        <w:spacing w:line="360" w:lineRule="auto"/>
        <w:jc w:val="left"/>
        <w:rPr>
          <w:rFonts w:ascii="宋体"/>
          <w:b/>
          <w:bCs/>
          <w:color w:val="auto"/>
          <w:sz w:val="24"/>
          <w:szCs w:val="24"/>
          <w:highlight w:val="none"/>
          <w:lang w:val="zh-CN"/>
        </w:rPr>
      </w:pPr>
    </w:p>
    <w:p>
      <w:pPr>
        <w:spacing w:line="360" w:lineRule="auto"/>
        <w:jc w:val="left"/>
        <w:rPr>
          <w:rFonts w:ascii="宋体"/>
          <w:b/>
          <w:bCs/>
          <w:color w:val="auto"/>
          <w:sz w:val="28"/>
          <w:szCs w:val="28"/>
          <w:highlight w:val="none"/>
        </w:rPr>
      </w:pPr>
      <w:r>
        <w:rPr>
          <w:rFonts w:hint="eastAsia" w:ascii="宋体" w:hAnsi="宋体" w:cs="宋体"/>
          <w:b/>
          <w:bCs/>
          <w:color w:val="auto"/>
          <w:sz w:val="28"/>
          <w:szCs w:val="28"/>
          <w:highlight w:val="none"/>
          <w:lang w:val="zh-CN"/>
        </w:rPr>
        <w:t>附件</w:t>
      </w:r>
      <w:r>
        <w:rPr>
          <w:rFonts w:ascii="宋体" w:hAnsi="宋体" w:cs="宋体"/>
          <w:b/>
          <w:bCs/>
          <w:color w:val="auto"/>
          <w:sz w:val="28"/>
          <w:szCs w:val="28"/>
          <w:highlight w:val="none"/>
          <w:lang w:val="zh-CN"/>
        </w:rPr>
        <w:t>1</w:t>
      </w:r>
      <w:r>
        <w:rPr>
          <w:rFonts w:ascii="宋体" w:hAnsi="宋体" w:cs="宋体"/>
          <w:b/>
          <w:bCs/>
          <w:color w:val="auto"/>
          <w:sz w:val="28"/>
          <w:szCs w:val="28"/>
          <w:highlight w:val="none"/>
        </w:rPr>
        <w:t>1</w:t>
      </w:r>
    </w:p>
    <w:p>
      <w:pPr>
        <w:spacing w:line="360" w:lineRule="auto"/>
        <w:jc w:val="center"/>
        <w:rPr>
          <w:rFonts w:ascii="宋体"/>
          <w:b/>
          <w:bCs/>
          <w:color w:val="auto"/>
          <w:sz w:val="32"/>
          <w:szCs w:val="32"/>
          <w:highlight w:val="none"/>
          <w:lang w:val="zh-CN"/>
        </w:rPr>
      </w:pPr>
      <w:r>
        <w:rPr>
          <w:rFonts w:hint="eastAsia" w:ascii="宋体" w:hAnsi="宋体" w:cs="宋体"/>
          <w:b/>
          <w:bCs/>
          <w:color w:val="auto"/>
          <w:sz w:val="32"/>
          <w:szCs w:val="32"/>
          <w:highlight w:val="none"/>
          <w:lang w:val="zh-CN"/>
        </w:rPr>
        <w:t>投标人类似项目实施情况一览表</w:t>
      </w:r>
    </w:p>
    <w:p>
      <w:pPr>
        <w:spacing w:line="360" w:lineRule="auto"/>
        <w:jc w:val="left"/>
        <w:rPr>
          <w:rFonts w:ascii="宋体"/>
          <w:b/>
          <w:bCs/>
          <w:color w:val="auto"/>
          <w:sz w:val="24"/>
          <w:szCs w:val="24"/>
          <w:highlight w:val="none"/>
          <w:lang w:val="zh-CN"/>
        </w:rPr>
      </w:pPr>
    </w:p>
    <w:tbl>
      <w:tblPr>
        <w:tblStyle w:val="20"/>
        <w:tblW w:w="954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0"/>
        <w:gridCol w:w="1293"/>
        <w:gridCol w:w="1575"/>
        <w:gridCol w:w="1260"/>
        <w:gridCol w:w="1452"/>
        <w:gridCol w:w="1383"/>
        <w:gridCol w:w="203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40" w:type="dxa"/>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ascii="宋体"/>
                <w:b/>
                <w:bCs/>
                <w:color w:val="auto"/>
                <w:sz w:val="24"/>
                <w:szCs w:val="24"/>
                <w:highlight w:val="none"/>
              </w:rPr>
            </w:pPr>
            <w:r>
              <w:rPr>
                <w:rFonts w:hint="eastAsia" w:ascii="宋体" w:hAnsi="宋体" w:cs="宋体"/>
                <w:b/>
                <w:bCs/>
                <w:color w:val="auto"/>
                <w:sz w:val="24"/>
                <w:szCs w:val="24"/>
                <w:highlight w:val="none"/>
              </w:rPr>
              <w:t>序号</w:t>
            </w:r>
          </w:p>
        </w:tc>
        <w:tc>
          <w:tcPr>
            <w:tcW w:w="1293" w:type="dxa"/>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ascii="宋体"/>
                <w:b/>
                <w:bCs/>
                <w:color w:val="auto"/>
                <w:sz w:val="24"/>
                <w:szCs w:val="24"/>
                <w:highlight w:val="none"/>
              </w:rPr>
            </w:pPr>
            <w:r>
              <w:rPr>
                <w:rFonts w:hint="eastAsia" w:ascii="宋体" w:hAnsi="宋体" w:cs="宋体"/>
                <w:b/>
                <w:bCs/>
                <w:color w:val="auto"/>
                <w:sz w:val="24"/>
                <w:szCs w:val="24"/>
                <w:highlight w:val="none"/>
              </w:rPr>
              <w:t>项目名称</w:t>
            </w:r>
          </w:p>
        </w:tc>
        <w:tc>
          <w:tcPr>
            <w:tcW w:w="1575" w:type="dxa"/>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ascii="宋体"/>
                <w:b/>
                <w:bCs/>
                <w:color w:val="auto"/>
                <w:sz w:val="24"/>
                <w:szCs w:val="24"/>
                <w:highlight w:val="none"/>
              </w:rPr>
            </w:pPr>
            <w:r>
              <w:rPr>
                <w:rFonts w:hint="eastAsia" w:ascii="宋体" w:hAnsi="宋体" w:cs="宋体"/>
                <w:b/>
                <w:bCs/>
                <w:color w:val="auto"/>
                <w:sz w:val="24"/>
                <w:szCs w:val="24"/>
                <w:highlight w:val="none"/>
              </w:rPr>
              <w:t>项目地址</w:t>
            </w:r>
          </w:p>
        </w:tc>
        <w:tc>
          <w:tcPr>
            <w:tcW w:w="1260" w:type="dxa"/>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ascii="宋体"/>
                <w:b/>
                <w:bCs/>
                <w:color w:val="auto"/>
                <w:sz w:val="24"/>
                <w:szCs w:val="24"/>
                <w:highlight w:val="none"/>
              </w:rPr>
            </w:pPr>
            <w:r>
              <w:rPr>
                <w:rFonts w:hint="eastAsia" w:ascii="宋体" w:hAnsi="宋体" w:cs="宋体"/>
                <w:b/>
                <w:bCs/>
                <w:color w:val="auto"/>
                <w:sz w:val="24"/>
                <w:szCs w:val="24"/>
                <w:highlight w:val="none"/>
              </w:rPr>
              <w:t>合同总价</w:t>
            </w:r>
          </w:p>
        </w:tc>
        <w:tc>
          <w:tcPr>
            <w:tcW w:w="1452" w:type="dxa"/>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ascii="宋体"/>
                <w:b/>
                <w:bCs/>
                <w:color w:val="auto"/>
                <w:sz w:val="24"/>
                <w:szCs w:val="24"/>
                <w:highlight w:val="none"/>
              </w:rPr>
            </w:pPr>
            <w:r>
              <w:rPr>
                <w:rFonts w:hint="eastAsia" w:ascii="宋体" w:hAnsi="宋体" w:cs="宋体"/>
                <w:b/>
                <w:bCs/>
                <w:color w:val="auto"/>
                <w:sz w:val="24"/>
                <w:szCs w:val="24"/>
                <w:highlight w:val="none"/>
              </w:rPr>
              <w:t>实施时间</w:t>
            </w:r>
          </w:p>
        </w:tc>
        <w:tc>
          <w:tcPr>
            <w:tcW w:w="1383" w:type="dxa"/>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ascii="宋体"/>
                <w:b/>
                <w:bCs/>
                <w:color w:val="auto"/>
                <w:sz w:val="24"/>
                <w:szCs w:val="24"/>
                <w:highlight w:val="none"/>
              </w:rPr>
            </w:pPr>
            <w:r>
              <w:rPr>
                <w:rFonts w:hint="eastAsia" w:ascii="宋体" w:hAnsi="宋体" w:cs="宋体"/>
                <w:b/>
                <w:bCs/>
                <w:color w:val="auto"/>
                <w:sz w:val="24"/>
                <w:szCs w:val="24"/>
                <w:highlight w:val="none"/>
              </w:rPr>
              <w:t>项目质量</w:t>
            </w:r>
          </w:p>
        </w:tc>
        <w:tc>
          <w:tcPr>
            <w:tcW w:w="2037" w:type="dxa"/>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ascii="宋体"/>
                <w:b/>
                <w:bCs/>
                <w:color w:val="auto"/>
                <w:sz w:val="24"/>
                <w:szCs w:val="24"/>
                <w:highlight w:val="none"/>
              </w:rPr>
            </w:pPr>
            <w:r>
              <w:rPr>
                <w:rFonts w:hint="eastAsia" w:ascii="宋体" w:hAnsi="宋体" w:cs="宋体"/>
                <w:b/>
                <w:bCs/>
                <w:color w:val="auto"/>
                <w:sz w:val="24"/>
                <w:szCs w:val="24"/>
                <w:highlight w:val="none"/>
              </w:rPr>
              <w:t>项目单位名称及其联系人电话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5" w:hRule="atLeast"/>
          <w:jc w:val="center"/>
        </w:trPr>
        <w:tc>
          <w:tcPr>
            <w:tcW w:w="540" w:type="dxa"/>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ascii="宋体"/>
                <w:color w:val="auto"/>
                <w:sz w:val="24"/>
                <w:szCs w:val="24"/>
                <w:highlight w:val="none"/>
              </w:rPr>
            </w:pPr>
            <w:r>
              <w:rPr>
                <w:rFonts w:ascii="宋体" w:hAnsi="宋体" w:cs="宋体"/>
                <w:color w:val="auto"/>
                <w:sz w:val="24"/>
                <w:szCs w:val="24"/>
                <w:highlight w:val="none"/>
              </w:rPr>
              <w:t>1</w:t>
            </w:r>
          </w:p>
        </w:tc>
        <w:tc>
          <w:tcPr>
            <w:tcW w:w="1293" w:type="dxa"/>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ascii="宋体"/>
                <w:color w:val="auto"/>
                <w:sz w:val="24"/>
                <w:szCs w:val="24"/>
                <w:highlight w:val="none"/>
              </w:rPr>
            </w:pPr>
          </w:p>
        </w:tc>
        <w:tc>
          <w:tcPr>
            <w:tcW w:w="1575" w:type="dxa"/>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ascii="宋体"/>
                <w:color w:val="auto"/>
                <w:sz w:val="24"/>
                <w:szCs w:val="24"/>
                <w:highlight w:val="none"/>
              </w:rPr>
            </w:pPr>
          </w:p>
        </w:tc>
        <w:tc>
          <w:tcPr>
            <w:tcW w:w="1260" w:type="dxa"/>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ascii="宋体"/>
                <w:color w:val="auto"/>
                <w:sz w:val="24"/>
                <w:szCs w:val="24"/>
                <w:highlight w:val="none"/>
              </w:rPr>
            </w:pPr>
          </w:p>
        </w:tc>
        <w:tc>
          <w:tcPr>
            <w:tcW w:w="1452" w:type="dxa"/>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ascii="宋体"/>
                <w:color w:val="auto"/>
                <w:sz w:val="24"/>
                <w:szCs w:val="24"/>
                <w:highlight w:val="none"/>
              </w:rPr>
            </w:pPr>
          </w:p>
        </w:tc>
        <w:tc>
          <w:tcPr>
            <w:tcW w:w="1383" w:type="dxa"/>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ascii="宋体"/>
                <w:color w:val="auto"/>
                <w:sz w:val="24"/>
                <w:szCs w:val="24"/>
                <w:highlight w:val="none"/>
              </w:rPr>
            </w:pPr>
          </w:p>
        </w:tc>
        <w:tc>
          <w:tcPr>
            <w:tcW w:w="2037" w:type="dxa"/>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asci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5" w:hRule="atLeast"/>
          <w:jc w:val="center"/>
        </w:trPr>
        <w:tc>
          <w:tcPr>
            <w:tcW w:w="540" w:type="dxa"/>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ascii="宋体"/>
                <w:color w:val="auto"/>
                <w:sz w:val="24"/>
                <w:szCs w:val="24"/>
                <w:highlight w:val="none"/>
              </w:rPr>
            </w:pPr>
            <w:r>
              <w:rPr>
                <w:rFonts w:ascii="宋体" w:hAnsi="宋体" w:cs="宋体"/>
                <w:color w:val="auto"/>
                <w:sz w:val="24"/>
                <w:szCs w:val="24"/>
                <w:highlight w:val="none"/>
              </w:rPr>
              <w:t>2</w:t>
            </w:r>
          </w:p>
        </w:tc>
        <w:tc>
          <w:tcPr>
            <w:tcW w:w="1293" w:type="dxa"/>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ascii="宋体"/>
                <w:color w:val="auto"/>
                <w:sz w:val="24"/>
                <w:szCs w:val="24"/>
                <w:highlight w:val="none"/>
              </w:rPr>
            </w:pPr>
          </w:p>
        </w:tc>
        <w:tc>
          <w:tcPr>
            <w:tcW w:w="1575" w:type="dxa"/>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ascii="宋体"/>
                <w:color w:val="auto"/>
                <w:sz w:val="24"/>
                <w:szCs w:val="24"/>
                <w:highlight w:val="none"/>
              </w:rPr>
            </w:pPr>
          </w:p>
        </w:tc>
        <w:tc>
          <w:tcPr>
            <w:tcW w:w="1260" w:type="dxa"/>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ascii="宋体"/>
                <w:color w:val="auto"/>
                <w:sz w:val="24"/>
                <w:szCs w:val="24"/>
                <w:highlight w:val="none"/>
              </w:rPr>
            </w:pPr>
          </w:p>
        </w:tc>
        <w:tc>
          <w:tcPr>
            <w:tcW w:w="1452" w:type="dxa"/>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ascii="宋体"/>
                <w:color w:val="auto"/>
                <w:sz w:val="24"/>
                <w:szCs w:val="24"/>
                <w:highlight w:val="none"/>
              </w:rPr>
            </w:pPr>
          </w:p>
        </w:tc>
        <w:tc>
          <w:tcPr>
            <w:tcW w:w="1383" w:type="dxa"/>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ascii="宋体"/>
                <w:color w:val="auto"/>
                <w:sz w:val="24"/>
                <w:szCs w:val="24"/>
                <w:highlight w:val="none"/>
              </w:rPr>
            </w:pPr>
          </w:p>
        </w:tc>
        <w:tc>
          <w:tcPr>
            <w:tcW w:w="2037" w:type="dxa"/>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asci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5" w:hRule="atLeast"/>
          <w:jc w:val="center"/>
        </w:trPr>
        <w:tc>
          <w:tcPr>
            <w:tcW w:w="540" w:type="dxa"/>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ascii="宋体"/>
                <w:color w:val="auto"/>
                <w:sz w:val="24"/>
                <w:szCs w:val="24"/>
                <w:highlight w:val="none"/>
              </w:rPr>
            </w:pPr>
            <w:r>
              <w:rPr>
                <w:rFonts w:ascii="宋体" w:hAnsi="宋体" w:cs="宋体"/>
                <w:color w:val="auto"/>
                <w:sz w:val="24"/>
                <w:szCs w:val="24"/>
                <w:highlight w:val="none"/>
              </w:rPr>
              <w:t>3</w:t>
            </w:r>
          </w:p>
        </w:tc>
        <w:tc>
          <w:tcPr>
            <w:tcW w:w="1293" w:type="dxa"/>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ascii="宋体"/>
                <w:color w:val="auto"/>
                <w:sz w:val="24"/>
                <w:szCs w:val="24"/>
                <w:highlight w:val="none"/>
              </w:rPr>
            </w:pPr>
          </w:p>
        </w:tc>
        <w:tc>
          <w:tcPr>
            <w:tcW w:w="1575" w:type="dxa"/>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ascii="宋体"/>
                <w:color w:val="auto"/>
                <w:sz w:val="24"/>
                <w:szCs w:val="24"/>
                <w:highlight w:val="none"/>
              </w:rPr>
            </w:pPr>
          </w:p>
        </w:tc>
        <w:tc>
          <w:tcPr>
            <w:tcW w:w="1260" w:type="dxa"/>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ascii="宋体"/>
                <w:color w:val="auto"/>
                <w:sz w:val="24"/>
                <w:szCs w:val="24"/>
                <w:highlight w:val="none"/>
              </w:rPr>
            </w:pPr>
          </w:p>
        </w:tc>
        <w:tc>
          <w:tcPr>
            <w:tcW w:w="1452" w:type="dxa"/>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ascii="宋体"/>
                <w:color w:val="auto"/>
                <w:sz w:val="24"/>
                <w:szCs w:val="24"/>
                <w:highlight w:val="none"/>
              </w:rPr>
            </w:pPr>
          </w:p>
        </w:tc>
        <w:tc>
          <w:tcPr>
            <w:tcW w:w="1383" w:type="dxa"/>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ascii="宋体"/>
                <w:color w:val="auto"/>
                <w:sz w:val="24"/>
                <w:szCs w:val="24"/>
                <w:highlight w:val="none"/>
              </w:rPr>
            </w:pPr>
          </w:p>
        </w:tc>
        <w:tc>
          <w:tcPr>
            <w:tcW w:w="2037" w:type="dxa"/>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asci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5" w:hRule="atLeast"/>
          <w:jc w:val="center"/>
        </w:trPr>
        <w:tc>
          <w:tcPr>
            <w:tcW w:w="540" w:type="dxa"/>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ascii="宋体"/>
                <w:color w:val="auto"/>
                <w:sz w:val="24"/>
                <w:szCs w:val="24"/>
                <w:highlight w:val="none"/>
              </w:rPr>
            </w:pPr>
            <w:r>
              <w:rPr>
                <w:rFonts w:hint="eastAsia" w:ascii="宋体" w:hAnsi="宋体" w:cs="宋体"/>
                <w:color w:val="auto"/>
                <w:sz w:val="24"/>
                <w:szCs w:val="24"/>
                <w:highlight w:val="none"/>
              </w:rPr>
              <w:t>…</w:t>
            </w:r>
          </w:p>
        </w:tc>
        <w:tc>
          <w:tcPr>
            <w:tcW w:w="1293" w:type="dxa"/>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ascii="宋体"/>
                <w:color w:val="auto"/>
                <w:sz w:val="24"/>
                <w:szCs w:val="24"/>
                <w:highlight w:val="none"/>
              </w:rPr>
            </w:pPr>
          </w:p>
        </w:tc>
        <w:tc>
          <w:tcPr>
            <w:tcW w:w="1575" w:type="dxa"/>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ascii="宋体"/>
                <w:color w:val="auto"/>
                <w:sz w:val="24"/>
                <w:szCs w:val="24"/>
                <w:highlight w:val="none"/>
              </w:rPr>
            </w:pPr>
          </w:p>
        </w:tc>
        <w:tc>
          <w:tcPr>
            <w:tcW w:w="1260" w:type="dxa"/>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ascii="宋体"/>
                <w:color w:val="auto"/>
                <w:sz w:val="24"/>
                <w:szCs w:val="24"/>
                <w:highlight w:val="none"/>
              </w:rPr>
            </w:pPr>
          </w:p>
        </w:tc>
        <w:tc>
          <w:tcPr>
            <w:tcW w:w="1452" w:type="dxa"/>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ascii="宋体"/>
                <w:color w:val="auto"/>
                <w:sz w:val="24"/>
                <w:szCs w:val="24"/>
                <w:highlight w:val="none"/>
              </w:rPr>
            </w:pPr>
          </w:p>
        </w:tc>
        <w:tc>
          <w:tcPr>
            <w:tcW w:w="1383" w:type="dxa"/>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ascii="宋体"/>
                <w:color w:val="auto"/>
                <w:sz w:val="24"/>
                <w:szCs w:val="24"/>
                <w:highlight w:val="none"/>
              </w:rPr>
            </w:pPr>
          </w:p>
        </w:tc>
        <w:tc>
          <w:tcPr>
            <w:tcW w:w="2037" w:type="dxa"/>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asci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5" w:hRule="atLeast"/>
          <w:jc w:val="center"/>
        </w:trPr>
        <w:tc>
          <w:tcPr>
            <w:tcW w:w="540" w:type="dxa"/>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ascii="宋体"/>
                <w:color w:val="auto"/>
                <w:sz w:val="24"/>
                <w:szCs w:val="24"/>
                <w:highlight w:val="none"/>
              </w:rPr>
            </w:pPr>
          </w:p>
        </w:tc>
        <w:tc>
          <w:tcPr>
            <w:tcW w:w="1293" w:type="dxa"/>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ascii="宋体"/>
                <w:color w:val="auto"/>
                <w:sz w:val="24"/>
                <w:szCs w:val="24"/>
                <w:highlight w:val="none"/>
              </w:rPr>
            </w:pPr>
          </w:p>
        </w:tc>
        <w:tc>
          <w:tcPr>
            <w:tcW w:w="1575" w:type="dxa"/>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ascii="宋体"/>
                <w:color w:val="auto"/>
                <w:sz w:val="24"/>
                <w:szCs w:val="24"/>
                <w:highlight w:val="none"/>
              </w:rPr>
            </w:pPr>
          </w:p>
        </w:tc>
        <w:tc>
          <w:tcPr>
            <w:tcW w:w="1260" w:type="dxa"/>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ascii="宋体"/>
                <w:color w:val="auto"/>
                <w:sz w:val="24"/>
                <w:szCs w:val="24"/>
                <w:highlight w:val="none"/>
              </w:rPr>
            </w:pPr>
          </w:p>
        </w:tc>
        <w:tc>
          <w:tcPr>
            <w:tcW w:w="1452" w:type="dxa"/>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ascii="宋体"/>
                <w:color w:val="auto"/>
                <w:sz w:val="24"/>
                <w:szCs w:val="24"/>
                <w:highlight w:val="none"/>
              </w:rPr>
            </w:pPr>
          </w:p>
        </w:tc>
        <w:tc>
          <w:tcPr>
            <w:tcW w:w="1383" w:type="dxa"/>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ascii="宋体"/>
                <w:color w:val="auto"/>
                <w:sz w:val="24"/>
                <w:szCs w:val="24"/>
                <w:highlight w:val="none"/>
              </w:rPr>
            </w:pPr>
          </w:p>
        </w:tc>
        <w:tc>
          <w:tcPr>
            <w:tcW w:w="2037" w:type="dxa"/>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asci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5" w:hRule="atLeast"/>
          <w:jc w:val="center"/>
        </w:trPr>
        <w:tc>
          <w:tcPr>
            <w:tcW w:w="540" w:type="dxa"/>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ascii="宋体"/>
                <w:color w:val="auto"/>
                <w:sz w:val="24"/>
                <w:szCs w:val="24"/>
                <w:highlight w:val="none"/>
              </w:rPr>
            </w:pPr>
          </w:p>
        </w:tc>
        <w:tc>
          <w:tcPr>
            <w:tcW w:w="1293" w:type="dxa"/>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ascii="宋体"/>
                <w:color w:val="auto"/>
                <w:sz w:val="24"/>
                <w:szCs w:val="24"/>
                <w:highlight w:val="none"/>
              </w:rPr>
            </w:pPr>
          </w:p>
        </w:tc>
        <w:tc>
          <w:tcPr>
            <w:tcW w:w="1575" w:type="dxa"/>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ascii="宋体"/>
                <w:color w:val="auto"/>
                <w:sz w:val="24"/>
                <w:szCs w:val="24"/>
                <w:highlight w:val="none"/>
              </w:rPr>
            </w:pPr>
          </w:p>
        </w:tc>
        <w:tc>
          <w:tcPr>
            <w:tcW w:w="1260" w:type="dxa"/>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ascii="宋体"/>
                <w:color w:val="auto"/>
                <w:sz w:val="24"/>
                <w:szCs w:val="24"/>
                <w:highlight w:val="none"/>
              </w:rPr>
            </w:pPr>
          </w:p>
        </w:tc>
        <w:tc>
          <w:tcPr>
            <w:tcW w:w="1452" w:type="dxa"/>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ascii="宋体"/>
                <w:color w:val="auto"/>
                <w:sz w:val="24"/>
                <w:szCs w:val="24"/>
                <w:highlight w:val="none"/>
              </w:rPr>
            </w:pPr>
          </w:p>
        </w:tc>
        <w:tc>
          <w:tcPr>
            <w:tcW w:w="1383" w:type="dxa"/>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ascii="宋体"/>
                <w:color w:val="auto"/>
                <w:sz w:val="24"/>
                <w:szCs w:val="24"/>
                <w:highlight w:val="none"/>
              </w:rPr>
            </w:pPr>
          </w:p>
        </w:tc>
        <w:tc>
          <w:tcPr>
            <w:tcW w:w="2037" w:type="dxa"/>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asci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5" w:hRule="atLeast"/>
          <w:jc w:val="center"/>
        </w:trPr>
        <w:tc>
          <w:tcPr>
            <w:tcW w:w="540" w:type="dxa"/>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ascii="宋体"/>
                <w:color w:val="auto"/>
                <w:sz w:val="24"/>
                <w:szCs w:val="24"/>
                <w:highlight w:val="none"/>
              </w:rPr>
            </w:pPr>
          </w:p>
        </w:tc>
        <w:tc>
          <w:tcPr>
            <w:tcW w:w="1293" w:type="dxa"/>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ascii="宋体"/>
                <w:color w:val="auto"/>
                <w:sz w:val="24"/>
                <w:szCs w:val="24"/>
                <w:highlight w:val="none"/>
              </w:rPr>
            </w:pPr>
          </w:p>
        </w:tc>
        <w:tc>
          <w:tcPr>
            <w:tcW w:w="1575" w:type="dxa"/>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ascii="宋体"/>
                <w:color w:val="auto"/>
                <w:sz w:val="24"/>
                <w:szCs w:val="24"/>
                <w:highlight w:val="none"/>
              </w:rPr>
            </w:pPr>
          </w:p>
        </w:tc>
        <w:tc>
          <w:tcPr>
            <w:tcW w:w="1260" w:type="dxa"/>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ascii="宋体"/>
                <w:color w:val="auto"/>
                <w:sz w:val="24"/>
                <w:szCs w:val="24"/>
                <w:highlight w:val="none"/>
              </w:rPr>
            </w:pPr>
          </w:p>
        </w:tc>
        <w:tc>
          <w:tcPr>
            <w:tcW w:w="1452" w:type="dxa"/>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ascii="宋体"/>
                <w:color w:val="auto"/>
                <w:sz w:val="24"/>
                <w:szCs w:val="24"/>
                <w:highlight w:val="none"/>
              </w:rPr>
            </w:pPr>
          </w:p>
        </w:tc>
        <w:tc>
          <w:tcPr>
            <w:tcW w:w="1383" w:type="dxa"/>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ascii="宋体"/>
                <w:color w:val="auto"/>
                <w:sz w:val="24"/>
                <w:szCs w:val="24"/>
                <w:highlight w:val="none"/>
              </w:rPr>
            </w:pPr>
          </w:p>
        </w:tc>
        <w:tc>
          <w:tcPr>
            <w:tcW w:w="2037" w:type="dxa"/>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ascii="宋体"/>
                <w:color w:val="auto"/>
                <w:sz w:val="24"/>
                <w:szCs w:val="24"/>
                <w:highlight w:val="none"/>
              </w:rPr>
            </w:pPr>
          </w:p>
        </w:tc>
      </w:tr>
    </w:tbl>
    <w:p>
      <w:pPr>
        <w:spacing w:line="360" w:lineRule="auto"/>
        <w:rPr>
          <w:rFonts w:ascii="宋体"/>
          <w:b/>
          <w:bCs/>
          <w:color w:val="auto"/>
          <w:sz w:val="24"/>
          <w:szCs w:val="24"/>
          <w:highlight w:val="none"/>
        </w:rPr>
      </w:pPr>
      <w:r>
        <w:rPr>
          <w:rFonts w:hint="eastAsia" w:ascii="宋体" w:hAnsi="宋体" w:cs="宋体"/>
          <w:b/>
          <w:bCs/>
          <w:color w:val="auto"/>
          <w:sz w:val="24"/>
          <w:szCs w:val="24"/>
          <w:highlight w:val="none"/>
        </w:rPr>
        <w:t>要求：</w:t>
      </w:r>
    </w:p>
    <w:p>
      <w:pP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1.</w:t>
      </w:r>
      <w:r>
        <w:rPr>
          <w:rFonts w:hint="eastAsia" w:ascii="宋体" w:hAnsi="宋体" w:cs="宋体"/>
          <w:color w:val="auto"/>
          <w:sz w:val="24"/>
          <w:szCs w:val="24"/>
          <w:highlight w:val="none"/>
        </w:rPr>
        <w:t>业绩证明应提供证明材料（合同复印件可只提供首页、含金额页、盖章页并加盖投标人公章）；</w:t>
      </w:r>
    </w:p>
    <w:p>
      <w:pP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2.</w:t>
      </w:r>
      <w:r>
        <w:rPr>
          <w:rFonts w:hint="eastAsia" w:ascii="宋体" w:hAnsi="宋体" w:cs="宋体"/>
          <w:color w:val="auto"/>
          <w:sz w:val="24"/>
          <w:szCs w:val="24"/>
          <w:highlight w:val="none"/>
        </w:rPr>
        <w:t>报价供应商可按此表格式复制。</w:t>
      </w:r>
    </w:p>
    <w:p>
      <w:pPr>
        <w:spacing w:line="360" w:lineRule="auto"/>
        <w:rPr>
          <w:rFonts w:ascii="宋体"/>
          <w:color w:val="auto"/>
          <w:sz w:val="24"/>
          <w:szCs w:val="24"/>
          <w:highlight w:val="none"/>
        </w:rPr>
      </w:pPr>
    </w:p>
    <w:p>
      <w:pPr>
        <w:spacing w:line="360" w:lineRule="auto"/>
        <w:rPr>
          <w:rFonts w:ascii="宋体"/>
          <w:color w:val="auto"/>
          <w:sz w:val="24"/>
          <w:szCs w:val="24"/>
          <w:highlight w:val="none"/>
        </w:rPr>
      </w:pPr>
    </w:p>
    <w:p>
      <w:pPr>
        <w:spacing w:line="480" w:lineRule="auto"/>
        <w:rPr>
          <w:rFonts w:ascii="宋体"/>
          <w:color w:val="auto"/>
          <w:sz w:val="24"/>
          <w:szCs w:val="24"/>
          <w:highlight w:val="none"/>
        </w:rPr>
      </w:pPr>
      <w:r>
        <w:rPr>
          <w:rFonts w:hint="eastAsia" w:ascii="宋体" w:hAnsi="宋体" w:cs="宋体"/>
          <w:color w:val="auto"/>
          <w:sz w:val="24"/>
          <w:szCs w:val="24"/>
          <w:highlight w:val="none"/>
        </w:rPr>
        <w:t>投标人名称（盖章）：</w:t>
      </w:r>
    </w:p>
    <w:p>
      <w:pPr>
        <w:spacing w:line="480" w:lineRule="auto"/>
        <w:rPr>
          <w:rFonts w:ascii="宋体"/>
          <w:color w:val="auto"/>
          <w:sz w:val="24"/>
          <w:szCs w:val="24"/>
          <w:highlight w:val="none"/>
        </w:rPr>
      </w:pPr>
      <w:r>
        <w:rPr>
          <w:rFonts w:hint="eastAsia" w:ascii="宋体" w:hAnsi="宋体" w:cs="宋体"/>
          <w:color w:val="auto"/>
          <w:sz w:val="24"/>
          <w:szCs w:val="24"/>
          <w:highlight w:val="none"/>
        </w:rPr>
        <w:t>法定代表人或授权委托代理人（签字或盖章）：</w:t>
      </w:r>
    </w:p>
    <w:p>
      <w:pPr>
        <w:spacing w:line="480" w:lineRule="auto"/>
        <w:rPr>
          <w:rFonts w:ascii="宋体"/>
          <w:color w:val="auto"/>
          <w:sz w:val="24"/>
          <w:szCs w:val="24"/>
          <w:highlight w:val="none"/>
        </w:rPr>
      </w:pPr>
      <w:r>
        <w:rPr>
          <w:rFonts w:hint="eastAsia" w:ascii="宋体" w:hAnsi="宋体" w:cs="宋体"/>
          <w:color w:val="auto"/>
          <w:sz w:val="24"/>
          <w:szCs w:val="24"/>
          <w:highlight w:val="none"/>
        </w:rPr>
        <w:t>日期：</w:t>
      </w:r>
    </w:p>
    <w:p>
      <w:pPr>
        <w:spacing w:line="360" w:lineRule="auto"/>
        <w:rPr>
          <w:rFonts w:ascii="宋体"/>
          <w:color w:val="auto"/>
          <w:sz w:val="24"/>
          <w:szCs w:val="24"/>
          <w:highlight w:val="none"/>
        </w:rPr>
      </w:pPr>
    </w:p>
    <w:p>
      <w:pPr>
        <w:spacing w:line="360" w:lineRule="auto"/>
        <w:rPr>
          <w:rFonts w:ascii="宋体"/>
          <w:color w:val="auto"/>
          <w:sz w:val="24"/>
          <w:szCs w:val="24"/>
          <w:highlight w:val="none"/>
        </w:rPr>
      </w:pPr>
    </w:p>
    <w:p>
      <w:pPr>
        <w:spacing w:line="360" w:lineRule="auto"/>
        <w:rPr>
          <w:rFonts w:ascii="宋体"/>
          <w:color w:val="auto"/>
          <w:sz w:val="24"/>
          <w:szCs w:val="24"/>
          <w:highlight w:val="none"/>
        </w:rPr>
      </w:pPr>
    </w:p>
    <w:p>
      <w:pPr>
        <w:spacing w:line="360" w:lineRule="auto"/>
        <w:rPr>
          <w:rFonts w:ascii="宋体"/>
          <w:color w:val="auto"/>
          <w:sz w:val="24"/>
          <w:szCs w:val="24"/>
          <w:highlight w:val="none"/>
        </w:rPr>
      </w:pPr>
    </w:p>
    <w:p>
      <w:pPr>
        <w:spacing w:line="360" w:lineRule="auto"/>
        <w:rPr>
          <w:rFonts w:ascii="宋体"/>
          <w:color w:val="auto"/>
          <w:sz w:val="24"/>
          <w:szCs w:val="24"/>
          <w:highlight w:val="none"/>
        </w:rPr>
      </w:pPr>
    </w:p>
    <w:p>
      <w:pPr>
        <w:spacing w:line="360" w:lineRule="auto"/>
        <w:jc w:val="left"/>
        <w:rPr>
          <w:rFonts w:ascii="宋体" w:cs="宋体"/>
          <w:b/>
          <w:bCs/>
          <w:color w:val="auto"/>
          <w:sz w:val="28"/>
          <w:szCs w:val="36"/>
          <w:highlight w:val="none"/>
        </w:rPr>
      </w:pPr>
      <w:r>
        <w:rPr>
          <w:rFonts w:hint="eastAsia" w:ascii="宋体" w:hAnsi="宋体" w:cs="宋体"/>
          <w:b/>
          <w:bCs/>
          <w:color w:val="auto"/>
          <w:sz w:val="28"/>
          <w:szCs w:val="36"/>
          <w:highlight w:val="none"/>
          <w:lang w:val="zh-CN"/>
        </w:rPr>
        <w:t>附件</w:t>
      </w:r>
      <w:r>
        <w:rPr>
          <w:rFonts w:ascii="宋体" w:hAnsi="宋体" w:cs="宋体"/>
          <w:b/>
          <w:bCs/>
          <w:color w:val="auto"/>
          <w:sz w:val="28"/>
          <w:szCs w:val="36"/>
          <w:highlight w:val="none"/>
          <w:lang w:val="zh-CN"/>
        </w:rPr>
        <w:t>1</w:t>
      </w:r>
      <w:r>
        <w:rPr>
          <w:rFonts w:ascii="宋体" w:hAnsi="宋体" w:cs="宋体"/>
          <w:b/>
          <w:bCs/>
          <w:color w:val="auto"/>
          <w:sz w:val="28"/>
          <w:szCs w:val="36"/>
          <w:highlight w:val="none"/>
        </w:rPr>
        <w:t>2</w:t>
      </w:r>
    </w:p>
    <w:p>
      <w:pPr>
        <w:spacing w:line="360" w:lineRule="auto"/>
        <w:jc w:val="center"/>
        <w:rPr>
          <w:rFonts w:ascii="宋体" w:cs="宋体"/>
          <w:b/>
          <w:bCs/>
          <w:color w:val="auto"/>
          <w:sz w:val="32"/>
          <w:szCs w:val="40"/>
          <w:highlight w:val="none"/>
          <w:lang w:val="zh-CN"/>
        </w:rPr>
      </w:pPr>
      <w:r>
        <w:rPr>
          <w:rFonts w:hint="eastAsia" w:ascii="宋体" w:hAnsi="宋体" w:cs="宋体"/>
          <w:b/>
          <w:bCs/>
          <w:color w:val="auto"/>
          <w:sz w:val="32"/>
          <w:szCs w:val="40"/>
          <w:highlight w:val="none"/>
          <w:lang w:val="zh-CN"/>
        </w:rPr>
        <w:t>商务需求响应表</w:t>
      </w:r>
    </w:p>
    <w:p>
      <w:pPr>
        <w:spacing w:line="360" w:lineRule="auto"/>
        <w:rPr>
          <w:rFonts w:ascii="宋体"/>
          <w:b/>
          <w:color w:val="auto"/>
          <w:sz w:val="24"/>
          <w:highlight w:val="none"/>
        </w:rPr>
      </w:pPr>
    </w:p>
    <w:tbl>
      <w:tblPr>
        <w:tblStyle w:val="20"/>
        <w:tblW w:w="829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1785"/>
        <w:gridCol w:w="1785"/>
        <w:gridCol w:w="1365"/>
        <w:gridCol w:w="2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6" w:hRule="atLeast"/>
        </w:trPr>
        <w:tc>
          <w:tcPr>
            <w:tcW w:w="735" w:type="dxa"/>
            <w:noWrap w:val="0"/>
            <w:vAlign w:val="center"/>
          </w:tcPr>
          <w:p>
            <w:pPr>
              <w:rPr>
                <w:rFonts w:ascii="宋体"/>
                <w:b/>
                <w:color w:val="auto"/>
                <w:sz w:val="24"/>
                <w:highlight w:val="none"/>
              </w:rPr>
            </w:pPr>
            <w:r>
              <w:rPr>
                <w:rFonts w:hint="eastAsia" w:ascii="宋体" w:hAnsi="宋体"/>
                <w:b/>
                <w:color w:val="auto"/>
                <w:sz w:val="24"/>
                <w:highlight w:val="none"/>
              </w:rPr>
              <w:t>序号</w:t>
            </w:r>
          </w:p>
        </w:tc>
        <w:tc>
          <w:tcPr>
            <w:tcW w:w="1785" w:type="dxa"/>
            <w:noWrap w:val="0"/>
            <w:vAlign w:val="center"/>
          </w:tcPr>
          <w:p>
            <w:pPr>
              <w:rPr>
                <w:rFonts w:ascii="宋体"/>
                <w:b/>
                <w:color w:val="auto"/>
                <w:sz w:val="24"/>
                <w:highlight w:val="none"/>
              </w:rPr>
            </w:pPr>
            <w:r>
              <w:rPr>
                <w:rFonts w:hint="eastAsia" w:ascii="宋体" w:hAnsi="宋体"/>
                <w:b/>
                <w:color w:val="auto"/>
                <w:sz w:val="24"/>
                <w:highlight w:val="none"/>
              </w:rPr>
              <w:t>内容</w:t>
            </w:r>
          </w:p>
        </w:tc>
        <w:tc>
          <w:tcPr>
            <w:tcW w:w="1785" w:type="dxa"/>
            <w:noWrap w:val="0"/>
            <w:vAlign w:val="center"/>
          </w:tcPr>
          <w:p>
            <w:pPr>
              <w:ind w:left="53" w:leftChars="25" w:firstLine="241" w:firstLineChars="100"/>
              <w:rPr>
                <w:rFonts w:ascii="宋体"/>
                <w:b/>
                <w:color w:val="auto"/>
                <w:sz w:val="24"/>
                <w:highlight w:val="none"/>
              </w:rPr>
            </w:pPr>
            <w:r>
              <w:rPr>
                <w:rFonts w:hint="eastAsia" w:ascii="宋体" w:hAnsi="宋体"/>
                <w:b/>
                <w:color w:val="auto"/>
                <w:sz w:val="24"/>
                <w:highlight w:val="none"/>
              </w:rPr>
              <w:t>招标需求</w:t>
            </w:r>
          </w:p>
        </w:tc>
        <w:tc>
          <w:tcPr>
            <w:tcW w:w="1365" w:type="dxa"/>
            <w:noWrap w:val="0"/>
            <w:vAlign w:val="center"/>
          </w:tcPr>
          <w:p>
            <w:pPr>
              <w:ind w:left="152"/>
              <w:rPr>
                <w:rFonts w:ascii="宋体"/>
                <w:b/>
                <w:color w:val="auto"/>
                <w:sz w:val="24"/>
                <w:highlight w:val="none"/>
              </w:rPr>
            </w:pPr>
            <w:r>
              <w:rPr>
                <w:rFonts w:hint="eastAsia" w:ascii="宋体" w:hAnsi="宋体"/>
                <w:b/>
                <w:color w:val="auto"/>
                <w:sz w:val="24"/>
                <w:highlight w:val="none"/>
              </w:rPr>
              <w:t>是否响应</w:t>
            </w:r>
          </w:p>
        </w:tc>
        <w:tc>
          <w:tcPr>
            <w:tcW w:w="2625" w:type="dxa"/>
            <w:noWrap w:val="0"/>
            <w:vAlign w:val="center"/>
          </w:tcPr>
          <w:p>
            <w:pPr>
              <w:jc w:val="center"/>
              <w:rPr>
                <w:rFonts w:ascii="宋体"/>
                <w:b/>
                <w:color w:val="auto"/>
                <w:sz w:val="24"/>
                <w:highlight w:val="none"/>
              </w:rPr>
            </w:pPr>
            <w:r>
              <w:rPr>
                <w:rFonts w:hint="eastAsia" w:ascii="宋体" w:hAnsi="宋体"/>
                <w:b/>
                <w:color w:val="auto"/>
                <w:sz w:val="24"/>
                <w:highlight w:val="none"/>
              </w:rPr>
              <w:t>投标人的承诺或说明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735" w:type="dxa"/>
            <w:noWrap w:val="0"/>
            <w:vAlign w:val="center"/>
          </w:tcPr>
          <w:p>
            <w:pPr>
              <w:rPr>
                <w:rFonts w:ascii="宋体"/>
                <w:color w:val="auto"/>
                <w:sz w:val="24"/>
                <w:highlight w:val="none"/>
              </w:rPr>
            </w:pPr>
          </w:p>
        </w:tc>
        <w:tc>
          <w:tcPr>
            <w:tcW w:w="1785" w:type="dxa"/>
            <w:noWrap w:val="0"/>
            <w:vAlign w:val="center"/>
          </w:tcPr>
          <w:p>
            <w:pPr>
              <w:snapToGrid w:val="0"/>
              <w:rPr>
                <w:rFonts w:ascii="宋体"/>
                <w:color w:val="auto"/>
                <w:sz w:val="24"/>
                <w:highlight w:val="none"/>
              </w:rPr>
            </w:pPr>
            <w:r>
              <w:rPr>
                <w:rFonts w:hint="eastAsia" w:ascii="宋体" w:hAnsi="宋体"/>
                <w:color w:val="auto"/>
                <w:sz w:val="24"/>
                <w:highlight w:val="none"/>
              </w:rPr>
              <w:t>售后服务保障要求</w:t>
            </w:r>
          </w:p>
        </w:tc>
        <w:tc>
          <w:tcPr>
            <w:tcW w:w="1785" w:type="dxa"/>
            <w:noWrap w:val="0"/>
            <w:vAlign w:val="center"/>
          </w:tcPr>
          <w:p>
            <w:pPr>
              <w:rPr>
                <w:rFonts w:ascii="宋体"/>
                <w:color w:val="auto"/>
                <w:sz w:val="24"/>
                <w:highlight w:val="none"/>
              </w:rPr>
            </w:pPr>
          </w:p>
        </w:tc>
        <w:tc>
          <w:tcPr>
            <w:tcW w:w="1365" w:type="dxa"/>
            <w:noWrap w:val="0"/>
            <w:vAlign w:val="center"/>
          </w:tcPr>
          <w:p>
            <w:pPr>
              <w:rPr>
                <w:rFonts w:ascii="宋体"/>
                <w:color w:val="auto"/>
                <w:sz w:val="24"/>
                <w:highlight w:val="none"/>
              </w:rPr>
            </w:pPr>
          </w:p>
        </w:tc>
        <w:tc>
          <w:tcPr>
            <w:tcW w:w="2625" w:type="dxa"/>
            <w:noWrap w:val="0"/>
            <w:vAlign w:val="center"/>
          </w:tcPr>
          <w:p>
            <w:pPr>
              <w:rPr>
                <w:rFonts w:asci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noWrap w:val="0"/>
            <w:vAlign w:val="center"/>
          </w:tcPr>
          <w:p>
            <w:pPr>
              <w:rPr>
                <w:rFonts w:ascii="宋体"/>
                <w:color w:val="auto"/>
                <w:sz w:val="24"/>
                <w:highlight w:val="none"/>
              </w:rPr>
            </w:pPr>
          </w:p>
        </w:tc>
        <w:tc>
          <w:tcPr>
            <w:tcW w:w="1785" w:type="dxa"/>
            <w:noWrap w:val="0"/>
            <w:vAlign w:val="center"/>
          </w:tcPr>
          <w:p>
            <w:pPr>
              <w:snapToGrid w:val="0"/>
              <w:rPr>
                <w:rFonts w:ascii="宋体"/>
                <w:color w:val="auto"/>
                <w:sz w:val="24"/>
                <w:highlight w:val="none"/>
              </w:rPr>
            </w:pPr>
            <w:r>
              <w:rPr>
                <w:rFonts w:hint="eastAsia" w:ascii="宋体" w:hAnsi="宋体"/>
                <w:color w:val="auto"/>
                <w:sz w:val="24"/>
                <w:highlight w:val="none"/>
              </w:rPr>
              <w:t>免费维保期</w:t>
            </w:r>
          </w:p>
        </w:tc>
        <w:tc>
          <w:tcPr>
            <w:tcW w:w="1785" w:type="dxa"/>
            <w:noWrap w:val="0"/>
            <w:vAlign w:val="center"/>
          </w:tcPr>
          <w:p>
            <w:pPr>
              <w:rPr>
                <w:rFonts w:ascii="宋体"/>
                <w:color w:val="auto"/>
                <w:sz w:val="24"/>
                <w:highlight w:val="none"/>
              </w:rPr>
            </w:pPr>
          </w:p>
        </w:tc>
        <w:tc>
          <w:tcPr>
            <w:tcW w:w="1365" w:type="dxa"/>
            <w:noWrap w:val="0"/>
            <w:vAlign w:val="center"/>
          </w:tcPr>
          <w:p>
            <w:pPr>
              <w:rPr>
                <w:rFonts w:ascii="宋体"/>
                <w:color w:val="auto"/>
                <w:sz w:val="24"/>
                <w:highlight w:val="none"/>
              </w:rPr>
            </w:pPr>
          </w:p>
        </w:tc>
        <w:tc>
          <w:tcPr>
            <w:tcW w:w="2625" w:type="dxa"/>
            <w:noWrap w:val="0"/>
            <w:vAlign w:val="center"/>
          </w:tcPr>
          <w:p>
            <w:pPr>
              <w:rPr>
                <w:rFonts w:asci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noWrap w:val="0"/>
            <w:vAlign w:val="center"/>
          </w:tcPr>
          <w:p>
            <w:pPr>
              <w:rPr>
                <w:rFonts w:ascii="宋体"/>
                <w:color w:val="auto"/>
                <w:sz w:val="24"/>
                <w:highlight w:val="none"/>
              </w:rPr>
            </w:pPr>
          </w:p>
        </w:tc>
        <w:tc>
          <w:tcPr>
            <w:tcW w:w="1785" w:type="dxa"/>
            <w:noWrap w:val="0"/>
            <w:vAlign w:val="center"/>
          </w:tcPr>
          <w:p>
            <w:pPr>
              <w:snapToGrid w:val="0"/>
              <w:rPr>
                <w:rFonts w:ascii="宋体"/>
                <w:color w:val="auto"/>
                <w:sz w:val="24"/>
                <w:highlight w:val="none"/>
              </w:rPr>
            </w:pPr>
            <w:r>
              <w:rPr>
                <w:rFonts w:hint="eastAsia" w:ascii="宋体" w:hAnsi="宋体"/>
                <w:color w:val="auto"/>
                <w:sz w:val="24"/>
                <w:highlight w:val="none"/>
              </w:rPr>
              <w:t>项目工期及地点</w:t>
            </w:r>
          </w:p>
        </w:tc>
        <w:tc>
          <w:tcPr>
            <w:tcW w:w="1785" w:type="dxa"/>
            <w:noWrap w:val="0"/>
            <w:vAlign w:val="center"/>
          </w:tcPr>
          <w:p>
            <w:pPr>
              <w:rPr>
                <w:rFonts w:ascii="宋体"/>
                <w:color w:val="auto"/>
                <w:sz w:val="24"/>
                <w:highlight w:val="none"/>
              </w:rPr>
            </w:pPr>
          </w:p>
        </w:tc>
        <w:tc>
          <w:tcPr>
            <w:tcW w:w="1365" w:type="dxa"/>
            <w:noWrap w:val="0"/>
            <w:vAlign w:val="center"/>
          </w:tcPr>
          <w:p>
            <w:pPr>
              <w:rPr>
                <w:rFonts w:ascii="宋体"/>
                <w:color w:val="auto"/>
                <w:sz w:val="24"/>
                <w:highlight w:val="none"/>
              </w:rPr>
            </w:pPr>
          </w:p>
        </w:tc>
        <w:tc>
          <w:tcPr>
            <w:tcW w:w="2625" w:type="dxa"/>
            <w:noWrap w:val="0"/>
            <w:vAlign w:val="center"/>
          </w:tcPr>
          <w:p>
            <w:pPr>
              <w:rPr>
                <w:rFonts w:asci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noWrap w:val="0"/>
            <w:vAlign w:val="center"/>
          </w:tcPr>
          <w:p>
            <w:pPr>
              <w:rPr>
                <w:rFonts w:ascii="宋体"/>
                <w:color w:val="auto"/>
                <w:sz w:val="24"/>
                <w:highlight w:val="none"/>
              </w:rPr>
            </w:pPr>
          </w:p>
        </w:tc>
        <w:tc>
          <w:tcPr>
            <w:tcW w:w="1785" w:type="dxa"/>
            <w:noWrap w:val="0"/>
            <w:vAlign w:val="center"/>
          </w:tcPr>
          <w:p>
            <w:pPr>
              <w:snapToGrid w:val="0"/>
              <w:rPr>
                <w:rFonts w:ascii="宋体"/>
                <w:color w:val="auto"/>
                <w:sz w:val="24"/>
                <w:highlight w:val="none"/>
              </w:rPr>
            </w:pPr>
            <w:r>
              <w:rPr>
                <w:rFonts w:hint="eastAsia" w:ascii="宋体" w:hAnsi="宋体"/>
                <w:color w:val="auto"/>
                <w:sz w:val="24"/>
                <w:highlight w:val="none"/>
              </w:rPr>
              <w:t>付款条件</w:t>
            </w:r>
          </w:p>
        </w:tc>
        <w:tc>
          <w:tcPr>
            <w:tcW w:w="1785" w:type="dxa"/>
            <w:noWrap w:val="0"/>
            <w:vAlign w:val="center"/>
          </w:tcPr>
          <w:p>
            <w:pPr>
              <w:rPr>
                <w:rFonts w:ascii="宋体"/>
                <w:color w:val="auto"/>
                <w:sz w:val="24"/>
                <w:highlight w:val="none"/>
              </w:rPr>
            </w:pPr>
          </w:p>
        </w:tc>
        <w:tc>
          <w:tcPr>
            <w:tcW w:w="1365" w:type="dxa"/>
            <w:noWrap w:val="0"/>
            <w:vAlign w:val="center"/>
          </w:tcPr>
          <w:p>
            <w:pPr>
              <w:rPr>
                <w:rFonts w:ascii="宋体"/>
                <w:color w:val="auto"/>
                <w:sz w:val="24"/>
                <w:highlight w:val="none"/>
              </w:rPr>
            </w:pPr>
          </w:p>
        </w:tc>
        <w:tc>
          <w:tcPr>
            <w:tcW w:w="2625" w:type="dxa"/>
            <w:noWrap w:val="0"/>
            <w:vAlign w:val="center"/>
          </w:tcPr>
          <w:p>
            <w:pPr>
              <w:rPr>
                <w:rFonts w:asci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noWrap w:val="0"/>
            <w:vAlign w:val="center"/>
          </w:tcPr>
          <w:p>
            <w:pPr>
              <w:rPr>
                <w:rFonts w:ascii="宋体"/>
                <w:color w:val="auto"/>
                <w:sz w:val="24"/>
                <w:highlight w:val="none"/>
              </w:rPr>
            </w:pPr>
          </w:p>
        </w:tc>
        <w:tc>
          <w:tcPr>
            <w:tcW w:w="1785" w:type="dxa"/>
            <w:noWrap w:val="0"/>
            <w:vAlign w:val="center"/>
          </w:tcPr>
          <w:p>
            <w:pPr>
              <w:snapToGrid w:val="0"/>
              <w:rPr>
                <w:rFonts w:ascii="宋体"/>
                <w:color w:val="auto"/>
                <w:sz w:val="24"/>
                <w:highlight w:val="none"/>
              </w:rPr>
            </w:pPr>
            <w:r>
              <w:rPr>
                <w:rFonts w:hint="eastAsia" w:ascii="宋体" w:hAnsi="宋体"/>
                <w:color w:val="auto"/>
                <w:sz w:val="24"/>
                <w:highlight w:val="none"/>
              </w:rPr>
              <w:t>……</w:t>
            </w:r>
          </w:p>
        </w:tc>
        <w:tc>
          <w:tcPr>
            <w:tcW w:w="1785" w:type="dxa"/>
            <w:noWrap w:val="0"/>
            <w:vAlign w:val="center"/>
          </w:tcPr>
          <w:p>
            <w:pPr>
              <w:rPr>
                <w:rFonts w:ascii="宋体"/>
                <w:color w:val="auto"/>
                <w:sz w:val="24"/>
                <w:highlight w:val="none"/>
              </w:rPr>
            </w:pPr>
          </w:p>
        </w:tc>
        <w:tc>
          <w:tcPr>
            <w:tcW w:w="1365" w:type="dxa"/>
            <w:noWrap w:val="0"/>
            <w:vAlign w:val="center"/>
          </w:tcPr>
          <w:p>
            <w:pPr>
              <w:rPr>
                <w:rFonts w:ascii="宋体"/>
                <w:color w:val="auto"/>
                <w:sz w:val="24"/>
                <w:highlight w:val="none"/>
              </w:rPr>
            </w:pPr>
          </w:p>
        </w:tc>
        <w:tc>
          <w:tcPr>
            <w:tcW w:w="2625" w:type="dxa"/>
            <w:noWrap w:val="0"/>
            <w:vAlign w:val="center"/>
          </w:tcPr>
          <w:p>
            <w:pPr>
              <w:rPr>
                <w:rFonts w:asci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trPr>
        <w:tc>
          <w:tcPr>
            <w:tcW w:w="735" w:type="dxa"/>
            <w:noWrap w:val="0"/>
            <w:vAlign w:val="center"/>
          </w:tcPr>
          <w:p>
            <w:pPr>
              <w:rPr>
                <w:rFonts w:ascii="宋体"/>
                <w:color w:val="auto"/>
                <w:sz w:val="24"/>
                <w:highlight w:val="none"/>
              </w:rPr>
            </w:pPr>
          </w:p>
        </w:tc>
        <w:tc>
          <w:tcPr>
            <w:tcW w:w="1785" w:type="dxa"/>
            <w:noWrap w:val="0"/>
            <w:vAlign w:val="top"/>
          </w:tcPr>
          <w:p>
            <w:pPr>
              <w:snapToGrid w:val="0"/>
              <w:rPr>
                <w:rFonts w:ascii="宋体"/>
                <w:color w:val="auto"/>
                <w:sz w:val="24"/>
                <w:highlight w:val="none"/>
              </w:rPr>
            </w:pPr>
          </w:p>
        </w:tc>
        <w:tc>
          <w:tcPr>
            <w:tcW w:w="1785" w:type="dxa"/>
            <w:noWrap w:val="0"/>
            <w:vAlign w:val="center"/>
          </w:tcPr>
          <w:p>
            <w:pPr>
              <w:rPr>
                <w:rFonts w:ascii="宋体"/>
                <w:color w:val="auto"/>
                <w:sz w:val="24"/>
                <w:highlight w:val="none"/>
              </w:rPr>
            </w:pPr>
          </w:p>
        </w:tc>
        <w:tc>
          <w:tcPr>
            <w:tcW w:w="1365" w:type="dxa"/>
            <w:noWrap w:val="0"/>
            <w:vAlign w:val="center"/>
          </w:tcPr>
          <w:p>
            <w:pPr>
              <w:rPr>
                <w:rFonts w:ascii="宋体"/>
                <w:color w:val="auto"/>
                <w:sz w:val="24"/>
                <w:highlight w:val="none"/>
              </w:rPr>
            </w:pPr>
          </w:p>
        </w:tc>
        <w:tc>
          <w:tcPr>
            <w:tcW w:w="2625" w:type="dxa"/>
            <w:noWrap w:val="0"/>
            <w:vAlign w:val="center"/>
          </w:tcPr>
          <w:p>
            <w:pPr>
              <w:rPr>
                <w:rFonts w:asci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trPr>
        <w:tc>
          <w:tcPr>
            <w:tcW w:w="735" w:type="dxa"/>
            <w:noWrap w:val="0"/>
            <w:vAlign w:val="center"/>
          </w:tcPr>
          <w:p>
            <w:pPr>
              <w:rPr>
                <w:rFonts w:ascii="宋体"/>
                <w:color w:val="auto"/>
                <w:sz w:val="24"/>
                <w:highlight w:val="none"/>
              </w:rPr>
            </w:pPr>
          </w:p>
        </w:tc>
        <w:tc>
          <w:tcPr>
            <w:tcW w:w="1785" w:type="dxa"/>
            <w:noWrap w:val="0"/>
            <w:vAlign w:val="top"/>
          </w:tcPr>
          <w:p>
            <w:pPr>
              <w:snapToGrid w:val="0"/>
              <w:rPr>
                <w:rFonts w:ascii="宋体"/>
                <w:color w:val="auto"/>
                <w:sz w:val="24"/>
                <w:highlight w:val="none"/>
              </w:rPr>
            </w:pPr>
          </w:p>
        </w:tc>
        <w:tc>
          <w:tcPr>
            <w:tcW w:w="1785" w:type="dxa"/>
            <w:noWrap w:val="0"/>
            <w:vAlign w:val="center"/>
          </w:tcPr>
          <w:p>
            <w:pPr>
              <w:rPr>
                <w:rFonts w:ascii="宋体"/>
                <w:color w:val="auto"/>
                <w:sz w:val="24"/>
                <w:highlight w:val="none"/>
              </w:rPr>
            </w:pPr>
          </w:p>
        </w:tc>
        <w:tc>
          <w:tcPr>
            <w:tcW w:w="1365" w:type="dxa"/>
            <w:noWrap w:val="0"/>
            <w:vAlign w:val="center"/>
          </w:tcPr>
          <w:p>
            <w:pPr>
              <w:rPr>
                <w:rFonts w:ascii="宋体"/>
                <w:color w:val="auto"/>
                <w:sz w:val="24"/>
                <w:highlight w:val="none"/>
              </w:rPr>
            </w:pPr>
          </w:p>
        </w:tc>
        <w:tc>
          <w:tcPr>
            <w:tcW w:w="2625" w:type="dxa"/>
            <w:noWrap w:val="0"/>
            <w:vAlign w:val="center"/>
          </w:tcPr>
          <w:p>
            <w:pPr>
              <w:rPr>
                <w:rFonts w:ascii="宋体"/>
                <w:color w:val="auto"/>
                <w:sz w:val="24"/>
                <w:highlight w:val="none"/>
              </w:rPr>
            </w:pPr>
          </w:p>
        </w:tc>
      </w:tr>
    </w:tbl>
    <w:p>
      <w:pPr>
        <w:spacing w:line="360" w:lineRule="auto"/>
        <w:rPr>
          <w:rFonts w:ascii="宋体"/>
          <w:b/>
          <w:color w:val="auto"/>
          <w:sz w:val="24"/>
          <w:highlight w:val="none"/>
        </w:rPr>
      </w:pPr>
    </w:p>
    <w:p>
      <w:pPr>
        <w:spacing w:line="480" w:lineRule="auto"/>
        <w:rPr>
          <w:rFonts w:ascii="宋体"/>
          <w:color w:val="auto"/>
          <w:sz w:val="24"/>
          <w:highlight w:val="none"/>
        </w:rPr>
      </w:pPr>
      <w:r>
        <w:rPr>
          <w:rFonts w:hint="eastAsia" w:ascii="宋体" w:hAnsi="宋体"/>
          <w:color w:val="auto"/>
          <w:sz w:val="24"/>
          <w:highlight w:val="none"/>
        </w:rPr>
        <w:t>投标人名称（盖章）：</w:t>
      </w:r>
    </w:p>
    <w:p>
      <w:pPr>
        <w:spacing w:line="480" w:lineRule="auto"/>
        <w:rPr>
          <w:rFonts w:ascii="宋体"/>
          <w:color w:val="auto"/>
          <w:sz w:val="24"/>
          <w:highlight w:val="none"/>
        </w:rPr>
      </w:pPr>
      <w:r>
        <w:rPr>
          <w:rFonts w:hint="eastAsia" w:ascii="宋体" w:hAnsi="宋体"/>
          <w:color w:val="auto"/>
          <w:sz w:val="24"/>
          <w:highlight w:val="none"/>
        </w:rPr>
        <w:t>法定代表人或授权委托代理人（签字或盖章）：</w:t>
      </w:r>
    </w:p>
    <w:p>
      <w:pPr>
        <w:spacing w:line="480" w:lineRule="auto"/>
        <w:rPr>
          <w:rFonts w:ascii="宋体"/>
          <w:color w:val="auto"/>
          <w:sz w:val="24"/>
          <w:highlight w:val="none"/>
        </w:rPr>
      </w:pPr>
      <w:r>
        <w:rPr>
          <w:rFonts w:hint="eastAsia" w:ascii="宋体" w:hAnsi="宋体"/>
          <w:color w:val="auto"/>
          <w:sz w:val="24"/>
          <w:highlight w:val="none"/>
        </w:rPr>
        <w:t>日期：</w:t>
      </w:r>
    </w:p>
    <w:p>
      <w:pPr>
        <w:spacing w:line="360" w:lineRule="auto"/>
        <w:rPr>
          <w:rFonts w:ascii="宋体"/>
          <w:b/>
          <w:color w:val="auto"/>
          <w:sz w:val="24"/>
          <w:highlight w:val="none"/>
        </w:rPr>
      </w:pPr>
    </w:p>
    <w:p>
      <w:pPr>
        <w:spacing w:line="360" w:lineRule="auto"/>
        <w:rPr>
          <w:rFonts w:ascii="宋体"/>
          <w:b/>
          <w:color w:val="auto"/>
          <w:sz w:val="24"/>
          <w:highlight w:val="none"/>
        </w:rPr>
      </w:pPr>
    </w:p>
    <w:p>
      <w:pPr>
        <w:spacing w:line="360" w:lineRule="auto"/>
        <w:rPr>
          <w:rFonts w:ascii="宋体"/>
          <w:b/>
          <w:color w:val="auto"/>
          <w:sz w:val="24"/>
          <w:highlight w:val="none"/>
        </w:rPr>
      </w:pPr>
    </w:p>
    <w:p>
      <w:pPr>
        <w:spacing w:line="360" w:lineRule="auto"/>
        <w:rPr>
          <w:rFonts w:ascii="宋体"/>
          <w:b/>
          <w:color w:val="auto"/>
          <w:sz w:val="24"/>
          <w:highlight w:val="none"/>
        </w:rPr>
      </w:pPr>
    </w:p>
    <w:p>
      <w:pPr>
        <w:spacing w:line="360" w:lineRule="auto"/>
        <w:rPr>
          <w:rFonts w:ascii="宋体"/>
          <w:b/>
          <w:color w:val="auto"/>
          <w:sz w:val="24"/>
          <w:highlight w:val="none"/>
        </w:rPr>
      </w:pPr>
    </w:p>
    <w:p>
      <w:pPr>
        <w:spacing w:line="360" w:lineRule="auto"/>
        <w:rPr>
          <w:rFonts w:ascii="宋体"/>
          <w:b/>
          <w:color w:val="auto"/>
          <w:sz w:val="24"/>
          <w:highlight w:val="none"/>
        </w:rPr>
      </w:pPr>
    </w:p>
    <w:p>
      <w:pPr>
        <w:pStyle w:val="9"/>
        <w:rPr>
          <w:rFonts w:ascii="宋体"/>
          <w:b/>
          <w:color w:val="auto"/>
          <w:sz w:val="24"/>
          <w:highlight w:val="none"/>
        </w:rPr>
      </w:pPr>
    </w:p>
    <w:p>
      <w:pPr>
        <w:rPr>
          <w:color w:val="auto"/>
          <w:highlight w:val="none"/>
        </w:rPr>
      </w:pPr>
    </w:p>
    <w:p>
      <w:pPr>
        <w:spacing w:line="360" w:lineRule="auto"/>
        <w:rPr>
          <w:rFonts w:ascii="宋体"/>
          <w:b/>
          <w:color w:val="auto"/>
          <w:sz w:val="24"/>
          <w:highlight w:val="none"/>
        </w:rPr>
      </w:pPr>
    </w:p>
    <w:p>
      <w:pPr>
        <w:spacing w:line="360" w:lineRule="auto"/>
        <w:rPr>
          <w:rFonts w:ascii="宋体"/>
          <w:b/>
          <w:color w:val="auto"/>
          <w:sz w:val="24"/>
          <w:highlight w:val="none"/>
        </w:rPr>
      </w:pPr>
    </w:p>
    <w:p>
      <w:pPr>
        <w:tabs>
          <w:tab w:val="left" w:pos="2460"/>
        </w:tabs>
        <w:spacing w:line="360" w:lineRule="auto"/>
        <w:rPr>
          <w:rFonts w:ascii="宋体"/>
          <w:b/>
          <w:color w:val="auto"/>
          <w:sz w:val="28"/>
          <w:highlight w:val="none"/>
        </w:rPr>
      </w:pPr>
      <w:r>
        <w:rPr>
          <w:rFonts w:hint="eastAsia" w:ascii="宋体" w:hAnsi="宋体"/>
          <w:b/>
          <w:color w:val="auto"/>
          <w:sz w:val="28"/>
          <w:highlight w:val="none"/>
        </w:rPr>
        <w:t>附件</w:t>
      </w:r>
      <w:r>
        <w:rPr>
          <w:rFonts w:ascii="宋体" w:hAnsi="宋体"/>
          <w:b/>
          <w:color w:val="auto"/>
          <w:sz w:val="28"/>
          <w:highlight w:val="none"/>
        </w:rPr>
        <w:t>13</w:t>
      </w:r>
    </w:p>
    <w:p>
      <w:pPr>
        <w:spacing w:line="480" w:lineRule="exact"/>
        <w:jc w:val="center"/>
        <w:rPr>
          <w:rFonts w:ascii="宋体"/>
          <w:b/>
          <w:color w:val="auto"/>
          <w:sz w:val="32"/>
          <w:szCs w:val="32"/>
          <w:highlight w:val="none"/>
        </w:rPr>
      </w:pPr>
      <w:r>
        <w:rPr>
          <w:rFonts w:hint="eastAsia" w:ascii="宋体" w:hAnsi="宋体"/>
          <w:b/>
          <w:color w:val="auto"/>
          <w:sz w:val="32"/>
          <w:szCs w:val="32"/>
          <w:highlight w:val="none"/>
        </w:rPr>
        <w:t>售后服务情况表</w:t>
      </w:r>
    </w:p>
    <w:p>
      <w:pPr>
        <w:spacing w:line="360" w:lineRule="auto"/>
        <w:rPr>
          <w:rFonts w:ascii="宋体"/>
          <w:b/>
          <w:color w:val="auto"/>
          <w:sz w:val="24"/>
          <w:highlight w:val="none"/>
        </w:rPr>
      </w:pPr>
    </w:p>
    <w:tbl>
      <w:tblPr>
        <w:tblStyle w:val="20"/>
        <w:tblW w:w="8528"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39"/>
        <w:gridCol w:w="2355"/>
        <w:gridCol w:w="4061"/>
        <w:gridCol w:w="1373"/>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18" w:hRule="atLeast"/>
          <w:jc w:val="center"/>
        </w:trPr>
        <w:tc>
          <w:tcPr>
            <w:tcW w:w="739" w:type="dxa"/>
            <w:tcBorders>
              <w:top w:val="single" w:color="auto" w:sz="4" w:space="0"/>
            </w:tcBorders>
            <w:noWrap w:val="0"/>
            <w:vAlign w:val="center"/>
          </w:tcPr>
          <w:p>
            <w:pPr>
              <w:pStyle w:val="27"/>
              <w:spacing w:line="360" w:lineRule="auto"/>
              <w:jc w:val="center"/>
              <w:rPr>
                <w:rFonts w:ascii="宋体" w:cs="Arial"/>
                <w:b/>
                <w:color w:val="auto"/>
                <w:sz w:val="24"/>
                <w:highlight w:val="none"/>
              </w:rPr>
            </w:pPr>
            <w:r>
              <w:rPr>
                <w:rFonts w:hint="eastAsia" w:ascii="宋体" w:hAnsi="宋体" w:cs="Arial"/>
                <w:b/>
                <w:color w:val="auto"/>
                <w:sz w:val="24"/>
                <w:highlight w:val="none"/>
              </w:rPr>
              <w:t>序号</w:t>
            </w:r>
          </w:p>
        </w:tc>
        <w:tc>
          <w:tcPr>
            <w:tcW w:w="2355" w:type="dxa"/>
            <w:tcBorders>
              <w:top w:val="single" w:color="auto" w:sz="4" w:space="0"/>
            </w:tcBorders>
            <w:noWrap w:val="0"/>
            <w:vAlign w:val="center"/>
          </w:tcPr>
          <w:p>
            <w:pPr>
              <w:pStyle w:val="27"/>
              <w:spacing w:line="360" w:lineRule="auto"/>
              <w:jc w:val="center"/>
              <w:rPr>
                <w:rFonts w:ascii="宋体" w:cs="Arial"/>
                <w:b/>
                <w:color w:val="auto"/>
                <w:sz w:val="24"/>
                <w:highlight w:val="none"/>
              </w:rPr>
            </w:pPr>
            <w:r>
              <w:rPr>
                <w:rFonts w:hint="eastAsia" w:ascii="宋体" w:hAnsi="宋体" w:cs="Arial"/>
                <w:b/>
                <w:color w:val="auto"/>
                <w:sz w:val="24"/>
                <w:highlight w:val="none"/>
              </w:rPr>
              <w:t>项目</w:t>
            </w:r>
          </w:p>
        </w:tc>
        <w:tc>
          <w:tcPr>
            <w:tcW w:w="4061" w:type="dxa"/>
            <w:tcBorders>
              <w:top w:val="single" w:color="auto" w:sz="4" w:space="0"/>
            </w:tcBorders>
            <w:noWrap w:val="0"/>
            <w:vAlign w:val="center"/>
          </w:tcPr>
          <w:p>
            <w:pPr>
              <w:pStyle w:val="27"/>
              <w:spacing w:line="360" w:lineRule="auto"/>
              <w:jc w:val="center"/>
              <w:rPr>
                <w:rFonts w:ascii="宋体" w:cs="Arial"/>
                <w:b/>
                <w:color w:val="auto"/>
                <w:sz w:val="24"/>
                <w:highlight w:val="none"/>
              </w:rPr>
            </w:pPr>
            <w:r>
              <w:rPr>
                <w:rFonts w:hint="eastAsia" w:ascii="宋体" w:hAnsi="宋体" w:cs="Arial"/>
                <w:b/>
                <w:color w:val="auto"/>
                <w:sz w:val="24"/>
                <w:highlight w:val="none"/>
              </w:rPr>
              <w:t>投标人情况</w:t>
            </w:r>
          </w:p>
        </w:tc>
        <w:tc>
          <w:tcPr>
            <w:tcW w:w="1373" w:type="dxa"/>
            <w:tcBorders>
              <w:top w:val="single" w:color="auto" w:sz="4" w:space="0"/>
            </w:tcBorders>
            <w:noWrap w:val="0"/>
            <w:vAlign w:val="center"/>
          </w:tcPr>
          <w:p>
            <w:pPr>
              <w:pStyle w:val="27"/>
              <w:spacing w:line="360" w:lineRule="auto"/>
              <w:jc w:val="center"/>
              <w:rPr>
                <w:rFonts w:ascii="宋体" w:cs="Arial"/>
                <w:b/>
                <w:color w:val="auto"/>
                <w:sz w:val="24"/>
                <w:highlight w:val="none"/>
              </w:rPr>
            </w:pPr>
            <w:r>
              <w:rPr>
                <w:rFonts w:hint="eastAsia" w:ascii="宋体" w:hAnsi="宋体" w:cs="Arial"/>
                <w:b/>
                <w:color w:val="auto"/>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258" w:hRule="atLeast"/>
          <w:jc w:val="center"/>
        </w:trPr>
        <w:tc>
          <w:tcPr>
            <w:tcW w:w="739" w:type="dxa"/>
            <w:vMerge w:val="restart"/>
            <w:noWrap w:val="0"/>
            <w:vAlign w:val="center"/>
          </w:tcPr>
          <w:p>
            <w:pPr>
              <w:pStyle w:val="27"/>
              <w:spacing w:line="360" w:lineRule="auto"/>
              <w:jc w:val="center"/>
              <w:rPr>
                <w:rFonts w:ascii="宋体" w:cs="Arial"/>
                <w:bCs/>
                <w:color w:val="auto"/>
                <w:sz w:val="24"/>
                <w:highlight w:val="none"/>
              </w:rPr>
            </w:pPr>
            <w:r>
              <w:rPr>
                <w:rFonts w:ascii="宋体" w:hAnsi="宋体" w:cs="Arial"/>
                <w:bCs/>
                <w:color w:val="auto"/>
                <w:sz w:val="24"/>
                <w:highlight w:val="none"/>
              </w:rPr>
              <w:t>1</w:t>
            </w:r>
          </w:p>
        </w:tc>
        <w:tc>
          <w:tcPr>
            <w:tcW w:w="2355" w:type="dxa"/>
            <w:vMerge w:val="restart"/>
            <w:noWrap w:val="0"/>
            <w:vAlign w:val="center"/>
          </w:tcPr>
          <w:p>
            <w:pPr>
              <w:pStyle w:val="27"/>
              <w:widowControl/>
              <w:spacing w:line="360" w:lineRule="auto"/>
              <w:jc w:val="left"/>
              <w:rPr>
                <w:rFonts w:hint="eastAsia" w:ascii="宋体" w:eastAsia="宋体" w:cs="Arial"/>
                <w:bCs/>
                <w:color w:val="auto"/>
                <w:sz w:val="24"/>
                <w:highlight w:val="none"/>
                <w:lang w:eastAsia="zh-CN"/>
              </w:rPr>
            </w:pPr>
            <w:r>
              <w:rPr>
                <w:rFonts w:hint="eastAsia" w:ascii="宋体" w:hAnsi="宋体" w:cs="Arial"/>
                <w:bCs/>
                <w:color w:val="auto"/>
                <w:sz w:val="24"/>
                <w:highlight w:val="none"/>
              </w:rPr>
              <w:t>保修期内售后服务情况</w:t>
            </w:r>
            <w:r>
              <w:rPr>
                <w:rFonts w:hint="eastAsia" w:ascii="宋体" w:hAnsi="宋体" w:cs="Arial"/>
                <w:bCs/>
                <w:color w:val="auto"/>
                <w:sz w:val="24"/>
                <w:highlight w:val="none"/>
                <w:lang w:eastAsia="zh-CN"/>
              </w:rPr>
              <w:t>（</w:t>
            </w:r>
            <w:r>
              <w:rPr>
                <w:rFonts w:hint="eastAsia" w:ascii="宋体" w:hAnsi="宋体" w:cs="Arial"/>
                <w:bCs/>
                <w:color w:val="auto"/>
                <w:sz w:val="24"/>
                <w:highlight w:val="none"/>
              </w:rPr>
              <w:t>服务方式、服务网点、售后服务的内容和措施等等，可用附页和宣传材料</w:t>
            </w:r>
            <w:r>
              <w:rPr>
                <w:rFonts w:hint="eastAsia" w:ascii="宋体" w:hAnsi="宋体" w:cs="Arial"/>
                <w:bCs/>
                <w:color w:val="auto"/>
                <w:sz w:val="24"/>
                <w:highlight w:val="none"/>
                <w:lang w:eastAsia="zh-CN"/>
              </w:rPr>
              <w:t>）</w:t>
            </w:r>
          </w:p>
        </w:tc>
        <w:tc>
          <w:tcPr>
            <w:tcW w:w="4061" w:type="dxa"/>
            <w:noWrap w:val="0"/>
            <w:vAlign w:val="top"/>
          </w:tcPr>
          <w:p>
            <w:pPr>
              <w:pStyle w:val="27"/>
              <w:spacing w:line="360" w:lineRule="auto"/>
              <w:rPr>
                <w:rFonts w:ascii="宋体" w:cs="Arial"/>
                <w:bCs/>
                <w:color w:val="auto"/>
                <w:sz w:val="24"/>
                <w:highlight w:val="none"/>
              </w:rPr>
            </w:pPr>
            <w:r>
              <w:rPr>
                <w:rFonts w:hint="eastAsia" w:ascii="宋体" w:hAnsi="宋体" w:cs="Arial"/>
                <w:bCs/>
                <w:color w:val="auto"/>
                <w:sz w:val="24"/>
                <w:highlight w:val="none"/>
              </w:rPr>
              <w:t>生产厂商售后服务情况：</w:t>
            </w:r>
          </w:p>
        </w:tc>
        <w:tc>
          <w:tcPr>
            <w:tcW w:w="1373" w:type="dxa"/>
            <w:noWrap w:val="0"/>
            <w:vAlign w:val="top"/>
          </w:tcPr>
          <w:p>
            <w:pPr>
              <w:pStyle w:val="27"/>
              <w:spacing w:line="360" w:lineRule="auto"/>
              <w:rPr>
                <w:rFonts w:ascii="宋体" w:cs="Arial"/>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090" w:hRule="atLeast"/>
          <w:jc w:val="center"/>
        </w:trPr>
        <w:tc>
          <w:tcPr>
            <w:tcW w:w="739" w:type="dxa"/>
            <w:vMerge w:val="continue"/>
            <w:noWrap w:val="0"/>
            <w:vAlign w:val="center"/>
          </w:tcPr>
          <w:p>
            <w:pPr>
              <w:pStyle w:val="27"/>
              <w:widowControl/>
              <w:spacing w:line="360" w:lineRule="auto"/>
              <w:jc w:val="left"/>
              <w:rPr>
                <w:rFonts w:ascii="宋体" w:cs="Arial"/>
                <w:bCs/>
                <w:color w:val="auto"/>
                <w:sz w:val="24"/>
                <w:highlight w:val="none"/>
              </w:rPr>
            </w:pPr>
          </w:p>
        </w:tc>
        <w:tc>
          <w:tcPr>
            <w:tcW w:w="2355" w:type="dxa"/>
            <w:vMerge w:val="continue"/>
            <w:noWrap w:val="0"/>
            <w:vAlign w:val="center"/>
          </w:tcPr>
          <w:p>
            <w:pPr>
              <w:pStyle w:val="27"/>
              <w:widowControl/>
              <w:spacing w:line="360" w:lineRule="auto"/>
              <w:jc w:val="left"/>
              <w:rPr>
                <w:rFonts w:ascii="宋体" w:cs="Arial"/>
                <w:bCs/>
                <w:color w:val="auto"/>
                <w:sz w:val="24"/>
                <w:highlight w:val="none"/>
              </w:rPr>
            </w:pPr>
          </w:p>
        </w:tc>
        <w:tc>
          <w:tcPr>
            <w:tcW w:w="4061" w:type="dxa"/>
            <w:noWrap w:val="0"/>
            <w:vAlign w:val="top"/>
          </w:tcPr>
          <w:p>
            <w:pPr>
              <w:pStyle w:val="27"/>
              <w:spacing w:line="360" w:lineRule="auto"/>
              <w:rPr>
                <w:rFonts w:ascii="宋体" w:cs="Arial"/>
                <w:bCs/>
                <w:color w:val="auto"/>
                <w:sz w:val="24"/>
                <w:highlight w:val="none"/>
              </w:rPr>
            </w:pPr>
            <w:r>
              <w:rPr>
                <w:rFonts w:hint="eastAsia" w:ascii="宋体" w:hAnsi="宋体" w:cs="Arial"/>
                <w:bCs/>
                <w:color w:val="auto"/>
                <w:sz w:val="24"/>
                <w:highlight w:val="none"/>
              </w:rPr>
              <w:t>投标人售后服务情况：</w:t>
            </w:r>
          </w:p>
        </w:tc>
        <w:tc>
          <w:tcPr>
            <w:tcW w:w="1373" w:type="dxa"/>
            <w:noWrap w:val="0"/>
            <w:vAlign w:val="top"/>
          </w:tcPr>
          <w:p>
            <w:pPr>
              <w:pStyle w:val="27"/>
              <w:spacing w:line="360" w:lineRule="auto"/>
              <w:jc w:val="left"/>
              <w:rPr>
                <w:rFonts w:ascii="宋体" w:cs="Arial"/>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67" w:hRule="exact"/>
          <w:jc w:val="center"/>
        </w:trPr>
        <w:tc>
          <w:tcPr>
            <w:tcW w:w="739" w:type="dxa"/>
            <w:noWrap w:val="0"/>
            <w:vAlign w:val="center"/>
          </w:tcPr>
          <w:p>
            <w:pPr>
              <w:pStyle w:val="27"/>
              <w:spacing w:line="360" w:lineRule="auto"/>
              <w:jc w:val="center"/>
              <w:rPr>
                <w:rFonts w:ascii="宋体" w:cs="Arial"/>
                <w:bCs/>
                <w:color w:val="auto"/>
                <w:sz w:val="24"/>
                <w:highlight w:val="none"/>
              </w:rPr>
            </w:pPr>
            <w:r>
              <w:rPr>
                <w:rFonts w:ascii="宋体" w:hAnsi="宋体" w:cs="Arial"/>
                <w:bCs/>
                <w:color w:val="auto"/>
                <w:sz w:val="24"/>
                <w:highlight w:val="none"/>
              </w:rPr>
              <w:t>2</w:t>
            </w:r>
          </w:p>
        </w:tc>
        <w:tc>
          <w:tcPr>
            <w:tcW w:w="2355" w:type="dxa"/>
            <w:noWrap w:val="0"/>
            <w:vAlign w:val="center"/>
          </w:tcPr>
          <w:p>
            <w:pPr>
              <w:pStyle w:val="27"/>
              <w:spacing w:line="360" w:lineRule="auto"/>
              <w:rPr>
                <w:rFonts w:ascii="宋体" w:cs="Arial"/>
                <w:bCs/>
                <w:color w:val="auto"/>
                <w:sz w:val="24"/>
                <w:highlight w:val="none"/>
              </w:rPr>
            </w:pPr>
            <w:r>
              <w:rPr>
                <w:rFonts w:hint="eastAsia" w:ascii="宋体" w:hAnsi="宋体" w:cs="Arial"/>
                <w:bCs/>
                <w:color w:val="auto"/>
                <w:sz w:val="24"/>
                <w:highlight w:val="none"/>
              </w:rPr>
              <w:t>保修期后售后服务</w:t>
            </w:r>
          </w:p>
        </w:tc>
        <w:tc>
          <w:tcPr>
            <w:tcW w:w="4061" w:type="dxa"/>
            <w:noWrap w:val="0"/>
            <w:vAlign w:val="top"/>
          </w:tcPr>
          <w:p>
            <w:pPr>
              <w:pStyle w:val="27"/>
              <w:widowControl/>
              <w:spacing w:line="360" w:lineRule="auto"/>
              <w:jc w:val="left"/>
              <w:rPr>
                <w:rFonts w:ascii="宋体" w:cs="Arial"/>
                <w:bCs/>
                <w:color w:val="auto"/>
                <w:sz w:val="24"/>
                <w:highlight w:val="none"/>
              </w:rPr>
            </w:pPr>
          </w:p>
          <w:p>
            <w:pPr>
              <w:pStyle w:val="27"/>
              <w:widowControl/>
              <w:spacing w:line="360" w:lineRule="auto"/>
              <w:jc w:val="left"/>
              <w:rPr>
                <w:rFonts w:ascii="宋体" w:cs="Arial"/>
                <w:bCs/>
                <w:color w:val="auto"/>
                <w:sz w:val="24"/>
                <w:highlight w:val="none"/>
              </w:rPr>
            </w:pPr>
          </w:p>
          <w:p>
            <w:pPr>
              <w:pStyle w:val="27"/>
              <w:spacing w:line="360" w:lineRule="auto"/>
              <w:rPr>
                <w:rFonts w:ascii="宋体" w:cs="Arial"/>
                <w:bCs/>
                <w:color w:val="auto"/>
                <w:sz w:val="24"/>
                <w:highlight w:val="none"/>
              </w:rPr>
            </w:pPr>
          </w:p>
        </w:tc>
        <w:tc>
          <w:tcPr>
            <w:tcW w:w="1373" w:type="dxa"/>
            <w:noWrap w:val="0"/>
            <w:vAlign w:val="top"/>
          </w:tcPr>
          <w:p>
            <w:pPr>
              <w:pStyle w:val="27"/>
              <w:widowControl/>
              <w:spacing w:line="360" w:lineRule="auto"/>
              <w:jc w:val="left"/>
              <w:rPr>
                <w:rFonts w:ascii="宋体" w:cs="Arial"/>
                <w:bCs/>
                <w:color w:val="auto"/>
                <w:sz w:val="24"/>
                <w:highlight w:val="none"/>
              </w:rPr>
            </w:pPr>
          </w:p>
          <w:p>
            <w:pPr>
              <w:pStyle w:val="27"/>
              <w:widowControl/>
              <w:spacing w:line="360" w:lineRule="auto"/>
              <w:jc w:val="left"/>
              <w:rPr>
                <w:rFonts w:ascii="宋体" w:cs="Arial"/>
                <w:bCs/>
                <w:color w:val="auto"/>
                <w:sz w:val="24"/>
                <w:highlight w:val="none"/>
              </w:rPr>
            </w:pPr>
          </w:p>
          <w:p>
            <w:pPr>
              <w:pStyle w:val="27"/>
              <w:spacing w:line="360" w:lineRule="auto"/>
              <w:rPr>
                <w:rFonts w:ascii="宋体" w:cs="Arial"/>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620" w:hRule="exact"/>
          <w:jc w:val="center"/>
        </w:trPr>
        <w:tc>
          <w:tcPr>
            <w:tcW w:w="739" w:type="dxa"/>
            <w:noWrap w:val="0"/>
            <w:vAlign w:val="center"/>
          </w:tcPr>
          <w:p>
            <w:pPr>
              <w:pStyle w:val="27"/>
              <w:widowControl/>
              <w:spacing w:line="360" w:lineRule="auto"/>
              <w:jc w:val="left"/>
              <w:rPr>
                <w:rFonts w:ascii="宋体" w:cs="Arial"/>
                <w:bCs/>
                <w:color w:val="auto"/>
                <w:sz w:val="24"/>
                <w:highlight w:val="none"/>
              </w:rPr>
            </w:pPr>
            <w:r>
              <w:rPr>
                <w:rFonts w:ascii="宋体" w:hAnsi="宋体" w:cs="Arial"/>
                <w:bCs/>
                <w:color w:val="auto"/>
                <w:sz w:val="24"/>
                <w:highlight w:val="none"/>
              </w:rPr>
              <w:t xml:space="preserve"> 3</w:t>
            </w:r>
          </w:p>
        </w:tc>
        <w:tc>
          <w:tcPr>
            <w:tcW w:w="2355" w:type="dxa"/>
            <w:noWrap w:val="0"/>
            <w:vAlign w:val="center"/>
          </w:tcPr>
          <w:p>
            <w:pPr>
              <w:pStyle w:val="27"/>
              <w:widowControl/>
              <w:spacing w:line="360" w:lineRule="auto"/>
              <w:jc w:val="left"/>
              <w:rPr>
                <w:rFonts w:ascii="宋体" w:cs="Arial"/>
                <w:bCs/>
                <w:color w:val="auto"/>
                <w:sz w:val="24"/>
                <w:highlight w:val="none"/>
              </w:rPr>
            </w:pPr>
            <w:r>
              <w:rPr>
                <w:rFonts w:hint="eastAsia" w:ascii="宋体" w:hAnsi="宋体" w:cs="Arial"/>
                <w:bCs/>
                <w:color w:val="auto"/>
                <w:sz w:val="24"/>
                <w:highlight w:val="none"/>
              </w:rPr>
              <w:t>培训方案（可用附页）</w:t>
            </w:r>
          </w:p>
        </w:tc>
        <w:tc>
          <w:tcPr>
            <w:tcW w:w="4061" w:type="dxa"/>
            <w:noWrap w:val="0"/>
            <w:vAlign w:val="top"/>
          </w:tcPr>
          <w:p>
            <w:pPr>
              <w:pStyle w:val="27"/>
              <w:widowControl/>
              <w:spacing w:line="360" w:lineRule="auto"/>
              <w:jc w:val="left"/>
              <w:rPr>
                <w:rFonts w:ascii="宋体" w:cs="Arial"/>
                <w:bCs/>
                <w:i/>
                <w:color w:val="auto"/>
                <w:sz w:val="24"/>
                <w:highlight w:val="none"/>
              </w:rPr>
            </w:pPr>
          </w:p>
          <w:p>
            <w:pPr>
              <w:pStyle w:val="27"/>
              <w:widowControl/>
              <w:spacing w:line="360" w:lineRule="auto"/>
              <w:jc w:val="left"/>
              <w:rPr>
                <w:rFonts w:ascii="宋体" w:cs="Arial"/>
                <w:bCs/>
                <w:i/>
                <w:color w:val="auto"/>
                <w:sz w:val="24"/>
                <w:highlight w:val="none"/>
              </w:rPr>
            </w:pPr>
          </w:p>
        </w:tc>
        <w:tc>
          <w:tcPr>
            <w:tcW w:w="1373" w:type="dxa"/>
            <w:noWrap w:val="0"/>
            <w:vAlign w:val="top"/>
          </w:tcPr>
          <w:p>
            <w:pPr>
              <w:pStyle w:val="27"/>
              <w:widowControl/>
              <w:spacing w:line="360" w:lineRule="auto"/>
              <w:jc w:val="left"/>
              <w:rPr>
                <w:rFonts w:ascii="宋体" w:cs="Arial"/>
                <w:bCs/>
                <w:i/>
                <w:color w:val="auto"/>
                <w:sz w:val="24"/>
                <w:highlight w:val="none"/>
              </w:rPr>
            </w:pPr>
          </w:p>
          <w:p>
            <w:pPr>
              <w:pStyle w:val="27"/>
              <w:widowControl/>
              <w:spacing w:line="360" w:lineRule="auto"/>
              <w:jc w:val="left"/>
              <w:rPr>
                <w:rFonts w:ascii="宋体" w:cs="Arial"/>
                <w:bCs/>
                <w:i/>
                <w:color w:val="auto"/>
                <w:sz w:val="24"/>
                <w:highlight w:val="none"/>
              </w:rPr>
            </w:pPr>
          </w:p>
          <w:p>
            <w:pPr>
              <w:pStyle w:val="27"/>
              <w:widowControl/>
              <w:spacing w:line="360" w:lineRule="auto"/>
              <w:jc w:val="left"/>
              <w:rPr>
                <w:rFonts w:ascii="宋体" w:cs="Arial"/>
                <w:bCs/>
                <w:i/>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89" w:hRule="exact"/>
          <w:jc w:val="center"/>
        </w:trPr>
        <w:tc>
          <w:tcPr>
            <w:tcW w:w="739" w:type="dxa"/>
            <w:tcBorders>
              <w:bottom w:val="single" w:color="auto" w:sz="4" w:space="0"/>
            </w:tcBorders>
            <w:noWrap w:val="0"/>
            <w:vAlign w:val="center"/>
          </w:tcPr>
          <w:p>
            <w:pPr>
              <w:pStyle w:val="27"/>
              <w:widowControl/>
              <w:spacing w:line="360" w:lineRule="auto"/>
              <w:jc w:val="left"/>
              <w:rPr>
                <w:rFonts w:ascii="宋体" w:cs="Arial"/>
                <w:bCs/>
                <w:color w:val="auto"/>
                <w:sz w:val="24"/>
                <w:highlight w:val="none"/>
              </w:rPr>
            </w:pPr>
            <w:r>
              <w:rPr>
                <w:rFonts w:hint="eastAsia" w:ascii="宋体" w:cs="Arial"/>
                <w:bCs/>
                <w:color w:val="auto"/>
                <w:sz w:val="24"/>
                <w:highlight w:val="none"/>
              </w:rPr>
              <w:t>……</w:t>
            </w:r>
          </w:p>
        </w:tc>
        <w:tc>
          <w:tcPr>
            <w:tcW w:w="2355" w:type="dxa"/>
            <w:tcBorders>
              <w:bottom w:val="single" w:color="auto" w:sz="4" w:space="0"/>
            </w:tcBorders>
            <w:noWrap w:val="0"/>
            <w:vAlign w:val="center"/>
          </w:tcPr>
          <w:p>
            <w:pPr>
              <w:pStyle w:val="27"/>
              <w:widowControl/>
              <w:spacing w:line="360" w:lineRule="auto"/>
              <w:jc w:val="left"/>
              <w:rPr>
                <w:rFonts w:ascii="宋体" w:cs="Arial"/>
                <w:bCs/>
                <w:color w:val="auto"/>
                <w:sz w:val="24"/>
                <w:highlight w:val="none"/>
              </w:rPr>
            </w:pPr>
            <w:r>
              <w:rPr>
                <w:rFonts w:hint="eastAsia" w:ascii="宋体" w:cs="Arial"/>
                <w:bCs/>
                <w:color w:val="auto"/>
                <w:sz w:val="24"/>
                <w:highlight w:val="none"/>
              </w:rPr>
              <w:t>……</w:t>
            </w:r>
          </w:p>
        </w:tc>
        <w:tc>
          <w:tcPr>
            <w:tcW w:w="4061" w:type="dxa"/>
            <w:tcBorders>
              <w:bottom w:val="single" w:color="auto" w:sz="4" w:space="0"/>
            </w:tcBorders>
            <w:noWrap w:val="0"/>
            <w:vAlign w:val="top"/>
          </w:tcPr>
          <w:p>
            <w:pPr>
              <w:pStyle w:val="27"/>
              <w:widowControl/>
              <w:spacing w:line="360" w:lineRule="auto"/>
              <w:jc w:val="left"/>
              <w:rPr>
                <w:rFonts w:ascii="宋体" w:cs="Arial"/>
                <w:bCs/>
                <w:color w:val="auto"/>
                <w:sz w:val="24"/>
                <w:highlight w:val="none"/>
              </w:rPr>
            </w:pPr>
          </w:p>
        </w:tc>
        <w:tc>
          <w:tcPr>
            <w:tcW w:w="1373" w:type="dxa"/>
            <w:tcBorders>
              <w:bottom w:val="single" w:color="auto" w:sz="4" w:space="0"/>
            </w:tcBorders>
            <w:noWrap w:val="0"/>
            <w:vAlign w:val="top"/>
          </w:tcPr>
          <w:p>
            <w:pPr>
              <w:pStyle w:val="27"/>
              <w:widowControl/>
              <w:spacing w:line="360" w:lineRule="auto"/>
              <w:jc w:val="left"/>
              <w:rPr>
                <w:rFonts w:ascii="宋体" w:cs="Arial"/>
                <w:bCs/>
                <w:color w:val="auto"/>
                <w:sz w:val="24"/>
                <w:highlight w:val="none"/>
              </w:rPr>
            </w:pPr>
          </w:p>
        </w:tc>
      </w:tr>
    </w:tbl>
    <w:p>
      <w:pPr>
        <w:spacing w:line="360" w:lineRule="auto"/>
        <w:ind w:left="549" w:hanging="549" w:hangingChars="171"/>
        <w:jc w:val="center"/>
        <w:rPr>
          <w:rFonts w:ascii="宋体"/>
          <w:b/>
          <w:color w:val="auto"/>
          <w:sz w:val="32"/>
          <w:szCs w:val="32"/>
          <w:highlight w:val="none"/>
        </w:rPr>
      </w:pPr>
    </w:p>
    <w:p>
      <w:pPr>
        <w:spacing w:line="360" w:lineRule="auto"/>
        <w:rPr>
          <w:rFonts w:ascii="宋体"/>
          <w:color w:val="auto"/>
          <w:sz w:val="24"/>
          <w:highlight w:val="none"/>
        </w:rPr>
      </w:pPr>
    </w:p>
    <w:p>
      <w:pPr>
        <w:spacing w:line="480" w:lineRule="auto"/>
        <w:rPr>
          <w:rFonts w:ascii="宋体"/>
          <w:color w:val="auto"/>
          <w:sz w:val="24"/>
          <w:highlight w:val="none"/>
        </w:rPr>
      </w:pPr>
      <w:r>
        <w:rPr>
          <w:rFonts w:hint="eastAsia" w:ascii="宋体" w:hAnsi="宋体"/>
          <w:color w:val="auto"/>
          <w:sz w:val="24"/>
          <w:highlight w:val="none"/>
        </w:rPr>
        <w:t>投标人名称（盖章）：</w:t>
      </w:r>
    </w:p>
    <w:p>
      <w:pPr>
        <w:spacing w:line="480" w:lineRule="auto"/>
        <w:rPr>
          <w:rFonts w:ascii="宋体"/>
          <w:color w:val="auto"/>
          <w:sz w:val="24"/>
          <w:highlight w:val="none"/>
        </w:rPr>
      </w:pPr>
      <w:r>
        <w:rPr>
          <w:rFonts w:hint="eastAsia" w:ascii="宋体" w:hAnsi="宋体"/>
          <w:color w:val="auto"/>
          <w:sz w:val="24"/>
          <w:highlight w:val="none"/>
        </w:rPr>
        <w:t>法定代表人或授权委托代理人（签字或盖章）：</w:t>
      </w:r>
    </w:p>
    <w:p>
      <w:pPr>
        <w:spacing w:line="480" w:lineRule="auto"/>
        <w:rPr>
          <w:rFonts w:ascii="宋体"/>
          <w:color w:val="auto"/>
          <w:sz w:val="24"/>
          <w:highlight w:val="none"/>
        </w:rPr>
      </w:pPr>
      <w:r>
        <w:rPr>
          <w:rFonts w:hint="eastAsia" w:ascii="宋体" w:hAnsi="宋体"/>
          <w:color w:val="auto"/>
          <w:sz w:val="24"/>
          <w:highlight w:val="none"/>
        </w:rPr>
        <w:t>日期：</w:t>
      </w:r>
    </w:p>
    <w:p>
      <w:pPr>
        <w:spacing w:line="360" w:lineRule="auto"/>
        <w:rPr>
          <w:rFonts w:ascii="宋体" w:cs="宋体"/>
          <w:color w:val="auto"/>
          <w:sz w:val="24"/>
          <w:szCs w:val="32"/>
          <w:highlight w:val="none"/>
        </w:rPr>
      </w:pPr>
    </w:p>
    <w:p>
      <w:pPr>
        <w:spacing w:line="360" w:lineRule="auto"/>
        <w:rPr>
          <w:rFonts w:ascii="宋体"/>
          <w:b/>
          <w:color w:val="auto"/>
          <w:sz w:val="24"/>
          <w:highlight w:val="none"/>
        </w:rPr>
      </w:pPr>
    </w:p>
    <w:p>
      <w:pPr>
        <w:spacing w:line="360" w:lineRule="auto"/>
        <w:rPr>
          <w:rFonts w:ascii="宋体"/>
          <w:b/>
          <w:color w:val="auto"/>
          <w:sz w:val="24"/>
          <w:highlight w:val="none"/>
        </w:rPr>
      </w:pPr>
    </w:p>
    <w:p>
      <w:pPr>
        <w:spacing w:line="360" w:lineRule="auto"/>
        <w:rPr>
          <w:rFonts w:ascii="宋体"/>
          <w:b/>
          <w:color w:val="auto"/>
          <w:sz w:val="24"/>
          <w:highlight w:val="none"/>
        </w:rPr>
      </w:pPr>
    </w:p>
    <w:p>
      <w:pPr>
        <w:spacing w:line="360" w:lineRule="auto"/>
        <w:rPr>
          <w:rFonts w:ascii="宋体"/>
          <w:b/>
          <w:color w:val="auto"/>
          <w:sz w:val="24"/>
          <w:highlight w:val="none"/>
        </w:rPr>
      </w:pPr>
    </w:p>
    <w:p>
      <w:pPr>
        <w:pStyle w:val="2"/>
        <w:rPr>
          <w:rFonts w:ascii="宋体"/>
          <w:b/>
          <w:color w:val="auto"/>
          <w:sz w:val="24"/>
          <w:highlight w:val="none"/>
        </w:rPr>
      </w:pPr>
    </w:p>
    <w:p>
      <w:pPr>
        <w:pStyle w:val="3"/>
        <w:rPr>
          <w:color w:val="auto"/>
          <w:highlight w:val="none"/>
        </w:rPr>
      </w:pPr>
    </w:p>
    <w:p>
      <w:pPr>
        <w:spacing w:line="360" w:lineRule="auto"/>
        <w:rPr>
          <w:rFonts w:ascii="宋体"/>
          <w:b/>
          <w:color w:val="auto"/>
          <w:sz w:val="24"/>
          <w:highlight w:val="none"/>
        </w:rPr>
      </w:pPr>
    </w:p>
    <w:p>
      <w:pPr>
        <w:jc w:val="both"/>
        <w:rPr>
          <w:rFonts w:hint="eastAsia" w:ascii="宋体" w:hAnsi="宋体" w:cs="宋体"/>
          <w:b/>
          <w:bCs/>
          <w:color w:val="auto"/>
          <w:sz w:val="28"/>
          <w:szCs w:val="28"/>
          <w:highlight w:val="none"/>
        </w:rPr>
      </w:pPr>
      <w:r>
        <w:rPr>
          <w:rFonts w:hint="eastAsia" w:ascii="宋体" w:hAnsi="宋体" w:cs="宋体"/>
          <w:b/>
          <w:bCs/>
          <w:color w:val="auto"/>
          <w:sz w:val="28"/>
          <w:szCs w:val="28"/>
          <w:highlight w:val="none"/>
          <w:u w:val="none"/>
          <w:lang w:val="en-US" w:eastAsia="zh-CN"/>
        </w:rPr>
        <w:t xml:space="preserve">附件14                                              </w:t>
      </w:r>
      <w:r>
        <w:rPr>
          <w:rFonts w:hint="eastAsia" w:ascii="宋体" w:hAnsi="宋体" w:cs="宋体"/>
          <w:b/>
          <w:bCs/>
          <w:color w:val="auto"/>
          <w:sz w:val="28"/>
          <w:szCs w:val="28"/>
          <w:highlight w:val="none"/>
          <w:u w:val="single"/>
          <w:lang w:val="en-US" w:eastAsia="zh-CN"/>
        </w:rPr>
        <w:t xml:space="preserve">  </w:t>
      </w:r>
      <w:r>
        <w:rPr>
          <w:rFonts w:hint="eastAsia" w:ascii="宋体" w:hAnsi="宋体" w:cs="宋体"/>
          <w:b/>
          <w:bCs/>
          <w:color w:val="auto"/>
          <w:sz w:val="28"/>
          <w:szCs w:val="28"/>
          <w:highlight w:val="none"/>
          <w:u w:val="single"/>
        </w:rPr>
        <w:t>　</w:t>
      </w:r>
      <w:r>
        <w:rPr>
          <w:rFonts w:hint="eastAsia" w:ascii="宋体" w:hAnsi="宋体" w:cs="宋体"/>
          <w:b/>
          <w:bCs/>
          <w:color w:val="auto"/>
          <w:sz w:val="28"/>
          <w:szCs w:val="28"/>
          <w:highlight w:val="none"/>
        </w:rPr>
        <w:t>本</w:t>
      </w:r>
    </w:p>
    <w:p>
      <w:pPr>
        <w:jc w:val="center"/>
        <w:rPr>
          <w:rFonts w:ascii="宋体"/>
          <w:color w:val="auto"/>
          <w:spacing w:val="40"/>
          <w:sz w:val="52"/>
          <w:szCs w:val="52"/>
          <w:highlight w:val="none"/>
        </w:rPr>
      </w:pPr>
      <w:r>
        <w:rPr>
          <w:rFonts w:hint="eastAsia" w:ascii="宋体" w:hAnsi="宋体" w:cs="宋体"/>
          <w:color w:val="auto"/>
          <w:spacing w:val="40"/>
          <w:sz w:val="52"/>
          <w:szCs w:val="52"/>
          <w:highlight w:val="none"/>
        </w:rPr>
        <w:t>项目名称</w:t>
      </w:r>
    </w:p>
    <w:p>
      <w:pPr>
        <w:jc w:val="center"/>
        <w:rPr>
          <w:rFonts w:ascii="宋体"/>
          <w:color w:val="auto"/>
          <w:sz w:val="36"/>
          <w:szCs w:val="36"/>
          <w:highlight w:val="none"/>
        </w:rPr>
      </w:pPr>
      <w:r>
        <w:rPr>
          <w:rFonts w:hint="eastAsia" w:ascii="宋体" w:hAnsi="宋体" w:cs="宋体"/>
          <w:color w:val="auto"/>
          <w:sz w:val="36"/>
          <w:szCs w:val="36"/>
          <w:highlight w:val="none"/>
        </w:rPr>
        <w:t>项目编号：</w:t>
      </w:r>
    </w:p>
    <w:p>
      <w:pPr>
        <w:jc w:val="center"/>
        <w:rPr>
          <w:rFonts w:ascii="宋体"/>
          <w:b/>
          <w:bCs/>
          <w:color w:val="auto"/>
          <w:spacing w:val="40"/>
          <w:sz w:val="84"/>
          <w:szCs w:val="84"/>
          <w:highlight w:val="none"/>
        </w:rPr>
      </w:pPr>
    </w:p>
    <w:p>
      <w:pPr>
        <w:jc w:val="center"/>
        <w:rPr>
          <w:rFonts w:ascii="宋体" w:hAnsi="Times New Roman" w:eastAsia="宋体" w:cs="Times New Roman"/>
          <w:b/>
          <w:bCs/>
          <w:color w:val="auto"/>
          <w:spacing w:val="40"/>
          <w:sz w:val="84"/>
          <w:szCs w:val="84"/>
          <w:highlight w:val="none"/>
        </w:rPr>
      </w:pPr>
      <w:r>
        <w:rPr>
          <w:rFonts w:hint="eastAsia" w:ascii="宋体" w:hAnsi="Times New Roman" w:eastAsia="宋体" w:cs="Times New Roman"/>
          <w:b/>
          <w:bCs/>
          <w:color w:val="auto"/>
          <w:spacing w:val="40"/>
          <w:sz w:val="84"/>
          <w:szCs w:val="84"/>
          <w:highlight w:val="none"/>
        </w:rPr>
        <w:t>报</w:t>
      </w:r>
    </w:p>
    <w:p>
      <w:pPr>
        <w:jc w:val="center"/>
        <w:rPr>
          <w:rFonts w:ascii="宋体" w:hAnsi="Times New Roman" w:eastAsia="宋体" w:cs="Times New Roman"/>
          <w:b/>
          <w:bCs/>
          <w:color w:val="auto"/>
          <w:spacing w:val="40"/>
          <w:sz w:val="84"/>
          <w:szCs w:val="84"/>
          <w:highlight w:val="none"/>
        </w:rPr>
      </w:pPr>
      <w:r>
        <w:rPr>
          <w:rFonts w:hint="eastAsia" w:ascii="宋体" w:hAnsi="Times New Roman" w:eastAsia="宋体" w:cs="Times New Roman"/>
          <w:b/>
          <w:bCs/>
          <w:color w:val="auto"/>
          <w:spacing w:val="40"/>
          <w:sz w:val="84"/>
          <w:szCs w:val="84"/>
          <w:highlight w:val="none"/>
        </w:rPr>
        <w:t>价</w:t>
      </w:r>
    </w:p>
    <w:p>
      <w:pPr>
        <w:jc w:val="center"/>
        <w:rPr>
          <w:rFonts w:ascii="宋体" w:hAnsi="Times New Roman" w:eastAsia="宋体" w:cs="Times New Roman"/>
          <w:b/>
          <w:bCs/>
          <w:color w:val="auto"/>
          <w:spacing w:val="40"/>
          <w:sz w:val="84"/>
          <w:szCs w:val="84"/>
          <w:highlight w:val="none"/>
        </w:rPr>
      </w:pPr>
      <w:r>
        <w:rPr>
          <w:rFonts w:hint="eastAsia" w:ascii="宋体" w:hAnsi="Times New Roman" w:eastAsia="宋体" w:cs="Times New Roman"/>
          <w:b/>
          <w:bCs/>
          <w:color w:val="auto"/>
          <w:spacing w:val="40"/>
          <w:sz w:val="84"/>
          <w:szCs w:val="84"/>
          <w:highlight w:val="none"/>
        </w:rPr>
        <w:t>文</w:t>
      </w:r>
    </w:p>
    <w:p>
      <w:pPr>
        <w:jc w:val="center"/>
        <w:rPr>
          <w:rFonts w:ascii="宋体" w:hAnsi="Times New Roman" w:eastAsia="宋体" w:cs="Times New Roman"/>
          <w:b/>
          <w:bCs/>
          <w:color w:val="auto"/>
          <w:spacing w:val="40"/>
          <w:sz w:val="84"/>
          <w:szCs w:val="84"/>
          <w:highlight w:val="none"/>
        </w:rPr>
      </w:pPr>
      <w:r>
        <w:rPr>
          <w:rFonts w:hint="eastAsia" w:ascii="宋体" w:hAnsi="Times New Roman" w:eastAsia="宋体" w:cs="Times New Roman"/>
          <w:b/>
          <w:bCs/>
          <w:color w:val="auto"/>
          <w:spacing w:val="40"/>
          <w:sz w:val="84"/>
          <w:szCs w:val="84"/>
          <w:highlight w:val="none"/>
        </w:rPr>
        <w:t>件</w:t>
      </w:r>
    </w:p>
    <w:p>
      <w:pPr>
        <w:jc w:val="center"/>
        <w:rPr>
          <w:rFonts w:ascii="宋体" w:hAnsi="Times New Roman" w:eastAsia="宋体" w:cs="Times New Roman"/>
          <w:b/>
          <w:bCs/>
          <w:color w:val="auto"/>
          <w:spacing w:val="40"/>
          <w:sz w:val="84"/>
          <w:szCs w:val="84"/>
          <w:highlight w:val="none"/>
        </w:rPr>
      </w:pPr>
    </w:p>
    <w:p>
      <w:pPr>
        <w:jc w:val="center"/>
        <w:rPr>
          <w:rFonts w:ascii="宋体" w:hAnsi="Times New Roman" w:eastAsia="宋体" w:cs="Times New Roman"/>
          <w:b/>
          <w:bCs/>
          <w:color w:val="auto"/>
          <w:spacing w:val="40"/>
          <w:sz w:val="84"/>
          <w:szCs w:val="84"/>
          <w:highlight w:val="none"/>
        </w:rPr>
      </w:pPr>
    </w:p>
    <w:p>
      <w:pPr>
        <w:rPr>
          <w:rFonts w:ascii="宋体"/>
          <w:color w:val="auto"/>
          <w:sz w:val="32"/>
          <w:szCs w:val="32"/>
          <w:highlight w:val="none"/>
        </w:rPr>
      </w:pPr>
      <w:r>
        <w:rPr>
          <w:rFonts w:hint="eastAsia" w:ascii="宋体" w:hAnsi="宋体" w:cs="宋体"/>
          <w:color w:val="auto"/>
          <w:sz w:val="32"/>
          <w:szCs w:val="32"/>
          <w:highlight w:val="none"/>
          <w:lang w:val="en-US" w:eastAsia="zh-CN"/>
        </w:rPr>
        <w:t>投标人</w:t>
      </w:r>
      <w:r>
        <w:rPr>
          <w:rFonts w:hint="eastAsia" w:ascii="宋体" w:hAnsi="宋体" w:cs="宋体"/>
          <w:color w:val="auto"/>
          <w:sz w:val="32"/>
          <w:szCs w:val="32"/>
          <w:highlight w:val="none"/>
        </w:rPr>
        <w:t>全称</w:t>
      </w:r>
      <w:r>
        <w:rPr>
          <w:rFonts w:hint="eastAsia" w:ascii="宋体" w:hAnsi="宋体" w:eastAsia="宋体" w:cs="宋体"/>
          <w:color w:val="auto"/>
          <w:sz w:val="32"/>
          <w:szCs w:val="32"/>
          <w:highlight w:val="none"/>
        </w:rPr>
        <w:t>（加盖公章，如为联合体，则为联合体牵头人</w:t>
      </w:r>
      <w:r>
        <w:rPr>
          <w:rFonts w:hint="eastAsia" w:ascii="宋体" w:hAnsi="宋体" w:eastAsia="宋体" w:cs="宋体"/>
          <w:color w:val="auto"/>
          <w:sz w:val="32"/>
          <w:szCs w:val="32"/>
          <w:highlight w:val="none"/>
          <w:lang w:eastAsia="zh-CN"/>
        </w:rPr>
        <w:t>）</w:t>
      </w:r>
      <w:r>
        <w:rPr>
          <w:rFonts w:hint="eastAsia" w:ascii="宋体" w:hAnsi="宋体" w:cs="宋体"/>
          <w:color w:val="auto"/>
          <w:sz w:val="32"/>
          <w:szCs w:val="32"/>
          <w:highlight w:val="none"/>
        </w:rPr>
        <w:t>：</w:t>
      </w:r>
    </w:p>
    <w:p>
      <w:pPr>
        <w:rPr>
          <w:rFonts w:ascii="宋体"/>
          <w:color w:val="auto"/>
          <w:sz w:val="32"/>
          <w:szCs w:val="32"/>
          <w:highlight w:val="none"/>
        </w:rPr>
      </w:pPr>
      <w:r>
        <w:rPr>
          <w:rFonts w:hint="eastAsia" w:ascii="宋体" w:hAnsi="宋体" w:cs="宋体"/>
          <w:color w:val="auto"/>
          <w:sz w:val="32"/>
          <w:szCs w:val="32"/>
          <w:highlight w:val="none"/>
        </w:rPr>
        <w:t>地址：</w:t>
      </w:r>
    </w:p>
    <w:p>
      <w:pPr>
        <w:rPr>
          <w:rFonts w:ascii="宋体"/>
          <w:color w:val="auto"/>
          <w:sz w:val="32"/>
          <w:szCs w:val="32"/>
          <w:highlight w:val="none"/>
        </w:rPr>
      </w:pPr>
      <w:r>
        <w:rPr>
          <w:rFonts w:hint="eastAsia" w:ascii="宋体" w:hAnsi="宋体" w:cs="宋体"/>
          <w:color w:val="auto"/>
          <w:sz w:val="32"/>
          <w:szCs w:val="32"/>
          <w:highlight w:val="none"/>
        </w:rPr>
        <w:t>时间：</w:t>
      </w:r>
    </w:p>
    <w:p>
      <w:pPr>
        <w:spacing w:line="360" w:lineRule="auto"/>
        <w:rPr>
          <w:rFonts w:ascii="宋体"/>
          <w:color w:val="auto"/>
          <w:sz w:val="24"/>
          <w:szCs w:val="24"/>
          <w:highlight w:val="none"/>
        </w:rPr>
      </w:pPr>
    </w:p>
    <w:p>
      <w:pPr>
        <w:spacing w:line="360" w:lineRule="auto"/>
        <w:rPr>
          <w:rFonts w:ascii="宋体"/>
          <w:color w:val="auto"/>
          <w:sz w:val="24"/>
          <w:szCs w:val="24"/>
          <w:highlight w:val="none"/>
        </w:rPr>
      </w:pPr>
    </w:p>
    <w:p>
      <w:pPr>
        <w:spacing w:line="360" w:lineRule="auto"/>
        <w:jc w:val="center"/>
        <w:rPr>
          <w:rFonts w:ascii="宋体"/>
          <w:b/>
          <w:bCs/>
          <w:color w:val="auto"/>
          <w:sz w:val="32"/>
          <w:szCs w:val="32"/>
          <w:highlight w:val="none"/>
          <w:lang w:val="zh-CN"/>
        </w:rPr>
      </w:pPr>
      <w:r>
        <w:rPr>
          <w:rFonts w:hint="eastAsia" w:ascii="宋体" w:hAnsi="宋体" w:cs="宋体"/>
          <w:b/>
          <w:bCs/>
          <w:color w:val="auto"/>
          <w:sz w:val="32"/>
          <w:szCs w:val="32"/>
          <w:highlight w:val="none"/>
          <w:lang w:val="zh-CN"/>
        </w:rPr>
        <w:t>报价文件目录</w:t>
      </w:r>
    </w:p>
    <w:p>
      <w:pPr>
        <w:spacing w:line="360" w:lineRule="auto"/>
        <w:rPr>
          <w:rFonts w:ascii="宋体"/>
          <w:color w:val="auto"/>
          <w:sz w:val="24"/>
          <w:szCs w:val="24"/>
          <w:highlight w:val="none"/>
        </w:rPr>
      </w:pPr>
    </w:p>
    <w:p>
      <w:pPr>
        <w:spacing w:line="360" w:lineRule="auto"/>
        <w:rPr>
          <w:rFonts w:ascii="宋体"/>
          <w:color w:val="auto"/>
          <w:sz w:val="24"/>
          <w:szCs w:val="24"/>
          <w:highlight w:val="none"/>
        </w:rPr>
      </w:pPr>
    </w:p>
    <w:p>
      <w:pPr>
        <w:spacing w:line="360" w:lineRule="auto"/>
        <w:ind w:firstLine="560" w:firstLineChars="200"/>
        <w:rPr>
          <w:rFonts w:ascii="宋体"/>
          <w:color w:val="auto"/>
          <w:sz w:val="28"/>
          <w:szCs w:val="28"/>
          <w:highlight w:val="none"/>
        </w:rPr>
      </w:pPr>
      <w:r>
        <w:rPr>
          <w:rFonts w:ascii="宋体" w:hAnsi="宋体" w:cs="宋体"/>
          <w:color w:val="auto"/>
          <w:sz w:val="28"/>
          <w:szCs w:val="28"/>
          <w:highlight w:val="none"/>
        </w:rPr>
        <w:t>1</w:t>
      </w:r>
      <w:r>
        <w:rPr>
          <w:rFonts w:hint="eastAsia" w:ascii="宋体" w:hAnsi="宋体" w:cs="宋体"/>
          <w:color w:val="auto"/>
          <w:sz w:val="28"/>
          <w:szCs w:val="28"/>
          <w:highlight w:val="none"/>
        </w:rPr>
        <w:t>、开标一览表（附件</w:t>
      </w:r>
      <w:r>
        <w:rPr>
          <w:rFonts w:ascii="宋体" w:hAnsi="宋体" w:cs="宋体"/>
          <w:color w:val="auto"/>
          <w:sz w:val="28"/>
          <w:szCs w:val="28"/>
          <w:highlight w:val="none"/>
        </w:rPr>
        <w:t>1</w:t>
      </w:r>
      <w:r>
        <w:rPr>
          <w:rFonts w:hint="eastAsia" w:ascii="宋体" w:hAnsi="宋体" w:cs="宋体"/>
          <w:color w:val="auto"/>
          <w:sz w:val="28"/>
          <w:szCs w:val="28"/>
          <w:highlight w:val="none"/>
        </w:rPr>
        <w:t>5）；</w:t>
      </w:r>
    </w:p>
    <w:p>
      <w:pPr>
        <w:spacing w:line="360" w:lineRule="auto"/>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2、报价明细表（附件16）；</w:t>
      </w:r>
    </w:p>
    <w:p>
      <w:pPr>
        <w:spacing w:line="360" w:lineRule="auto"/>
        <w:ind w:firstLine="560" w:firstLineChars="200"/>
        <w:rPr>
          <w:rFonts w:ascii="宋体"/>
          <w:color w:val="auto"/>
          <w:sz w:val="28"/>
          <w:szCs w:val="28"/>
          <w:highlight w:val="none"/>
        </w:rPr>
      </w:pPr>
      <w:r>
        <w:rPr>
          <w:rFonts w:hint="eastAsia" w:ascii="宋体" w:hAnsi="宋体" w:cs="宋体"/>
          <w:color w:val="auto"/>
          <w:sz w:val="28"/>
          <w:szCs w:val="28"/>
          <w:highlight w:val="none"/>
        </w:rPr>
        <w:t>3、针对报价投标人认为其他需要说明的；</w:t>
      </w:r>
    </w:p>
    <w:p>
      <w:pPr>
        <w:spacing w:line="360" w:lineRule="auto"/>
        <w:ind w:firstLine="560" w:firstLineChars="200"/>
        <w:rPr>
          <w:rFonts w:ascii="宋体"/>
          <w:color w:val="auto"/>
          <w:sz w:val="28"/>
          <w:szCs w:val="28"/>
          <w:highlight w:val="none"/>
        </w:rPr>
      </w:pPr>
      <w:r>
        <w:rPr>
          <w:rFonts w:hint="eastAsia" w:ascii="宋体" w:hAnsi="宋体" w:cs="宋体"/>
          <w:color w:val="auto"/>
          <w:sz w:val="28"/>
          <w:szCs w:val="28"/>
          <w:highlight w:val="none"/>
        </w:rPr>
        <w:t>4、中小企业等声明函（附件</w:t>
      </w:r>
      <w:r>
        <w:rPr>
          <w:rFonts w:ascii="宋体" w:hAnsi="宋体" w:cs="宋体"/>
          <w:color w:val="auto"/>
          <w:sz w:val="28"/>
          <w:szCs w:val="28"/>
          <w:highlight w:val="none"/>
        </w:rPr>
        <w:t>1</w:t>
      </w:r>
      <w:r>
        <w:rPr>
          <w:rFonts w:hint="eastAsia" w:ascii="宋体" w:hAnsi="宋体" w:cs="宋体"/>
          <w:color w:val="auto"/>
          <w:sz w:val="28"/>
          <w:szCs w:val="28"/>
          <w:highlight w:val="none"/>
        </w:rPr>
        <w:t>7）。（如有需提供）</w:t>
      </w:r>
    </w:p>
    <w:p>
      <w:pPr>
        <w:spacing w:line="360" w:lineRule="auto"/>
        <w:rPr>
          <w:rFonts w:ascii="宋体"/>
          <w:color w:val="auto"/>
          <w:sz w:val="24"/>
          <w:szCs w:val="24"/>
          <w:highlight w:val="none"/>
        </w:rPr>
      </w:pPr>
    </w:p>
    <w:p>
      <w:pPr>
        <w:spacing w:line="360" w:lineRule="auto"/>
        <w:rPr>
          <w:rFonts w:ascii="宋体"/>
          <w:color w:val="auto"/>
          <w:sz w:val="24"/>
          <w:highlight w:val="none"/>
        </w:rPr>
      </w:pPr>
    </w:p>
    <w:p>
      <w:pPr>
        <w:spacing w:line="360" w:lineRule="auto"/>
        <w:rPr>
          <w:rFonts w:ascii="宋体"/>
          <w:color w:val="auto"/>
          <w:sz w:val="24"/>
          <w:highlight w:val="none"/>
        </w:rPr>
      </w:pPr>
    </w:p>
    <w:p>
      <w:pPr>
        <w:pageBreakBefore w:val="0"/>
        <w:widowControl w:val="0"/>
        <w:kinsoku/>
        <w:wordWrap/>
        <w:overflowPunct/>
        <w:topLinePunct w:val="0"/>
        <w:bidi w:val="0"/>
        <w:spacing w:line="360" w:lineRule="auto"/>
        <w:textAlignment w:val="auto"/>
        <w:rPr>
          <w:rFonts w:hint="eastAsia" w:ascii="宋体" w:hAnsi="宋体" w:eastAsia="宋体" w:cs="宋体"/>
          <w:color w:val="auto"/>
          <w:sz w:val="24"/>
          <w:szCs w:val="24"/>
          <w:highlight w:val="none"/>
        </w:rPr>
      </w:pPr>
    </w:p>
    <w:p>
      <w:pPr>
        <w:pageBreakBefore w:val="0"/>
        <w:widowControl w:val="0"/>
        <w:kinsoku/>
        <w:wordWrap/>
        <w:overflowPunct/>
        <w:topLinePunct w:val="0"/>
        <w:bidi w:val="0"/>
        <w:spacing w:line="360" w:lineRule="auto"/>
        <w:textAlignment w:val="auto"/>
        <w:rPr>
          <w:rFonts w:hint="eastAsia" w:ascii="宋体" w:hAnsi="宋体" w:eastAsia="宋体" w:cs="宋体"/>
          <w:color w:val="auto"/>
          <w:sz w:val="24"/>
          <w:szCs w:val="24"/>
          <w:highlight w:val="none"/>
        </w:rPr>
      </w:pPr>
    </w:p>
    <w:p>
      <w:pPr>
        <w:pageBreakBefore w:val="0"/>
        <w:widowControl w:val="0"/>
        <w:kinsoku/>
        <w:wordWrap/>
        <w:overflowPunct/>
        <w:topLinePunct w:val="0"/>
        <w:bidi w:val="0"/>
        <w:spacing w:line="360" w:lineRule="auto"/>
        <w:textAlignment w:val="auto"/>
        <w:rPr>
          <w:rFonts w:hint="eastAsia" w:ascii="宋体" w:hAnsi="宋体" w:eastAsia="宋体" w:cs="宋体"/>
          <w:color w:val="auto"/>
          <w:sz w:val="24"/>
          <w:szCs w:val="24"/>
          <w:highlight w:val="none"/>
        </w:rPr>
      </w:pPr>
    </w:p>
    <w:p>
      <w:pPr>
        <w:pageBreakBefore w:val="0"/>
        <w:widowControl w:val="0"/>
        <w:kinsoku/>
        <w:wordWrap/>
        <w:overflowPunct/>
        <w:topLinePunct w:val="0"/>
        <w:bidi w:val="0"/>
        <w:spacing w:line="360" w:lineRule="auto"/>
        <w:textAlignment w:val="auto"/>
        <w:rPr>
          <w:rFonts w:hint="eastAsia" w:ascii="宋体" w:hAnsi="宋体" w:eastAsia="宋体" w:cs="宋体"/>
          <w:color w:val="auto"/>
          <w:sz w:val="24"/>
          <w:szCs w:val="24"/>
          <w:highlight w:val="none"/>
        </w:rPr>
      </w:pPr>
    </w:p>
    <w:p>
      <w:pPr>
        <w:pageBreakBefore w:val="0"/>
        <w:widowControl w:val="0"/>
        <w:kinsoku/>
        <w:wordWrap/>
        <w:overflowPunct/>
        <w:topLinePunct w:val="0"/>
        <w:bidi w:val="0"/>
        <w:spacing w:line="360" w:lineRule="auto"/>
        <w:textAlignment w:val="auto"/>
        <w:rPr>
          <w:rFonts w:hint="eastAsia" w:ascii="宋体" w:hAnsi="宋体" w:eastAsia="宋体" w:cs="宋体"/>
          <w:color w:val="auto"/>
          <w:sz w:val="24"/>
          <w:szCs w:val="24"/>
          <w:highlight w:val="none"/>
        </w:rPr>
      </w:pPr>
    </w:p>
    <w:p>
      <w:pPr>
        <w:pageBreakBefore w:val="0"/>
        <w:widowControl w:val="0"/>
        <w:kinsoku/>
        <w:wordWrap/>
        <w:overflowPunct/>
        <w:topLinePunct w:val="0"/>
        <w:bidi w:val="0"/>
        <w:spacing w:line="360" w:lineRule="auto"/>
        <w:textAlignment w:val="auto"/>
        <w:rPr>
          <w:rFonts w:hint="eastAsia" w:ascii="宋体" w:hAnsi="宋体" w:eastAsia="宋体" w:cs="宋体"/>
          <w:color w:val="auto"/>
          <w:sz w:val="24"/>
          <w:szCs w:val="24"/>
          <w:highlight w:val="none"/>
        </w:rPr>
      </w:pPr>
    </w:p>
    <w:p>
      <w:pPr>
        <w:pageBreakBefore w:val="0"/>
        <w:widowControl w:val="0"/>
        <w:kinsoku/>
        <w:wordWrap/>
        <w:overflowPunct/>
        <w:topLinePunct w:val="0"/>
        <w:bidi w:val="0"/>
        <w:spacing w:line="360" w:lineRule="auto"/>
        <w:textAlignment w:val="auto"/>
        <w:rPr>
          <w:rFonts w:hint="eastAsia" w:ascii="宋体" w:hAnsi="宋体" w:eastAsia="宋体" w:cs="宋体"/>
          <w:color w:val="auto"/>
          <w:sz w:val="24"/>
          <w:szCs w:val="24"/>
          <w:highlight w:val="none"/>
        </w:rPr>
      </w:pPr>
    </w:p>
    <w:p>
      <w:pPr>
        <w:pageBreakBefore w:val="0"/>
        <w:widowControl w:val="0"/>
        <w:kinsoku/>
        <w:wordWrap/>
        <w:overflowPunct/>
        <w:topLinePunct w:val="0"/>
        <w:bidi w:val="0"/>
        <w:spacing w:line="360" w:lineRule="auto"/>
        <w:textAlignment w:val="auto"/>
        <w:rPr>
          <w:rFonts w:hint="eastAsia" w:ascii="宋体" w:hAnsi="宋体" w:eastAsia="宋体" w:cs="宋体"/>
          <w:color w:val="auto"/>
          <w:sz w:val="24"/>
          <w:szCs w:val="24"/>
          <w:highlight w:val="none"/>
        </w:rPr>
      </w:pPr>
    </w:p>
    <w:p>
      <w:pPr>
        <w:pageBreakBefore w:val="0"/>
        <w:widowControl w:val="0"/>
        <w:kinsoku/>
        <w:wordWrap/>
        <w:overflowPunct/>
        <w:topLinePunct w:val="0"/>
        <w:bidi w:val="0"/>
        <w:spacing w:line="360" w:lineRule="auto"/>
        <w:textAlignment w:val="auto"/>
        <w:rPr>
          <w:rFonts w:hint="eastAsia" w:ascii="宋体" w:hAnsi="宋体" w:eastAsia="宋体" w:cs="宋体"/>
          <w:color w:val="auto"/>
          <w:sz w:val="24"/>
          <w:szCs w:val="24"/>
          <w:highlight w:val="none"/>
        </w:rPr>
      </w:pPr>
    </w:p>
    <w:p>
      <w:pPr>
        <w:pageBreakBefore w:val="0"/>
        <w:widowControl w:val="0"/>
        <w:kinsoku/>
        <w:wordWrap/>
        <w:overflowPunct/>
        <w:topLinePunct w:val="0"/>
        <w:bidi w:val="0"/>
        <w:spacing w:line="360" w:lineRule="auto"/>
        <w:textAlignment w:val="auto"/>
        <w:rPr>
          <w:rFonts w:hint="eastAsia" w:ascii="宋体" w:hAnsi="宋体" w:eastAsia="宋体" w:cs="宋体"/>
          <w:color w:val="auto"/>
          <w:sz w:val="24"/>
          <w:szCs w:val="24"/>
          <w:highlight w:val="none"/>
        </w:rPr>
      </w:pPr>
    </w:p>
    <w:p>
      <w:pPr>
        <w:pageBreakBefore w:val="0"/>
        <w:widowControl w:val="0"/>
        <w:kinsoku/>
        <w:wordWrap/>
        <w:overflowPunct/>
        <w:topLinePunct w:val="0"/>
        <w:bidi w:val="0"/>
        <w:spacing w:line="360" w:lineRule="auto"/>
        <w:textAlignment w:val="auto"/>
        <w:rPr>
          <w:rFonts w:hint="eastAsia" w:ascii="宋体" w:hAnsi="宋体" w:eastAsia="宋体" w:cs="宋体"/>
          <w:color w:val="auto"/>
          <w:sz w:val="24"/>
          <w:szCs w:val="24"/>
          <w:highlight w:val="none"/>
        </w:rPr>
      </w:pPr>
    </w:p>
    <w:p>
      <w:pPr>
        <w:pageBreakBefore w:val="0"/>
        <w:widowControl w:val="0"/>
        <w:kinsoku/>
        <w:wordWrap/>
        <w:overflowPunct/>
        <w:topLinePunct w:val="0"/>
        <w:bidi w:val="0"/>
        <w:spacing w:line="360" w:lineRule="auto"/>
        <w:textAlignment w:val="auto"/>
        <w:rPr>
          <w:rFonts w:hint="eastAsia" w:ascii="宋体" w:hAnsi="宋体" w:eastAsia="宋体" w:cs="宋体"/>
          <w:color w:val="auto"/>
          <w:sz w:val="24"/>
          <w:szCs w:val="24"/>
          <w:highlight w:val="none"/>
        </w:rPr>
      </w:pPr>
    </w:p>
    <w:p>
      <w:pPr>
        <w:pageBreakBefore w:val="0"/>
        <w:widowControl w:val="0"/>
        <w:kinsoku/>
        <w:wordWrap/>
        <w:overflowPunct/>
        <w:topLinePunct w:val="0"/>
        <w:bidi w:val="0"/>
        <w:spacing w:line="360" w:lineRule="auto"/>
        <w:textAlignment w:val="auto"/>
        <w:rPr>
          <w:rFonts w:hint="eastAsia" w:ascii="宋体" w:hAnsi="宋体" w:eastAsia="宋体" w:cs="宋体"/>
          <w:color w:val="auto"/>
          <w:sz w:val="24"/>
          <w:szCs w:val="24"/>
          <w:highlight w:val="none"/>
        </w:rPr>
      </w:pPr>
    </w:p>
    <w:p>
      <w:pPr>
        <w:pageBreakBefore w:val="0"/>
        <w:widowControl w:val="0"/>
        <w:kinsoku/>
        <w:wordWrap/>
        <w:overflowPunct/>
        <w:topLinePunct w:val="0"/>
        <w:bidi w:val="0"/>
        <w:spacing w:line="360" w:lineRule="auto"/>
        <w:textAlignment w:val="auto"/>
        <w:rPr>
          <w:rFonts w:hint="eastAsia" w:ascii="宋体" w:hAnsi="宋体" w:eastAsia="宋体" w:cs="宋体"/>
          <w:color w:val="auto"/>
          <w:sz w:val="24"/>
          <w:szCs w:val="24"/>
          <w:highlight w:val="none"/>
        </w:rPr>
      </w:pPr>
    </w:p>
    <w:p>
      <w:pPr>
        <w:pageBreakBefore w:val="0"/>
        <w:widowControl w:val="0"/>
        <w:kinsoku/>
        <w:wordWrap/>
        <w:overflowPunct/>
        <w:topLinePunct w:val="0"/>
        <w:bidi w:val="0"/>
        <w:spacing w:line="360" w:lineRule="auto"/>
        <w:textAlignment w:val="auto"/>
        <w:rPr>
          <w:rFonts w:hint="eastAsia" w:ascii="宋体" w:hAnsi="宋体" w:eastAsia="宋体" w:cs="宋体"/>
          <w:color w:val="auto"/>
          <w:sz w:val="24"/>
          <w:szCs w:val="24"/>
          <w:highlight w:val="none"/>
        </w:rPr>
      </w:pPr>
    </w:p>
    <w:p>
      <w:pPr>
        <w:pStyle w:val="2"/>
        <w:rPr>
          <w:rFonts w:hint="eastAsia" w:ascii="宋体" w:hAnsi="宋体" w:eastAsia="宋体" w:cs="宋体"/>
          <w:color w:val="auto"/>
          <w:sz w:val="24"/>
          <w:szCs w:val="24"/>
          <w:highlight w:val="none"/>
        </w:rPr>
      </w:pPr>
    </w:p>
    <w:p>
      <w:pPr>
        <w:pStyle w:val="3"/>
        <w:rPr>
          <w:rFonts w:hint="eastAsia"/>
          <w:color w:val="auto"/>
          <w:highlight w:val="none"/>
        </w:rPr>
      </w:pPr>
    </w:p>
    <w:p>
      <w:pPr>
        <w:pageBreakBefore w:val="0"/>
        <w:widowControl w:val="0"/>
        <w:kinsoku/>
        <w:wordWrap/>
        <w:overflowPunct/>
        <w:topLinePunct w:val="0"/>
        <w:bidi w:val="0"/>
        <w:spacing w:line="360" w:lineRule="auto"/>
        <w:textAlignment w:val="auto"/>
        <w:rPr>
          <w:rFonts w:hint="eastAsia" w:ascii="宋体" w:hAnsi="宋体" w:eastAsia="宋体" w:cs="宋体"/>
          <w:color w:val="auto"/>
          <w:sz w:val="24"/>
          <w:szCs w:val="24"/>
          <w:highlight w:val="none"/>
        </w:rPr>
      </w:pPr>
    </w:p>
    <w:p>
      <w:pPr>
        <w:spacing w:line="360" w:lineRule="auto"/>
        <w:jc w:val="left"/>
        <w:rPr>
          <w:rFonts w:hint="eastAsia" w:ascii="宋体" w:eastAsia="宋体"/>
          <w:b/>
          <w:bCs/>
          <w:color w:val="auto"/>
          <w:sz w:val="28"/>
          <w:szCs w:val="28"/>
          <w:highlight w:val="none"/>
          <w:lang w:val="en-US" w:eastAsia="zh-CN"/>
        </w:rPr>
      </w:pPr>
      <w:r>
        <w:rPr>
          <w:rFonts w:hint="eastAsia" w:ascii="宋体" w:hAnsi="宋体" w:cs="宋体"/>
          <w:b/>
          <w:bCs/>
          <w:color w:val="auto"/>
          <w:sz w:val="28"/>
          <w:szCs w:val="28"/>
          <w:highlight w:val="none"/>
          <w:lang w:val="zh-CN"/>
        </w:rPr>
        <w:t>附件</w:t>
      </w:r>
      <w:r>
        <w:rPr>
          <w:rFonts w:ascii="宋体" w:hAnsi="宋体" w:cs="宋体"/>
          <w:b/>
          <w:bCs/>
          <w:color w:val="auto"/>
          <w:sz w:val="28"/>
          <w:szCs w:val="28"/>
          <w:highlight w:val="none"/>
          <w:lang w:val="zh-CN"/>
        </w:rPr>
        <w:t>1</w:t>
      </w:r>
      <w:r>
        <w:rPr>
          <w:rFonts w:hint="eastAsia" w:ascii="宋体" w:hAnsi="宋体" w:cs="宋体"/>
          <w:b/>
          <w:bCs/>
          <w:color w:val="auto"/>
          <w:sz w:val="28"/>
          <w:szCs w:val="28"/>
          <w:highlight w:val="none"/>
          <w:lang w:val="en-US" w:eastAsia="zh-CN"/>
        </w:rPr>
        <w:t>5</w:t>
      </w:r>
    </w:p>
    <w:p>
      <w:pPr>
        <w:spacing w:line="360" w:lineRule="auto"/>
        <w:ind w:left="-2" w:hanging="2"/>
        <w:jc w:val="center"/>
        <w:rPr>
          <w:rFonts w:ascii="宋体"/>
          <w:b/>
          <w:bCs/>
          <w:color w:val="auto"/>
          <w:sz w:val="32"/>
          <w:szCs w:val="32"/>
          <w:highlight w:val="none"/>
        </w:rPr>
      </w:pPr>
      <w:r>
        <w:rPr>
          <w:rFonts w:hint="eastAsia" w:ascii="宋体" w:hAnsi="宋体" w:cs="宋体"/>
          <w:b/>
          <w:bCs/>
          <w:color w:val="auto"/>
          <w:sz w:val="32"/>
          <w:szCs w:val="32"/>
          <w:highlight w:val="none"/>
        </w:rPr>
        <w:t>开标一览表</w:t>
      </w:r>
    </w:p>
    <w:p>
      <w:pPr>
        <w:spacing w:line="360" w:lineRule="auto"/>
        <w:rPr>
          <w:rFonts w:ascii="宋体"/>
          <w:color w:val="auto"/>
          <w:sz w:val="24"/>
          <w:szCs w:val="24"/>
          <w:highlight w:val="none"/>
        </w:rPr>
      </w:pPr>
    </w:p>
    <w:p>
      <w:pPr>
        <w:spacing w:line="360" w:lineRule="auto"/>
        <w:rPr>
          <w:rFonts w:ascii="宋体"/>
          <w:b/>
          <w:bCs/>
          <w:color w:val="auto"/>
          <w:sz w:val="24"/>
          <w:szCs w:val="24"/>
          <w:highlight w:val="none"/>
        </w:rPr>
      </w:pPr>
      <w:r>
        <w:rPr>
          <w:rFonts w:hint="eastAsia" w:ascii="宋体" w:hAnsi="宋体" w:cs="宋体"/>
          <w:b/>
          <w:bCs/>
          <w:color w:val="auto"/>
          <w:sz w:val="24"/>
          <w:szCs w:val="24"/>
          <w:highlight w:val="none"/>
        </w:rPr>
        <w:t>项目编号：</w:t>
      </w:r>
    </w:p>
    <w:p>
      <w:pPr>
        <w:spacing w:line="360" w:lineRule="auto"/>
        <w:rPr>
          <w:rFonts w:ascii="宋体"/>
          <w:color w:val="auto"/>
          <w:sz w:val="24"/>
          <w:szCs w:val="24"/>
          <w:highlight w:val="none"/>
        </w:rPr>
      </w:pPr>
      <w:r>
        <w:rPr>
          <w:rFonts w:hint="eastAsia" w:ascii="宋体" w:hAnsi="宋体" w:cs="宋体"/>
          <w:b/>
          <w:bCs/>
          <w:color w:val="auto"/>
          <w:sz w:val="24"/>
          <w:szCs w:val="24"/>
          <w:highlight w:val="none"/>
        </w:rPr>
        <w:t>项目名称：</w:t>
      </w:r>
      <w:r>
        <w:rPr>
          <w:rFonts w:hint="eastAsia" w:ascii="宋体" w:hAnsi="宋体" w:cs="宋体"/>
          <w:color w:val="auto"/>
          <w:sz w:val="24"/>
          <w:szCs w:val="24"/>
          <w:highlight w:val="none"/>
        </w:rPr>
        <w:t xml:space="preserve">      </w:t>
      </w:r>
      <w:r>
        <w:rPr>
          <w:rFonts w:hint="eastAsia" w:ascii="宋体" w:hAnsi="宋体" w:cs="宋体"/>
          <w:color w:val="auto"/>
          <w:sz w:val="24"/>
          <w:szCs w:val="24"/>
          <w:highlight w:val="none"/>
          <w:lang w:val="en-US" w:eastAsia="zh-CN"/>
        </w:rPr>
        <w:t xml:space="preserve">                        </w:t>
      </w:r>
      <w:r>
        <w:rPr>
          <w:rFonts w:hint="eastAsia" w:ascii="宋体" w:hAnsi="宋体" w:cs="宋体"/>
          <w:color w:val="auto"/>
          <w:sz w:val="24"/>
          <w:szCs w:val="24"/>
          <w:highlight w:val="none"/>
        </w:rPr>
        <w:t xml:space="preserve">       [货币单位：人民币</w:t>
      </w:r>
      <w:r>
        <w:rPr>
          <w:rFonts w:hint="eastAsia" w:ascii="宋体" w:hAnsi="宋体" w:cs="宋体"/>
          <w:color w:val="auto"/>
          <w:sz w:val="24"/>
          <w:szCs w:val="24"/>
          <w:highlight w:val="none"/>
          <w:lang w:val="en-US" w:eastAsia="zh-CN"/>
        </w:rPr>
        <w:t>/</w:t>
      </w:r>
      <w:r>
        <w:rPr>
          <w:rFonts w:hint="eastAsia" w:ascii="宋体" w:hAnsi="宋体" w:cs="宋体"/>
          <w:color w:val="auto"/>
          <w:sz w:val="24"/>
          <w:szCs w:val="24"/>
          <w:highlight w:val="none"/>
        </w:rPr>
        <w:t>元]</w:t>
      </w:r>
    </w:p>
    <w:tbl>
      <w:tblPr>
        <w:tblStyle w:val="20"/>
        <w:tblW w:w="86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694"/>
        <w:gridCol w:w="1349"/>
        <w:gridCol w:w="4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174" w:hRule="atLeast"/>
          <w:jc w:val="center"/>
        </w:trPr>
        <w:tc>
          <w:tcPr>
            <w:tcW w:w="2694" w:type="dxa"/>
            <w:vMerge w:val="restart"/>
            <w:noWrap w:val="0"/>
            <w:vAlign w:val="center"/>
          </w:tcPr>
          <w:p>
            <w:pPr>
              <w:autoSpaceDE w:val="0"/>
              <w:autoSpaceDN w:val="0"/>
              <w:spacing w:line="450" w:lineRule="exact"/>
              <w:jc w:val="center"/>
              <w:textAlignment w:val="bottom"/>
              <w:rPr>
                <w:rFonts w:ascii="宋体"/>
                <w:color w:val="auto"/>
                <w:sz w:val="24"/>
                <w:szCs w:val="24"/>
                <w:highlight w:val="none"/>
              </w:rPr>
            </w:pPr>
            <w:r>
              <w:rPr>
                <w:rFonts w:hint="eastAsia" w:ascii="宋体" w:hAnsi="宋体" w:cs="宋体"/>
                <w:color w:val="auto"/>
                <w:sz w:val="24"/>
                <w:szCs w:val="24"/>
                <w:highlight w:val="none"/>
              </w:rPr>
              <w:t>投标报价</w:t>
            </w:r>
            <w:r>
              <w:rPr>
                <w:rFonts w:ascii="宋体" w:hAnsi="宋体" w:cs="宋体"/>
                <w:color w:val="auto"/>
                <w:sz w:val="24"/>
                <w:szCs w:val="24"/>
                <w:highlight w:val="none"/>
              </w:rPr>
              <w:t>(</w:t>
            </w:r>
            <w:r>
              <w:rPr>
                <w:rFonts w:hint="eastAsia" w:ascii="宋体" w:hAnsi="宋体" w:cs="宋体"/>
                <w:color w:val="auto"/>
                <w:sz w:val="24"/>
                <w:szCs w:val="24"/>
                <w:highlight w:val="none"/>
              </w:rPr>
              <w:t>元</w:t>
            </w:r>
            <w:r>
              <w:rPr>
                <w:rFonts w:ascii="宋体" w:hAnsi="宋体" w:cs="宋体"/>
                <w:color w:val="auto"/>
                <w:sz w:val="24"/>
                <w:szCs w:val="24"/>
                <w:highlight w:val="none"/>
              </w:rPr>
              <w:t>)</w:t>
            </w:r>
          </w:p>
        </w:tc>
        <w:tc>
          <w:tcPr>
            <w:tcW w:w="1349" w:type="dxa"/>
            <w:noWrap w:val="0"/>
            <w:vAlign w:val="center"/>
          </w:tcPr>
          <w:p>
            <w:pPr>
              <w:autoSpaceDE w:val="0"/>
              <w:autoSpaceDN w:val="0"/>
              <w:spacing w:line="450" w:lineRule="exact"/>
              <w:jc w:val="center"/>
              <w:textAlignment w:val="bottom"/>
              <w:rPr>
                <w:rFonts w:ascii="宋体"/>
                <w:color w:val="auto"/>
                <w:sz w:val="24"/>
                <w:szCs w:val="24"/>
                <w:highlight w:val="none"/>
              </w:rPr>
            </w:pPr>
            <w:r>
              <w:rPr>
                <w:rFonts w:hint="eastAsia" w:ascii="宋体" w:hAnsi="宋体" w:cs="宋体"/>
                <w:color w:val="auto"/>
                <w:sz w:val="24"/>
                <w:szCs w:val="24"/>
                <w:highlight w:val="none"/>
              </w:rPr>
              <w:t>大写</w:t>
            </w:r>
          </w:p>
        </w:tc>
        <w:tc>
          <w:tcPr>
            <w:tcW w:w="4629" w:type="dxa"/>
            <w:noWrap w:val="0"/>
            <w:vAlign w:val="center"/>
          </w:tcPr>
          <w:p>
            <w:pPr>
              <w:autoSpaceDE w:val="0"/>
              <w:autoSpaceDN w:val="0"/>
              <w:spacing w:line="450" w:lineRule="exact"/>
              <w:jc w:val="center"/>
              <w:textAlignment w:val="bottom"/>
              <w:rPr>
                <w:rFonts w:asci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00" w:hRule="atLeast"/>
          <w:jc w:val="center"/>
        </w:trPr>
        <w:tc>
          <w:tcPr>
            <w:tcW w:w="2694" w:type="dxa"/>
            <w:vMerge w:val="continue"/>
            <w:noWrap w:val="0"/>
            <w:vAlign w:val="center"/>
          </w:tcPr>
          <w:p>
            <w:pPr>
              <w:rPr>
                <w:rFonts w:ascii="宋体"/>
                <w:color w:val="auto"/>
                <w:sz w:val="24"/>
                <w:szCs w:val="24"/>
                <w:highlight w:val="none"/>
              </w:rPr>
            </w:pPr>
          </w:p>
        </w:tc>
        <w:tc>
          <w:tcPr>
            <w:tcW w:w="1349" w:type="dxa"/>
            <w:noWrap w:val="0"/>
            <w:vAlign w:val="center"/>
          </w:tcPr>
          <w:p>
            <w:pPr>
              <w:autoSpaceDE w:val="0"/>
              <w:autoSpaceDN w:val="0"/>
              <w:spacing w:line="450" w:lineRule="exact"/>
              <w:jc w:val="center"/>
              <w:textAlignment w:val="bottom"/>
              <w:rPr>
                <w:rFonts w:ascii="宋体"/>
                <w:color w:val="auto"/>
                <w:sz w:val="24"/>
                <w:szCs w:val="24"/>
                <w:highlight w:val="none"/>
              </w:rPr>
            </w:pPr>
            <w:r>
              <w:rPr>
                <w:rFonts w:hint="eastAsia" w:ascii="宋体" w:hAnsi="宋体" w:cs="宋体"/>
                <w:color w:val="auto"/>
                <w:sz w:val="24"/>
                <w:szCs w:val="24"/>
                <w:highlight w:val="none"/>
              </w:rPr>
              <w:t>小写</w:t>
            </w:r>
          </w:p>
        </w:tc>
        <w:tc>
          <w:tcPr>
            <w:tcW w:w="4629" w:type="dxa"/>
            <w:noWrap w:val="0"/>
            <w:vAlign w:val="center"/>
          </w:tcPr>
          <w:p>
            <w:pPr>
              <w:autoSpaceDE w:val="0"/>
              <w:autoSpaceDN w:val="0"/>
              <w:spacing w:line="450" w:lineRule="exact"/>
              <w:jc w:val="center"/>
              <w:textAlignment w:val="bottom"/>
              <w:rPr>
                <w:rFonts w:ascii="宋体"/>
                <w:color w:val="auto"/>
                <w:sz w:val="24"/>
                <w:szCs w:val="24"/>
                <w:highlight w:val="none"/>
              </w:rPr>
            </w:pPr>
          </w:p>
        </w:tc>
      </w:tr>
    </w:tbl>
    <w:p>
      <w:pPr>
        <w:spacing w:line="360" w:lineRule="auto"/>
        <w:rPr>
          <w:rFonts w:ascii="宋体"/>
          <w:color w:val="auto"/>
          <w:sz w:val="24"/>
          <w:szCs w:val="24"/>
          <w:highlight w:val="none"/>
        </w:rPr>
      </w:pPr>
    </w:p>
    <w:p>
      <w:pPr>
        <w:spacing w:line="360" w:lineRule="auto"/>
        <w:jc w:val="left"/>
        <w:rPr>
          <w:rFonts w:ascii="宋体"/>
          <w:b/>
          <w:bCs/>
          <w:color w:val="auto"/>
          <w:sz w:val="24"/>
          <w:szCs w:val="24"/>
          <w:highlight w:val="none"/>
        </w:rPr>
      </w:pPr>
      <w:r>
        <w:rPr>
          <w:rFonts w:hint="eastAsia" w:ascii="宋体" w:hAnsi="宋体" w:cs="宋体"/>
          <w:b/>
          <w:bCs/>
          <w:color w:val="auto"/>
          <w:sz w:val="24"/>
          <w:szCs w:val="24"/>
          <w:highlight w:val="none"/>
        </w:rPr>
        <w:t>填报要求：</w:t>
      </w:r>
    </w:p>
    <w:p>
      <w:pPr>
        <w:shd w:val="clear" w:color="auto" w:fill="auto"/>
        <w:tabs>
          <w:tab w:val="left" w:pos="525"/>
        </w:tabs>
        <w:snapToGrid w:val="0"/>
        <w:spacing w:line="360" w:lineRule="auto"/>
        <w:ind w:firstLine="480" w:firstLineChars="200"/>
        <w:jc w:val="left"/>
        <w:rPr>
          <w:rFonts w:ascii="宋体" w:hAnsi="宋体" w:cs="宋体"/>
          <w:bCs/>
          <w:color w:val="auto"/>
          <w:sz w:val="24"/>
          <w:highlight w:val="none"/>
        </w:rPr>
      </w:pPr>
      <w:r>
        <w:rPr>
          <w:rFonts w:ascii="宋体" w:hAnsi="宋体" w:cs="宋体"/>
          <w:color w:val="auto"/>
          <w:sz w:val="24"/>
          <w:szCs w:val="32"/>
          <w:highlight w:val="none"/>
        </w:rPr>
        <w:t>1.</w:t>
      </w:r>
      <w:r>
        <w:rPr>
          <w:rFonts w:hint="eastAsia" w:ascii="宋体" w:hAnsi="宋体" w:cs="宋体"/>
          <w:color w:val="auto"/>
          <w:sz w:val="24"/>
          <w:szCs w:val="32"/>
          <w:highlight w:val="none"/>
        </w:rPr>
        <w:t>投标总报价</w:t>
      </w:r>
      <w:r>
        <w:rPr>
          <w:rFonts w:hint="eastAsia" w:ascii="宋体" w:hAnsi="宋体" w:cs="宋体"/>
          <w:bCs/>
          <w:color w:val="auto"/>
          <w:sz w:val="24"/>
          <w:highlight w:val="none"/>
        </w:rPr>
        <w:t>为完成本项目服务及要求所包含的所有费用，投标人应考虑企业自身实力、经验及项目实施过程中的各种因素，在投标报价中应充分考虑所有可能发生的费用，否则采购人将视投标总价中已包括所有费用。</w:t>
      </w:r>
    </w:p>
    <w:p>
      <w:pPr>
        <w:shd w:val="clear" w:color="auto" w:fill="auto"/>
        <w:spacing w:line="360" w:lineRule="auto"/>
        <w:ind w:firstLine="480" w:firstLineChars="200"/>
        <w:jc w:val="left"/>
        <w:rPr>
          <w:rFonts w:ascii="宋体" w:cs="宋体"/>
          <w:color w:val="auto"/>
          <w:sz w:val="24"/>
          <w:szCs w:val="32"/>
          <w:highlight w:val="none"/>
        </w:rPr>
      </w:pPr>
      <w:r>
        <w:rPr>
          <w:rFonts w:ascii="宋体" w:hAnsi="宋体" w:cs="宋体"/>
          <w:color w:val="auto"/>
          <w:sz w:val="24"/>
          <w:szCs w:val="32"/>
          <w:highlight w:val="none"/>
        </w:rPr>
        <w:t>2.</w:t>
      </w:r>
      <w:r>
        <w:rPr>
          <w:rFonts w:hint="eastAsia" w:ascii="宋体" w:hAnsi="宋体" w:cs="宋体"/>
          <w:color w:val="auto"/>
          <w:sz w:val="24"/>
          <w:szCs w:val="32"/>
          <w:highlight w:val="none"/>
        </w:rPr>
        <w:t>报价一经涂改，应在涂改处加盖单位公章，或者由法定代表人或授权委托代理人签字或盖章，否则其投标作无效标处理。</w:t>
      </w:r>
    </w:p>
    <w:p>
      <w:pPr>
        <w:spacing w:line="360" w:lineRule="auto"/>
        <w:rPr>
          <w:rFonts w:ascii="宋体"/>
          <w:color w:val="auto"/>
          <w:sz w:val="24"/>
          <w:szCs w:val="24"/>
          <w:highlight w:val="none"/>
        </w:rPr>
      </w:pPr>
    </w:p>
    <w:p>
      <w:pPr>
        <w:spacing w:line="360" w:lineRule="auto"/>
        <w:rPr>
          <w:rFonts w:ascii="宋体"/>
          <w:color w:val="auto"/>
          <w:sz w:val="24"/>
          <w:szCs w:val="24"/>
          <w:highlight w:val="none"/>
        </w:rPr>
      </w:pPr>
    </w:p>
    <w:p>
      <w:pPr>
        <w:spacing w:line="480" w:lineRule="auto"/>
        <w:rPr>
          <w:rFonts w:ascii="宋体"/>
          <w:color w:val="auto"/>
          <w:sz w:val="24"/>
          <w:szCs w:val="24"/>
          <w:highlight w:val="none"/>
        </w:rPr>
      </w:pPr>
      <w:r>
        <w:rPr>
          <w:rFonts w:hint="eastAsia" w:ascii="宋体" w:hAnsi="宋体" w:cs="宋体"/>
          <w:color w:val="auto"/>
          <w:sz w:val="24"/>
          <w:szCs w:val="24"/>
          <w:highlight w:val="none"/>
        </w:rPr>
        <w:t>投标人名称（盖章）：</w:t>
      </w:r>
    </w:p>
    <w:p>
      <w:pPr>
        <w:spacing w:line="480" w:lineRule="auto"/>
        <w:rPr>
          <w:rFonts w:ascii="宋体"/>
          <w:color w:val="auto"/>
          <w:sz w:val="24"/>
          <w:szCs w:val="24"/>
          <w:highlight w:val="none"/>
        </w:rPr>
      </w:pPr>
      <w:r>
        <w:rPr>
          <w:rFonts w:hint="eastAsia" w:ascii="宋体" w:hAnsi="宋体" w:cs="宋体"/>
          <w:color w:val="auto"/>
          <w:sz w:val="24"/>
          <w:szCs w:val="24"/>
          <w:highlight w:val="none"/>
        </w:rPr>
        <w:t>授权委托代理人签字或盖章：</w:t>
      </w:r>
    </w:p>
    <w:p>
      <w:pPr>
        <w:spacing w:line="480" w:lineRule="auto"/>
        <w:rPr>
          <w:rFonts w:ascii="宋体"/>
          <w:color w:val="auto"/>
          <w:sz w:val="24"/>
          <w:szCs w:val="24"/>
          <w:highlight w:val="none"/>
        </w:rPr>
      </w:pPr>
      <w:r>
        <w:rPr>
          <w:rFonts w:hint="eastAsia" w:ascii="宋体" w:hAnsi="宋体" w:cs="宋体"/>
          <w:color w:val="auto"/>
          <w:sz w:val="24"/>
          <w:szCs w:val="24"/>
          <w:highlight w:val="none"/>
        </w:rPr>
        <w:t>日期：</w:t>
      </w:r>
    </w:p>
    <w:p>
      <w:pPr>
        <w:spacing w:line="360" w:lineRule="auto"/>
        <w:rPr>
          <w:rFonts w:ascii="宋体"/>
          <w:color w:val="auto"/>
          <w:sz w:val="24"/>
          <w:szCs w:val="24"/>
          <w:highlight w:val="none"/>
        </w:rPr>
      </w:pPr>
    </w:p>
    <w:p>
      <w:pPr>
        <w:spacing w:line="360" w:lineRule="auto"/>
        <w:rPr>
          <w:rFonts w:ascii="宋体"/>
          <w:color w:val="auto"/>
          <w:sz w:val="24"/>
          <w:szCs w:val="24"/>
          <w:highlight w:val="none"/>
        </w:rPr>
      </w:pPr>
    </w:p>
    <w:p>
      <w:pPr>
        <w:spacing w:line="360" w:lineRule="auto"/>
        <w:rPr>
          <w:rFonts w:ascii="宋体"/>
          <w:color w:val="auto"/>
          <w:sz w:val="24"/>
          <w:szCs w:val="24"/>
          <w:highlight w:val="none"/>
        </w:rPr>
      </w:pPr>
    </w:p>
    <w:p>
      <w:pPr>
        <w:spacing w:line="360" w:lineRule="auto"/>
        <w:rPr>
          <w:rFonts w:ascii="宋体"/>
          <w:color w:val="auto"/>
          <w:sz w:val="24"/>
          <w:szCs w:val="24"/>
          <w:highlight w:val="none"/>
        </w:rPr>
      </w:pPr>
    </w:p>
    <w:p>
      <w:pPr>
        <w:spacing w:line="360" w:lineRule="auto"/>
        <w:rPr>
          <w:rFonts w:ascii="宋体"/>
          <w:color w:val="auto"/>
          <w:sz w:val="24"/>
          <w:szCs w:val="24"/>
          <w:highlight w:val="none"/>
        </w:rPr>
      </w:pPr>
    </w:p>
    <w:p>
      <w:pPr>
        <w:spacing w:line="360" w:lineRule="auto"/>
        <w:jc w:val="left"/>
        <w:rPr>
          <w:rFonts w:hint="default" w:ascii="宋体" w:eastAsia="宋体"/>
          <w:b/>
          <w:bCs/>
          <w:color w:val="auto"/>
          <w:sz w:val="28"/>
          <w:szCs w:val="28"/>
          <w:highlight w:val="none"/>
          <w:lang w:val="en-US" w:eastAsia="zh-CN"/>
        </w:rPr>
      </w:pPr>
      <w:r>
        <w:rPr>
          <w:rFonts w:hint="eastAsia" w:ascii="宋体" w:hAnsi="宋体" w:cs="宋体"/>
          <w:b/>
          <w:bCs/>
          <w:color w:val="auto"/>
          <w:sz w:val="28"/>
          <w:szCs w:val="28"/>
          <w:highlight w:val="none"/>
          <w:lang w:val="zh-CN"/>
        </w:rPr>
        <w:t>附件</w:t>
      </w:r>
      <w:r>
        <w:rPr>
          <w:rFonts w:hint="eastAsia" w:ascii="宋体" w:hAnsi="宋体" w:cs="宋体"/>
          <w:b/>
          <w:bCs/>
          <w:color w:val="auto"/>
          <w:sz w:val="28"/>
          <w:szCs w:val="28"/>
          <w:highlight w:val="none"/>
          <w:lang w:val="en-US" w:eastAsia="zh-CN"/>
        </w:rPr>
        <w:t>16</w:t>
      </w:r>
    </w:p>
    <w:p>
      <w:pPr>
        <w:spacing w:line="360" w:lineRule="auto"/>
        <w:ind w:left="-2" w:hanging="2"/>
        <w:jc w:val="center"/>
        <w:rPr>
          <w:rFonts w:ascii="宋体"/>
          <w:b/>
          <w:bCs/>
          <w:color w:val="auto"/>
          <w:sz w:val="32"/>
          <w:szCs w:val="32"/>
          <w:highlight w:val="none"/>
        </w:rPr>
      </w:pPr>
      <w:r>
        <w:rPr>
          <w:rFonts w:hint="eastAsia" w:ascii="宋体" w:hAnsi="宋体" w:cs="宋体"/>
          <w:b/>
          <w:bCs/>
          <w:color w:val="auto"/>
          <w:sz w:val="32"/>
          <w:szCs w:val="32"/>
          <w:highlight w:val="none"/>
        </w:rPr>
        <w:t>报价明细表</w:t>
      </w:r>
    </w:p>
    <w:p>
      <w:pPr>
        <w:spacing w:line="360" w:lineRule="auto"/>
        <w:jc w:val="left"/>
        <w:rPr>
          <w:rFonts w:ascii="宋体" w:hAnsi="宋体" w:cs="宋体"/>
          <w:color w:val="auto"/>
          <w:sz w:val="24"/>
          <w:szCs w:val="32"/>
          <w:highlight w:val="none"/>
        </w:rPr>
      </w:pPr>
      <w:r>
        <w:rPr>
          <w:rFonts w:hint="eastAsia" w:ascii="宋体" w:hAnsi="宋体" w:cs="宋体"/>
          <w:color w:val="auto"/>
          <w:sz w:val="24"/>
          <w:szCs w:val="32"/>
          <w:highlight w:val="none"/>
        </w:rPr>
        <w:t>项目名称：</w:t>
      </w:r>
    </w:p>
    <w:p>
      <w:pPr>
        <w:spacing w:line="360" w:lineRule="auto"/>
        <w:rPr>
          <w:rFonts w:ascii="宋体" w:hAnsi="宋体"/>
          <w:color w:val="auto"/>
          <w:sz w:val="24"/>
          <w:highlight w:val="none"/>
        </w:rPr>
      </w:pPr>
      <w:r>
        <w:rPr>
          <w:rFonts w:hint="eastAsia" w:ascii="宋体" w:hAnsi="宋体"/>
          <w:color w:val="auto"/>
          <w:sz w:val="24"/>
          <w:highlight w:val="none"/>
        </w:rPr>
        <w:t>项目编号：                                    [货币单位：人民币元]</w:t>
      </w:r>
    </w:p>
    <w:tbl>
      <w:tblPr>
        <w:tblStyle w:val="20"/>
        <w:tblW w:w="9345"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3"/>
        <w:gridCol w:w="1295"/>
        <w:gridCol w:w="1364"/>
        <w:gridCol w:w="1268"/>
        <w:gridCol w:w="1023"/>
        <w:gridCol w:w="1295"/>
        <w:gridCol w:w="778"/>
        <w:gridCol w:w="818"/>
        <w:gridCol w:w="7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90" w:hRule="atLeast"/>
        </w:trPr>
        <w:tc>
          <w:tcPr>
            <w:tcW w:w="713" w:type="dxa"/>
            <w:noWrap w:val="0"/>
            <w:vAlign w:val="center"/>
          </w:tcPr>
          <w:p>
            <w:pPr>
              <w:shd w:val="clear" w:color="auto" w:fill="auto"/>
              <w:spacing w:line="360" w:lineRule="auto"/>
              <w:rPr>
                <w:rFonts w:ascii="宋体" w:hAnsi="宋体"/>
                <w:b/>
                <w:color w:val="auto"/>
                <w:sz w:val="24"/>
                <w:highlight w:val="none"/>
              </w:rPr>
            </w:pPr>
            <w:r>
              <w:rPr>
                <w:rFonts w:hint="eastAsia" w:ascii="宋体" w:hAnsi="宋体"/>
                <w:b/>
                <w:color w:val="auto"/>
                <w:sz w:val="24"/>
                <w:highlight w:val="none"/>
              </w:rPr>
              <w:t>序号</w:t>
            </w:r>
          </w:p>
        </w:tc>
        <w:tc>
          <w:tcPr>
            <w:tcW w:w="1295" w:type="dxa"/>
            <w:noWrap w:val="0"/>
            <w:vAlign w:val="center"/>
          </w:tcPr>
          <w:p>
            <w:pPr>
              <w:shd w:val="clear" w:color="auto" w:fill="auto"/>
              <w:tabs>
                <w:tab w:val="left" w:pos="8280"/>
              </w:tabs>
              <w:autoSpaceDE w:val="0"/>
              <w:autoSpaceDN w:val="0"/>
              <w:adjustRightInd w:val="0"/>
              <w:spacing w:line="360" w:lineRule="auto"/>
              <w:ind w:right="25"/>
              <w:rPr>
                <w:rFonts w:ascii="宋体" w:hAnsi="宋体"/>
                <w:b/>
                <w:color w:val="auto"/>
                <w:sz w:val="24"/>
                <w:highlight w:val="none"/>
              </w:rPr>
            </w:pPr>
            <w:r>
              <w:rPr>
                <w:rFonts w:hint="eastAsia" w:ascii="宋体" w:hAnsi="宋体"/>
                <w:b/>
                <w:color w:val="auto"/>
                <w:sz w:val="24"/>
                <w:highlight w:val="none"/>
              </w:rPr>
              <w:t>报价项目</w:t>
            </w:r>
          </w:p>
        </w:tc>
        <w:tc>
          <w:tcPr>
            <w:tcW w:w="1364" w:type="dxa"/>
            <w:noWrap w:val="0"/>
            <w:vAlign w:val="center"/>
          </w:tcPr>
          <w:p>
            <w:pPr>
              <w:shd w:val="clear" w:color="auto" w:fill="auto"/>
              <w:tabs>
                <w:tab w:val="left" w:pos="8280"/>
              </w:tabs>
              <w:autoSpaceDE w:val="0"/>
              <w:autoSpaceDN w:val="0"/>
              <w:adjustRightInd w:val="0"/>
              <w:spacing w:line="360" w:lineRule="auto"/>
              <w:ind w:right="25"/>
              <w:jc w:val="center"/>
              <w:rPr>
                <w:rFonts w:ascii="宋体" w:hAnsi="宋体"/>
                <w:b/>
                <w:color w:val="auto"/>
                <w:sz w:val="24"/>
                <w:highlight w:val="none"/>
              </w:rPr>
            </w:pPr>
            <w:r>
              <w:rPr>
                <w:rFonts w:hint="eastAsia" w:ascii="宋体" w:hAnsi="宋体"/>
                <w:b/>
                <w:color w:val="auto"/>
                <w:sz w:val="24"/>
                <w:highlight w:val="none"/>
              </w:rPr>
              <w:t>品牌、产地</w:t>
            </w:r>
          </w:p>
        </w:tc>
        <w:tc>
          <w:tcPr>
            <w:tcW w:w="1268" w:type="dxa"/>
            <w:noWrap w:val="0"/>
            <w:vAlign w:val="center"/>
          </w:tcPr>
          <w:p>
            <w:pPr>
              <w:shd w:val="clear" w:color="auto" w:fill="auto"/>
              <w:spacing w:line="360" w:lineRule="auto"/>
              <w:ind w:left="52"/>
              <w:jc w:val="center"/>
              <w:rPr>
                <w:rFonts w:ascii="宋体" w:hAnsi="宋体"/>
                <w:b/>
                <w:color w:val="auto"/>
                <w:sz w:val="24"/>
                <w:highlight w:val="none"/>
              </w:rPr>
            </w:pPr>
            <w:r>
              <w:rPr>
                <w:rFonts w:hint="eastAsia" w:ascii="宋体" w:hAnsi="宋体"/>
                <w:b/>
                <w:color w:val="auto"/>
                <w:sz w:val="24"/>
                <w:highlight w:val="none"/>
              </w:rPr>
              <w:t>型号规格</w:t>
            </w:r>
          </w:p>
        </w:tc>
        <w:tc>
          <w:tcPr>
            <w:tcW w:w="1023" w:type="dxa"/>
            <w:noWrap w:val="0"/>
            <w:vAlign w:val="center"/>
          </w:tcPr>
          <w:p>
            <w:pPr>
              <w:shd w:val="clear" w:color="auto" w:fill="auto"/>
              <w:spacing w:line="360" w:lineRule="auto"/>
              <w:ind w:left="52"/>
              <w:jc w:val="center"/>
              <w:rPr>
                <w:rFonts w:ascii="宋体" w:hAnsi="宋体"/>
                <w:b/>
                <w:color w:val="auto"/>
                <w:sz w:val="24"/>
                <w:highlight w:val="none"/>
              </w:rPr>
            </w:pPr>
            <w:r>
              <w:rPr>
                <w:rFonts w:hint="eastAsia" w:ascii="宋体" w:hAnsi="宋体"/>
                <w:b/>
                <w:color w:val="auto"/>
                <w:sz w:val="24"/>
                <w:highlight w:val="none"/>
              </w:rPr>
              <w:t>制造商名称</w:t>
            </w:r>
          </w:p>
        </w:tc>
        <w:tc>
          <w:tcPr>
            <w:tcW w:w="1295" w:type="dxa"/>
            <w:noWrap w:val="0"/>
            <w:vAlign w:val="center"/>
          </w:tcPr>
          <w:p>
            <w:pPr>
              <w:shd w:val="clear" w:color="auto" w:fill="auto"/>
              <w:spacing w:line="360" w:lineRule="auto"/>
              <w:ind w:left="52"/>
              <w:jc w:val="center"/>
              <w:rPr>
                <w:rFonts w:ascii="宋体" w:hAnsi="宋体"/>
                <w:b/>
                <w:color w:val="auto"/>
                <w:sz w:val="24"/>
                <w:highlight w:val="none"/>
              </w:rPr>
            </w:pPr>
            <w:r>
              <w:rPr>
                <w:rFonts w:hint="eastAsia" w:ascii="宋体" w:hAnsi="宋体"/>
                <w:b/>
                <w:color w:val="auto"/>
                <w:sz w:val="24"/>
                <w:highlight w:val="none"/>
              </w:rPr>
              <w:t>是否是小微企业</w:t>
            </w:r>
          </w:p>
        </w:tc>
        <w:tc>
          <w:tcPr>
            <w:tcW w:w="778" w:type="dxa"/>
            <w:noWrap w:val="0"/>
            <w:vAlign w:val="center"/>
          </w:tcPr>
          <w:p>
            <w:pPr>
              <w:shd w:val="clear" w:color="auto" w:fill="auto"/>
              <w:spacing w:line="360" w:lineRule="auto"/>
              <w:jc w:val="center"/>
              <w:rPr>
                <w:rFonts w:ascii="宋体" w:hAnsi="宋体"/>
                <w:b/>
                <w:color w:val="auto"/>
                <w:sz w:val="24"/>
                <w:highlight w:val="none"/>
              </w:rPr>
            </w:pPr>
            <w:r>
              <w:rPr>
                <w:rFonts w:hint="eastAsia" w:ascii="宋体" w:hAnsi="宋体"/>
                <w:b/>
                <w:color w:val="auto"/>
                <w:sz w:val="24"/>
                <w:highlight w:val="none"/>
              </w:rPr>
              <w:t>单价</w:t>
            </w:r>
          </w:p>
        </w:tc>
        <w:tc>
          <w:tcPr>
            <w:tcW w:w="818" w:type="dxa"/>
            <w:noWrap w:val="0"/>
            <w:vAlign w:val="center"/>
          </w:tcPr>
          <w:p>
            <w:pPr>
              <w:shd w:val="clear" w:color="auto" w:fill="auto"/>
              <w:spacing w:line="360" w:lineRule="auto"/>
              <w:jc w:val="center"/>
              <w:rPr>
                <w:rFonts w:ascii="宋体" w:hAnsi="宋体"/>
                <w:b/>
                <w:color w:val="auto"/>
                <w:sz w:val="24"/>
                <w:highlight w:val="none"/>
              </w:rPr>
            </w:pPr>
            <w:r>
              <w:rPr>
                <w:rFonts w:hint="eastAsia" w:ascii="宋体" w:hAnsi="宋体"/>
                <w:b/>
                <w:color w:val="auto"/>
                <w:sz w:val="24"/>
                <w:highlight w:val="none"/>
              </w:rPr>
              <w:t>小计</w:t>
            </w:r>
          </w:p>
        </w:tc>
        <w:tc>
          <w:tcPr>
            <w:tcW w:w="791" w:type="dxa"/>
            <w:noWrap w:val="0"/>
            <w:vAlign w:val="center"/>
          </w:tcPr>
          <w:p>
            <w:pPr>
              <w:shd w:val="clear" w:color="auto" w:fill="auto"/>
              <w:spacing w:line="360" w:lineRule="auto"/>
              <w:jc w:val="center"/>
              <w:rPr>
                <w:rFonts w:ascii="宋体" w:hAnsi="宋体"/>
                <w:b/>
                <w:color w:val="auto"/>
                <w:sz w:val="24"/>
                <w:highlight w:val="none"/>
              </w:rPr>
            </w:pPr>
            <w:r>
              <w:rPr>
                <w:rFonts w:hint="eastAsia" w:ascii="宋体" w:hAnsi="宋体"/>
                <w:b/>
                <w:color w:val="auto"/>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8" w:hRule="atLeast"/>
        </w:trPr>
        <w:tc>
          <w:tcPr>
            <w:tcW w:w="713" w:type="dxa"/>
            <w:noWrap w:val="0"/>
            <w:vAlign w:val="center"/>
          </w:tcPr>
          <w:p>
            <w:pPr>
              <w:shd w:val="clear" w:color="auto" w:fill="auto"/>
              <w:spacing w:line="360" w:lineRule="auto"/>
              <w:rPr>
                <w:rFonts w:ascii="宋体" w:hAnsi="宋体"/>
                <w:color w:val="auto"/>
                <w:sz w:val="24"/>
                <w:highlight w:val="none"/>
              </w:rPr>
            </w:pPr>
          </w:p>
        </w:tc>
        <w:tc>
          <w:tcPr>
            <w:tcW w:w="1295" w:type="dxa"/>
            <w:noWrap w:val="0"/>
            <w:vAlign w:val="center"/>
          </w:tcPr>
          <w:p>
            <w:pPr>
              <w:shd w:val="clear" w:color="auto" w:fill="auto"/>
              <w:spacing w:line="360" w:lineRule="auto"/>
              <w:rPr>
                <w:rFonts w:ascii="宋体" w:hAnsi="宋体"/>
                <w:color w:val="auto"/>
                <w:sz w:val="24"/>
                <w:highlight w:val="none"/>
              </w:rPr>
            </w:pPr>
          </w:p>
        </w:tc>
        <w:tc>
          <w:tcPr>
            <w:tcW w:w="1364" w:type="dxa"/>
            <w:noWrap w:val="0"/>
            <w:vAlign w:val="center"/>
          </w:tcPr>
          <w:p>
            <w:pPr>
              <w:shd w:val="clear" w:color="auto" w:fill="auto"/>
              <w:spacing w:line="360" w:lineRule="auto"/>
              <w:rPr>
                <w:rFonts w:ascii="宋体" w:hAnsi="宋体"/>
                <w:color w:val="auto"/>
                <w:sz w:val="24"/>
                <w:highlight w:val="none"/>
              </w:rPr>
            </w:pPr>
          </w:p>
        </w:tc>
        <w:tc>
          <w:tcPr>
            <w:tcW w:w="1268" w:type="dxa"/>
            <w:noWrap w:val="0"/>
            <w:vAlign w:val="center"/>
          </w:tcPr>
          <w:p>
            <w:pPr>
              <w:shd w:val="clear" w:color="auto" w:fill="auto"/>
              <w:spacing w:line="360" w:lineRule="auto"/>
              <w:rPr>
                <w:rFonts w:ascii="宋体" w:hAnsi="宋体"/>
                <w:color w:val="auto"/>
                <w:sz w:val="24"/>
                <w:highlight w:val="none"/>
              </w:rPr>
            </w:pPr>
          </w:p>
        </w:tc>
        <w:tc>
          <w:tcPr>
            <w:tcW w:w="1023" w:type="dxa"/>
            <w:noWrap w:val="0"/>
            <w:vAlign w:val="center"/>
          </w:tcPr>
          <w:p>
            <w:pPr>
              <w:shd w:val="clear" w:color="auto" w:fill="auto"/>
              <w:spacing w:line="360" w:lineRule="auto"/>
              <w:rPr>
                <w:rFonts w:ascii="宋体" w:hAnsi="宋体"/>
                <w:color w:val="auto"/>
                <w:sz w:val="24"/>
                <w:highlight w:val="none"/>
              </w:rPr>
            </w:pPr>
          </w:p>
        </w:tc>
        <w:tc>
          <w:tcPr>
            <w:tcW w:w="1295" w:type="dxa"/>
            <w:noWrap w:val="0"/>
            <w:vAlign w:val="center"/>
          </w:tcPr>
          <w:p>
            <w:pPr>
              <w:shd w:val="clear" w:color="auto" w:fill="auto"/>
              <w:spacing w:line="360" w:lineRule="auto"/>
              <w:rPr>
                <w:rFonts w:ascii="宋体" w:hAnsi="宋体"/>
                <w:color w:val="auto"/>
                <w:sz w:val="24"/>
                <w:highlight w:val="none"/>
              </w:rPr>
            </w:pPr>
          </w:p>
        </w:tc>
        <w:tc>
          <w:tcPr>
            <w:tcW w:w="778" w:type="dxa"/>
            <w:noWrap w:val="0"/>
            <w:vAlign w:val="center"/>
          </w:tcPr>
          <w:p>
            <w:pPr>
              <w:shd w:val="clear" w:color="auto" w:fill="auto"/>
              <w:spacing w:line="360" w:lineRule="auto"/>
              <w:rPr>
                <w:rFonts w:ascii="宋体" w:hAnsi="宋体"/>
                <w:color w:val="auto"/>
                <w:sz w:val="24"/>
                <w:highlight w:val="none"/>
              </w:rPr>
            </w:pPr>
          </w:p>
        </w:tc>
        <w:tc>
          <w:tcPr>
            <w:tcW w:w="818" w:type="dxa"/>
            <w:noWrap w:val="0"/>
            <w:vAlign w:val="center"/>
          </w:tcPr>
          <w:p>
            <w:pPr>
              <w:shd w:val="clear" w:color="auto" w:fill="auto"/>
              <w:spacing w:line="360" w:lineRule="auto"/>
              <w:rPr>
                <w:rFonts w:ascii="宋体" w:hAnsi="宋体"/>
                <w:color w:val="auto"/>
                <w:sz w:val="24"/>
                <w:highlight w:val="none"/>
              </w:rPr>
            </w:pPr>
          </w:p>
        </w:tc>
        <w:tc>
          <w:tcPr>
            <w:tcW w:w="791" w:type="dxa"/>
            <w:noWrap w:val="0"/>
            <w:vAlign w:val="center"/>
          </w:tcPr>
          <w:p>
            <w:pPr>
              <w:shd w:val="clear" w:color="auto" w:fill="auto"/>
              <w:spacing w:line="360" w:lineRule="auto"/>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8" w:hRule="atLeast"/>
        </w:trPr>
        <w:tc>
          <w:tcPr>
            <w:tcW w:w="713" w:type="dxa"/>
            <w:noWrap w:val="0"/>
            <w:vAlign w:val="center"/>
          </w:tcPr>
          <w:p>
            <w:pPr>
              <w:shd w:val="clear" w:color="auto" w:fill="auto"/>
              <w:spacing w:line="360" w:lineRule="auto"/>
              <w:rPr>
                <w:rFonts w:ascii="宋体" w:hAnsi="宋体"/>
                <w:color w:val="auto"/>
                <w:sz w:val="24"/>
                <w:highlight w:val="none"/>
              </w:rPr>
            </w:pPr>
          </w:p>
        </w:tc>
        <w:tc>
          <w:tcPr>
            <w:tcW w:w="1295" w:type="dxa"/>
            <w:noWrap w:val="0"/>
            <w:vAlign w:val="center"/>
          </w:tcPr>
          <w:p>
            <w:pPr>
              <w:shd w:val="clear" w:color="auto" w:fill="auto"/>
              <w:spacing w:line="360" w:lineRule="auto"/>
              <w:rPr>
                <w:rFonts w:ascii="宋体" w:hAnsi="宋体"/>
                <w:color w:val="auto"/>
                <w:sz w:val="24"/>
                <w:highlight w:val="none"/>
              </w:rPr>
            </w:pPr>
          </w:p>
        </w:tc>
        <w:tc>
          <w:tcPr>
            <w:tcW w:w="1364" w:type="dxa"/>
            <w:noWrap w:val="0"/>
            <w:vAlign w:val="center"/>
          </w:tcPr>
          <w:p>
            <w:pPr>
              <w:shd w:val="clear" w:color="auto" w:fill="auto"/>
              <w:spacing w:line="360" w:lineRule="auto"/>
              <w:rPr>
                <w:rFonts w:ascii="宋体" w:hAnsi="宋体"/>
                <w:color w:val="auto"/>
                <w:sz w:val="24"/>
                <w:highlight w:val="none"/>
              </w:rPr>
            </w:pPr>
          </w:p>
        </w:tc>
        <w:tc>
          <w:tcPr>
            <w:tcW w:w="1268" w:type="dxa"/>
            <w:noWrap w:val="0"/>
            <w:vAlign w:val="center"/>
          </w:tcPr>
          <w:p>
            <w:pPr>
              <w:shd w:val="clear" w:color="auto" w:fill="auto"/>
              <w:spacing w:line="360" w:lineRule="auto"/>
              <w:rPr>
                <w:rFonts w:ascii="宋体" w:hAnsi="宋体"/>
                <w:color w:val="auto"/>
                <w:sz w:val="24"/>
                <w:highlight w:val="none"/>
              </w:rPr>
            </w:pPr>
          </w:p>
        </w:tc>
        <w:tc>
          <w:tcPr>
            <w:tcW w:w="1023" w:type="dxa"/>
            <w:noWrap w:val="0"/>
            <w:vAlign w:val="center"/>
          </w:tcPr>
          <w:p>
            <w:pPr>
              <w:shd w:val="clear" w:color="auto" w:fill="auto"/>
              <w:spacing w:line="360" w:lineRule="auto"/>
              <w:rPr>
                <w:rFonts w:ascii="宋体" w:hAnsi="宋体"/>
                <w:color w:val="auto"/>
                <w:sz w:val="24"/>
                <w:highlight w:val="none"/>
              </w:rPr>
            </w:pPr>
          </w:p>
        </w:tc>
        <w:tc>
          <w:tcPr>
            <w:tcW w:w="1295" w:type="dxa"/>
            <w:noWrap w:val="0"/>
            <w:vAlign w:val="center"/>
          </w:tcPr>
          <w:p>
            <w:pPr>
              <w:shd w:val="clear" w:color="auto" w:fill="auto"/>
              <w:spacing w:line="360" w:lineRule="auto"/>
              <w:rPr>
                <w:rFonts w:ascii="宋体" w:hAnsi="宋体"/>
                <w:color w:val="auto"/>
                <w:sz w:val="24"/>
                <w:highlight w:val="none"/>
              </w:rPr>
            </w:pPr>
          </w:p>
        </w:tc>
        <w:tc>
          <w:tcPr>
            <w:tcW w:w="778" w:type="dxa"/>
            <w:noWrap w:val="0"/>
            <w:vAlign w:val="center"/>
          </w:tcPr>
          <w:p>
            <w:pPr>
              <w:shd w:val="clear" w:color="auto" w:fill="auto"/>
              <w:spacing w:line="360" w:lineRule="auto"/>
              <w:rPr>
                <w:rFonts w:ascii="宋体" w:hAnsi="宋体"/>
                <w:color w:val="auto"/>
                <w:sz w:val="24"/>
                <w:highlight w:val="none"/>
              </w:rPr>
            </w:pPr>
          </w:p>
        </w:tc>
        <w:tc>
          <w:tcPr>
            <w:tcW w:w="818" w:type="dxa"/>
            <w:noWrap w:val="0"/>
            <w:vAlign w:val="center"/>
          </w:tcPr>
          <w:p>
            <w:pPr>
              <w:shd w:val="clear" w:color="auto" w:fill="auto"/>
              <w:spacing w:line="360" w:lineRule="auto"/>
              <w:rPr>
                <w:rFonts w:ascii="宋体" w:hAnsi="宋体"/>
                <w:color w:val="auto"/>
                <w:sz w:val="24"/>
                <w:highlight w:val="none"/>
              </w:rPr>
            </w:pPr>
          </w:p>
        </w:tc>
        <w:tc>
          <w:tcPr>
            <w:tcW w:w="791" w:type="dxa"/>
            <w:noWrap w:val="0"/>
            <w:vAlign w:val="center"/>
          </w:tcPr>
          <w:p>
            <w:pPr>
              <w:shd w:val="clear" w:color="auto" w:fill="auto"/>
              <w:spacing w:line="360" w:lineRule="auto"/>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8" w:hRule="atLeast"/>
        </w:trPr>
        <w:tc>
          <w:tcPr>
            <w:tcW w:w="713" w:type="dxa"/>
            <w:noWrap w:val="0"/>
            <w:vAlign w:val="center"/>
          </w:tcPr>
          <w:p>
            <w:pPr>
              <w:shd w:val="clear" w:color="auto" w:fill="auto"/>
              <w:spacing w:line="360" w:lineRule="auto"/>
              <w:rPr>
                <w:rFonts w:ascii="宋体" w:hAnsi="宋体"/>
                <w:color w:val="auto"/>
                <w:sz w:val="24"/>
                <w:highlight w:val="none"/>
              </w:rPr>
            </w:pPr>
          </w:p>
        </w:tc>
        <w:tc>
          <w:tcPr>
            <w:tcW w:w="1295" w:type="dxa"/>
            <w:noWrap w:val="0"/>
            <w:vAlign w:val="center"/>
          </w:tcPr>
          <w:p>
            <w:pPr>
              <w:shd w:val="clear" w:color="auto" w:fill="auto"/>
              <w:spacing w:line="360" w:lineRule="auto"/>
              <w:rPr>
                <w:rFonts w:ascii="宋体" w:hAnsi="宋体"/>
                <w:color w:val="auto"/>
                <w:sz w:val="24"/>
                <w:highlight w:val="none"/>
              </w:rPr>
            </w:pPr>
          </w:p>
        </w:tc>
        <w:tc>
          <w:tcPr>
            <w:tcW w:w="1364" w:type="dxa"/>
            <w:noWrap w:val="0"/>
            <w:vAlign w:val="center"/>
          </w:tcPr>
          <w:p>
            <w:pPr>
              <w:shd w:val="clear" w:color="auto" w:fill="auto"/>
              <w:spacing w:line="360" w:lineRule="auto"/>
              <w:rPr>
                <w:rFonts w:ascii="宋体" w:hAnsi="宋体"/>
                <w:color w:val="auto"/>
                <w:sz w:val="24"/>
                <w:highlight w:val="none"/>
              </w:rPr>
            </w:pPr>
          </w:p>
        </w:tc>
        <w:tc>
          <w:tcPr>
            <w:tcW w:w="1268" w:type="dxa"/>
            <w:noWrap w:val="0"/>
            <w:vAlign w:val="center"/>
          </w:tcPr>
          <w:p>
            <w:pPr>
              <w:shd w:val="clear" w:color="auto" w:fill="auto"/>
              <w:spacing w:line="360" w:lineRule="auto"/>
              <w:rPr>
                <w:rFonts w:ascii="宋体" w:hAnsi="宋体"/>
                <w:color w:val="auto"/>
                <w:sz w:val="24"/>
                <w:highlight w:val="none"/>
              </w:rPr>
            </w:pPr>
          </w:p>
        </w:tc>
        <w:tc>
          <w:tcPr>
            <w:tcW w:w="1023" w:type="dxa"/>
            <w:noWrap w:val="0"/>
            <w:vAlign w:val="center"/>
          </w:tcPr>
          <w:p>
            <w:pPr>
              <w:shd w:val="clear" w:color="auto" w:fill="auto"/>
              <w:spacing w:line="360" w:lineRule="auto"/>
              <w:rPr>
                <w:rFonts w:ascii="宋体" w:hAnsi="宋体"/>
                <w:color w:val="auto"/>
                <w:sz w:val="24"/>
                <w:highlight w:val="none"/>
              </w:rPr>
            </w:pPr>
          </w:p>
        </w:tc>
        <w:tc>
          <w:tcPr>
            <w:tcW w:w="1295" w:type="dxa"/>
            <w:noWrap w:val="0"/>
            <w:vAlign w:val="center"/>
          </w:tcPr>
          <w:p>
            <w:pPr>
              <w:shd w:val="clear" w:color="auto" w:fill="auto"/>
              <w:spacing w:line="360" w:lineRule="auto"/>
              <w:rPr>
                <w:rFonts w:ascii="宋体" w:hAnsi="宋体"/>
                <w:color w:val="auto"/>
                <w:sz w:val="24"/>
                <w:highlight w:val="none"/>
              </w:rPr>
            </w:pPr>
          </w:p>
        </w:tc>
        <w:tc>
          <w:tcPr>
            <w:tcW w:w="778" w:type="dxa"/>
            <w:noWrap w:val="0"/>
            <w:vAlign w:val="center"/>
          </w:tcPr>
          <w:p>
            <w:pPr>
              <w:shd w:val="clear" w:color="auto" w:fill="auto"/>
              <w:spacing w:line="360" w:lineRule="auto"/>
              <w:rPr>
                <w:rFonts w:ascii="宋体" w:hAnsi="宋体"/>
                <w:color w:val="auto"/>
                <w:sz w:val="24"/>
                <w:highlight w:val="none"/>
              </w:rPr>
            </w:pPr>
          </w:p>
        </w:tc>
        <w:tc>
          <w:tcPr>
            <w:tcW w:w="818" w:type="dxa"/>
            <w:noWrap w:val="0"/>
            <w:vAlign w:val="center"/>
          </w:tcPr>
          <w:p>
            <w:pPr>
              <w:shd w:val="clear" w:color="auto" w:fill="auto"/>
              <w:spacing w:line="360" w:lineRule="auto"/>
              <w:rPr>
                <w:rFonts w:ascii="宋体" w:hAnsi="宋体"/>
                <w:color w:val="auto"/>
                <w:sz w:val="24"/>
                <w:highlight w:val="none"/>
              </w:rPr>
            </w:pPr>
          </w:p>
        </w:tc>
        <w:tc>
          <w:tcPr>
            <w:tcW w:w="791" w:type="dxa"/>
            <w:noWrap w:val="0"/>
            <w:vAlign w:val="center"/>
          </w:tcPr>
          <w:p>
            <w:pPr>
              <w:shd w:val="clear" w:color="auto" w:fill="auto"/>
              <w:spacing w:line="360" w:lineRule="auto"/>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8" w:hRule="atLeast"/>
        </w:trPr>
        <w:tc>
          <w:tcPr>
            <w:tcW w:w="713" w:type="dxa"/>
            <w:noWrap w:val="0"/>
            <w:vAlign w:val="center"/>
          </w:tcPr>
          <w:p>
            <w:pPr>
              <w:shd w:val="clear" w:color="auto" w:fill="auto"/>
              <w:spacing w:line="360" w:lineRule="auto"/>
              <w:rPr>
                <w:rFonts w:ascii="宋体" w:hAnsi="宋体"/>
                <w:color w:val="auto"/>
                <w:sz w:val="24"/>
                <w:highlight w:val="none"/>
              </w:rPr>
            </w:pPr>
          </w:p>
        </w:tc>
        <w:tc>
          <w:tcPr>
            <w:tcW w:w="1295" w:type="dxa"/>
            <w:noWrap w:val="0"/>
            <w:vAlign w:val="center"/>
          </w:tcPr>
          <w:p>
            <w:pPr>
              <w:shd w:val="clear" w:color="auto" w:fill="auto"/>
              <w:spacing w:line="360" w:lineRule="auto"/>
              <w:rPr>
                <w:rFonts w:ascii="宋体" w:hAnsi="宋体"/>
                <w:color w:val="auto"/>
                <w:sz w:val="24"/>
                <w:highlight w:val="none"/>
              </w:rPr>
            </w:pPr>
          </w:p>
        </w:tc>
        <w:tc>
          <w:tcPr>
            <w:tcW w:w="1364" w:type="dxa"/>
            <w:noWrap w:val="0"/>
            <w:vAlign w:val="center"/>
          </w:tcPr>
          <w:p>
            <w:pPr>
              <w:shd w:val="clear" w:color="auto" w:fill="auto"/>
              <w:spacing w:line="360" w:lineRule="auto"/>
              <w:rPr>
                <w:rFonts w:ascii="宋体" w:hAnsi="宋体"/>
                <w:color w:val="auto"/>
                <w:sz w:val="24"/>
                <w:highlight w:val="none"/>
              </w:rPr>
            </w:pPr>
          </w:p>
        </w:tc>
        <w:tc>
          <w:tcPr>
            <w:tcW w:w="1268" w:type="dxa"/>
            <w:noWrap w:val="0"/>
            <w:vAlign w:val="center"/>
          </w:tcPr>
          <w:p>
            <w:pPr>
              <w:shd w:val="clear" w:color="auto" w:fill="auto"/>
              <w:spacing w:line="360" w:lineRule="auto"/>
              <w:rPr>
                <w:rFonts w:ascii="宋体" w:hAnsi="宋体"/>
                <w:color w:val="auto"/>
                <w:sz w:val="24"/>
                <w:highlight w:val="none"/>
              </w:rPr>
            </w:pPr>
          </w:p>
        </w:tc>
        <w:tc>
          <w:tcPr>
            <w:tcW w:w="1023" w:type="dxa"/>
            <w:noWrap w:val="0"/>
            <w:vAlign w:val="center"/>
          </w:tcPr>
          <w:p>
            <w:pPr>
              <w:shd w:val="clear" w:color="auto" w:fill="auto"/>
              <w:spacing w:line="360" w:lineRule="auto"/>
              <w:rPr>
                <w:rFonts w:ascii="宋体" w:hAnsi="宋体"/>
                <w:color w:val="auto"/>
                <w:sz w:val="24"/>
                <w:highlight w:val="none"/>
              </w:rPr>
            </w:pPr>
          </w:p>
        </w:tc>
        <w:tc>
          <w:tcPr>
            <w:tcW w:w="1295" w:type="dxa"/>
            <w:noWrap w:val="0"/>
            <w:vAlign w:val="center"/>
          </w:tcPr>
          <w:p>
            <w:pPr>
              <w:shd w:val="clear" w:color="auto" w:fill="auto"/>
              <w:spacing w:line="360" w:lineRule="auto"/>
              <w:rPr>
                <w:rFonts w:ascii="宋体" w:hAnsi="宋体"/>
                <w:color w:val="auto"/>
                <w:sz w:val="24"/>
                <w:highlight w:val="none"/>
              </w:rPr>
            </w:pPr>
          </w:p>
        </w:tc>
        <w:tc>
          <w:tcPr>
            <w:tcW w:w="778" w:type="dxa"/>
            <w:noWrap w:val="0"/>
            <w:vAlign w:val="center"/>
          </w:tcPr>
          <w:p>
            <w:pPr>
              <w:shd w:val="clear" w:color="auto" w:fill="auto"/>
              <w:spacing w:line="360" w:lineRule="auto"/>
              <w:rPr>
                <w:rFonts w:ascii="宋体" w:hAnsi="宋体"/>
                <w:color w:val="auto"/>
                <w:sz w:val="24"/>
                <w:highlight w:val="none"/>
              </w:rPr>
            </w:pPr>
          </w:p>
        </w:tc>
        <w:tc>
          <w:tcPr>
            <w:tcW w:w="818" w:type="dxa"/>
            <w:noWrap w:val="0"/>
            <w:vAlign w:val="center"/>
          </w:tcPr>
          <w:p>
            <w:pPr>
              <w:shd w:val="clear" w:color="auto" w:fill="auto"/>
              <w:spacing w:line="360" w:lineRule="auto"/>
              <w:rPr>
                <w:rFonts w:ascii="宋体" w:hAnsi="宋体"/>
                <w:color w:val="auto"/>
                <w:sz w:val="24"/>
                <w:highlight w:val="none"/>
              </w:rPr>
            </w:pPr>
          </w:p>
        </w:tc>
        <w:tc>
          <w:tcPr>
            <w:tcW w:w="791" w:type="dxa"/>
            <w:noWrap w:val="0"/>
            <w:vAlign w:val="center"/>
          </w:tcPr>
          <w:p>
            <w:pPr>
              <w:shd w:val="clear" w:color="auto" w:fill="auto"/>
              <w:spacing w:line="360" w:lineRule="auto"/>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8" w:hRule="atLeast"/>
        </w:trPr>
        <w:tc>
          <w:tcPr>
            <w:tcW w:w="713" w:type="dxa"/>
            <w:noWrap w:val="0"/>
            <w:vAlign w:val="center"/>
          </w:tcPr>
          <w:p>
            <w:pPr>
              <w:shd w:val="clear" w:color="auto" w:fill="auto"/>
              <w:spacing w:line="360" w:lineRule="auto"/>
              <w:rPr>
                <w:rFonts w:ascii="宋体" w:hAnsi="宋体"/>
                <w:color w:val="auto"/>
                <w:sz w:val="24"/>
                <w:highlight w:val="none"/>
              </w:rPr>
            </w:pPr>
          </w:p>
        </w:tc>
        <w:tc>
          <w:tcPr>
            <w:tcW w:w="1295" w:type="dxa"/>
            <w:noWrap w:val="0"/>
            <w:vAlign w:val="center"/>
          </w:tcPr>
          <w:p>
            <w:pPr>
              <w:shd w:val="clear" w:color="auto" w:fill="auto"/>
              <w:spacing w:line="360" w:lineRule="auto"/>
              <w:rPr>
                <w:rFonts w:ascii="宋体" w:hAnsi="宋体"/>
                <w:color w:val="auto"/>
                <w:sz w:val="24"/>
                <w:highlight w:val="none"/>
              </w:rPr>
            </w:pPr>
          </w:p>
        </w:tc>
        <w:tc>
          <w:tcPr>
            <w:tcW w:w="1364" w:type="dxa"/>
            <w:noWrap w:val="0"/>
            <w:vAlign w:val="center"/>
          </w:tcPr>
          <w:p>
            <w:pPr>
              <w:shd w:val="clear" w:color="auto" w:fill="auto"/>
              <w:spacing w:line="360" w:lineRule="auto"/>
              <w:rPr>
                <w:rFonts w:ascii="宋体" w:hAnsi="宋体"/>
                <w:color w:val="auto"/>
                <w:sz w:val="24"/>
                <w:highlight w:val="none"/>
              </w:rPr>
            </w:pPr>
          </w:p>
        </w:tc>
        <w:tc>
          <w:tcPr>
            <w:tcW w:w="1268" w:type="dxa"/>
            <w:noWrap w:val="0"/>
            <w:vAlign w:val="center"/>
          </w:tcPr>
          <w:p>
            <w:pPr>
              <w:shd w:val="clear" w:color="auto" w:fill="auto"/>
              <w:spacing w:line="360" w:lineRule="auto"/>
              <w:rPr>
                <w:rFonts w:ascii="宋体" w:hAnsi="宋体"/>
                <w:color w:val="auto"/>
                <w:sz w:val="24"/>
                <w:highlight w:val="none"/>
              </w:rPr>
            </w:pPr>
          </w:p>
        </w:tc>
        <w:tc>
          <w:tcPr>
            <w:tcW w:w="1023" w:type="dxa"/>
            <w:noWrap w:val="0"/>
            <w:vAlign w:val="center"/>
          </w:tcPr>
          <w:p>
            <w:pPr>
              <w:shd w:val="clear" w:color="auto" w:fill="auto"/>
              <w:spacing w:line="360" w:lineRule="auto"/>
              <w:rPr>
                <w:rFonts w:ascii="宋体" w:hAnsi="宋体"/>
                <w:color w:val="auto"/>
                <w:sz w:val="24"/>
                <w:highlight w:val="none"/>
              </w:rPr>
            </w:pPr>
          </w:p>
        </w:tc>
        <w:tc>
          <w:tcPr>
            <w:tcW w:w="1295" w:type="dxa"/>
            <w:noWrap w:val="0"/>
            <w:vAlign w:val="center"/>
          </w:tcPr>
          <w:p>
            <w:pPr>
              <w:shd w:val="clear" w:color="auto" w:fill="auto"/>
              <w:spacing w:line="360" w:lineRule="auto"/>
              <w:rPr>
                <w:rFonts w:ascii="宋体" w:hAnsi="宋体"/>
                <w:color w:val="auto"/>
                <w:sz w:val="24"/>
                <w:highlight w:val="none"/>
              </w:rPr>
            </w:pPr>
          </w:p>
        </w:tc>
        <w:tc>
          <w:tcPr>
            <w:tcW w:w="778" w:type="dxa"/>
            <w:noWrap w:val="0"/>
            <w:vAlign w:val="center"/>
          </w:tcPr>
          <w:p>
            <w:pPr>
              <w:shd w:val="clear" w:color="auto" w:fill="auto"/>
              <w:spacing w:line="360" w:lineRule="auto"/>
              <w:rPr>
                <w:rFonts w:ascii="宋体" w:hAnsi="宋体"/>
                <w:color w:val="auto"/>
                <w:sz w:val="24"/>
                <w:highlight w:val="none"/>
              </w:rPr>
            </w:pPr>
          </w:p>
        </w:tc>
        <w:tc>
          <w:tcPr>
            <w:tcW w:w="818" w:type="dxa"/>
            <w:noWrap w:val="0"/>
            <w:vAlign w:val="center"/>
          </w:tcPr>
          <w:p>
            <w:pPr>
              <w:shd w:val="clear" w:color="auto" w:fill="auto"/>
              <w:spacing w:line="360" w:lineRule="auto"/>
              <w:rPr>
                <w:rFonts w:ascii="宋体" w:hAnsi="宋体"/>
                <w:color w:val="auto"/>
                <w:sz w:val="24"/>
                <w:highlight w:val="none"/>
              </w:rPr>
            </w:pPr>
          </w:p>
        </w:tc>
        <w:tc>
          <w:tcPr>
            <w:tcW w:w="791" w:type="dxa"/>
            <w:noWrap w:val="0"/>
            <w:vAlign w:val="center"/>
          </w:tcPr>
          <w:p>
            <w:pPr>
              <w:shd w:val="clear" w:color="auto" w:fill="auto"/>
              <w:spacing w:line="360" w:lineRule="auto"/>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trPr>
        <w:tc>
          <w:tcPr>
            <w:tcW w:w="713" w:type="dxa"/>
            <w:noWrap w:val="0"/>
            <w:vAlign w:val="center"/>
          </w:tcPr>
          <w:p>
            <w:pPr>
              <w:shd w:val="clear" w:color="auto" w:fill="auto"/>
              <w:spacing w:line="360" w:lineRule="auto"/>
              <w:rPr>
                <w:rFonts w:ascii="宋体" w:hAnsi="宋体"/>
                <w:color w:val="auto"/>
                <w:sz w:val="24"/>
                <w:highlight w:val="none"/>
              </w:rPr>
            </w:pPr>
          </w:p>
        </w:tc>
        <w:tc>
          <w:tcPr>
            <w:tcW w:w="8632" w:type="dxa"/>
            <w:gridSpan w:val="8"/>
            <w:noWrap w:val="0"/>
            <w:vAlign w:val="center"/>
          </w:tcPr>
          <w:p>
            <w:pPr>
              <w:shd w:val="clear" w:color="auto" w:fill="auto"/>
              <w:spacing w:line="360" w:lineRule="auto"/>
              <w:rPr>
                <w:rFonts w:ascii="宋体" w:hAnsi="宋体"/>
                <w:b/>
                <w:color w:val="auto"/>
                <w:sz w:val="24"/>
                <w:highlight w:val="none"/>
              </w:rPr>
            </w:pPr>
            <w:r>
              <w:rPr>
                <w:rFonts w:hint="eastAsia" w:ascii="宋体" w:hAnsi="宋体"/>
                <w:b/>
                <w:color w:val="auto"/>
                <w:sz w:val="24"/>
                <w:highlight w:val="none"/>
              </w:rPr>
              <w:t>人民币：大写                           小写</w:t>
            </w:r>
          </w:p>
        </w:tc>
      </w:tr>
    </w:tbl>
    <w:p>
      <w:pPr>
        <w:spacing w:line="360" w:lineRule="auto"/>
        <w:rPr>
          <w:rFonts w:ascii="宋体" w:hAnsi="宋体"/>
          <w:color w:val="auto"/>
          <w:sz w:val="24"/>
          <w:highlight w:val="none"/>
        </w:rPr>
      </w:pPr>
    </w:p>
    <w:p>
      <w:pPr>
        <w:spacing w:line="360" w:lineRule="auto"/>
        <w:rPr>
          <w:rFonts w:ascii="宋体"/>
          <w:b/>
          <w:bCs/>
          <w:color w:val="auto"/>
          <w:sz w:val="24"/>
          <w:szCs w:val="24"/>
          <w:highlight w:val="none"/>
        </w:rPr>
      </w:pPr>
      <w:r>
        <w:rPr>
          <w:rFonts w:hint="eastAsia" w:ascii="宋体" w:hAnsi="宋体" w:cs="宋体"/>
          <w:b/>
          <w:bCs/>
          <w:color w:val="auto"/>
          <w:sz w:val="24"/>
          <w:szCs w:val="24"/>
          <w:highlight w:val="none"/>
        </w:rPr>
        <w:t>要求：</w:t>
      </w:r>
    </w:p>
    <w:p>
      <w:pPr>
        <w:spacing w:line="360" w:lineRule="auto"/>
        <w:ind w:firstLine="480" w:firstLineChars="200"/>
        <w:rPr>
          <w:rFonts w:ascii="宋体" w:hAnsi="宋体" w:cs="宋体"/>
          <w:color w:val="auto"/>
          <w:sz w:val="24"/>
          <w:szCs w:val="24"/>
          <w:highlight w:val="none"/>
          <w:lang w:val="zh-CN"/>
        </w:rPr>
      </w:pPr>
      <w:r>
        <w:rPr>
          <w:rFonts w:ascii="宋体" w:hAnsi="宋体" w:cs="宋体"/>
          <w:color w:val="auto"/>
          <w:sz w:val="24"/>
          <w:szCs w:val="24"/>
          <w:highlight w:val="none"/>
        </w:rPr>
        <w:t>1.</w:t>
      </w:r>
      <w:r>
        <w:rPr>
          <w:rFonts w:hint="eastAsia" w:ascii="宋体" w:hAnsi="宋体" w:cs="宋体"/>
          <w:color w:val="auto"/>
          <w:sz w:val="24"/>
          <w:szCs w:val="24"/>
          <w:highlight w:val="none"/>
        </w:rPr>
        <w:t>本表为《开标一览表》的报价明细表，如有缺项、漏项，视为投标报价</w:t>
      </w:r>
      <w:r>
        <w:rPr>
          <w:rFonts w:hint="eastAsia" w:ascii="宋体" w:hAnsi="宋体" w:cs="宋体"/>
          <w:color w:val="auto"/>
          <w:sz w:val="24"/>
          <w:szCs w:val="24"/>
          <w:highlight w:val="none"/>
          <w:lang w:val="zh-CN"/>
        </w:rPr>
        <w:t>中已包含相关费用，采购人无需另外支付任何费用。</w:t>
      </w:r>
    </w:p>
    <w:p>
      <w:pPr>
        <w:spacing w:line="360" w:lineRule="auto"/>
        <w:ind w:firstLine="480" w:firstLineChars="200"/>
        <w:rPr>
          <w:rFonts w:ascii="宋体" w:hAnsi="宋体" w:cs="宋体"/>
          <w:color w:val="auto"/>
          <w:sz w:val="24"/>
          <w:szCs w:val="24"/>
          <w:highlight w:val="none"/>
          <w:lang w:val="zh-CN"/>
        </w:rPr>
      </w:pPr>
      <w:r>
        <w:rPr>
          <w:rFonts w:ascii="宋体" w:hAnsi="宋体" w:cs="宋体"/>
          <w:color w:val="auto"/>
          <w:sz w:val="24"/>
          <w:szCs w:val="24"/>
          <w:highlight w:val="none"/>
          <w:lang w:val="zh-CN"/>
        </w:rPr>
        <w:t>2.</w:t>
      </w:r>
      <w:r>
        <w:rPr>
          <w:rFonts w:hint="eastAsia" w:ascii="宋体" w:hAnsi="宋体" w:cs="宋体"/>
          <w:color w:val="auto"/>
          <w:sz w:val="24"/>
          <w:szCs w:val="24"/>
          <w:highlight w:val="none"/>
          <w:lang w:val="zh-CN"/>
        </w:rPr>
        <w:t>“报价明细表”中的报价合计应与“开标一览表”中的投标报价相一致，不一致时，以开标一览表为准。</w:t>
      </w:r>
    </w:p>
    <w:p>
      <w:pPr>
        <w:spacing w:line="360" w:lineRule="auto"/>
        <w:ind w:firstLine="480" w:firstLineChars="200"/>
        <w:rPr>
          <w:rFonts w:ascii="宋体" w:hAnsi="宋体" w:cs="宋体"/>
          <w:color w:val="auto"/>
          <w:sz w:val="24"/>
          <w:szCs w:val="24"/>
          <w:highlight w:val="none"/>
          <w:lang w:val="zh-CN"/>
        </w:rPr>
      </w:pPr>
      <w:r>
        <w:rPr>
          <w:rFonts w:ascii="宋体" w:hAnsi="宋体" w:cs="宋体"/>
          <w:color w:val="auto"/>
          <w:sz w:val="24"/>
          <w:szCs w:val="24"/>
          <w:highlight w:val="none"/>
          <w:lang w:val="zh-CN"/>
        </w:rPr>
        <w:t>3.</w:t>
      </w:r>
      <w:r>
        <w:rPr>
          <w:rFonts w:hint="eastAsia" w:ascii="宋体" w:hAnsi="宋体" w:cs="宋体"/>
          <w:color w:val="auto"/>
          <w:sz w:val="24"/>
          <w:szCs w:val="24"/>
          <w:highlight w:val="none"/>
          <w:lang w:val="zh-CN"/>
        </w:rPr>
        <w:t>投标报价明细表所填内容按招标文件采购货物清单要求为准。如有漏报的，视同已包含在投标总价内或已作优惠处理。有重大缺项的将作无效标处理。</w:t>
      </w:r>
    </w:p>
    <w:p>
      <w:pPr>
        <w:spacing w:line="360" w:lineRule="auto"/>
        <w:jc w:val="left"/>
        <w:rPr>
          <w:rFonts w:ascii="宋体"/>
          <w:color w:val="auto"/>
          <w:sz w:val="24"/>
          <w:szCs w:val="24"/>
          <w:highlight w:val="none"/>
        </w:rPr>
      </w:pPr>
    </w:p>
    <w:p>
      <w:pPr>
        <w:spacing w:line="480" w:lineRule="auto"/>
        <w:rPr>
          <w:rFonts w:ascii="宋体"/>
          <w:color w:val="auto"/>
          <w:sz w:val="24"/>
          <w:szCs w:val="24"/>
          <w:highlight w:val="none"/>
        </w:rPr>
      </w:pPr>
      <w:r>
        <w:rPr>
          <w:rFonts w:hint="eastAsia" w:ascii="宋体" w:hAnsi="宋体" w:cs="宋体"/>
          <w:color w:val="auto"/>
          <w:sz w:val="24"/>
          <w:szCs w:val="24"/>
          <w:highlight w:val="none"/>
        </w:rPr>
        <w:t>投标人名称（盖章）：</w:t>
      </w:r>
    </w:p>
    <w:p>
      <w:pPr>
        <w:spacing w:line="480" w:lineRule="auto"/>
        <w:rPr>
          <w:rFonts w:ascii="宋体"/>
          <w:color w:val="auto"/>
          <w:sz w:val="24"/>
          <w:szCs w:val="24"/>
          <w:highlight w:val="none"/>
        </w:rPr>
      </w:pPr>
      <w:r>
        <w:rPr>
          <w:rFonts w:hint="eastAsia" w:ascii="宋体" w:hAnsi="宋体" w:cs="宋体"/>
          <w:color w:val="auto"/>
          <w:sz w:val="24"/>
          <w:szCs w:val="24"/>
          <w:highlight w:val="none"/>
        </w:rPr>
        <w:t>授权委托代理人签字或盖章：</w:t>
      </w:r>
    </w:p>
    <w:p>
      <w:pPr>
        <w:spacing w:line="480" w:lineRule="auto"/>
        <w:rPr>
          <w:rFonts w:ascii="宋体" w:hAnsi="宋体" w:cs="宋体"/>
          <w:color w:val="auto"/>
          <w:sz w:val="24"/>
          <w:szCs w:val="24"/>
          <w:highlight w:val="none"/>
        </w:rPr>
      </w:pPr>
      <w:r>
        <w:rPr>
          <w:rFonts w:hint="eastAsia" w:ascii="宋体" w:hAnsi="宋体" w:cs="宋体"/>
          <w:color w:val="auto"/>
          <w:sz w:val="24"/>
          <w:szCs w:val="24"/>
          <w:highlight w:val="none"/>
        </w:rPr>
        <w:t>日期：</w:t>
      </w:r>
    </w:p>
    <w:p>
      <w:pPr>
        <w:spacing w:line="360" w:lineRule="auto"/>
        <w:jc w:val="left"/>
        <w:rPr>
          <w:rFonts w:hint="default" w:ascii="宋体" w:eastAsia="宋体"/>
          <w:b/>
          <w:bCs/>
          <w:color w:val="auto"/>
          <w:sz w:val="28"/>
          <w:szCs w:val="28"/>
          <w:highlight w:val="none"/>
          <w:lang w:val="en-US" w:eastAsia="zh-CN"/>
        </w:rPr>
      </w:pPr>
      <w:r>
        <w:rPr>
          <w:rFonts w:hint="eastAsia" w:ascii="宋体" w:hAnsi="宋体" w:cs="宋体"/>
          <w:b/>
          <w:bCs/>
          <w:color w:val="auto"/>
          <w:sz w:val="28"/>
          <w:szCs w:val="28"/>
          <w:highlight w:val="none"/>
        </w:rPr>
        <w:t>附件</w:t>
      </w:r>
      <w:r>
        <w:rPr>
          <w:rFonts w:hint="eastAsia" w:ascii="宋体" w:hAnsi="宋体" w:cs="宋体"/>
          <w:b/>
          <w:bCs/>
          <w:color w:val="auto"/>
          <w:sz w:val="28"/>
          <w:szCs w:val="28"/>
          <w:highlight w:val="none"/>
          <w:lang w:val="en-US" w:eastAsia="zh-CN"/>
        </w:rPr>
        <w:t>17</w:t>
      </w:r>
    </w:p>
    <w:p>
      <w:pPr>
        <w:spacing w:line="360" w:lineRule="auto"/>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中小企业声明函（货物）</w:t>
      </w:r>
    </w:p>
    <w:p>
      <w:pPr>
        <w:spacing w:line="360" w:lineRule="auto"/>
        <w:ind w:firstLine="480" w:firstLineChars="200"/>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本公司</w:t>
      </w:r>
      <w:r>
        <w:rPr>
          <w:rFonts w:hint="eastAsia" w:ascii="宋体" w:hAnsi="宋体" w:cs="宋体"/>
          <w:bCs/>
          <w:color w:val="auto"/>
          <w:sz w:val="24"/>
          <w:highlight w:val="none"/>
          <w:lang w:eastAsia="zh-CN"/>
        </w:rPr>
        <w:t>（联合体）</w:t>
      </w:r>
      <w:r>
        <w:rPr>
          <w:rFonts w:hint="eastAsia" w:ascii="宋体" w:hAnsi="宋体" w:eastAsia="宋体" w:cs="宋体"/>
          <w:bCs/>
          <w:color w:val="auto"/>
          <w:sz w:val="24"/>
          <w:highlight w:val="none"/>
        </w:rPr>
        <w:t>郑重声明，根据《政府采购促进中小企业发展管理办法》（财库﹝2020﹞46 号）的规定，本公司</w:t>
      </w:r>
      <w:r>
        <w:rPr>
          <w:rFonts w:hint="eastAsia" w:ascii="宋体" w:hAnsi="宋体" w:cs="宋体"/>
          <w:bCs/>
          <w:color w:val="auto"/>
          <w:sz w:val="24"/>
          <w:highlight w:val="none"/>
          <w:lang w:eastAsia="zh-CN"/>
        </w:rPr>
        <w:t>（联合体）</w:t>
      </w:r>
      <w:r>
        <w:rPr>
          <w:rFonts w:hint="eastAsia" w:ascii="宋体" w:hAnsi="宋体" w:eastAsia="宋体" w:cs="宋体"/>
          <w:bCs/>
          <w:color w:val="auto"/>
          <w:sz w:val="24"/>
          <w:highlight w:val="none"/>
        </w:rPr>
        <w:t>参加</w:t>
      </w:r>
      <w:r>
        <w:rPr>
          <w:rFonts w:hint="eastAsia" w:ascii="宋体" w:hAnsi="宋体" w:eastAsia="宋体" w:cs="宋体"/>
          <w:bCs/>
          <w:color w:val="auto"/>
          <w:sz w:val="24"/>
          <w:highlight w:val="none"/>
          <w:u w:val="single"/>
        </w:rPr>
        <w:t>（单位名称）</w:t>
      </w:r>
      <w:r>
        <w:rPr>
          <w:rFonts w:hint="eastAsia" w:ascii="宋体" w:hAnsi="宋体" w:eastAsia="宋体" w:cs="宋体"/>
          <w:bCs/>
          <w:color w:val="auto"/>
          <w:sz w:val="24"/>
          <w:highlight w:val="none"/>
        </w:rPr>
        <w:t>的</w:t>
      </w:r>
      <w:r>
        <w:rPr>
          <w:rFonts w:hint="eastAsia" w:ascii="宋体" w:hAnsi="宋体" w:eastAsia="宋体" w:cs="宋体"/>
          <w:bCs/>
          <w:color w:val="auto"/>
          <w:sz w:val="24"/>
          <w:highlight w:val="none"/>
          <w:u w:val="single"/>
        </w:rPr>
        <w:t>（项目名称）</w:t>
      </w:r>
      <w:r>
        <w:rPr>
          <w:rFonts w:hint="eastAsia" w:ascii="宋体" w:hAnsi="宋体" w:eastAsia="宋体" w:cs="宋体"/>
          <w:bCs/>
          <w:color w:val="auto"/>
          <w:sz w:val="24"/>
          <w:highlight w:val="none"/>
        </w:rPr>
        <w:t>采购活动，提供的货物</w:t>
      </w:r>
      <w:r>
        <w:rPr>
          <w:rFonts w:hint="eastAsia" w:ascii="宋体" w:hAnsi="宋体" w:eastAsia="宋体" w:cs="宋体"/>
          <w:b/>
          <w:bCs w:val="0"/>
          <w:color w:val="auto"/>
          <w:sz w:val="24"/>
          <w:highlight w:val="none"/>
        </w:rPr>
        <w:t>全部</w:t>
      </w:r>
      <w:r>
        <w:rPr>
          <w:rFonts w:hint="eastAsia" w:ascii="宋体" w:hAnsi="宋体" w:eastAsia="宋体" w:cs="宋体"/>
          <w:bCs/>
          <w:color w:val="auto"/>
          <w:sz w:val="24"/>
          <w:highlight w:val="none"/>
        </w:rPr>
        <w:t>由符合政策要求的中小企业</w:t>
      </w:r>
      <w:r>
        <w:rPr>
          <w:rFonts w:hint="eastAsia" w:ascii="宋体" w:hAnsi="宋体" w:eastAsia="宋体" w:cs="宋体"/>
          <w:b/>
          <w:bCs w:val="0"/>
          <w:color w:val="auto"/>
          <w:sz w:val="24"/>
          <w:highlight w:val="none"/>
        </w:rPr>
        <w:t>制造</w:t>
      </w:r>
      <w:r>
        <w:rPr>
          <w:rFonts w:hint="eastAsia" w:ascii="宋体" w:hAnsi="宋体" w:eastAsia="宋体" w:cs="宋体"/>
          <w:bCs/>
          <w:color w:val="auto"/>
          <w:sz w:val="24"/>
          <w:highlight w:val="none"/>
        </w:rPr>
        <w:t>。相关企业</w:t>
      </w:r>
      <w:r>
        <w:rPr>
          <w:rFonts w:hint="eastAsia" w:ascii="宋体" w:hAnsi="宋体" w:cs="宋体"/>
          <w:bCs/>
          <w:color w:val="auto"/>
          <w:sz w:val="24"/>
          <w:highlight w:val="none"/>
          <w:lang w:eastAsia="zh-CN"/>
        </w:rPr>
        <w:t>（含联合体中的中小企业、签订分包意向协议的中小企业）</w:t>
      </w:r>
      <w:r>
        <w:rPr>
          <w:rFonts w:hint="eastAsia" w:ascii="宋体" w:hAnsi="宋体" w:eastAsia="宋体" w:cs="宋体"/>
          <w:bCs/>
          <w:color w:val="auto"/>
          <w:sz w:val="24"/>
          <w:highlight w:val="none"/>
        </w:rPr>
        <w:t xml:space="preserve">的具体情况如下： </w:t>
      </w:r>
    </w:p>
    <w:p>
      <w:pPr>
        <w:spacing w:line="360" w:lineRule="auto"/>
        <w:ind w:firstLine="480" w:firstLineChars="200"/>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1.</w:t>
      </w:r>
      <w:r>
        <w:rPr>
          <w:rFonts w:hint="eastAsia" w:ascii="宋体" w:hAnsi="宋体" w:eastAsia="宋体" w:cs="宋体"/>
          <w:bCs/>
          <w:color w:val="auto"/>
          <w:sz w:val="24"/>
          <w:highlight w:val="none"/>
          <w:u w:val="single"/>
        </w:rPr>
        <w:t>（标的名称）</w:t>
      </w:r>
      <w:r>
        <w:rPr>
          <w:rFonts w:hint="eastAsia" w:ascii="宋体" w:hAnsi="宋体" w:eastAsia="宋体" w:cs="宋体"/>
          <w:bCs/>
          <w:color w:val="auto"/>
          <w:sz w:val="24"/>
          <w:highlight w:val="none"/>
        </w:rPr>
        <w:t>，属于</w:t>
      </w:r>
      <w:r>
        <w:rPr>
          <w:rFonts w:hint="eastAsia" w:ascii="宋体" w:hAnsi="宋体" w:eastAsia="宋体" w:cs="宋体"/>
          <w:bCs/>
          <w:color w:val="auto"/>
          <w:sz w:val="24"/>
          <w:highlight w:val="none"/>
          <w:u w:val="single"/>
        </w:rPr>
        <w:t>（采购文件中明确的所属行业）</w:t>
      </w:r>
      <w:r>
        <w:rPr>
          <w:rFonts w:hint="eastAsia" w:ascii="宋体" w:hAnsi="宋体" w:eastAsia="宋体" w:cs="宋体"/>
          <w:bCs/>
          <w:color w:val="auto"/>
          <w:sz w:val="24"/>
          <w:highlight w:val="none"/>
        </w:rPr>
        <w:t>行业；</w:t>
      </w:r>
      <w:r>
        <w:rPr>
          <w:rFonts w:hint="eastAsia" w:ascii="宋体" w:hAnsi="宋体" w:eastAsia="宋体" w:cs="宋体"/>
          <w:b/>
          <w:bCs w:val="0"/>
          <w:color w:val="auto"/>
          <w:sz w:val="24"/>
          <w:highlight w:val="none"/>
        </w:rPr>
        <w:t>制造商</w:t>
      </w:r>
      <w:r>
        <w:rPr>
          <w:rFonts w:hint="eastAsia" w:ascii="宋体" w:hAnsi="宋体" w:eastAsia="宋体" w:cs="宋体"/>
          <w:bCs/>
          <w:color w:val="auto"/>
          <w:sz w:val="24"/>
          <w:highlight w:val="none"/>
        </w:rPr>
        <w:t>为</w:t>
      </w:r>
      <w:r>
        <w:rPr>
          <w:rFonts w:hint="eastAsia" w:ascii="宋体" w:hAnsi="宋体" w:eastAsia="宋体" w:cs="宋体"/>
          <w:bCs/>
          <w:color w:val="auto"/>
          <w:sz w:val="24"/>
          <w:highlight w:val="none"/>
          <w:u w:val="single"/>
        </w:rPr>
        <w:t>（企业名称）</w:t>
      </w:r>
      <w:r>
        <w:rPr>
          <w:rFonts w:hint="eastAsia" w:ascii="宋体" w:hAnsi="宋体" w:eastAsia="宋体" w:cs="宋体"/>
          <w:bCs/>
          <w:color w:val="auto"/>
          <w:sz w:val="24"/>
          <w:highlight w:val="none"/>
        </w:rPr>
        <w:t>，从业人员</w:t>
      </w:r>
      <w:r>
        <w:rPr>
          <w:rFonts w:hint="eastAsia" w:ascii="宋体" w:hAnsi="宋体" w:eastAsia="宋体" w:cs="宋体"/>
          <w:bCs/>
          <w:color w:val="auto"/>
          <w:sz w:val="24"/>
          <w:highlight w:val="none"/>
          <w:u w:val="single"/>
        </w:rPr>
        <w:t xml:space="preserve">     </w:t>
      </w:r>
      <w:r>
        <w:rPr>
          <w:rFonts w:hint="eastAsia" w:ascii="宋体" w:hAnsi="宋体" w:eastAsia="宋体" w:cs="宋体"/>
          <w:bCs/>
          <w:color w:val="auto"/>
          <w:sz w:val="24"/>
          <w:highlight w:val="none"/>
        </w:rPr>
        <w:t>人，营业收入为</w:t>
      </w:r>
      <w:r>
        <w:rPr>
          <w:rFonts w:hint="eastAsia" w:ascii="宋体" w:hAnsi="宋体" w:eastAsia="宋体" w:cs="宋体"/>
          <w:bCs/>
          <w:color w:val="auto"/>
          <w:sz w:val="24"/>
          <w:highlight w:val="none"/>
          <w:u w:val="single"/>
        </w:rPr>
        <w:t xml:space="preserve">     </w:t>
      </w:r>
      <w:r>
        <w:rPr>
          <w:rFonts w:hint="eastAsia" w:ascii="宋体" w:hAnsi="宋体" w:eastAsia="宋体" w:cs="宋体"/>
          <w:bCs/>
          <w:color w:val="auto"/>
          <w:sz w:val="24"/>
          <w:highlight w:val="none"/>
        </w:rPr>
        <w:t>万元，资产总额为</w:t>
      </w:r>
      <w:r>
        <w:rPr>
          <w:rFonts w:hint="eastAsia" w:ascii="宋体" w:hAnsi="宋体" w:eastAsia="宋体" w:cs="宋体"/>
          <w:bCs/>
          <w:color w:val="auto"/>
          <w:sz w:val="24"/>
          <w:highlight w:val="none"/>
          <w:u w:val="single"/>
        </w:rPr>
        <w:t xml:space="preserve">     </w:t>
      </w:r>
      <w:r>
        <w:rPr>
          <w:rFonts w:hint="eastAsia" w:ascii="宋体" w:hAnsi="宋体" w:eastAsia="宋体" w:cs="宋体"/>
          <w:bCs/>
          <w:color w:val="auto"/>
          <w:sz w:val="24"/>
          <w:highlight w:val="none"/>
        </w:rPr>
        <w:t>万元</w:t>
      </w:r>
      <w:r>
        <w:rPr>
          <w:rStyle w:val="24"/>
          <w:rFonts w:hint="eastAsia" w:ascii="宋体" w:hAnsi="宋体" w:eastAsia="宋体" w:cs="宋体"/>
          <w:bCs/>
          <w:color w:val="auto"/>
          <w:sz w:val="24"/>
          <w:highlight w:val="none"/>
        </w:rPr>
        <w:footnoteReference w:id="0"/>
      </w:r>
      <w:r>
        <w:rPr>
          <w:rFonts w:hint="eastAsia" w:ascii="宋体" w:hAnsi="宋体" w:eastAsia="宋体" w:cs="宋体"/>
          <w:bCs/>
          <w:color w:val="auto"/>
          <w:sz w:val="24"/>
          <w:highlight w:val="none"/>
        </w:rPr>
        <w:t>，属于</w:t>
      </w:r>
      <w:r>
        <w:rPr>
          <w:rFonts w:hint="eastAsia" w:ascii="宋体" w:hAnsi="宋体" w:eastAsia="宋体" w:cs="宋体"/>
          <w:bCs/>
          <w:color w:val="auto"/>
          <w:sz w:val="24"/>
          <w:highlight w:val="none"/>
          <w:u w:val="single"/>
        </w:rPr>
        <w:t>（中型企业、小型企业、微型企业）</w:t>
      </w:r>
      <w:r>
        <w:rPr>
          <w:rFonts w:hint="eastAsia" w:ascii="宋体" w:hAnsi="宋体" w:eastAsia="宋体" w:cs="宋体"/>
          <w:bCs/>
          <w:color w:val="auto"/>
          <w:sz w:val="24"/>
          <w:highlight w:val="none"/>
        </w:rPr>
        <w:t>；</w:t>
      </w:r>
    </w:p>
    <w:p>
      <w:pPr>
        <w:spacing w:line="360" w:lineRule="auto"/>
        <w:ind w:firstLine="480" w:firstLineChars="200"/>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2.</w:t>
      </w:r>
      <w:r>
        <w:rPr>
          <w:rFonts w:hint="eastAsia" w:ascii="宋体" w:hAnsi="宋体" w:eastAsia="宋体" w:cs="宋体"/>
          <w:bCs/>
          <w:color w:val="auto"/>
          <w:sz w:val="24"/>
          <w:highlight w:val="none"/>
          <w:u w:val="single"/>
        </w:rPr>
        <w:t>（标的名称）</w:t>
      </w:r>
      <w:r>
        <w:rPr>
          <w:rFonts w:hint="eastAsia" w:ascii="宋体" w:hAnsi="宋体" w:eastAsia="宋体" w:cs="宋体"/>
          <w:bCs/>
          <w:color w:val="auto"/>
          <w:sz w:val="24"/>
          <w:highlight w:val="none"/>
        </w:rPr>
        <w:t>，属于</w:t>
      </w:r>
      <w:r>
        <w:rPr>
          <w:rFonts w:hint="eastAsia" w:ascii="宋体" w:hAnsi="宋体" w:eastAsia="宋体" w:cs="宋体"/>
          <w:bCs/>
          <w:color w:val="auto"/>
          <w:sz w:val="24"/>
          <w:highlight w:val="none"/>
          <w:u w:val="single"/>
        </w:rPr>
        <w:t>（采购文件中明确的所属行业）</w:t>
      </w:r>
      <w:r>
        <w:rPr>
          <w:rFonts w:hint="eastAsia" w:ascii="宋体" w:hAnsi="宋体" w:eastAsia="宋体" w:cs="宋体"/>
          <w:bCs/>
          <w:color w:val="auto"/>
          <w:sz w:val="24"/>
          <w:highlight w:val="none"/>
        </w:rPr>
        <w:t>行业；</w:t>
      </w:r>
      <w:r>
        <w:rPr>
          <w:rFonts w:hint="eastAsia" w:ascii="宋体" w:hAnsi="宋体" w:eastAsia="宋体" w:cs="宋体"/>
          <w:b/>
          <w:bCs w:val="0"/>
          <w:color w:val="auto"/>
          <w:sz w:val="24"/>
          <w:highlight w:val="none"/>
        </w:rPr>
        <w:t>制造商</w:t>
      </w:r>
      <w:r>
        <w:rPr>
          <w:rFonts w:hint="eastAsia" w:ascii="宋体" w:hAnsi="宋体" w:eastAsia="宋体" w:cs="宋体"/>
          <w:bCs/>
          <w:color w:val="auto"/>
          <w:sz w:val="24"/>
          <w:highlight w:val="none"/>
        </w:rPr>
        <w:t>为</w:t>
      </w:r>
      <w:r>
        <w:rPr>
          <w:rFonts w:hint="eastAsia" w:ascii="宋体" w:hAnsi="宋体" w:eastAsia="宋体" w:cs="宋体"/>
          <w:bCs/>
          <w:color w:val="auto"/>
          <w:sz w:val="24"/>
          <w:highlight w:val="none"/>
          <w:u w:val="single"/>
        </w:rPr>
        <w:t>（企业名称）</w:t>
      </w:r>
      <w:r>
        <w:rPr>
          <w:rFonts w:hint="eastAsia" w:ascii="宋体" w:hAnsi="宋体" w:eastAsia="宋体" w:cs="宋体"/>
          <w:bCs/>
          <w:color w:val="auto"/>
          <w:sz w:val="24"/>
          <w:highlight w:val="none"/>
        </w:rPr>
        <w:t>，从业人员</w:t>
      </w:r>
      <w:r>
        <w:rPr>
          <w:rFonts w:hint="eastAsia" w:ascii="宋体" w:hAnsi="宋体" w:eastAsia="宋体" w:cs="宋体"/>
          <w:bCs/>
          <w:color w:val="auto"/>
          <w:sz w:val="24"/>
          <w:highlight w:val="none"/>
          <w:u w:val="single"/>
        </w:rPr>
        <w:t xml:space="preserve">     </w:t>
      </w:r>
      <w:r>
        <w:rPr>
          <w:rFonts w:hint="eastAsia" w:ascii="宋体" w:hAnsi="宋体" w:eastAsia="宋体" w:cs="宋体"/>
          <w:bCs/>
          <w:color w:val="auto"/>
          <w:sz w:val="24"/>
          <w:highlight w:val="none"/>
        </w:rPr>
        <w:t>人，营业收入为</w:t>
      </w:r>
      <w:r>
        <w:rPr>
          <w:rFonts w:hint="eastAsia" w:ascii="宋体" w:hAnsi="宋体" w:eastAsia="宋体" w:cs="宋体"/>
          <w:bCs/>
          <w:color w:val="auto"/>
          <w:sz w:val="24"/>
          <w:highlight w:val="none"/>
          <w:u w:val="single"/>
        </w:rPr>
        <w:t xml:space="preserve">     </w:t>
      </w:r>
      <w:r>
        <w:rPr>
          <w:rFonts w:hint="eastAsia" w:ascii="宋体" w:hAnsi="宋体" w:eastAsia="宋体" w:cs="宋体"/>
          <w:bCs/>
          <w:color w:val="auto"/>
          <w:sz w:val="24"/>
          <w:highlight w:val="none"/>
        </w:rPr>
        <w:t>万元，资产总额为</w:t>
      </w:r>
      <w:r>
        <w:rPr>
          <w:rFonts w:hint="eastAsia" w:ascii="宋体" w:hAnsi="宋体" w:eastAsia="宋体" w:cs="宋体"/>
          <w:bCs/>
          <w:color w:val="auto"/>
          <w:sz w:val="24"/>
          <w:highlight w:val="none"/>
          <w:u w:val="single"/>
        </w:rPr>
        <w:t xml:space="preserve">     </w:t>
      </w:r>
      <w:r>
        <w:rPr>
          <w:rFonts w:hint="eastAsia" w:ascii="宋体" w:hAnsi="宋体" w:eastAsia="宋体" w:cs="宋体"/>
          <w:bCs/>
          <w:color w:val="auto"/>
          <w:sz w:val="24"/>
          <w:highlight w:val="none"/>
        </w:rPr>
        <w:t>万元，属于</w:t>
      </w:r>
      <w:r>
        <w:rPr>
          <w:rFonts w:hint="eastAsia" w:ascii="宋体" w:hAnsi="宋体" w:eastAsia="宋体" w:cs="宋体"/>
          <w:bCs/>
          <w:color w:val="auto"/>
          <w:sz w:val="24"/>
          <w:highlight w:val="none"/>
          <w:u w:val="single"/>
        </w:rPr>
        <w:t>（中型企业、小型企业、微型企业）</w:t>
      </w:r>
      <w:r>
        <w:rPr>
          <w:rFonts w:hint="eastAsia" w:ascii="宋体" w:hAnsi="宋体" w:eastAsia="宋体" w:cs="宋体"/>
          <w:bCs/>
          <w:color w:val="auto"/>
          <w:sz w:val="24"/>
          <w:highlight w:val="none"/>
        </w:rPr>
        <w:t>；</w:t>
      </w:r>
    </w:p>
    <w:p>
      <w:pPr>
        <w:spacing w:line="360" w:lineRule="auto"/>
        <w:ind w:firstLine="480" w:firstLineChars="200"/>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w:t>
      </w:r>
    </w:p>
    <w:p>
      <w:pPr>
        <w:spacing w:line="360" w:lineRule="auto"/>
        <w:ind w:firstLine="480" w:firstLineChars="200"/>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以上企业，不属于大企业的分支机构，不存在控股股东为大企业的情形，也不存在与大企业的负责人为同一人的情形。</w:t>
      </w:r>
    </w:p>
    <w:p>
      <w:pPr>
        <w:spacing w:line="360" w:lineRule="auto"/>
        <w:ind w:firstLine="480" w:firstLineChars="200"/>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 xml:space="preserve">本企业对上述声明内容的真实性负责。如有虚假，将依法承担相应责任。 </w:t>
      </w:r>
    </w:p>
    <w:p>
      <w:pPr>
        <w:spacing w:line="360" w:lineRule="auto"/>
        <w:jc w:val="left"/>
        <w:rPr>
          <w:rFonts w:hint="eastAsia" w:ascii="宋体" w:hAnsi="宋体" w:eastAsia="宋体" w:cs="宋体"/>
          <w:bCs/>
          <w:color w:val="auto"/>
          <w:sz w:val="24"/>
          <w:highlight w:val="none"/>
        </w:rPr>
      </w:pPr>
    </w:p>
    <w:p>
      <w:pPr>
        <w:spacing w:line="360" w:lineRule="auto"/>
        <w:ind w:firstLine="4800" w:firstLineChars="2000"/>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企业名称（盖章）：</w:t>
      </w:r>
    </w:p>
    <w:p>
      <w:pPr>
        <w:spacing w:line="360" w:lineRule="auto"/>
        <w:ind w:firstLine="4800" w:firstLineChars="2000"/>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日 期：</w:t>
      </w:r>
    </w:p>
    <w:p>
      <w:pPr>
        <w:spacing w:line="360" w:lineRule="auto"/>
        <w:jc w:val="left"/>
        <w:rPr>
          <w:rFonts w:ascii="宋体" w:hAnsi="宋体" w:cs="宋体"/>
          <w:bCs/>
          <w:color w:val="auto"/>
          <w:sz w:val="24"/>
          <w:highlight w:val="none"/>
        </w:rPr>
      </w:pPr>
    </w:p>
    <w:p>
      <w:pPr>
        <w:spacing w:line="360" w:lineRule="auto"/>
        <w:jc w:val="left"/>
        <w:rPr>
          <w:rFonts w:ascii="宋体" w:hAnsi="宋体" w:cs="宋体"/>
          <w:bCs/>
          <w:color w:val="auto"/>
          <w:sz w:val="24"/>
          <w:highlight w:val="none"/>
        </w:rPr>
      </w:pPr>
    </w:p>
    <w:p>
      <w:pPr>
        <w:spacing w:line="360" w:lineRule="auto"/>
        <w:jc w:val="left"/>
        <w:rPr>
          <w:rFonts w:ascii="宋体" w:hAnsi="宋体" w:cs="宋体"/>
          <w:bCs/>
          <w:color w:val="auto"/>
          <w:sz w:val="24"/>
          <w:highlight w:val="none"/>
        </w:rPr>
      </w:pPr>
    </w:p>
    <w:p>
      <w:pPr>
        <w:spacing w:line="360" w:lineRule="auto"/>
        <w:jc w:val="left"/>
        <w:rPr>
          <w:rFonts w:ascii="宋体" w:hAnsi="宋体" w:cs="宋体"/>
          <w:bCs/>
          <w:color w:val="auto"/>
          <w:sz w:val="24"/>
          <w:highlight w:val="none"/>
        </w:rPr>
      </w:pPr>
    </w:p>
    <w:p>
      <w:pPr>
        <w:spacing w:line="360" w:lineRule="auto"/>
        <w:jc w:val="left"/>
        <w:rPr>
          <w:rFonts w:ascii="宋体" w:hAnsi="宋体" w:cs="宋体"/>
          <w:bCs/>
          <w:color w:val="auto"/>
          <w:sz w:val="24"/>
          <w:highlight w:val="none"/>
        </w:rPr>
      </w:pPr>
    </w:p>
    <w:p>
      <w:pPr>
        <w:spacing w:line="360" w:lineRule="auto"/>
        <w:jc w:val="left"/>
        <w:rPr>
          <w:rFonts w:ascii="宋体" w:hAnsi="宋体" w:cs="宋体"/>
          <w:bCs/>
          <w:color w:val="auto"/>
          <w:sz w:val="24"/>
          <w:highlight w:val="none"/>
        </w:rPr>
      </w:pPr>
    </w:p>
    <w:p>
      <w:pPr>
        <w:pStyle w:val="19"/>
        <w:rPr>
          <w:color w:val="auto"/>
          <w:highlight w:val="none"/>
        </w:rPr>
      </w:pPr>
    </w:p>
    <w:p>
      <w:pPr>
        <w:spacing w:line="360" w:lineRule="auto"/>
        <w:jc w:val="left"/>
        <w:rPr>
          <w:rFonts w:ascii="宋体" w:hAnsi="宋体" w:cs="宋体"/>
          <w:bCs/>
          <w:color w:val="auto"/>
          <w:sz w:val="24"/>
          <w:highlight w:val="none"/>
        </w:rPr>
      </w:pPr>
    </w:p>
    <w:p>
      <w:pPr>
        <w:spacing w:line="360" w:lineRule="auto"/>
        <w:ind w:left="-2" w:hanging="2"/>
        <w:jc w:val="center"/>
        <w:rPr>
          <w:rFonts w:ascii="宋体" w:hAnsi="宋体" w:cs="宋体"/>
          <w:b/>
          <w:color w:val="auto"/>
          <w:sz w:val="32"/>
          <w:szCs w:val="32"/>
          <w:highlight w:val="none"/>
          <w:lang w:val="en-GB"/>
        </w:rPr>
      </w:pPr>
      <w:r>
        <w:rPr>
          <w:rFonts w:hint="eastAsia" w:ascii="宋体" w:hAnsi="宋体" w:cs="宋体"/>
          <w:b/>
          <w:color w:val="auto"/>
          <w:sz w:val="32"/>
          <w:szCs w:val="32"/>
          <w:highlight w:val="none"/>
          <w:lang w:val="en-GB"/>
        </w:rPr>
        <w:t>残疾人福利性单位声明函</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pPr>
        <w:spacing w:line="360" w:lineRule="auto"/>
        <w:ind w:firstLine="480" w:firstLineChars="200"/>
        <w:rPr>
          <w:rFonts w:ascii="宋体" w:hAnsi="宋体" w:cs="宋体"/>
          <w:color w:val="auto"/>
          <w:sz w:val="24"/>
          <w:highlight w:val="none"/>
        </w:rPr>
      </w:pPr>
    </w:p>
    <w:p>
      <w:pPr>
        <w:spacing w:line="360" w:lineRule="auto"/>
        <w:ind w:firstLine="3840" w:firstLineChars="1600"/>
        <w:rPr>
          <w:rFonts w:ascii="宋体" w:hAnsi="宋体" w:cs="宋体"/>
          <w:bCs/>
          <w:color w:val="auto"/>
          <w:sz w:val="24"/>
          <w:highlight w:val="none"/>
        </w:rPr>
      </w:pPr>
      <w:r>
        <w:rPr>
          <w:rFonts w:hint="eastAsia" w:ascii="宋体" w:hAnsi="宋体" w:cs="宋体"/>
          <w:bCs/>
          <w:color w:val="auto"/>
          <w:sz w:val="24"/>
          <w:highlight w:val="none"/>
        </w:rPr>
        <w:t>单位名称（单位公章</w:t>
      </w:r>
      <w:r>
        <w:rPr>
          <w:rFonts w:hint="eastAsia" w:ascii="宋体" w:hAnsi="宋体" w:cs="宋体"/>
          <w:bCs/>
          <w:color w:val="auto"/>
          <w:sz w:val="24"/>
          <w:highlight w:val="none"/>
          <w:lang w:eastAsia="zh-CN"/>
        </w:rPr>
        <w:t>）</w:t>
      </w:r>
      <w:r>
        <w:rPr>
          <w:rFonts w:hint="eastAsia" w:ascii="宋体" w:hAnsi="宋体" w:cs="宋体"/>
          <w:bCs/>
          <w:color w:val="auto"/>
          <w:sz w:val="24"/>
          <w:highlight w:val="none"/>
        </w:rPr>
        <w:t>：</w:t>
      </w:r>
    </w:p>
    <w:p>
      <w:pPr>
        <w:spacing w:line="360" w:lineRule="auto"/>
        <w:jc w:val="right"/>
        <w:rPr>
          <w:rFonts w:hint="eastAsia" w:ascii="宋体" w:hAnsi="宋体" w:cs="宋体"/>
          <w:bCs/>
          <w:color w:val="auto"/>
          <w:sz w:val="24"/>
          <w:highlight w:val="none"/>
        </w:rPr>
      </w:pPr>
      <w:r>
        <w:rPr>
          <w:rFonts w:hint="eastAsia" w:ascii="宋体" w:hAnsi="宋体" w:cs="宋体"/>
          <w:bCs/>
          <w:color w:val="auto"/>
          <w:sz w:val="24"/>
          <w:highlight w:val="none"/>
        </w:rPr>
        <w:t>日期：</w:t>
      </w:r>
      <w:r>
        <w:rPr>
          <w:rFonts w:hint="eastAsia" w:ascii="宋体" w:hAnsi="宋体" w:cs="宋体"/>
          <w:bCs/>
          <w:color w:val="auto"/>
          <w:sz w:val="24"/>
          <w:highlight w:val="none"/>
          <w:lang w:val="en-US" w:eastAsia="zh-CN"/>
        </w:rPr>
        <w:t xml:space="preserve">    </w:t>
      </w:r>
      <w:r>
        <w:rPr>
          <w:rFonts w:hint="eastAsia" w:ascii="宋体" w:hAnsi="宋体" w:cs="宋体"/>
          <w:bCs/>
          <w:color w:val="auto"/>
          <w:sz w:val="24"/>
          <w:highlight w:val="none"/>
        </w:rPr>
        <w:t>年</w:t>
      </w:r>
      <w:r>
        <w:rPr>
          <w:rFonts w:hint="eastAsia" w:ascii="宋体" w:hAnsi="宋体" w:cs="宋体"/>
          <w:bCs/>
          <w:color w:val="auto"/>
          <w:sz w:val="24"/>
          <w:highlight w:val="none"/>
          <w:lang w:val="en-US" w:eastAsia="zh-CN"/>
        </w:rPr>
        <w:t xml:space="preserve">    </w:t>
      </w:r>
      <w:r>
        <w:rPr>
          <w:rFonts w:hint="eastAsia" w:ascii="宋体" w:hAnsi="宋体" w:cs="宋体"/>
          <w:bCs/>
          <w:color w:val="auto"/>
          <w:sz w:val="24"/>
          <w:highlight w:val="none"/>
        </w:rPr>
        <w:t>月</w:t>
      </w:r>
      <w:r>
        <w:rPr>
          <w:rFonts w:hint="eastAsia" w:ascii="宋体" w:hAnsi="宋体" w:cs="宋体"/>
          <w:bCs/>
          <w:color w:val="auto"/>
          <w:sz w:val="24"/>
          <w:highlight w:val="none"/>
          <w:lang w:val="en-US" w:eastAsia="zh-CN"/>
        </w:rPr>
        <w:t xml:space="preserve">  </w:t>
      </w:r>
      <w:r>
        <w:rPr>
          <w:rFonts w:hint="eastAsia" w:ascii="宋体" w:hAnsi="宋体" w:cs="宋体"/>
          <w:bCs/>
          <w:color w:val="auto"/>
          <w:sz w:val="24"/>
          <w:highlight w:val="none"/>
        </w:rPr>
        <w:t>日</w:t>
      </w:r>
    </w:p>
    <w:p>
      <w:pPr>
        <w:shd w:val="clear" w:color="auto" w:fill="auto"/>
        <w:spacing w:line="360" w:lineRule="auto"/>
        <w:rPr>
          <w:rFonts w:hint="eastAsia" w:ascii="宋体" w:hAnsi="宋体" w:eastAsia="宋体" w:cs="宋体"/>
          <w:color w:val="auto"/>
          <w:sz w:val="24"/>
          <w:szCs w:val="24"/>
          <w:highlight w:val="none"/>
        </w:rPr>
      </w:pPr>
    </w:p>
    <w:p>
      <w:pPr>
        <w:shd w:val="clear" w:color="auto" w:fill="auto"/>
        <w:spacing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eastAsia="zh-CN"/>
        </w:rPr>
        <w:t>中小</w:t>
      </w:r>
      <w:r>
        <w:rPr>
          <w:rFonts w:hint="eastAsia" w:ascii="宋体" w:hAnsi="宋体" w:eastAsia="宋体" w:cs="宋体"/>
          <w:b/>
          <w:bCs/>
          <w:color w:val="auto"/>
          <w:sz w:val="24"/>
          <w:szCs w:val="24"/>
          <w:highlight w:val="none"/>
        </w:rPr>
        <w:t>企业等声明函填表说明：</w:t>
      </w:r>
    </w:p>
    <w:p>
      <w:pPr>
        <w:numPr>
          <w:ilvl w:val="0"/>
          <w:numId w:val="0"/>
        </w:numPr>
        <w:shd w:val="clear" w:color="auto" w:fill="auto"/>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标的设备分别由不同制造商制造的，请按序号填写齐全所有标的</w:t>
      </w:r>
      <w:r>
        <w:rPr>
          <w:rFonts w:hint="eastAsia" w:ascii="宋体" w:hAnsi="宋体" w:eastAsia="宋体" w:cs="宋体"/>
          <w:b/>
          <w:bCs/>
          <w:color w:val="auto"/>
          <w:sz w:val="24"/>
          <w:szCs w:val="24"/>
          <w:highlight w:val="none"/>
          <w:u w:val="single"/>
        </w:rPr>
        <w:t>货物制造商</w:t>
      </w:r>
      <w:r>
        <w:rPr>
          <w:rFonts w:hint="eastAsia" w:ascii="宋体" w:hAnsi="宋体" w:eastAsia="宋体" w:cs="宋体"/>
          <w:color w:val="auto"/>
          <w:sz w:val="24"/>
          <w:szCs w:val="24"/>
          <w:highlight w:val="none"/>
        </w:rPr>
        <w:t>的信息。</w:t>
      </w:r>
    </w:p>
    <w:p>
      <w:pPr>
        <w:numPr>
          <w:ilvl w:val="0"/>
          <w:numId w:val="0"/>
        </w:numPr>
        <w:shd w:val="clear" w:color="auto" w:fill="auto"/>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从业人员、营业收入、资产总额填报上一年度数据，无上一年度数据的新成立企业可不填报。</w:t>
      </w:r>
    </w:p>
    <w:p>
      <w:pPr>
        <w:numPr>
          <w:ilvl w:val="0"/>
          <w:numId w:val="0"/>
        </w:numPr>
        <w:shd w:val="clear" w:color="auto" w:fill="auto"/>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为了更加准确判定制造商是否为小微企业，请</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根据工业和信息化部官方网站---中小企业规模类型自测小程序来辨别制造商企业规模类型，中小企业规模类型自测小程序链接网址为</w:t>
      </w:r>
    </w:p>
    <w:p>
      <w:pPr>
        <w:numPr>
          <w:ilvl w:val="0"/>
          <w:numId w:val="0"/>
        </w:numPr>
        <w:shd w:val="clear" w:color="auto" w:fill="auto"/>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"http://202.106.120.146/baosong/appweb/orgScale.html" </w:instrText>
      </w:r>
      <w:r>
        <w:rPr>
          <w:rFonts w:hint="eastAsia" w:ascii="宋体" w:hAnsi="宋体" w:eastAsia="宋体" w:cs="宋体"/>
          <w:color w:val="auto"/>
          <w:sz w:val="24"/>
          <w:szCs w:val="24"/>
          <w:highlight w:val="none"/>
        </w:rPr>
        <w:fldChar w:fldCharType="separate"/>
      </w:r>
      <w:r>
        <w:rPr>
          <w:rStyle w:val="22"/>
          <w:rFonts w:hint="eastAsia" w:ascii="宋体" w:hAnsi="宋体" w:eastAsia="宋体" w:cs="宋体"/>
          <w:color w:val="auto"/>
          <w:sz w:val="24"/>
          <w:szCs w:val="24"/>
          <w:highlight w:val="none"/>
        </w:rPr>
        <w:t>http://202.106.120.146/baosong/appweb/orgScale.html</w:t>
      </w:r>
      <w:r>
        <w:rPr>
          <w:rFonts w:hint="eastAsia" w:ascii="宋体" w:hAnsi="宋体" w:eastAsia="宋体" w:cs="宋体"/>
          <w:color w:val="auto"/>
          <w:sz w:val="24"/>
          <w:szCs w:val="24"/>
          <w:highlight w:val="none"/>
        </w:rPr>
        <w:fldChar w:fldCharType="end"/>
      </w:r>
    </w:p>
    <w:p>
      <w:pPr>
        <w:numPr>
          <w:ilvl w:val="0"/>
          <w:numId w:val="0"/>
        </w:numPr>
        <w:shd w:val="clear" w:color="auto" w:fill="auto"/>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未提供《中小企业声明函》的、《中小企业声明函》中内容应填写而未进行填写或未如实填写的，将不给予</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小微企业报价优惠扣除。</w:t>
      </w:r>
    </w:p>
    <w:p>
      <w:pPr>
        <w:numPr>
          <w:ilvl w:val="0"/>
          <w:numId w:val="0"/>
        </w:numPr>
        <w:shd w:val="clear" w:color="auto" w:fill="auto"/>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预</w:t>
      </w:r>
      <w:r>
        <w:rPr>
          <w:rFonts w:hint="eastAsia" w:ascii="宋体" w:hAnsi="宋体" w:eastAsia="宋体" w:cs="宋体"/>
          <w:color w:val="auto"/>
          <w:sz w:val="24"/>
          <w:szCs w:val="24"/>
          <w:highlight w:val="none"/>
          <w:lang w:val="en-US" w:eastAsia="zh-CN"/>
        </w:rPr>
        <w:t>中标供应商</w:t>
      </w:r>
      <w:r>
        <w:rPr>
          <w:rFonts w:hint="eastAsia" w:ascii="宋体" w:hAnsi="宋体" w:eastAsia="宋体" w:cs="宋体"/>
          <w:color w:val="auto"/>
          <w:sz w:val="24"/>
          <w:szCs w:val="24"/>
          <w:highlight w:val="none"/>
        </w:rPr>
        <w:t>享受小微企业报价优惠扣除的，将按规定公开</w:t>
      </w:r>
      <w:r>
        <w:rPr>
          <w:rFonts w:hint="eastAsia" w:ascii="宋体" w:hAnsi="宋体" w:eastAsia="宋体" w:cs="宋体"/>
          <w:color w:val="auto"/>
          <w:sz w:val="24"/>
          <w:szCs w:val="24"/>
          <w:highlight w:val="none"/>
          <w:lang w:val="en-US" w:eastAsia="zh-CN"/>
        </w:rPr>
        <w:t>预中标供应商</w:t>
      </w:r>
      <w:r>
        <w:rPr>
          <w:rFonts w:hint="eastAsia" w:ascii="宋体" w:hAnsi="宋体" w:eastAsia="宋体" w:cs="宋体"/>
          <w:color w:val="auto"/>
          <w:sz w:val="24"/>
          <w:szCs w:val="24"/>
          <w:highlight w:val="none"/>
        </w:rPr>
        <w:t>的《中小企业声明函》。</w:t>
      </w:r>
    </w:p>
    <w:p>
      <w:pPr>
        <w:numPr>
          <w:ilvl w:val="0"/>
          <w:numId w:val="0"/>
        </w:numPr>
        <w:shd w:val="clear" w:color="auto" w:fill="auto"/>
        <w:spacing w:line="360" w:lineRule="auto"/>
        <w:ind w:firstLine="480" w:firstLineChars="200"/>
        <w:rPr>
          <w:rFonts w:hint="eastAsia" w:ascii="宋体" w:hAnsi="宋体" w:eastAsia="宋体" w:cs="宋体"/>
          <w:b w:val="0"/>
          <w:bCs w:val="0"/>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如国家对中小企业划型标准有新的规定的，从其规定。</w:t>
      </w:r>
    </w:p>
    <w:p>
      <w:pPr>
        <w:numPr>
          <w:ilvl w:val="0"/>
          <w:numId w:val="0"/>
        </w:numPr>
        <w:shd w:val="clear" w:color="auto" w:fill="auto"/>
        <w:spacing w:line="360" w:lineRule="auto"/>
        <w:rPr>
          <w:rFonts w:hint="eastAsia" w:ascii="宋体" w:hAnsi="宋体" w:eastAsia="宋体" w:cs="宋体"/>
          <w:color w:val="auto"/>
          <w:sz w:val="24"/>
          <w:szCs w:val="24"/>
          <w:highlight w:val="none"/>
          <w:lang w:eastAsia="zh-CN"/>
        </w:rPr>
      </w:pPr>
    </w:p>
    <w:p>
      <w:pPr>
        <w:numPr>
          <w:ilvl w:val="0"/>
          <w:numId w:val="0"/>
        </w:numPr>
        <w:shd w:val="clear" w:color="auto" w:fill="auto"/>
        <w:spacing w:line="360" w:lineRule="auto"/>
        <w:rPr>
          <w:rFonts w:hint="eastAsia" w:ascii="宋体" w:hAnsi="宋体" w:eastAsia="宋体" w:cs="宋体"/>
          <w:color w:val="auto"/>
          <w:sz w:val="24"/>
          <w:szCs w:val="24"/>
          <w:highlight w:val="none"/>
          <w:lang w:eastAsia="zh-CN"/>
        </w:rPr>
      </w:pPr>
    </w:p>
    <w:p>
      <w:pPr>
        <w:numPr>
          <w:ilvl w:val="0"/>
          <w:numId w:val="0"/>
        </w:numPr>
        <w:shd w:val="clear" w:color="auto" w:fill="auto"/>
        <w:spacing w:line="360" w:lineRule="auto"/>
        <w:rPr>
          <w:rFonts w:hint="eastAsia" w:ascii="宋体" w:hAnsi="宋体" w:eastAsia="宋体" w:cs="宋体"/>
          <w:color w:val="auto"/>
          <w:sz w:val="24"/>
          <w:szCs w:val="24"/>
          <w:highlight w:val="none"/>
          <w:lang w:eastAsia="zh-CN"/>
        </w:rPr>
      </w:pPr>
    </w:p>
    <w:p>
      <w:pPr>
        <w:numPr>
          <w:ilvl w:val="0"/>
          <w:numId w:val="0"/>
        </w:numPr>
        <w:shd w:val="clear" w:color="auto" w:fill="auto"/>
        <w:spacing w:line="360" w:lineRule="auto"/>
        <w:rPr>
          <w:rFonts w:hint="eastAsia" w:ascii="宋体" w:hAnsi="宋体" w:eastAsia="宋体" w:cs="宋体"/>
          <w:color w:val="auto"/>
          <w:sz w:val="24"/>
          <w:szCs w:val="24"/>
          <w:highlight w:val="none"/>
          <w:lang w:eastAsia="zh-CN"/>
        </w:rPr>
      </w:pPr>
    </w:p>
    <w:p>
      <w:pPr>
        <w:keepNext w:val="0"/>
        <w:keepLines w:val="0"/>
        <w:pageBreakBefore w:val="0"/>
        <w:widowControl w:val="0"/>
        <w:kinsoku/>
        <w:wordWrap/>
        <w:overflowPunct/>
        <w:topLinePunct w:val="0"/>
        <w:autoSpaceDE/>
        <w:autoSpaceDN/>
        <w:bidi w:val="0"/>
        <w:adjustRightInd/>
        <w:snapToGrid/>
        <w:spacing w:line="420" w:lineRule="exact"/>
        <w:jc w:val="both"/>
        <w:textAlignment w:val="auto"/>
        <w:rPr>
          <w:rFonts w:hint="eastAsia" w:ascii="宋体" w:hAnsi="宋体" w:cs="宋体"/>
          <w:b/>
          <w:bCs/>
          <w:color w:val="auto"/>
          <w:sz w:val="28"/>
          <w:szCs w:val="36"/>
          <w:highlight w:val="none"/>
          <w:lang w:val="en-GB" w:eastAsia="zh-CN"/>
        </w:rPr>
      </w:pPr>
      <w:r>
        <w:rPr>
          <w:rFonts w:hint="eastAsia" w:ascii="宋体" w:hAnsi="宋体" w:cs="宋体"/>
          <w:b/>
          <w:bCs/>
          <w:color w:val="auto"/>
          <w:sz w:val="28"/>
          <w:szCs w:val="36"/>
          <w:highlight w:val="none"/>
          <w:lang w:val="en-GB" w:eastAsia="zh-CN"/>
        </w:rPr>
        <w:t>附件：</w:t>
      </w:r>
      <w:r>
        <w:rPr>
          <w:rFonts w:hint="eastAsia" w:ascii="宋体" w:hAnsi="宋体" w:cs="宋体"/>
          <w:b/>
          <w:bCs/>
          <w:color w:val="auto"/>
          <w:sz w:val="28"/>
          <w:szCs w:val="36"/>
          <w:highlight w:val="none"/>
          <w:lang w:val="en-US" w:eastAsia="zh-CN"/>
        </w:rPr>
        <w:t xml:space="preserve">                </w:t>
      </w:r>
      <w:r>
        <w:rPr>
          <w:rFonts w:hint="eastAsia" w:ascii="宋体" w:hAnsi="宋体" w:cs="宋体"/>
          <w:b/>
          <w:bCs/>
          <w:color w:val="auto"/>
          <w:sz w:val="28"/>
          <w:szCs w:val="36"/>
          <w:highlight w:val="none"/>
          <w:lang w:val="en-GB" w:eastAsia="zh-CN"/>
        </w:rPr>
        <w:t>政府采购活动确认声明书</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cs="宋体"/>
          <w:color w:val="auto"/>
          <w:sz w:val="24"/>
          <w:highlight w:val="none"/>
        </w:rPr>
      </w:pPr>
      <w:r>
        <w:rPr>
          <w:rFonts w:hint="eastAsia" w:ascii="宋体" w:hAnsi="宋体" w:cs="宋体"/>
          <w:color w:val="auto"/>
          <w:sz w:val="24"/>
          <w:highlight w:val="none"/>
          <w:u w:val="single"/>
        </w:rPr>
        <w:t>浙江五石中正工程咨询有限公司</w:t>
      </w:r>
      <w:r>
        <w:rPr>
          <w:rFonts w:hint="eastAsia" w:ascii="宋体" w:hAnsi="宋体" w:cs="宋体"/>
          <w:color w:val="auto"/>
          <w:sz w:val="24"/>
          <w:highlight w:val="none"/>
        </w:rPr>
        <w:t>（采购组织机构名称）：</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cs="宋体"/>
          <w:color w:val="auto"/>
          <w:sz w:val="24"/>
          <w:highlight w:val="none"/>
          <w:u w:val="none"/>
          <w:lang w:val="zh-CN"/>
        </w:rPr>
      </w:pPr>
      <w:r>
        <w:rPr>
          <w:rFonts w:hint="eastAsia" w:ascii="宋体" w:hAnsi="宋体" w:cs="宋体"/>
          <w:color w:val="auto"/>
          <w:sz w:val="24"/>
          <w:highlight w:val="none"/>
          <w:u w:val="none"/>
          <w:lang w:val="zh-CN"/>
        </w:rPr>
        <w:t>本人经由</w:t>
      </w: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u w:val="none"/>
          <w:lang w:val="zh-CN"/>
        </w:rPr>
        <w:t>单位</w:t>
      </w: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u w:val="none"/>
          <w:lang w:val="zh-CN"/>
        </w:rPr>
        <w:t>（法人代表）合法授权参加</w:t>
      </w:r>
      <w:r>
        <w:rPr>
          <w:rFonts w:hint="eastAsia" w:ascii="宋体" w:hAnsi="宋体" w:cs="宋体"/>
          <w:b/>
          <w:bCs/>
          <w:color w:val="auto"/>
          <w:sz w:val="24"/>
          <w:highlight w:val="none"/>
          <w:u w:val="single"/>
          <w:lang w:val="zh-CN"/>
        </w:rPr>
        <w:t>“数字黄岩”智慧城市基础设施提升工程--智慧公安（基层治理能力提升工程-行指舆情）</w:t>
      </w:r>
      <w:r>
        <w:rPr>
          <w:rFonts w:hint="eastAsia" w:ascii="宋体" w:hAnsi="宋体" w:cs="宋体"/>
          <w:color w:val="auto"/>
          <w:sz w:val="24"/>
          <w:highlight w:val="none"/>
          <w:u w:val="none"/>
          <w:lang w:val="zh-CN"/>
        </w:rPr>
        <w:t>（</w:t>
      </w:r>
      <w:r>
        <w:rPr>
          <w:rFonts w:hint="eastAsia" w:ascii="宋体" w:hAnsi="宋体" w:cs="宋体"/>
          <w:color w:val="auto"/>
          <w:sz w:val="24"/>
          <w:highlight w:val="none"/>
          <w:u w:val="none"/>
        </w:rPr>
        <w:t>项目</w:t>
      </w:r>
      <w:r>
        <w:rPr>
          <w:rFonts w:hint="eastAsia" w:ascii="宋体" w:hAnsi="宋体" w:cs="宋体"/>
          <w:color w:val="auto"/>
          <w:sz w:val="24"/>
          <w:highlight w:val="none"/>
          <w:u w:val="none"/>
          <w:lang w:val="zh-CN"/>
        </w:rPr>
        <w:t>编号：</w:t>
      </w:r>
      <w:r>
        <w:rPr>
          <w:rFonts w:hint="eastAsia" w:ascii="宋体" w:hAnsi="宋体" w:cs="宋体"/>
          <w:b/>
          <w:bCs/>
          <w:color w:val="auto"/>
          <w:sz w:val="24"/>
          <w:highlight w:val="none"/>
          <w:u w:val="single"/>
          <w:lang w:val="zh-CN"/>
        </w:rPr>
        <w:t>ZJWS2022-HYCMJT09</w:t>
      </w:r>
      <w:r>
        <w:rPr>
          <w:rFonts w:hint="eastAsia" w:ascii="宋体" w:hAnsi="宋体" w:cs="宋体"/>
          <w:color w:val="auto"/>
          <w:sz w:val="24"/>
          <w:highlight w:val="none"/>
          <w:u w:val="none"/>
          <w:lang w:val="zh-CN"/>
        </w:rPr>
        <w:t>）政府采购活动，经与本单位法人代表（负责人）联系确认，现就有关公平竞争事项郑重声明如下：</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cs="宋体"/>
          <w:color w:val="auto"/>
          <w:sz w:val="24"/>
          <w:highlight w:val="none"/>
          <w:u w:val="none"/>
        </w:rPr>
      </w:pPr>
      <w:r>
        <w:rPr>
          <w:rFonts w:hint="eastAsia" w:ascii="宋体" w:hAnsi="宋体" w:cs="宋体"/>
          <w:color w:val="auto"/>
          <w:sz w:val="24"/>
          <w:highlight w:val="none"/>
          <w:u w:val="none"/>
        </w:rPr>
        <w:t>一、本单位与采购人之间</w:t>
      </w:r>
      <w:r>
        <w:rPr>
          <w:rFonts w:hint="eastAsia" w:ascii="宋体" w:hAnsi="宋体" w:cs="宋体"/>
          <w:color w:val="auto"/>
          <w:sz w:val="24"/>
          <w:highlight w:val="none"/>
          <w:u w:val="none"/>
          <w:lang w:val="en-US" w:eastAsia="zh-CN"/>
        </w:rPr>
        <w:t xml:space="preserve"> </w:t>
      </w:r>
      <w:r>
        <w:rPr>
          <w:rFonts w:hint="eastAsia" w:ascii="宋体" w:hAnsi="宋体" w:cs="宋体"/>
          <w:color w:val="auto"/>
          <w:sz w:val="24"/>
          <w:highlight w:val="none"/>
          <w:u w:val="none"/>
        </w:rPr>
        <w:t>□不存在利害关系</w:t>
      </w:r>
      <w:r>
        <w:rPr>
          <w:rFonts w:hint="eastAsia" w:ascii="宋体" w:hAnsi="宋体" w:cs="宋体"/>
          <w:color w:val="auto"/>
          <w:sz w:val="24"/>
          <w:highlight w:val="none"/>
          <w:u w:val="none"/>
          <w:lang w:val="en-US" w:eastAsia="zh-CN"/>
        </w:rPr>
        <w:t xml:space="preserve"> </w:t>
      </w:r>
      <w:r>
        <w:rPr>
          <w:rFonts w:hint="eastAsia" w:ascii="宋体" w:hAnsi="宋体" w:cs="宋体"/>
          <w:color w:val="auto"/>
          <w:sz w:val="24"/>
          <w:highlight w:val="none"/>
          <w:u w:val="none"/>
        </w:rPr>
        <w:t>□存在下列利害关系</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none"/>
        </w:rPr>
        <w:t>：</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cs="宋体"/>
          <w:color w:val="auto"/>
          <w:sz w:val="24"/>
          <w:highlight w:val="none"/>
          <w:u w:val="none"/>
        </w:rPr>
      </w:pPr>
      <w:r>
        <w:rPr>
          <w:rFonts w:hint="eastAsia" w:ascii="宋体" w:hAnsi="宋体" w:cs="宋体"/>
          <w:color w:val="auto"/>
          <w:sz w:val="24"/>
          <w:highlight w:val="none"/>
          <w:u w:val="none"/>
        </w:rPr>
        <w:t>A.投资关系</w:t>
      </w:r>
      <w:r>
        <w:rPr>
          <w:rFonts w:hint="eastAsia" w:ascii="宋体" w:hAnsi="宋体" w:cs="宋体"/>
          <w:color w:val="auto"/>
          <w:sz w:val="24"/>
          <w:highlight w:val="none"/>
          <w:u w:val="none"/>
          <w:lang w:val="en-US" w:eastAsia="zh-CN"/>
        </w:rPr>
        <w:t xml:space="preserve">    </w:t>
      </w:r>
      <w:r>
        <w:rPr>
          <w:rFonts w:hint="eastAsia" w:ascii="宋体" w:hAnsi="宋体" w:cs="宋体"/>
          <w:color w:val="auto"/>
          <w:sz w:val="24"/>
          <w:highlight w:val="none"/>
          <w:u w:val="none"/>
        </w:rPr>
        <w:t>B.行政隶属关系</w:t>
      </w:r>
      <w:r>
        <w:rPr>
          <w:rFonts w:hint="eastAsia" w:ascii="宋体" w:hAnsi="宋体" w:cs="宋体"/>
          <w:color w:val="auto"/>
          <w:sz w:val="24"/>
          <w:highlight w:val="none"/>
          <w:u w:val="none"/>
          <w:lang w:val="en-US" w:eastAsia="zh-CN"/>
        </w:rPr>
        <w:t xml:space="preserve">    </w:t>
      </w:r>
      <w:r>
        <w:rPr>
          <w:rFonts w:hint="eastAsia" w:ascii="宋体" w:hAnsi="宋体" w:cs="宋体"/>
          <w:color w:val="auto"/>
          <w:sz w:val="24"/>
          <w:highlight w:val="none"/>
          <w:u w:val="none"/>
        </w:rPr>
        <w:t>C.业务指导关系</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cs="宋体"/>
          <w:color w:val="auto"/>
          <w:sz w:val="24"/>
          <w:highlight w:val="none"/>
          <w:u w:val="none"/>
        </w:rPr>
      </w:pPr>
      <w:r>
        <w:rPr>
          <w:rFonts w:hint="eastAsia" w:ascii="宋体" w:hAnsi="宋体" w:cs="宋体"/>
          <w:color w:val="auto"/>
          <w:sz w:val="24"/>
          <w:highlight w:val="none"/>
          <w:u w:val="none"/>
        </w:rPr>
        <w:t>D.其他可能影响采购公正的利害关系</w:t>
      </w:r>
      <w:r>
        <w:rPr>
          <w:rFonts w:hint="eastAsia" w:ascii="宋体" w:hAnsi="宋体" w:cs="宋体"/>
          <w:color w:val="auto"/>
          <w:sz w:val="24"/>
          <w:highlight w:val="none"/>
          <w:u w:val="none"/>
          <w:lang w:eastAsia="zh-CN"/>
        </w:rPr>
        <w:t>（如有，请如实说明）</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none"/>
        </w:rPr>
        <w:t>。</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cs="宋体"/>
          <w:color w:val="auto"/>
          <w:sz w:val="24"/>
          <w:highlight w:val="none"/>
          <w:u w:val="none"/>
        </w:rPr>
      </w:pPr>
      <w:r>
        <w:rPr>
          <w:rFonts w:hint="eastAsia" w:ascii="宋体" w:hAnsi="宋体" w:cs="宋体"/>
          <w:color w:val="auto"/>
          <w:sz w:val="24"/>
          <w:highlight w:val="none"/>
          <w:u w:val="none"/>
        </w:rPr>
        <w:t>二、现已清楚知道参加本项目采购活动的其他所有供应商名称，本单位</w:t>
      </w:r>
      <w:r>
        <w:rPr>
          <w:rFonts w:hint="eastAsia" w:ascii="宋体" w:hAnsi="宋体" w:cs="宋体"/>
          <w:color w:val="auto"/>
          <w:sz w:val="24"/>
          <w:highlight w:val="none"/>
          <w:u w:val="none"/>
          <w:lang w:val="en-US" w:eastAsia="zh-CN"/>
        </w:rPr>
        <w:t xml:space="preserve"> </w:t>
      </w:r>
      <w:r>
        <w:rPr>
          <w:rFonts w:hint="eastAsia" w:ascii="宋体" w:hAnsi="宋体" w:cs="宋体"/>
          <w:color w:val="auto"/>
          <w:sz w:val="24"/>
          <w:highlight w:val="none"/>
          <w:u w:val="none"/>
        </w:rPr>
        <w:t>□与其他所有供应商之间均不存在利害关系</w:t>
      </w:r>
      <w:r>
        <w:rPr>
          <w:rFonts w:hint="eastAsia" w:ascii="宋体" w:hAnsi="宋体" w:cs="宋体"/>
          <w:color w:val="auto"/>
          <w:sz w:val="24"/>
          <w:highlight w:val="none"/>
          <w:u w:val="none"/>
          <w:lang w:val="en-US" w:eastAsia="zh-CN"/>
        </w:rPr>
        <w:t xml:space="preserve"> </w:t>
      </w:r>
      <w:r>
        <w:rPr>
          <w:rFonts w:hint="eastAsia" w:ascii="宋体" w:hAnsi="宋体" w:cs="宋体"/>
          <w:color w:val="auto"/>
          <w:sz w:val="24"/>
          <w:highlight w:val="none"/>
          <w:u w:val="none"/>
        </w:rPr>
        <w:t>□与</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none"/>
          <w:lang w:val="en-US" w:eastAsia="zh-CN"/>
        </w:rPr>
        <w:t>（供应商名称）</w:t>
      </w:r>
      <w:r>
        <w:rPr>
          <w:rFonts w:hint="eastAsia" w:ascii="宋体" w:hAnsi="宋体" w:cs="宋体"/>
          <w:color w:val="auto"/>
          <w:sz w:val="24"/>
          <w:highlight w:val="none"/>
          <w:u w:val="none"/>
        </w:rPr>
        <w:t>之间存在下列利害关系</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none"/>
        </w:rPr>
        <w:t>：</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cs="宋体"/>
          <w:color w:val="auto"/>
          <w:sz w:val="24"/>
          <w:highlight w:val="none"/>
          <w:u w:val="none"/>
        </w:rPr>
      </w:pPr>
      <w:r>
        <w:rPr>
          <w:rFonts w:hint="eastAsia" w:ascii="宋体" w:hAnsi="宋体" w:cs="宋体"/>
          <w:color w:val="auto"/>
          <w:sz w:val="24"/>
          <w:highlight w:val="none"/>
          <w:u w:val="none"/>
        </w:rPr>
        <w:t>A.法定代表人或负责人或实际控制人是同一人</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cs="宋体"/>
          <w:color w:val="auto"/>
          <w:sz w:val="24"/>
          <w:highlight w:val="none"/>
          <w:u w:val="none"/>
        </w:rPr>
      </w:pPr>
      <w:r>
        <w:rPr>
          <w:rFonts w:hint="eastAsia" w:ascii="宋体" w:hAnsi="宋体" w:cs="宋体"/>
          <w:color w:val="auto"/>
          <w:sz w:val="24"/>
          <w:highlight w:val="none"/>
          <w:u w:val="none"/>
        </w:rPr>
        <w:t>B.法定代表人或负责人或实际控制人是夫妻关系</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cs="宋体"/>
          <w:color w:val="auto"/>
          <w:sz w:val="24"/>
          <w:highlight w:val="none"/>
          <w:u w:val="none"/>
        </w:rPr>
      </w:pPr>
      <w:r>
        <w:rPr>
          <w:rFonts w:hint="eastAsia" w:ascii="宋体" w:hAnsi="宋体" w:cs="宋体"/>
          <w:color w:val="auto"/>
          <w:sz w:val="24"/>
          <w:highlight w:val="none"/>
          <w:u w:val="none"/>
        </w:rPr>
        <w:t>C.法定代表人或负责人或实际控制人是直系血亲关系</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cs="宋体"/>
          <w:color w:val="auto"/>
          <w:sz w:val="24"/>
          <w:highlight w:val="none"/>
          <w:u w:val="none"/>
        </w:rPr>
      </w:pPr>
      <w:r>
        <w:rPr>
          <w:rFonts w:hint="eastAsia" w:ascii="宋体" w:hAnsi="宋体" w:cs="宋体"/>
          <w:color w:val="auto"/>
          <w:sz w:val="24"/>
          <w:highlight w:val="none"/>
          <w:u w:val="none"/>
        </w:rPr>
        <w:t>D.法定代表人或负责人或实际控制人存在三代以内旁系血亲关系</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cs="宋体"/>
          <w:color w:val="auto"/>
          <w:sz w:val="24"/>
          <w:highlight w:val="none"/>
          <w:u w:val="none"/>
        </w:rPr>
      </w:pPr>
      <w:r>
        <w:rPr>
          <w:rFonts w:hint="eastAsia" w:ascii="宋体" w:hAnsi="宋体" w:cs="宋体"/>
          <w:color w:val="auto"/>
          <w:sz w:val="24"/>
          <w:highlight w:val="none"/>
          <w:u w:val="none"/>
        </w:rPr>
        <w:t>E.法定代表人或负责人或实际控制人存在近姻亲关系</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cs="宋体"/>
          <w:color w:val="auto"/>
          <w:sz w:val="24"/>
          <w:highlight w:val="none"/>
          <w:u w:val="none"/>
        </w:rPr>
      </w:pPr>
      <w:r>
        <w:rPr>
          <w:rFonts w:hint="eastAsia" w:ascii="宋体" w:hAnsi="宋体" w:cs="宋体"/>
          <w:color w:val="auto"/>
          <w:sz w:val="24"/>
          <w:highlight w:val="none"/>
          <w:u w:val="none"/>
        </w:rPr>
        <w:t>F.法定代表人或负责人或实际控制人存在股份控制或实际控制关系</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cs="宋体"/>
          <w:color w:val="auto"/>
          <w:sz w:val="24"/>
          <w:highlight w:val="none"/>
          <w:u w:val="none"/>
        </w:rPr>
      </w:pPr>
      <w:r>
        <w:rPr>
          <w:rFonts w:hint="eastAsia" w:ascii="宋体" w:hAnsi="宋体" w:cs="宋体"/>
          <w:color w:val="auto"/>
          <w:sz w:val="24"/>
          <w:highlight w:val="none"/>
          <w:u w:val="none"/>
        </w:rPr>
        <w:t>G.存在共同直接或间接投资设立子公司、联营企业和合营企业情况</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cs="宋体"/>
          <w:color w:val="auto"/>
          <w:sz w:val="24"/>
          <w:highlight w:val="none"/>
          <w:u w:val="none"/>
        </w:rPr>
      </w:pPr>
      <w:r>
        <w:rPr>
          <w:rFonts w:hint="eastAsia" w:ascii="宋体" w:hAnsi="宋体" w:cs="宋体"/>
          <w:color w:val="auto"/>
          <w:sz w:val="24"/>
          <w:highlight w:val="none"/>
          <w:u w:val="none"/>
        </w:rPr>
        <w:t>H.存在分级代理或代销关系、同一生产制造商关系、管理关系、重要业务（占主营业务收入50%以上）或重要财务往来关系（如融资）等其他实质性控制关系</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cs="宋体"/>
          <w:color w:val="auto"/>
          <w:sz w:val="24"/>
          <w:highlight w:val="none"/>
          <w:u w:val="none"/>
        </w:rPr>
      </w:pPr>
      <w:r>
        <w:rPr>
          <w:rFonts w:hint="eastAsia" w:ascii="宋体" w:hAnsi="宋体" w:cs="宋体"/>
          <w:color w:val="auto"/>
          <w:sz w:val="24"/>
          <w:highlight w:val="none"/>
          <w:u w:val="none"/>
        </w:rPr>
        <w:t>I.其他利害关系情况</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none"/>
        </w:rPr>
        <w:t>。</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cs="宋体"/>
          <w:color w:val="auto"/>
          <w:sz w:val="24"/>
          <w:highlight w:val="none"/>
          <w:u w:val="none"/>
        </w:rPr>
      </w:pPr>
      <w:r>
        <w:rPr>
          <w:rFonts w:hint="eastAsia" w:ascii="宋体" w:hAnsi="宋体" w:cs="宋体"/>
          <w:color w:val="auto"/>
          <w:sz w:val="24"/>
          <w:highlight w:val="none"/>
          <w:u w:val="none"/>
        </w:rPr>
        <w:t>三、现已清楚知道并严格遵守政府采购法律法规和现场纪律。</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cs="宋体"/>
          <w:color w:val="auto"/>
          <w:sz w:val="24"/>
          <w:highlight w:val="none"/>
          <w:u w:val="none"/>
        </w:rPr>
      </w:pPr>
      <w:r>
        <w:rPr>
          <w:rFonts w:hint="eastAsia" w:ascii="宋体" w:hAnsi="宋体" w:cs="宋体"/>
          <w:color w:val="auto"/>
          <w:sz w:val="24"/>
          <w:highlight w:val="none"/>
          <w:u w:val="none"/>
        </w:rPr>
        <w:t>四、我发现</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none"/>
        </w:rPr>
        <w:t>供应商之间存在或可能存在上述第二条第</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none"/>
        </w:rPr>
        <w:t>项利害关系。</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b w:val="0"/>
          <w:bCs w:val="0"/>
          <w:color w:val="auto"/>
          <w:sz w:val="24"/>
          <w:highlight w:val="none"/>
          <w:u w:val="none"/>
          <w:lang w:eastAsia="zh-CN"/>
        </w:rPr>
      </w:pPr>
      <w:r>
        <w:rPr>
          <w:rFonts w:hint="eastAsia" w:ascii="宋体" w:hAnsi="宋体" w:cs="宋体"/>
          <w:b w:val="0"/>
          <w:bCs w:val="0"/>
          <w:color w:val="auto"/>
          <w:sz w:val="24"/>
          <w:highlight w:val="none"/>
          <w:u w:val="none"/>
          <w:lang w:eastAsia="zh-CN"/>
        </w:rPr>
        <w:t>五、本单位若有违反诚信投标、采购法律法规等行为，愿意按照招标文件规定接受投标担保的处理。如已中标，自动放弃中标资格；给招标人造成损失的，依法承担赔偿责任。</w:t>
      </w:r>
    </w:p>
    <w:p>
      <w:pPr>
        <w:keepNext w:val="0"/>
        <w:keepLines w:val="0"/>
        <w:pageBreakBefore w:val="0"/>
        <w:widowControl w:val="0"/>
        <w:kinsoku/>
        <w:wordWrap/>
        <w:overflowPunct/>
        <w:topLinePunct w:val="0"/>
        <w:autoSpaceDE/>
        <w:autoSpaceDN/>
        <w:bidi w:val="0"/>
        <w:adjustRightInd/>
        <w:snapToGrid/>
        <w:spacing w:line="420" w:lineRule="exact"/>
        <w:ind w:firstLine="4819" w:firstLineChars="2000"/>
        <w:textAlignment w:val="auto"/>
        <w:rPr>
          <w:rFonts w:hint="eastAsia" w:ascii="宋体" w:hAnsi="宋体" w:cs="宋体"/>
          <w:b/>
          <w:bCs/>
          <w:color w:val="auto"/>
          <w:sz w:val="24"/>
          <w:highlight w:val="none"/>
          <w:u w:val="none"/>
        </w:rPr>
      </w:pPr>
      <w:r>
        <w:rPr>
          <w:rFonts w:hint="eastAsia" w:ascii="宋体" w:hAnsi="宋体" w:cs="宋体"/>
          <w:b/>
          <w:bCs/>
          <w:color w:val="auto"/>
          <w:sz w:val="24"/>
          <w:highlight w:val="none"/>
          <w:u w:val="none"/>
        </w:rPr>
        <w:t>供应商代表签名：</w:t>
      </w:r>
    </w:p>
    <w:p>
      <w:pPr>
        <w:keepNext w:val="0"/>
        <w:keepLines w:val="0"/>
        <w:pageBreakBefore w:val="0"/>
        <w:widowControl w:val="0"/>
        <w:kinsoku/>
        <w:wordWrap/>
        <w:overflowPunct/>
        <w:topLinePunct w:val="0"/>
        <w:autoSpaceDE/>
        <w:autoSpaceDN/>
        <w:bidi w:val="0"/>
        <w:adjustRightInd/>
        <w:snapToGrid/>
        <w:spacing w:line="420" w:lineRule="exact"/>
        <w:jc w:val="right"/>
        <w:textAlignment w:val="auto"/>
        <w:rPr>
          <w:rFonts w:hint="eastAsia" w:ascii="宋体" w:hAnsi="宋体" w:cs="宋体"/>
          <w:color w:val="auto"/>
          <w:sz w:val="24"/>
          <w:highlight w:val="none"/>
          <w:u w:val="none"/>
        </w:rPr>
      </w:pPr>
      <w:r>
        <w:rPr>
          <w:rFonts w:hint="eastAsia" w:ascii="宋体" w:hAnsi="宋体" w:cs="宋体"/>
          <w:color w:val="auto"/>
          <w:sz w:val="24"/>
          <w:highlight w:val="none"/>
          <w:u w:val="none"/>
        </w:rPr>
        <w:t>2022年  月  日</w:t>
      </w:r>
    </w:p>
    <w:p>
      <w:pPr>
        <w:keepNext w:val="0"/>
        <w:keepLines w:val="0"/>
        <w:pageBreakBefore w:val="0"/>
        <w:widowControl w:val="0"/>
        <w:kinsoku/>
        <w:wordWrap/>
        <w:overflowPunct/>
        <w:topLinePunct w:val="0"/>
        <w:autoSpaceDE/>
        <w:autoSpaceDN/>
        <w:bidi w:val="0"/>
        <w:adjustRightInd/>
        <w:snapToGrid/>
        <w:spacing w:line="420" w:lineRule="exact"/>
        <w:ind w:firstLine="482" w:firstLineChars="200"/>
        <w:textAlignment w:val="auto"/>
        <w:rPr>
          <w:rFonts w:hint="eastAsia" w:ascii="宋体" w:hAnsi="宋体" w:eastAsia="宋体" w:cs="宋体"/>
          <w:b/>
          <w:bCs/>
          <w:color w:val="auto"/>
          <w:sz w:val="24"/>
          <w:highlight w:val="none"/>
          <w:u w:val="none"/>
          <w:lang w:eastAsia="zh-CN"/>
        </w:rPr>
      </w:pPr>
      <w:r>
        <w:rPr>
          <w:rFonts w:hint="eastAsia" w:ascii="宋体" w:hAnsi="宋体" w:eastAsia="宋体" w:cs="宋体"/>
          <w:b/>
          <w:bCs/>
          <w:color w:val="auto"/>
          <w:sz w:val="24"/>
          <w:highlight w:val="none"/>
          <w:u w:val="none"/>
          <w:lang w:eastAsia="zh-CN"/>
        </w:rPr>
        <w:t>说明：商务技术文件开启后30分钟内，供应商通过邮件形式将经授权代表签署的《</w:t>
      </w:r>
      <w:r>
        <w:rPr>
          <w:rFonts w:hint="eastAsia" w:ascii="宋体" w:hAnsi="宋体" w:eastAsia="宋体" w:cs="宋体"/>
          <w:b/>
          <w:bCs/>
          <w:color w:val="auto"/>
          <w:sz w:val="24"/>
          <w:highlight w:val="none"/>
          <w:u w:val="none"/>
          <w:lang w:val="en-GB" w:eastAsia="zh-CN"/>
        </w:rPr>
        <w:t>政府采购活动确认声明书</w:t>
      </w:r>
      <w:r>
        <w:rPr>
          <w:rFonts w:hint="eastAsia" w:ascii="宋体" w:hAnsi="宋体" w:eastAsia="宋体" w:cs="宋体"/>
          <w:b/>
          <w:bCs/>
          <w:color w:val="auto"/>
          <w:sz w:val="24"/>
          <w:highlight w:val="none"/>
          <w:u w:val="none"/>
          <w:lang w:eastAsia="zh-CN"/>
        </w:rPr>
        <w:t>》扫描件发至代理机构经办人邮箱（邮箱地址：</w:t>
      </w:r>
      <w:r>
        <w:rPr>
          <w:rFonts w:hint="eastAsia" w:ascii="宋体" w:hAnsi="宋体" w:eastAsia="宋体" w:cs="宋体"/>
          <w:b/>
          <w:bCs/>
          <w:color w:val="auto"/>
          <w:sz w:val="24"/>
          <w:highlight w:val="none"/>
          <w:u w:val="none"/>
          <w:lang w:eastAsia="zh-CN"/>
        </w:rPr>
        <w:fldChar w:fldCharType="begin"/>
      </w:r>
      <w:r>
        <w:rPr>
          <w:rFonts w:hint="eastAsia" w:ascii="宋体" w:hAnsi="宋体" w:eastAsia="宋体" w:cs="宋体"/>
          <w:b/>
          <w:bCs/>
          <w:color w:val="auto"/>
          <w:sz w:val="24"/>
          <w:highlight w:val="none"/>
          <w:u w:val="none"/>
          <w:lang w:eastAsia="zh-CN"/>
        </w:rPr>
        <w:instrText xml:space="preserve"> HYPERLINK "mailto:303054329@qq.com）；" </w:instrText>
      </w:r>
      <w:r>
        <w:rPr>
          <w:rFonts w:hint="eastAsia" w:ascii="宋体" w:hAnsi="宋体" w:eastAsia="宋体" w:cs="宋体"/>
          <w:b/>
          <w:bCs/>
          <w:color w:val="auto"/>
          <w:sz w:val="24"/>
          <w:highlight w:val="none"/>
          <w:u w:val="none"/>
          <w:lang w:eastAsia="zh-CN"/>
        </w:rPr>
        <w:fldChar w:fldCharType="separate"/>
      </w:r>
      <w:r>
        <w:rPr>
          <w:rFonts w:hint="eastAsia" w:ascii="宋体" w:hAnsi="宋体" w:eastAsia="宋体" w:cs="宋体"/>
          <w:b/>
          <w:bCs/>
          <w:color w:val="auto"/>
          <w:sz w:val="24"/>
          <w:highlight w:val="none"/>
          <w:u w:val="none"/>
          <w:lang w:eastAsia="zh-CN"/>
        </w:rPr>
        <w:t>303054329@qq.com）；</w:t>
      </w:r>
      <w:r>
        <w:rPr>
          <w:rFonts w:hint="eastAsia" w:ascii="宋体" w:hAnsi="宋体" w:eastAsia="宋体" w:cs="宋体"/>
          <w:b/>
          <w:bCs/>
          <w:color w:val="auto"/>
          <w:sz w:val="24"/>
          <w:highlight w:val="none"/>
          <w:u w:val="none"/>
          <w:lang w:eastAsia="zh-CN"/>
        </w:rPr>
        <w:fldChar w:fldCharType="end"/>
      </w:r>
      <w:r>
        <w:rPr>
          <w:rFonts w:hint="eastAsia" w:ascii="宋体" w:hAnsi="宋体" w:eastAsia="宋体" w:cs="宋体"/>
          <w:b/>
          <w:bCs/>
          <w:color w:val="auto"/>
          <w:sz w:val="24"/>
          <w:highlight w:val="none"/>
          <w:u w:val="none"/>
          <w:lang w:eastAsia="zh-CN"/>
        </w:rPr>
        <w:t>不填写或未按规定发出邮件的，视同默认不存在确认声明书中的相关违规情形。</w:t>
      </w:r>
    </w:p>
    <w:sectPr>
      <w:head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EFF" w:usb1="C000785B" w:usb2="00000009" w:usb3="00000000" w:csb0="400001FF" w:csb1="FFFF0000"/>
  </w:font>
  <w:font w:name="宋体">
    <w:panose1 w:val="02010600030101010101"/>
    <w:charset w:val="7A"/>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华文细黑">
    <w:panose1 w:val="02010600040101010101"/>
    <w:charset w:val="86"/>
    <w:family w:val="auto"/>
    <w:pitch w:val="default"/>
    <w:sig w:usb0="00000287" w:usb1="080F0000" w:usb2="00000000" w:usb3="00000000" w:csb0="0004009F" w:csb1="DFD7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r>
        <w:separator/>
      </w:r>
    </w:p>
  </w:footnote>
  <w:footnote w:type="continuationSeparator" w:id="3">
    <w:p>
      <w:r>
        <w:continuationSeparator/>
      </w:r>
    </w:p>
  </w:footnote>
  <w:footnote w:id="0">
    <w:p>
      <w:pPr>
        <w:pStyle w:val="17"/>
      </w:pPr>
      <w:r>
        <w:rPr>
          <w:rStyle w:val="24"/>
        </w:rPr>
        <w:footnoteRef/>
      </w:r>
      <w:r>
        <w:t xml:space="preserve"> </w:t>
      </w:r>
      <w:r>
        <w:rPr>
          <w:rFonts w:hint="eastAsia" w:ascii="宋体" w:hAnsi="宋体"/>
          <w:bCs/>
          <w:sz w:val="24"/>
        </w:rPr>
        <w:t>从业人员、营业收入、资产总额填报上一年度数据，无上一年度数据的新成立企业可不填报。</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 w:lineRule="atLeast"/>
    </w:pPr>
    <w:r>
      <w:rPr>
        <w:rFonts w:hint="eastAsia" w:cs="宋体"/>
        <w:b/>
        <w:bCs/>
        <w:i/>
        <w:iCs/>
        <w:color w:val="000000"/>
        <w:kern w:val="0"/>
        <w:sz w:val="18"/>
        <w:szCs w:val="18"/>
        <w:u w:val="single"/>
      </w:rPr>
      <w:t>台州市</w:t>
    </w:r>
    <w:r>
      <w:rPr>
        <w:rFonts w:hint="eastAsia" w:cs="宋体"/>
        <w:b/>
        <w:bCs/>
        <w:i/>
        <w:iCs/>
        <w:color w:val="000000"/>
        <w:kern w:val="0"/>
        <w:sz w:val="18"/>
        <w:szCs w:val="18"/>
        <w:u w:val="single"/>
        <w:lang w:val="en-US" w:eastAsia="zh-CN"/>
      </w:rPr>
      <w:t>黄岩区政府采购招标</w:t>
    </w:r>
    <w:r>
      <w:rPr>
        <w:rFonts w:hint="eastAsia" w:cs="宋体"/>
        <w:b/>
        <w:bCs/>
        <w:i/>
        <w:iCs/>
        <w:color w:val="000000"/>
        <w:kern w:val="0"/>
        <w:sz w:val="18"/>
        <w:szCs w:val="18"/>
        <w:u w:val="single"/>
      </w:rPr>
      <w:t>文件</w:t>
    </w:r>
    <w:r>
      <w:rPr>
        <w:rFonts w:hint="eastAsia" w:cs="宋体"/>
        <w:b/>
        <w:bCs/>
        <w:i/>
        <w:iCs/>
        <w:color w:val="000000"/>
        <w:kern w:val="0"/>
        <w:sz w:val="18"/>
        <w:szCs w:val="18"/>
        <w:u w:val="single"/>
        <w:lang w:val="en-US" w:eastAsia="zh-CN"/>
      </w:rPr>
      <w:t xml:space="preserve">                                                    </w:t>
    </w:r>
    <w:r>
      <w:rPr>
        <w:rFonts w:hint="eastAsia" w:cs="宋体"/>
        <w:b/>
        <w:bCs/>
        <w:i/>
        <w:iCs/>
        <w:color w:val="000000"/>
        <w:spacing w:val="-20"/>
        <w:kern w:val="0"/>
        <w:sz w:val="18"/>
        <w:szCs w:val="18"/>
        <w:u w:val="single"/>
      </w:rPr>
      <w:t>第</w:t>
    </w:r>
    <w:r>
      <w:rPr>
        <w:rFonts w:hint="eastAsia" w:cs="宋体"/>
        <w:b/>
        <w:bCs/>
        <w:i/>
        <w:iCs/>
        <w:color w:val="000000"/>
        <w:spacing w:val="-20"/>
        <w:kern w:val="0"/>
        <w:sz w:val="18"/>
        <w:szCs w:val="18"/>
        <w:u w:val="single"/>
        <w:lang w:val="en-US" w:eastAsia="zh-CN"/>
      </w:rPr>
      <w:t xml:space="preserve"> </w:t>
    </w:r>
    <w:r>
      <w:rPr>
        <w:b/>
        <w:bCs/>
        <w:i/>
        <w:iCs/>
        <w:color w:val="000000"/>
        <w:spacing w:val="-20"/>
        <w:kern w:val="0"/>
        <w:sz w:val="18"/>
        <w:szCs w:val="18"/>
        <w:u w:val="single"/>
      </w:rPr>
      <w:fldChar w:fldCharType="begin"/>
    </w:r>
    <w:r>
      <w:rPr>
        <w:b/>
        <w:bCs/>
        <w:i/>
        <w:iCs/>
        <w:color w:val="000000"/>
        <w:spacing w:val="-20"/>
        <w:kern w:val="0"/>
        <w:sz w:val="18"/>
        <w:szCs w:val="18"/>
        <w:u w:val="single"/>
      </w:rPr>
      <w:instrText xml:space="preserve"> PAGE </w:instrText>
    </w:r>
    <w:r>
      <w:rPr>
        <w:b/>
        <w:bCs/>
        <w:i/>
        <w:iCs/>
        <w:color w:val="000000"/>
        <w:spacing w:val="-20"/>
        <w:kern w:val="0"/>
        <w:sz w:val="18"/>
        <w:szCs w:val="18"/>
        <w:u w:val="single"/>
      </w:rPr>
      <w:fldChar w:fldCharType="separate"/>
    </w:r>
    <w:r>
      <w:rPr>
        <w:b/>
        <w:bCs/>
        <w:i/>
        <w:iCs/>
        <w:color w:val="000000"/>
        <w:spacing w:val="-20"/>
        <w:kern w:val="0"/>
        <w:sz w:val="18"/>
        <w:szCs w:val="18"/>
        <w:u w:val="single"/>
      </w:rPr>
      <w:t>31</w:t>
    </w:r>
    <w:r>
      <w:rPr>
        <w:b/>
        <w:bCs/>
        <w:i/>
        <w:iCs/>
        <w:color w:val="000000"/>
        <w:spacing w:val="-20"/>
        <w:kern w:val="0"/>
        <w:sz w:val="18"/>
        <w:szCs w:val="18"/>
        <w:u w:val="single"/>
      </w:rPr>
      <w:fldChar w:fldCharType="end"/>
    </w:r>
    <w:r>
      <w:rPr>
        <w:rFonts w:hint="eastAsia" w:cs="宋体"/>
        <w:b/>
        <w:bCs/>
        <w:i/>
        <w:iCs/>
        <w:color w:val="000000"/>
        <w:spacing w:val="-20"/>
        <w:kern w:val="0"/>
        <w:sz w:val="18"/>
        <w:szCs w:val="18"/>
        <w:u w:val="single"/>
      </w:rPr>
      <w:t>页共</w:t>
    </w:r>
    <w:r>
      <w:rPr>
        <w:b/>
        <w:bCs/>
        <w:i/>
        <w:iCs/>
        <w:color w:val="000000"/>
        <w:spacing w:val="-20"/>
        <w:kern w:val="0"/>
        <w:sz w:val="18"/>
        <w:szCs w:val="18"/>
        <w:u w:val="single"/>
      </w:rPr>
      <w:fldChar w:fldCharType="begin"/>
    </w:r>
    <w:r>
      <w:rPr>
        <w:b/>
        <w:bCs/>
        <w:i/>
        <w:iCs/>
        <w:color w:val="000000"/>
        <w:spacing w:val="-20"/>
        <w:kern w:val="0"/>
        <w:sz w:val="18"/>
        <w:szCs w:val="18"/>
        <w:u w:val="single"/>
      </w:rPr>
      <w:instrText xml:space="preserve"> NUMPAGES </w:instrText>
    </w:r>
    <w:r>
      <w:rPr>
        <w:b/>
        <w:bCs/>
        <w:i/>
        <w:iCs/>
        <w:color w:val="000000"/>
        <w:spacing w:val="-20"/>
        <w:kern w:val="0"/>
        <w:sz w:val="18"/>
        <w:szCs w:val="18"/>
        <w:u w:val="single"/>
      </w:rPr>
      <w:fldChar w:fldCharType="separate"/>
    </w:r>
    <w:r>
      <w:rPr>
        <w:b/>
        <w:bCs/>
        <w:i/>
        <w:iCs/>
        <w:color w:val="000000"/>
        <w:spacing w:val="-20"/>
        <w:kern w:val="0"/>
        <w:sz w:val="18"/>
        <w:szCs w:val="18"/>
        <w:u w:val="single"/>
      </w:rPr>
      <w:t>62</w:t>
    </w:r>
    <w:r>
      <w:rPr>
        <w:b/>
        <w:bCs/>
        <w:i/>
        <w:iCs/>
        <w:color w:val="000000"/>
        <w:spacing w:val="-20"/>
        <w:kern w:val="0"/>
        <w:sz w:val="18"/>
        <w:szCs w:val="18"/>
        <w:u w:val="single"/>
      </w:rPr>
      <w:fldChar w:fldCharType="end"/>
    </w:r>
    <w:r>
      <w:rPr>
        <w:rFonts w:hint="eastAsia" w:cs="宋体"/>
        <w:b/>
        <w:bCs/>
        <w:i/>
        <w:iCs/>
        <w:color w:val="000000"/>
        <w:spacing w:val="-20"/>
        <w:kern w:val="0"/>
        <w:sz w:val="18"/>
        <w:szCs w:val="18"/>
        <w:u w:val="single"/>
      </w:rPr>
      <w:t>页</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7"/>
    <w:multiLevelType w:val="multilevel"/>
    <w:tmpl w:val="00000007"/>
    <w:lvl w:ilvl="0" w:tentative="0">
      <w:start w:val="1"/>
      <w:numFmt w:val="decimal"/>
      <w:pStyle w:val="7"/>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0F101418"/>
    <w:multiLevelType w:val="multilevel"/>
    <w:tmpl w:val="0F101418"/>
    <w:lvl w:ilvl="0" w:tentative="0">
      <w:start w:val="1"/>
      <w:numFmt w:val="decimal"/>
      <w:pStyle w:val="8"/>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footnotePr>
    <w:footnote w:id="2"/>
    <w:footnote w:id="3"/>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JiMDQwYzE5NmZjMWMzMDNhYmYyNmU4MmUzODczYTAifQ=="/>
  </w:docVars>
  <w:rsids>
    <w:rsidRoot w:val="31EF50C2"/>
    <w:rsid w:val="00E12589"/>
    <w:rsid w:val="01CC5EDA"/>
    <w:rsid w:val="021D4A79"/>
    <w:rsid w:val="02702BE7"/>
    <w:rsid w:val="0275793F"/>
    <w:rsid w:val="028A7C9B"/>
    <w:rsid w:val="02A951F0"/>
    <w:rsid w:val="06213875"/>
    <w:rsid w:val="06652463"/>
    <w:rsid w:val="07291ABE"/>
    <w:rsid w:val="077D7AD1"/>
    <w:rsid w:val="09E70F8B"/>
    <w:rsid w:val="0F917492"/>
    <w:rsid w:val="108010BC"/>
    <w:rsid w:val="10F81A39"/>
    <w:rsid w:val="116B5160"/>
    <w:rsid w:val="13510472"/>
    <w:rsid w:val="157E4916"/>
    <w:rsid w:val="173F012B"/>
    <w:rsid w:val="19CE435E"/>
    <w:rsid w:val="1BE656A6"/>
    <w:rsid w:val="22BB65D9"/>
    <w:rsid w:val="23257E00"/>
    <w:rsid w:val="23DF609E"/>
    <w:rsid w:val="24F7496F"/>
    <w:rsid w:val="258764B5"/>
    <w:rsid w:val="26F30D35"/>
    <w:rsid w:val="26FA0442"/>
    <w:rsid w:val="26FF412D"/>
    <w:rsid w:val="27EF30CC"/>
    <w:rsid w:val="2AF302B8"/>
    <w:rsid w:val="31EF50C2"/>
    <w:rsid w:val="32C83925"/>
    <w:rsid w:val="3A771DA6"/>
    <w:rsid w:val="3C4D58EC"/>
    <w:rsid w:val="40784F94"/>
    <w:rsid w:val="40984D90"/>
    <w:rsid w:val="419B0674"/>
    <w:rsid w:val="438E7199"/>
    <w:rsid w:val="46302715"/>
    <w:rsid w:val="4A3E12FD"/>
    <w:rsid w:val="4E242DAF"/>
    <w:rsid w:val="574D2CCC"/>
    <w:rsid w:val="576720C9"/>
    <w:rsid w:val="5C5F14EF"/>
    <w:rsid w:val="5E3B78DD"/>
    <w:rsid w:val="61102262"/>
    <w:rsid w:val="62013FD1"/>
    <w:rsid w:val="635864F8"/>
    <w:rsid w:val="66997CFB"/>
    <w:rsid w:val="680A6220"/>
    <w:rsid w:val="6A272858"/>
    <w:rsid w:val="6B8B6A30"/>
    <w:rsid w:val="6F01098B"/>
    <w:rsid w:val="71E51507"/>
    <w:rsid w:val="731A5112"/>
    <w:rsid w:val="747959C7"/>
    <w:rsid w:val="75A01432"/>
    <w:rsid w:val="76676D03"/>
    <w:rsid w:val="77F80052"/>
    <w:rsid w:val="78CB2770"/>
    <w:rsid w:val="79B93169"/>
    <w:rsid w:val="7A5D4915"/>
    <w:rsid w:val="7ACE2B96"/>
    <w:rsid w:val="7BF57138"/>
    <w:rsid w:val="7CF81778"/>
    <w:rsid w:val="7D641299"/>
    <w:rsid w:val="7FD76DB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0" w:name="heading 3"/>
    <w:lsdException w:qFormat="1" w:unhideWhenUsed="0" w:uiPriority="9" w:semiHidden="0" w:name="heading 4"/>
    <w:lsdException w:qFormat="1" w:unhideWhenUsed="0" w:uiPriority="9"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qFormat="1" w:unhideWhenUsed="0" w:uiPriority="39"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qFormat="1" w:unhideWhenUsed="0" w:uiPriority="99"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99"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qFormat/>
    <w:uiPriority w:val="99"/>
    <w:pPr>
      <w:spacing w:before="340" w:after="330" w:line="578" w:lineRule="auto"/>
      <w:outlineLvl w:val="0"/>
    </w:pPr>
    <w:rPr>
      <w:kern w:val="44"/>
      <w:sz w:val="44"/>
      <w:szCs w:val="44"/>
    </w:rPr>
  </w:style>
  <w:style w:type="paragraph" w:styleId="6">
    <w:name w:val="heading 2"/>
    <w:basedOn w:val="1"/>
    <w:next w:val="1"/>
    <w:qFormat/>
    <w:uiPriority w:val="99"/>
    <w:pPr>
      <w:keepNext/>
      <w:keepLines/>
      <w:spacing w:before="260" w:after="260" w:line="416" w:lineRule="auto"/>
      <w:outlineLvl w:val="1"/>
    </w:pPr>
    <w:rPr>
      <w:rFonts w:ascii="Calibri Light" w:hAnsi="Calibri Light" w:cs="Calibri Light"/>
      <w:b/>
      <w:bCs/>
      <w:sz w:val="32"/>
      <w:szCs w:val="32"/>
    </w:rPr>
  </w:style>
  <w:style w:type="paragraph" w:styleId="7">
    <w:name w:val="heading 4"/>
    <w:basedOn w:val="1"/>
    <w:next w:val="1"/>
    <w:qFormat/>
    <w:uiPriority w:val="9"/>
    <w:pPr>
      <w:numPr>
        <w:ilvl w:val="0"/>
        <w:numId w:val="1"/>
      </w:numPr>
      <w:adjustRightInd w:val="0"/>
      <w:snapToGrid w:val="0"/>
      <w:spacing w:line="360" w:lineRule="auto"/>
      <w:outlineLvl w:val="3"/>
    </w:pPr>
    <w:rPr>
      <w:rFonts w:ascii="Cambria" w:hAnsi="Cambria" w:eastAsia="华文细黑"/>
      <w:b/>
      <w:bCs/>
      <w:sz w:val="24"/>
      <w:szCs w:val="28"/>
    </w:rPr>
  </w:style>
  <w:style w:type="paragraph" w:styleId="8">
    <w:name w:val="heading 5"/>
    <w:basedOn w:val="1"/>
    <w:next w:val="1"/>
    <w:qFormat/>
    <w:uiPriority w:val="9"/>
    <w:pPr>
      <w:numPr>
        <w:ilvl w:val="0"/>
        <w:numId w:val="2"/>
      </w:numPr>
      <w:adjustRightInd w:val="0"/>
      <w:snapToGrid w:val="0"/>
      <w:spacing w:line="360" w:lineRule="auto"/>
      <w:outlineLvl w:val="4"/>
    </w:pPr>
    <w:rPr>
      <w:rFonts w:eastAsia="华文细黑"/>
      <w:b/>
      <w:bCs/>
      <w:sz w:val="24"/>
      <w:szCs w:val="28"/>
    </w:rPr>
  </w:style>
  <w:style w:type="character" w:default="1" w:styleId="21">
    <w:name w:val="Default Paragraph Font"/>
    <w:semiHidden/>
    <w:qFormat/>
    <w:uiPriority w:val="0"/>
  </w:style>
  <w:style w:type="table" w:default="1" w:styleId="20">
    <w:name w:val="Normal Table"/>
    <w:semiHidden/>
    <w:uiPriority w:val="0"/>
    <w:tblPr>
      <w:tblStyle w:val="20"/>
      <w:tblCellMar>
        <w:top w:w="0" w:type="dxa"/>
        <w:left w:w="108" w:type="dxa"/>
        <w:bottom w:w="0" w:type="dxa"/>
        <w:right w:w="108" w:type="dxa"/>
      </w:tblCellMar>
    </w:tblPr>
  </w:style>
  <w:style w:type="paragraph" w:styleId="2">
    <w:name w:val="Body Text"/>
    <w:basedOn w:val="1"/>
    <w:next w:val="3"/>
    <w:qFormat/>
    <w:uiPriority w:val="99"/>
    <w:pPr>
      <w:spacing w:line="360" w:lineRule="exact"/>
    </w:pPr>
    <w:rPr>
      <w:sz w:val="24"/>
    </w:rPr>
  </w:style>
  <w:style w:type="paragraph" w:styleId="3">
    <w:name w:val="Body Text First Indent"/>
    <w:basedOn w:val="2"/>
    <w:next w:val="4"/>
    <w:qFormat/>
    <w:uiPriority w:val="0"/>
    <w:pPr>
      <w:widowControl/>
      <w:spacing w:after="120" w:line="240" w:lineRule="auto"/>
      <w:ind w:firstLine="420" w:firstLineChars="100"/>
    </w:pPr>
    <w:rPr>
      <w:szCs w:val="20"/>
    </w:rPr>
  </w:style>
  <w:style w:type="paragraph" w:styleId="4">
    <w:name w:val="toc 6"/>
    <w:basedOn w:val="1"/>
    <w:next w:val="1"/>
    <w:qFormat/>
    <w:uiPriority w:val="0"/>
    <w:pPr>
      <w:ind w:left="1050"/>
      <w:jc w:val="left"/>
    </w:pPr>
    <w:rPr>
      <w:sz w:val="18"/>
      <w:szCs w:val="18"/>
    </w:rPr>
  </w:style>
  <w:style w:type="paragraph" w:styleId="9">
    <w:name w:val="Normal Indent"/>
    <w:basedOn w:val="1"/>
    <w:next w:val="1"/>
    <w:qFormat/>
    <w:uiPriority w:val="99"/>
    <w:pPr>
      <w:ind w:firstLine="420"/>
    </w:pPr>
  </w:style>
  <w:style w:type="paragraph" w:styleId="10">
    <w:name w:val="annotation text"/>
    <w:basedOn w:val="1"/>
    <w:uiPriority w:val="0"/>
    <w:pPr>
      <w:jc w:val="left"/>
    </w:pPr>
  </w:style>
  <w:style w:type="paragraph" w:styleId="11">
    <w:name w:val="Body Text Indent"/>
    <w:basedOn w:val="1"/>
    <w:next w:val="1"/>
    <w:qFormat/>
    <w:uiPriority w:val="99"/>
    <w:pPr>
      <w:spacing w:after="120"/>
      <w:ind w:left="420" w:leftChars="200"/>
    </w:pPr>
  </w:style>
  <w:style w:type="paragraph" w:styleId="12">
    <w:name w:val="Plain Text"/>
    <w:basedOn w:val="1"/>
    <w:next w:val="13"/>
    <w:qFormat/>
    <w:uiPriority w:val="99"/>
    <w:rPr>
      <w:rFonts w:ascii="宋体" w:hAnsi="Courier New" w:cs="宋体"/>
    </w:rPr>
  </w:style>
  <w:style w:type="paragraph" w:styleId="13">
    <w:name w:val="Date"/>
    <w:basedOn w:val="1"/>
    <w:next w:val="1"/>
    <w:qFormat/>
    <w:uiPriority w:val="99"/>
    <w:pPr>
      <w:ind w:left="2500" w:leftChars="2500"/>
    </w:pPr>
    <w:rPr>
      <w:rFonts w:ascii="Calibri" w:hAnsi="Calibri" w:eastAsia="楷体_GB2312" w:cs="Calibri"/>
      <w:sz w:val="32"/>
      <w:szCs w:val="32"/>
    </w:rPr>
  </w:style>
  <w:style w:type="paragraph" w:styleId="14">
    <w:name w:val="footer"/>
    <w:basedOn w:val="1"/>
    <w:uiPriority w:val="0"/>
    <w:pPr>
      <w:tabs>
        <w:tab w:val="center" w:pos="4153"/>
        <w:tab w:val="right" w:pos="8306"/>
      </w:tabs>
      <w:snapToGrid w:val="0"/>
      <w:jc w:val="left"/>
    </w:pPr>
    <w:rPr>
      <w:sz w:val="18"/>
    </w:rPr>
  </w:style>
  <w:style w:type="paragraph" w:styleId="1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6">
    <w:name w:val="toc 4"/>
    <w:basedOn w:val="1"/>
    <w:next w:val="1"/>
    <w:qFormat/>
    <w:uiPriority w:val="39"/>
    <w:pPr>
      <w:widowControl/>
      <w:ind w:left="600"/>
      <w:jc w:val="left"/>
    </w:pPr>
    <w:rPr>
      <w:kern w:val="0"/>
      <w:sz w:val="18"/>
      <w:szCs w:val="20"/>
    </w:rPr>
  </w:style>
  <w:style w:type="paragraph" w:styleId="17">
    <w:name w:val="footnote text"/>
    <w:basedOn w:val="1"/>
    <w:semiHidden/>
    <w:qFormat/>
    <w:uiPriority w:val="99"/>
    <w:pPr>
      <w:snapToGrid w:val="0"/>
      <w:jc w:val="left"/>
    </w:pPr>
    <w:rPr>
      <w:sz w:val="18"/>
      <w:szCs w:val="18"/>
    </w:rPr>
  </w:style>
  <w:style w:type="paragraph" w:styleId="18">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19">
    <w:name w:val="Body Text First Indent 2"/>
    <w:basedOn w:val="11"/>
    <w:next w:val="1"/>
    <w:qFormat/>
    <w:uiPriority w:val="99"/>
    <w:pPr>
      <w:ind w:firstLine="420"/>
    </w:pPr>
  </w:style>
  <w:style w:type="character" w:styleId="22">
    <w:name w:val="Hyperlink"/>
    <w:basedOn w:val="21"/>
    <w:qFormat/>
    <w:uiPriority w:val="0"/>
    <w:rPr>
      <w:color w:val="0000FF"/>
      <w:u w:val="single"/>
    </w:rPr>
  </w:style>
  <w:style w:type="character" w:styleId="23">
    <w:name w:val="annotation reference"/>
    <w:qFormat/>
    <w:uiPriority w:val="0"/>
    <w:rPr>
      <w:sz w:val="21"/>
      <w:szCs w:val="21"/>
    </w:rPr>
  </w:style>
  <w:style w:type="character" w:styleId="24">
    <w:name w:val="footnote reference"/>
    <w:basedOn w:val="21"/>
    <w:semiHidden/>
    <w:qFormat/>
    <w:uiPriority w:val="99"/>
    <w:rPr>
      <w:vertAlign w:val="superscript"/>
    </w:rPr>
  </w:style>
  <w:style w:type="paragraph" w:customStyle="1" w:styleId="25">
    <w:name w:val="Default"/>
    <w:qFormat/>
    <w:uiPriority w:val="99"/>
    <w:pPr>
      <w:widowControl w:val="0"/>
      <w:autoSpaceDE w:val="0"/>
      <w:autoSpaceDN w:val="0"/>
      <w:adjustRightInd w:val="0"/>
      <w:spacing w:after="160" w:line="259" w:lineRule="auto"/>
    </w:pPr>
    <w:rPr>
      <w:rFonts w:ascii="Times New Roman" w:hAnsi="Times New Roman" w:eastAsia="宋体" w:cs="Times New Roman"/>
      <w:color w:val="000000"/>
      <w:sz w:val="24"/>
      <w:szCs w:val="24"/>
      <w:lang w:val="en-US" w:eastAsia="zh-CN" w:bidi="ar-SA"/>
    </w:rPr>
  </w:style>
  <w:style w:type="paragraph" w:customStyle="1" w:styleId="26">
    <w:name w:val="正文_14"/>
    <w:qFormat/>
    <w:uiPriority w:val="99"/>
    <w:rPr>
      <w:rFonts w:ascii="Times New Roman" w:hAnsi="Times New Roman" w:eastAsia="宋体" w:cs="Times New Roman"/>
      <w:sz w:val="21"/>
      <w:szCs w:val="21"/>
      <w:lang w:val="en-US" w:eastAsia="zh-CN" w:bidi="ar-SA"/>
    </w:rPr>
  </w:style>
  <w:style w:type="paragraph" w:customStyle="1" w:styleId="27">
    <w:name w:val="正文_10"/>
    <w:qFormat/>
    <w:uiPriority w:val="99"/>
    <w:pPr>
      <w:widowControl w:val="0"/>
      <w:jc w:val="both"/>
    </w:pPr>
    <w:rPr>
      <w:rFonts w:ascii="Times New Roman" w:hAnsi="Times New Roman" w:eastAsia="宋体" w:cs="Times New Roman"/>
      <w:kern w:val="2"/>
      <w:sz w:val="21"/>
      <w:szCs w:val="21"/>
      <w:lang w:val="en-US" w:eastAsia="zh-CN" w:bidi="ar-SA"/>
    </w:r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footnotes.xml" Type="http://schemas.openxmlformats.org/officeDocument/2006/relationships/footnotes"/><Relationship Id="rId4" Target="header1.xml" Type="http://schemas.openxmlformats.org/officeDocument/2006/relationships/header"/><Relationship Id="rId5" Target="theme/theme1.xml" Type="http://schemas.openxmlformats.org/officeDocument/2006/relationships/theme"/><Relationship Id="rId6" Target="media/image1.png" Type="http://schemas.openxmlformats.org/officeDocument/2006/relationships/image"/><Relationship Id="rId7" Target="../customXml/item1.xml" Type="http://schemas.openxmlformats.org/officeDocument/2006/relationships/customXml"/><Relationship Id="rId8" Target="numbering.xml" Type="http://schemas.openxmlformats.org/officeDocument/2006/relationships/numbering"/><Relationship Id="rId9" Target="fontTable.xml" Type="http://schemas.openxmlformats.org/officeDocument/2006/relationships/fontTable"/></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181</Pages>
  <Words>89354</Words>
  <Characters>104422</Characters>
  <Lines>0</Lines>
  <Paragraphs>0</Paragraphs>
  <TotalTime>0</TotalTime>
  <ScaleCrop>false</ScaleCrop>
  <LinksUpToDate>false</LinksUpToDate>
  <CharactersWithSpaces>107392</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2022-07-01T02:26:00Z</dcterms:created>
  <dc:creator>弄白白白</dc:creator>
  <cp:lastModifiedBy>WPS_1701756769</cp:lastModifiedBy>
  <dcterms:modified xsi:type="dcterms:W3CDTF">2024-02-22T09:23:16Z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55C243A67D3342DBBE5DF634E3E33C73_13</vt:lpwstr>
  </property>
</Properties>
</file>