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sz w:val="28"/>
          <w:szCs w:val="28"/>
          <w:highlight w:val="none"/>
        </w:rPr>
      </w:pPr>
      <w:r>
        <w:rPr>
          <w:rFonts w:ascii="宋体" w:hAnsi="宋体" w:cs="宋体"/>
          <w:color w:val="auto"/>
          <w:sz w:val="28"/>
          <w:szCs w:val="28"/>
          <w:highlight w:val="none"/>
        </w:rPr>
        <w:drawing>
          <wp:anchor distT="0" distB="0" distL="0" distR="0" simplePos="0" relativeHeight="251659264" behindDoc="1" locked="0" layoutInCell="1" allowOverlap="1">
            <wp:simplePos x="0" y="0"/>
            <wp:positionH relativeFrom="page">
              <wp:posOffset>1683385</wp:posOffset>
            </wp:positionH>
            <wp:positionV relativeFrom="page">
              <wp:posOffset>1191260</wp:posOffset>
            </wp:positionV>
            <wp:extent cx="2971800" cy="2091690"/>
            <wp:effectExtent l="0" t="0" r="0" b="0"/>
            <wp:wrapNone/>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pic:cNvPicPr>
                      <a:picLocks noChangeAspect="1"/>
                    </pic:cNvPicPr>
                  </pic:nvPicPr>
                  <pic:blipFill>
                    <a:blip r:embed="rId6" cstate="print">
                      <a:lum contrast="12000"/>
                    </a:blip>
                    <a:srcRect/>
                    <a:stretch>
                      <a:fillRect/>
                    </a:stretch>
                  </pic:blipFill>
                  <pic:spPr>
                    <a:xfrm>
                      <a:off x="0" y="0"/>
                      <a:ext cx="2971800" cy="2091689"/>
                    </a:xfrm>
                    <a:prstGeom prst="rect">
                      <a:avLst/>
                    </a:prstGeom>
                    <a:ln>
                      <a:noFill/>
                    </a:ln>
                  </pic:spPr>
                </pic:pic>
              </a:graphicData>
            </a:graphic>
          </wp:anchor>
        </w:drawing>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jc w:val="center"/>
        <w:outlineLvl w:val="0"/>
        <w:rPr>
          <w:rFonts w:ascii="宋体"/>
          <w:color w:val="auto"/>
          <w:sz w:val="72"/>
          <w:szCs w:val="72"/>
          <w:highlight w:val="none"/>
        </w:rPr>
      </w:pPr>
      <w:r>
        <w:rPr>
          <w:rFonts w:ascii="宋体" w:hAnsi="宋体" w:cs="宋体"/>
          <w:color w:val="auto"/>
          <w:sz w:val="72"/>
          <w:szCs w:val="72"/>
          <w:highlight w:val="none"/>
        </w:rPr>
        <w:t xml:space="preserve">         F-STONE</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ZJWS2022-HYZYY07</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X射线计算机断层扫描装置采购项目</w:t>
      </w:r>
    </w:p>
    <w:p>
      <w:pPr>
        <w:autoSpaceDE w:val="0"/>
        <w:autoSpaceDN w:val="0"/>
        <w:adjustRightInd w:val="0"/>
        <w:spacing w:line="360" w:lineRule="auto"/>
        <w:ind w:firstLine="1400" w:firstLineChars="500"/>
        <w:jc w:val="both"/>
        <w:rPr>
          <w:rFonts w:ascii="宋体"/>
          <w:color w:val="auto"/>
          <w:kern w:val="0"/>
          <w:sz w:val="28"/>
          <w:szCs w:val="28"/>
          <w:highlight w:val="none"/>
        </w:rPr>
      </w:pPr>
      <w:r>
        <w:rPr>
          <w:rFonts w:hint="eastAsia" w:ascii="宋体" w:hAnsi="宋体" w:cs="宋体"/>
          <w:color w:val="auto"/>
          <w:kern w:val="0"/>
          <w:sz w:val="28"/>
          <w:szCs w:val="28"/>
          <w:highlight w:val="none"/>
        </w:rPr>
        <w:t>采购单位：台州市黄岩区中医院</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pP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2022年11月</w:t>
      </w:r>
    </w:p>
    <w:p>
      <w:pPr>
        <w:spacing w:line="360" w:lineRule="auto"/>
        <w:rPr>
          <w:rFonts w:ascii="宋体" w:hAnsi="宋体" w:cs="宋体"/>
          <w:color w:val="auto"/>
          <w:sz w:val="28"/>
          <w:szCs w:val="28"/>
          <w:highlight w:val="none"/>
        </w:rPr>
      </w:pPr>
    </w:p>
    <w:p>
      <w:pPr>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pPr>
        <w:spacing w:line="360" w:lineRule="auto"/>
        <w:rPr>
          <w:rFonts w:ascii="宋体" w:hAnsi="宋体" w:cs="宋体"/>
          <w:color w:val="auto"/>
          <w:sz w:val="24"/>
          <w:szCs w:val="24"/>
          <w:highlight w:val="none"/>
        </w:rPr>
      </w:pP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 公开招标采购公告</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 投标人须知</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 评标办法及评分标准</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 公开招标需求</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 投标文件格式附件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 公开招标采购公告</w:t>
      </w:r>
    </w:p>
    <w:p>
      <w:pPr>
        <w:spacing w:line="360" w:lineRule="auto"/>
        <w:rPr>
          <w:rFonts w:ascii="宋体" w:hAnsi="宋体" w:cs="宋体"/>
          <w:b/>
          <w:bCs/>
          <w:color w:val="auto"/>
          <w:sz w:val="24"/>
          <w:szCs w:val="24"/>
          <w:highlight w:val="none"/>
        </w:rPr>
      </w:pPr>
      <w:r>
        <w:rPr>
          <w:rFonts w:ascii="宋体" w:hAnsi="宋体" w:cs="宋体"/>
          <w:b/>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-281305</wp:posOffset>
                </wp:positionH>
                <wp:positionV relativeFrom="page">
                  <wp:posOffset>1511300</wp:posOffset>
                </wp:positionV>
                <wp:extent cx="5833745" cy="1286510"/>
                <wp:effectExtent l="7620" t="8255" r="26035" b="19685"/>
                <wp:wrapTopAndBottom/>
                <wp:docPr id="1" name="1027"/>
                <wp:cNvGraphicFramePr/>
                <a:graphic xmlns:a="http://schemas.openxmlformats.org/drawingml/2006/main">
                  <a:graphicData uri="http://schemas.microsoft.com/office/word/2010/wordprocessingShape">
                    <wps:wsp>
                      <wps:cNvSpPr txBox="1"/>
                      <wps:spPr>
                        <a:xfrm>
                          <a:off x="0" y="0"/>
                          <a:ext cx="5833745" cy="128651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360" w:lineRule="auto"/>
                              <w:rPr>
                                <w:rFonts w:ascii="宋体" w:hAnsi="宋体" w:cs="宋体"/>
                                <w:sz w:val="24"/>
                                <w:szCs w:val="24"/>
                              </w:rPr>
                            </w:pPr>
                            <w:r>
                              <w:rPr>
                                <w:rFonts w:hint="eastAsia" w:ascii="宋体" w:hAnsi="宋体" w:cs="宋体"/>
                                <w:sz w:val="24"/>
                                <w:szCs w:val="24"/>
                              </w:rPr>
                              <w:t>项目概况</w:t>
                            </w:r>
                          </w:p>
                          <w:p>
                            <w:pPr>
                              <w:spacing w:line="360" w:lineRule="auto"/>
                              <w:ind w:firstLine="480" w:firstLineChars="200"/>
                              <w:rPr>
                                <w:rFonts w:ascii="宋体" w:hAnsi="宋体" w:cs="宋体"/>
                                <w:sz w:val="24"/>
                                <w:szCs w:val="24"/>
                              </w:rPr>
                            </w:pPr>
                            <w:r>
                              <w:rPr>
                                <w:rFonts w:hint="eastAsia" w:ascii="宋体" w:hAnsi="宋体" w:cs="宋体"/>
                                <w:color w:val="auto"/>
                                <w:sz w:val="24"/>
                                <w:szCs w:val="24"/>
                                <w:highlight w:val="none"/>
                                <w:lang w:eastAsia="zh-CN"/>
                              </w:rPr>
                              <w:t>X射线计算机断层扫描装置采购项目</w:t>
                            </w:r>
                            <w:r>
                              <w:rPr>
                                <w:rFonts w:hint="eastAsia" w:ascii="宋体" w:hAnsi="宋体" w:cs="宋体"/>
                                <w:sz w:val="24"/>
                                <w:szCs w:val="24"/>
                              </w:rPr>
                              <w:t>招标项目的潜在投标人应在政采云平台（http：//zfcg.czt.zj.gov.cn）获取（下载）招标文件，并于</w:t>
                            </w:r>
                            <w:r>
                              <w:rPr>
                                <w:rFonts w:hint="eastAsia" w:ascii="宋体" w:hAnsi="宋体" w:cs="宋体"/>
                                <w:sz w:val="24"/>
                                <w:szCs w:val="24"/>
                                <w:lang w:eastAsia="zh-CN"/>
                              </w:rPr>
                              <w:t>2022年12月</w:t>
                            </w:r>
                            <w:r>
                              <w:rPr>
                                <w:rFonts w:hint="eastAsia" w:ascii="宋体" w:hAnsi="宋体" w:cs="宋体"/>
                                <w:sz w:val="24"/>
                                <w:szCs w:val="24"/>
                                <w:lang w:val="en-US" w:eastAsia="zh-CN"/>
                              </w:rPr>
                              <w:t>8</w:t>
                            </w:r>
                            <w:r>
                              <w:rPr>
                                <w:rFonts w:hint="eastAsia" w:ascii="宋体" w:hAnsi="宋体" w:cs="宋体"/>
                                <w:sz w:val="24"/>
                                <w:szCs w:val="24"/>
                                <w:lang w:eastAsia="zh-CN"/>
                              </w:rPr>
                              <w:t>日</w:t>
                            </w:r>
                            <w:r>
                              <w:rPr>
                                <w:rFonts w:hint="eastAsia" w:ascii="宋体" w:hAnsi="宋体" w:cs="宋体"/>
                                <w:sz w:val="24"/>
                                <w:szCs w:val="24"/>
                              </w:rPr>
                              <w:t xml:space="preserve">  14：00（北京时间）前递交（上传）投标文件。</w:t>
                            </w:r>
                          </w:p>
                        </w:txbxContent>
                      </wps:txbx>
                      <wps:bodyPr upright="1"/>
                    </wps:wsp>
                  </a:graphicData>
                </a:graphic>
              </wp:anchor>
            </w:drawing>
          </mc:Choice>
          <mc:Fallback>
            <w:pict>
              <v:shape id="1027" o:spid="_x0000_s1026" o:spt="202" type="#_x0000_t202" style="position:absolute;left:0pt;margin-left:-22.15pt;margin-top:119pt;height:101.3pt;width:459.35pt;mso-position-vertical-relative:page;mso-wrap-distance-bottom:0pt;mso-wrap-distance-top:0pt;z-index:251660288;mso-width-relative:page;mso-height-relative:page;" fillcolor="#FFFFFF" filled="t" stroked="t" coordsize="21600,21600" o:gfxdata="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236fvZAAAACwEAAA8AAAAAAAAAAQAgAAAAIgAAAGRycy9kb3ducmV2&#10;LnhtbFBLAQIUABQAAAAIAIdO4kD2QXN7NAIAALgEAAAOAAAAAAAAAAEAIAAAACgBAABkcnMvZTJv&#10;RG9jLnhtbFBLBQYAAAAABgAGAFkBAADOBQAAAAA=&#10;">
                <v:fill type="gradient" on="t" color2="#FFFFFF" angle="90" focus="100%" focussize="0,0">
                  <o:fill type="gradientUnscaled" v:ext="backwardCompatible"/>
                </v:fill>
                <v:stroke weight="1.25pt" color="#000000" joinstyle="miter"/>
                <v:imagedata o:title=""/>
                <o:lock v:ext="edit" aspectratio="f"/>
                <v:textbox>
                  <w:txbxContent>
                    <w:p>
                      <w:pPr>
                        <w:spacing w:line="360" w:lineRule="auto"/>
                        <w:rPr>
                          <w:rFonts w:ascii="宋体" w:hAnsi="宋体" w:cs="宋体"/>
                          <w:sz w:val="24"/>
                          <w:szCs w:val="24"/>
                        </w:rPr>
                      </w:pPr>
                      <w:r>
                        <w:rPr>
                          <w:rFonts w:hint="eastAsia" w:ascii="宋体" w:hAnsi="宋体" w:cs="宋体"/>
                          <w:sz w:val="24"/>
                          <w:szCs w:val="24"/>
                        </w:rPr>
                        <w:t>项目概况</w:t>
                      </w:r>
                    </w:p>
                    <w:p>
                      <w:pPr>
                        <w:spacing w:line="360" w:lineRule="auto"/>
                        <w:ind w:firstLine="480" w:firstLineChars="200"/>
                        <w:rPr>
                          <w:rFonts w:ascii="宋体" w:hAnsi="宋体" w:cs="宋体"/>
                          <w:sz w:val="24"/>
                          <w:szCs w:val="24"/>
                        </w:rPr>
                      </w:pPr>
                      <w:r>
                        <w:rPr>
                          <w:rFonts w:hint="eastAsia" w:ascii="宋体" w:hAnsi="宋体" w:cs="宋体"/>
                          <w:color w:val="auto"/>
                          <w:sz w:val="24"/>
                          <w:szCs w:val="24"/>
                          <w:highlight w:val="none"/>
                          <w:lang w:eastAsia="zh-CN"/>
                        </w:rPr>
                        <w:t>X射线计算机断层扫描装置采购项目</w:t>
                      </w:r>
                      <w:r>
                        <w:rPr>
                          <w:rFonts w:hint="eastAsia" w:ascii="宋体" w:hAnsi="宋体" w:cs="宋体"/>
                          <w:sz w:val="24"/>
                          <w:szCs w:val="24"/>
                        </w:rPr>
                        <w:t>招标项目的潜在投标人应在政采云平台（http：//zfcg.czt.zj.gov.cn）获取（下载）招标文件，并于</w:t>
                      </w:r>
                      <w:r>
                        <w:rPr>
                          <w:rFonts w:hint="eastAsia" w:ascii="宋体" w:hAnsi="宋体" w:cs="宋体"/>
                          <w:sz w:val="24"/>
                          <w:szCs w:val="24"/>
                          <w:lang w:eastAsia="zh-CN"/>
                        </w:rPr>
                        <w:t>2022年12月</w:t>
                      </w:r>
                      <w:r>
                        <w:rPr>
                          <w:rFonts w:hint="eastAsia" w:ascii="宋体" w:hAnsi="宋体" w:cs="宋体"/>
                          <w:sz w:val="24"/>
                          <w:szCs w:val="24"/>
                          <w:lang w:val="en-US" w:eastAsia="zh-CN"/>
                        </w:rPr>
                        <w:t>8</w:t>
                      </w:r>
                      <w:r>
                        <w:rPr>
                          <w:rFonts w:hint="eastAsia" w:ascii="宋体" w:hAnsi="宋体" w:cs="宋体"/>
                          <w:sz w:val="24"/>
                          <w:szCs w:val="24"/>
                          <w:lang w:eastAsia="zh-CN"/>
                        </w:rPr>
                        <w:t>日</w:t>
                      </w:r>
                      <w:r>
                        <w:rPr>
                          <w:rFonts w:hint="eastAsia" w:ascii="宋体" w:hAnsi="宋体" w:cs="宋体"/>
                          <w:sz w:val="24"/>
                          <w:szCs w:val="24"/>
                        </w:rPr>
                        <w:t xml:space="preserve">  14：00（北京时间）前递交（上传）投标文件。</w:t>
                      </w:r>
                    </w:p>
                  </w:txbxContent>
                </v:textbox>
                <w10:wrap type="topAndBottom"/>
              </v:shape>
            </w:pict>
          </mc:Fallback>
        </mc:AlternateContent>
      </w:r>
      <w:r>
        <w:rPr>
          <w:rFonts w:hint="eastAsia" w:ascii="宋体" w:hAnsi="宋体" w:cs="宋体"/>
          <w:b/>
          <w:bCs/>
          <w:color w:val="auto"/>
          <w:sz w:val="24"/>
          <w:szCs w:val="24"/>
          <w:highlight w:val="none"/>
        </w:rPr>
        <w:t>一、项目基本情况</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ZJWS2022-HYZYY07</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X射线计算机断层扫描装置采购项目</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lang w:eastAsia="zh-CN"/>
        </w:rPr>
        <w:t>6000000</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最高限价（元）：</w:t>
      </w:r>
      <w:r>
        <w:rPr>
          <w:rFonts w:hint="eastAsia" w:ascii="宋体" w:hAnsi="宋体" w:cs="宋体"/>
          <w:color w:val="auto"/>
          <w:sz w:val="24"/>
          <w:szCs w:val="24"/>
          <w:highlight w:val="none"/>
          <w:lang w:eastAsia="zh-CN"/>
        </w:rPr>
        <w:t>6000000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标项名称</w:t>
      </w:r>
      <w:r>
        <w:rPr>
          <w:rFonts w:hint="eastAsia" w:ascii="宋体" w:hAnsi="宋体" w:cs="宋体"/>
          <w:color w:val="auto"/>
          <w:sz w:val="24"/>
          <w:szCs w:val="24"/>
          <w:highlight w:val="none"/>
          <w:lang w:eastAsia="zh-CN"/>
        </w:rPr>
        <w:t>：X射线计算机断层扫描装置采购项目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数量: 1</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预算金额（元）: </w:t>
      </w:r>
      <w:r>
        <w:rPr>
          <w:rFonts w:hint="eastAsia" w:ascii="宋体" w:hAnsi="宋体" w:cs="宋体"/>
          <w:color w:val="auto"/>
          <w:sz w:val="24"/>
          <w:szCs w:val="24"/>
          <w:highlight w:val="none"/>
          <w:lang w:eastAsia="zh-CN"/>
        </w:rPr>
        <w:t>6000000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简要规格描述或项目基本概况介绍、用途：具体详见招标需求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备注：本次采购产品非进口产品。</w:t>
      </w:r>
    </w:p>
    <w:p>
      <w:pPr>
        <w:spacing w:line="360" w:lineRule="auto"/>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本项目（是）接受联合体投标。</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二、申请人的资格要求：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color w:val="auto"/>
          <w:sz w:val="24"/>
          <w:highlight w:val="none"/>
          <w:lang w:val="zh-CN"/>
        </w:rPr>
      </w:pPr>
      <w:r>
        <w:rPr>
          <w:rFonts w:hint="eastAsia" w:ascii="宋体" w:hAnsi="宋体" w:eastAsia="宋体" w:cs="宋体"/>
          <w:color w:val="auto"/>
          <w:sz w:val="24"/>
          <w:szCs w:val="24"/>
          <w:highlight w:val="none"/>
        </w:rPr>
        <w:t>3.本项目的特定资格要求：无。</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三、获取招标文件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时间：/至</w:t>
      </w:r>
      <w:r>
        <w:rPr>
          <w:rFonts w:hint="eastAsia" w:ascii="宋体" w:hAnsi="宋体" w:cs="宋体"/>
          <w:color w:val="auto"/>
          <w:sz w:val="24"/>
          <w:szCs w:val="24"/>
          <w:highlight w:val="none"/>
          <w:lang w:eastAsia="zh-CN"/>
        </w:rPr>
        <w:t>2022年12月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，每天上午00:00至12:00，下午12:00至23:59（北京时间，线上获取法定节假日均可，线下获取文件法定节假日除外）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地点（网址）：政采云平台（http：//zfcg.czt.zj.gov.cn）</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方式：供应商登录政采云平台https://www.zcygov.cn/在线申请获取采购文件（进入“项目采购”应用，在获取采购文件菜单中选择项目，申请获取采购文件）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售价（元）：0</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四、提交投标文件截止时间、开标时间和地点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提交投标文件截止时间：</w:t>
      </w:r>
      <w:r>
        <w:rPr>
          <w:rFonts w:hint="eastAsia" w:ascii="宋体" w:hAnsi="宋体" w:cs="宋体"/>
          <w:color w:val="auto"/>
          <w:sz w:val="24"/>
          <w:szCs w:val="24"/>
          <w:highlight w:val="none"/>
          <w:lang w:eastAsia="zh-CN"/>
        </w:rPr>
        <w:t>2022年12月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 xml:space="preserve">  14：00（北京时间）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投标地点（网址）：电子加密投标文件上传至：政府采购云平台（www.zcygov.cn）</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lang w:eastAsia="zh-CN"/>
        </w:rPr>
        <w:t>2022年12月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 xml:space="preserve">  14：00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开标地点（网址）：台州市黄岩区人民政府采购中心（黄岩区直下街69号3号楼203室）</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五、公告期限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pPr>
        <w:spacing w:line="360" w:lineRule="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六、其他补充事宜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4.其他事项：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4.2投标人通过政采云平台电子投标工具制作投标文件，电子投标工具请供应商自行前往浙江政府采购网下载并安装（下载网址：http://zfcg.czt.zj.gov.cn/bidClientTemplate/2019-05-27/12946.html）。</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4.3投标人应在开标前完成CA数字证书办理（办理流程详见http://zfcg.czt.zj.gov.cn/bidClientTemplate/2019-05-27/12945.html，完成CA数字证书办理预计一周左右，请各投标人自行把握时间）。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4.5供应商如对采购文件有异议应按规定的时间提出，逾期提出的，采购组织机构可不予受理、答复。</w:t>
      </w:r>
    </w:p>
    <w:p>
      <w:pPr>
        <w:spacing w:line="360" w:lineRule="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七、对本次采购提出询问、质疑、投诉，请按以下方式联系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   称：台州市黄岩区中医院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址：黄岩区青年西路146号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   真：/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项目联系人（询问）：辛先生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项目联系方式（询问）：0576-84031039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质疑联系人：戴冬初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质疑联系方式：18257625507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名称：浙江五石中正工程咨询有限公司</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地址：杭州市拱墅区白石路318号中国（杭州）人力资源服务产业园北楼512室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传真：0571-85342190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项目联系人（询问）：周丽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项目联系方式（询问）：0576-88781913</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质疑联系人：徐少媚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质疑联系方式：0576-88785265</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3.同级政府采购监督管理部门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名称：台州市黄岩区财政局政府采购监管科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地址：台州市黄岩区劳动南路289号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联系人：宋先生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监督投诉电话：0576-84222959</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八、其余事项：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中标人如有融资需求，可使用以下银行的政采贷服务。</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1572"/>
        <w:gridCol w:w="13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银行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贷款年利率</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中国工商银行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王霖</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中国农业银行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龚盛</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中国建设银行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梅晶晶</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中国银行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任茜</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王渊</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浦发银行椒江分行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孙瑞华</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交通银行台州分行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周翔宇</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招商银行台州分行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4.32%起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王海玲</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浙商银行台州分行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5.01%起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章涉漪</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中信银行台州分行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4.15%起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陈金园</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华夏银行台州分行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邱明达</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泰隆银行开发区支行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梁宛莉</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民泰银行椒江支行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5.8%起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陈慧珠</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绍兴银行台州分行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5.1%起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郭庭斌</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温州银行台州分行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4.55%起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王晓波</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平安银行台州分行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6.53%起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李俊丽</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宁波银行台州分行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4.35%起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戴莉丽</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金华银行台州分行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金雪婷</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台州银行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洪婷</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邮储银行台州分行</w:t>
            </w:r>
          </w:p>
        </w:tc>
        <w:tc>
          <w:tcPr>
            <w:tcW w:w="923"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3.85%起</w:t>
            </w:r>
          </w:p>
        </w:tc>
        <w:tc>
          <w:tcPr>
            <w:tcW w:w="79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董庆</w:t>
            </w:r>
          </w:p>
        </w:tc>
        <w:tc>
          <w:tcPr>
            <w:tcW w:w="173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81888982/18957683735</w:t>
            </w:r>
          </w:p>
        </w:tc>
      </w:tr>
    </w:tbl>
    <w:p>
      <w:pPr>
        <w:spacing w:line="360" w:lineRule="auto"/>
        <w:rPr>
          <w:rFonts w:ascii="宋体" w:hAnsi="宋体" w:cs="宋体"/>
          <w:color w:val="auto"/>
          <w:sz w:val="24"/>
          <w:szCs w:val="24"/>
          <w:highlight w:val="none"/>
        </w:rPr>
      </w:pPr>
    </w:p>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合同履约保函联系方式</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5"/>
        <w:gridCol w:w="2260"/>
        <w:gridCol w:w="984"/>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6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6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永诚财产保险股份有限公司台州分公司</w:t>
            </w:r>
          </w:p>
        </w:tc>
        <w:tc>
          <w:tcPr>
            <w:tcW w:w="226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年费率1%，最低保费1000元</w:t>
            </w:r>
          </w:p>
        </w:tc>
        <w:tc>
          <w:tcPr>
            <w:tcW w:w="985"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尹刚强</w:t>
            </w:r>
          </w:p>
        </w:tc>
        <w:tc>
          <w:tcPr>
            <w:tcW w:w="1536"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华泰财产保险有限公司台州中心支公司</w:t>
            </w:r>
          </w:p>
        </w:tc>
        <w:tc>
          <w:tcPr>
            <w:tcW w:w="226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年费率0.5%，最低保费1000元</w:t>
            </w:r>
          </w:p>
        </w:tc>
        <w:tc>
          <w:tcPr>
            <w:tcW w:w="985"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王灵芳</w:t>
            </w:r>
          </w:p>
        </w:tc>
        <w:tc>
          <w:tcPr>
            <w:tcW w:w="1536"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中国大地财产保险股份有限公司台州中心支公司</w:t>
            </w:r>
          </w:p>
        </w:tc>
        <w:tc>
          <w:tcPr>
            <w:tcW w:w="226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年费率1.5%，最低保费1000元</w:t>
            </w:r>
          </w:p>
        </w:tc>
        <w:tc>
          <w:tcPr>
            <w:tcW w:w="985"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徐小明</w:t>
            </w:r>
          </w:p>
        </w:tc>
        <w:tc>
          <w:tcPr>
            <w:tcW w:w="1536"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6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中华联合财产保险股份有限公司台州中心支公司</w:t>
            </w:r>
          </w:p>
        </w:tc>
        <w:tc>
          <w:tcPr>
            <w:tcW w:w="226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年费率2%，最低保费500元</w:t>
            </w:r>
          </w:p>
        </w:tc>
        <w:tc>
          <w:tcPr>
            <w:tcW w:w="985"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王仙高</w:t>
            </w:r>
          </w:p>
        </w:tc>
        <w:tc>
          <w:tcPr>
            <w:tcW w:w="1536"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中国人民财产保险股份有限公司台州中心支公司</w:t>
            </w:r>
          </w:p>
        </w:tc>
        <w:tc>
          <w:tcPr>
            <w:tcW w:w="226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年费率0.3%，最低保费1000元</w:t>
            </w:r>
          </w:p>
        </w:tc>
        <w:tc>
          <w:tcPr>
            <w:tcW w:w="985"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王仙春</w:t>
            </w:r>
          </w:p>
        </w:tc>
        <w:tc>
          <w:tcPr>
            <w:tcW w:w="1536"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永安财产保险股份有限公司台州中心支公司</w:t>
            </w:r>
          </w:p>
        </w:tc>
        <w:tc>
          <w:tcPr>
            <w:tcW w:w="226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w:t>
            </w:r>
          </w:p>
        </w:tc>
        <w:tc>
          <w:tcPr>
            <w:tcW w:w="985"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王春宇</w:t>
            </w:r>
          </w:p>
        </w:tc>
        <w:tc>
          <w:tcPr>
            <w:tcW w:w="1536"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13676675331</w:t>
            </w:r>
          </w:p>
        </w:tc>
      </w:tr>
    </w:tbl>
    <w:p>
      <w:pPr>
        <w:spacing w:line="360" w:lineRule="auto"/>
        <w:rPr>
          <w:rFonts w:ascii="宋体" w:hAnsi="宋体" w:cs="宋体"/>
          <w:color w:val="auto"/>
          <w:sz w:val="24"/>
          <w:szCs w:val="24"/>
          <w:highlight w:val="none"/>
        </w:rPr>
      </w:pPr>
    </w:p>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预付款保函联系方式</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3"/>
        <w:gridCol w:w="2273"/>
        <w:gridCol w:w="984"/>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7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7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年费率3%，最低保费500元</w:t>
            </w:r>
          </w:p>
        </w:tc>
        <w:tc>
          <w:tcPr>
            <w:tcW w:w="985"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7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天安财产保险股份有限公司台州中心支公司</w:t>
            </w:r>
          </w:p>
        </w:tc>
        <w:tc>
          <w:tcPr>
            <w:tcW w:w="2274"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年费率1%-2%，最低保费500元</w:t>
            </w:r>
          </w:p>
        </w:tc>
        <w:tc>
          <w:tcPr>
            <w:tcW w:w="985"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罗赛</w:t>
            </w:r>
          </w:p>
        </w:tc>
        <w:tc>
          <w:tcPr>
            <w:tcW w:w="153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13736605643</w:t>
            </w:r>
          </w:p>
        </w:tc>
      </w:tr>
    </w:tbl>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35"/>
        <w:rPr>
          <w:rFonts w:ascii="宋体" w:hAnsi="宋体" w:eastAsia="宋体" w:cs="宋体"/>
          <w:color w:val="auto"/>
          <w:highlight w:val="none"/>
        </w:rPr>
      </w:pPr>
    </w:p>
    <w:p>
      <w:pPr>
        <w:pStyle w:val="19"/>
        <w:rPr>
          <w:rFonts w:ascii="宋体" w:hAnsi="宋体" w:cs="宋体"/>
          <w:color w:val="auto"/>
          <w:sz w:val="24"/>
          <w:szCs w:val="24"/>
          <w:highlight w:val="none"/>
        </w:rPr>
      </w:pPr>
    </w:p>
    <w:p>
      <w:pPr>
        <w:pStyle w:val="16"/>
        <w:rPr>
          <w:rFonts w:ascii="宋体" w:hAnsi="宋体" w:cs="宋体"/>
          <w:color w:val="auto"/>
          <w:sz w:val="24"/>
          <w:szCs w:val="24"/>
          <w:highlight w:val="none"/>
        </w:rPr>
      </w:pPr>
    </w:p>
    <w:p>
      <w:pPr>
        <w:rPr>
          <w:rFonts w:ascii="宋体" w:hAnsi="宋体" w:cs="宋体"/>
          <w:color w:val="auto"/>
          <w:sz w:val="24"/>
          <w:szCs w:val="24"/>
          <w:highlight w:val="none"/>
        </w:rPr>
      </w:pPr>
    </w:p>
    <w:p>
      <w:pPr>
        <w:pStyle w:val="35"/>
        <w:rPr>
          <w:rFonts w:ascii="宋体" w:hAnsi="宋体" w:eastAsia="宋体" w:cs="宋体"/>
          <w:color w:val="auto"/>
          <w:highlight w:val="none"/>
        </w:rPr>
      </w:pPr>
    </w:p>
    <w:p>
      <w:pPr>
        <w:pStyle w:val="19"/>
        <w:rPr>
          <w:rFonts w:ascii="宋体" w:hAnsi="宋体" w:cs="宋体"/>
          <w:color w:val="auto"/>
          <w:sz w:val="24"/>
          <w:szCs w:val="24"/>
          <w:highlight w:val="none"/>
        </w:rPr>
      </w:pPr>
    </w:p>
    <w:p>
      <w:pPr>
        <w:pStyle w:val="16"/>
        <w:rPr>
          <w:rFonts w:ascii="宋体" w:hAnsi="宋体" w:cs="宋体"/>
          <w:color w:val="auto"/>
          <w:sz w:val="24"/>
          <w:szCs w:val="24"/>
          <w:highlight w:val="none"/>
        </w:rPr>
      </w:pPr>
    </w:p>
    <w:p>
      <w:pPr>
        <w:rPr>
          <w:rFonts w:ascii="宋体" w:hAnsi="宋体" w:cs="宋体"/>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398"/>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4" w:type="pct"/>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821" w:type="pct"/>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w:t>
            </w:r>
          </w:p>
        </w:tc>
        <w:tc>
          <w:tcPr>
            <w:tcW w:w="3795" w:type="pct"/>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21"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供应商特定资格要求</w:t>
            </w:r>
          </w:p>
        </w:tc>
        <w:tc>
          <w:tcPr>
            <w:tcW w:w="3795" w:type="pc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821"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答疑会或现场踏勘</w:t>
            </w:r>
          </w:p>
        </w:tc>
        <w:tc>
          <w:tcPr>
            <w:tcW w:w="3795" w:type="pc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各投标单位自行前往勘察现场和周围环境，所产生的费用由投标单位自理。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821"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投标文件递交要求</w:t>
            </w:r>
          </w:p>
        </w:tc>
        <w:tc>
          <w:tcPr>
            <w:tcW w:w="379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本项目实行电子投标，供应商应准备电子投标文件、还可以提供以介质存储的数据电文形式的备份投标文件、纸质备份投标文件：</w:t>
            </w:r>
          </w:p>
          <w:p>
            <w:pPr>
              <w:numPr>
                <w:ilvl w:val="0"/>
                <w:numId w:val="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电子投标文件，按政采云平台项目采购--电子招投标操作指南及本招标文件要求编制、递交。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2.经政采云加密处理、以介质存储的数据电文形式的备份投标文件，按政采云平台项目采购-电子招投标操作指南中上传的电子投标文件格式，以U盘形式提供。数量为1份。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纸质备份投标文件以纸质文件的形式编制，按资格证明文件、商务技术文件、报价文件分别编制并单独装订成册，数量均为两份（正本一份、副本一份）。资格证明文件、商务技术文件、报价文件三部分须分别密封封装，资格证明文件、商务技术文件、报价文件未分别密封的投标文件将为无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5.未传输递交电子投标文件的，投标无效。未按规定提供相应的备份投标文件，如发生电子投标文件无法正常开启的情况，造成项目开评标活动无法进行下去的，投标无效。仅递交备份文件的，投标无效。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②采用邮寄方式，建议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821"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3795" w:type="pc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821"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w:t>
            </w:r>
          </w:p>
        </w:tc>
        <w:tc>
          <w:tcPr>
            <w:tcW w:w="3795" w:type="pct"/>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2022年12月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 xml:space="preserve">  14：00</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bookmarkStart w:id="2" w:name="_GoBack"/>
            <w:bookmarkEnd w:id="2"/>
            <w:r>
              <w:rPr>
                <w:rFonts w:hint="eastAsia" w:ascii="宋体" w:hAnsi="宋体" w:cs="宋体"/>
                <w:color w:val="auto"/>
                <w:sz w:val="24"/>
                <w:szCs w:val="24"/>
                <w:highlight w:val="none"/>
              </w:rPr>
              <w:t>，并在开标当日投标截止时间前提交备份投标文件。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821"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开标时间及地点</w:t>
            </w:r>
          </w:p>
        </w:tc>
        <w:tc>
          <w:tcPr>
            <w:tcW w:w="3795" w:type="pc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2022年12月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 xml:space="preserve">  14：00</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地点：台州市黄岩区人民政府采购中心（黄岩区直下街69号3号楼203室）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821"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信用记录相关说明</w:t>
            </w:r>
          </w:p>
        </w:tc>
        <w:tc>
          <w:tcPr>
            <w:tcW w:w="3795" w:type="pct"/>
            <w:vAlign w:val="center"/>
          </w:tcPr>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1）信用信息查询的截止时点：开标后评标前；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2）查询渠道：“信用中国”（www.creditchina.gov.cn）、“中国政府采购网”（www.ccgp.gov.cn）、“浙江政府采购网（www.zjzfcg.gov.cn）；</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3）信用信息查询记录和证据留存具体方式：采购代理机构经办人和监督人员将查询网页打印与其他采购相关文件一并保存；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4）信用信息的使用规则：投标人存在不良信用记录的，其投标将被作为无效投标被拒绝。</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3.不良信用记录指：被列入失信被执行人、重大税收违法失信主体、政府采购严重违法失信行为记录名单或浙江政府采购网曝光台中尚在行政处罚期内的。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821" w:type="pct"/>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实质性条款</w:t>
            </w:r>
          </w:p>
        </w:tc>
        <w:tc>
          <w:tcPr>
            <w:tcW w:w="3795" w:type="pct"/>
            <w:vAlign w:val="center"/>
          </w:tcPr>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821" w:type="pct"/>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是否提供样品</w:t>
            </w:r>
            <w:r>
              <w:rPr>
                <w:rFonts w:hint="eastAsia" w:ascii="宋体" w:hAnsi="宋体" w:cs="宋体"/>
                <w:color w:val="auto"/>
                <w:sz w:val="24"/>
                <w:szCs w:val="24"/>
                <w:highlight w:val="none"/>
              </w:rPr>
              <w:t>及演示</w:t>
            </w:r>
          </w:p>
        </w:tc>
        <w:tc>
          <w:tcPr>
            <w:tcW w:w="3795" w:type="pct"/>
            <w:vAlign w:val="center"/>
          </w:tcPr>
          <w:p>
            <w:pPr>
              <w:autoSpaceDE w:val="0"/>
              <w:autoSpaceDN w:val="0"/>
              <w:adjustRightIn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否</w:t>
            </w:r>
            <w:r>
              <w:rPr>
                <w:rFonts w:hint="eastAsia" w:ascii="宋体" w:hAnsi="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highlight w:val="none"/>
              </w:rPr>
              <w:t>10</w:t>
            </w:r>
          </w:p>
        </w:tc>
        <w:tc>
          <w:tcPr>
            <w:tcW w:w="1398" w:type="dxa"/>
            <w:vAlign w:val="center"/>
          </w:tcPr>
          <w:p>
            <w:pPr>
              <w:widowControl/>
              <w:spacing w:line="360" w:lineRule="auto"/>
              <w:jc w:val="center"/>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是否专门面向中小微企业采购</w:t>
            </w:r>
          </w:p>
        </w:tc>
        <w:tc>
          <w:tcPr>
            <w:tcW w:w="6464" w:type="dxa"/>
            <w:vAlign w:val="center"/>
          </w:tcPr>
          <w:p>
            <w:pPr>
              <w:widowControl/>
              <w:spacing w:line="360" w:lineRule="auto"/>
              <w:jc w:val="left"/>
              <w:rPr>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是 </w:t>
            </w:r>
          </w:p>
          <w:p>
            <w:pPr>
              <w:widowControl/>
              <w:spacing w:line="360" w:lineRule="auto"/>
              <w:jc w:val="left"/>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821" w:type="pct"/>
            <w:vAlign w:val="center"/>
          </w:tcPr>
          <w:p>
            <w:pPr>
              <w:spacing w:line="360" w:lineRule="auto"/>
              <w:jc w:val="center"/>
              <w:rPr>
                <w:rFonts w:ascii="宋体" w:hAnsi="宋体" w:cs="宋体"/>
                <w:color w:val="auto"/>
                <w:sz w:val="24"/>
                <w:szCs w:val="24"/>
                <w:highlight w:val="none"/>
                <w:lang w:val="zh-CN"/>
              </w:rPr>
            </w:pPr>
            <w:r>
              <w:rPr>
                <w:rFonts w:hint="eastAsia" w:ascii="宋体" w:hAnsi="宋体" w:cs="宋体"/>
                <w:color w:val="auto"/>
                <w:sz w:val="24"/>
                <w:highlight w:val="none"/>
              </w:rPr>
              <w:t>中小企业划分标准所属行业</w:t>
            </w:r>
          </w:p>
        </w:tc>
        <w:tc>
          <w:tcPr>
            <w:tcW w:w="3795" w:type="pct"/>
            <w:vAlign w:val="center"/>
          </w:tcPr>
          <w:p>
            <w:pPr>
              <w:spacing w:line="360" w:lineRule="auto"/>
              <w:rPr>
                <w:rFonts w:ascii="宋体" w:hAnsi="宋体" w:cs="宋体"/>
                <w:color w:val="auto"/>
                <w:sz w:val="24"/>
                <w:szCs w:val="24"/>
                <w:highlight w:val="none"/>
                <w:lang w:val="zh-CN"/>
              </w:rPr>
            </w:pPr>
            <w:r>
              <w:rPr>
                <w:rFonts w:hint="eastAsia" w:ascii="宋体" w:hAnsi="宋体" w:cs="宋体"/>
                <w:color w:val="auto"/>
                <w:sz w:val="24"/>
                <w:highlight w:val="none"/>
              </w:rPr>
              <w:t>所属行业：工业（制造业）。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821" w:type="pct"/>
            <w:vAlign w:val="center"/>
          </w:tcPr>
          <w:p>
            <w:pPr>
              <w:spacing w:line="360" w:lineRule="auto"/>
              <w:ind w:left="1"/>
              <w:jc w:val="center"/>
              <w:textAlignment w:val="bottom"/>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节能环保</w:t>
            </w:r>
          </w:p>
        </w:tc>
        <w:tc>
          <w:tcPr>
            <w:tcW w:w="3795" w:type="pct"/>
            <w:vAlign w:val="center"/>
          </w:tcPr>
          <w:p>
            <w:pPr>
              <w:spacing w:line="360" w:lineRule="auto"/>
              <w:ind w:left="1"/>
              <w:jc w:val="left"/>
              <w:textAlignment w:val="bottom"/>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1、节能产品的强制采购政策</w:t>
            </w:r>
          </w:p>
          <w:p>
            <w:pPr>
              <w:spacing w:line="360" w:lineRule="auto"/>
              <w:ind w:left="1"/>
              <w:jc w:val="left"/>
              <w:textAlignment w:val="bottom"/>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注：本项目执行最新政府采购节能产品、环境标志产品品目清单。）</w:t>
            </w:r>
          </w:p>
          <w:p>
            <w:pPr>
              <w:spacing w:line="360" w:lineRule="auto"/>
              <w:ind w:left="1"/>
              <w:jc w:val="left"/>
              <w:textAlignment w:val="bottom"/>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2、节能产品、环境标志产品的优先采购政策</w:t>
            </w:r>
          </w:p>
          <w:p>
            <w:pPr>
              <w:spacing w:line="360" w:lineRule="auto"/>
              <w:ind w:left="1"/>
              <w:jc w:val="left"/>
              <w:textAlignment w:val="bottom"/>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821" w:type="pct"/>
            <w:vAlign w:val="center"/>
          </w:tcPr>
          <w:p>
            <w:pPr>
              <w:spacing w:line="360" w:lineRule="auto"/>
              <w:jc w:val="center"/>
              <w:rPr>
                <w:rFonts w:ascii="宋体" w:hAnsi="宋体" w:cs="宋体"/>
                <w:color w:val="auto"/>
                <w:sz w:val="24"/>
                <w:szCs w:val="24"/>
                <w:highlight w:val="none"/>
                <w:lang w:val="zh-CN"/>
              </w:rPr>
            </w:pPr>
            <w:r>
              <w:rPr>
                <w:rFonts w:hint="eastAsia" w:ascii="宋体" w:hAnsi="宋体" w:cs="宋体"/>
                <w:color w:val="auto"/>
                <w:sz w:val="24"/>
                <w:highlight w:val="none"/>
              </w:rPr>
              <w:t>履约保证金</w:t>
            </w:r>
          </w:p>
        </w:tc>
        <w:tc>
          <w:tcPr>
            <w:tcW w:w="3795" w:type="pct"/>
            <w:vAlign w:val="center"/>
          </w:tcPr>
          <w:p>
            <w:pPr>
              <w:spacing w:line="360" w:lineRule="auto"/>
              <w:rPr>
                <w:rFonts w:ascii="宋体" w:hAnsi="宋体" w:cs="宋体"/>
                <w:color w:val="auto"/>
                <w:sz w:val="24"/>
                <w:szCs w:val="24"/>
                <w:highlight w:val="none"/>
                <w:lang w:val="zh-CN"/>
              </w:rPr>
            </w:pPr>
            <w:r>
              <w:rPr>
                <w:rFonts w:hint="eastAsia" w:ascii="宋体" w:hAnsi="宋体" w:cs="宋体"/>
                <w:bCs/>
                <w:color w:val="auto"/>
                <w:sz w:val="24"/>
                <w:highlight w:val="none"/>
              </w:rPr>
              <w:t>本项目不设履约保证金。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84"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821" w:type="pc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3795" w:type="pc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1、各供应商自行在浙江政府采购网下载或查阅采购文件和相关更正公告等，不另行通知，如有遗漏采购人、采购代理机构概不负责。</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pPr>
              <w:pStyle w:val="11"/>
              <w:spacing w:line="360" w:lineRule="auto"/>
              <w:rPr>
                <w:rFonts w:ascii="宋体" w:hAnsi="宋体" w:cs="宋体"/>
                <w:color w:val="auto"/>
                <w:highlight w:val="none"/>
              </w:rPr>
            </w:pPr>
            <w:r>
              <w:rPr>
                <w:rFonts w:hint="eastAsia" w:ascii="宋体" w:hAnsi="宋体" w:cs="宋体"/>
                <w:color w:val="auto"/>
                <w:highlight w:val="none"/>
              </w:rPr>
              <w:t>3、</w:t>
            </w:r>
            <w:r>
              <w:rPr>
                <w:rFonts w:hint="eastAsia" w:ascii="宋体" w:hAnsi="宋体" w:cs="宋体"/>
                <w:b/>
                <w:bCs/>
                <w:color w:val="auto"/>
                <w:highlight w:val="none"/>
              </w:rPr>
              <w:t>开标时间后30分钟内供应商须携带CA自备电脑登录“政采云”平台，用“项目采购-开标评标”功能解密投标文件，投标人未按时解密或解密失败的，其上传的电子投标文件自动失效。</w:t>
            </w:r>
          </w:p>
        </w:tc>
      </w:tr>
    </w:tbl>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一、总则</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（一）适用范围</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（二）定义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“采购组织机构”指采购人委托组织招标的采购代理机构。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、采购人：是指委托采购代理机构采购本次项目的国家机关、事业单位和团体组织。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、服务：是指除货物和工程以外的政府采购对象，包括各类专业服务、信息网络开发服务、金融保险服务、运输服务，以及养护与维护服务等。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（三）投标费用</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（四）特别说明</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供应商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ascii="宋体"/>
          <w:color w:val="auto"/>
          <w:sz w:val="24"/>
          <w:szCs w:val="24"/>
          <w:highlight w:val="none"/>
        </w:rPr>
        <w:tab/>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w:t>
      </w:r>
      <w:r>
        <w:rPr>
          <w:rFonts w:ascii="宋体" w:cs="宋体"/>
          <w:color w:val="auto"/>
          <w:sz w:val="24"/>
          <w:szCs w:val="24"/>
          <w:highlight w:val="none"/>
        </w:rPr>
        <w:t>,</w:t>
      </w:r>
      <w:r>
        <w:rPr>
          <w:rFonts w:hint="eastAsia" w:ascii="宋体" w:hAnsi="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、为采购项目提供整体设计、规范编制或者项目管理、监理、检测等服务的供应商，不得再参加该采购项目的其他采购活动。</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、投标文件格式中的表格式样可以根据项目差别做适当调整</w:t>
      </w:r>
      <w:r>
        <w:rPr>
          <w:rFonts w:ascii="宋体" w:cs="宋体"/>
          <w:color w:val="auto"/>
          <w:sz w:val="24"/>
          <w:szCs w:val="24"/>
          <w:highlight w:val="none"/>
        </w:rPr>
        <w:t>,</w:t>
      </w:r>
      <w:r>
        <w:rPr>
          <w:rFonts w:hint="eastAsia" w:ascii="宋体" w:hAnsi="宋体" w:cs="宋体"/>
          <w:color w:val="auto"/>
          <w:sz w:val="24"/>
          <w:szCs w:val="24"/>
          <w:highlight w:val="none"/>
        </w:rPr>
        <w:t>但应当保持表格样式基本形态不变。</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pPr>
        <w:spacing w:line="360" w:lineRule="auto"/>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7、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spacing w:line="360" w:lineRule="auto"/>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8、本项目禁止转包、不允许分包。</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二、招标文件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pPr>
        <w:spacing w:line="360" w:lineRule="auto"/>
        <w:ind w:firstLine="480" w:firstLineChars="200"/>
        <w:outlineLvl w:val="0"/>
        <w:rPr>
          <w:rFonts w:ascii="宋体"/>
          <w:color w:val="auto"/>
          <w:sz w:val="24"/>
          <w:szCs w:val="24"/>
          <w:highlight w:val="none"/>
        </w:rPr>
      </w:pPr>
      <w:r>
        <w:rPr>
          <w:rFonts w:hint="eastAsia" w:ascii="宋体" w:hAnsi="宋体" w:cs="宋体"/>
          <w:color w:val="auto"/>
          <w:sz w:val="24"/>
          <w:szCs w:val="24"/>
          <w:highlight w:val="none"/>
        </w:rPr>
        <w:t>（二）招标文件的澄清或修改</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日前，在原公告发布媒体上发布澄清公告，澄清或者修改的内容为招标文件的组成部分；不足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日的，采购人或者采购组织机构应当顺延提交投标文件的截止时间。</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三、投标文件</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lang w:val="zh-CN"/>
        </w:rPr>
        <w:t>（一）</w:t>
      </w:r>
      <w:r>
        <w:rPr>
          <w:rFonts w:hint="eastAsia" w:ascii="宋体" w:hAnsi="宋体" w:cs="宋体"/>
          <w:b/>
          <w:bCs/>
          <w:color w:val="auto"/>
          <w:sz w:val="24"/>
          <w:szCs w:val="24"/>
          <w:highlight w:val="none"/>
        </w:rPr>
        <w:t>投标文件的组成</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投标人接到招标文件后，按照采购组织机构的要求提供：资格证明文件、商务与技术文件和报价文件。</w:t>
      </w:r>
      <w:r>
        <w:rPr>
          <w:rFonts w:hint="eastAsia" w:ascii="宋体" w:hAnsi="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pPr>
        <w:spacing w:line="360" w:lineRule="auto"/>
        <w:ind w:firstLine="480" w:firstLineChars="200"/>
        <w:outlineLvl w:val="0"/>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（2）授权委托书（附件3）；（法定代表人亲自办理投标事宜的，则无需提交）；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480" w:firstLineChars="200"/>
        <w:outlineLvl w:val="0"/>
        <w:rPr>
          <w:rFonts w:ascii="宋体" w:hAnsi="宋体" w:cs="宋体"/>
          <w:color w:val="auto"/>
          <w:sz w:val="24"/>
          <w:szCs w:val="32"/>
          <w:highlight w:val="none"/>
        </w:rPr>
      </w:pPr>
      <w:r>
        <w:rPr>
          <w:rFonts w:hint="eastAsia" w:ascii="宋体" w:hAnsi="宋体" w:cs="宋体"/>
          <w:color w:val="auto"/>
          <w:sz w:val="24"/>
          <w:szCs w:val="32"/>
          <w:highlight w:val="none"/>
        </w:rPr>
        <w:t>（4）良好财务状况证明材料；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（5）提供采购公告中符合供应商特定条件的有效资质证书复印件（投标供应商特定条件中有要求的必须提供），以及需要说明的其他资料；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（6）联合体协议（若非联合体投标则无需提供）。</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（1）投标人情况介绍（附件5）；</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项目实施人员一览表（附件6）</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项目负责人资格情况表（附件7）</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pPr>
        <w:spacing w:line="360" w:lineRule="auto"/>
        <w:ind w:firstLine="480" w:firstLineChars="200"/>
        <w:outlineLvl w:val="0"/>
        <w:rPr>
          <w:rFonts w:ascii="宋体" w:hAnsi="宋体" w:cs="宋体"/>
          <w:color w:val="auto"/>
          <w:sz w:val="24"/>
          <w:szCs w:val="32"/>
          <w:highlight w:val="none"/>
        </w:rPr>
      </w:pPr>
      <w:r>
        <w:rPr>
          <w:rFonts w:hint="eastAsia" w:ascii="宋体" w:hAnsi="宋体" w:cs="宋体"/>
          <w:color w:val="auto"/>
          <w:sz w:val="24"/>
          <w:szCs w:val="32"/>
          <w:highlight w:val="none"/>
        </w:rPr>
        <w:t>A. 供货清单（附件8）</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 投标人应当提供完整的、真实的投标产品原厂技术支持资料（如投标机型的样本或彩页和原厂技术参数、原始出厂数据表（DATASHEET）、技术白皮书、产品相关检测报告等）。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 投标人应当根据需要提供投标产品的原厂标准配置表及原厂中文使用说明书、操作手册等。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（4）食品药品监督管理部门核发的完整有效的医疗器械注册或备案证明；（适用于按医疗器械管理的设备）；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（5）投标产品主体列入节能产品证明资料、投标产品主体列入环境标志产品证明资料（如有）；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（6）技术需求响应表（附件9）；</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（7）证书一览表（附件10）；</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（8）投标人类似项目实施情况一览表（附件11）；</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（9）商务需求响应表（附件12）；</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（10）售后服务情况表（附件13）；</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（11）常用配件和耗品情况表：价格清单（标明各种相关配件和耗品的型号、价格、注册证号等）</w:t>
      </w:r>
    </w:p>
    <w:p>
      <w:pPr>
        <w:snapToGrid w:val="0"/>
        <w:spacing w:line="360" w:lineRule="auto"/>
        <w:ind w:firstLine="470" w:firstLineChars="196"/>
        <w:rPr>
          <w:rFonts w:ascii="宋体" w:hAnsi="宋体" w:cs="宋体"/>
          <w:color w:val="auto"/>
          <w:sz w:val="24"/>
          <w:szCs w:val="32"/>
          <w:highlight w:val="none"/>
        </w:rPr>
      </w:pPr>
      <w:r>
        <w:rPr>
          <w:rFonts w:hint="eastAsia" w:ascii="宋体" w:hAnsi="宋体" w:cs="宋体"/>
          <w:color w:val="auto"/>
          <w:sz w:val="24"/>
          <w:szCs w:val="32"/>
          <w:highlight w:val="none"/>
        </w:rPr>
        <w:t>（12）投标人需要说明的其他内容。（包括可能影响投标人商务与技术文件评分的各类证明材料）</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3、报价文件的组成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）报价文件由开标一览表、报价明细表、中小企业等声明函（不符合中小企业要求的无需提供）以及投标人认为其他需要说明的内容组成。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）此报价为投标人一次性报出唯一的最终价格，包含其它一切所要涉及到的费用，有选择的报价将被拒绝。</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4</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政府采购优惠政策相关资料（如有）。</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）相关报价单需打印或用不褪色的墨水填写，投标报价单不得涂改和增删，如有错漏必须修改，修改处须由同一签署人签字或盖章。由于字迹模糊或表达不清引起的后果由投标人负责。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（6）投标报价应按招标文件中相关附表格式填写。</w:t>
      </w:r>
    </w:p>
    <w:p>
      <w:pPr>
        <w:spacing w:line="360" w:lineRule="auto"/>
        <w:ind w:firstLine="480" w:firstLineChars="200"/>
        <w:outlineLvl w:val="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（7）设备配置清单</w:t>
      </w:r>
      <w:r>
        <w:rPr>
          <w:rFonts w:hint="eastAsia" w:ascii="宋体" w:hAnsi="宋体" w:cs="宋体"/>
          <w:b/>
          <w:bCs/>
          <w:color w:val="auto"/>
          <w:sz w:val="24"/>
          <w:szCs w:val="24"/>
          <w:highlight w:val="none"/>
          <w:lang w:val="zh-CN"/>
        </w:rPr>
        <w:t>（含报价）投标单位供货过程中配件价格不高于报价</w:t>
      </w:r>
      <w:r>
        <w:rPr>
          <w:rFonts w:hint="eastAsia" w:ascii="宋体" w:hAnsi="宋体" w:cs="宋体"/>
          <w:color w:val="auto"/>
          <w:sz w:val="24"/>
          <w:szCs w:val="24"/>
          <w:highlight w:val="none"/>
          <w:lang w:val="zh-CN"/>
        </w:rPr>
        <w:t>。</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（二）投标文件的制作及递交要求</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、投标文件的制作要求</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）投标人应对所提供的全部资料的真实性承担法律责任，</w:t>
      </w:r>
      <w:r>
        <w:rPr>
          <w:rFonts w:hint="eastAsia" w:ascii="宋体" w:hAnsi="宋体" w:cs="宋体"/>
          <w:color w:val="auto"/>
          <w:sz w:val="24"/>
          <w:szCs w:val="24"/>
          <w:highlight w:val="none"/>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）若投标人不按招标文件的要求提供资格审查材料，其风险由投标人自行承担。</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）与本次投标无关的内容请不要制作在内，确保投标文件有针对性、简洁明了。</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①投标文件的编制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本项目实行电子投标，供应商应准备电子投标文件、</w:t>
      </w:r>
      <w:r>
        <w:rPr>
          <w:rFonts w:hint="eastAsia" w:ascii="宋体" w:hAnsi="宋体" w:cs="宋体"/>
          <w:color w:val="auto"/>
          <w:sz w:val="24"/>
          <w:highlight w:val="none"/>
        </w:rPr>
        <w:t>还可以提供以介质存储的数据电文形式的备份投标文件、纸质备份投标文件</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w:t>
      </w:r>
      <w:r>
        <w:rPr>
          <w:rFonts w:hint="eastAsia" w:ascii="宋体" w:hAnsi="宋体" w:cs="宋体"/>
          <w:color w:val="auto"/>
          <w:sz w:val="24"/>
          <w:szCs w:val="24"/>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投标人应当按照本章节“投标文件组成”规定的内容及顺序在“政采云电子交易客户端”编制投标文件。其中《</w:t>
      </w:r>
      <w:r>
        <w:rPr>
          <w:rFonts w:hint="eastAsia" w:ascii="宋体" w:hAnsi="宋体" w:cs="宋体"/>
          <w:color w:val="auto"/>
          <w:sz w:val="24"/>
          <w:szCs w:val="24"/>
          <w:highlight w:val="none"/>
        </w:rPr>
        <w:t>资格证明文件</w:t>
      </w:r>
      <w:r>
        <w:rPr>
          <w:rFonts w:hint="eastAsia" w:ascii="宋体" w:hAnsi="宋体" w:cs="宋体"/>
          <w:color w:val="auto"/>
          <w:sz w:val="24"/>
          <w:szCs w:val="24"/>
          <w:highlight w:val="none"/>
          <w:lang w:val="en-GB"/>
        </w:rPr>
        <w:t>》和《</w:t>
      </w:r>
      <w:r>
        <w:rPr>
          <w:rFonts w:hint="eastAsia" w:ascii="宋体" w:hAnsi="宋体" w:cs="宋体"/>
          <w:color w:val="auto"/>
          <w:sz w:val="24"/>
          <w:szCs w:val="24"/>
          <w:highlight w:val="none"/>
        </w:rPr>
        <w:t>商务技术文件</w:t>
      </w:r>
      <w:r>
        <w:rPr>
          <w:rFonts w:hint="eastAsia" w:ascii="宋体" w:hAnsi="宋体" w:cs="宋体"/>
          <w:color w:val="auto"/>
          <w:sz w:val="24"/>
          <w:szCs w:val="24"/>
          <w:highlight w:val="none"/>
          <w:lang w:val="en-GB"/>
        </w:rPr>
        <w:t>》中不得出现本项目投标报价，如因投标人原因提前泄露投标报价，是投标人的责任。</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zh-CN"/>
        </w:rPr>
        <w:t>1.</w:t>
      </w:r>
      <w:r>
        <w:rPr>
          <w:rFonts w:ascii="宋体" w:hAnsi="宋体" w:cs="宋体"/>
          <w:color w:val="auto"/>
          <w:sz w:val="24"/>
          <w:szCs w:val="24"/>
          <w:highlight w:val="none"/>
          <w:lang w:val="en-GB"/>
        </w:rPr>
        <w:t>2</w:t>
      </w:r>
      <w:r>
        <w:rPr>
          <w:rFonts w:hint="eastAsia" w:ascii="宋体" w:hAnsi="宋体" w:cs="宋体"/>
          <w:color w:val="auto"/>
          <w:sz w:val="24"/>
          <w:szCs w:val="24"/>
          <w:highlight w:val="none"/>
          <w:lang w:val="zh-CN"/>
        </w:rPr>
        <w:t>投标文件分为</w:t>
      </w:r>
      <w:r>
        <w:rPr>
          <w:rFonts w:hint="eastAsia" w:ascii="宋体" w:hAnsi="宋体" w:cs="宋体"/>
          <w:color w:val="auto"/>
          <w:sz w:val="24"/>
          <w:szCs w:val="24"/>
          <w:highlight w:val="none"/>
          <w:lang w:val="en-GB"/>
        </w:rPr>
        <w:t>资格证明文件、商务技术文件、报价文件三部分</w:t>
      </w:r>
      <w:r>
        <w:rPr>
          <w:rFonts w:hint="eastAsia" w:ascii="宋体" w:hAnsi="宋体" w:cs="宋体"/>
          <w:color w:val="auto"/>
          <w:sz w:val="24"/>
          <w:szCs w:val="24"/>
          <w:highlight w:val="none"/>
          <w:lang w:val="zh-CN"/>
        </w:rPr>
        <w:t>。各投标人在编制投标文件时请按照采购文件第六章规定的格式进行，</w:t>
      </w:r>
      <w:r>
        <w:rPr>
          <w:rFonts w:hint="eastAsia" w:ascii="宋体" w:hAnsi="宋体" w:cs="宋体"/>
          <w:color w:val="auto"/>
          <w:sz w:val="24"/>
          <w:szCs w:val="24"/>
          <w:highlight w:val="none"/>
          <w:lang w:val="en-GB"/>
        </w:rPr>
        <w:t>并按格式要求在指定位置根据要求进行签章，否则视为未提供，未提供格式的，请各投标人自行拟定格式，并加盖单位公章并由法定代表人或其授权委托代理人签署（签字或盖章），否则视为未提供。</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1.3</w:t>
      </w:r>
      <w:r>
        <w:rPr>
          <w:rFonts w:hint="eastAsia" w:ascii="宋体" w:hAnsi="宋体" w:cs="宋体"/>
          <w:color w:val="auto"/>
          <w:sz w:val="24"/>
          <w:szCs w:val="24"/>
          <w:highlight w:val="none"/>
          <w:lang w:val="en-GB"/>
        </w:rPr>
        <w:t>《投标文件》内容不完整、</w:t>
      </w:r>
      <w:r>
        <w:rPr>
          <w:rFonts w:hint="eastAsia" w:ascii="宋体" w:hAnsi="宋体" w:cs="宋体"/>
          <w:color w:val="auto"/>
          <w:sz w:val="24"/>
          <w:szCs w:val="24"/>
          <w:highlight w:val="none"/>
          <w:lang w:val="zh-CN"/>
        </w:rPr>
        <w:t>混乱的编排导致投标文件被误读或评标委员会查找不到有效文件是投标人的责任。</w:t>
      </w:r>
      <w:r>
        <w:rPr>
          <w:rFonts w:hint="eastAsia" w:ascii="宋体" w:hAnsi="宋体" w:cs="宋体"/>
          <w:color w:val="auto"/>
          <w:sz w:val="24"/>
          <w:szCs w:val="24"/>
          <w:highlight w:val="none"/>
          <w:lang w:val="en-GB"/>
        </w:rPr>
        <w:t>《投标文件》因字迹潦草或表达不清所引起的后果由投标人负责，投标文件未按规定的格式编制的，投标无效。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w:t>
      </w:r>
      <w:r>
        <w:rPr>
          <w:rFonts w:hint="eastAsia" w:ascii="宋体" w:hAnsi="宋体" w:cs="宋体"/>
          <w:b/>
          <w:bCs/>
          <w:color w:val="auto"/>
          <w:sz w:val="24"/>
          <w:szCs w:val="24"/>
          <w:highlight w:val="none"/>
        </w:rPr>
        <w:t>数量均为</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份（一正一副）</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须分别密封封装，</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Ⅰ电子投标文件</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电子投标文件中须加盖公章、法人章部分均采用</w:t>
      </w:r>
      <w:r>
        <w:rPr>
          <w:rFonts w:ascii="宋体" w:hAnsi="宋体" w:cs="宋体"/>
          <w:color w:val="auto"/>
          <w:sz w:val="24"/>
          <w:szCs w:val="24"/>
          <w:highlight w:val="none"/>
        </w:rPr>
        <w:t>CA</w:t>
      </w:r>
      <w:r>
        <w:rPr>
          <w:rFonts w:hint="eastAsia" w:ascii="宋体" w:hAnsi="宋体" w:cs="宋体"/>
          <w:color w:val="auto"/>
          <w:sz w:val="24"/>
          <w:szCs w:val="24"/>
          <w:highlight w:val="none"/>
        </w:rPr>
        <w:t>签章，并根据“政采云供应商项目采购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温馨提醒：</w:t>
      </w:r>
      <w:r>
        <w:rPr>
          <w:rFonts w:ascii="宋体" w:hAnsi="宋体" w:cs="宋体"/>
          <w:color w:val="auto"/>
          <w:sz w:val="24"/>
          <w:szCs w:val="24"/>
          <w:highlight w:val="none"/>
        </w:rPr>
        <w:t>CA</w:t>
      </w:r>
      <w:r>
        <w:rPr>
          <w:rFonts w:hint="eastAsia" w:ascii="宋体" w:hAnsi="宋体" w:cs="宋体"/>
          <w:color w:val="auto"/>
          <w:sz w:val="24"/>
          <w:szCs w:val="24"/>
          <w:highlight w:val="none"/>
        </w:rPr>
        <w:t>签章上目前没有法人或授权委托代理人签字信息，需要投标人联系</w:t>
      </w:r>
      <w:r>
        <w:rPr>
          <w:rFonts w:hint="eastAsia" w:ascii="宋体" w:hAnsi="宋体" w:cs="宋体"/>
          <w:b/>
          <w:bCs/>
          <w:color w:val="auto"/>
          <w:sz w:val="24"/>
          <w:szCs w:val="24"/>
          <w:highlight w:val="none"/>
        </w:rPr>
        <w:t>浙江杭州汇信科技有限公司（</w:t>
      </w:r>
      <w:r>
        <w:rPr>
          <w:rFonts w:ascii="宋体" w:hAnsi="宋体" w:cs="宋体"/>
          <w:b/>
          <w:bCs/>
          <w:color w:val="auto"/>
          <w:sz w:val="24"/>
          <w:szCs w:val="24"/>
          <w:highlight w:val="none"/>
        </w:rPr>
        <w:t>400-8884636</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等相应公司进行办理，或在投标文件中涉及到签字的位置线下签好字然后扫描或者拍照做成</w:t>
      </w:r>
      <w:r>
        <w:rPr>
          <w:rFonts w:ascii="宋体" w:hAnsi="宋体" w:cs="宋体"/>
          <w:color w:val="auto"/>
          <w:sz w:val="24"/>
          <w:szCs w:val="24"/>
          <w:highlight w:val="none"/>
        </w:rPr>
        <w:t>PDF</w:t>
      </w:r>
      <w:r>
        <w:rPr>
          <w:rFonts w:hint="eastAsia" w:ascii="宋体" w:hAnsi="宋体" w:cs="宋体"/>
          <w:color w:val="auto"/>
          <w:sz w:val="24"/>
          <w:szCs w:val="24"/>
          <w:highlight w:val="none"/>
        </w:rPr>
        <w:t>的格式亦可。</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b/>
          <w:bCs/>
          <w:color w:val="auto"/>
          <w:sz w:val="24"/>
          <w:szCs w:val="24"/>
          <w:highlight w:val="none"/>
        </w:rPr>
        <w:t>以介质（</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盘）存储的数据电文形式的备份投标文件</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Ⅱ纸质备份投标文件</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所有纸质投标资料应按投标文件的组成所列内容及顺序装订成册，</w:t>
      </w:r>
      <w:r>
        <w:rPr>
          <w:rFonts w:hint="eastAsia" w:ascii="宋体" w:hAnsi="宋体" w:cs="宋体"/>
          <w:color w:val="auto"/>
          <w:sz w:val="24"/>
          <w:szCs w:val="24"/>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分别编制并单独装订成册，活页装订的投标文件将被拒绝。投标文件需打印或用不褪色的墨水填写。</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分别密封封装纸质备份投标文件。</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24"/>
          <w:highlight w:val="none"/>
          <w:lang w:val="zh-CN"/>
        </w:rPr>
        <w:t>资格证明文件、商务技术文件、报价文件</w:t>
      </w:r>
      <w:r>
        <w:rPr>
          <w:rFonts w:hint="eastAsia" w:ascii="宋体" w:hAnsi="宋体" w:cs="宋体"/>
          <w:color w:val="auto"/>
          <w:sz w:val="24"/>
          <w:szCs w:val="24"/>
          <w:highlight w:val="none"/>
        </w:rPr>
        <w:t>）”、“开标时启封”字样，未按上述要求密封及加写标记，采购组织机构对投标文件的误投和提前启封不负责任。</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项目如分标段，各标段投标文件必须分开编制，并按上述份数要求单独密封包装。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zh-CN"/>
        </w:rPr>
        <w:t>因密封不严、标记不明而造成失密、拒收、过早启封等情况，采购组织机构概不负责。</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在投标截止时间之前，可以对已提交的纸质备份投标文件进行修改或撤回，但应以书面形式通知采购单位，书面形式应加盖投标人公章或由法定代表人（或授权委托代理人）签署或盖章。投标截止时间后，投标人不得撤回、修改投标文件。修改后重新递交的投标文件应当按本招标文件的要求签署、盖章和密封。</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纸质备份投标文件不得涂改，若有修改错漏处，须加盖单位公章或法定代表人或授权委托代理人签字或盖章。投标文件因字迹潦草或表达不清所引起的后果由投标人负责。</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、投标文件的递交要求</w:t>
      </w:r>
    </w:p>
    <w:p>
      <w:pP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）“投标文件”的上传、递交：见《前附表》。未传输递交电子投标文件的，投标无效。</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32"/>
          <w:highlight w:val="none"/>
          <w:lang w:val="en-GB"/>
        </w:rPr>
        <w:t>投标人还可以在投标截止时间将以介质存储的数据电文形式的备份投标文件和纸质备份投标文件分别密封送交到招标公告规定的投标地点。未按规定提供相应的备份投标文件，如电子备份文件无法正常启用，造成项目开评标活动无法进行下去的，投标无效。采购机构将拒绝接受逾期送达的投标文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4</w:t>
      </w:r>
      <w:r>
        <w:rPr>
          <w:rFonts w:hint="eastAsia" w:ascii="宋体" w:hAnsi="宋体" w:cs="宋体"/>
          <w:color w:val="auto"/>
          <w:sz w:val="24"/>
          <w:szCs w:val="24"/>
          <w:highlight w:val="none"/>
          <w:lang w:val="en-GB"/>
        </w:rPr>
        <w:t>）投标文件的备选方案</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（三）投标文件的有效期</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1.</w:t>
      </w: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中标人的投标文件自开标之日起至合同履行完毕均应保持有效。</w:t>
      </w:r>
    </w:p>
    <w:p>
      <w:pPr>
        <w:spacing w:line="360" w:lineRule="auto"/>
        <w:rPr>
          <w:rFonts w:ascii="宋体"/>
          <w:color w:val="auto"/>
          <w:sz w:val="24"/>
          <w:szCs w:val="24"/>
          <w:highlight w:val="none"/>
        </w:rPr>
      </w:pPr>
      <w:r>
        <w:rPr>
          <w:rFonts w:hint="eastAsia" w:ascii="宋体" w:hAnsi="宋体" w:cs="宋体"/>
          <w:b/>
          <w:bCs/>
          <w:color w:val="auto"/>
          <w:kern w:val="0"/>
          <w:sz w:val="24"/>
          <w:szCs w:val="24"/>
          <w:highlight w:val="none"/>
        </w:rPr>
        <w:t>四、</w:t>
      </w:r>
      <w:r>
        <w:rPr>
          <w:rFonts w:hint="eastAsia" w:ascii="宋体" w:hAnsi="宋体" w:cs="宋体"/>
          <w:b/>
          <w:bCs/>
          <w:color w:val="auto"/>
          <w:sz w:val="24"/>
          <w:szCs w:val="24"/>
          <w:highlight w:val="none"/>
        </w:rPr>
        <w:t>开标</w:t>
      </w:r>
    </w:p>
    <w:p>
      <w:pPr>
        <w:spacing w:line="360" w:lineRule="auto"/>
        <w:ind w:firstLine="480" w:firstLineChars="200"/>
        <w:outlineLvl w:val="0"/>
        <w:rPr>
          <w:rFonts w:ascii="宋体"/>
          <w:color w:val="auto"/>
          <w:sz w:val="24"/>
          <w:szCs w:val="24"/>
          <w:highlight w:val="none"/>
        </w:rPr>
      </w:pPr>
      <w:r>
        <w:rPr>
          <w:rFonts w:hint="eastAsia" w:ascii="宋体" w:hAnsi="宋体" w:cs="宋体"/>
          <w:color w:val="auto"/>
          <w:sz w:val="24"/>
          <w:szCs w:val="24"/>
          <w:highlight w:val="none"/>
        </w:rPr>
        <w:t>（一）开标事项</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采购组织机构在“招标公告”规定的时间和地点公开开标，本次招标采用先评审商务资格和技术服务方案，后公开并评审报价的办法实施。</w:t>
      </w:r>
    </w:p>
    <w:p>
      <w:pPr>
        <w:spacing w:line="360" w:lineRule="auto"/>
        <w:ind w:firstLine="482" w:firstLineChars="200"/>
        <w:rPr>
          <w:b/>
          <w:bCs/>
          <w:color w:val="auto"/>
          <w:sz w:val="24"/>
          <w:szCs w:val="24"/>
          <w:highlight w:val="none"/>
        </w:rPr>
      </w:pPr>
      <w:r>
        <w:rPr>
          <w:rFonts w:hint="eastAsia"/>
          <w:b/>
          <w:bCs/>
          <w:color w:val="auto"/>
          <w:sz w:val="24"/>
          <w:szCs w:val="24"/>
          <w:highlight w:val="none"/>
        </w:rPr>
        <w:t>特别说明：如遇政府采购云平台电子化开标或评审程序调整的，按调整后程序执行。</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outlineLvl w:val="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）电子交易平台发生故障而无法登录访问的；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）电子交易平台应用或数据库出现错误，不能进行正常操作的；</w:t>
      </w:r>
    </w:p>
    <w:p>
      <w:pPr>
        <w:spacing w:line="360" w:lineRule="auto"/>
        <w:ind w:firstLine="480" w:firstLineChars="200"/>
        <w:outlineLvl w:val="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）电子交易平台发现严重安全漏洞，有潜在泄密危险的；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）病毒导致不能进行正常操作的；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）其他无法保证电子交易的公平、公正和安全的情况。</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（二）开标程序：</w:t>
      </w:r>
    </w:p>
    <w:p>
      <w:pPr>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、开标会由招标项目负责人主持，主持人宣布开标会议开始；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、主持人介绍参加开标会的人员名单；</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、主持人宣布评标期间的有关事项，告知应当回避的情形，提请有关人员回避；对投标人进行签到验证。</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、采购组织机构点击【开启标书信息】，开启标书成功后进入开标流程。</w:t>
      </w:r>
    </w:p>
    <w:p>
      <w:pPr>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资格证明文件和商务技术文件</w:t>
      </w:r>
      <w:r>
        <w:rPr>
          <w:rFonts w:hint="eastAsia" w:ascii="宋体" w:hAnsi="宋体" w:cs="宋体"/>
          <w:color w:val="auto"/>
          <w:sz w:val="24"/>
          <w:szCs w:val="24"/>
          <w:highlight w:val="none"/>
        </w:rPr>
        <w:t>评审；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、由主持人公布无效投标的投标人名单、投标无效的原因及其他有效投标的评分汇总分；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、开启报价响应文件：采购代理机构成功开启报价响应文件后，方可查看各供应商报价情况。</w:t>
      </w:r>
    </w:p>
    <w:p>
      <w:pPr>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、报价文件评审；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、由主持人公布无效投标的投标人名单、投标无效的原因及其他有效投标的报价文件得分；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、宣布综合得分结果及中标候选人名单；</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、开标会议结束。</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五、评标</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（一）组建评标委员会</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评标委员会由采购人代表和评审专家组成，成员人数为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（二）评标程序</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、资格审查</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outlineLvl w:val="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、符合性审查</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outlineLvl w:val="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、综合比较与评价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）评标时，评标委员会各成员应当独立对每个投标人的投标文件进行评价，并汇总每个投标人的得分。</w:t>
      </w:r>
    </w:p>
    <w:p>
      <w:pPr>
        <w:spacing w:line="360" w:lineRule="auto"/>
        <w:ind w:firstLine="482" w:firstLineChars="200"/>
        <w:outlineLvl w:val="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、得分确认及评审报告编写</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）评标委员会对报价文件进行复核，对于系统计算出的价格分及总得分进行确认；</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）评标委员会按评标原则及得分情况编写评审报告。</w:t>
      </w:r>
    </w:p>
    <w:p>
      <w:pPr>
        <w:spacing w:line="360" w:lineRule="auto"/>
        <w:ind w:firstLine="482" w:firstLineChars="200"/>
        <w:outlineLvl w:val="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采购组织机构对评标委员会评审专家进行评价。</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（三）澄清问题的形式</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（四）错误修正</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、大写金额和小写金额不一致的，以大写金额为准；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、单价金额小数点或者百分比有明显错位的，以开标一览表的总价为准，并修改单价；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、总价金额与按单价汇总金额不一致的，以单价金额计算结果为准。</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（五）投标人存在下列情况之一的，投标无效：</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、电子投标文件及纸质备份投标文件在指定页面无法定代表人盖章或签字、未在指定页面盖公章、在指定页面无被授权委托代理人签字或未提供法定代表人授权委托书。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跟报价文件出现混装或在</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中出现投标报价的，或者报价文件中报价的货物跟</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中的投标货物出现重大偏差的。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、授权委托代理人未能出具身份证明或与法定代表人授权委托代理人身份不符的。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、投标参数未如实填写，完全复制粘贴招标参数的。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、投标文件提供虚假材料的。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、投标人的电子投标文件无法按时解密的。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、不符合中华人民共和国财政部令第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号《政府采购货物和服务招标投标管理办法》第三十七条情形之一的，视为投标人串通投标，其投标无效，并移送采购监管部门：</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）不同投标人的投标文件由同一单位或者个人编制；不同投标人的投标文件，由同一台电脑编制；</w:t>
      </w:r>
    </w:p>
    <w:p>
      <w:pPr>
        <w:spacing w:line="360" w:lineRule="auto"/>
        <w:ind w:firstLine="480" w:firstLineChars="200"/>
        <w:outlineLvl w:val="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）不同投标人委托同一单位或者个人办理投标事宜；</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）不同投标人的投标文件载明的项目管理成员或者联系人员为同一人；</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）不同投标人的投标文件异常一致或者投标报价呈规律性差异；</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）不同投标人的投标文件相互混装。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、不符合法律、法规和招标文件中规定的其他实质性要求的（招标文件中打“▲”内容及被拒绝的条款）。</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、未传输递交电子投标文件的或者未按规定提供相应的备份投标文件，造成项目开评标活动无法进行下去的。</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（六）有下列情况之一的，本次招标作为废标处理：</w:t>
      </w:r>
    </w:p>
    <w:p>
      <w:pPr>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p>
    <w:p>
      <w:pPr>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（七）评标原则和评标办法</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 评标办法及评分标准》。</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（八）评标过程的监控</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六、定标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、确定中标人。评标委员会根据采购单位的《授权意见确认书》，推荐中标候选人或确定中标人。其中推荐中标候选人的，采购组织机构在评审结束后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个工作日内将评标报告送采购人，采购人自收到评审报告之日起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个工作日内在评审报告推荐的中标候选人中按顺序确定中标人。</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、发布中标结果公告。采购组织机构应当自中标人确定之日起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个工作日内，在省级以上财政部门指定的媒体及相关网站上公告中标结果，招标文件应当随中标结果同时公告。如发现中标人资格无效或其放弃中标资格，则按本次评标供应商得分排序结果依次替补或重新组织。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、发出中标通知书。采购组织机构在发布中标结果的同时，向中标人发出中标通知书。</w:t>
      </w:r>
    </w:p>
    <w:p>
      <w:pPr>
        <w:spacing w:line="360" w:lineRule="auto"/>
        <w:ind w:firstLine="480" w:firstLineChars="200"/>
        <w:jc w:val="left"/>
        <w:rPr>
          <w:rFonts w:ascii="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32"/>
          <w:highlight w:val="none"/>
        </w:rPr>
        <w:t>招标代理费：</w:t>
      </w:r>
      <w:r>
        <w:rPr>
          <w:rFonts w:hint="eastAsia" w:ascii="宋体" w:hAnsi="宋体" w:cs="宋体"/>
          <w:color w:val="auto"/>
          <w:sz w:val="24"/>
          <w:szCs w:val="24"/>
          <w:highlight w:val="none"/>
        </w:rPr>
        <w:t>招标代理费用按照</w:t>
      </w:r>
      <w:r>
        <w:rPr>
          <w:rFonts w:hint="eastAsia" w:ascii="宋体" w:hAnsi="宋体" w:cs="宋体"/>
          <w:color w:val="auto"/>
          <w:sz w:val="24"/>
          <w:szCs w:val="24"/>
          <w:highlight w:val="none"/>
          <w:lang w:val="zh-CN"/>
        </w:rPr>
        <w:t>《国家发展改革委关于进一步放开建设项目专业服务价格的通知》（发改价格</w:t>
      </w:r>
      <w:r>
        <w:rPr>
          <w:rFonts w:ascii="宋体" w:hAnsi="宋体" w:cs="宋体"/>
          <w:color w:val="auto"/>
          <w:sz w:val="24"/>
          <w:szCs w:val="24"/>
          <w:highlight w:val="none"/>
          <w:lang w:val="zh-CN"/>
        </w:rPr>
        <w:t>2015 299</w:t>
      </w:r>
      <w:r>
        <w:rPr>
          <w:rFonts w:hint="eastAsia" w:ascii="宋体" w:hAnsi="宋体" w:cs="宋体"/>
          <w:color w:val="auto"/>
          <w:sz w:val="24"/>
          <w:szCs w:val="24"/>
          <w:highlight w:val="none"/>
          <w:lang w:val="zh-CN"/>
        </w:rPr>
        <w:t>号）执行，</w:t>
      </w:r>
      <w:r>
        <w:rPr>
          <w:rFonts w:hint="eastAsia" w:ascii="宋体" w:hAnsi="宋体" w:cs="宋体"/>
          <w:color w:val="auto"/>
          <w:sz w:val="24"/>
          <w:szCs w:val="24"/>
          <w:highlight w:val="none"/>
        </w:rPr>
        <w:t>按照中标金额的</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%向中标单位收取招标代理费。中标方须在中标通知书发出</w:t>
      </w:r>
      <w:r>
        <w:rPr>
          <w:rFonts w:ascii="宋体" w:hAnsi="宋体" w:cs="宋体"/>
          <w:color w:val="auto"/>
          <w:sz w:val="24"/>
          <w:szCs w:val="24"/>
          <w:highlight w:val="none"/>
        </w:rPr>
        <w:t>5</w:t>
      </w:r>
      <w:r>
        <w:rPr>
          <w:rFonts w:hint="eastAsia" w:ascii="宋体" w:hAnsi="宋体" w:cs="宋体"/>
          <w:color w:val="auto"/>
          <w:sz w:val="24"/>
          <w:szCs w:val="24"/>
          <w:highlight w:val="none"/>
        </w:rPr>
        <w:t>日内一次性付清。（户名：浙江五石中正工程咨询有限公司；账号：</w:t>
      </w:r>
      <w:r>
        <w:rPr>
          <w:rFonts w:ascii="宋体" w:hAnsi="宋体" w:cs="宋体"/>
          <w:color w:val="auto"/>
          <w:sz w:val="24"/>
          <w:szCs w:val="24"/>
          <w:highlight w:val="none"/>
        </w:rPr>
        <w:t>1202003209900014176</w:t>
      </w:r>
      <w:r>
        <w:rPr>
          <w:rFonts w:hint="eastAsia" w:ascii="宋体" w:hAnsi="宋体" w:cs="宋体"/>
          <w:color w:val="auto"/>
          <w:sz w:val="24"/>
          <w:szCs w:val="24"/>
          <w:highlight w:val="none"/>
        </w:rPr>
        <w:t>；开户银行：中国工商银行杭州市潮王路支行）财务电话：</w:t>
      </w:r>
      <w:r>
        <w:rPr>
          <w:rFonts w:ascii="宋体" w:hAnsi="宋体" w:cs="宋体"/>
          <w:color w:val="auto"/>
          <w:sz w:val="24"/>
          <w:szCs w:val="24"/>
          <w:highlight w:val="none"/>
        </w:rPr>
        <w:t>0571-88271625</w:t>
      </w:r>
      <w:r>
        <w:rPr>
          <w:rFonts w:hint="eastAsia" w:ascii="宋体" w:hAnsi="宋体" w:cs="宋体"/>
          <w:color w:val="auto"/>
          <w:sz w:val="24"/>
          <w:szCs w:val="24"/>
          <w:highlight w:val="none"/>
        </w:rPr>
        <w:t>。</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七、合同签订及公告</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（一）签订合同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、采购人应当自中标通知书发出之日起30天内，按照招标文件和中标人投标文件的规定，与中标人签订书面合同。所签订的合同不得对招标文件确定的事项和中标人投标文件作实质性修改。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、采购人不得向中标人提出任何不合理的要求作为签订合同的条件。</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、中标人无故拖延、拒签合同的，取消中标资格。</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（二）合同公告及备案</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个工作日内，在省级以上财政部门指定的政府采购信息发布媒体及相关网站上公告。</w:t>
      </w:r>
    </w:p>
    <w:p>
      <w:pPr>
        <w:spacing w:line="360" w:lineRule="auto"/>
        <w:ind w:firstLine="480" w:firstLineChars="200"/>
        <w:rPr>
          <w:color w:val="auto"/>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个工作日内，将政府采购合同副本报同级人民政府财政部门备案以及采购组织机构存档。</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2"/>
        <w:ind w:right="-252"/>
        <w:rPr>
          <w:color w:val="auto"/>
          <w:highlight w:val="none"/>
        </w:rPr>
      </w:pPr>
    </w:p>
    <w:p>
      <w:pPr>
        <w:spacing w:line="360" w:lineRule="auto"/>
        <w:rPr>
          <w:rFonts w:ascii="宋体" w:hAnsi="宋体" w:cs="宋体"/>
          <w:color w:val="auto"/>
          <w:sz w:val="24"/>
          <w:szCs w:val="24"/>
          <w:highlight w:val="none"/>
        </w:rPr>
      </w:pPr>
    </w:p>
    <w:p>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  评标办法及评分标准</w:t>
      </w:r>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rPr>
        <w:t>70</w:t>
      </w:r>
      <w:r>
        <w:rPr>
          <w:rFonts w:hint="eastAsia" w:ascii="宋体" w:hAnsi="宋体" w:cs="宋体"/>
          <w:color w:val="auto"/>
          <w:kern w:val="0"/>
          <w:sz w:val="24"/>
          <w:highlight w:val="none"/>
          <w:lang w:val="zh-CN"/>
        </w:rPr>
        <w:t>分，投标报价分值</w:t>
      </w:r>
      <w:r>
        <w:rPr>
          <w:rFonts w:hint="eastAsia" w:ascii="宋体" w:hAnsi="宋体" w:cs="宋体"/>
          <w:color w:val="auto"/>
          <w:kern w:val="0"/>
          <w:sz w:val="24"/>
          <w:highlight w:val="none"/>
        </w:rPr>
        <w:t>30</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rPr>
        <w:t>。评标标准按评分细化条款及分值进行评审。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商务技术文件中的客观分由评标委员会讨论后统一打分；其余在规定的分值内单独评定打分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pP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投标报价得分=（评标基准价／投标报价）×30%×100 。</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pP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（五）政府采购政策及优惠：</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根据浙江省财政厅发布的《浙江省财政厅关于进一步加大政府采购支持中小企业力度</w:t>
      </w:r>
      <w:r>
        <w:rPr>
          <w:rFonts w:hint="eastAsia" w:ascii="宋体" w:hAnsi="宋体" w:cs="宋体"/>
          <w:color w:val="auto"/>
          <w:sz w:val="24"/>
          <w:szCs w:val="32"/>
          <w:highlight w:val="none"/>
        </w:rPr>
        <w:t xml:space="preserve"> 助力扎实稳住经济</w:t>
      </w:r>
      <w:r>
        <w:rPr>
          <w:rFonts w:hint="eastAsia" w:ascii="宋体" w:hAnsi="宋体" w:cs="宋体"/>
          <w:color w:val="auto"/>
          <w:sz w:val="24"/>
          <w:szCs w:val="32"/>
          <w:highlight w:val="none"/>
          <w:lang w:val="zh-CN"/>
        </w:rPr>
        <w:t>的通知》【浙财采监〔2022〕</w:t>
      </w:r>
      <w:r>
        <w:rPr>
          <w:rFonts w:hint="eastAsia" w:ascii="宋体" w:hAnsi="宋体" w:cs="宋体"/>
          <w:color w:val="auto"/>
          <w:sz w:val="24"/>
          <w:szCs w:val="32"/>
          <w:highlight w:val="none"/>
        </w:rPr>
        <w:t>8</w:t>
      </w:r>
      <w:r>
        <w:rPr>
          <w:rFonts w:hint="eastAsia" w:ascii="宋体" w:hAnsi="宋体" w:cs="宋体"/>
          <w:color w:val="auto"/>
          <w:sz w:val="24"/>
          <w:szCs w:val="32"/>
          <w:highlight w:val="none"/>
          <w:lang w:val="zh-CN"/>
        </w:rPr>
        <w:t>号】规定，落实财政部、工业和信息化部发布的《政府采购促进中小企业发展管理办法》【财库（2020）46号】和《财政部关于进一步加大政府采购支持中小企业力度的通知》【财库（</w:t>
      </w:r>
      <w:r>
        <w:rPr>
          <w:rFonts w:hint="eastAsia" w:ascii="宋体" w:hAnsi="宋体" w:cs="宋体"/>
          <w:color w:val="auto"/>
          <w:sz w:val="24"/>
          <w:szCs w:val="32"/>
          <w:highlight w:val="none"/>
        </w:rPr>
        <w:t>2022</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19号</w:t>
      </w:r>
      <w:r>
        <w:rPr>
          <w:rFonts w:hint="eastAsia" w:ascii="宋体" w:hAnsi="宋体" w:cs="宋体"/>
          <w:color w:val="auto"/>
          <w:sz w:val="24"/>
          <w:szCs w:val="32"/>
          <w:highlight w:val="none"/>
          <w:lang w:val="zh-CN"/>
        </w:rPr>
        <w:t>】有关规定，货物和服务项目中未预留份额专门面向中小企业采购的，以及预留份额项目中的非预留部分采购包，采购单位、采购代理机构应当对符合规定的小微企业报价给予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0%的扣除，用扣除后的价格参加评审。</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的扣除，用扣除后的价格参加评审。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投标文件中须同时出具《政府采购促进中小企业发展管理办法》【财库（2020）46号】规定的《中小企业声明函》，否则不得享受价格扣除。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本项目对符合规定的小微企业（含小型企业）报价给予20%的扣除。</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zh-CN"/>
        </w:rPr>
        <w:t>后参与评审。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四、如综合得分相同，投标报价低者为先；如综合得分且投标报价相同的，货物类采购项目以</w:t>
      </w:r>
      <w:r>
        <w:rPr>
          <w:rFonts w:hint="eastAsia" w:ascii="宋体" w:hAnsi="宋体" w:cs="宋体"/>
          <w:color w:val="auto"/>
          <w:kern w:val="0"/>
          <w:sz w:val="24"/>
          <w:highlight w:val="none"/>
        </w:rPr>
        <w:t>技术部分</w:t>
      </w:r>
      <w:r>
        <w:rPr>
          <w:rFonts w:hint="eastAsia" w:ascii="宋体" w:hAnsi="宋体" w:cs="宋体"/>
          <w:color w:val="auto"/>
          <w:kern w:val="0"/>
          <w:sz w:val="24"/>
          <w:highlight w:val="none"/>
          <w:lang w:val="zh-CN"/>
        </w:rPr>
        <w:t>得分较高者为先，服务类采购项目以实力信誉及业绩得分较高者为先。</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六、本次评分具体分值细化条款如下表：</w:t>
      </w:r>
    </w:p>
    <w:tbl>
      <w:tblPr>
        <w:tblStyle w:val="28"/>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30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c>
          <w:tcPr>
            <w:tcW w:w="80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305" w:type="dxa"/>
            <w:noWrap w:val="0"/>
            <w:vAlign w:val="center"/>
          </w:tcPr>
          <w:p>
            <w:pPr>
              <w:pStyle w:val="8"/>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技术功能符合度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通过所投产品设备的主要技术参数及系统功能的符合性进行打分：</w:t>
            </w:r>
            <w:r>
              <w:rPr>
                <w:rFonts w:hint="eastAsia" w:ascii="宋体" w:hAnsi="宋体" w:eastAsia="宋体" w:cs="宋体"/>
                <w:color w:val="auto"/>
                <w:sz w:val="24"/>
                <w:szCs w:val="24"/>
                <w:highlight w:val="none"/>
              </w:rPr>
              <w:t>招标文件中标注“★”号的为重要参数及功能，对这些重要参数及功能</w:t>
            </w:r>
            <w:r>
              <w:rPr>
                <w:rFonts w:hint="eastAsia" w:ascii="宋体" w:hAnsi="宋体" w:eastAsia="宋体" w:cs="宋体"/>
                <w:color w:val="auto"/>
                <w:kern w:val="2"/>
                <w:sz w:val="24"/>
                <w:szCs w:val="24"/>
                <w:highlight w:val="none"/>
                <w:lang w:val="en-US" w:eastAsia="zh-CN" w:bidi="ar-SA"/>
              </w:rPr>
              <w:t>每条偏离一项扣5</w:t>
            </w:r>
            <w:r>
              <w:rPr>
                <w:rFonts w:hint="eastAsia" w:ascii="宋体" w:hAnsi="宋体" w:eastAsia="宋体" w:cs="宋体"/>
                <w:color w:val="auto"/>
                <w:sz w:val="24"/>
                <w:szCs w:val="24"/>
                <w:highlight w:val="none"/>
              </w:rPr>
              <w:t>分，其他参数及功能每条</w:t>
            </w:r>
            <w:r>
              <w:rPr>
                <w:rFonts w:hint="eastAsia" w:ascii="宋体" w:hAnsi="宋体" w:eastAsia="宋体" w:cs="宋体"/>
                <w:color w:val="auto"/>
                <w:kern w:val="2"/>
                <w:sz w:val="24"/>
                <w:szCs w:val="24"/>
                <w:highlight w:val="none"/>
                <w:lang w:val="en-US" w:eastAsia="zh-CN" w:bidi="ar-SA"/>
              </w:rPr>
              <w:t>偏离一项扣2分，此项总分</w:t>
            </w:r>
            <w:r>
              <w:rPr>
                <w:rFonts w:hint="eastAsia" w:ascii="宋体" w:hAnsi="宋体" w:cs="宋体"/>
                <w:color w:val="auto"/>
                <w:kern w:val="2"/>
                <w:sz w:val="24"/>
                <w:szCs w:val="24"/>
                <w:highlight w:val="none"/>
                <w:lang w:val="en-US" w:eastAsia="zh-CN" w:bidi="ar-SA"/>
              </w:rPr>
              <w:t>39</w:t>
            </w:r>
            <w:r>
              <w:rPr>
                <w:rFonts w:hint="eastAsia" w:ascii="宋体" w:hAnsi="宋体" w:eastAsia="宋体" w:cs="宋体"/>
                <w:color w:val="auto"/>
                <w:kern w:val="2"/>
                <w:sz w:val="24"/>
                <w:szCs w:val="24"/>
                <w:highlight w:val="none"/>
                <w:lang w:val="en-US" w:eastAsia="zh-CN" w:bidi="ar-SA"/>
              </w:rPr>
              <w:t>分，扣完为止。</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注：以投标产品原厂技术支持资料为准。</w:t>
            </w:r>
          </w:p>
        </w:tc>
        <w:tc>
          <w:tcPr>
            <w:tcW w:w="801"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7305"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投标产品销售业绩：评委对本次</w:t>
            </w:r>
            <w:r>
              <w:rPr>
                <w:rFonts w:hint="eastAsia" w:ascii="宋体" w:hAnsi="宋体" w:eastAsia="宋体" w:cs="宋体"/>
                <w:color w:val="auto"/>
                <w:sz w:val="24"/>
                <w:szCs w:val="24"/>
                <w:highlight w:val="none"/>
                <w:lang w:eastAsia="zh-CN"/>
              </w:rPr>
              <w:t>相同型号</w:t>
            </w:r>
            <w:r>
              <w:rPr>
                <w:rFonts w:hint="eastAsia" w:ascii="宋体" w:hAnsi="宋体" w:eastAsia="宋体" w:cs="宋体"/>
                <w:color w:val="auto"/>
                <w:sz w:val="24"/>
                <w:szCs w:val="24"/>
                <w:highlight w:val="none"/>
              </w:rPr>
              <w:t>投标产品</w:t>
            </w:r>
            <w:r>
              <w:rPr>
                <w:rFonts w:hint="eastAsia" w:ascii="宋体" w:hAnsi="宋体" w:eastAsia="宋体" w:cs="宋体"/>
                <w:color w:val="auto"/>
                <w:sz w:val="24"/>
                <w:szCs w:val="24"/>
                <w:highlight w:val="none"/>
                <w:lang w:eastAsia="zh-CN"/>
              </w:rPr>
              <w:t>自2019年1月1日</w:t>
            </w:r>
            <w:r>
              <w:rPr>
                <w:rFonts w:hint="eastAsia" w:ascii="宋体" w:hAnsi="宋体" w:eastAsia="宋体" w:cs="宋体"/>
                <w:color w:val="auto"/>
                <w:sz w:val="24"/>
                <w:szCs w:val="24"/>
                <w:highlight w:val="none"/>
              </w:rPr>
              <w:t>起（以合同签定时间为准）与</w:t>
            </w:r>
            <w:r>
              <w:rPr>
                <w:rFonts w:hint="eastAsia" w:ascii="宋体" w:hAnsi="宋体" w:eastAsia="宋体" w:cs="宋体"/>
                <w:color w:val="auto"/>
                <w:sz w:val="24"/>
                <w:szCs w:val="24"/>
                <w:highlight w:val="none"/>
                <w:lang w:eastAsia="zh-CN"/>
              </w:rPr>
              <w:t>不同的</w:t>
            </w:r>
            <w:r>
              <w:rPr>
                <w:rFonts w:hint="eastAsia" w:ascii="宋体" w:hAnsi="宋体" w:eastAsia="宋体" w:cs="宋体"/>
                <w:color w:val="auto"/>
                <w:sz w:val="24"/>
                <w:szCs w:val="24"/>
                <w:highlight w:val="none"/>
              </w:rPr>
              <w:t>最终用户签订的销售合同评分，每提供一个合同</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得1分，最高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注：同类项目业绩应对应该标项主体设备，无法体现合同内容或者未按要求提供相应资料不得分。</w:t>
            </w:r>
          </w:p>
        </w:tc>
        <w:tc>
          <w:tcPr>
            <w:tcW w:w="801"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305" w:type="dxa"/>
            <w:noWrap w:val="0"/>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质保期：</w:t>
            </w:r>
            <w:r>
              <w:rPr>
                <w:rFonts w:hint="eastAsia" w:ascii="宋体" w:hAnsi="宋体" w:eastAsia="宋体" w:cs="宋体"/>
                <w:color w:val="auto"/>
                <w:sz w:val="24"/>
                <w:szCs w:val="24"/>
                <w:highlight w:val="none"/>
              </w:rPr>
              <w:t>在满足招标文件免费质保年限要求的</w:t>
            </w:r>
            <w:r>
              <w:rPr>
                <w:rFonts w:hint="eastAsia" w:ascii="宋体" w:hAnsi="宋体" w:cs="宋体"/>
                <w:color w:val="auto"/>
                <w:sz w:val="24"/>
                <w:szCs w:val="24"/>
                <w:highlight w:val="none"/>
                <w:lang w:val="en-US" w:eastAsia="zh-CN"/>
              </w:rPr>
              <w:t>基础上</w:t>
            </w:r>
            <w:r>
              <w:rPr>
                <w:rFonts w:hint="eastAsia" w:ascii="宋体" w:hAnsi="宋体" w:eastAsia="宋体" w:cs="宋体"/>
                <w:color w:val="auto"/>
                <w:sz w:val="24"/>
                <w:szCs w:val="24"/>
                <w:highlight w:val="none"/>
              </w:rPr>
              <w:t>，免费原厂质保期每延长1年得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分。 </w:t>
            </w:r>
          </w:p>
        </w:tc>
        <w:tc>
          <w:tcPr>
            <w:tcW w:w="801"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305" w:type="dxa"/>
            <w:noWrap w:val="0"/>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根据投标设备的技术先进性、易用性、稳定性进行评价，考虑所投产品的成熟性、用户认可度：技术性能先进、成熟，市场好评度高得5-3分</w:t>
            </w:r>
            <w:r>
              <w:rPr>
                <w:rFonts w:hint="eastAsia" w:ascii="宋体" w:hAnsi="宋体" w:eastAsia="宋体" w:cs="宋体"/>
                <w:color w:val="auto"/>
                <w:sz w:val="24"/>
                <w:szCs w:val="24"/>
                <w:highlight w:val="none"/>
              </w:rPr>
              <w:t>；技术性能基本满足</w:t>
            </w:r>
            <w:r>
              <w:rPr>
                <w:rFonts w:hint="eastAsia" w:ascii="宋体" w:hAnsi="宋体" w:eastAsia="宋体" w:cs="宋体"/>
                <w:color w:val="auto"/>
                <w:sz w:val="24"/>
                <w:szCs w:val="24"/>
                <w:highlight w:val="none"/>
                <w:lang w:val="en-US" w:eastAsia="zh-CN"/>
              </w:rPr>
              <w:t>临床</w:t>
            </w:r>
            <w:r>
              <w:rPr>
                <w:rFonts w:hint="eastAsia" w:ascii="宋体" w:hAnsi="宋体" w:eastAsia="宋体" w:cs="宋体"/>
                <w:color w:val="auto"/>
                <w:sz w:val="24"/>
                <w:szCs w:val="24"/>
                <w:highlight w:val="none"/>
              </w:rPr>
              <w:t>要求的得</w:t>
            </w:r>
            <w:r>
              <w:rPr>
                <w:rFonts w:hint="eastAsia" w:ascii="宋体" w:hAnsi="宋体" w:eastAsia="宋体" w:cs="宋体"/>
                <w:color w:val="auto"/>
                <w:sz w:val="24"/>
                <w:szCs w:val="24"/>
                <w:highlight w:val="none"/>
                <w:lang w:val="en-US" w:eastAsia="zh-CN"/>
              </w:rPr>
              <w:t>2.9-1</w:t>
            </w:r>
            <w:r>
              <w:rPr>
                <w:rFonts w:hint="eastAsia" w:ascii="宋体" w:hAnsi="宋体" w:eastAsia="宋体" w:cs="宋体"/>
                <w:color w:val="auto"/>
                <w:sz w:val="24"/>
                <w:szCs w:val="24"/>
                <w:highlight w:val="none"/>
              </w:rPr>
              <w:t>分；技术性能存在较大的缺陷、与</w:t>
            </w:r>
            <w:r>
              <w:rPr>
                <w:rFonts w:hint="eastAsia" w:ascii="宋体" w:hAnsi="宋体" w:eastAsia="宋体" w:cs="宋体"/>
                <w:color w:val="auto"/>
                <w:sz w:val="24"/>
                <w:szCs w:val="24"/>
                <w:highlight w:val="none"/>
                <w:lang w:val="en-US" w:eastAsia="zh-CN"/>
              </w:rPr>
              <w:t>临床</w:t>
            </w:r>
            <w:r>
              <w:rPr>
                <w:rFonts w:hint="eastAsia" w:ascii="宋体" w:hAnsi="宋体" w:eastAsia="宋体" w:cs="宋体"/>
                <w:color w:val="auto"/>
                <w:sz w:val="24"/>
                <w:szCs w:val="24"/>
                <w:highlight w:val="none"/>
              </w:rPr>
              <w:t>要求差距较大的得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以下</w:t>
            </w:r>
            <w:r>
              <w:rPr>
                <w:rFonts w:hint="eastAsia" w:ascii="宋体" w:hAnsi="宋体" w:eastAsia="宋体" w:cs="宋体"/>
                <w:color w:val="auto"/>
                <w:sz w:val="24"/>
                <w:szCs w:val="24"/>
                <w:highlight w:val="none"/>
              </w:rPr>
              <w:t>。</w:t>
            </w:r>
          </w:p>
        </w:tc>
        <w:tc>
          <w:tcPr>
            <w:tcW w:w="801"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305" w:type="dxa"/>
            <w:noWrap w:val="0"/>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对质量目标措施的可行性、供货安装进度的安排合理性、现场安全措施的可行性等方面由评委进行分析</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比较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供货安装</w:t>
            </w:r>
            <w:r>
              <w:rPr>
                <w:rFonts w:hint="eastAsia" w:ascii="宋体" w:hAnsi="宋体" w:eastAsia="宋体" w:cs="宋体"/>
                <w:color w:val="auto"/>
                <w:sz w:val="24"/>
                <w:szCs w:val="24"/>
                <w:highlight w:val="none"/>
              </w:rPr>
              <w:t>调试进度安排</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现场安全</w:t>
            </w:r>
            <w:r>
              <w:rPr>
                <w:rFonts w:hint="eastAsia" w:ascii="宋体" w:hAnsi="宋体" w:eastAsia="宋体" w:cs="宋体"/>
                <w:color w:val="auto"/>
                <w:sz w:val="24"/>
                <w:szCs w:val="24"/>
                <w:highlight w:val="none"/>
                <w:lang w:val="en-US" w:eastAsia="zh-CN"/>
              </w:rPr>
              <w:t>措施合理、可行得3分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供货计划、安全措施</w:t>
            </w:r>
            <w:r>
              <w:rPr>
                <w:rFonts w:hint="eastAsia" w:ascii="宋体" w:hAnsi="宋体" w:eastAsia="宋体" w:cs="宋体"/>
                <w:color w:val="auto"/>
                <w:sz w:val="24"/>
                <w:szCs w:val="24"/>
                <w:highlight w:val="none"/>
              </w:rPr>
              <w:t>基本满足</w:t>
            </w:r>
            <w:r>
              <w:rPr>
                <w:rFonts w:hint="eastAsia" w:ascii="宋体" w:hAnsi="宋体" w:eastAsia="宋体" w:cs="宋体"/>
                <w:color w:val="auto"/>
                <w:sz w:val="24"/>
                <w:szCs w:val="24"/>
                <w:highlight w:val="none"/>
                <w:lang w:val="en-US" w:eastAsia="zh-CN"/>
              </w:rPr>
              <w:t>临床</w:t>
            </w:r>
            <w:r>
              <w:rPr>
                <w:rFonts w:hint="eastAsia" w:ascii="宋体" w:hAnsi="宋体" w:eastAsia="宋体" w:cs="宋体"/>
                <w:color w:val="auto"/>
                <w:sz w:val="24"/>
                <w:szCs w:val="24"/>
                <w:highlight w:val="none"/>
              </w:rPr>
              <w:t>要求的得</w:t>
            </w:r>
            <w:r>
              <w:rPr>
                <w:rFonts w:hint="eastAsia" w:ascii="宋体" w:hAnsi="宋体" w:eastAsia="宋体" w:cs="宋体"/>
                <w:color w:val="auto"/>
                <w:sz w:val="24"/>
                <w:szCs w:val="24"/>
                <w:highlight w:val="none"/>
                <w:lang w:val="en-US" w:eastAsia="zh-CN"/>
              </w:rPr>
              <w:t>2.9-1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存在较大的缺陷</w:t>
            </w:r>
            <w:r>
              <w:rPr>
                <w:rFonts w:hint="eastAsia" w:ascii="宋体" w:hAnsi="宋体" w:eastAsia="宋体" w:cs="宋体"/>
                <w:color w:val="auto"/>
                <w:sz w:val="24"/>
                <w:szCs w:val="24"/>
                <w:highlight w:val="none"/>
                <w:lang w:val="en-US" w:eastAsia="zh-CN"/>
              </w:rPr>
              <w:t>或未涉及</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以下</w:t>
            </w:r>
            <w:r>
              <w:rPr>
                <w:rFonts w:hint="eastAsia" w:ascii="宋体" w:hAnsi="宋体" w:eastAsia="宋体" w:cs="宋体"/>
                <w:color w:val="auto"/>
                <w:sz w:val="24"/>
                <w:szCs w:val="24"/>
                <w:highlight w:val="none"/>
              </w:rPr>
              <w:t>。</w:t>
            </w:r>
          </w:p>
        </w:tc>
        <w:tc>
          <w:tcPr>
            <w:tcW w:w="801"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305" w:type="dxa"/>
            <w:noWrap w:val="0"/>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根据提供相应产品的培训方案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包括培训</w:t>
            </w:r>
            <w:r>
              <w:rPr>
                <w:rFonts w:hint="eastAsia" w:ascii="宋体" w:hAnsi="宋体" w:eastAsia="宋体" w:cs="宋体"/>
                <w:color w:val="auto"/>
                <w:sz w:val="24"/>
                <w:szCs w:val="24"/>
                <w:highlight w:val="none"/>
              </w:rPr>
              <w:t>时间、内容、地点、人员数等，</w:t>
            </w:r>
            <w:r>
              <w:rPr>
                <w:rFonts w:hint="eastAsia" w:ascii="宋体" w:hAnsi="宋体" w:eastAsia="宋体" w:cs="宋体"/>
                <w:color w:val="auto"/>
                <w:sz w:val="24"/>
                <w:szCs w:val="24"/>
                <w:highlight w:val="none"/>
                <w:lang w:val="en-US" w:eastAsia="zh-CN"/>
              </w:rPr>
              <w:t>综合比较</w:t>
            </w:r>
            <w:r>
              <w:rPr>
                <w:rFonts w:hint="eastAsia" w:ascii="宋体" w:hAnsi="宋体" w:eastAsia="宋体" w:cs="宋体"/>
                <w:color w:val="auto"/>
                <w:sz w:val="24"/>
                <w:szCs w:val="24"/>
                <w:highlight w:val="none"/>
              </w:rPr>
              <w:t>评定，方案考虑充分安排有效得2分，方案合理安排一般得1分，无方案</w:t>
            </w:r>
            <w:r>
              <w:rPr>
                <w:rFonts w:hint="eastAsia" w:ascii="宋体" w:hAnsi="宋体" w:cs="宋体"/>
                <w:color w:val="auto"/>
                <w:sz w:val="24"/>
                <w:szCs w:val="24"/>
                <w:highlight w:val="none"/>
                <w:lang w:eastAsia="zh-CN"/>
              </w:rPr>
              <w:t>不得分。</w:t>
            </w:r>
          </w:p>
        </w:tc>
        <w:tc>
          <w:tcPr>
            <w:tcW w:w="801"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7305" w:type="dxa"/>
            <w:noWrap w:val="0"/>
            <w:vAlign w:val="center"/>
          </w:tcPr>
          <w:p>
            <w:pPr>
              <w:pStyle w:val="12"/>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根据投标人提供的质保期内外的服务方案、</w:t>
            </w:r>
            <w:r>
              <w:rPr>
                <w:rFonts w:hint="eastAsia" w:ascii="宋体" w:hAnsi="宋体" w:eastAsia="宋体" w:cs="宋体"/>
                <w:color w:val="auto"/>
                <w:sz w:val="24"/>
                <w:szCs w:val="24"/>
                <w:highlight w:val="none"/>
              </w:rPr>
              <w:t>售后服务方式、故障响应修复时间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故障解决方案、售后服务机构备品备件储备等，有详细的服务方案</w:t>
            </w:r>
            <w:r>
              <w:rPr>
                <w:rFonts w:hint="eastAsia" w:ascii="宋体" w:hAnsi="宋体" w:eastAsia="宋体" w:cs="宋体"/>
                <w:color w:val="auto"/>
                <w:sz w:val="24"/>
                <w:szCs w:val="24"/>
                <w:highlight w:val="none"/>
                <w:lang w:val="en-US" w:eastAsia="zh-CN"/>
              </w:rPr>
              <w:t>描述</w:t>
            </w:r>
            <w:r>
              <w:rPr>
                <w:rFonts w:hint="eastAsia" w:ascii="宋体" w:hAnsi="宋体" w:eastAsia="宋体" w:cs="宋体"/>
                <w:color w:val="auto"/>
                <w:sz w:val="24"/>
                <w:szCs w:val="24"/>
                <w:highlight w:val="none"/>
              </w:rPr>
              <w:t>得5分，缺项或方案不具体每项扣1分，不提供不得分。</w:t>
            </w:r>
          </w:p>
        </w:tc>
        <w:tc>
          <w:tcPr>
            <w:tcW w:w="8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7305" w:type="dxa"/>
            <w:noWrap w:val="0"/>
            <w:vAlign w:val="center"/>
          </w:tcPr>
          <w:p>
            <w:pPr>
              <w:pStyle w:val="12"/>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随机提供的耗材、备品配件、易损件是否齐全，保修期内外选购价格是否合理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耗材、备品配件、易损件齐全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运行成本</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得5-3分</w:t>
            </w:r>
            <w:r>
              <w:rPr>
                <w:rFonts w:hint="eastAsia" w:ascii="宋体" w:hAnsi="宋体" w:eastAsia="宋体" w:cs="宋体"/>
                <w:color w:val="auto"/>
                <w:sz w:val="24"/>
                <w:szCs w:val="24"/>
                <w:highlight w:val="none"/>
              </w:rPr>
              <w:t>；耗材、备品配件、易损件</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齐全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运行成本较</w:t>
            </w:r>
            <w:r>
              <w:rPr>
                <w:rFonts w:hint="eastAsia" w:ascii="宋体" w:hAnsi="宋体" w:eastAsia="宋体" w:cs="宋体"/>
                <w:color w:val="auto"/>
                <w:sz w:val="24"/>
                <w:szCs w:val="24"/>
                <w:highlight w:val="none"/>
              </w:rPr>
              <w:t>合理得</w:t>
            </w:r>
            <w:r>
              <w:rPr>
                <w:rFonts w:hint="eastAsia" w:ascii="宋体" w:hAnsi="宋体" w:eastAsia="宋体" w:cs="宋体"/>
                <w:color w:val="auto"/>
                <w:sz w:val="24"/>
                <w:szCs w:val="24"/>
                <w:highlight w:val="none"/>
                <w:lang w:val="en-US" w:eastAsia="zh-CN"/>
              </w:rPr>
              <w:t>2.9-1</w:t>
            </w:r>
            <w:r>
              <w:rPr>
                <w:rFonts w:hint="eastAsia" w:ascii="宋体" w:hAnsi="宋体" w:eastAsia="宋体" w:cs="宋体"/>
                <w:color w:val="auto"/>
                <w:sz w:val="24"/>
                <w:szCs w:val="24"/>
                <w:highlight w:val="none"/>
              </w:rPr>
              <w:t>分；耗材、备品配件、易损件</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齐全</w:t>
            </w:r>
            <w:r>
              <w:rPr>
                <w:rFonts w:hint="eastAsia" w:ascii="宋体" w:hAnsi="宋体" w:eastAsia="宋体" w:cs="宋体"/>
                <w:color w:val="auto"/>
                <w:sz w:val="24"/>
                <w:szCs w:val="24"/>
                <w:highlight w:val="none"/>
                <w:lang w:val="en-US" w:eastAsia="zh-CN"/>
              </w:rPr>
              <w:t>或未提供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运行成本较高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以下</w:t>
            </w:r>
            <w:r>
              <w:rPr>
                <w:rFonts w:hint="eastAsia" w:ascii="宋体" w:hAnsi="宋体" w:eastAsia="宋体" w:cs="宋体"/>
                <w:color w:val="auto"/>
                <w:sz w:val="24"/>
                <w:szCs w:val="24"/>
                <w:highlight w:val="none"/>
              </w:rPr>
              <w:t>。</w:t>
            </w:r>
          </w:p>
        </w:tc>
        <w:tc>
          <w:tcPr>
            <w:tcW w:w="8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7305"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优惠条件：评委对投标文件中是否有超出采购文件的优惠条件进行评价，没有实质性优惠条件得0分；有优惠条件的，每一条加1分，最多得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801"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bl>
    <w:p>
      <w:pPr>
        <w:spacing w:line="360" w:lineRule="auto"/>
        <w:rPr>
          <w:rFonts w:ascii="宋体" w:hAnsi="宋体" w:cs="宋体"/>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pStyle w:val="2"/>
        <w:ind w:right="-252"/>
        <w:rPr>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第四章  公开招标需求</w:t>
      </w:r>
    </w:p>
    <w:p>
      <w:pPr>
        <w:spacing w:line="360" w:lineRule="auto"/>
        <w:jc w:val="left"/>
        <w:outlineLvl w:val="0"/>
        <w:rPr>
          <w:rFonts w:ascii="宋体"/>
          <w:b/>
          <w:bCs/>
          <w:color w:val="auto"/>
          <w:sz w:val="24"/>
          <w:szCs w:val="24"/>
          <w:highlight w:val="none"/>
        </w:rPr>
      </w:pPr>
      <w:r>
        <w:rPr>
          <w:rFonts w:hint="eastAsia" w:ascii="宋体" w:hAnsi="宋体" w:cs="宋体"/>
          <w:b/>
          <w:bCs/>
          <w:color w:val="auto"/>
          <w:sz w:val="24"/>
          <w:szCs w:val="24"/>
          <w:highlight w:val="none"/>
        </w:rPr>
        <w:t>一、招标项目一览表</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本次招标共</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个标段，具体内容如下表：</w:t>
      </w:r>
    </w:p>
    <w:tbl>
      <w:tblPr>
        <w:tblStyle w:val="2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2118"/>
        <w:gridCol w:w="570"/>
        <w:gridCol w:w="1431"/>
        <w:gridCol w:w="2337"/>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0" w:type="auto"/>
            <w:vAlign w:val="center"/>
          </w:tcPr>
          <w:p>
            <w:pPr>
              <w:adjustRightInd w:val="0"/>
              <w:snapToGrid w:val="0"/>
              <w:spacing w:line="360" w:lineRule="auto"/>
              <w:jc w:val="center"/>
              <w:rPr>
                <w:rFonts w:ascii="宋体"/>
                <w:b/>
                <w:color w:val="auto"/>
                <w:sz w:val="24"/>
                <w:highlight w:val="none"/>
              </w:rPr>
            </w:pPr>
            <w:r>
              <w:rPr>
                <w:rFonts w:hint="eastAsia" w:ascii="宋体" w:hAnsi="宋体" w:cs="宋体"/>
                <w:b/>
                <w:bCs/>
                <w:color w:val="auto"/>
                <w:sz w:val="24"/>
                <w:szCs w:val="24"/>
                <w:highlight w:val="none"/>
              </w:rPr>
              <w:t>标项</w:t>
            </w:r>
          </w:p>
        </w:tc>
        <w:tc>
          <w:tcPr>
            <w:tcW w:w="0" w:type="auto"/>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项目名称</w:t>
            </w:r>
          </w:p>
        </w:tc>
        <w:tc>
          <w:tcPr>
            <w:tcW w:w="0" w:type="auto"/>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数量</w:t>
            </w:r>
          </w:p>
        </w:tc>
        <w:tc>
          <w:tcPr>
            <w:tcW w:w="1431"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预算价/最高限价</w:t>
            </w:r>
          </w:p>
        </w:tc>
        <w:tc>
          <w:tcPr>
            <w:tcW w:w="2337" w:type="dxa"/>
            <w:vAlign w:val="center"/>
          </w:tcPr>
          <w:p>
            <w:pPr>
              <w:spacing w:line="360" w:lineRule="auto"/>
              <w:jc w:val="center"/>
              <w:rPr>
                <w:rFonts w:ascii="宋体"/>
                <w:b/>
                <w:color w:val="auto"/>
                <w:sz w:val="24"/>
                <w:highlight w:val="none"/>
              </w:rPr>
            </w:pPr>
            <w:r>
              <w:rPr>
                <w:rFonts w:hint="eastAsia" w:ascii="宋体" w:hAnsi="宋体"/>
                <w:b/>
                <w:bCs/>
                <w:color w:val="auto"/>
                <w:sz w:val="24"/>
                <w:highlight w:val="none"/>
              </w:rPr>
              <w:t>交货期/工期</w:t>
            </w:r>
          </w:p>
        </w:tc>
        <w:tc>
          <w:tcPr>
            <w:tcW w:w="0" w:type="auto"/>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right"/>
        </w:trPr>
        <w:tc>
          <w:tcPr>
            <w:tcW w:w="0" w:type="auto"/>
            <w:vAlign w:val="center"/>
          </w:tcPr>
          <w:p>
            <w:pPr>
              <w:adjustRightInd w:val="0"/>
              <w:snapToGrid w:val="0"/>
              <w:spacing w:line="360" w:lineRule="auto"/>
              <w:jc w:val="center"/>
              <w:rPr>
                <w:rFonts w:ascii="宋体" w:hAnsi="宋体" w:cs="宋体"/>
                <w:b/>
                <w:bCs/>
                <w:color w:val="auto"/>
                <w:sz w:val="24"/>
                <w:szCs w:val="24"/>
                <w:highlight w:val="none"/>
              </w:rPr>
            </w:pPr>
            <w:r>
              <w:rPr>
                <w:rFonts w:hint="eastAsia" w:ascii="宋体" w:hAnsi="宋体" w:cs="宋体"/>
                <w:bCs/>
                <w:color w:val="auto"/>
                <w:sz w:val="24"/>
                <w:szCs w:val="24"/>
                <w:highlight w:val="none"/>
              </w:rPr>
              <w:t>1</w:t>
            </w:r>
          </w:p>
        </w:tc>
        <w:tc>
          <w:tcPr>
            <w:tcW w:w="0" w:type="auto"/>
            <w:vAlign w:val="center"/>
          </w:tcPr>
          <w:p>
            <w:pPr>
              <w:spacing w:line="360" w:lineRule="auto"/>
              <w:jc w:val="center"/>
              <w:rPr>
                <w:rFonts w:ascii="宋体" w:hAnsi="宋体"/>
                <w:b/>
                <w:color w:val="auto"/>
                <w:sz w:val="24"/>
                <w:highlight w:val="none"/>
              </w:rPr>
            </w:pPr>
            <w:r>
              <w:rPr>
                <w:rFonts w:hint="eastAsia" w:ascii="宋体" w:hAnsi="宋体" w:cs="宋体"/>
                <w:color w:val="auto"/>
                <w:sz w:val="24"/>
                <w:szCs w:val="32"/>
                <w:highlight w:val="none"/>
                <w:lang w:val="zh-CN"/>
              </w:rPr>
              <w:t>X射线计算机断层扫描装置采购项目</w:t>
            </w:r>
          </w:p>
        </w:tc>
        <w:tc>
          <w:tcPr>
            <w:tcW w:w="0" w:type="auto"/>
            <w:vAlign w:val="center"/>
          </w:tcPr>
          <w:p>
            <w:pPr>
              <w:spacing w:line="360" w:lineRule="auto"/>
              <w:jc w:val="center"/>
              <w:rPr>
                <w:rFonts w:ascii="宋体" w:hAnsi="宋体"/>
                <w:b/>
                <w:color w:val="auto"/>
                <w:sz w:val="24"/>
                <w:highlight w:val="none"/>
              </w:rPr>
            </w:pPr>
            <w:r>
              <w:rPr>
                <w:rFonts w:hint="eastAsia" w:ascii="宋体" w:hAnsi="宋体" w:cs="宋体"/>
                <w:color w:val="auto"/>
                <w:sz w:val="24"/>
                <w:highlight w:val="none"/>
              </w:rPr>
              <w:t>1项</w:t>
            </w:r>
          </w:p>
        </w:tc>
        <w:tc>
          <w:tcPr>
            <w:tcW w:w="1431" w:type="dxa"/>
            <w:vAlign w:val="center"/>
          </w:tcPr>
          <w:p>
            <w:pPr>
              <w:spacing w:line="360" w:lineRule="auto"/>
              <w:jc w:val="center"/>
              <w:rPr>
                <w:rFonts w:ascii="宋体" w:hAnsi="宋体"/>
                <w:b/>
                <w:color w:val="auto"/>
                <w:sz w:val="24"/>
                <w:highlight w:val="none"/>
              </w:rPr>
            </w:pPr>
            <w:r>
              <w:rPr>
                <w:rFonts w:hint="eastAsia" w:ascii="宋体"/>
                <w:color w:val="auto"/>
                <w:sz w:val="24"/>
                <w:highlight w:val="none"/>
                <w:lang w:eastAsia="zh-CN"/>
              </w:rPr>
              <w:t>6000000</w:t>
            </w:r>
            <w:r>
              <w:rPr>
                <w:rFonts w:hint="eastAsia" w:ascii="宋体"/>
                <w:color w:val="auto"/>
                <w:sz w:val="24"/>
                <w:highlight w:val="none"/>
              </w:rPr>
              <w:t>元</w:t>
            </w:r>
          </w:p>
        </w:tc>
        <w:tc>
          <w:tcPr>
            <w:tcW w:w="2337" w:type="dxa"/>
            <w:vAlign w:val="center"/>
          </w:tcPr>
          <w:p>
            <w:pPr>
              <w:spacing w:line="360" w:lineRule="auto"/>
              <w:jc w:val="center"/>
              <w:rPr>
                <w:rFonts w:hint="eastAsia" w:ascii="宋体" w:eastAsia="宋体"/>
                <w:color w:val="auto"/>
                <w:sz w:val="24"/>
                <w:highlight w:val="none"/>
                <w:lang w:eastAsia="zh-CN"/>
              </w:rPr>
            </w:pPr>
            <w:r>
              <w:rPr>
                <w:rFonts w:hint="eastAsia" w:ascii="宋体"/>
                <w:color w:val="auto"/>
                <w:sz w:val="24"/>
                <w:highlight w:val="none"/>
                <w:lang w:eastAsia="zh-CN"/>
              </w:rPr>
              <w:t>接到采购人通知2个月内供货安装完毕</w:t>
            </w:r>
          </w:p>
        </w:tc>
        <w:tc>
          <w:tcPr>
            <w:tcW w:w="0" w:type="auto"/>
            <w:vAlign w:val="center"/>
          </w:tcPr>
          <w:p>
            <w:pPr>
              <w:spacing w:line="360" w:lineRule="auto"/>
              <w:jc w:val="center"/>
              <w:rPr>
                <w:rFonts w:ascii="宋体" w:hAnsi="宋体"/>
                <w:b/>
                <w:color w:val="auto"/>
                <w:sz w:val="24"/>
                <w:highlight w:val="none"/>
              </w:rPr>
            </w:pPr>
            <w:r>
              <w:rPr>
                <w:rFonts w:hint="eastAsia" w:ascii="宋体"/>
                <w:color w:val="auto"/>
                <w:sz w:val="24"/>
                <w:highlight w:val="none"/>
              </w:rPr>
              <w:t>具体详见招标需求</w:t>
            </w:r>
          </w:p>
        </w:tc>
      </w:tr>
    </w:tbl>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注：本次采购产品非进口产品。</w:t>
      </w:r>
    </w:p>
    <w:p>
      <w:pPr>
        <w:pStyle w:val="2"/>
        <w:numPr>
          <w:ilvl w:val="0"/>
          <w:numId w:val="3"/>
        </w:numPr>
        <w:tabs>
          <w:tab w:val="left" w:pos="709"/>
        </w:tabs>
        <w:ind w:left="1" w:right="-252" w:firstLine="566" w:firstLineChars="235"/>
        <w:rPr>
          <w:b/>
          <w:bCs/>
          <w:color w:val="auto"/>
          <w:sz w:val="24"/>
          <w:szCs w:val="24"/>
          <w:highlight w:val="none"/>
        </w:rPr>
      </w:pPr>
      <w:r>
        <w:rPr>
          <w:rFonts w:hint="eastAsia"/>
          <w:b/>
          <w:bCs/>
          <w:color w:val="auto"/>
          <w:sz w:val="24"/>
          <w:szCs w:val="24"/>
          <w:highlight w:val="none"/>
          <w:lang w:val="en-US" w:eastAsia="zh-CN"/>
        </w:rPr>
        <w:t>技术参数要求</w:t>
      </w:r>
    </w:p>
    <w:p>
      <w:pPr>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本次招标采购设备为多层螺旋CT，投标方应根据招标文件所提出的设备技术规格、产品、数量和服务要求，综合考虑设备和适应性，选择具有最佳性能价格比的设备前来投标，希望投标方以精良的设备，优良的服务和优惠的价格，充分显示贵公司的竞争实力。  </w:t>
      </w:r>
    </w:p>
    <w:p>
      <w:pPr>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eastAsia="zh-CN"/>
        </w:rPr>
        <w:t>应在投标文件中如实提供设备技术指标。</w:t>
      </w:r>
    </w:p>
    <w:tbl>
      <w:tblPr>
        <w:tblStyle w:val="28"/>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招标内容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机架孔径：≥72cm且≤75cm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机架物理倾角（不含数字倾角）：≥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滑环类型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数据传输方式：射频信号传递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机架倾斜螺旋扫描功能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机架控制面板</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机架液晶屏幕一体化显示患者信息、球管热容量、设备状态等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球管焦点到探测器的距离 ：≥ 1040mm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球管焦点到等中心距离：≥ 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1.10</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具备语音呼吸导航系统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X线系统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球管阳极热容量（不含等效概念） ：≥ 7MHU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阳极最大散热率（不含等效概念） ：≥ 930KHU/min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球管小焦点 ： ≤0.8mm²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球管大焦点 ： ≤1.32mm²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高压发生器功率（不含等效概念）： ≥ 80kW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最小球管电流 ： ≤ 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最大管电流：≥ 660mA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管电流步进：≤ 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球管最低电压 ： ≤ 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2.10</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球管最高电压 ：≥ 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球管电压选择范围 ：≥4档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智能四重采样技术：在X轴及Z轴同时实现双倍采样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数据采集系统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探测器类型 ：固体稀土陶瓷探测器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亚毫米探测器排列 ： ≥60排且＜64排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每层面探测器采集通道数： ≥1340个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数据采样率 ： ≥4640采样/360°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轴位扫描成像 ： ≥120层/360°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探测器Z轴覆盖宽度 ： ≥40mm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传输速率：≥ 2.7GBit/秒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最大可移动范围 ： ≥1770mm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床水平移动最大速度 ： ≥200mm/s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床水平移动最小速度 ： ≤1mm/s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床垂直移动最小速度 ： ≤9mm/s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床面可降至离地面最低距离 ： ≤430mm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床面可升至离地面最高距离： ≥970mm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床面垂直升降范围：≥540mm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4.8</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床定位精度 ： ≤±0.25mm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4.9</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检查床承重 ：≥205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操作系统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主机和建像机分开工作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高性能主控台计算机 ： ≥4核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高性能建像机 ： ≥2 x 8核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主机内存 ： ≥16GB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建像机内存 ： ≥128GB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图像存储空间 ： ≥1TB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5.8</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建像机硬盘容量：≥4TB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5.9</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图像存储量 ： ≥1,920,000（512矩阵不压缩的图像）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5.10</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24”液晶平板彩色无闪烁显示器：1台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显示器分辨率： ≥1920×1200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CD，DVD光盘刻录系统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标准DICOM3.0接口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可配置远程诊断系统及远程诊断平台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不对称不规则图像打印编排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同步并行处理功能：扫描、重建、显示、存储、打印等操作可同步进行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自动语音系统及双向语音传输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原厂高级影像后处理工作站（提供工作站注册证证明文件）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操作系统</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内存</w:t>
            </w:r>
            <w:r>
              <w:rPr>
                <w:rFonts w:hint="eastAsia" w:ascii="宋体" w:hAnsi="宋体" w:eastAsia="宋体" w:cs="宋体"/>
                <w:color w:val="auto"/>
                <w:sz w:val="24"/>
                <w:szCs w:val="24"/>
                <w:highlight w:val="none"/>
                <w:lang w:eastAsia="zh-CN"/>
              </w:rPr>
              <w:t xml:space="preserve"> ：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16</w:t>
            </w:r>
            <w:r>
              <w:rPr>
                <w:rFonts w:hint="eastAsia" w:ascii="宋体" w:hAnsi="宋体" w:eastAsia="宋体" w:cs="宋体"/>
                <w:color w:val="auto"/>
                <w:sz w:val="24"/>
                <w:szCs w:val="24"/>
                <w:highlight w:val="none"/>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硬盘</w:t>
            </w:r>
            <w:r>
              <w:rPr>
                <w:rFonts w:hint="eastAsia" w:ascii="宋体" w:hAnsi="宋体" w:eastAsia="宋体" w:cs="宋体"/>
                <w:color w:val="auto"/>
                <w:sz w:val="24"/>
                <w:szCs w:val="24"/>
                <w:highlight w:val="none"/>
                <w:lang w:eastAsia="zh-CN"/>
              </w:rPr>
              <w:t xml:space="preserve"> ：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1T</w:t>
            </w:r>
            <w:r>
              <w:rPr>
                <w:rFonts w:hint="eastAsia" w:ascii="宋体" w:hAnsi="宋体" w:eastAsia="宋体" w:cs="宋体"/>
                <w:color w:val="auto"/>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24“液晶平板彩色无闪烁显示器：1台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显示器</w:t>
            </w:r>
            <w:r>
              <w:rPr>
                <w:rFonts w:hint="eastAsia" w:ascii="宋体" w:hAnsi="宋体" w:eastAsia="宋体" w:cs="宋体"/>
                <w:color w:val="auto"/>
                <w:sz w:val="24"/>
                <w:szCs w:val="24"/>
                <w:highlight w:val="none"/>
                <w:lang w:eastAsia="zh-CN"/>
              </w:rPr>
              <w:t xml:space="preserve">分辨率 ：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920×1200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图像在主机与工作站之间双向传输的功能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jpeg、视频格式文件输出：USB及光盘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6.8</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工作站激光相机DICOM接口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扫描参数与图像重建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螺旋扫描速度（360度）： ＜0.375秒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最薄采集层厚 ：≤0.4mm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扫描视野FOV ：≥50cm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最大重建视野FOV ：≥50cm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最小重建视野FOV ：≤5cm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图像重建速度 ： ≥60幅/秒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图像重建矩阵 ：512×512, 768×768,1024×1024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7.8</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最大拓展CT值：≥32767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7.9</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最小拓展CT值：≤-32768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7.10</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单次连续扫描时间 ：≥160秒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定位片最大长度 ： 1700mm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螺旋扫描最小重建层厚 ：≤0.4mm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最小扫描螺距  ：≤0.13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最大扫描螺距：≥2.0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X-Y平面空间分辨率： ≥24lp/cm@0%MTF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密度分辨率 ：≤2mm@0.3％ （测试剂量≤10mGy）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8</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基础软件功能</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多平面重建</w:t>
            </w:r>
            <w:r>
              <w:rPr>
                <w:rFonts w:hint="eastAsia" w:ascii="宋体" w:hAnsi="宋体" w:eastAsia="宋体" w:cs="宋体"/>
                <w:color w:val="auto"/>
                <w:sz w:val="24"/>
                <w:szCs w:val="24"/>
                <w:highlight w:val="none"/>
              </w:rPr>
              <w:t>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曲面重建CPR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最大密度投影MIP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最小密度投影MinIP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平均</w:t>
            </w:r>
            <w:r>
              <w:rPr>
                <w:rFonts w:hint="eastAsia" w:ascii="宋体" w:hAnsi="宋体" w:eastAsia="宋体" w:cs="宋体"/>
                <w:color w:val="auto"/>
                <w:sz w:val="24"/>
                <w:szCs w:val="24"/>
                <w:highlight w:val="none"/>
              </w:rPr>
              <w:t>密度投影</w:t>
            </w:r>
            <w:r>
              <w:rPr>
                <w:rFonts w:hint="eastAsia" w:ascii="宋体" w:hAnsi="宋体" w:eastAsia="宋体" w:cs="宋体"/>
                <w:color w:val="auto"/>
                <w:sz w:val="24"/>
                <w:szCs w:val="24"/>
                <w:highlight w:val="none"/>
                <w:lang w:eastAsia="zh-CN"/>
              </w:rPr>
              <w:t>A</w:t>
            </w:r>
            <w:r>
              <w:rPr>
                <w:rFonts w:hint="eastAsia" w:ascii="宋体" w:hAnsi="宋体" w:eastAsia="宋体" w:cs="宋体"/>
                <w:color w:val="auto"/>
                <w:sz w:val="24"/>
                <w:szCs w:val="24"/>
                <w:highlight w:val="none"/>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表面遮盖显示SSD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8.1.8</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三维容积显示VR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8.1.9</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透明显示骨骼功能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8.1.10</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图像融合技术：两幅CT图像进行融合，并提供角度测量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模拟手术刀技术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轮廓分割功能 ： 能够自定义感兴趣区域的轮廓，并分割出来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CTA血管造影技术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CTU尿路造影技术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肝脏三期扫描技术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智能对比剂追踪技术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对比剂追踪自动扫描触发功能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8.1.18</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动态扫描CT时间密度曲线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8.1.19</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实时MPR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8.1.20</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内耳最薄采集层厚：≤0.4mm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仿真内窥镜功能</w:t>
            </w:r>
            <w:r>
              <w:rPr>
                <w:rFonts w:hint="eastAsia" w:ascii="宋体" w:hAnsi="宋体" w:eastAsia="宋体" w:cs="宋体"/>
                <w:color w:val="auto"/>
                <w:sz w:val="24"/>
                <w:szCs w:val="24"/>
                <w:highlight w:val="non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气管内窥镜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椎管内窥镜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血管内窥镜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能够自定义漫游路径，并支持自动，手动漫游，录制成Video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血管分析功能</w:t>
            </w:r>
            <w:r>
              <w:rPr>
                <w:rFonts w:hint="eastAsia" w:ascii="宋体" w:hAnsi="宋体" w:eastAsia="宋体" w:cs="宋体"/>
                <w:color w:val="auto"/>
                <w:sz w:val="24"/>
                <w:szCs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自动去除床板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自动去除身体各个检查部位的骨骼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自动提取医生感兴趣的主要分支血管，并自动命名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随鼠标指针移动，自动显示主要血管名称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自动血管拉直，自动测量管腔面积，最大、最小直径、狭窄率等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低剂量扫描技术</w:t>
            </w:r>
            <w:r>
              <w:rPr>
                <w:rFonts w:hint="eastAsia" w:ascii="宋体" w:hAnsi="宋体" w:eastAsia="宋体" w:cs="宋体"/>
                <w:color w:val="auto"/>
                <w:sz w:val="24"/>
                <w:szCs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最先进的迭代重建算法，实现低剂量扫描得到高精度图像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bookmarkStart w:id="0" w:name="OLE_LINK2"/>
            <w:bookmarkStart w:id="1" w:name="OLE_LINK3"/>
            <w:r>
              <w:rPr>
                <w:rFonts w:hint="eastAsia" w:ascii="宋体" w:hAnsi="宋体" w:eastAsia="宋体" w:cs="宋体"/>
                <w:color w:val="auto"/>
                <w:sz w:val="24"/>
                <w:szCs w:val="24"/>
                <w:highlight w:val="none"/>
                <w:lang w:eastAsia="zh-CN"/>
              </w:rPr>
              <w:t>8.4.2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智能毫安技术 ： 根据患者的解剖结构自动进行实时的电流优化技术, mA步进≤1mA</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智能kV技术 ： 根据患者的体型，解剖结构，自动选择最优的扫描电压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儿童低剂量扫描协议 ：根据不同患者的年龄，体重设置特殊的扫描协议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敏感器官保护功能 ： 扫描过程中针对眼睛，甲状腺等敏感部位实施器官保护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剂量报告： 每个患者检查结束后会显示扫描所用的参数与剂量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肺结节软件分析</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一键病灶提取，并自动计算病灶的大小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VR显示病灶的形态，解剖位置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随访功能，病灶自动对比，自动量化体积变化、倍增时间等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灌注功能</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8.6.1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头部动静脉血管检测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8.6.2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头部CBF, CBV, MTT, TTP 图像显示，曲线显示，以及测量结果显示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去伪影技术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8.7.1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去运动伪影技术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8.7.2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去后颅窝伪影技术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8.7.3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去金属伪影技术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8.7.4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去射线束硬化伪影技术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8.8</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心脏成像功能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时间分辨率：≤25ms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心电监护装置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前瞻性门控扫描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回顾性门控扫描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自适应扇区：单扇区、两扇区、三扇区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心电编辑：添加、删除、移动、绘制等功能，对异常心电信号有效编辑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整个序列多期相重建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8.8.8</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单幅图像多期相重建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8.8.9</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自动选择最佳期相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8.8.10</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一键冠脉提取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8.8.11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主要血管自动命名≥3支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8.8.12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自动识别血管中心线，并可进行编辑，延长，修改和连接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8.8.13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冠脉及心脏的三维成像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8.8.14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冠状动脉狭窄分析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8.8.15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血管拉直分析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8.8.16</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随鼠标移动自动显示主要血管名称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8.8.17</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冠状动脉斑块分析，包括性质分析，体积分析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8.9</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智能自动摆位系统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8.9.1</w:t>
            </w:r>
          </w:p>
        </w:tc>
        <w:tc>
          <w:tcPr>
            <w:tcW w:w="7559" w:type="dxa"/>
            <w:noWrap w:val="0"/>
            <w:vAlign w:val="top"/>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智能识别患者身体特征点位置信息：具备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8.9.2</w:t>
            </w:r>
          </w:p>
        </w:tc>
        <w:tc>
          <w:tcPr>
            <w:tcW w:w="7559" w:type="dxa"/>
            <w:noWrap w:val="0"/>
            <w:vAlign w:val="top"/>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实时监测患者位置，患者移动时可实时检测并更新摆位初始位置信息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8.9.3</w:t>
            </w:r>
          </w:p>
        </w:tc>
        <w:tc>
          <w:tcPr>
            <w:tcW w:w="7559" w:type="dxa"/>
            <w:noWrap w:val="0"/>
            <w:vAlign w:val="top"/>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智能摆位功能，可根据所选扫描协议和识别到的患者初始位置自动确定扫描范围并控制移床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8.9.4</w:t>
            </w:r>
          </w:p>
        </w:tc>
        <w:tc>
          <w:tcPr>
            <w:tcW w:w="7559" w:type="dxa"/>
            <w:noWrap w:val="0"/>
            <w:vAlign w:val="top"/>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智能等中心功能，可根据扫描部位自动选择最佳等中心点位置并控制升降床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8.9.5</w:t>
            </w:r>
          </w:p>
        </w:tc>
        <w:tc>
          <w:tcPr>
            <w:tcW w:w="7559" w:type="dxa"/>
            <w:noWrap w:val="0"/>
            <w:vAlign w:val="top"/>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人工摆位及自动摆位双模式选择切换功能：具备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8.9.6</w:t>
            </w:r>
          </w:p>
        </w:tc>
        <w:tc>
          <w:tcPr>
            <w:tcW w:w="7559" w:type="dxa"/>
            <w:noWrap w:val="0"/>
            <w:vAlign w:val="top"/>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摄像头参数自动校准功能：具备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8.10</w:t>
            </w:r>
          </w:p>
        </w:tc>
        <w:tc>
          <w:tcPr>
            <w:tcW w:w="755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提供影像云平台一套：必须与CT为同一品牌，且提供影像云软件注册证证明文件，为医院提供远程医学影像会诊服务。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8.11</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自动语音功能 ： 提醒患者做适时的检查配合，如屏住呼吸等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8.12</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视觉引导功能：对于听力障碍的患者，提醒做适时配合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8.13</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自动胶片打印功能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8.14</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自动降噪技术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w:t>
            </w:r>
            <w:r>
              <w:rPr>
                <w:rFonts w:hint="eastAsia" w:ascii="宋体" w:hAnsi="宋体" w:cs="宋体"/>
                <w:color w:val="auto"/>
                <w:sz w:val="24"/>
                <w:szCs w:val="24"/>
                <w:highlight w:val="none"/>
                <w:lang w:val="en-US" w:eastAsia="zh-CN"/>
              </w:rPr>
              <w:t>5</w:t>
            </w:r>
          </w:p>
        </w:tc>
        <w:tc>
          <w:tcPr>
            <w:tcW w:w="7559" w:type="dxa"/>
            <w:noWrap w:val="0"/>
            <w:vAlign w:val="center"/>
          </w:tcPr>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CT电影 ：播放速度≥30幅/秒</w:t>
            </w:r>
          </w:p>
        </w:tc>
      </w:tr>
    </w:tbl>
    <w:p>
      <w:pPr>
        <w:numPr>
          <w:ilvl w:val="0"/>
          <w:numId w:val="0"/>
        </w:numPr>
        <w:spacing w:line="360" w:lineRule="auto"/>
        <w:rPr>
          <w:rFonts w:hint="eastAsia" w:ascii="宋体" w:hAnsi="宋体" w:cs="宋体"/>
          <w:b/>
          <w:bCs/>
          <w:color w:val="auto"/>
          <w:sz w:val="24"/>
          <w:szCs w:val="24"/>
          <w:highlight w:val="none"/>
          <w:lang w:val="en-US" w:eastAsia="zh-CN"/>
        </w:rPr>
      </w:pPr>
    </w:p>
    <w:p>
      <w:pPr>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三、商务要求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1.保质期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▲1.1保修期≥2年，终身维修。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1.2每年保质期内故障率不得超过14天，如开机率达不到要求，每超过一天质保期相应延长10天。保质期内因设备本身缺陷造成各种故障应由供应商免费技术服务和维修。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1.3供应商在投标文件中说明在保质期内提供的服务计划。</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2.付款方式</w:t>
      </w:r>
    </w:p>
    <w:p>
      <w:pPr>
        <w:spacing w:line="360" w:lineRule="auto"/>
        <w:ind w:firstLine="480" w:firstLineChars="200"/>
        <w:rPr>
          <w:rFonts w:ascii="宋体" w:hAnsi="宋体" w:cs="宋体"/>
          <w:b w:val="0"/>
          <w:bCs w:val="0"/>
          <w:color w:val="auto"/>
          <w:sz w:val="24"/>
          <w:highlight w:val="none"/>
          <w:u w:val="single"/>
        </w:rPr>
      </w:pPr>
      <w:r>
        <w:rPr>
          <w:rFonts w:hint="eastAsia" w:ascii="宋体" w:hAnsi="宋体" w:eastAsia="宋体" w:cs="宋体"/>
          <w:b w:val="0"/>
          <w:bCs w:val="0"/>
          <w:color w:val="auto"/>
          <w:sz w:val="24"/>
          <w:szCs w:val="24"/>
          <w:highlight w:val="none"/>
          <w:u w:val="single"/>
        </w:rPr>
        <w:t>2.1</w:t>
      </w:r>
      <w:r>
        <w:rPr>
          <w:rFonts w:hint="eastAsia" w:ascii="宋体" w:hAnsi="宋体" w:cs="宋体"/>
          <w:b w:val="0"/>
          <w:bCs w:val="0"/>
          <w:color w:val="auto"/>
          <w:sz w:val="24"/>
          <w:szCs w:val="24"/>
          <w:highlight w:val="none"/>
          <w:u w:val="single"/>
        </w:rPr>
        <w:t>合同生效以及具备实施条件后七个工作日内，采购人向中标人支付40%的合同预付款</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sz w:val="24"/>
          <w:szCs w:val="24"/>
          <w:highlight w:val="none"/>
          <w:u w:val="single"/>
        </w:rPr>
        <w:t>在所有货物交货安装完毕，经采购人验收合格后七个工作日内，</w:t>
      </w:r>
      <w:r>
        <w:rPr>
          <w:rFonts w:hint="eastAsia" w:ascii="宋体" w:hAnsi="宋体" w:cs="宋体"/>
          <w:b w:val="0"/>
          <w:bCs w:val="0"/>
          <w:color w:val="auto"/>
          <w:sz w:val="24"/>
          <w:highlight w:val="none"/>
          <w:u w:val="single"/>
        </w:rPr>
        <w:t>付清剩余款项。</w:t>
      </w:r>
      <w:r>
        <w:rPr>
          <w:rFonts w:hint="eastAsia" w:ascii="宋体" w:hAnsi="宋体" w:cs="宋体"/>
          <w:b w:val="0"/>
          <w:bCs w:val="0"/>
          <w:color w:val="auto"/>
          <w:sz w:val="24"/>
          <w:szCs w:val="24"/>
          <w:highlight w:val="none"/>
          <w:u w:val="single"/>
        </w:rPr>
        <w:t>（采购人根据项目特点、中标人诚信等因素，可要求中标人提供预付款保函。签订合同时，中标人是大型企业的或中标人明确表示无需预付款或者主动要求降低预付款比例的，可不适用此条款）。</w:t>
      </w:r>
      <w:r>
        <w:rPr>
          <w:rFonts w:hint="eastAsia" w:ascii="宋体" w:hAnsi="宋体" w:cs="宋体"/>
          <w:b w:val="0"/>
          <w:bCs w:val="0"/>
          <w:color w:val="auto"/>
          <w:sz w:val="24"/>
          <w:highlight w:val="none"/>
          <w:u w:val="single"/>
        </w:rPr>
        <w:t>正式增值税务发票应随付款进度及时提供。</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在设备整个使用期内，供应商应确保设备的正常使用。在接到用户维修要求后应立即作出回应，并在24小时内派员到达买方现场实施维修。零配件在该设备停产后仍需保证十年的供应。维修过程中所需零配件供应商在接到通知后最长不超过3天必须送达买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3.2供应商应在投标文件中应详细说明其服务计划及维修收费标准，提供维修点的分布情况，及配件供应情况。</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4.技术支持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4.1成交供应商应提供免费软件升级。</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5.1供应商应对用户的维修人员提供培训，使其能对设备进行日常的维护保养及能对一般故障进行维修，并向培训人员提供维修图纸及维修手册、维修密码及软件备份。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5.2供应商应对用户的操作人员进行院内、外操作和技术培训，使其能对设备进行熟练的操作。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上述二种培训的培训方式、地点、人员及费用（包含在投标总价中）供应商应在投标文件中详细说明。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5.4投标商应按维修手册对用户的医学工程人员进行设备预防性维护，质量检测等培训，使用户的医学工程人员能熟练的掌握设备预防性维护，质量检测。必须提供详细的培训记录。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5.5投标商对用户的维修人员提供设备的维护和保养培训，达到使其具备日常维护和日常保养的能力。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5.6投标商应按操作手册对用户的操作人员进行操作培训，和日常保养培训。达到使其能对设备进行熟练的操作。要求提供详细的培训记录，培训完后需由投标商提供仪器的培训试题进行考核。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6.安装调试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6.1安装地点：台州市黄岩区中医院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6.2安装完成时间：接到用户通知后完成安装和调试，如在规定的时间内由于供应商的原因不能完成安装和调试，投标方应承担由此给用户造成的损失</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6.3安装标准：符合我国国家有关技术规范要求和技术标准。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6.4安装过程中发生的费用由供应商负责。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6.5供应商应在投标文件中提供其安装调试过程中买方需配合的内容。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6.6随机资料：提供使用操作手册2份，维修手册1份。</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7.1供应商应提供设备的有效检验文件，经买方认可后，与设备性能指标、合同内容一起作为设备验收标准。买方对设备验收合格后，双方共同签署验收合格证书并加盖公章。验收中发现设备达不到验收标准或合同规定的性能指标，供应商必须更换设备。并且赔偿由此给用户造成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7.2验收费用由产品供应商负担。</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8.交货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8.1交货期：接到采购人通知2个月内供货安装完毕</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8.2交货地点：医院指定地点</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9.报价方式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9.1所有投标价格为含税到用户人民币价（含货物应交纳的一切税费和伴随服务费）并进行分项报价；质保期后的维保费单独报价（不包括在投标价中），选购件单独分项报价（不包括在投标价中）。</w:t>
      </w:r>
    </w:p>
    <w:p>
      <w:pPr>
        <w:spacing w:line="360" w:lineRule="auto"/>
        <w:ind w:firstLine="482" w:firstLineChars="200"/>
        <w:rPr>
          <w:rFonts w:ascii="宋体" w:hAnsi="宋体" w:cs="宋体"/>
          <w:b/>
          <w:bCs/>
          <w:color w:val="auto"/>
          <w:sz w:val="24"/>
          <w:highlight w:val="none"/>
        </w:rPr>
      </w:pPr>
    </w:p>
    <w:p>
      <w:pPr>
        <w:pStyle w:val="26"/>
        <w:rPr>
          <w:color w:val="auto"/>
          <w:highlight w:val="none"/>
        </w:rPr>
      </w:pPr>
    </w:p>
    <w:p>
      <w:pPr>
        <w:spacing w:line="360" w:lineRule="auto"/>
        <w:jc w:val="center"/>
        <w:rPr>
          <w:rFonts w:ascii="宋体" w:hAnsi="宋体" w:cs="宋体"/>
          <w:b/>
          <w:bCs/>
          <w:color w:val="auto"/>
          <w:sz w:val="36"/>
          <w:szCs w:val="36"/>
          <w:highlight w:val="none"/>
        </w:rPr>
      </w:pPr>
    </w:p>
    <w:p>
      <w:pPr>
        <w:spacing w:line="360" w:lineRule="auto"/>
        <w:jc w:val="center"/>
        <w:rPr>
          <w:rFonts w:ascii="宋体" w:hAnsi="宋体" w:cs="宋体"/>
          <w:b/>
          <w:bCs/>
          <w:color w:val="auto"/>
          <w:sz w:val="36"/>
          <w:szCs w:val="36"/>
          <w:highlight w:val="none"/>
        </w:rPr>
      </w:pPr>
    </w:p>
    <w:p>
      <w:pPr>
        <w:spacing w:line="360" w:lineRule="auto"/>
        <w:jc w:val="center"/>
        <w:rPr>
          <w:rFonts w:ascii="宋体" w:hAnsi="宋体" w:cs="宋体"/>
          <w:b/>
          <w:bCs/>
          <w:color w:val="auto"/>
          <w:sz w:val="36"/>
          <w:szCs w:val="36"/>
          <w:highlight w:val="none"/>
        </w:rPr>
      </w:pPr>
    </w:p>
    <w:p>
      <w:pPr>
        <w:pStyle w:val="2"/>
        <w:rPr>
          <w:color w:val="auto"/>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  合同主要条款</w:t>
      </w:r>
    </w:p>
    <w:p>
      <w:pPr>
        <w:widowControl/>
        <w:spacing w:after="150" w:line="360" w:lineRule="auto"/>
        <w:ind w:firstLine="480"/>
        <w:jc w:val="left"/>
        <w:rPr>
          <w:rFonts w:ascii="宋体" w:hAnsi="宋体"/>
          <w:color w:val="auto"/>
          <w:sz w:val="24"/>
          <w:highlight w:val="none"/>
        </w:rPr>
      </w:pPr>
      <w:r>
        <w:rPr>
          <w:rFonts w:ascii="宋体" w:hAnsi="宋体"/>
          <w:color w:val="auto"/>
          <w:sz w:val="24"/>
          <w:highlight w:val="none"/>
        </w:rPr>
        <w:t>以下为成交后签定本项目合同的通用条款，成交供应商不得提出实质性的修改，关于专用条款将由采购人与成交供应商结合本项目具体情况协商后签订。</w:t>
      </w:r>
    </w:p>
    <w:p>
      <w:pPr>
        <w:spacing w:line="360" w:lineRule="auto"/>
        <w:rPr>
          <w:rFonts w:ascii="宋体" w:hAnsi="宋体" w:cs="宋体"/>
          <w:color w:val="auto"/>
          <w:sz w:val="24"/>
          <w:szCs w:val="24"/>
          <w:highlight w:val="none"/>
          <w:lang w:val="zh-CN"/>
        </w:rPr>
      </w:pPr>
    </w:p>
    <w:p>
      <w:pPr>
        <w:spacing w:line="360" w:lineRule="auto"/>
        <w:outlineLvl w:val="0"/>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项目名称：</w:t>
      </w:r>
      <w:r>
        <w:rPr>
          <w:rFonts w:hint="eastAsia" w:ascii="宋体" w:hAnsi="宋体" w:cs="宋体"/>
          <w:b/>
          <w:bCs/>
          <w:color w:val="auto"/>
          <w:sz w:val="24"/>
          <w:szCs w:val="32"/>
          <w:highlight w:val="none"/>
          <w:u w:val="single"/>
          <w:lang w:val="zh-CN"/>
        </w:rPr>
        <w:t>X射线计算机断层扫描装置采购项目</w:t>
      </w:r>
    </w:p>
    <w:p>
      <w:pPr>
        <w:spacing w:line="360" w:lineRule="auto"/>
        <w:outlineLvl w:val="0"/>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项目编号：</w:t>
      </w:r>
      <w:r>
        <w:rPr>
          <w:rFonts w:hint="eastAsia" w:ascii="宋体" w:hAnsi="宋体" w:cs="宋体"/>
          <w:b/>
          <w:bCs/>
          <w:color w:val="auto"/>
          <w:sz w:val="24"/>
          <w:szCs w:val="32"/>
          <w:highlight w:val="none"/>
          <w:u w:val="single"/>
          <w:lang w:val="zh-CN"/>
        </w:rPr>
        <w:t>ZJWS2022-HYZYY07</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甲方（采购人）：</w:t>
      </w:r>
      <w:r>
        <w:rPr>
          <w:rFonts w:hint="eastAsia" w:ascii="宋体" w:hAnsi="宋体" w:cs="宋体"/>
          <w:b/>
          <w:bCs/>
          <w:color w:val="auto"/>
          <w:sz w:val="24"/>
          <w:szCs w:val="32"/>
          <w:highlight w:val="none"/>
          <w:u w:val="single"/>
          <w:lang w:val="zh-CN"/>
        </w:rPr>
        <w:t>台州市黄岩区中医院</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乙方（中标人）：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根据</w:t>
      </w:r>
      <w:r>
        <w:rPr>
          <w:rFonts w:hint="eastAsia" w:ascii="宋体" w:hAnsi="宋体" w:cs="宋体"/>
          <w:b/>
          <w:bCs/>
          <w:color w:val="auto"/>
          <w:sz w:val="24"/>
          <w:szCs w:val="32"/>
          <w:highlight w:val="none"/>
          <w:u w:val="single"/>
          <w:lang w:val="zh-CN"/>
        </w:rPr>
        <w:t>X射线计算机断层扫描装置采购项目</w:t>
      </w:r>
      <w:r>
        <w:rPr>
          <w:rFonts w:hint="eastAsia" w:ascii="宋体" w:hAnsi="宋体" w:cs="宋体"/>
          <w:color w:val="auto"/>
          <w:sz w:val="24"/>
          <w:szCs w:val="32"/>
          <w:highlight w:val="none"/>
          <w:lang w:val="zh-CN"/>
        </w:rPr>
        <w:t>的招标结果，经双方协商一致，达成以下条款：</w:t>
      </w:r>
    </w:p>
    <w:p>
      <w:pPr>
        <w:spacing w:line="360" w:lineRule="auto"/>
        <w:outlineLvl w:val="0"/>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第一条：承包内容</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X射线计算机断层扫描装置采购项目，包括项目的供货、运输、安装、总体调试、技术培训、直至验收合格及售后服务等。</w:t>
      </w:r>
    </w:p>
    <w:p>
      <w:pPr>
        <w:spacing w:line="360" w:lineRule="auto"/>
        <w:outlineLvl w:val="0"/>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第二条：合同金额</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本合同金额为：大写</w:t>
      </w:r>
      <w:r>
        <w:rPr>
          <w:rFonts w:hint="eastAsia" w:ascii="宋体" w:hAnsi="宋体" w:cs="宋体"/>
          <w:color w:val="auto"/>
          <w:sz w:val="24"/>
          <w:szCs w:val="32"/>
          <w:highlight w:val="none"/>
        </w:rPr>
        <w:t>人民币</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lang w:val="zh-CN"/>
        </w:rPr>
        <w:t>元；小写</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lang w:val="zh-CN"/>
        </w:rPr>
        <w:t>元。</w:t>
      </w:r>
    </w:p>
    <w:p>
      <w:pPr>
        <w:spacing w:line="360" w:lineRule="auto"/>
        <w:outlineLvl w:val="0"/>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第三条：交货期、验收方式及地点</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1、交货期：</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2、验收方式及地点：按</w:t>
      </w:r>
      <w:r>
        <w:rPr>
          <w:rFonts w:hint="eastAsia" w:ascii="宋体" w:hAnsi="宋体" w:cs="宋体"/>
          <w:color w:val="auto"/>
          <w:sz w:val="24"/>
          <w:szCs w:val="32"/>
          <w:highlight w:val="none"/>
        </w:rPr>
        <w:t>甲方</w:t>
      </w:r>
      <w:r>
        <w:rPr>
          <w:rFonts w:hint="eastAsia" w:ascii="宋体" w:hAnsi="宋体" w:cs="宋体"/>
          <w:color w:val="auto"/>
          <w:sz w:val="24"/>
          <w:szCs w:val="32"/>
          <w:highlight w:val="none"/>
          <w:lang w:val="zh-CN"/>
        </w:rPr>
        <w:t>指定的方式、地点验收。</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3、供货要求：</w:t>
      </w:r>
    </w:p>
    <w:p>
      <w:pPr>
        <w:spacing w:line="360" w:lineRule="auto"/>
        <w:outlineLvl w:val="0"/>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第四条：质保期</w:t>
      </w:r>
    </w:p>
    <w:p>
      <w:pPr>
        <w:spacing w:line="360" w:lineRule="auto"/>
        <w:ind w:firstLine="480" w:firstLineChars="200"/>
        <w:outlineLvl w:val="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质保期：整机免费保修年。（自验收合格之日起计）</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第五条：货物包装、发运及运输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1.乙方在货物发运前对其进行满足运输距离、防潮、防震、防锈和防破损装卸等要求包装，以保证货物安全运达甲方指定地点。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2.使用说明书、质量检验证明书、随配附件和工具以及清单一并附于货物内。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3.货物在交付采购人前发生的风险、运输费用均由乙方负责。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4.货物在规定的交付期限内由乙方送达甲方指定的地点视为交付。</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第六条：安装、调试和验收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1.安装地点：甲方指定地点。</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2.安装完成时间：在规定的时间内由于乙方的原因不能完成安装和调试，乙方应承担由此给甲方造成的损失。</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3.安装标准：符合我国国家有关技术规范要求和技术标准。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4.安装过程中发生的费用由乙方负责。</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5.随机资料：乙方提供全套用于安装、操作、维护技术文件，提供主机、各功能部件的基本结构和使用说明书，维修保养说明书，提供软件操作手册，提供电子版说明书。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乙方应提供设备的有效检验文件，由甲方选择有资质的第三方机构或邀请专家组进行技术验收（该费用由乙方负责）。甲方根据国家有关规定对设备技术指标，合同内容等一起作为验收标准，验收合格后，双方共同签署验收合格证书并加盖公章。验收中发现设备达不到验收标准或合同规定的性能指标，乙方必须更换设备。并且赔偿由此给甲方造成的损失。</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7.验收费用由乙方负担。</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第七条：付款方式</w:t>
      </w:r>
    </w:p>
    <w:p>
      <w:pPr>
        <w:spacing w:line="360" w:lineRule="auto"/>
        <w:ind w:firstLine="480" w:firstLineChars="200"/>
        <w:rPr>
          <w:rFonts w:hint="eastAsia" w:ascii="宋体" w:hAnsi="宋体" w:cs="宋体"/>
          <w:b w:val="0"/>
          <w:bCs w:val="0"/>
          <w:color w:val="auto"/>
          <w:sz w:val="24"/>
          <w:highlight w:val="none"/>
          <w:u w:val="single"/>
        </w:rPr>
      </w:pPr>
      <w:r>
        <w:rPr>
          <w:rFonts w:hint="eastAsia" w:ascii="宋体" w:hAnsi="宋体" w:cs="宋体"/>
          <w:b w:val="0"/>
          <w:bCs w:val="0"/>
          <w:color w:val="auto"/>
          <w:sz w:val="24"/>
          <w:szCs w:val="24"/>
          <w:highlight w:val="none"/>
          <w:u w:val="single"/>
        </w:rPr>
        <w:t>合同生效以及具备实施条件后七个工作日内，</w:t>
      </w:r>
      <w:r>
        <w:rPr>
          <w:rFonts w:hint="eastAsia" w:ascii="宋体" w:hAnsi="宋体" w:cs="宋体"/>
          <w:b w:val="0"/>
          <w:bCs w:val="0"/>
          <w:color w:val="auto"/>
          <w:sz w:val="24"/>
          <w:szCs w:val="24"/>
          <w:highlight w:val="none"/>
          <w:u w:val="single"/>
          <w:lang w:val="en-US" w:eastAsia="zh-CN"/>
        </w:rPr>
        <w:t>甲方</w:t>
      </w:r>
      <w:r>
        <w:rPr>
          <w:rFonts w:hint="eastAsia" w:ascii="宋体" w:hAnsi="宋体" w:cs="宋体"/>
          <w:b w:val="0"/>
          <w:bCs w:val="0"/>
          <w:color w:val="auto"/>
          <w:sz w:val="24"/>
          <w:szCs w:val="24"/>
          <w:highlight w:val="none"/>
          <w:u w:val="single"/>
        </w:rPr>
        <w:t>向</w:t>
      </w:r>
      <w:r>
        <w:rPr>
          <w:rFonts w:hint="eastAsia" w:ascii="宋体" w:hAnsi="宋体" w:cs="宋体"/>
          <w:b w:val="0"/>
          <w:bCs w:val="0"/>
          <w:color w:val="auto"/>
          <w:sz w:val="24"/>
          <w:szCs w:val="24"/>
          <w:highlight w:val="none"/>
          <w:u w:val="single"/>
          <w:lang w:val="en-US" w:eastAsia="zh-CN"/>
        </w:rPr>
        <w:t>乙方</w:t>
      </w:r>
      <w:r>
        <w:rPr>
          <w:rFonts w:hint="eastAsia" w:ascii="宋体" w:hAnsi="宋体" w:cs="宋体"/>
          <w:b w:val="0"/>
          <w:bCs w:val="0"/>
          <w:color w:val="auto"/>
          <w:sz w:val="24"/>
          <w:szCs w:val="24"/>
          <w:highlight w:val="none"/>
          <w:u w:val="single"/>
        </w:rPr>
        <w:t>支付40%的合同预付款</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sz w:val="24"/>
          <w:szCs w:val="24"/>
          <w:highlight w:val="none"/>
          <w:u w:val="single"/>
        </w:rPr>
        <w:t>在所有货物交货安装完毕，经</w:t>
      </w:r>
      <w:r>
        <w:rPr>
          <w:rFonts w:hint="eastAsia" w:ascii="宋体" w:hAnsi="宋体" w:cs="宋体"/>
          <w:b w:val="0"/>
          <w:bCs w:val="0"/>
          <w:color w:val="auto"/>
          <w:sz w:val="24"/>
          <w:szCs w:val="24"/>
          <w:highlight w:val="none"/>
          <w:u w:val="single"/>
          <w:lang w:val="en-US" w:eastAsia="zh-CN"/>
        </w:rPr>
        <w:t>甲方</w:t>
      </w:r>
      <w:r>
        <w:rPr>
          <w:rFonts w:hint="eastAsia" w:ascii="宋体" w:hAnsi="宋体" w:cs="宋体"/>
          <w:b w:val="0"/>
          <w:bCs w:val="0"/>
          <w:color w:val="auto"/>
          <w:sz w:val="24"/>
          <w:szCs w:val="24"/>
          <w:highlight w:val="none"/>
          <w:u w:val="single"/>
        </w:rPr>
        <w:t>验收合格后七个工作日内，</w:t>
      </w:r>
      <w:r>
        <w:rPr>
          <w:rFonts w:hint="eastAsia" w:ascii="宋体" w:hAnsi="宋体" w:cs="宋体"/>
          <w:b w:val="0"/>
          <w:bCs w:val="0"/>
          <w:color w:val="auto"/>
          <w:sz w:val="24"/>
          <w:highlight w:val="none"/>
          <w:u w:val="single"/>
        </w:rPr>
        <w:t>付清剩余款项。</w:t>
      </w:r>
      <w:r>
        <w:rPr>
          <w:rFonts w:hint="eastAsia" w:ascii="宋体" w:hAnsi="宋体" w:cs="宋体"/>
          <w:b w:val="0"/>
          <w:bCs w:val="0"/>
          <w:color w:val="auto"/>
          <w:sz w:val="24"/>
          <w:szCs w:val="24"/>
          <w:highlight w:val="none"/>
          <w:u w:val="single"/>
        </w:rPr>
        <w:t>（</w:t>
      </w:r>
      <w:r>
        <w:rPr>
          <w:rFonts w:hint="eastAsia" w:ascii="宋体" w:hAnsi="宋体" w:cs="宋体"/>
          <w:b w:val="0"/>
          <w:bCs w:val="0"/>
          <w:color w:val="auto"/>
          <w:sz w:val="24"/>
          <w:szCs w:val="24"/>
          <w:highlight w:val="none"/>
          <w:u w:val="single"/>
          <w:lang w:val="en-US" w:eastAsia="zh-CN"/>
        </w:rPr>
        <w:t>甲方</w:t>
      </w:r>
      <w:r>
        <w:rPr>
          <w:rFonts w:hint="eastAsia" w:ascii="宋体" w:hAnsi="宋体" w:cs="宋体"/>
          <w:b w:val="0"/>
          <w:bCs w:val="0"/>
          <w:color w:val="auto"/>
          <w:sz w:val="24"/>
          <w:szCs w:val="24"/>
          <w:highlight w:val="none"/>
          <w:u w:val="single"/>
        </w:rPr>
        <w:t>根据项目特点、</w:t>
      </w:r>
      <w:r>
        <w:rPr>
          <w:rFonts w:hint="eastAsia" w:ascii="宋体" w:hAnsi="宋体" w:cs="宋体"/>
          <w:b w:val="0"/>
          <w:bCs w:val="0"/>
          <w:color w:val="auto"/>
          <w:sz w:val="24"/>
          <w:szCs w:val="24"/>
          <w:highlight w:val="none"/>
          <w:u w:val="single"/>
          <w:lang w:val="en-US" w:eastAsia="zh-CN"/>
        </w:rPr>
        <w:t>乙方</w:t>
      </w:r>
      <w:r>
        <w:rPr>
          <w:rFonts w:hint="eastAsia" w:ascii="宋体" w:hAnsi="宋体" w:cs="宋体"/>
          <w:b w:val="0"/>
          <w:bCs w:val="0"/>
          <w:color w:val="auto"/>
          <w:sz w:val="24"/>
          <w:szCs w:val="24"/>
          <w:highlight w:val="none"/>
          <w:u w:val="single"/>
        </w:rPr>
        <w:t>诚信等因素，可要求</w:t>
      </w:r>
      <w:r>
        <w:rPr>
          <w:rFonts w:hint="eastAsia" w:ascii="宋体" w:hAnsi="宋体" w:cs="宋体"/>
          <w:b w:val="0"/>
          <w:bCs w:val="0"/>
          <w:color w:val="auto"/>
          <w:sz w:val="24"/>
          <w:szCs w:val="24"/>
          <w:highlight w:val="none"/>
          <w:u w:val="single"/>
          <w:lang w:val="en-US" w:eastAsia="zh-CN"/>
        </w:rPr>
        <w:t>甲方</w:t>
      </w:r>
      <w:r>
        <w:rPr>
          <w:rFonts w:hint="eastAsia" w:ascii="宋体" w:hAnsi="宋体" w:cs="宋体"/>
          <w:b w:val="0"/>
          <w:bCs w:val="0"/>
          <w:color w:val="auto"/>
          <w:sz w:val="24"/>
          <w:szCs w:val="24"/>
          <w:highlight w:val="none"/>
          <w:u w:val="single"/>
        </w:rPr>
        <w:t>提供预付款保函。签订合同时，</w:t>
      </w:r>
      <w:r>
        <w:rPr>
          <w:rFonts w:hint="eastAsia" w:ascii="宋体" w:hAnsi="宋体" w:cs="宋体"/>
          <w:b w:val="0"/>
          <w:bCs w:val="0"/>
          <w:color w:val="auto"/>
          <w:sz w:val="24"/>
          <w:szCs w:val="24"/>
          <w:highlight w:val="none"/>
          <w:u w:val="single"/>
          <w:lang w:val="en-US" w:eastAsia="zh-CN"/>
        </w:rPr>
        <w:t>乙方</w:t>
      </w:r>
      <w:r>
        <w:rPr>
          <w:rFonts w:hint="eastAsia" w:ascii="宋体" w:hAnsi="宋体" w:cs="宋体"/>
          <w:b w:val="0"/>
          <w:bCs w:val="0"/>
          <w:color w:val="auto"/>
          <w:sz w:val="24"/>
          <w:szCs w:val="24"/>
          <w:highlight w:val="none"/>
          <w:u w:val="single"/>
        </w:rPr>
        <w:t>是大型企业的或</w:t>
      </w:r>
      <w:r>
        <w:rPr>
          <w:rFonts w:hint="eastAsia" w:ascii="宋体" w:hAnsi="宋体" w:cs="宋体"/>
          <w:b w:val="0"/>
          <w:bCs w:val="0"/>
          <w:color w:val="auto"/>
          <w:sz w:val="24"/>
          <w:szCs w:val="24"/>
          <w:highlight w:val="none"/>
          <w:u w:val="single"/>
          <w:lang w:val="en-US" w:eastAsia="zh-CN"/>
        </w:rPr>
        <w:t>乙方</w:t>
      </w:r>
      <w:r>
        <w:rPr>
          <w:rFonts w:hint="eastAsia" w:ascii="宋体" w:hAnsi="宋体" w:cs="宋体"/>
          <w:b w:val="0"/>
          <w:bCs w:val="0"/>
          <w:color w:val="auto"/>
          <w:sz w:val="24"/>
          <w:szCs w:val="24"/>
          <w:highlight w:val="none"/>
          <w:u w:val="single"/>
        </w:rPr>
        <w:t>明确表示无需预付款或者主动要求降低预付款比例的，可不适用此条款）。</w:t>
      </w:r>
      <w:r>
        <w:rPr>
          <w:rFonts w:hint="eastAsia" w:ascii="宋体" w:hAnsi="宋体" w:cs="宋体"/>
          <w:b w:val="0"/>
          <w:bCs w:val="0"/>
          <w:color w:val="auto"/>
          <w:sz w:val="24"/>
          <w:highlight w:val="none"/>
          <w:u w:val="single"/>
        </w:rPr>
        <w:t>正式增值税务发票应随付款进度及时提供。</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第八条：违约责任</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1.甲方有权根据甲方按检验标准自己检验的结果或当地质检部门出具的质检证书，要求乙方将不合格的设备更换成合格的设备或按乙方中标价的120%向乙方提出索赔。</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逾期交付货物的（包括因验收不合格，乙方需要更换设备导致交付超期等情形），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3.在根据合同中规定的检验期和质保期内，如果乙方对甲方提出的索赔和差异负有责任，乙方应按照甲方同意的下列一种或多种方式解决索赔事宜：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1）退货：乙方按合同规定的同种货币将货款退还给甲方，并承担由此发生的一切损失和费用，包括利息、银行手续费、运费、保险费、检验费、仓储费、装卸费以及为保护退回货物所需的其它必要费用。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2）根据货物低劣程度、损坏程度以及甲方所遭受损失的数额，经甲乙双方商定降低货物的价格。</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3）用符合规格、质量和性能要求的新零件、部件或货物来更换有缺陷的部分或修补缺陷部分，乙方应承担一切费用和风险，并负担甲方所发生的一切直接费用。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如果在甲方发出索赔通知后30天内，乙方未作答复，上述索赔应视已被乙方接受。乙方未能在甲方提出索赔通知后30天内或甲方同意的更长时间内，按照本合同规定的方法解决索赔事宜，甲方将从未付的合同款中扣回索赔金额。如果这些金额不足以补偿索赔金额，甲方有权向乙方提出不足部分的补偿。</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5.本合同自生效之日起，若发生纠纷，由违约方赔偿守约方因纠纷所支付的费用（包括但不限于律师费、差旅费、诉讼费、保全费、鉴定费、评估费等）。</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第九条：质量保证及售后服务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1.乙方应按招标文件规定的货物性能、技术要求、质量标准向甲方提供未经使用的全新产品。</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2.乙方应在甲方现场对采购人的操作人员和维修人员进行技术培训，使之能够独立操作。甲方有权要求更换乙方指派的不合格的技术人员，由此产生的费用由乙方承担。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3.在质量保证期内因货物本身的质量问题发生故障，乙方应负责免费更换。对达不到技术要求者，根据实际情况，经双方协商，可以按以下办法处理：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1）更换：由乙方承担所发生的全部费用。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2）贬值处理：由甲乙双方合议定价。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3）退货处理：乙方应退还甲方支付的合同款，同时应承担该货物的直接费用（运输、保险、检验等）。</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4.保质期内，乙方应定期派出专业人员对系统设备进行检查、调整。保证系统正常工作。在使用产品过程中遇到技术或故障问题，乙方响应时间为小时，维修人员应在小时内到达现场进行维修，并解决问题。</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5.在质保期内，乙方应对货物出现的质量及安全问题负责处理解决并承担一切费用。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上述的货物免费保修期为设备验收合格之日起不少于年，因人为因素出现的故障不在免费保修范围内。超过保修期的维修，维修时只收部件成本费。质保期满后终身成本维修，甲方有权自行确定第三方维护或厂家购买维保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w:t>
      </w:r>
      <w:r>
        <w:rPr>
          <w:rFonts w:hint="eastAsia" w:ascii="宋体" w:hAnsi="宋体" w:cs="宋体"/>
          <w:color w:val="auto"/>
          <w:sz w:val="24"/>
          <w:highlight w:val="none"/>
        </w:rPr>
        <w:t>乙方应保证所提供的货物或其任何一部分均不会侵犯任何第三方的知识产权和其他权利。若侵犯,由乙方赔偿甲方因此遭受的损失（包括但不限于应对及追偿过程中所支付的律师费、差旅费、诉讼费、保全费、鉴定费、评估费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w:t>
      </w:r>
      <w:r>
        <w:rPr>
          <w:rFonts w:hint="eastAsia" w:ascii="宋体" w:hAnsi="宋体" w:cs="宋体"/>
          <w:color w:val="auto"/>
          <w:sz w:val="24"/>
          <w:highlight w:val="none"/>
        </w:rPr>
        <w:t>乙方保证所交付的货物的所有权完全属于乙方且无任何抵押、查封等产权瑕疵。若侵犯,由乙方赔偿甲方因此遭受的损失（包括但不限于应对及追偿过程中所支付的律师费、差旅费、诉讼费、保全费、鉴定费、评估费等）。</w:t>
      </w: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第十条：</w:t>
      </w:r>
      <w:r>
        <w:rPr>
          <w:rFonts w:hint="eastAsia" w:ascii="宋体" w:hAnsi="宋体" w:cs="宋体"/>
          <w:b/>
          <w:bCs/>
          <w:color w:val="auto"/>
          <w:sz w:val="24"/>
          <w:highlight w:val="none"/>
          <w:lang w:val="zh-CN"/>
        </w:rPr>
        <w:t>不可抗力事件处理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pPr>
        <w:spacing w:line="360" w:lineRule="auto"/>
        <w:jc w:val="left"/>
        <w:outlineLvl w:val="0"/>
        <w:rPr>
          <w:rFonts w:ascii="宋体" w:hAnsi="宋体" w:cs="宋体"/>
          <w:b/>
          <w:bCs/>
          <w:color w:val="auto"/>
          <w:sz w:val="24"/>
          <w:highlight w:val="none"/>
          <w:lang w:val="zh-CN"/>
        </w:rPr>
      </w:pPr>
      <w:r>
        <w:rPr>
          <w:rFonts w:hint="eastAsia" w:ascii="宋体" w:hAnsi="宋体" w:cs="宋体"/>
          <w:b/>
          <w:bCs/>
          <w:color w:val="auto"/>
          <w:sz w:val="24"/>
          <w:highlight w:val="none"/>
        </w:rPr>
        <w:t>第十一条：</w:t>
      </w:r>
      <w:r>
        <w:rPr>
          <w:rFonts w:hint="eastAsia" w:ascii="宋体" w:hAnsi="宋体" w:cs="宋体"/>
          <w:b/>
          <w:bCs/>
          <w:color w:val="auto"/>
          <w:sz w:val="24"/>
          <w:highlight w:val="none"/>
          <w:lang w:val="zh-CN"/>
        </w:rPr>
        <w:t>解决争议的方法</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如双方在履行合同时发生纠纷，应协商解决；协商不成时，可依法向甲方所在地人民法院提起诉讼。 </w:t>
      </w: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第十二条：</w:t>
      </w:r>
      <w:r>
        <w:rPr>
          <w:rFonts w:hint="eastAsia" w:ascii="宋体" w:hAnsi="宋体" w:cs="宋体"/>
          <w:b/>
          <w:bCs/>
          <w:color w:val="auto"/>
          <w:sz w:val="24"/>
          <w:highlight w:val="none"/>
          <w:lang w:val="zh-CN"/>
        </w:rPr>
        <w:t>合同生效及其它</w:t>
      </w:r>
      <w:r>
        <w:rPr>
          <w:rFonts w:hint="eastAsia" w:ascii="宋体" w:hAnsi="宋体" w:cs="宋体"/>
          <w:b/>
          <w:bCs/>
          <w:color w:val="auto"/>
          <w:sz w:val="24"/>
          <w:highlight w:val="none"/>
        </w:rPr>
        <w:tab/>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2.本合同未尽事宜，遵照《中华人民共和国民法典》有关条文执行。</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3.本合同正本一式陆份（采购人贰份、供应商贰份、采购代理机构及地方采购主管部门各执一份），具有同等法律效力；</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4.本项目未尽事宜以招标文件、投标文件及澄清文件等为准，本合同中如有未尽事宜，由双方协商另行解决。</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5.合同附件。</w:t>
      </w:r>
    </w:p>
    <w:p>
      <w:pPr>
        <w:spacing w:line="360" w:lineRule="auto"/>
        <w:rPr>
          <w:rFonts w:ascii="宋体" w:hAnsi="宋体" w:cs="宋体"/>
          <w:color w:val="auto"/>
          <w:sz w:val="24"/>
          <w:szCs w:val="32"/>
          <w:highlight w:val="none"/>
        </w:rPr>
      </w:pPr>
    </w:p>
    <w:p>
      <w:pPr>
        <w:pStyle w:val="11"/>
        <w:rPr>
          <w:rFonts w:ascii="宋体" w:hAnsi="宋体" w:cs="宋体"/>
          <w:color w:val="auto"/>
          <w:szCs w:val="32"/>
          <w:highlight w:val="none"/>
        </w:rPr>
      </w:pPr>
    </w:p>
    <w:p>
      <w:pPr>
        <w:pStyle w:val="12"/>
        <w:rPr>
          <w:color w:val="auto"/>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甲方（公章）：                        乙方（公章）：</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法定代表人或委托代理人（签字）：      法定代表人或委托代理人（签字）：</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联系电话：                            联系电话：</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开户银行：                            开户银行（必填）：</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账    号：                            账    号（必填）：</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签订时间：    年   月   日            签订时间：    年   月   日</w:t>
      </w:r>
    </w:p>
    <w:p>
      <w:pPr>
        <w:spacing w:line="360" w:lineRule="auto"/>
        <w:rPr>
          <w:rFonts w:ascii="宋体" w:hAnsi="宋体" w:cs="宋体"/>
          <w:color w:val="auto"/>
          <w:sz w:val="24"/>
          <w:szCs w:val="24"/>
          <w:highlight w:val="none"/>
          <w:lang w:val="zh-CN"/>
        </w:rPr>
      </w:pPr>
    </w:p>
    <w:p>
      <w:pPr>
        <w:spacing w:line="360" w:lineRule="auto"/>
        <w:rPr>
          <w:rFonts w:ascii="宋体" w:hAnsi="宋体" w:cs="宋体"/>
          <w:color w:val="auto"/>
          <w:sz w:val="24"/>
          <w:szCs w:val="24"/>
          <w:highlight w:val="none"/>
          <w:lang w:val="zh-CN"/>
        </w:rPr>
      </w:pPr>
    </w:p>
    <w:p>
      <w:pPr>
        <w:spacing w:line="360" w:lineRule="auto"/>
        <w:rPr>
          <w:rFonts w:ascii="宋体" w:hAnsi="宋体" w:cs="宋体"/>
          <w:color w:val="auto"/>
          <w:sz w:val="24"/>
          <w:szCs w:val="24"/>
          <w:highlight w:val="none"/>
          <w:lang w:val="zh-CN"/>
        </w:rPr>
      </w:pPr>
    </w:p>
    <w:p>
      <w:pPr>
        <w:spacing w:line="360" w:lineRule="auto"/>
        <w:rPr>
          <w:rFonts w:ascii="宋体" w:hAnsi="宋体" w:cs="宋体"/>
          <w:color w:val="auto"/>
          <w:sz w:val="24"/>
          <w:szCs w:val="24"/>
          <w:highlight w:val="none"/>
          <w:lang w:val="zh-CN"/>
        </w:rPr>
      </w:pPr>
    </w:p>
    <w:p>
      <w:pPr>
        <w:spacing w:line="360" w:lineRule="auto"/>
        <w:rPr>
          <w:rFonts w:ascii="宋体" w:hAnsi="宋体" w:cs="宋体"/>
          <w:color w:val="auto"/>
          <w:sz w:val="24"/>
          <w:szCs w:val="24"/>
          <w:highlight w:val="none"/>
          <w:lang w:val="zh-CN"/>
        </w:rPr>
      </w:pPr>
    </w:p>
    <w:p>
      <w:pPr>
        <w:spacing w:line="360" w:lineRule="auto"/>
        <w:rPr>
          <w:rFonts w:ascii="宋体" w:hAnsi="宋体" w:cs="宋体"/>
          <w:color w:val="auto"/>
          <w:sz w:val="24"/>
          <w:szCs w:val="24"/>
          <w:highlight w:val="none"/>
          <w:lang w:val="zh-CN"/>
        </w:rPr>
      </w:pPr>
    </w:p>
    <w:p>
      <w:pPr>
        <w:spacing w:line="360" w:lineRule="auto"/>
        <w:rPr>
          <w:rFonts w:ascii="宋体" w:hAnsi="宋体" w:cs="宋体"/>
          <w:color w:val="auto"/>
          <w:sz w:val="24"/>
          <w:szCs w:val="24"/>
          <w:highlight w:val="none"/>
          <w:lang w:val="zh-CN"/>
        </w:rPr>
      </w:pPr>
    </w:p>
    <w:p>
      <w:pPr>
        <w:spacing w:line="360" w:lineRule="auto"/>
        <w:rPr>
          <w:rFonts w:ascii="宋体" w:hAnsi="宋体" w:cs="宋体"/>
          <w:color w:val="auto"/>
          <w:sz w:val="24"/>
          <w:szCs w:val="24"/>
          <w:highlight w:val="none"/>
          <w:lang w:val="zh-CN"/>
        </w:rPr>
      </w:pPr>
    </w:p>
    <w:p>
      <w:pPr>
        <w:spacing w:line="360" w:lineRule="auto"/>
        <w:rPr>
          <w:rFonts w:ascii="宋体" w:hAnsi="宋体" w:cs="宋体"/>
          <w:color w:val="auto"/>
          <w:sz w:val="24"/>
          <w:szCs w:val="24"/>
          <w:highlight w:val="none"/>
          <w:lang w:val="zh-CN"/>
        </w:rPr>
      </w:pPr>
    </w:p>
    <w:p>
      <w:pPr>
        <w:spacing w:line="360" w:lineRule="auto"/>
        <w:rPr>
          <w:rFonts w:ascii="宋体" w:hAnsi="宋体" w:cs="宋体"/>
          <w:color w:val="auto"/>
          <w:sz w:val="24"/>
          <w:szCs w:val="24"/>
          <w:highlight w:val="none"/>
          <w:lang w:val="zh-CN"/>
        </w:rPr>
      </w:pPr>
    </w:p>
    <w:p>
      <w:pPr>
        <w:spacing w:line="360" w:lineRule="auto"/>
        <w:rPr>
          <w:rFonts w:ascii="宋体" w:hAnsi="宋体" w:cs="宋体"/>
          <w:color w:val="auto"/>
          <w:sz w:val="24"/>
          <w:szCs w:val="24"/>
          <w:highlight w:val="none"/>
          <w:lang w:val="zh-CN"/>
        </w:rPr>
      </w:pPr>
    </w:p>
    <w:p>
      <w:pPr>
        <w:pStyle w:val="2"/>
        <w:ind w:right="-252"/>
        <w:rPr>
          <w:color w:val="auto"/>
          <w:sz w:val="24"/>
          <w:szCs w:val="24"/>
          <w:highlight w:val="none"/>
          <w:lang w:val="zh-CN"/>
        </w:rPr>
      </w:pPr>
    </w:p>
    <w:p>
      <w:pPr>
        <w:pStyle w:val="2"/>
        <w:ind w:right="-252"/>
        <w:rPr>
          <w:color w:val="auto"/>
          <w:sz w:val="24"/>
          <w:szCs w:val="24"/>
          <w:highlight w:val="none"/>
          <w:lang w:val="zh-CN"/>
        </w:rPr>
      </w:pPr>
    </w:p>
    <w:p>
      <w:pPr>
        <w:pStyle w:val="2"/>
        <w:ind w:right="-252"/>
        <w:rPr>
          <w:color w:val="auto"/>
          <w:sz w:val="24"/>
          <w:szCs w:val="24"/>
          <w:highlight w:val="none"/>
          <w:lang w:val="zh-CN"/>
        </w:rPr>
      </w:pPr>
    </w:p>
    <w:p>
      <w:pPr>
        <w:pStyle w:val="2"/>
        <w:ind w:right="-252"/>
        <w:rPr>
          <w:color w:val="auto"/>
          <w:sz w:val="24"/>
          <w:szCs w:val="24"/>
          <w:highlight w:val="none"/>
          <w:lang w:val="zh-CN"/>
        </w:rPr>
      </w:pPr>
    </w:p>
    <w:p>
      <w:pPr>
        <w:pStyle w:val="2"/>
        <w:ind w:right="-252"/>
        <w:rPr>
          <w:color w:val="auto"/>
          <w:sz w:val="24"/>
          <w:szCs w:val="24"/>
          <w:highlight w:val="none"/>
          <w:lang w:val="zh-CN"/>
        </w:rPr>
      </w:pPr>
    </w:p>
    <w:p>
      <w:pPr>
        <w:pStyle w:val="2"/>
        <w:ind w:right="-252"/>
        <w:rPr>
          <w:color w:val="auto"/>
          <w:sz w:val="24"/>
          <w:szCs w:val="24"/>
          <w:highlight w:val="none"/>
          <w:lang w:val="zh-CN"/>
        </w:rPr>
      </w:pPr>
    </w:p>
    <w:p>
      <w:pPr>
        <w:pStyle w:val="2"/>
        <w:ind w:right="-252"/>
        <w:rPr>
          <w:color w:val="auto"/>
          <w:sz w:val="24"/>
          <w:szCs w:val="24"/>
          <w:highlight w:val="none"/>
          <w:lang w:val="zh-CN"/>
        </w:rPr>
      </w:pPr>
    </w:p>
    <w:p>
      <w:pPr>
        <w:pStyle w:val="2"/>
        <w:ind w:left="0" w:right="-252"/>
        <w:rPr>
          <w:color w:val="auto"/>
          <w:sz w:val="24"/>
          <w:szCs w:val="24"/>
          <w:highlight w:val="none"/>
          <w:lang w:val="zh-CN"/>
        </w:rPr>
      </w:pPr>
    </w:p>
    <w:p>
      <w:pPr>
        <w:widowControl/>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  投标文件格式附件</w:t>
      </w:r>
    </w:p>
    <w:p>
      <w:pP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b/>
          <w:bCs/>
          <w:color w:val="auto"/>
          <w:sz w:val="28"/>
          <w:szCs w:val="28"/>
          <w:highlight w:val="none"/>
          <w:lang w:val="en-US" w:eastAsia="zh-CN"/>
        </w:rPr>
        <w:t xml:space="preserve">                                             </w:t>
      </w:r>
      <w:r>
        <w:rPr>
          <w:rFonts w:hint="eastAsia" w:ascii="宋体" w:hAnsi="宋体" w:cs="宋体"/>
          <w:color w:val="auto"/>
          <w:sz w:val="30"/>
          <w:szCs w:val="30"/>
          <w:highlight w:val="none"/>
        </w:rPr>
        <w:t>　　</w:t>
      </w:r>
      <w:r>
        <w:rPr>
          <w:rFonts w:hint="eastAsia" w:ascii="宋体" w:hAnsi="宋体" w:cs="宋体"/>
          <w:color w:val="auto"/>
          <w:sz w:val="24"/>
          <w:szCs w:val="24"/>
          <w:highlight w:val="none"/>
        </w:rPr>
        <w:t>本</w:t>
      </w:r>
    </w:p>
    <w:p>
      <w:pPr>
        <w:spacing w:line="360" w:lineRule="auto"/>
        <w:rPr>
          <w:rFonts w:ascii="宋体"/>
          <w:b/>
          <w:bCs/>
          <w:color w:val="auto"/>
          <w:sz w:val="30"/>
          <w:szCs w:val="30"/>
          <w:highlight w:val="none"/>
        </w:rPr>
      </w:pPr>
    </w:p>
    <w:p>
      <w:pP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pPr>
        <w:autoSpaceDE w:val="0"/>
        <w:autoSpaceDN w:val="0"/>
        <w:adjustRightInd w:val="0"/>
        <w:spacing w:line="360" w:lineRule="auto"/>
        <w:jc w:val="center"/>
        <w:rPr>
          <w:rFonts w:ascii="宋体"/>
          <w:color w:val="auto"/>
          <w:sz w:val="84"/>
          <w:szCs w:val="84"/>
          <w:highlight w:val="none"/>
          <w:lang w:val="zh-CN"/>
        </w:rPr>
      </w:pPr>
    </w:p>
    <w:p>
      <w:pPr>
        <w:autoSpaceDE w:val="0"/>
        <w:autoSpaceDN w:val="0"/>
        <w:adjustRightInd w:val="0"/>
        <w:spacing w:line="360" w:lineRule="auto"/>
        <w:jc w:val="center"/>
        <w:outlineLvl w:val="0"/>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jc w:val="center"/>
        <w:rPr>
          <w:rFonts w:ascii="宋体"/>
          <w:b/>
          <w:bCs/>
          <w:color w:val="auto"/>
          <w:spacing w:val="40"/>
          <w:sz w:val="36"/>
          <w:szCs w:val="36"/>
          <w:highlight w:val="none"/>
        </w:rPr>
      </w:pPr>
      <w:r>
        <w:rPr>
          <w:rFonts w:hint="eastAsia" w:ascii="宋体" w:hAnsi="宋体" w:cs="宋体"/>
          <w:color w:val="auto"/>
          <w:sz w:val="36"/>
          <w:szCs w:val="36"/>
          <w:highlight w:val="none"/>
          <w:lang w:val="zh-CN"/>
        </w:rPr>
        <w:t>（资格</w:t>
      </w:r>
      <w:r>
        <w:rPr>
          <w:rFonts w:hint="eastAsia" w:ascii="宋体" w:hAnsi="宋体" w:cs="宋体"/>
          <w:color w:val="auto"/>
          <w:sz w:val="36"/>
          <w:szCs w:val="36"/>
          <w:highlight w:val="none"/>
        </w:rPr>
        <w:t>证明</w:t>
      </w:r>
      <w:r>
        <w:rPr>
          <w:rFonts w:hint="eastAsia" w:ascii="宋体" w:hAnsi="宋体" w:cs="宋体"/>
          <w:color w:val="auto"/>
          <w:sz w:val="36"/>
          <w:szCs w:val="36"/>
          <w:highlight w:val="none"/>
          <w:lang w:val="zh-CN"/>
        </w:rPr>
        <w:t>文件</w:t>
      </w:r>
      <w:r>
        <w:rPr>
          <w:rFonts w:hint="eastAsia" w:ascii="宋体" w:hAnsi="宋体" w:cs="宋体"/>
          <w:color w:val="auto"/>
          <w:spacing w:val="40"/>
          <w:sz w:val="36"/>
          <w:szCs w:val="36"/>
          <w:highlight w:val="none"/>
        </w:rPr>
        <w:t>）</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资格证明文件目录</w:t>
      </w:r>
    </w:p>
    <w:p>
      <w:pPr>
        <w:spacing w:line="360" w:lineRule="auto"/>
        <w:rPr>
          <w:rFonts w:ascii="宋体"/>
          <w:color w:val="auto"/>
          <w:sz w:val="24"/>
          <w:szCs w:val="24"/>
          <w:highlight w:val="none"/>
        </w:rPr>
      </w:pP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投标声明书（附件2）；</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授权委托书（附件3）；（法定代表人亲自办理投标事宜的，则无需提交）；</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法人或者其他组织的营业执照等证明文件，自然人的身份证明；</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32"/>
          <w:highlight w:val="none"/>
        </w:rPr>
        <w:t>良好财务状况证明材料</w:t>
      </w:r>
      <w:r>
        <w:rPr>
          <w:rFonts w:hint="eastAsia" w:ascii="宋体" w:hAnsi="宋体" w:cs="宋体"/>
          <w:color w:val="auto"/>
          <w:sz w:val="24"/>
          <w:szCs w:val="24"/>
          <w:highlight w:val="none"/>
          <w:lang w:val="zh-CN"/>
        </w:rPr>
        <w:t>；</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5、提供采购公告中符合供应商特定条件的有效资质证书复印件（投标供应商特定条件中有要求的必须提供），以及需要说明的其他资料</w:t>
      </w:r>
      <w:r>
        <w:rPr>
          <w:rFonts w:hint="eastAsia" w:ascii="宋体" w:hAnsi="宋体" w:cs="宋体"/>
          <w:color w:val="auto"/>
          <w:sz w:val="24"/>
          <w:szCs w:val="24"/>
          <w:highlight w:val="none"/>
          <w:lang w:val="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6、联合体协议（若非联合体投标则无需提供）。</w:t>
      </w:r>
    </w:p>
    <w:p>
      <w:pPr>
        <w:spacing w:line="360" w:lineRule="auto"/>
        <w:ind w:firstLine="560" w:firstLineChars="200"/>
        <w:jc w:val="left"/>
        <w:rPr>
          <w:rFonts w:ascii="宋体"/>
          <w:color w:val="auto"/>
          <w:sz w:val="28"/>
          <w:szCs w:val="28"/>
          <w:highlight w:val="none"/>
        </w:rPr>
      </w:pPr>
    </w:p>
    <w:p>
      <w:pPr>
        <w:spacing w:line="360" w:lineRule="auto"/>
        <w:ind w:firstLine="560" w:firstLineChars="200"/>
        <w:jc w:val="left"/>
        <w:rPr>
          <w:rFonts w:ascii="宋体"/>
          <w:color w:val="auto"/>
          <w:sz w:val="28"/>
          <w:szCs w:val="28"/>
          <w:highlight w:val="none"/>
        </w:rPr>
      </w:pPr>
    </w:p>
    <w:p>
      <w:pPr>
        <w:pStyle w:val="6"/>
        <w:rPr>
          <w:rFonts w:ascii="宋体"/>
          <w:color w:val="auto"/>
          <w:highlight w:val="none"/>
        </w:rPr>
      </w:pPr>
    </w:p>
    <w:p>
      <w:pPr>
        <w:rPr>
          <w:rFonts w:ascii="宋体"/>
          <w:color w:val="auto"/>
          <w:sz w:val="28"/>
          <w:szCs w:val="28"/>
          <w:highlight w:val="none"/>
        </w:rPr>
      </w:pPr>
    </w:p>
    <w:p>
      <w:pPr>
        <w:pStyle w:val="6"/>
        <w:rPr>
          <w:rFonts w:ascii="宋体"/>
          <w:color w:val="auto"/>
          <w:highlight w:val="none"/>
        </w:rPr>
      </w:pPr>
    </w:p>
    <w:p>
      <w:pPr>
        <w:rPr>
          <w:color w:val="auto"/>
          <w:highlight w:val="none"/>
        </w:rPr>
      </w:pPr>
    </w:p>
    <w:p>
      <w:pPr>
        <w:spacing w:line="360" w:lineRule="auto"/>
        <w:ind w:firstLine="560" w:firstLineChars="200"/>
        <w:jc w:val="left"/>
        <w:rPr>
          <w:rFonts w:ascii="宋体"/>
          <w:color w:val="auto"/>
          <w:sz w:val="28"/>
          <w:szCs w:val="28"/>
          <w:highlight w:val="none"/>
        </w:rPr>
      </w:pPr>
    </w:p>
    <w:p>
      <w:pPr>
        <w:pStyle w:val="11"/>
        <w:rPr>
          <w:rFonts w:ascii="宋体"/>
          <w:color w:val="auto"/>
          <w:sz w:val="28"/>
          <w:szCs w:val="28"/>
          <w:highlight w:val="none"/>
        </w:rPr>
      </w:pPr>
    </w:p>
    <w:p>
      <w:pPr>
        <w:pStyle w:val="12"/>
        <w:rPr>
          <w:rFonts w:ascii="宋体"/>
          <w:color w:val="auto"/>
          <w:sz w:val="28"/>
          <w:szCs w:val="28"/>
          <w:highlight w:val="none"/>
        </w:rPr>
      </w:pPr>
    </w:p>
    <w:p>
      <w:pPr>
        <w:pStyle w:val="13"/>
        <w:rPr>
          <w:rFonts w:ascii="宋体"/>
          <w:color w:val="auto"/>
          <w:sz w:val="28"/>
          <w:szCs w:val="28"/>
          <w:highlight w:val="none"/>
        </w:rPr>
      </w:pPr>
    </w:p>
    <w:p>
      <w:pPr>
        <w:rPr>
          <w:color w:val="auto"/>
          <w:highlight w:val="none"/>
        </w:rPr>
      </w:pPr>
    </w:p>
    <w:p>
      <w:pPr>
        <w:pStyle w:val="13"/>
        <w:rPr>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b/>
          <w:bCs/>
          <w:color w:val="auto"/>
          <w:kern w:val="0"/>
          <w:sz w:val="32"/>
          <w:szCs w:val="32"/>
          <w:highlight w:val="none"/>
          <w:lang w:val="zh-CN"/>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2                  </w:t>
      </w:r>
      <w:r>
        <w:rPr>
          <w:rFonts w:hint="eastAsia" w:ascii="宋体" w:hAnsi="宋体" w:cs="宋体"/>
          <w:b/>
          <w:bCs/>
          <w:color w:val="auto"/>
          <w:kern w:val="0"/>
          <w:sz w:val="32"/>
          <w:szCs w:val="32"/>
          <w:highlight w:val="none"/>
          <w:lang w:val="zh-CN"/>
        </w:rPr>
        <w:t>投标声明书</w:t>
      </w:r>
    </w:p>
    <w:p>
      <w:pPr>
        <w:spacing w:line="440" w:lineRule="exac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系中华人民共和国合法企业，经营地址。</w:t>
      </w:r>
    </w:p>
    <w:p>
      <w:pP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）的法定代表人，我公司自愿参加贵方组织的（</w:t>
      </w:r>
      <w:r>
        <w:rPr>
          <w:rFonts w:hint="eastAsia" w:ascii="宋体" w:hAnsi="宋体" w:cs="宋体"/>
          <w:color w:val="auto"/>
          <w:sz w:val="24"/>
          <w:szCs w:val="24"/>
          <w:highlight w:val="none"/>
          <w:u w:val="single"/>
          <w:lang w:eastAsia="zh-CN"/>
        </w:rPr>
        <w:t>X射线计算机断层扫描装置采购项目</w:t>
      </w:r>
      <w:r>
        <w:rPr>
          <w:rFonts w:hint="eastAsia" w:ascii="宋体" w:hAnsi="宋体" w:cs="宋体"/>
          <w:color w:val="auto"/>
          <w:sz w:val="24"/>
          <w:szCs w:val="24"/>
          <w:highlight w:val="none"/>
        </w:rPr>
        <w:t>）（编号为：</w:t>
      </w:r>
      <w:r>
        <w:rPr>
          <w:rFonts w:hint="eastAsia" w:ascii="宋体" w:hAnsi="宋体" w:cs="宋体"/>
          <w:color w:val="auto"/>
          <w:sz w:val="24"/>
          <w:szCs w:val="24"/>
          <w:highlight w:val="none"/>
          <w:u w:val="single"/>
          <w:lang w:eastAsia="zh-CN"/>
        </w:rPr>
        <w:t>ZJWS2022-HYZYY07</w:t>
      </w:r>
      <w:r>
        <w:rPr>
          <w:rFonts w:hint="eastAsia" w:ascii="宋体" w:hAnsi="宋体" w:cs="宋体"/>
          <w:color w:val="auto"/>
          <w:sz w:val="24"/>
          <w:szCs w:val="24"/>
          <w:highlight w:val="none"/>
        </w:rPr>
        <w:t>）的投标，为此，我公司就本次投标有关事项郑重声明如下：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rPr>
        <w:t>不是采购人的附属机构；在获知本项目采购信息后，与采购人聘请的为此项目提供咨询服务的公司及其附属机构没有任何联系。</w:t>
      </w:r>
    </w:p>
    <w:p>
      <w:pPr>
        <w:spacing w:line="360" w:lineRule="auto"/>
        <w:ind w:firstLine="480" w:firstLineChars="200"/>
        <w:rPr>
          <w:rFonts w:ascii="宋体"/>
          <w:color w:val="auto"/>
          <w:sz w:val="24"/>
          <w:szCs w:val="24"/>
          <w:highlight w:val="none"/>
          <w:lang w:val="af-ZA"/>
        </w:rPr>
      </w:pPr>
      <w:r>
        <w:rPr>
          <w:rFonts w:ascii="宋体" w:hAnsi="宋体" w:cs="宋体"/>
          <w:color w:val="auto"/>
          <w:sz w:val="24"/>
          <w:szCs w:val="24"/>
          <w:highlight w:val="none"/>
        </w:rPr>
        <w:t>4</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rPr>
        <w:t>保证，</w:t>
      </w:r>
      <w:r>
        <w:rPr>
          <w:rFonts w:hint="eastAsia" w:ascii="宋体" w:hAnsi="宋体" w:cs="宋体"/>
          <w:color w:val="auto"/>
          <w:sz w:val="24"/>
          <w:szCs w:val="24"/>
          <w:highlight w:val="none"/>
          <w:lang w:val="af-ZA"/>
        </w:rPr>
        <w:t>采购人在中华人民共和国境内使用</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lang w:val="af-ZA"/>
        </w:rPr>
        <w:t>5</w:t>
      </w:r>
      <w:r>
        <w:rPr>
          <w:rFonts w:hint="eastAsia" w:ascii="宋体" w:hAnsi="宋体" w:cs="宋体"/>
          <w:color w:val="auto"/>
          <w:sz w:val="24"/>
          <w:szCs w:val="24"/>
          <w:highlight w:val="none"/>
          <w:lang w:val="af-ZA"/>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lang w:val="af-ZA"/>
        </w:rPr>
        <w:t>严格履行政府采购合同，不降低合同约定的产品质量和服务，不擅自变更、中止、终止合同，或拒绝履行合同义务；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、以上事项如有虚假或隐瞒，我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rPr>
        <w:t>愿意承担一切后果，并不再寻求任何旨在减轻或免除法律责任的辩解。</w:t>
      </w:r>
    </w:p>
    <w:p>
      <w:pPr>
        <w:spacing w:line="360" w:lineRule="auto"/>
        <w:rPr>
          <w:rFonts w:ascii="宋体"/>
          <w:color w:val="auto"/>
          <w:sz w:val="24"/>
          <w:szCs w:val="24"/>
          <w:highlight w:val="none"/>
          <w:lang w:val="zh-CN"/>
        </w:rPr>
      </w:pPr>
    </w:p>
    <w:p>
      <w:pPr>
        <w:spacing w:line="360" w:lineRule="auto"/>
        <w:ind w:firstLine="4320" w:firstLineChars="1800"/>
        <w:rPr>
          <w:rFonts w:ascii="宋体"/>
          <w:color w:val="auto"/>
          <w:sz w:val="24"/>
          <w:szCs w:val="24"/>
          <w:highlight w:val="none"/>
          <w:lang w:val="zh-CN"/>
        </w:rPr>
      </w:pPr>
      <w:r>
        <w:rPr>
          <w:rFonts w:hint="eastAsia" w:ascii="宋体" w:hAnsi="宋体" w:cs="宋体"/>
          <w:color w:val="auto"/>
          <w:sz w:val="24"/>
          <w:szCs w:val="24"/>
          <w:highlight w:val="none"/>
          <w:lang w:val="zh-CN"/>
        </w:rPr>
        <w:t>投标人名称（公章）：</w:t>
      </w:r>
    </w:p>
    <w:p>
      <w:pPr>
        <w:spacing w:line="360" w:lineRule="auto"/>
        <w:ind w:firstLine="1680" w:firstLineChars="700"/>
        <w:rPr>
          <w:rFonts w:ascii="宋体"/>
          <w:color w:val="auto"/>
          <w:sz w:val="24"/>
          <w:szCs w:val="24"/>
          <w:highlight w:val="none"/>
          <w:lang w:val="zh-CN"/>
        </w:rPr>
      </w:pPr>
      <w:r>
        <w:rPr>
          <w:rFonts w:hint="eastAsia" w:ascii="宋体" w:hAnsi="宋体" w:cs="宋体"/>
          <w:color w:val="auto"/>
          <w:sz w:val="24"/>
          <w:szCs w:val="24"/>
          <w:highlight w:val="none"/>
          <w:lang w:val="zh-CN"/>
        </w:rPr>
        <w:t>法定代表人或授权委托代理人（签字</w:t>
      </w:r>
      <w:r>
        <w:rPr>
          <w:rFonts w:hint="eastAsia" w:ascii="宋体" w:hAnsi="宋体" w:cs="宋体"/>
          <w:color w:val="auto"/>
          <w:sz w:val="24"/>
          <w:szCs w:val="24"/>
          <w:highlight w:val="none"/>
        </w:rPr>
        <w:t>或盖章</w:t>
      </w:r>
      <w:r>
        <w:rPr>
          <w:rFonts w:hint="eastAsia" w:ascii="宋体" w:hAnsi="宋体" w:cs="宋体"/>
          <w:color w:val="auto"/>
          <w:sz w:val="24"/>
          <w:szCs w:val="24"/>
          <w:highlight w:val="none"/>
          <w:lang w:val="zh-CN"/>
        </w:rPr>
        <w:t>）：</w:t>
      </w:r>
    </w:p>
    <w:p>
      <w:pPr>
        <w:spacing w:line="360" w:lineRule="auto"/>
        <w:ind w:firstLine="4320" w:firstLineChars="18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日期：年月日</w:t>
      </w:r>
    </w:p>
    <w:p>
      <w:pPr>
        <w:pStyle w:val="26"/>
        <w:rPr>
          <w:color w:val="auto"/>
          <w:highlight w:val="none"/>
        </w:rPr>
      </w:pPr>
    </w:p>
    <w:p>
      <w:pPr>
        <w:pStyle w:val="56"/>
        <w:rPr>
          <w:color w:val="auto"/>
          <w:highlight w:val="none"/>
          <w:lang w:val="zh-CN"/>
        </w:rPr>
      </w:pP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3                   </w:t>
      </w:r>
      <w:r>
        <w:rPr>
          <w:rFonts w:hint="eastAsia" w:ascii="宋体" w:hAnsi="宋体" w:cs="宋体"/>
          <w:b/>
          <w:bCs/>
          <w:color w:val="auto"/>
          <w:sz w:val="28"/>
          <w:szCs w:val="28"/>
          <w:highlight w:val="none"/>
        </w:rPr>
        <w:t>授权委托书</w:t>
      </w:r>
    </w:p>
    <w:p>
      <w:pPr>
        <w:spacing w:line="360" w:lineRule="auto"/>
        <w:jc w:val="lef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（投标人全称）</w:t>
      </w:r>
      <w:r>
        <w:rPr>
          <w:rFonts w:hint="eastAsia" w:ascii="宋体" w:hAnsi="宋体" w:cs="宋体"/>
          <w:color w:val="auto"/>
          <w:sz w:val="24"/>
          <w:szCs w:val="24"/>
          <w:highlight w:val="none"/>
        </w:rPr>
        <w:t>法定代表人（或营业执照中单位负责人）</w:t>
      </w:r>
      <w:r>
        <w:rPr>
          <w:rFonts w:ascii="宋体"/>
          <w:color w:val="auto"/>
          <w:sz w:val="24"/>
          <w:szCs w:val="24"/>
          <w:highlight w:val="none"/>
          <w:u w:val="single"/>
        </w:rPr>
        <w:tab/>
      </w:r>
      <w:r>
        <w:rPr>
          <w:rFonts w:hint="eastAsia" w:ascii="宋体" w:hAnsi="宋体" w:cs="宋体"/>
          <w:color w:val="auto"/>
          <w:sz w:val="24"/>
          <w:szCs w:val="24"/>
          <w:highlight w:val="none"/>
          <w:u w:val="single"/>
        </w:rPr>
        <w:t>（法定代表人或营业执照中单位负责人姓名）</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（授权委托代理人姓名）</w:t>
      </w:r>
      <w:r>
        <w:rPr>
          <w:rFonts w:hint="eastAsia" w:ascii="宋体" w:hAnsi="宋体" w:cs="宋体"/>
          <w:color w:val="auto"/>
          <w:sz w:val="24"/>
          <w:szCs w:val="24"/>
          <w:highlight w:val="none"/>
        </w:rPr>
        <w:t>为授权委托代理人，参加贵单位组织的</w:t>
      </w:r>
      <w:r>
        <w:rPr>
          <w:rFonts w:hint="eastAsia" w:ascii="宋体" w:hAnsi="宋体" w:cs="宋体"/>
          <w:color w:val="auto"/>
          <w:sz w:val="24"/>
          <w:szCs w:val="24"/>
          <w:highlight w:val="none"/>
          <w:u w:val="single"/>
          <w:lang w:eastAsia="zh-CN"/>
        </w:rPr>
        <w:t>X射线计算机断层扫描装置采购项目</w:t>
      </w:r>
      <w:r>
        <w:rPr>
          <w:rFonts w:hint="eastAsia" w:ascii="宋体" w:hAnsi="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授权委托代理人无转委托权，特此委托。</w:t>
      </w:r>
    </w:p>
    <w:p>
      <w:pPr>
        <w:spacing w:line="360" w:lineRule="auto"/>
        <w:ind w:firstLine="480" w:firstLineChars="200"/>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法定代表人签字或盖章：</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投标人全称（公章）：日期：</w:t>
      </w:r>
    </w:p>
    <w:p>
      <w:pPr>
        <w:spacing w:line="360" w:lineRule="auto"/>
        <w:ind w:firstLine="480" w:firstLineChars="200"/>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法定代表身份证复印件粘帖处</w:t>
            </w:r>
          </w:p>
          <w:p>
            <w:pPr>
              <w:pStyle w:val="2"/>
              <w:ind w:right="-252"/>
              <w:rPr>
                <w:color w:val="auto"/>
                <w:highlight w:val="none"/>
              </w:rPr>
            </w:pPr>
            <w:r>
              <w:rPr>
                <w:rFonts w:hint="eastAsia"/>
                <w:color w:val="auto"/>
                <w:highlight w:val="none"/>
              </w:rPr>
              <w:t>（正面）</w:t>
            </w:r>
          </w:p>
          <w:p>
            <w:pPr>
              <w:pStyle w:val="2"/>
              <w:ind w:right="-252"/>
              <w:rPr>
                <w:color w:val="auto"/>
                <w:highlight w:val="none"/>
              </w:rPr>
            </w:pPr>
            <w:r>
              <w:rPr>
                <w:rFonts w:hint="eastAsia"/>
                <w:color w:val="auto"/>
                <w:highlight w:val="none"/>
              </w:rPr>
              <w:t>（反面）</w:t>
            </w:r>
          </w:p>
        </w:tc>
      </w:tr>
    </w:tbl>
    <w:p>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法定代表人姓名：</w:t>
      </w:r>
    </w:p>
    <w:p>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pacing w:line="360" w:lineRule="auto"/>
        <w:rPr>
          <w:rFonts w:ascii="宋体"/>
          <w:b/>
          <w:bCs/>
          <w:color w:val="auto"/>
          <w:sz w:val="24"/>
          <w:szCs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授权委托代理人身份证复印件粘帖处</w:t>
            </w:r>
          </w:p>
          <w:p>
            <w:pPr>
              <w:pStyle w:val="2"/>
              <w:ind w:right="-252"/>
              <w:rPr>
                <w:color w:val="auto"/>
                <w:highlight w:val="none"/>
              </w:rPr>
            </w:pPr>
            <w:r>
              <w:rPr>
                <w:rFonts w:hint="eastAsia"/>
                <w:color w:val="auto"/>
                <w:highlight w:val="none"/>
              </w:rPr>
              <w:t>（正面）</w:t>
            </w:r>
          </w:p>
          <w:p>
            <w:pPr>
              <w:pStyle w:val="2"/>
              <w:ind w:right="-252"/>
              <w:rPr>
                <w:color w:val="auto"/>
                <w:highlight w:val="none"/>
              </w:rPr>
            </w:pPr>
            <w:r>
              <w:rPr>
                <w:rFonts w:hint="eastAsia"/>
                <w:color w:val="auto"/>
                <w:highlight w:val="none"/>
              </w:rPr>
              <w:t>（反面）</w:t>
            </w:r>
          </w:p>
        </w:tc>
      </w:tr>
    </w:tbl>
    <w:p>
      <w:pP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授权委托代理人姓名：</w:t>
      </w:r>
    </w:p>
    <w:p>
      <w:pPr>
        <w:spacing w:line="360" w:lineRule="auto"/>
        <w:rPr>
          <w:rFonts w:ascii="宋体"/>
          <w:color w:val="auto"/>
          <w:sz w:val="24"/>
          <w:szCs w:val="24"/>
          <w:highlight w:val="none"/>
        </w:rPr>
      </w:pPr>
      <w:r>
        <w:rPr>
          <w:rFonts w:hint="eastAsia" w:ascii="宋体" w:hAnsi="宋体" w:cs="宋体"/>
          <w:color w:val="auto"/>
          <w:sz w:val="24"/>
          <w:szCs w:val="24"/>
          <w:highlight w:val="none"/>
        </w:rPr>
        <w:t>职务：</w:t>
      </w:r>
    </w:p>
    <w:p>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pacing w:line="360" w:lineRule="auto"/>
        <w:outlineLvl w:val="0"/>
        <w:rPr>
          <w:rFonts w:ascii="宋体" w:hAnsi="宋体" w:cs="宋体"/>
          <w:b/>
          <w:bCs/>
          <w:color w:val="auto"/>
          <w:sz w:val="28"/>
          <w:szCs w:val="36"/>
          <w:highlight w:val="none"/>
          <w:lang w:val="zh-CN"/>
        </w:rPr>
      </w:pPr>
      <w:r>
        <w:rPr>
          <w:rFonts w:ascii="宋体"/>
          <w:b/>
          <w:bCs/>
          <w:color w:val="auto"/>
          <w:sz w:val="28"/>
          <w:szCs w:val="28"/>
          <w:highlight w:val="none"/>
        </w:rPr>
        <w:br w:type="page"/>
      </w: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zh-CN"/>
        </w:rPr>
        <w:t>联合体协议</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lang w:eastAsia="zh-CN"/>
        </w:rPr>
        <w:t>X射线计算机断层扫描装置采购项目</w:t>
      </w:r>
      <w:r>
        <w:rPr>
          <w:rFonts w:hint="eastAsia" w:ascii="宋体" w:hAnsi="宋体" w:cs="宋体"/>
          <w:color w:val="auto"/>
          <w:sz w:val="24"/>
          <w:highlight w:val="none"/>
        </w:rPr>
        <w:t>（项目名称）【招标编号：</w:t>
      </w:r>
      <w:r>
        <w:rPr>
          <w:rFonts w:hint="eastAsia" w:ascii="宋体" w:hAnsi="宋体" w:cs="宋体"/>
          <w:color w:val="auto"/>
          <w:sz w:val="24"/>
          <w:highlight w:val="none"/>
          <w:u w:val="single"/>
          <w:lang w:eastAsia="zh-CN"/>
        </w:rPr>
        <w:t>ZJWS2022-HYZYY07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color w:val="auto"/>
          <w:highlight w:val="none"/>
        </w:rPr>
      </w:pPr>
      <w:r>
        <w:rPr>
          <w:rFonts w:hint="eastAsia" w:ascii="宋体" w:hAnsi="宋体" w:cs="宋体"/>
          <w:color w:val="auto"/>
          <w:kern w:val="0"/>
          <w:sz w:val="24"/>
          <w:highlight w:val="none"/>
          <w:lang w:val="zh-CN"/>
        </w:rPr>
        <w:t xml:space="preserve">                                               日期：  年  月   日</w:t>
      </w:r>
    </w:p>
    <w:p>
      <w:pPr>
        <w:spacing w:line="360" w:lineRule="auto"/>
        <w:rPr>
          <w:rFonts w:ascii="宋体" w:hAnsi="宋体" w:cs="宋体"/>
          <w:b/>
          <w:bCs/>
          <w:color w:val="auto"/>
          <w:sz w:val="24"/>
          <w:szCs w:val="32"/>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注：协议书中须明确联合体各方在项目招投标、项目合同签订、项目实施等所有阶段中涉及到的工作分工。</w:t>
      </w:r>
    </w:p>
    <w:p>
      <w:pPr>
        <w:rPr>
          <w:rFonts w:hint="eastAsia" w:ascii="宋体" w:hAnsi="宋体" w:cs="宋体"/>
          <w:b/>
          <w:bCs/>
          <w:color w:val="auto"/>
          <w:sz w:val="28"/>
          <w:szCs w:val="28"/>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4</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24"/>
          <w:szCs w:val="24"/>
          <w:highlight w:val="none"/>
        </w:rPr>
        <w:t>本</w:t>
      </w:r>
    </w:p>
    <w:p>
      <w:pPr>
        <w:spacing w:line="360" w:lineRule="auto"/>
        <w:rPr>
          <w:rFonts w:ascii="宋体"/>
          <w:color w:val="auto"/>
          <w:sz w:val="24"/>
          <w:szCs w:val="24"/>
          <w:highlight w:val="none"/>
        </w:rPr>
      </w:pPr>
    </w:p>
    <w:p>
      <w:pPr>
        <w:pStyle w:val="36"/>
        <w:rPr>
          <w:color w:val="auto"/>
          <w:highlight w:val="none"/>
        </w:rPr>
      </w:pPr>
    </w:p>
    <w:p>
      <w:pP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pPr>
        <w:autoSpaceDE w:val="0"/>
        <w:autoSpaceDN w:val="0"/>
        <w:adjustRightInd w:val="0"/>
        <w:spacing w:line="360" w:lineRule="auto"/>
        <w:jc w:val="center"/>
        <w:rPr>
          <w:rFonts w:ascii="宋体"/>
          <w:color w:val="auto"/>
          <w:sz w:val="84"/>
          <w:szCs w:val="84"/>
          <w:highlight w:val="none"/>
          <w:lang w:val="zh-CN"/>
        </w:rPr>
      </w:pPr>
    </w:p>
    <w:p>
      <w:pPr>
        <w:autoSpaceDE w:val="0"/>
        <w:autoSpaceDN w:val="0"/>
        <w:adjustRightInd w:val="0"/>
        <w:spacing w:line="360" w:lineRule="auto"/>
        <w:jc w:val="center"/>
        <w:outlineLvl w:val="0"/>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outlineLvl w:val="0"/>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商务与技术文件目录</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1、投标人情况介绍（附件5）；</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2、投标方案描述：</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B.项目组织实施方案（包括项目工期、确保项目供货的措施或方案、项目实施进度安排、项目实施人员及项目负责人的资质、类似经验及社保证明等）。</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项目实施人员一览表（附件6）</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项目负责人资格情况表（附件7）</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C.安装、调试及验收方案（包括项目验收标准和验收方法等）和措施。</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3、投标产品描述及相关资料：</w:t>
      </w:r>
    </w:p>
    <w:p>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 供货清单（附件8）</w:t>
      </w:r>
    </w:p>
    <w:p>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 投标人应当提供完整的、真实的投标产品原厂技术支持资料（如投标机型的样本或彩页和原厂技术参数、原始出厂数据表（DATASHEET）、技术白皮书、产品相关检测报告等）。</w:t>
      </w:r>
    </w:p>
    <w:p>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 投标人应当根据需要提供投标产品的原厂标准配置表及原厂中文使用说明书、操作手册等。</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4、食品药品监督管理部门核发的完整有效的医疗器械注册或备案证明；（适用于按医疗器械管理的设备）；</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5、投标产品主体列入节能产品证明资料、投标产品主体列入环境标志产品证明资料（如有）；</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6、技术需求响应表（附件9）；</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7、证书一览表（附件10）；</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8、投标人类似项目实施情况一览表（附件11）；</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9、商务需求响应表 （附件12）；</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10、售后服务情况表（附件13）；</w:t>
      </w:r>
    </w:p>
    <w:p>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11、常用配件和耗品情况表：价格清单（标明各种相关配件和耗品的型号、价格、注册证号等）</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12、投标人需要说明的其他内容。（包括可能影响投标人商务与技术文件评分的各类证明材料）</w:t>
      </w: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5</w:t>
      </w:r>
    </w:p>
    <w:p>
      <w:pPr>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pPr>
        <w:spacing w:line="360" w:lineRule="auto"/>
        <w:rPr>
          <w:rFonts w:ascii="宋体"/>
          <w:color w:val="auto"/>
          <w:sz w:val="24"/>
          <w:szCs w:val="24"/>
          <w:highlight w:val="none"/>
        </w:rPr>
      </w:pPr>
    </w:p>
    <w:tbl>
      <w:tblPr>
        <w:tblStyle w:val="2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pPr>
              <w:spacing w:line="360" w:lineRule="auto"/>
              <w:jc w:val="center"/>
              <w:rPr>
                <w:rFonts w:ascii="宋体"/>
                <w:color w:val="auto"/>
                <w:sz w:val="24"/>
                <w:szCs w:val="24"/>
                <w:highlight w:val="none"/>
              </w:rPr>
            </w:pPr>
          </w:p>
        </w:tc>
        <w:tc>
          <w:tcPr>
            <w:tcW w:w="910"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pPr>
              <w:spacing w:line="360" w:lineRule="auto"/>
              <w:jc w:val="center"/>
              <w:rPr>
                <w:rFonts w:ascii="宋体"/>
                <w:color w:val="auto"/>
                <w:sz w:val="24"/>
                <w:szCs w:val="24"/>
                <w:highlight w:val="none"/>
              </w:rPr>
            </w:pPr>
          </w:p>
        </w:tc>
        <w:tc>
          <w:tcPr>
            <w:tcW w:w="910" w:type="dxa"/>
            <w:gridSpan w:val="2"/>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Merge w:val="continue"/>
            <w:vAlign w:val="center"/>
          </w:tcPr>
          <w:p>
            <w:pPr>
              <w:spacing w:line="360" w:lineRule="auto"/>
              <w:jc w:val="center"/>
              <w:rPr>
                <w:rFonts w:ascii="宋体"/>
                <w:color w:val="auto"/>
                <w:sz w:val="24"/>
                <w:szCs w:val="24"/>
                <w:highlight w:val="none"/>
              </w:rPr>
            </w:pPr>
          </w:p>
        </w:tc>
        <w:tc>
          <w:tcPr>
            <w:tcW w:w="910"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pPr>
              <w:spacing w:line="360" w:lineRule="auto"/>
              <w:jc w:val="center"/>
              <w:rPr>
                <w:rFonts w:ascii="宋体"/>
                <w:color w:val="auto"/>
                <w:sz w:val="24"/>
                <w:szCs w:val="24"/>
                <w:highlight w:val="none"/>
              </w:rPr>
            </w:pPr>
          </w:p>
        </w:tc>
        <w:tc>
          <w:tcPr>
            <w:tcW w:w="2001" w:type="dxa"/>
            <w:gridSpan w:val="3"/>
            <w:vMerge w:val="continue"/>
            <w:vAlign w:val="center"/>
          </w:tcPr>
          <w:p>
            <w:pPr>
              <w:spacing w:line="360" w:lineRule="auto"/>
              <w:jc w:val="center"/>
              <w:rPr>
                <w:rFonts w:ascii="宋体"/>
                <w:color w:val="auto"/>
                <w:sz w:val="24"/>
                <w:szCs w:val="24"/>
                <w:highlight w:val="none"/>
              </w:rPr>
            </w:pPr>
          </w:p>
        </w:tc>
        <w:tc>
          <w:tcPr>
            <w:tcW w:w="2151" w:type="dxa"/>
            <w:gridSpan w:val="2"/>
            <w:vMerge w:val="continue"/>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pPr>
              <w:spacing w:line="360" w:lineRule="auto"/>
              <w:jc w:val="center"/>
              <w:rPr>
                <w:rFonts w:ascii="宋体"/>
                <w:color w:val="auto"/>
                <w:sz w:val="24"/>
                <w:szCs w:val="24"/>
                <w:highlight w:val="none"/>
              </w:rPr>
            </w:pPr>
          </w:p>
        </w:tc>
        <w:tc>
          <w:tcPr>
            <w:tcW w:w="1163" w:type="dxa"/>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pPr>
              <w:spacing w:line="360" w:lineRule="auto"/>
              <w:jc w:val="center"/>
              <w:rPr>
                <w:rFonts w:ascii="宋体"/>
                <w:color w:val="auto"/>
                <w:sz w:val="24"/>
                <w:szCs w:val="24"/>
                <w:highlight w:val="none"/>
              </w:rPr>
            </w:pPr>
          </w:p>
        </w:tc>
        <w:tc>
          <w:tcPr>
            <w:tcW w:w="116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pPr>
              <w:spacing w:line="360" w:lineRule="auto"/>
              <w:jc w:val="center"/>
              <w:rPr>
                <w:rFonts w:ascii="宋体"/>
                <w:color w:val="auto"/>
                <w:sz w:val="24"/>
                <w:szCs w:val="24"/>
                <w:highlight w:val="none"/>
              </w:rPr>
            </w:pPr>
          </w:p>
        </w:tc>
        <w:tc>
          <w:tcPr>
            <w:tcW w:w="116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1218"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8131" w:type="dxa"/>
            <w:gridSpan w:val="11"/>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Merge w:val="continue"/>
            <w:vAlign w:val="center"/>
          </w:tcPr>
          <w:p>
            <w:pPr>
              <w:spacing w:line="360" w:lineRule="auto"/>
              <w:jc w:val="center"/>
              <w:rPr>
                <w:rFonts w:ascii="宋体"/>
                <w:color w:val="auto"/>
                <w:sz w:val="24"/>
                <w:szCs w:val="24"/>
                <w:highlight w:val="none"/>
              </w:rPr>
            </w:pPr>
          </w:p>
        </w:tc>
        <w:tc>
          <w:tcPr>
            <w:tcW w:w="1333" w:type="dxa"/>
            <w:gridSpan w:val="3"/>
            <w:vAlign w:val="center"/>
          </w:tcPr>
          <w:p>
            <w:pPr>
              <w:spacing w:line="360" w:lineRule="auto"/>
              <w:jc w:val="center"/>
              <w:rPr>
                <w:rFonts w:ascii="宋体"/>
                <w:color w:val="auto"/>
                <w:sz w:val="24"/>
                <w:szCs w:val="24"/>
                <w:highlight w:val="none"/>
              </w:rPr>
            </w:pPr>
          </w:p>
        </w:tc>
        <w:tc>
          <w:tcPr>
            <w:tcW w:w="1418" w:type="dxa"/>
            <w:gridSpan w:val="2"/>
            <w:vAlign w:val="center"/>
          </w:tcPr>
          <w:p>
            <w:pPr>
              <w:spacing w:line="360" w:lineRule="auto"/>
              <w:jc w:val="center"/>
              <w:rPr>
                <w:rFonts w:ascii="宋体"/>
                <w:color w:val="auto"/>
                <w:sz w:val="24"/>
                <w:szCs w:val="24"/>
                <w:highlight w:val="none"/>
              </w:rPr>
            </w:pPr>
          </w:p>
        </w:tc>
        <w:tc>
          <w:tcPr>
            <w:tcW w:w="1276" w:type="dxa"/>
            <w:vAlign w:val="center"/>
          </w:tcPr>
          <w:p>
            <w:pPr>
              <w:spacing w:line="360" w:lineRule="auto"/>
              <w:jc w:val="center"/>
              <w:rPr>
                <w:rFonts w:ascii="宋体"/>
                <w:color w:val="auto"/>
                <w:sz w:val="24"/>
                <w:szCs w:val="24"/>
                <w:highlight w:val="none"/>
              </w:rPr>
            </w:pPr>
          </w:p>
        </w:tc>
        <w:tc>
          <w:tcPr>
            <w:tcW w:w="2551" w:type="dxa"/>
            <w:gridSpan w:val="3"/>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hAns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6</w:t>
      </w:r>
    </w:p>
    <w:p>
      <w:pPr>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7"/>
              <w:snapToGrid w:val="0"/>
              <w:spacing w:before="156"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7"/>
              <w:snapToGrid w:val="0"/>
              <w:spacing w:before="156"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7"/>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bl>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出具上述人员在本单位服务的外部证明，如：投标截止日之前六个月以内的代缴个税税单、参加社会保险的《投保单》或《社会保险参保人员证明》等。</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hAnsi="宋体"/>
          <w:color w:val="auto"/>
          <w:sz w:val="24"/>
          <w:highlight w:val="none"/>
        </w:rPr>
      </w:pPr>
      <w:r>
        <w:rPr>
          <w:rFonts w:hint="eastAsia" w:ascii="宋体" w:hAnsi="宋体"/>
          <w:color w:val="auto"/>
          <w:sz w:val="24"/>
          <w:highlight w:val="none"/>
        </w:rPr>
        <w:t>法定代表人或授权委托代理人（签字或盖章）：</w:t>
      </w:r>
    </w:p>
    <w:p>
      <w:pP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7</w:t>
      </w:r>
    </w:p>
    <w:p>
      <w:pPr>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pP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pP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pP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pP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jc w:val="center"/>
              <w:rPr>
                <w:rFonts w:ascii="宋体"/>
                <w:color w:val="auto"/>
                <w:sz w:val="24"/>
                <w:szCs w:val="24"/>
                <w:highlight w:val="none"/>
                <w:lang w:val="zh-CN"/>
              </w:rPr>
            </w:pPr>
          </w:p>
        </w:tc>
      </w:tr>
    </w:tbl>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hAns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8</w:t>
      </w:r>
    </w:p>
    <w:p>
      <w:pPr>
        <w:spacing w:line="360" w:lineRule="auto"/>
        <w:jc w:val="center"/>
        <w:outlineLvl w:val="0"/>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供货清单</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pP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8"/>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本表中的名称、数量应与报价明细表中相对应的报价名称、数量一致。</w:t>
      </w: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hAns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11"/>
        <w:rPr>
          <w:rFonts w:ascii="宋体"/>
          <w:color w:val="auto"/>
          <w:highlight w:val="none"/>
        </w:rPr>
      </w:pPr>
    </w:p>
    <w:p>
      <w:pPr>
        <w:pStyle w:val="11"/>
        <w:rPr>
          <w:rFonts w:ascii="宋体"/>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rPr>
        <w:t>9</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asci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本表的名称须与《报价明细表》一致。</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本表参照本招标文件第四章“公开招标需求”内容填制，投标人应根据投标设备的性能指标、服务指标，对照招标文件要求在“偏离情况”栏注明“正偏离”、“负偏离”或“无偏离”。</w:t>
      </w:r>
    </w:p>
    <w:p>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hAns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10</w:t>
      </w:r>
    </w:p>
    <w:p>
      <w:pPr>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pPr>
        <w:spacing w:line="360" w:lineRule="auto"/>
        <w:rPr>
          <w:rFonts w:ascii="宋体"/>
          <w:color w:val="auto"/>
          <w:sz w:val="24"/>
          <w:szCs w:val="24"/>
          <w:highlight w:val="none"/>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pPr>
              <w:spacing w:line="360" w:lineRule="auto"/>
              <w:jc w:val="center"/>
              <w:rPr>
                <w:rFonts w:ascii="宋体"/>
                <w:color w:val="auto"/>
                <w:sz w:val="24"/>
                <w:szCs w:val="24"/>
                <w:highlight w:val="none"/>
              </w:rPr>
            </w:pPr>
          </w:p>
        </w:tc>
        <w:tc>
          <w:tcPr>
            <w:tcW w:w="2258" w:type="dxa"/>
            <w:tcBorders>
              <w:bottom w:val="double" w:color="auto" w:sz="4" w:space="0"/>
            </w:tcBorders>
            <w:vAlign w:val="center"/>
          </w:tcPr>
          <w:p>
            <w:pPr>
              <w:spacing w:line="360" w:lineRule="auto"/>
              <w:jc w:val="center"/>
              <w:rPr>
                <w:rFonts w:ascii="宋体"/>
                <w:color w:val="auto"/>
                <w:sz w:val="24"/>
                <w:szCs w:val="24"/>
                <w:highlight w:val="none"/>
              </w:rPr>
            </w:pPr>
          </w:p>
        </w:tc>
        <w:tc>
          <w:tcPr>
            <w:tcW w:w="2260" w:type="dxa"/>
            <w:tcBorders>
              <w:bottom w:val="double" w:color="auto" w:sz="4" w:space="0"/>
            </w:tcBorders>
            <w:vAlign w:val="center"/>
          </w:tcPr>
          <w:p>
            <w:pP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hAns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ascii="宋体" w:hAnsi="宋体" w:cs="宋体"/>
          <w:b/>
          <w:bCs/>
          <w:color w:val="auto"/>
          <w:sz w:val="28"/>
          <w:szCs w:val="28"/>
          <w:highlight w:val="none"/>
        </w:rPr>
        <w:t>1</w:t>
      </w:r>
    </w:p>
    <w:p>
      <w:pPr>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pPr>
        <w:spacing w:line="360" w:lineRule="auto"/>
        <w:jc w:val="left"/>
        <w:rPr>
          <w:rFonts w:ascii="宋体"/>
          <w:b/>
          <w:bCs/>
          <w:color w:val="auto"/>
          <w:sz w:val="24"/>
          <w:szCs w:val="24"/>
          <w:highlight w:val="none"/>
          <w:lang w:val="zh-CN"/>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hAns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lang w:val="zh-CN"/>
        </w:rPr>
        <w:t>1</w:t>
      </w:r>
      <w:r>
        <w:rPr>
          <w:rFonts w:ascii="宋体" w:hAnsi="宋体" w:cs="宋体"/>
          <w:b/>
          <w:bCs/>
          <w:color w:val="auto"/>
          <w:sz w:val="28"/>
          <w:szCs w:val="36"/>
          <w:highlight w:val="none"/>
        </w:rPr>
        <w:t>2</w:t>
      </w:r>
    </w:p>
    <w:p>
      <w:pPr>
        <w:spacing w:line="360" w:lineRule="auto"/>
        <w:jc w:val="center"/>
        <w:outlineLvl w:val="0"/>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商务需求响应表</w:t>
      </w:r>
    </w:p>
    <w:p>
      <w:pPr>
        <w:spacing w:line="360" w:lineRule="auto"/>
        <w:rPr>
          <w:rFonts w:ascii="宋体"/>
          <w:b/>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hint="eastAsia" w:ascii="宋体" w:hAnsi="宋体"/>
                <w:b/>
                <w:color w:val="auto"/>
                <w:sz w:val="24"/>
                <w:highlight w:val="none"/>
              </w:rPr>
              <w:t>内容</w:t>
            </w:r>
          </w:p>
        </w:tc>
        <w:tc>
          <w:tcPr>
            <w:tcW w:w="1785" w:type="dxa"/>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交货和服务</w:t>
            </w:r>
          </w:p>
          <w:p>
            <w:pP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hAns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13</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ascii="宋体"/>
          <w:b/>
          <w:color w:val="auto"/>
          <w:sz w:val="24"/>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62"/>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62"/>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62"/>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62"/>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62"/>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62"/>
              <w:widowControl/>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保修期内售后服务情况（服务方式、服务网点、售后服务的内容和措施等等，可用附页和宣传材料）</w:t>
            </w:r>
          </w:p>
        </w:tc>
        <w:tc>
          <w:tcPr>
            <w:tcW w:w="4061" w:type="dxa"/>
          </w:tcPr>
          <w:p>
            <w:pPr>
              <w:pStyle w:val="62"/>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62"/>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62"/>
              <w:widowControl/>
              <w:spacing w:line="360" w:lineRule="auto"/>
              <w:jc w:val="left"/>
              <w:rPr>
                <w:rFonts w:ascii="宋体" w:cs="Arial"/>
                <w:bCs/>
                <w:color w:val="auto"/>
                <w:sz w:val="24"/>
                <w:highlight w:val="none"/>
              </w:rPr>
            </w:pPr>
          </w:p>
        </w:tc>
        <w:tc>
          <w:tcPr>
            <w:tcW w:w="2355" w:type="dxa"/>
            <w:vMerge w:val="continue"/>
            <w:vAlign w:val="center"/>
          </w:tcPr>
          <w:p>
            <w:pPr>
              <w:pStyle w:val="62"/>
              <w:widowControl/>
              <w:spacing w:line="360" w:lineRule="auto"/>
              <w:jc w:val="left"/>
              <w:rPr>
                <w:rFonts w:ascii="宋体" w:cs="Arial"/>
                <w:bCs/>
                <w:color w:val="auto"/>
                <w:sz w:val="24"/>
                <w:highlight w:val="none"/>
              </w:rPr>
            </w:pPr>
          </w:p>
        </w:tc>
        <w:tc>
          <w:tcPr>
            <w:tcW w:w="4061" w:type="dxa"/>
          </w:tcPr>
          <w:p>
            <w:pPr>
              <w:pStyle w:val="62"/>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62"/>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62"/>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62"/>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62"/>
              <w:widowControl/>
              <w:spacing w:line="360" w:lineRule="auto"/>
              <w:jc w:val="left"/>
              <w:rPr>
                <w:rFonts w:ascii="宋体" w:cs="Arial"/>
                <w:bCs/>
                <w:color w:val="auto"/>
                <w:sz w:val="24"/>
                <w:highlight w:val="none"/>
              </w:rPr>
            </w:pPr>
          </w:p>
          <w:p>
            <w:pPr>
              <w:pStyle w:val="62"/>
              <w:widowControl/>
              <w:spacing w:line="360" w:lineRule="auto"/>
              <w:jc w:val="left"/>
              <w:rPr>
                <w:rFonts w:ascii="宋体" w:cs="Arial"/>
                <w:bCs/>
                <w:color w:val="auto"/>
                <w:sz w:val="24"/>
                <w:highlight w:val="none"/>
              </w:rPr>
            </w:pPr>
          </w:p>
          <w:p>
            <w:pPr>
              <w:pStyle w:val="62"/>
              <w:spacing w:line="360" w:lineRule="auto"/>
              <w:rPr>
                <w:rFonts w:ascii="宋体" w:cs="Arial"/>
                <w:bCs/>
                <w:color w:val="auto"/>
                <w:sz w:val="24"/>
                <w:highlight w:val="none"/>
              </w:rPr>
            </w:pPr>
          </w:p>
        </w:tc>
        <w:tc>
          <w:tcPr>
            <w:tcW w:w="1373" w:type="dxa"/>
          </w:tcPr>
          <w:p>
            <w:pPr>
              <w:pStyle w:val="62"/>
              <w:widowControl/>
              <w:spacing w:line="360" w:lineRule="auto"/>
              <w:jc w:val="left"/>
              <w:rPr>
                <w:rFonts w:ascii="宋体" w:cs="Arial"/>
                <w:bCs/>
                <w:color w:val="auto"/>
                <w:sz w:val="24"/>
                <w:highlight w:val="none"/>
              </w:rPr>
            </w:pPr>
          </w:p>
          <w:p>
            <w:pPr>
              <w:pStyle w:val="62"/>
              <w:widowControl/>
              <w:spacing w:line="360" w:lineRule="auto"/>
              <w:jc w:val="left"/>
              <w:rPr>
                <w:rFonts w:ascii="宋体" w:cs="Arial"/>
                <w:bCs/>
                <w:color w:val="auto"/>
                <w:sz w:val="24"/>
                <w:highlight w:val="none"/>
              </w:rPr>
            </w:pPr>
          </w:p>
          <w:p>
            <w:pPr>
              <w:pStyle w:val="62"/>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62"/>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62"/>
              <w:widowControl/>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62"/>
              <w:widowControl/>
              <w:spacing w:line="360" w:lineRule="auto"/>
              <w:jc w:val="left"/>
              <w:rPr>
                <w:rFonts w:ascii="宋体" w:cs="Arial"/>
                <w:bCs/>
                <w:i/>
                <w:color w:val="auto"/>
                <w:sz w:val="24"/>
                <w:highlight w:val="none"/>
              </w:rPr>
            </w:pPr>
          </w:p>
          <w:p>
            <w:pPr>
              <w:pStyle w:val="62"/>
              <w:widowControl/>
              <w:spacing w:line="360" w:lineRule="auto"/>
              <w:jc w:val="left"/>
              <w:rPr>
                <w:rFonts w:ascii="宋体" w:cs="Arial"/>
                <w:bCs/>
                <w:i/>
                <w:color w:val="auto"/>
                <w:sz w:val="24"/>
                <w:highlight w:val="none"/>
              </w:rPr>
            </w:pPr>
          </w:p>
        </w:tc>
        <w:tc>
          <w:tcPr>
            <w:tcW w:w="1373" w:type="dxa"/>
          </w:tcPr>
          <w:p>
            <w:pPr>
              <w:pStyle w:val="62"/>
              <w:widowControl/>
              <w:spacing w:line="360" w:lineRule="auto"/>
              <w:jc w:val="left"/>
              <w:rPr>
                <w:rFonts w:ascii="宋体" w:cs="Arial"/>
                <w:bCs/>
                <w:i/>
                <w:color w:val="auto"/>
                <w:sz w:val="24"/>
                <w:highlight w:val="none"/>
              </w:rPr>
            </w:pPr>
          </w:p>
          <w:p>
            <w:pPr>
              <w:pStyle w:val="62"/>
              <w:widowControl/>
              <w:spacing w:line="360" w:lineRule="auto"/>
              <w:jc w:val="left"/>
              <w:rPr>
                <w:rFonts w:ascii="宋体" w:cs="Arial"/>
                <w:bCs/>
                <w:i/>
                <w:color w:val="auto"/>
                <w:sz w:val="24"/>
                <w:highlight w:val="none"/>
              </w:rPr>
            </w:pPr>
          </w:p>
          <w:p>
            <w:pPr>
              <w:pStyle w:val="62"/>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62"/>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62"/>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62"/>
              <w:widowControl/>
              <w:spacing w:line="360" w:lineRule="auto"/>
              <w:jc w:val="left"/>
              <w:rPr>
                <w:rFonts w:ascii="宋体" w:cs="Arial"/>
                <w:bCs/>
                <w:color w:val="auto"/>
                <w:sz w:val="24"/>
                <w:highlight w:val="none"/>
              </w:rPr>
            </w:pPr>
          </w:p>
        </w:tc>
        <w:tc>
          <w:tcPr>
            <w:tcW w:w="1373" w:type="dxa"/>
            <w:tcBorders>
              <w:bottom w:val="single" w:color="auto" w:sz="4" w:space="0"/>
            </w:tcBorders>
          </w:tcPr>
          <w:p>
            <w:pPr>
              <w:pStyle w:val="62"/>
              <w:widowControl/>
              <w:spacing w:line="360" w:lineRule="auto"/>
              <w:jc w:val="left"/>
              <w:rPr>
                <w:rFonts w:ascii="宋体" w:cs="Arial"/>
                <w:bCs/>
                <w:color w:val="auto"/>
                <w:sz w:val="24"/>
                <w:highlight w:val="none"/>
              </w:rPr>
            </w:pPr>
          </w:p>
        </w:tc>
      </w:tr>
    </w:tbl>
    <w:p>
      <w:pPr>
        <w:spacing w:line="360" w:lineRule="auto"/>
        <w:ind w:left="549" w:hanging="549" w:hangingChars="171"/>
        <w:jc w:val="center"/>
        <w:rPr>
          <w:rFonts w:ascii="宋体"/>
          <w:b/>
          <w:color w:val="auto"/>
          <w:sz w:val="32"/>
          <w:szCs w:val="32"/>
          <w:highlight w:val="none"/>
        </w:rPr>
      </w:pPr>
    </w:p>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hAns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cs="宋体"/>
          <w:color w:val="auto"/>
          <w:sz w:val="24"/>
          <w:szCs w:val="32"/>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4　</w:t>
      </w:r>
      <w:r>
        <w:rPr>
          <w:rFonts w:hint="eastAsia" w:ascii="宋体" w:hAnsi="宋体" w:cs="宋体"/>
          <w:b/>
          <w:bCs/>
          <w:color w:val="auto"/>
          <w:sz w:val="28"/>
          <w:szCs w:val="28"/>
          <w:highlight w:val="none"/>
          <w:lang w:val="en-US" w:eastAsia="zh-CN"/>
        </w:rPr>
        <w:t xml:space="preserve">                                            </w:t>
      </w:r>
      <w:r>
        <w:rPr>
          <w:rFonts w:hint="eastAsia" w:ascii="宋体" w:hAnsi="宋体" w:cs="宋体"/>
          <w:color w:val="auto"/>
          <w:sz w:val="30"/>
          <w:szCs w:val="30"/>
          <w:highlight w:val="none"/>
        </w:rPr>
        <w:t>　</w:t>
      </w:r>
      <w:r>
        <w:rPr>
          <w:rFonts w:hint="eastAsia" w:ascii="宋体" w:hAnsi="宋体" w:cs="宋体"/>
          <w:color w:val="auto"/>
          <w:sz w:val="24"/>
          <w:szCs w:val="24"/>
          <w:highlight w:val="none"/>
        </w:rPr>
        <w:t>本</w:t>
      </w:r>
    </w:p>
    <w:p>
      <w:pP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jc w:val="center"/>
        <w:rPr>
          <w:rFonts w:ascii="宋体"/>
          <w:color w:val="auto"/>
          <w:sz w:val="36"/>
          <w:szCs w:val="36"/>
          <w:highlight w:val="none"/>
        </w:rPr>
      </w:pPr>
      <w:r>
        <w:rPr>
          <w:rFonts w:hint="eastAsia" w:ascii="宋体" w:hAnsi="宋体" w:cs="宋体"/>
          <w:color w:val="auto"/>
          <w:sz w:val="36"/>
          <w:szCs w:val="36"/>
          <w:highlight w:val="none"/>
        </w:rPr>
        <w:t>项目编号：</w:t>
      </w:r>
    </w:p>
    <w:p>
      <w:pPr>
        <w:jc w:val="center"/>
        <w:rPr>
          <w:rFonts w:ascii="宋体"/>
          <w:b/>
          <w:bCs/>
          <w:color w:val="auto"/>
          <w:spacing w:val="40"/>
          <w:sz w:val="84"/>
          <w:szCs w:val="84"/>
          <w:highlight w:val="none"/>
        </w:rPr>
      </w:pP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pPr>
        <w:jc w:val="center"/>
        <w:rPr>
          <w:rFonts w:ascii="宋体"/>
          <w:color w:val="auto"/>
          <w:sz w:val="36"/>
          <w:szCs w:val="36"/>
          <w:highlight w:val="none"/>
        </w:rPr>
      </w:pPr>
    </w:p>
    <w:p>
      <w:pPr>
        <w:jc w:val="center"/>
        <w:rPr>
          <w:rFonts w:ascii="宋体"/>
          <w:color w:val="auto"/>
          <w:sz w:val="36"/>
          <w:szCs w:val="36"/>
          <w:highlight w:val="none"/>
        </w:rPr>
      </w:pPr>
    </w:p>
    <w:p>
      <w:pPr>
        <w:spacing w:line="360" w:lineRule="auto"/>
        <w:ind w:right="532"/>
        <w:jc w:val="center"/>
        <w:rPr>
          <w:rFonts w:ascii="宋体"/>
          <w:color w:val="auto"/>
          <w:sz w:val="36"/>
          <w:szCs w:val="36"/>
          <w:highlight w:val="none"/>
        </w:rPr>
      </w:pPr>
    </w:p>
    <w:p>
      <w:pPr>
        <w:rPr>
          <w:rFonts w:ascii="宋体"/>
          <w:color w:val="auto"/>
          <w:sz w:val="36"/>
          <w:szCs w:val="36"/>
          <w:highlight w:val="none"/>
        </w:rPr>
      </w:pPr>
      <w:r>
        <w:rPr>
          <w:rFonts w:hint="eastAsia" w:ascii="宋体" w:hAnsi="宋体" w:cs="宋体"/>
          <w:color w:val="auto"/>
          <w:sz w:val="36"/>
          <w:szCs w:val="36"/>
          <w:highlight w:val="none"/>
        </w:rPr>
        <w:t>供应商全称（公章）：</w:t>
      </w:r>
    </w:p>
    <w:p>
      <w:pPr>
        <w:rPr>
          <w:rFonts w:ascii="宋体"/>
          <w:color w:val="auto"/>
          <w:sz w:val="36"/>
          <w:szCs w:val="36"/>
          <w:highlight w:val="none"/>
        </w:rPr>
      </w:pPr>
      <w:r>
        <w:rPr>
          <w:rFonts w:hint="eastAsia" w:ascii="宋体" w:hAnsi="宋体" w:cs="宋体"/>
          <w:color w:val="auto"/>
          <w:sz w:val="36"/>
          <w:szCs w:val="36"/>
          <w:highlight w:val="none"/>
        </w:rPr>
        <w:t>地址：</w:t>
      </w:r>
    </w:p>
    <w:p>
      <w:pPr>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5）；</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2、报价明细表（附件16）；</w:t>
      </w:r>
    </w:p>
    <w:p>
      <w:pP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pP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4、中小企业等声明函（附件</w:t>
      </w:r>
      <w:r>
        <w:rPr>
          <w:rFonts w:ascii="宋体" w:hAnsi="宋体" w:cs="宋体"/>
          <w:color w:val="auto"/>
          <w:sz w:val="28"/>
          <w:szCs w:val="28"/>
          <w:highlight w:val="none"/>
        </w:rPr>
        <w:t>1</w:t>
      </w:r>
      <w:r>
        <w:rPr>
          <w:rFonts w:hint="eastAsia" w:ascii="宋体" w:hAnsi="宋体" w:cs="宋体"/>
          <w:color w:val="auto"/>
          <w:sz w:val="28"/>
          <w:szCs w:val="28"/>
          <w:highlight w:val="none"/>
        </w:rPr>
        <w:t>7）。（如有需提供）</w:t>
      </w:r>
    </w:p>
    <w:p>
      <w:pPr>
        <w:spacing w:line="360" w:lineRule="auto"/>
        <w:rPr>
          <w:rFonts w:ascii="宋体"/>
          <w:color w:val="auto"/>
          <w:sz w:val="24"/>
          <w:szCs w:val="24"/>
          <w:highlight w:val="none"/>
        </w:rPr>
      </w:pPr>
    </w:p>
    <w:p>
      <w:pPr>
        <w:spacing w:line="360" w:lineRule="auto"/>
        <w:rPr>
          <w:rFonts w:ascii="宋体" w:hAnsi="宋体" w:cs="宋体"/>
          <w:color w:val="auto"/>
          <w:sz w:val="24"/>
          <w:szCs w:val="32"/>
          <w:highlight w:val="none"/>
        </w:rPr>
      </w:pPr>
    </w:p>
    <w:p>
      <w:pPr>
        <w:pStyle w:val="6"/>
        <w:rPr>
          <w:rFonts w:ascii="宋体" w:hAnsi="宋体" w:cs="宋体"/>
          <w:color w:val="auto"/>
          <w:sz w:val="24"/>
          <w:szCs w:val="32"/>
          <w:highlight w:val="none"/>
        </w:rPr>
      </w:pPr>
    </w:p>
    <w:p>
      <w:pPr>
        <w:rPr>
          <w:rFonts w:ascii="宋体" w:hAnsi="宋体" w:cs="宋体"/>
          <w:color w:val="auto"/>
          <w:sz w:val="24"/>
          <w:szCs w:val="32"/>
          <w:highlight w:val="none"/>
        </w:rPr>
      </w:pPr>
    </w:p>
    <w:p>
      <w:pPr>
        <w:pStyle w:val="6"/>
        <w:rPr>
          <w:rFonts w:ascii="宋体" w:hAnsi="宋体" w:cs="宋体"/>
          <w:color w:val="auto"/>
          <w:sz w:val="24"/>
          <w:szCs w:val="32"/>
          <w:highlight w:val="none"/>
        </w:rPr>
      </w:pPr>
    </w:p>
    <w:p>
      <w:pPr>
        <w:rPr>
          <w:rFonts w:ascii="宋体" w:hAnsi="宋体" w:cs="宋体"/>
          <w:color w:val="auto"/>
          <w:sz w:val="24"/>
          <w:szCs w:val="32"/>
          <w:highlight w:val="none"/>
        </w:rPr>
      </w:pPr>
    </w:p>
    <w:p>
      <w:pPr>
        <w:pStyle w:val="6"/>
        <w:rPr>
          <w:rFonts w:ascii="宋体" w:hAnsi="宋体" w:cs="宋体"/>
          <w:color w:val="auto"/>
          <w:sz w:val="24"/>
          <w:szCs w:val="32"/>
          <w:highlight w:val="none"/>
        </w:rPr>
      </w:pPr>
    </w:p>
    <w:p>
      <w:pPr>
        <w:rPr>
          <w:rFonts w:ascii="宋体" w:hAnsi="宋体" w:cs="宋体"/>
          <w:color w:val="auto"/>
          <w:sz w:val="24"/>
          <w:szCs w:val="32"/>
          <w:highlight w:val="none"/>
        </w:rPr>
      </w:pPr>
    </w:p>
    <w:p>
      <w:pPr>
        <w:pStyle w:val="6"/>
        <w:rPr>
          <w:rFonts w:ascii="宋体" w:hAnsi="宋体" w:cs="宋体"/>
          <w:color w:val="auto"/>
          <w:sz w:val="24"/>
          <w:szCs w:val="32"/>
          <w:highlight w:val="none"/>
        </w:rPr>
      </w:pPr>
    </w:p>
    <w:p>
      <w:pPr>
        <w:rPr>
          <w:rFonts w:ascii="宋体" w:hAnsi="宋体" w:cs="宋体"/>
          <w:color w:val="auto"/>
          <w:sz w:val="24"/>
          <w:szCs w:val="32"/>
          <w:highlight w:val="none"/>
        </w:rPr>
      </w:pPr>
    </w:p>
    <w:p>
      <w:pPr>
        <w:pStyle w:val="6"/>
        <w:rPr>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outlineLvl w:val="0"/>
        <w:rPr>
          <w:rFonts w:ascii="宋体"/>
          <w:b/>
          <w:bCs/>
          <w:color w:val="auto"/>
          <w:sz w:val="28"/>
          <w:szCs w:val="28"/>
          <w:highlight w:val="none"/>
          <w:lang w:val="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5</w:t>
      </w: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pP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投标总报价（元）</w:t>
            </w:r>
          </w:p>
        </w:tc>
        <w:tc>
          <w:tcPr>
            <w:tcW w:w="1349" w:type="dxa"/>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vAlign w:val="center"/>
          </w:tcPr>
          <w:p>
            <w:pPr>
              <w:autoSpaceDE w:val="0"/>
              <w:autoSpaceDN w:val="0"/>
              <w:spacing w:line="450" w:lineRule="exact"/>
              <w:jc w:val="center"/>
              <w:textAlignment w:val="bottom"/>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0" w:hRule="atLeast"/>
          <w:jc w:val="center"/>
        </w:trPr>
        <w:tc>
          <w:tcPr>
            <w:tcW w:w="2694" w:type="dxa"/>
            <w:vMerge w:val="continue"/>
            <w:vAlign w:val="center"/>
          </w:tcPr>
          <w:p>
            <w:pPr>
              <w:rPr>
                <w:rFonts w:ascii="宋体"/>
                <w:color w:val="auto"/>
                <w:sz w:val="24"/>
                <w:szCs w:val="24"/>
                <w:highlight w:val="none"/>
              </w:rPr>
            </w:pPr>
          </w:p>
        </w:tc>
        <w:tc>
          <w:tcPr>
            <w:tcW w:w="1349" w:type="dxa"/>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vAlign w:val="center"/>
          </w:tcPr>
          <w:p>
            <w:pPr>
              <w:autoSpaceDE w:val="0"/>
              <w:autoSpaceDN w:val="0"/>
              <w:spacing w:line="450" w:lineRule="exact"/>
              <w:jc w:val="center"/>
              <w:textAlignment w:val="bottom"/>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hAns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rPr>
          <w:rFonts w:ascii="宋体"/>
          <w:b/>
          <w:bCs/>
          <w:color w:val="auto"/>
          <w:sz w:val="28"/>
          <w:szCs w:val="28"/>
          <w:highlight w:val="none"/>
        </w:rPr>
      </w:pPr>
    </w:p>
    <w:p>
      <w:pPr>
        <w:rPr>
          <w:rFonts w:ascii="宋体"/>
          <w:b/>
          <w:bCs/>
          <w:color w:val="auto"/>
          <w:sz w:val="28"/>
          <w:szCs w:val="28"/>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6</w:t>
      </w:r>
    </w:p>
    <w:p>
      <w:pPr>
        <w:rPr>
          <w:rFonts w:ascii="宋体"/>
          <w:b/>
          <w:bCs/>
          <w:color w:val="auto"/>
          <w:sz w:val="28"/>
          <w:szCs w:val="28"/>
          <w:highlight w:val="none"/>
        </w:rPr>
      </w:pP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报价明细表</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rPr>
          <w:rFonts w:ascii="宋体" w:hAnsi="宋体"/>
          <w:color w:val="auto"/>
          <w:sz w:val="24"/>
          <w:highlight w:val="none"/>
        </w:rPr>
      </w:pPr>
      <w:r>
        <w:rPr>
          <w:rFonts w:hint="eastAsia" w:ascii="宋体" w:hAnsi="宋体"/>
          <w:color w:val="auto"/>
          <w:sz w:val="24"/>
          <w:highlight w:val="none"/>
        </w:rPr>
        <w:t>项目编号：                                      [货币单位：人民币元]</w:t>
      </w:r>
    </w:p>
    <w:tbl>
      <w:tblPr>
        <w:tblStyle w:val="28"/>
        <w:tblW w:w="93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95"/>
        <w:gridCol w:w="1364"/>
        <w:gridCol w:w="1268"/>
        <w:gridCol w:w="1023"/>
        <w:gridCol w:w="1295"/>
        <w:gridCol w:w="778"/>
        <w:gridCol w:w="81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trPr>
        <w:tc>
          <w:tcPr>
            <w:tcW w:w="713"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295" w:type="dxa"/>
            <w:vAlign w:val="center"/>
          </w:tcPr>
          <w:p>
            <w:pP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报价项目</w:t>
            </w:r>
          </w:p>
        </w:tc>
        <w:tc>
          <w:tcPr>
            <w:tcW w:w="1364"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品牌、产地</w:t>
            </w:r>
          </w:p>
        </w:tc>
        <w:tc>
          <w:tcPr>
            <w:tcW w:w="1268"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型号规格</w:t>
            </w:r>
          </w:p>
        </w:tc>
        <w:tc>
          <w:tcPr>
            <w:tcW w:w="1023"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制造商名称</w:t>
            </w:r>
          </w:p>
        </w:tc>
        <w:tc>
          <w:tcPr>
            <w:tcW w:w="1295"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是否是小微企业</w:t>
            </w:r>
          </w:p>
        </w:tc>
        <w:tc>
          <w:tcPr>
            <w:tcW w:w="77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81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91"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pacing w:line="360" w:lineRule="auto"/>
              <w:rPr>
                <w:rFonts w:ascii="宋体" w:hAnsi="宋体"/>
                <w:color w:val="auto"/>
                <w:sz w:val="24"/>
                <w:highlight w:val="none"/>
              </w:rPr>
            </w:pPr>
          </w:p>
        </w:tc>
        <w:tc>
          <w:tcPr>
            <w:tcW w:w="1295" w:type="dxa"/>
            <w:vAlign w:val="center"/>
          </w:tcPr>
          <w:p>
            <w:pPr>
              <w:spacing w:line="360" w:lineRule="auto"/>
              <w:rPr>
                <w:rFonts w:ascii="宋体" w:hAnsi="宋体"/>
                <w:color w:val="auto"/>
                <w:sz w:val="24"/>
                <w:highlight w:val="none"/>
              </w:rPr>
            </w:pPr>
          </w:p>
        </w:tc>
        <w:tc>
          <w:tcPr>
            <w:tcW w:w="1364" w:type="dxa"/>
            <w:vAlign w:val="center"/>
          </w:tcPr>
          <w:p>
            <w:pPr>
              <w:spacing w:line="360" w:lineRule="auto"/>
              <w:rPr>
                <w:rFonts w:ascii="宋体" w:hAnsi="宋体"/>
                <w:color w:val="auto"/>
                <w:sz w:val="24"/>
                <w:highlight w:val="none"/>
              </w:rPr>
            </w:pPr>
          </w:p>
        </w:tc>
        <w:tc>
          <w:tcPr>
            <w:tcW w:w="1268" w:type="dxa"/>
            <w:vAlign w:val="center"/>
          </w:tcPr>
          <w:p>
            <w:pPr>
              <w:spacing w:line="360" w:lineRule="auto"/>
              <w:rPr>
                <w:rFonts w:ascii="宋体" w:hAnsi="宋体"/>
                <w:color w:val="auto"/>
                <w:sz w:val="24"/>
                <w:highlight w:val="none"/>
              </w:rPr>
            </w:pPr>
          </w:p>
        </w:tc>
        <w:tc>
          <w:tcPr>
            <w:tcW w:w="1023" w:type="dxa"/>
            <w:vAlign w:val="center"/>
          </w:tcPr>
          <w:p>
            <w:pPr>
              <w:spacing w:line="360" w:lineRule="auto"/>
              <w:rPr>
                <w:rFonts w:ascii="宋体" w:hAnsi="宋体"/>
                <w:color w:val="auto"/>
                <w:sz w:val="24"/>
                <w:highlight w:val="none"/>
              </w:rPr>
            </w:pPr>
          </w:p>
        </w:tc>
        <w:tc>
          <w:tcPr>
            <w:tcW w:w="1295" w:type="dxa"/>
            <w:vAlign w:val="center"/>
          </w:tcPr>
          <w:p>
            <w:pPr>
              <w:spacing w:line="360" w:lineRule="auto"/>
              <w:rPr>
                <w:rFonts w:ascii="宋体" w:hAnsi="宋体"/>
                <w:color w:val="auto"/>
                <w:sz w:val="24"/>
                <w:highlight w:val="none"/>
              </w:rPr>
            </w:pPr>
          </w:p>
        </w:tc>
        <w:tc>
          <w:tcPr>
            <w:tcW w:w="778" w:type="dxa"/>
            <w:vAlign w:val="center"/>
          </w:tcPr>
          <w:p>
            <w:pPr>
              <w:spacing w:line="360" w:lineRule="auto"/>
              <w:rPr>
                <w:rFonts w:ascii="宋体" w:hAnsi="宋体"/>
                <w:color w:val="auto"/>
                <w:sz w:val="24"/>
                <w:highlight w:val="none"/>
              </w:rPr>
            </w:pPr>
          </w:p>
        </w:tc>
        <w:tc>
          <w:tcPr>
            <w:tcW w:w="818" w:type="dxa"/>
            <w:vAlign w:val="center"/>
          </w:tcPr>
          <w:p>
            <w:pPr>
              <w:spacing w:line="360" w:lineRule="auto"/>
              <w:rPr>
                <w:rFonts w:ascii="宋体" w:hAnsi="宋体"/>
                <w:color w:val="auto"/>
                <w:sz w:val="24"/>
                <w:highlight w:val="none"/>
              </w:rPr>
            </w:pPr>
          </w:p>
        </w:tc>
        <w:tc>
          <w:tcPr>
            <w:tcW w:w="791"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pacing w:line="360" w:lineRule="auto"/>
              <w:rPr>
                <w:rFonts w:ascii="宋体" w:hAnsi="宋体"/>
                <w:color w:val="auto"/>
                <w:sz w:val="24"/>
                <w:highlight w:val="none"/>
              </w:rPr>
            </w:pPr>
          </w:p>
        </w:tc>
        <w:tc>
          <w:tcPr>
            <w:tcW w:w="1295" w:type="dxa"/>
            <w:vAlign w:val="center"/>
          </w:tcPr>
          <w:p>
            <w:pPr>
              <w:spacing w:line="360" w:lineRule="auto"/>
              <w:rPr>
                <w:rFonts w:ascii="宋体" w:hAnsi="宋体"/>
                <w:color w:val="auto"/>
                <w:sz w:val="24"/>
                <w:highlight w:val="none"/>
              </w:rPr>
            </w:pPr>
          </w:p>
        </w:tc>
        <w:tc>
          <w:tcPr>
            <w:tcW w:w="1364" w:type="dxa"/>
            <w:vAlign w:val="center"/>
          </w:tcPr>
          <w:p>
            <w:pPr>
              <w:spacing w:line="360" w:lineRule="auto"/>
              <w:rPr>
                <w:rFonts w:ascii="宋体" w:hAnsi="宋体"/>
                <w:color w:val="auto"/>
                <w:sz w:val="24"/>
                <w:highlight w:val="none"/>
              </w:rPr>
            </w:pPr>
          </w:p>
        </w:tc>
        <w:tc>
          <w:tcPr>
            <w:tcW w:w="1268" w:type="dxa"/>
            <w:vAlign w:val="center"/>
          </w:tcPr>
          <w:p>
            <w:pPr>
              <w:spacing w:line="360" w:lineRule="auto"/>
              <w:rPr>
                <w:rFonts w:ascii="宋体" w:hAnsi="宋体"/>
                <w:color w:val="auto"/>
                <w:sz w:val="24"/>
                <w:highlight w:val="none"/>
              </w:rPr>
            </w:pPr>
          </w:p>
        </w:tc>
        <w:tc>
          <w:tcPr>
            <w:tcW w:w="1023" w:type="dxa"/>
            <w:vAlign w:val="center"/>
          </w:tcPr>
          <w:p>
            <w:pPr>
              <w:spacing w:line="360" w:lineRule="auto"/>
              <w:rPr>
                <w:rFonts w:ascii="宋体" w:hAnsi="宋体"/>
                <w:color w:val="auto"/>
                <w:sz w:val="24"/>
                <w:highlight w:val="none"/>
              </w:rPr>
            </w:pPr>
          </w:p>
        </w:tc>
        <w:tc>
          <w:tcPr>
            <w:tcW w:w="1295" w:type="dxa"/>
            <w:vAlign w:val="center"/>
          </w:tcPr>
          <w:p>
            <w:pPr>
              <w:spacing w:line="360" w:lineRule="auto"/>
              <w:rPr>
                <w:rFonts w:ascii="宋体" w:hAnsi="宋体"/>
                <w:color w:val="auto"/>
                <w:sz w:val="24"/>
                <w:highlight w:val="none"/>
              </w:rPr>
            </w:pPr>
          </w:p>
        </w:tc>
        <w:tc>
          <w:tcPr>
            <w:tcW w:w="778" w:type="dxa"/>
            <w:vAlign w:val="center"/>
          </w:tcPr>
          <w:p>
            <w:pPr>
              <w:spacing w:line="360" w:lineRule="auto"/>
              <w:rPr>
                <w:rFonts w:ascii="宋体" w:hAnsi="宋体"/>
                <w:color w:val="auto"/>
                <w:sz w:val="24"/>
                <w:highlight w:val="none"/>
              </w:rPr>
            </w:pPr>
          </w:p>
        </w:tc>
        <w:tc>
          <w:tcPr>
            <w:tcW w:w="818" w:type="dxa"/>
            <w:vAlign w:val="center"/>
          </w:tcPr>
          <w:p>
            <w:pPr>
              <w:spacing w:line="360" w:lineRule="auto"/>
              <w:rPr>
                <w:rFonts w:ascii="宋体" w:hAnsi="宋体"/>
                <w:color w:val="auto"/>
                <w:sz w:val="24"/>
                <w:highlight w:val="none"/>
              </w:rPr>
            </w:pPr>
          </w:p>
        </w:tc>
        <w:tc>
          <w:tcPr>
            <w:tcW w:w="791"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pacing w:line="360" w:lineRule="auto"/>
              <w:rPr>
                <w:rFonts w:ascii="宋体" w:hAnsi="宋体"/>
                <w:color w:val="auto"/>
                <w:sz w:val="24"/>
                <w:highlight w:val="none"/>
              </w:rPr>
            </w:pPr>
          </w:p>
        </w:tc>
        <w:tc>
          <w:tcPr>
            <w:tcW w:w="1295" w:type="dxa"/>
            <w:vAlign w:val="center"/>
          </w:tcPr>
          <w:p>
            <w:pPr>
              <w:spacing w:line="360" w:lineRule="auto"/>
              <w:rPr>
                <w:rFonts w:ascii="宋体" w:hAnsi="宋体"/>
                <w:color w:val="auto"/>
                <w:sz w:val="24"/>
                <w:highlight w:val="none"/>
              </w:rPr>
            </w:pPr>
          </w:p>
        </w:tc>
        <w:tc>
          <w:tcPr>
            <w:tcW w:w="1364" w:type="dxa"/>
            <w:vAlign w:val="center"/>
          </w:tcPr>
          <w:p>
            <w:pPr>
              <w:spacing w:line="360" w:lineRule="auto"/>
              <w:rPr>
                <w:rFonts w:ascii="宋体" w:hAnsi="宋体"/>
                <w:color w:val="auto"/>
                <w:sz w:val="24"/>
                <w:highlight w:val="none"/>
              </w:rPr>
            </w:pPr>
          </w:p>
        </w:tc>
        <w:tc>
          <w:tcPr>
            <w:tcW w:w="1268" w:type="dxa"/>
            <w:vAlign w:val="center"/>
          </w:tcPr>
          <w:p>
            <w:pPr>
              <w:spacing w:line="360" w:lineRule="auto"/>
              <w:rPr>
                <w:rFonts w:ascii="宋体" w:hAnsi="宋体"/>
                <w:color w:val="auto"/>
                <w:sz w:val="24"/>
                <w:highlight w:val="none"/>
              </w:rPr>
            </w:pPr>
          </w:p>
        </w:tc>
        <w:tc>
          <w:tcPr>
            <w:tcW w:w="1023" w:type="dxa"/>
            <w:vAlign w:val="center"/>
          </w:tcPr>
          <w:p>
            <w:pPr>
              <w:spacing w:line="360" w:lineRule="auto"/>
              <w:rPr>
                <w:rFonts w:ascii="宋体" w:hAnsi="宋体"/>
                <w:color w:val="auto"/>
                <w:sz w:val="24"/>
                <w:highlight w:val="none"/>
              </w:rPr>
            </w:pPr>
          </w:p>
        </w:tc>
        <w:tc>
          <w:tcPr>
            <w:tcW w:w="1295" w:type="dxa"/>
            <w:vAlign w:val="center"/>
          </w:tcPr>
          <w:p>
            <w:pPr>
              <w:spacing w:line="360" w:lineRule="auto"/>
              <w:rPr>
                <w:rFonts w:ascii="宋体" w:hAnsi="宋体"/>
                <w:color w:val="auto"/>
                <w:sz w:val="24"/>
                <w:highlight w:val="none"/>
              </w:rPr>
            </w:pPr>
          </w:p>
        </w:tc>
        <w:tc>
          <w:tcPr>
            <w:tcW w:w="778" w:type="dxa"/>
            <w:vAlign w:val="center"/>
          </w:tcPr>
          <w:p>
            <w:pPr>
              <w:spacing w:line="360" w:lineRule="auto"/>
              <w:rPr>
                <w:rFonts w:ascii="宋体" w:hAnsi="宋体"/>
                <w:color w:val="auto"/>
                <w:sz w:val="24"/>
                <w:highlight w:val="none"/>
              </w:rPr>
            </w:pPr>
          </w:p>
        </w:tc>
        <w:tc>
          <w:tcPr>
            <w:tcW w:w="818" w:type="dxa"/>
            <w:vAlign w:val="center"/>
          </w:tcPr>
          <w:p>
            <w:pPr>
              <w:spacing w:line="360" w:lineRule="auto"/>
              <w:rPr>
                <w:rFonts w:ascii="宋体" w:hAnsi="宋体"/>
                <w:color w:val="auto"/>
                <w:sz w:val="24"/>
                <w:highlight w:val="none"/>
              </w:rPr>
            </w:pPr>
          </w:p>
        </w:tc>
        <w:tc>
          <w:tcPr>
            <w:tcW w:w="791"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pacing w:line="360" w:lineRule="auto"/>
              <w:rPr>
                <w:rFonts w:ascii="宋体" w:hAnsi="宋体"/>
                <w:color w:val="auto"/>
                <w:sz w:val="24"/>
                <w:highlight w:val="none"/>
              </w:rPr>
            </w:pPr>
          </w:p>
        </w:tc>
        <w:tc>
          <w:tcPr>
            <w:tcW w:w="1295" w:type="dxa"/>
            <w:vAlign w:val="center"/>
          </w:tcPr>
          <w:p>
            <w:pPr>
              <w:spacing w:line="360" w:lineRule="auto"/>
              <w:rPr>
                <w:rFonts w:ascii="宋体" w:hAnsi="宋体"/>
                <w:color w:val="auto"/>
                <w:sz w:val="24"/>
                <w:highlight w:val="none"/>
              </w:rPr>
            </w:pPr>
          </w:p>
        </w:tc>
        <w:tc>
          <w:tcPr>
            <w:tcW w:w="1364" w:type="dxa"/>
            <w:vAlign w:val="center"/>
          </w:tcPr>
          <w:p>
            <w:pPr>
              <w:spacing w:line="360" w:lineRule="auto"/>
              <w:rPr>
                <w:rFonts w:ascii="宋体" w:hAnsi="宋体"/>
                <w:color w:val="auto"/>
                <w:sz w:val="24"/>
                <w:highlight w:val="none"/>
              </w:rPr>
            </w:pPr>
          </w:p>
        </w:tc>
        <w:tc>
          <w:tcPr>
            <w:tcW w:w="1268" w:type="dxa"/>
            <w:vAlign w:val="center"/>
          </w:tcPr>
          <w:p>
            <w:pPr>
              <w:spacing w:line="360" w:lineRule="auto"/>
              <w:rPr>
                <w:rFonts w:ascii="宋体" w:hAnsi="宋体"/>
                <w:color w:val="auto"/>
                <w:sz w:val="24"/>
                <w:highlight w:val="none"/>
              </w:rPr>
            </w:pPr>
          </w:p>
        </w:tc>
        <w:tc>
          <w:tcPr>
            <w:tcW w:w="1023" w:type="dxa"/>
            <w:vAlign w:val="center"/>
          </w:tcPr>
          <w:p>
            <w:pPr>
              <w:spacing w:line="360" w:lineRule="auto"/>
              <w:rPr>
                <w:rFonts w:ascii="宋体" w:hAnsi="宋体"/>
                <w:color w:val="auto"/>
                <w:sz w:val="24"/>
                <w:highlight w:val="none"/>
              </w:rPr>
            </w:pPr>
          </w:p>
        </w:tc>
        <w:tc>
          <w:tcPr>
            <w:tcW w:w="1295" w:type="dxa"/>
            <w:vAlign w:val="center"/>
          </w:tcPr>
          <w:p>
            <w:pPr>
              <w:spacing w:line="360" w:lineRule="auto"/>
              <w:rPr>
                <w:rFonts w:ascii="宋体" w:hAnsi="宋体"/>
                <w:color w:val="auto"/>
                <w:sz w:val="24"/>
                <w:highlight w:val="none"/>
              </w:rPr>
            </w:pPr>
          </w:p>
        </w:tc>
        <w:tc>
          <w:tcPr>
            <w:tcW w:w="778" w:type="dxa"/>
            <w:vAlign w:val="center"/>
          </w:tcPr>
          <w:p>
            <w:pPr>
              <w:spacing w:line="360" w:lineRule="auto"/>
              <w:rPr>
                <w:rFonts w:ascii="宋体" w:hAnsi="宋体"/>
                <w:color w:val="auto"/>
                <w:sz w:val="24"/>
                <w:highlight w:val="none"/>
              </w:rPr>
            </w:pPr>
          </w:p>
        </w:tc>
        <w:tc>
          <w:tcPr>
            <w:tcW w:w="818" w:type="dxa"/>
            <w:vAlign w:val="center"/>
          </w:tcPr>
          <w:p>
            <w:pPr>
              <w:spacing w:line="360" w:lineRule="auto"/>
              <w:rPr>
                <w:rFonts w:ascii="宋体" w:hAnsi="宋体"/>
                <w:color w:val="auto"/>
                <w:sz w:val="24"/>
                <w:highlight w:val="none"/>
              </w:rPr>
            </w:pPr>
          </w:p>
        </w:tc>
        <w:tc>
          <w:tcPr>
            <w:tcW w:w="791"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pacing w:line="360" w:lineRule="auto"/>
              <w:rPr>
                <w:rFonts w:ascii="宋体" w:hAnsi="宋体"/>
                <w:color w:val="auto"/>
                <w:sz w:val="24"/>
                <w:highlight w:val="none"/>
              </w:rPr>
            </w:pPr>
          </w:p>
        </w:tc>
        <w:tc>
          <w:tcPr>
            <w:tcW w:w="1295" w:type="dxa"/>
            <w:vAlign w:val="center"/>
          </w:tcPr>
          <w:p>
            <w:pPr>
              <w:spacing w:line="360" w:lineRule="auto"/>
              <w:rPr>
                <w:rFonts w:ascii="宋体" w:hAnsi="宋体"/>
                <w:color w:val="auto"/>
                <w:sz w:val="24"/>
                <w:highlight w:val="none"/>
              </w:rPr>
            </w:pPr>
          </w:p>
        </w:tc>
        <w:tc>
          <w:tcPr>
            <w:tcW w:w="1364" w:type="dxa"/>
            <w:vAlign w:val="center"/>
          </w:tcPr>
          <w:p>
            <w:pPr>
              <w:spacing w:line="360" w:lineRule="auto"/>
              <w:rPr>
                <w:rFonts w:ascii="宋体" w:hAnsi="宋体"/>
                <w:color w:val="auto"/>
                <w:sz w:val="24"/>
                <w:highlight w:val="none"/>
              </w:rPr>
            </w:pPr>
          </w:p>
        </w:tc>
        <w:tc>
          <w:tcPr>
            <w:tcW w:w="1268" w:type="dxa"/>
            <w:vAlign w:val="center"/>
          </w:tcPr>
          <w:p>
            <w:pPr>
              <w:spacing w:line="360" w:lineRule="auto"/>
              <w:rPr>
                <w:rFonts w:ascii="宋体" w:hAnsi="宋体"/>
                <w:color w:val="auto"/>
                <w:sz w:val="24"/>
                <w:highlight w:val="none"/>
              </w:rPr>
            </w:pPr>
          </w:p>
        </w:tc>
        <w:tc>
          <w:tcPr>
            <w:tcW w:w="1023" w:type="dxa"/>
            <w:vAlign w:val="center"/>
          </w:tcPr>
          <w:p>
            <w:pPr>
              <w:spacing w:line="360" w:lineRule="auto"/>
              <w:rPr>
                <w:rFonts w:ascii="宋体" w:hAnsi="宋体"/>
                <w:color w:val="auto"/>
                <w:sz w:val="24"/>
                <w:highlight w:val="none"/>
              </w:rPr>
            </w:pPr>
          </w:p>
        </w:tc>
        <w:tc>
          <w:tcPr>
            <w:tcW w:w="1295" w:type="dxa"/>
            <w:vAlign w:val="center"/>
          </w:tcPr>
          <w:p>
            <w:pPr>
              <w:spacing w:line="360" w:lineRule="auto"/>
              <w:rPr>
                <w:rFonts w:ascii="宋体" w:hAnsi="宋体"/>
                <w:color w:val="auto"/>
                <w:sz w:val="24"/>
                <w:highlight w:val="none"/>
              </w:rPr>
            </w:pPr>
          </w:p>
        </w:tc>
        <w:tc>
          <w:tcPr>
            <w:tcW w:w="778" w:type="dxa"/>
            <w:vAlign w:val="center"/>
          </w:tcPr>
          <w:p>
            <w:pPr>
              <w:spacing w:line="360" w:lineRule="auto"/>
              <w:rPr>
                <w:rFonts w:ascii="宋体" w:hAnsi="宋体"/>
                <w:color w:val="auto"/>
                <w:sz w:val="24"/>
                <w:highlight w:val="none"/>
              </w:rPr>
            </w:pPr>
          </w:p>
        </w:tc>
        <w:tc>
          <w:tcPr>
            <w:tcW w:w="818" w:type="dxa"/>
            <w:vAlign w:val="center"/>
          </w:tcPr>
          <w:p>
            <w:pPr>
              <w:spacing w:line="360" w:lineRule="auto"/>
              <w:rPr>
                <w:rFonts w:ascii="宋体" w:hAnsi="宋体"/>
                <w:color w:val="auto"/>
                <w:sz w:val="24"/>
                <w:highlight w:val="none"/>
              </w:rPr>
            </w:pPr>
          </w:p>
        </w:tc>
        <w:tc>
          <w:tcPr>
            <w:tcW w:w="791"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13" w:type="dxa"/>
            <w:vAlign w:val="center"/>
          </w:tcPr>
          <w:p>
            <w:pPr>
              <w:spacing w:line="360" w:lineRule="auto"/>
              <w:rPr>
                <w:rFonts w:ascii="宋体" w:hAnsi="宋体"/>
                <w:color w:val="auto"/>
                <w:sz w:val="24"/>
                <w:highlight w:val="none"/>
              </w:rPr>
            </w:pPr>
          </w:p>
        </w:tc>
        <w:tc>
          <w:tcPr>
            <w:tcW w:w="8632" w:type="dxa"/>
            <w:gridSpan w:val="8"/>
            <w:vAlign w:val="center"/>
          </w:tcPr>
          <w:p>
            <w:pPr>
              <w:spacing w:line="360" w:lineRule="auto"/>
              <w:rPr>
                <w:rFonts w:ascii="宋体" w:hAnsi="宋体"/>
                <w:b/>
                <w:color w:val="auto"/>
                <w:sz w:val="24"/>
                <w:highlight w:val="none"/>
              </w:rPr>
            </w:pPr>
            <w:r>
              <w:rPr>
                <w:rFonts w:hint="eastAsia" w:ascii="宋体" w:hAnsi="宋体"/>
                <w:b/>
                <w:color w:val="auto"/>
                <w:sz w:val="24"/>
                <w:highlight w:val="none"/>
              </w:rPr>
              <w:t>人民币：大写                           小写</w:t>
            </w: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本表为《开标一览表》的报价明细表，如有缺项、漏项，视为投标报价中已包含相关费用，采购人无需另外支付任何费用。</w:t>
      </w:r>
    </w:p>
    <w:p>
      <w:pP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hint="eastAsia" w:ascii="宋体" w:hAnsi="宋体" w:cs="宋体"/>
          <w:color w:val="auto"/>
          <w:sz w:val="24"/>
          <w:szCs w:val="24"/>
          <w:highlight w:val="none"/>
          <w:lang w:val="zh-CN"/>
        </w:rPr>
        <w:t>“报价明细表”中的报价合计应与“开标一览表”中的投标总报价相一致，不一致时，以开标一览表为准。</w:t>
      </w:r>
    </w:p>
    <w:p>
      <w:pP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投标报价明细表所填内容按招标文件采购设备清单要求为准。如有漏报的，视同已包含在投标总</w:t>
      </w:r>
      <w:r>
        <w:rPr>
          <w:rFonts w:hint="eastAsia" w:ascii="宋体" w:hAnsi="宋体" w:cs="宋体"/>
          <w:color w:val="auto"/>
          <w:sz w:val="24"/>
          <w:szCs w:val="24"/>
          <w:highlight w:val="none"/>
        </w:rPr>
        <w:t>报</w:t>
      </w:r>
      <w:r>
        <w:rPr>
          <w:rFonts w:hint="eastAsia" w:ascii="宋体" w:hAnsi="宋体" w:cs="宋体"/>
          <w:color w:val="auto"/>
          <w:sz w:val="24"/>
          <w:szCs w:val="24"/>
          <w:highlight w:val="none"/>
          <w:lang w:val="zh-CN"/>
        </w:rPr>
        <w:t>价内或已作优惠处理。有重大缺项的将作无效标处理。</w:t>
      </w:r>
    </w:p>
    <w:p>
      <w:pP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lang w:val="zh-CN"/>
        </w:rPr>
        <w:t xml:space="preserve">4. </w:t>
      </w:r>
      <w:r>
        <w:rPr>
          <w:rFonts w:hint="eastAsia" w:ascii="宋体" w:hAnsi="宋体" w:cs="宋体"/>
          <w:color w:val="auto"/>
          <w:sz w:val="24"/>
          <w:szCs w:val="24"/>
          <w:highlight w:val="none"/>
          <w:lang w:val="zh-CN"/>
        </w:rPr>
        <w:t>本表中的型号规格必须明确，招标文件中明确要求定制的除外。</w:t>
      </w: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hAns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7</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中小企业声明函（货物）</w:t>
      </w:r>
    </w:p>
    <w:p>
      <w:pPr>
        <w:spacing w:line="360" w:lineRule="auto"/>
        <w:ind w:firstLine="480" w:firstLineChars="200"/>
        <w:jc w:val="left"/>
        <w:rPr>
          <w:color w:val="auto"/>
          <w:sz w:val="24"/>
          <w:szCs w:val="24"/>
          <w:highlight w:val="none"/>
        </w:rPr>
      </w:pPr>
      <w:r>
        <w:rPr>
          <w:rFonts w:hint="eastAsia" w:ascii="宋体" w:hAnsi="宋体" w:cs="宋体"/>
          <w:color w:val="auto"/>
          <w:sz w:val="24"/>
          <w:szCs w:val="24"/>
          <w:highlight w:val="none"/>
          <w:shd w:val="clear" w:color="auto" w:fill="FFFFFF"/>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shd w:val="clear" w:color="auto" w:fill="FFFFFF"/>
        </w:rPr>
        <w:t>     （单位名称）</w:t>
      </w:r>
      <w:r>
        <w:rPr>
          <w:rFonts w:hint="eastAsia" w:ascii="宋体" w:hAnsi="宋体" w:cs="宋体"/>
          <w:color w:val="auto"/>
          <w:sz w:val="24"/>
          <w:szCs w:val="24"/>
          <w:highlight w:val="none"/>
          <w:shd w:val="clear" w:color="auto" w:fill="FFFFFF"/>
        </w:rPr>
        <w:t>的</w:t>
      </w:r>
      <w:r>
        <w:rPr>
          <w:rFonts w:hint="eastAsia" w:ascii="宋体" w:hAnsi="宋体" w:cs="宋体"/>
          <w:color w:val="auto"/>
          <w:sz w:val="24"/>
          <w:szCs w:val="24"/>
          <w:highlight w:val="none"/>
          <w:u w:val="single"/>
          <w:shd w:val="clear" w:color="auto" w:fill="FFFFFF"/>
        </w:rPr>
        <w:t>    （项目名称）</w:t>
      </w:r>
      <w:r>
        <w:rPr>
          <w:rFonts w:hint="eastAsia" w:ascii="宋体" w:hAnsi="宋体" w:cs="宋体"/>
          <w:color w:val="auto"/>
          <w:sz w:val="24"/>
          <w:szCs w:val="24"/>
          <w:highlight w:val="none"/>
          <w:shd w:val="clear" w:color="auto" w:fill="FFFFFF"/>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u w:val="single"/>
        </w:rPr>
        <w:t>（标的名称）</w:t>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（采购文件中明确的所属行业）</w:t>
      </w:r>
      <w:r>
        <w:rPr>
          <w:rFonts w:hint="eastAsia" w:ascii="宋体" w:hAnsi="宋体" w:cs="宋体"/>
          <w:bCs/>
          <w:color w:val="auto"/>
          <w:sz w:val="24"/>
          <w:szCs w:val="24"/>
          <w:highlight w:val="none"/>
        </w:rPr>
        <w:t>行业；制造商为</w:t>
      </w:r>
      <w:r>
        <w:rPr>
          <w:rFonts w:hint="eastAsia" w:ascii="宋体" w:hAnsi="宋体" w:cs="宋体"/>
          <w:bCs/>
          <w:color w:val="auto"/>
          <w:sz w:val="24"/>
          <w:szCs w:val="24"/>
          <w:highlight w:val="none"/>
          <w:u w:val="single"/>
        </w:rPr>
        <w:t>（企业名称）</w:t>
      </w:r>
      <w:r>
        <w:rPr>
          <w:rFonts w:hint="eastAsia" w:ascii="宋体" w:hAnsi="宋体" w:cs="宋体"/>
          <w:bCs/>
          <w:color w:val="auto"/>
          <w:sz w:val="24"/>
          <w:szCs w:val="24"/>
          <w:highlight w:val="none"/>
        </w:rPr>
        <w:t>，从业人员人，营业收入为万元，资产总额为万元</w:t>
      </w:r>
      <w:r>
        <w:rPr>
          <w:rStyle w:val="34"/>
          <w:rFonts w:hint="eastAsia" w:ascii="宋体" w:hAnsi="宋体" w:cs="宋体"/>
          <w:bCs/>
          <w:color w:val="auto"/>
          <w:sz w:val="24"/>
          <w:szCs w:val="24"/>
          <w:highlight w:val="none"/>
        </w:rPr>
        <w:footnoteReference w:id="0"/>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（中型企业、小型企业、微型企业）</w:t>
      </w:r>
      <w:r>
        <w:rPr>
          <w:rFonts w:hint="eastAsia" w:ascii="宋体" w:hAnsi="宋体" w:cs="宋体"/>
          <w:bCs/>
          <w:color w:val="auto"/>
          <w:sz w:val="24"/>
          <w:szCs w:val="24"/>
          <w:highlight w:val="none"/>
        </w:rPr>
        <w:t>；</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u w:val="single"/>
        </w:rPr>
        <w:t>（标的名称）</w:t>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（采购文件中明确的所属行业）</w:t>
      </w:r>
      <w:r>
        <w:rPr>
          <w:rFonts w:hint="eastAsia" w:ascii="宋体" w:hAnsi="宋体" w:cs="宋体"/>
          <w:bCs/>
          <w:color w:val="auto"/>
          <w:sz w:val="24"/>
          <w:szCs w:val="24"/>
          <w:highlight w:val="none"/>
        </w:rPr>
        <w:t>行业；制造商为</w:t>
      </w:r>
      <w:r>
        <w:rPr>
          <w:rFonts w:hint="eastAsia" w:ascii="宋体" w:hAnsi="宋体" w:cs="宋体"/>
          <w:bCs/>
          <w:color w:val="auto"/>
          <w:sz w:val="24"/>
          <w:szCs w:val="24"/>
          <w:highlight w:val="none"/>
          <w:u w:val="single"/>
        </w:rPr>
        <w:t>（企业名称）</w:t>
      </w:r>
      <w:r>
        <w:rPr>
          <w:rFonts w:hint="eastAsia" w:ascii="宋体" w:hAnsi="宋体" w:cs="宋体"/>
          <w:bCs/>
          <w:color w:val="auto"/>
          <w:sz w:val="24"/>
          <w:szCs w:val="24"/>
          <w:highlight w:val="none"/>
        </w:rPr>
        <w:t>，从业人员人，营业收入为万元，资产总额为万元，属于</w:t>
      </w:r>
      <w:r>
        <w:rPr>
          <w:rFonts w:hint="eastAsia" w:ascii="宋体" w:hAnsi="宋体" w:cs="宋体"/>
          <w:bCs/>
          <w:color w:val="auto"/>
          <w:sz w:val="24"/>
          <w:szCs w:val="24"/>
          <w:highlight w:val="none"/>
          <w:u w:val="single"/>
        </w:rPr>
        <w:t>（中型企业、小型企业、微型企业）</w:t>
      </w:r>
      <w:r>
        <w:rPr>
          <w:rFonts w:hint="eastAsia" w:ascii="宋体" w:hAnsi="宋体" w:cs="宋体"/>
          <w:bCs/>
          <w:color w:val="auto"/>
          <w:sz w:val="24"/>
          <w:szCs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pacing w:line="360" w:lineRule="auto"/>
        <w:jc w:val="left"/>
        <w:rPr>
          <w:rFonts w:ascii="宋体" w:hAnsi="宋体" w:cs="宋体"/>
          <w:bCs/>
          <w:color w:val="auto"/>
          <w:sz w:val="24"/>
          <w:highlight w:val="none"/>
        </w:rPr>
      </w:pP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ind w:left="-2" w:hanging="2"/>
        <w:jc w:val="center"/>
        <w:rPr>
          <w:rFonts w:ascii="宋体"/>
          <w:b/>
          <w:bCs/>
          <w:color w:val="auto"/>
          <w:sz w:val="32"/>
          <w:szCs w:val="32"/>
          <w:highlight w:val="none"/>
          <w:lang w:val="en-GB"/>
        </w:rPr>
      </w:pPr>
      <w:r>
        <w:rPr>
          <w:rFonts w:hint="eastAsia" w:ascii="宋体" w:hAnsi="宋体" w:cs="宋体"/>
          <w:b/>
          <w:bCs/>
          <w:color w:val="auto"/>
          <w:sz w:val="32"/>
          <w:szCs w:val="32"/>
          <w:highlight w:val="none"/>
          <w:lang w:val="en-GB"/>
        </w:rPr>
        <w:t>残疾人福利性单位声明函</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本单位郑重声明，根据《财政部民政部中国残疾人联合会关于促进残疾人就业政府采购政策的通知》（财库〔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141</w:t>
      </w:r>
      <w:r>
        <w:rPr>
          <w:rFonts w:hint="eastAsia" w:ascii="宋体" w:hAnsi="宋体" w:cs="宋体"/>
          <w:color w:val="auto"/>
          <w:sz w:val="24"/>
          <w:szCs w:val="24"/>
          <w:highlight w:val="none"/>
        </w:rPr>
        <w:t>号）的规定，本单位为符合条件的残疾人福利性单位，且本单位参加单位的项目采购活动提供本单位制造的货物（由本单位承担工程</w:t>
      </w:r>
      <w:r>
        <w:rPr>
          <w:rFonts w:ascii="宋体" w:hAnsi="宋体" w:cs="宋体"/>
          <w:color w:val="auto"/>
          <w:sz w:val="24"/>
          <w:szCs w:val="24"/>
          <w:highlight w:val="none"/>
        </w:rPr>
        <w:t>/</w:t>
      </w:r>
      <w:r>
        <w:rPr>
          <w:rFonts w:hint="eastAsia" w:ascii="宋体" w:hAnsi="宋体" w:cs="宋体"/>
          <w:color w:val="auto"/>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spacing w:line="360" w:lineRule="auto"/>
        <w:ind w:firstLine="480" w:firstLineChars="200"/>
        <w:rPr>
          <w:rFonts w:ascii="宋体"/>
          <w:color w:val="auto"/>
          <w:sz w:val="24"/>
          <w:szCs w:val="24"/>
          <w:highlight w:val="none"/>
        </w:rPr>
      </w:pPr>
    </w:p>
    <w:p>
      <w:pPr>
        <w:spacing w:line="360" w:lineRule="auto"/>
        <w:ind w:firstLine="3120" w:firstLineChars="1300"/>
        <w:jc w:val="left"/>
        <w:rPr>
          <w:rFonts w:ascii="宋体"/>
          <w:color w:val="auto"/>
          <w:sz w:val="24"/>
          <w:szCs w:val="24"/>
          <w:highlight w:val="none"/>
        </w:rPr>
      </w:pPr>
      <w:r>
        <w:rPr>
          <w:rFonts w:hint="eastAsia" w:ascii="宋体" w:hAnsi="宋体" w:cs="宋体"/>
          <w:color w:val="auto"/>
          <w:sz w:val="24"/>
          <w:szCs w:val="24"/>
          <w:highlight w:val="none"/>
        </w:rPr>
        <w:t>单位名称（单位公章）：</w:t>
      </w:r>
    </w:p>
    <w:p>
      <w:pPr>
        <w:spacing w:line="360" w:lineRule="auto"/>
        <w:ind w:firstLine="5040" w:firstLineChars="2100"/>
        <w:rPr>
          <w:rFonts w:ascii="宋体" w:hAnsi="宋体" w:cs="宋体"/>
          <w:color w:val="auto"/>
          <w:sz w:val="24"/>
          <w:szCs w:val="24"/>
          <w:highlight w:val="none"/>
        </w:rPr>
      </w:pPr>
      <w:r>
        <w:rPr>
          <w:rFonts w:hint="eastAsia" w:ascii="宋体" w:hAnsi="宋体" w:cs="宋体"/>
          <w:color w:val="auto"/>
          <w:sz w:val="24"/>
          <w:szCs w:val="24"/>
          <w:highlight w:val="none"/>
        </w:rPr>
        <w:t>日期：年月日</w:t>
      </w:r>
    </w:p>
    <w:p>
      <w:pPr>
        <w:pStyle w:val="6"/>
        <w:rPr>
          <w:rFonts w:ascii="宋体" w:hAnsi="宋体" w:cs="宋体"/>
          <w:color w:val="auto"/>
          <w:sz w:val="24"/>
          <w:szCs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1、标的设备分别由不同制造商制造的，请按序号填写齐全所有标的货物制造商的信息。</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2、从业人员、营业收入、资产总额填报上一年度数据，无上一年度数据的新成立企业可不填报。</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3、为了更加准确判定制造商是否为小微企业，请供应商根据工业和信息化部官方网站---中小企业规模类型自测小程序来辨别制造商企业规模类型，中小企业规模类型自测小程序链接网址为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4、供应商未提供《中小企业声明函》的、《中小企业声明函》中内容应填写而未进行填写或未如实填写的，将不给予供应商小微企业报价优惠扣除。</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预成交供应商享受小微企业报价优惠扣除的，将按规定公开预成交供应商的《中小企业声明函》。</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5、如国家对中小企业划型标准有新的规定的，从其规定。</w:t>
      </w:r>
    </w:p>
    <w:p>
      <w:pPr>
        <w:spacing w:line="400" w:lineRule="exact"/>
        <w:rPr>
          <w:rFonts w:ascii="宋体" w:hAnsi="宋体"/>
          <w:b/>
          <w:color w:val="auto"/>
          <w:sz w:val="28"/>
          <w:szCs w:val="28"/>
          <w:highlight w:val="none"/>
        </w:rPr>
      </w:pPr>
    </w:p>
    <w:p>
      <w:pPr>
        <w:spacing w:line="420" w:lineRule="exact"/>
        <w:rPr>
          <w:rFonts w:ascii="宋体" w:hAnsi="宋体"/>
          <w:b/>
          <w:color w:val="auto"/>
          <w:sz w:val="28"/>
          <w:szCs w:val="28"/>
          <w:highlight w:val="none"/>
        </w:rPr>
      </w:pPr>
    </w:p>
    <w:p>
      <w:pPr>
        <w:spacing w:line="420" w:lineRule="exact"/>
        <w:rPr>
          <w:rFonts w:ascii="宋体" w:hAnsi="宋体"/>
          <w:b/>
          <w:color w:val="auto"/>
          <w:sz w:val="28"/>
          <w:szCs w:val="28"/>
          <w:highlight w:val="none"/>
          <w:lang w:val="en-GB"/>
        </w:rPr>
      </w:pPr>
      <w:r>
        <w:rPr>
          <w:rFonts w:hint="eastAsia" w:ascii="宋体" w:hAnsi="宋体"/>
          <w:b/>
          <w:color w:val="auto"/>
          <w:sz w:val="28"/>
          <w:szCs w:val="28"/>
          <w:highlight w:val="none"/>
        </w:rPr>
        <w:t xml:space="preserve">附件：             </w:t>
      </w:r>
      <w:r>
        <w:rPr>
          <w:rFonts w:hint="eastAsia" w:ascii="宋体" w:hAnsi="宋体"/>
          <w:b/>
          <w:color w:val="auto"/>
          <w:sz w:val="28"/>
          <w:szCs w:val="28"/>
          <w:highlight w:val="none"/>
          <w:lang w:val="en-GB"/>
        </w:rPr>
        <w:t>政府采购活动现场确认声明书</w:t>
      </w:r>
    </w:p>
    <w:p>
      <w:pPr>
        <w:snapToGrid w:val="0"/>
        <w:spacing w:line="400" w:lineRule="exact"/>
        <w:rPr>
          <w:rFonts w:ascii="宋体" w:hAnsi="宋体" w:cs="宋体"/>
          <w:b/>
          <w:color w:val="auto"/>
          <w:sz w:val="24"/>
          <w:szCs w:val="24"/>
          <w:highlight w:val="none"/>
        </w:rPr>
      </w:pPr>
      <w:r>
        <w:rPr>
          <w:rFonts w:hint="eastAsia" w:ascii="宋体" w:hAnsi="宋体" w:cs="宋体"/>
          <w:color w:val="auto"/>
          <w:kern w:val="0"/>
          <w:sz w:val="24"/>
          <w:szCs w:val="24"/>
          <w:highlight w:val="none"/>
          <w:u w:val="single"/>
        </w:rPr>
        <w:t>浙江五石中正工程咨询有限公司</w:t>
      </w:r>
      <w:r>
        <w:rPr>
          <w:rFonts w:hint="eastAsia" w:ascii="宋体" w:hAnsi="宋体" w:cs="宋体"/>
          <w:color w:val="auto"/>
          <w:kern w:val="0"/>
          <w:sz w:val="24"/>
          <w:szCs w:val="24"/>
          <w:highlight w:val="none"/>
        </w:rPr>
        <w:t>（采购组织机构名称）：</w:t>
      </w:r>
    </w:p>
    <w:p>
      <w:pPr>
        <w:widowControl/>
        <w:spacing w:line="400" w:lineRule="exact"/>
        <w:ind w:firstLine="504" w:firstLineChars="200"/>
        <w:jc w:val="left"/>
        <w:rPr>
          <w:rFonts w:ascii="宋体" w:hAnsi="宋体" w:cs="宋体"/>
          <w:color w:val="auto"/>
          <w:kern w:val="0"/>
          <w:sz w:val="24"/>
          <w:szCs w:val="24"/>
          <w:highlight w:val="none"/>
          <w:lang w:val="zh-CN"/>
        </w:rPr>
      </w:pPr>
      <w:r>
        <w:rPr>
          <w:rFonts w:hint="eastAsia" w:ascii="宋体" w:hAnsi="宋体" w:cs="宋体"/>
          <w:color w:val="auto"/>
          <w:spacing w:val="6"/>
          <w:kern w:val="0"/>
          <w:sz w:val="24"/>
          <w:szCs w:val="24"/>
          <w:highlight w:val="none"/>
          <w:lang w:val="zh-CN"/>
        </w:rPr>
        <w:t>本人经由</w:t>
      </w:r>
      <w:r>
        <w:rPr>
          <w:rFonts w:hint="eastAsia" w:ascii="宋体" w:hAnsi="宋体" w:cs="宋体"/>
          <w:color w:val="auto"/>
          <w:spacing w:val="6"/>
          <w:kern w:val="0"/>
          <w:sz w:val="24"/>
          <w:szCs w:val="24"/>
          <w:highlight w:val="none"/>
        </w:rPr>
        <w:t>（投标人全称）</w:t>
      </w:r>
      <w:r>
        <w:rPr>
          <w:rFonts w:hint="eastAsia" w:ascii="宋体" w:hAnsi="宋体" w:cs="宋体"/>
          <w:color w:val="auto"/>
          <w:spacing w:val="6"/>
          <w:kern w:val="0"/>
          <w:sz w:val="24"/>
          <w:szCs w:val="24"/>
          <w:highlight w:val="none"/>
          <w:lang w:val="zh-CN"/>
        </w:rPr>
        <w:t>（法人代表）合法授权参加</w:t>
      </w:r>
      <w:r>
        <w:rPr>
          <w:rFonts w:hint="eastAsia" w:ascii="宋体" w:hAnsi="宋体" w:cs="宋体"/>
          <w:b/>
          <w:bCs/>
          <w:color w:val="auto"/>
          <w:spacing w:val="6"/>
          <w:kern w:val="0"/>
          <w:sz w:val="24"/>
          <w:szCs w:val="24"/>
          <w:highlight w:val="none"/>
          <w:u w:val="single"/>
          <w:lang w:val="zh-CN"/>
        </w:rPr>
        <w:t>X射线计算机断层扫描装置采购项目</w:t>
      </w:r>
      <w:r>
        <w:rPr>
          <w:rFonts w:hint="eastAsia" w:ascii="宋体" w:hAnsi="宋体" w:cs="宋体"/>
          <w:color w:val="auto"/>
          <w:spacing w:val="6"/>
          <w:kern w:val="0"/>
          <w:sz w:val="24"/>
          <w:szCs w:val="24"/>
          <w:highlight w:val="none"/>
          <w:lang w:val="zh-CN"/>
        </w:rPr>
        <w:t>（</w:t>
      </w:r>
      <w:r>
        <w:rPr>
          <w:rFonts w:hint="eastAsia" w:ascii="宋体" w:hAnsi="宋体" w:cs="宋体"/>
          <w:color w:val="auto"/>
          <w:spacing w:val="6"/>
          <w:kern w:val="0"/>
          <w:sz w:val="24"/>
          <w:szCs w:val="24"/>
          <w:highlight w:val="none"/>
        </w:rPr>
        <w:t>项目</w:t>
      </w:r>
      <w:r>
        <w:rPr>
          <w:rFonts w:hint="eastAsia" w:ascii="宋体" w:hAnsi="宋体" w:cs="宋体"/>
          <w:color w:val="auto"/>
          <w:spacing w:val="6"/>
          <w:kern w:val="0"/>
          <w:sz w:val="24"/>
          <w:szCs w:val="24"/>
          <w:highlight w:val="none"/>
          <w:lang w:val="zh-CN"/>
        </w:rPr>
        <w:t>编号：</w:t>
      </w:r>
      <w:r>
        <w:rPr>
          <w:rFonts w:hint="eastAsia" w:ascii="宋体" w:hAnsi="宋体" w:cs="宋体"/>
          <w:b/>
          <w:bCs/>
          <w:color w:val="auto"/>
          <w:spacing w:val="6"/>
          <w:kern w:val="0"/>
          <w:sz w:val="24"/>
          <w:szCs w:val="24"/>
          <w:highlight w:val="none"/>
          <w:u w:val="single"/>
          <w:lang w:val="zh-CN"/>
        </w:rPr>
        <w:t>ZJWS2022-HYZYY07</w:t>
      </w:r>
      <w:r>
        <w:rPr>
          <w:rFonts w:hint="eastAsia" w:ascii="宋体" w:hAnsi="宋体" w:cs="宋体"/>
          <w:color w:val="auto"/>
          <w:spacing w:val="6"/>
          <w:kern w:val="0"/>
          <w:sz w:val="24"/>
          <w:szCs w:val="24"/>
          <w:highlight w:val="none"/>
          <w:lang w:val="zh-CN"/>
        </w:rPr>
        <w:t>）政府采购活动，经与本单位法人代表（负责人）联系确认，现就有关公平竞争事项郑重声明如下：</w:t>
      </w:r>
    </w:p>
    <w:p>
      <w:pPr>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p>
    <w:p>
      <w:pPr>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□与（供应商名称）之间存在下列利害关系：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p>
    <w:p>
      <w:pPr>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pPr>
        <w:spacing w:line="420" w:lineRule="exact"/>
        <w:rPr>
          <w:rFonts w:ascii="宋体" w:hAnsi="宋体" w:cs="宋体"/>
          <w:color w:val="auto"/>
          <w:sz w:val="24"/>
          <w:highlight w:val="none"/>
        </w:rPr>
      </w:pPr>
      <w:r>
        <w:rPr>
          <w:rFonts w:hint="eastAsia" w:ascii="宋体" w:hAnsi="宋体" w:cs="宋体"/>
          <w:color w:val="auto"/>
          <w:sz w:val="24"/>
          <w:highlight w:val="none"/>
        </w:rPr>
        <w:t>四、我发现供应商之间存在或可能存在上述第二条第项利害关系。</w:t>
      </w:r>
    </w:p>
    <w:p>
      <w:pPr>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pPr>
        <w:spacing w:line="420" w:lineRule="exact"/>
        <w:ind w:firstLine="4819"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pPr>
        <w:spacing w:line="420" w:lineRule="exact"/>
        <w:jc w:val="right"/>
        <w:outlineLvl w:val="0"/>
        <w:rPr>
          <w:rFonts w:ascii="宋体" w:hAnsi="宋体" w:cs="宋体"/>
          <w:color w:val="auto"/>
          <w:sz w:val="24"/>
          <w:highlight w:val="none"/>
        </w:rPr>
      </w:pPr>
      <w:r>
        <w:rPr>
          <w:rFonts w:hint="eastAsia" w:ascii="宋体" w:hAnsi="宋体" w:cs="宋体"/>
          <w:color w:val="auto"/>
          <w:sz w:val="24"/>
          <w:highlight w:val="none"/>
        </w:rPr>
        <w:t>2022年  月  日</w:t>
      </w:r>
    </w:p>
    <w:p>
      <w:pP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szCs w:val="24"/>
          <w:highlight w:val="none"/>
        </w:rPr>
        <w:t>说明：商务技术文件开启后30分钟内，供应商通过邮件形式将经授权委托代理人签署的《</w:t>
      </w:r>
      <w:r>
        <w:rPr>
          <w:rFonts w:hint="eastAsia" w:ascii="宋体" w:hAnsi="宋体" w:cs="宋体"/>
          <w:b/>
          <w:bCs/>
          <w:color w:val="auto"/>
          <w:kern w:val="0"/>
          <w:sz w:val="24"/>
          <w:szCs w:val="24"/>
          <w:highlight w:val="none"/>
          <w:lang w:val="en-GB"/>
        </w:rPr>
        <w:t>政府采购活动现场确认声明书</w:t>
      </w:r>
      <w:r>
        <w:rPr>
          <w:rFonts w:hint="eastAsia" w:ascii="宋体" w:hAnsi="宋体" w:cs="宋体"/>
          <w:b/>
          <w:bCs/>
          <w:color w:val="auto"/>
          <w:kern w:val="0"/>
          <w:sz w:val="24"/>
          <w:szCs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szCs w:val="24"/>
          <w:highlight w:val="none"/>
        </w:rPr>
        <w:t>303054329@qq.com）；</w:t>
      </w:r>
      <w:r>
        <w:rPr>
          <w:rFonts w:hint="eastAsia" w:ascii="宋体" w:hAnsi="宋体" w:cs="宋体"/>
          <w:b/>
          <w:bCs/>
          <w:color w:val="auto"/>
          <w:kern w:val="0"/>
          <w:sz w:val="24"/>
          <w:szCs w:val="24"/>
          <w:highlight w:val="none"/>
        </w:rPr>
        <w:fldChar w:fldCharType="end"/>
      </w:r>
      <w:r>
        <w:rPr>
          <w:rFonts w:hint="eastAsia" w:ascii="宋体" w:hAnsi="宋体" w:cs="宋体"/>
          <w:b/>
          <w:bCs/>
          <w:color w:val="auto"/>
          <w:kern w:val="0"/>
          <w:sz w:val="24"/>
          <w:szCs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pPr>
      <w:r>
        <w:rPr>
          <w:rStyle w:val="34"/>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cs="宋体"/>
        <w:b/>
        <w:bCs/>
        <w:i/>
        <w:iCs/>
        <w:color w:val="000000"/>
        <w:kern w:val="0"/>
        <w:sz w:val="18"/>
        <w:szCs w:val="18"/>
        <w:u w:val="single"/>
      </w:rPr>
      <w:t>台州市黄岩区政府采购招标文件</w:t>
    </w:r>
    <w:r>
      <w:rPr>
        <w:rFonts w:hint="eastAsia" w:cs="宋体"/>
        <w:b/>
        <w:bCs/>
        <w:i/>
        <w:iCs/>
        <w:color w:val="000000"/>
        <w:kern w:val="0"/>
        <w:sz w:val="18"/>
        <w:szCs w:val="18"/>
        <w:u w:val="single"/>
        <w:lang w:val="en-US" w:eastAsia="zh-CN"/>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42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324</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F6726"/>
    <w:multiLevelType w:val="singleLevel"/>
    <w:tmpl w:val="F18F6726"/>
    <w:lvl w:ilvl="0" w:tentative="0">
      <w:start w:val="2"/>
      <w:numFmt w:val="chineseCounting"/>
      <w:suff w:val="nothing"/>
      <w:lvlText w:val="%1、"/>
      <w:lvlJc w:val="left"/>
      <w:rPr>
        <w:rFonts w:hint="eastAsia"/>
      </w:rPr>
    </w:lvl>
  </w:abstractNum>
  <w:abstractNum w:abstractNumId="1">
    <w:nsid w:val="036B3EDC"/>
    <w:multiLevelType w:val="singleLevel"/>
    <w:tmpl w:val="036B3EDC"/>
    <w:lvl w:ilvl="0" w:tentative="0">
      <w:start w:val="1"/>
      <w:numFmt w:val="decimal"/>
      <w:pStyle w:val="7"/>
      <w:lvlText w:val="%1."/>
      <w:lvlJc w:val="left"/>
      <w:pPr>
        <w:tabs>
          <w:tab w:val="left" w:pos="360"/>
        </w:tabs>
        <w:ind w:left="360" w:hanging="360"/>
      </w:pPr>
    </w:lvl>
  </w:abstractNum>
  <w:abstractNum w:abstractNumId="2">
    <w:nsid w:val="3F22E566"/>
    <w:multiLevelType w:val="singleLevel"/>
    <w:tmpl w:val="3F22E566"/>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ZDQyNjNjNjYwMTYzZTMyYTM3ZjNhZTdmOGIwMGQifQ=="/>
  </w:docVars>
  <w:rsids>
    <w:rsidRoot w:val="007F2E7A"/>
    <w:rsid w:val="00015840"/>
    <w:rsid w:val="001426E5"/>
    <w:rsid w:val="0018294C"/>
    <w:rsid w:val="00231109"/>
    <w:rsid w:val="00271C20"/>
    <w:rsid w:val="00407B52"/>
    <w:rsid w:val="00430724"/>
    <w:rsid w:val="00454C7C"/>
    <w:rsid w:val="00475B27"/>
    <w:rsid w:val="004B2E06"/>
    <w:rsid w:val="005C0D6F"/>
    <w:rsid w:val="0076739C"/>
    <w:rsid w:val="0077683C"/>
    <w:rsid w:val="007F2E7A"/>
    <w:rsid w:val="00815451"/>
    <w:rsid w:val="00830DAA"/>
    <w:rsid w:val="00910A19"/>
    <w:rsid w:val="0091540A"/>
    <w:rsid w:val="00B24AE9"/>
    <w:rsid w:val="00BA0B11"/>
    <w:rsid w:val="00C02E94"/>
    <w:rsid w:val="00C80617"/>
    <w:rsid w:val="00D50E33"/>
    <w:rsid w:val="00E230D5"/>
    <w:rsid w:val="00EF5B14"/>
    <w:rsid w:val="00F212F5"/>
    <w:rsid w:val="021A3610"/>
    <w:rsid w:val="025A09FE"/>
    <w:rsid w:val="03EB39E8"/>
    <w:rsid w:val="04D8088D"/>
    <w:rsid w:val="06175254"/>
    <w:rsid w:val="06261E40"/>
    <w:rsid w:val="0C8C50F7"/>
    <w:rsid w:val="0C9B2362"/>
    <w:rsid w:val="0DB75CCE"/>
    <w:rsid w:val="0E183559"/>
    <w:rsid w:val="15391E65"/>
    <w:rsid w:val="1A975C96"/>
    <w:rsid w:val="1B7D5858"/>
    <w:rsid w:val="1D162B15"/>
    <w:rsid w:val="1E5659BC"/>
    <w:rsid w:val="1F975F53"/>
    <w:rsid w:val="246F34B0"/>
    <w:rsid w:val="24FF6E79"/>
    <w:rsid w:val="288F33F2"/>
    <w:rsid w:val="2A8A4629"/>
    <w:rsid w:val="2BFC1833"/>
    <w:rsid w:val="2E9C1FAF"/>
    <w:rsid w:val="2F385209"/>
    <w:rsid w:val="35BF73B1"/>
    <w:rsid w:val="366C0B20"/>
    <w:rsid w:val="382C3A33"/>
    <w:rsid w:val="38477C4D"/>
    <w:rsid w:val="390609A9"/>
    <w:rsid w:val="397F4B29"/>
    <w:rsid w:val="3AC32CD9"/>
    <w:rsid w:val="3AD849D6"/>
    <w:rsid w:val="3B016125"/>
    <w:rsid w:val="3B49463D"/>
    <w:rsid w:val="3E203195"/>
    <w:rsid w:val="41327FE0"/>
    <w:rsid w:val="41923405"/>
    <w:rsid w:val="47A86829"/>
    <w:rsid w:val="5054260E"/>
    <w:rsid w:val="507000DD"/>
    <w:rsid w:val="5388299C"/>
    <w:rsid w:val="557D01FC"/>
    <w:rsid w:val="5CF631A9"/>
    <w:rsid w:val="61C97752"/>
    <w:rsid w:val="63DE0509"/>
    <w:rsid w:val="65EE0CA2"/>
    <w:rsid w:val="67E503D1"/>
    <w:rsid w:val="690A03D1"/>
    <w:rsid w:val="6AA11CFA"/>
    <w:rsid w:val="6EA6501C"/>
    <w:rsid w:val="70390CA2"/>
    <w:rsid w:val="70FA04FB"/>
    <w:rsid w:val="735068B3"/>
    <w:rsid w:val="74526B16"/>
    <w:rsid w:val="74DD7D39"/>
    <w:rsid w:val="759B0ADB"/>
    <w:rsid w:val="79A92832"/>
    <w:rsid w:val="7AB8524D"/>
    <w:rsid w:val="7D2F59D0"/>
    <w:rsid w:val="7E6C6C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99" w:semiHidden="0" w:name="toc 2"/>
    <w:lsdException w:uiPriority="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99"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uiPriority w:val="99"/>
    <w:pPr>
      <w:spacing w:before="340" w:after="330" w:line="578" w:lineRule="auto"/>
      <w:outlineLvl w:val="0"/>
    </w:pPr>
    <w:rPr>
      <w:kern w:val="44"/>
      <w:sz w:val="44"/>
      <w:szCs w:val="44"/>
    </w:rPr>
  </w:style>
  <w:style w:type="paragraph" w:styleId="4">
    <w:name w:val="heading 2"/>
    <w:basedOn w:val="1"/>
    <w:next w:val="1"/>
    <w:link w:val="39"/>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40"/>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7">
    <w:name w:val="List Number"/>
    <w:basedOn w:val="1"/>
    <w:qFormat/>
    <w:uiPriority w:val="99"/>
    <w:pPr>
      <w:numPr>
        <w:ilvl w:val="0"/>
        <w:numId w:val="1"/>
      </w:numPr>
    </w:pPr>
  </w:style>
  <w:style w:type="paragraph" w:styleId="8">
    <w:name w:val="Normal Indent"/>
    <w:basedOn w:val="1"/>
    <w:next w:val="1"/>
    <w:qFormat/>
    <w:uiPriority w:val="99"/>
    <w:pPr>
      <w:ind w:firstLine="420"/>
    </w:pPr>
  </w:style>
  <w:style w:type="paragraph" w:styleId="9">
    <w:name w:val="Document Map"/>
    <w:basedOn w:val="1"/>
    <w:link w:val="95"/>
    <w:qFormat/>
    <w:uiPriority w:val="0"/>
    <w:rPr>
      <w:rFonts w:ascii="宋体"/>
      <w:sz w:val="18"/>
      <w:szCs w:val="18"/>
    </w:rPr>
  </w:style>
  <w:style w:type="paragraph" w:styleId="10">
    <w:name w:val="annotation text"/>
    <w:basedOn w:val="1"/>
    <w:link w:val="41"/>
    <w:qFormat/>
    <w:uiPriority w:val="99"/>
    <w:pPr>
      <w:jc w:val="left"/>
    </w:pPr>
  </w:style>
  <w:style w:type="paragraph" w:styleId="11">
    <w:name w:val="Body Text"/>
    <w:basedOn w:val="1"/>
    <w:next w:val="12"/>
    <w:link w:val="42"/>
    <w:qFormat/>
    <w:uiPriority w:val="99"/>
    <w:pPr>
      <w:spacing w:line="360" w:lineRule="exact"/>
    </w:pPr>
    <w:rPr>
      <w:sz w:val="24"/>
      <w:szCs w:val="24"/>
    </w:rPr>
  </w:style>
  <w:style w:type="paragraph" w:styleId="12">
    <w:name w:val="Body Text First Indent"/>
    <w:basedOn w:val="11"/>
    <w:next w:val="13"/>
    <w:link w:val="43"/>
    <w:qFormat/>
    <w:uiPriority w:val="99"/>
    <w:pPr>
      <w:ind w:firstLine="420"/>
    </w:pPr>
    <w:rPr>
      <w:sz w:val="21"/>
      <w:szCs w:val="21"/>
    </w:rPr>
  </w:style>
  <w:style w:type="paragraph" w:styleId="13">
    <w:name w:val="toc 6"/>
    <w:basedOn w:val="1"/>
    <w:next w:val="1"/>
    <w:qFormat/>
    <w:uiPriority w:val="99"/>
    <w:pPr>
      <w:widowControl/>
      <w:ind w:left="1000"/>
      <w:jc w:val="left"/>
    </w:pPr>
    <w:rPr>
      <w:kern w:val="0"/>
      <w:sz w:val="18"/>
      <w:szCs w:val="18"/>
    </w:rPr>
  </w:style>
  <w:style w:type="paragraph" w:styleId="14">
    <w:name w:val="Body Text Indent"/>
    <w:basedOn w:val="1"/>
    <w:next w:val="1"/>
    <w:link w:val="44"/>
    <w:qFormat/>
    <w:uiPriority w:val="99"/>
    <w:pPr>
      <w:spacing w:after="120"/>
      <w:ind w:left="420" w:leftChars="200"/>
    </w:pPr>
  </w:style>
  <w:style w:type="paragraph" w:styleId="15">
    <w:name w:val="Plain Text"/>
    <w:basedOn w:val="1"/>
    <w:next w:val="16"/>
    <w:link w:val="45"/>
    <w:qFormat/>
    <w:uiPriority w:val="99"/>
    <w:rPr>
      <w:rFonts w:ascii="宋体" w:hAnsi="Courier New" w:cs="宋体"/>
    </w:rPr>
  </w:style>
  <w:style w:type="paragraph" w:styleId="16">
    <w:name w:val="toc 2"/>
    <w:basedOn w:val="1"/>
    <w:next w:val="1"/>
    <w:qFormat/>
    <w:uiPriority w:val="99"/>
    <w:pPr>
      <w:ind w:left="420" w:leftChars="200"/>
    </w:pPr>
  </w:style>
  <w:style w:type="paragraph" w:styleId="17">
    <w:name w:val="Date"/>
    <w:basedOn w:val="1"/>
    <w:next w:val="1"/>
    <w:link w:val="46"/>
    <w:qFormat/>
    <w:uiPriority w:val="99"/>
    <w:pPr>
      <w:ind w:left="2500" w:leftChars="2500"/>
    </w:pPr>
    <w:rPr>
      <w:rFonts w:ascii="Calibri" w:hAnsi="Calibri" w:eastAsia="楷体_GB2312" w:cs="Calibri"/>
      <w:sz w:val="32"/>
      <w:szCs w:val="32"/>
    </w:rPr>
  </w:style>
  <w:style w:type="paragraph" w:styleId="18">
    <w:name w:val="Balloon Text"/>
    <w:basedOn w:val="1"/>
    <w:link w:val="47"/>
    <w:qFormat/>
    <w:uiPriority w:val="99"/>
    <w:rPr>
      <w:sz w:val="18"/>
      <w:szCs w:val="18"/>
    </w:rPr>
  </w:style>
  <w:style w:type="paragraph" w:styleId="19">
    <w:name w:val="footer"/>
    <w:basedOn w:val="1"/>
    <w:next w:val="16"/>
    <w:link w:val="48"/>
    <w:qFormat/>
    <w:uiPriority w:val="0"/>
    <w:pPr>
      <w:tabs>
        <w:tab w:val="center" w:pos="4153"/>
        <w:tab w:val="right" w:pos="8306"/>
      </w:tabs>
      <w:snapToGrid w:val="0"/>
      <w:jc w:val="left"/>
    </w:pPr>
    <w:rPr>
      <w:sz w:val="18"/>
      <w:szCs w:val="18"/>
    </w:rPr>
  </w:style>
  <w:style w:type="paragraph" w:styleId="20">
    <w:name w:val="header"/>
    <w:basedOn w:val="1"/>
    <w:link w:val="4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1">
    <w:name w:val="footnote text"/>
    <w:basedOn w:val="1"/>
    <w:link w:val="50"/>
    <w:qFormat/>
    <w:uiPriority w:val="99"/>
    <w:pPr>
      <w:snapToGrid w:val="0"/>
      <w:jc w:val="left"/>
    </w:pPr>
    <w:rPr>
      <w:sz w:val="18"/>
      <w:szCs w:val="18"/>
    </w:rPr>
  </w:style>
  <w:style w:type="paragraph" w:styleId="22">
    <w:name w:val="Body Text 2"/>
    <w:basedOn w:val="1"/>
    <w:qFormat/>
    <w:uiPriority w:val="0"/>
    <w:pPr>
      <w:widowControl/>
      <w:snapToGrid w:val="0"/>
      <w:spacing w:before="50" w:afterLines="50" w:line="400" w:lineRule="atLeast"/>
      <w:jc w:val="left"/>
    </w:pPr>
    <w:rPr>
      <w:rFonts w:ascii="宋体" w:hAnsi="宋体"/>
      <w:color w:val="00000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1"/>
    <w:qFormat/>
    <w:uiPriority w:val="99"/>
    <w:pPr>
      <w:widowControl/>
      <w:overflowPunct w:val="0"/>
      <w:autoSpaceDE w:val="0"/>
      <w:autoSpaceDN w:val="0"/>
      <w:adjustRightInd w:val="0"/>
      <w:jc w:val="center"/>
      <w:textAlignment w:val="baseline"/>
    </w:pPr>
    <w:rPr>
      <w:b/>
      <w:bCs/>
      <w:kern w:val="0"/>
      <w:sz w:val="24"/>
      <w:szCs w:val="24"/>
    </w:rPr>
  </w:style>
  <w:style w:type="paragraph" w:styleId="25">
    <w:name w:val="annotation subject"/>
    <w:basedOn w:val="10"/>
    <w:next w:val="10"/>
    <w:link w:val="52"/>
    <w:qFormat/>
    <w:uiPriority w:val="99"/>
    <w:rPr>
      <w:b/>
      <w:bCs/>
    </w:rPr>
  </w:style>
  <w:style w:type="paragraph" w:styleId="26">
    <w:name w:val="Body Text First Indent 2"/>
    <w:basedOn w:val="14"/>
    <w:next w:val="27"/>
    <w:link w:val="53"/>
    <w:qFormat/>
    <w:uiPriority w:val="99"/>
    <w:pPr>
      <w:ind w:firstLine="420"/>
    </w:pPr>
  </w:style>
  <w:style w:type="paragraph" w:customStyle="1" w:styleId="27">
    <w:name w:val="xl53"/>
    <w:basedOn w:val="1"/>
    <w:next w:val="1"/>
    <w:qFormat/>
    <w:uiPriority w:val="0"/>
    <w:pPr>
      <w:spacing w:before="280" w:after="280" w:line="100" w:lineRule="exact"/>
      <w:jc w:val="center"/>
    </w:pPr>
    <w:rPr>
      <w:b/>
      <w:sz w:val="20"/>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99"/>
    <w:rPr>
      <w:rFonts w:ascii="Times New Roman" w:hAnsi="Times New Roman" w:eastAsia="宋体" w:cs="Times New Roman"/>
      <w:b/>
      <w:bCs/>
    </w:rPr>
  </w:style>
  <w:style w:type="character" w:styleId="32">
    <w:name w:val="Hyperlink"/>
    <w:qFormat/>
    <w:uiPriority w:val="99"/>
    <w:rPr>
      <w:rFonts w:ascii="Times New Roman" w:hAnsi="Times New Roman" w:eastAsia="宋体" w:cs="Times New Roman"/>
      <w:color w:val="0000FF"/>
      <w:u w:val="single"/>
    </w:rPr>
  </w:style>
  <w:style w:type="character" w:styleId="33">
    <w:name w:val="annotation reference"/>
    <w:qFormat/>
    <w:uiPriority w:val="99"/>
    <w:rPr>
      <w:rFonts w:ascii="Times New Roman" w:hAnsi="Times New Roman" w:eastAsia="宋体" w:cs="Times New Roman"/>
      <w:sz w:val="21"/>
      <w:szCs w:val="21"/>
    </w:rPr>
  </w:style>
  <w:style w:type="character" w:styleId="34">
    <w:name w:val="footnote reference"/>
    <w:qFormat/>
    <w:uiPriority w:val="99"/>
    <w:rPr>
      <w:vertAlign w:val="superscript"/>
    </w:rPr>
  </w:style>
  <w:style w:type="paragraph" w:customStyle="1" w:styleId="35">
    <w:name w:val="Default"/>
    <w:next w:val="1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6">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表格文字"/>
    <w:basedOn w:val="1"/>
    <w:next w:val="11"/>
    <w:qFormat/>
    <w:uiPriority w:val="99"/>
    <w:pPr>
      <w:adjustRightInd w:val="0"/>
      <w:spacing w:line="420" w:lineRule="atLeast"/>
      <w:jc w:val="left"/>
      <w:textAlignment w:val="baseline"/>
    </w:pPr>
    <w:rPr>
      <w:kern w:val="0"/>
    </w:rPr>
  </w:style>
  <w:style w:type="character" w:customStyle="1" w:styleId="38">
    <w:name w:val="标题 1 字符"/>
    <w:link w:val="3"/>
    <w:qFormat/>
    <w:uiPriority w:val="99"/>
    <w:rPr>
      <w:rFonts w:ascii="Times New Roman" w:hAnsi="Times New Roman" w:eastAsia="宋体" w:cs="Times New Roman"/>
      <w:b/>
      <w:bCs/>
      <w:kern w:val="44"/>
      <w:sz w:val="44"/>
      <w:szCs w:val="44"/>
    </w:rPr>
  </w:style>
  <w:style w:type="character" w:customStyle="1" w:styleId="39">
    <w:name w:val="标题 2 字符"/>
    <w:link w:val="4"/>
    <w:qFormat/>
    <w:uiPriority w:val="99"/>
    <w:rPr>
      <w:rFonts w:ascii="Cambria" w:hAnsi="Cambria" w:eastAsia="宋体" w:cs="Cambria"/>
      <w:b/>
      <w:bCs/>
      <w:sz w:val="32"/>
      <w:szCs w:val="32"/>
    </w:rPr>
  </w:style>
  <w:style w:type="character" w:customStyle="1" w:styleId="40">
    <w:name w:val="标题 3 字符"/>
    <w:link w:val="5"/>
    <w:qFormat/>
    <w:uiPriority w:val="99"/>
    <w:rPr>
      <w:rFonts w:ascii="Times New Roman" w:hAnsi="Times New Roman" w:eastAsia="宋体" w:cs="Times New Roman"/>
      <w:b/>
      <w:bCs/>
      <w:sz w:val="32"/>
      <w:szCs w:val="32"/>
    </w:rPr>
  </w:style>
  <w:style w:type="character" w:customStyle="1" w:styleId="41">
    <w:name w:val="批注文字 字符"/>
    <w:link w:val="10"/>
    <w:qFormat/>
    <w:uiPriority w:val="99"/>
    <w:rPr>
      <w:rFonts w:ascii="Times New Roman" w:hAnsi="Times New Roman" w:eastAsia="宋体" w:cs="Times New Roman"/>
      <w:kern w:val="2"/>
      <w:sz w:val="24"/>
      <w:szCs w:val="24"/>
    </w:rPr>
  </w:style>
  <w:style w:type="character" w:customStyle="1" w:styleId="42">
    <w:name w:val="正文文本 字符"/>
    <w:link w:val="11"/>
    <w:qFormat/>
    <w:uiPriority w:val="99"/>
    <w:rPr>
      <w:rFonts w:ascii="Times New Roman" w:hAnsi="Times New Roman" w:eastAsia="宋体" w:cs="Times New Roman"/>
      <w:sz w:val="24"/>
      <w:szCs w:val="24"/>
    </w:rPr>
  </w:style>
  <w:style w:type="character" w:customStyle="1" w:styleId="43">
    <w:name w:val="正文首行缩进 字符"/>
    <w:link w:val="12"/>
    <w:qFormat/>
    <w:uiPriority w:val="99"/>
    <w:rPr>
      <w:rFonts w:ascii="Times New Roman" w:hAnsi="Times New Roman" w:eastAsia="宋体" w:cs="Times New Roman"/>
      <w:sz w:val="21"/>
      <w:szCs w:val="21"/>
    </w:rPr>
  </w:style>
  <w:style w:type="character" w:customStyle="1" w:styleId="44">
    <w:name w:val="正文文本缩进 字符"/>
    <w:link w:val="14"/>
    <w:qFormat/>
    <w:uiPriority w:val="99"/>
    <w:rPr>
      <w:rFonts w:ascii="Times New Roman" w:hAnsi="Times New Roman" w:eastAsia="宋体" w:cs="Times New Roman"/>
      <w:kern w:val="2"/>
      <w:sz w:val="24"/>
      <w:szCs w:val="24"/>
    </w:rPr>
  </w:style>
  <w:style w:type="character" w:customStyle="1" w:styleId="45">
    <w:name w:val="纯文本 字符"/>
    <w:link w:val="15"/>
    <w:qFormat/>
    <w:uiPriority w:val="99"/>
    <w:rPr>
      <w:rFonts w:ascii="宋体" w:hAnsi="Courier New" w:eastAsia="宋体" w:cs="宋体"/>
      <w:sz w:val="21"/>
      <w:szCs w:val="21"/>
    </w:rPr>
  </w:style>
  <w:style w:type="character" w:customStyle="1" w:styleId="46">
    <w:name w:val="日期 字符"/>
    <w:link w:val="17"/>
    <w:qFormat/>
    <w:uiPriority w:val="99"/>
    <w:rPr>
      <w:rFonts w:ascii="Times New Roman" w:hAnsi="Times New Roman" w:eastAsia="宋体" w:cs="Times New Roman"/>
      <w:sz w:val="24"/>
      <w:szCs w:val="24"/>
    </w:rPr>
  </w:style>
  <w:style w:type="character" w:customStyle="1" w:styleId="47">
    <w:name w:val="批注框文本 字符"/>
    <w:link w:val="18"/>
    <w:qFormat/>
    <w:uiPriority w:val="99"/>
    <w:rPr>
      <w:rFonts w:ascii="Times New Roman" w:hAnsi="Times New Roman" w:eastAsia="宋体" w:cs="Times New Roman"/>
      <w:kern w:val="2"/>
      <w:sz w:val="18"/>
      <w:szCs w:val="18"/>
    </w:rPr>
  </w:style>
  <w:style w:type="character" w:customStyle="1" w:styleId="48">
    <w:name w:val="页脚 字符"/>
    <w:link w:val="19"/>
    <w:qFormat/>
    <w:uiPriority w:val="0"/>
    <w:rPr>
      <w:rFonts w:ascii="Times New Roman" w:hAnsi="Times New Roman" w:eastAsia="宋体" w:cs="Times New Roman"/>
      <w:sz w:val="18"/>
      <w:szCs w:val="18"/>
    </w:rPr>
  </w:style>
  <w:style w:type="character" w:customStyle="1" w:styleId="49">
    <w:name w:val="页眉 字符"/>
    <w:link w:val="20"/>
    <w:qFormat/>
    <w:uiPriority w:val="0"/>
    <w:rPr>
      <w:rFonts w:ascii="Times New Roman" w:hAnsi="Times New Roman" w:eastAsia="宋体" w:cs="Times New Roman"/>
      <w:sz w:val="18"/>
      <w:szCs w:val="18"/>
    </w:rPr>
  </w:style>
  <w:style w:type="character" w:customStyle="1" w:styleId="50">
    <w:name w:val="脚注文本 字符"/>
    <w:link w:val="21"/>
    <w:qFormat/>
    <w:uiPriority w:val="99"/>
    <w:rPr>
      <w:sz w:val="18"/>
      <w:szCs w:val="18"/>
    </w:rPr>
  </w:style>
  <w:style w:type="character" w:customStyle="1" w:styleId="51">
    <w:name w:val="标题 字符"/>
    <w:link w:val="24"/>
    <w:qFormat/>
    <w:uiPriority w:val="99"/>
    <w:rPr>
      <w:rFonts w:ascii="Cambria" w:hAnsi="Cambria" w:cs="Cambria"/>
      <w:b/>
      <w:bCs/>
      <w:sz w:val="32"/>
      <w:szCs w:val="32"/>
    </w:rPr>
  </w:style>
  <w:style w:type="character" w:customStyle="1" w:styleId="52">
    <w:name w:val="批注主题 字符"/>
    <w:link w:val="25"/>
    <w:qFormat/>
    <w:uiPriority w:val="99"/>
    <w:rPr>
      <w:rFonts w:ascii="Times New Roman" w:hAnsi="Times New Roman" w:eastAsia="宋体" w:cs="Times New Roman"/>
      <w:b/>
      <w:bCs/>
      <w:kern w:val="2"/>
      <w:sz w:val="24"/>
      <w:szCs w:val="24"/>
    </w:rPr>
  </w:style>
  <w:style w:type="character" w:customStyle="1" w:styleId="53">
    <w:name w:val="正文首行缩进 2 字符"/>
    <w:link w:val="26"/>
    <w:qFormat/>
    <w:uiPriority w:val="99"/>
    <w:rPr>
      <w:rFonts w:ascii="Times New Roman" w:hAnsi="Times New Roman" w:eastAsia="宋体" w:cs="Times New Roman"/>
      <w:kern w:val="2"/>
      <w:sz w:val="21"/>
      <w:szCs w:val="21"/>
    </w:rPr>
  </w:style>
  <w:style w:type="paragraph" w:customStyle="1" w:styleId="54">
    <w:name w:val="BodyText1I2"/>
    <w:basedOn w:val="55"/>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5">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6">
    <w:name w:val="正文（首行缩进2字符）"/>
    <w:basedOn w:val="1"/>
    <w:qFormat/>
    <w:uiPriority w:val="99"/>
    <w:pPr>
      <w:spacing w:line="360" w:lineRule="auto"/>
      <w:ind w:firstLine="420" w:firstLineChars="200"/>
    </w:pPr>
  </w:style>
  <w:style w:type="paragraph" w:customStyle="1" w:styleId="57">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8">
    <w:name w:val="font01"/>
    <w:basedOn w:val="30"/>
    <w:qFormat/>
    <w:uiPriority w:val="99"/>
    <w:rPr>
      <w:rFonts w:ascii="宋体" w:hAnsi="宋体" w:eastAsia="宋体" w:cs="宋体"/>
      <w:color w:val="000000"/>
      <w:sz w:val="24"/>
      <w:szCs w:val="24"/>
      <w:u w:val="none"/>
    </w:rPr>
  </w:style>
  <w:style w:type="character" w:customStyle="1" w:styleId="59">
    <w:name w:val="font11"/>
    <w:qFormat/>
    <w:uiPriority w:val="99"/>
    <w:rPr>
      <w:rFonts w:ascii="Times New Roman" w:hAnsi="Times New Roman" w:eastAsia="宋体" w:cs="Times New Roman"/>
      <w:color w:val="000000"/>
      <w:sz w:val="24"/>
      <w:szCs w:val="24"/>
      <w:u w:val="none"/>
    </w:rPr>
  </w:style>
  <w:style w:type="character" w:customStyle="1" w:styleId="60">
    <w:name w:val="font31"/>
    <w:qFormat/>
    <w:uiPriority w:val="99"/>
    <w:rPr>
      <w:rFonts w:ascii="宋体" w:hAnsi="宋体" w:eastAsia="宋体" w:cs="宋体"/>
      <w:color w:val="000000"/>
      <w:sz w:val="24"/>
      <w:szCs w:val="24"/>
      <w:u w:val="none"/>
    </w:rPr>
  </w:style>
  <w:style w:type="paragraph" w:customStyle="1" w:styleId="61">
    <w:name w:val="纯文本_3"/>
    <w:basedOn w:val="62"/>
    <w:qFormat/>
    <w:uiPriority w:val="99"/>
    <w:pPr>
      <w:widowControl/>
      <w:jc w:val="left"/>
    </w:pPr>
    <w:rPr>
      <w:rFonts w:ascii="宋体" w:hAnsi="Courier New" w:cs="宋体"/>
    </w:rPr>
  </w:style>
  <w:style w:type="paragraph" w:customStyle="1" w:styleId="62">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纯文本_0_1"/>
    <w:basedOn w:val="1"/>
    <w:qFormat/>
    <w:uiPriority w:val="99"/>
    <w:pPr>
      <w:widowControl/>
      <w:jc w:val="left"/>
    </w:pPr>
    <w:rPr>
      <w:rFonts w:ascii="宋体" w:hAnsi="Courier New" w:cs="宋体"/>
    </w:rPr>
  </w:style>
  <w:style w:type="paragraph" w:customStyle="1" w:styleId="65">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0">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1">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正文_14"/>
    <w:qFormat/>
    <w:uiPriority w:val="99"/>
    <w:rPr>
      <w:rFonts w:ascii="Times New Roman" w:hAnsi="Times New Roman" w:eastAsia="宋体" w:cs="Times New Roman"/>
      <w:sz w:val="21"/>
      <w:szCs w:val="21"/>
      <w:lang w:val="en-US" w:eastAsia="zh-CN" w:bidi="ar-SA"/>
    </w:rPr>
  </w:style>
  <w:style w:type="paragraph" w:customStyle="1" w:styleId="74">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列出段落1"/>
    <w:basedOn w:val="1"/>
    <w:qFormat/>
    <w:uiPriority w:val="99"/>
    <w:pPr>
      <w:ind w:firstLine="420" w:firstLineChars="200"/>
    </w:pPr>
    <w:rPr>
      <w:rFonts w:ascii="Calibri" w:hAnsi="Calibri" w:cs="Calibri"/>
      <w:kern w:val="0"/>
    </w:rPr>
  </w:style>
  <w:style w:type="paragraph" w:customStyle="1" w:styleId="77">
    <w:name w:val="正文2"/>
    <w:basedOn w:val="1"/>
    <w:qFormat/>
    <w:uiPriority w:val="99"/>
    <w:pPr>
      <w:spacing w:before="156" w:line="360" w:lineRule="auto"/>
      <w:ind w:firstLine="510" w:firstLineChars="200"/>
    </w:pPr>
    <w:rPr>
      <w:sz w:val="24"/>
      <w:szCs w:val="24"/>
    </w:rPr>
  </w:style>
  <w:style w:type="paragraph" w:customStyle="1" w:styleId="78">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9">
    <w:name w:val="列出段落2"/>
    <w:basedOn w:val="1"/>
    <w:qFormat/>
    <w:uiPriority w:val="99"/>
    <w:pPr>
      <w:ind w:firstLine="420" w:firstLineChars="200"/>
    </w:pPr>
    <w:rPr>
      <w:rFonts w:ascii="Calibri" w:hAnsi="Calibri" w:cs="Calibri"/>
    </w:rPr>
  </w:style>
  <w:style w:type="paragraph" w:customStyle="1" w:styleId="80">
    <w:name w:val="正文段"/>
    <w:basedOn w:val="1"/>
    <w:qFormat/>
    <w:uiPriority w:val="99"/>
    <w:pPr>
      <w:widowControl/>
      <w:snapToGrid w:val="0"/>
      <w:spacing w:afterLines="50"/>
      <w:ind w:firstLine="200" w:firstLineChars="200"/>
    </w:pPr>
    <w:rPr>
      <w:kern w:val="0"/>
      <w:sz w:val="24"/>
      <w:szCs w:val="24"/>
    </w:rPr>
  </w:style>
  <w:style w:type="paragraph" w:customStyle="1" w:styleId="81">
    <w:name w:val="p0"/>
    <w:basedOn w:val="1"/>
    <w:qFormat/>
    <w:uiPriority w:val="99"/>
    <w:pPr>
      <w:widowControl/>
    </w:pPr>
    <w:rPr>
      <w:kern w:val="0"/>
    </w:rPr>
  </w:style>
  <w:style w:type="paragraph" w:customStyle="1" w:styleId="82">
    <w:name w:val="列表段落1"/>
    <w:basedOn w:val="1"/>
    <w:qFormat/>
    <w:uiPriority w:val="99"/>
    <w:pPr>
      <w:ind w:firstLine="420" w:firstLineChars="200"/>
    </w:pPr>
    <w:rPr>
      <w:rFonts w:ascii="Calibri" w:hAnsi="Calibri" w:cs="Calibri"/>
    </w:rPr>
  </w:style>
  <w:style w:type="paragraph" w:customStyle="1" w:styleId="83">
    <w:name w:val="Plain Text1"/>
    <w:basedOn w:val="1"/>
    <w:qFormat/>
    <w:uiPriority w:val="99"/>
    <w:rPr>
      <w:rFonts w:ascii="宋体" w:hAnsi="Courier New" w:cs="宋体"/>
    </w:rPr>
  </w:style>
  <w:style w:type="paragraph" w:customStyle="1" w:styleId="84">
    <w:name w:val="列出段落3"/>
    <w:next w:val="85"/>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5">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6">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7">
    <w:name w:val="font121"/>
    <w:qFormat/>
    <w:uiPriority w:val="99"/>
    <w:rPr>
      <w:rFonts w:ascii="宋体" w:eastAsia="宋体" w:cs="宋体"/>
      <w:color w:val="000000"/>
      <w:sz w:val="22"/>
      <w:szCs w:val="22"/>
      <w:u w:val="none"/>
    </w:rPr>
  </w:style>
  <w:style w:type="paragraph" w:styleId="88">
    <w:name w:val="List Paragraph"/>
    <w:basedOn w:val="1"/>
    <w:qFormat/>
    <w:uiPriority w:val="34"/>
    <w:pPr>
      <w:ind w:firstLine="420" w:firstLineChars="200"/>
    </w:pPr>
    <w:rPr>
      <w:rFonts w:ascii="Calibri" w:hAnsi="Calibri"/>
      <w:szCs w:val="22"/>
    </w:rPr>
  </w:style>
  <w:style w:type="character" w:customStyle="1" w:styleId="89">
    <w:name w:val="font51"/>
    <w:basedOn w:val="30"/>
    <w:qFormat/>
    <w:uiPriority w:val="0"/>
    <w:rPr>
      <w:rFonts w:hint="eastAsia" w:ascii="宋体" w:hAnsi="宋体" w:eastAsia="宋体" w:cs="宋体"/>
      <w:color w:val="000000"/>
      <w:sz w:val="21"/>
      <w:szCs w:val="21"/>
      <w:u w:val="none"/>
    </w:rPr>
  </w:style>
  <w:style w:type="character" w:customStyle="1" w:styleId="90">
    <w:name w:val="font81"/>
    <w:basedOn w:val="30"/>
    <w:qFormat/>
    <w:uiPriority w:val="0"/>
    <w:rPr>
      <w:rFonts w:hint="eastAsia" w:ascii="宋体" w:hAnsi="宋体" w:eastAsia="宋体" w:cs="宋体"/>
      <w:b/>
      <w:bCs/>
      <w:color w:val="000000"/>
      <w:sz w:val="21"/>
      <w:szCs w:val="21"/>
      <w:u w:val="none"/>
    </w:rPr>
  </w:style>
  <w:style w:type="character" w:customStyle="1" w:styleId="91">
    <w:name w:val="font91"/>
    <w:basedOn w:val="30"/>
    <w:qFormat/>
    <w:uiPriority w:val="0"/>
    <w:rPr>
      <w:rFonts w:hint="eastAsia" w:ascii="宋体" w:hAnsi="宋体" w:eastAsia="宋体" w:cs="宋体"/>
      <w:color w:val="000000"/>
      <w:sz w:val="21"/>
      <w:szCs w:val="21"/>
      <w:u w:val="none"/>
    </w:rPr>
  </w:style>
  <w:style w:type="character" w:customStyle="1" w:styleId="92">
    <w:name w:val="font41"/>
    <w:basedOn w:val="30"/>
    <w:qFormat/>
    <w:uiPriority w:val="0"/>
    <w:rPr>
      <w:rFonts w:hint="eastAsia" w:ascii="宋体" w:hAnsi="宋体" w:eastAsia="宋体" w:cs="宋体"/>
      <w:color w:val="FF0000"/>
      <w:sz w:val="21"/>
      <w:szCs w:val="21"/>
      <w:u w:val="none"/>
    </w:rPr>
  </w:style>
  <w:style w:type="character" w:customStyle="1" w:styleId="93">
    <w:name w:val="font71"/>
    <w:basedOn w:val="30"/>
    <w:qFormat/>
    <w:uiPriority w:val="0"/>
    <w:rPr>
      <w:rFonts w:hint="eastAsia" w:ascii="宋体" w:hAnsi="宋体" w:eastAsia="宋体" w:cs="宋体"/>
      <w:color w:val="000000"/>
      <w:sz w:val="24"/>
      <w:szCs w:val="24"/>
      <w:u w:val="none"/>
    </w:rPr>
  </w:style>
  <w:style w:type="paragraph" w:customStyle="1" w:styleId="94">
    <w:name w:val="_Style 6"/>
    <w:basedOn w:val="1"/>
    <w:qFormat/>
    <w:uiPriority w:val="0"/>
    <w:rPr>
      <w:sz w:val="24"/>
    </w:rPr>
  </w:style>
  <w:style w:type="character" w:customStyle="1" w:styleId="95">
    <w:name w:val="文档结构图 字符"/>
    <w:basedOn w:val="30"/>
    <w:link w:val="9"/>
    <w:qFormat/>
    <w:uiPriority w:val="0"/>
    <w:rPr>
      <w:rFonts w:ascii="宋体"/>
      <w:kern w:val="2"/>
      <w:sz w:val="18"/>
      <w:szCs w:val="18"/>
    </w:rPr>
  </w:style>
  <w:style w:type="character" w:customStyle="1" w:styleId="96">
    <w:name w:val="font21"/>
    <w:basedOn w:val="3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68</Pages>
  <Words>31075</Words>
  <Characters>33458</Characters>
  <Lines>1765</Lines>
  <Paragraphs>497</Paragraphs>
  <TotalTime>0</TotalTime>
  <ScaleCrop>false</ScaleCrop>
  <LinksUpToDate>false</LinksUpToDate>
  <CharactersWithSpaces>34241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2022-11-06T08:34:00Z</dcterms:created>
  <dc:creator>S-mile</dc:creator>
  <cp:lastModifiedBy>弄白白白</cp:lastModifiedBy>
  <cp:lastPrinted>2020-05-13T09:08:00Z</cp:lastPrinted>
  <dcterms:modified xsi:type="dcterms:W3CDTF">2022-11-16T01:56:32Z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99DAA27355284090BE73F409BDDF2DB1</vt:lpwstr>
  </property>
</Properties>
</file>