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header+xml" PartName="/word/header10.xml"/>
  <Override ContentType="application/vnd.openxmlformats-officedocument.wordprocessingml.header+xml" PartName="/word/header1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color w:val="auto"/>
          <w:sz w:val="24"/>
          <w:highlight w:val="none"/>
        </w:rPr>
      </w:pPr>
      <w:bookmarkStart w:id="525" w:name="_GoBack"/>
      <w:bookmarkEnd w:id="525"/>
    </w:p>
    <w:p>
      <w:pPr>
        <w:spacing w:line="360" w:lineRule="auto"/>
        <w:jc w:val="center"/>
        <w:rPr>
          <w:rFonts w:hint="eastAsia" w:ascii="仿宋" w:hAnsi="仿宋" w:eastAsia="仿宋" w:cs="仿宋"/>
          <w:b/>
          <w:color w:val="auto"/>
          <w:sz w:val="24"/>
          <w:highlight w:val="none"/>
        </w:rPr>
      </w:pPr>
    </w:p>
    <w:p>
      <w:pPr>
        <w:adjustRightInd/>
        <w:spacing w:line="360" w:lineRule="auto"/>
        <w:jc w:val="center"/>
        <w:rPr>
          <w:rFonts w:hint="eastAsia" w:ascii="仿宋" w:hAnsi="仿宋" w:eastAsia="仿宋" w:cs="仿宋"/>
          <w:b/>
          <w:color w:val="auto"/>
          <w:sz w:val="44"/>
          <w:szCs w:val="44"/>
          <w:highlight w:val="none"/>
        </w:rPr>
      </w:pPr>
    </w:p>
    <w:p>
      <w:pPr>
        <w:spacing w:line="360" w:lineRule="auto"/>
        <w:jc w:val="center"/>
        <w:rPr>
          <w:rFonts w:hint="eastAsia" w:ascii="仿宋" w:hAnsi="仿宋" w:eastAsia="仿宋" w:cs="仿宋"/>
          <w:b/>
          <w:color w:val="auto"/>
          <w:sz w:val="44"/>
          <w:szCs w:val="44"/>
          <w:highlight w:val="none"/>
        </w:rPr>
      </w:pPr>
    </w:p>
    <w:p>
      <w:pPr>
        <w:adjustRightInd/>
        <w:spacing w:line="360" w:lineRule="auto"/>
        <w:jc w:val="center"/>
        <w:rPr>
          <w:rFonts w:hint="eastAsia" w:ascii="仿宋" w:hAnsi="仿宋" w:eastAsia="仿宋" w:cs="仿宋"/>
          <w:b/>
          <w:color w:val="auto"/>
          <w:sz w:val="48"/>
          <w:szCs w:val="48"/>
          <w:highlight w:val="none"/>
        </w:rPr>
      </w:pPr>
    </w:p>
    <w:p>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杭州市拱墅区人民政府长庆街道办事处</w:t>
      </w:r>
    </w:p>
    <w:p>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城市综合管理保安服务采购项目</w:t>
      </w:r>
    </w:p>
    <w:p>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招标文件</w:t>
      </w:r>
    </w:p>
    <w:p>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eastAsia="zh-CN"/>
        </w:rPr>
        <w:t>项目</w:t>
      </w: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eastAsia="zh-CN"/>
        </w:rPr>
        <w:t>ZJWS2023-CQJD05</w:t>
      </w:r>
    </w:p>
    <w:p>
      <w:pPr>
        <w:adjustRightInd/>
        <w:spacing w:line="360" w:lineRule="auto"/>
        <w:rPr>
          <w:rFonts w:hint="eastAsia" w:ascii="仿宋" w:hAnsi="仿宋" w:eastAsia="仿宋" w:cs="仿宋"/>
          <w:color w:val="auto"/>
          <w:sz w:val="28"/>
          <w:szCs w:val="20"/>
          <w:highlight w:val="none"/>
        </w:rPr>
      </w:pPr>
    </w:p>
    <w:p>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spacing w:line="360" w:lineRule="auto"/>
        <w:jc w:val="center"/>
        <w:rPr>
          <w:rFonts w:hint="eastAsia" w:ascii="仿宋" w:hAnsi="仿宋" w:eastAsia="仿宋" w:cs="仿宋"/>
          <w:b/>
          <w:color w:val="auto"/>
          <w:sz w:val="44"/>
          <w:szCs w:val="44"/>
          <w:highlight w:val="none"/>
        </w:rPr>
      </w:pPr>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32"/>
          <w:szCs w:val="32"/>
          <w:highlight w:val="none"/>
        </w:rPr>
      </w:pPr>
    </w:p>
    <w:p>
      <w:pPr>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杭州市拱墅区人民政府长庆街道办事处</w:t>
      </w:r>
    </w:p>
    <w:p>
      <w:pPr>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浙江五石中正工程咨询有限公司</w:t>
      </w:r>
    </w:p>
    <w:p>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二〇二三年</w:t>
      </w:r>
      <w:r>
        <w:rPr>
          <w:rFonts w:hint="eastAsia" w:ascii="仿宋" w:hAnsi="仿宋" w:eastAsia="仿宋" w:cs="仿宋"/>
          <w:bCs/>
          <w:color w:val="auto"/>
          <w:sz w:val="32"/>
          <w:szCs w:val="32"/>
          <w:highlight w:val="none"/>
          <w:lang w:eastAsia="zh-CN"/>
        </w:rPr>
        <w:t>十</w:t>
      </w:r>
      <w:r>
        <w:rPr>
          <w:rFonts w:hint="eastAsia" w:ascii="仿宋" w:hAnsi="仿宋" w:eastAsia="仿宋" w:cs="仿宋"/>
          <w:bCs/>
          <w:color w:val="auto"/>
          <w:sz w:val="32"/>
          <w:szCs w:val="32"/>
          <w:highlight w:val="none"/>
        </w:rPr>
        <w:t>月</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pPr>
        <w:pStyle w:val="639"/>
        <w:outlineLvl w:val="9"/>
        <w:rPr>
          <w:rFonts w:hint="eastAsia" w:ascii="仿宋" w:hAnsi="仿宋" w:eastAsia="仿宋" w:cs="仿宋"/>
          <w:color w:val="auto"/>
          <w:highlight w:val="none"/>
        </w:rPr>
      </w:pPr>
    </w:p>
    <w:p>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pPr>
        <w:spacing w:line="360" w:lineRule="auto"/>
        <w:rPr>
          <w:rFonts w:hint="eastAsia" w:ascii="仿宋" w:hAnsi="仿宋" w:eastAsia="仿宋" w:cs="仿宋"/>
          <w:color w:val="auto"/>
          <w:sz w:val="32"/>
          <w:szCs w:val="32"/>
          <w:highlight w:val="none"/>
        </w:rPr>
      </w:pPr>
    </w:p>
    <w:p>
      <w:pPr>
        <w:spacing w:line="360" w:lineRule="auto"/>
        <w:rPr>
          <w:rFonts w:hint="eastAsia" w:ascii="仿宋" w:hAnsi="仿宋" w:eastAsia="仿宋" w:cs="仿宋"/>
          <w:color w:val="auto"/>
          <w:sz w:val="32"/>
          <w:szCs w:val="32"/>
          <w:highlight w:val="none"/>
        </w:rPr>
      </w:pP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Style w:val="76"/>
          <w:rFonts w:hint="eastAsia" w:ascii="仿宋" w:hAnsi="仿宋" w:eastAsia="仿宋" w:cs="仿宋"/>
          <w:snapToGrid/>
          <w:color w:val="auto"/>
          <w:kern w:val="2"/>
          <w:sz w:val="24"/>
          <w:szCs w:val="24"/>
          <w:highlight w:val="none"/>
          <w:u w:val="single"/>
        </w:rPr>
        <w:t>杭州市拱墅区人民政府长庆街道办事处城市综合管理保安服务采购项目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"https://www.zcygov.cn/）获取（下载）招标文件，并于2023年%20月%20日%20点%20分00秒"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Style w:val="76"/>
          <w:rFonts w:hint="eastAsia" w:ascii="仿宋" w:hAnsi="仿宋" w:eastAsia="仿宋" w:cs="仿宋"/>
          <w:snapToGrid/>
          <w:color w:val="auto"/>
          <w:kern w:val="2"/>
          <w:sz w:val="24"/>
          <w:szCs w:val="24"/>
          <w:highlight w:val="none"/>
          <w:u w:val="single"/>
        </w:rPr>
        <w:t>2023年</w:t>
      </w:r>
      <w:r>
        <w:rPr>
          <w:rStyle w:val="76"/>
          <w:rFonts w:hint="eastAsia" w:ascii="仿宋" w:hAnsi="仿宋" w:eastAsia="仿宋" w:cs="仿宋"/>
          <w:snapToGrid/>
          <w:color w:val="auto"/>
          <w:kern w:val="2"/>
          <w:sz w:val="24"/>
          <w:szCs w:val="24"/>
          <w:highlight w:val="none"/>
          <w:u w:val="single"/>
          <w:lang w:val="en-US" w:eastAsia="zh-CN"/>
        </w:rPr>
        <w:t>11</w:t>
      </w:r>
      <w:r>
        <w:rPr>
          <w:rStyle w:val="76"/>
          <w:rFonts w:hint="eastAsia" w:ascii="仿宋" w:hAnsi="仿宋" w:eastAsia="仿宋" w:cs="仿宋"/>
          <w:snapToGrid/>
          <w:color w:val="auto"/>
          <w:kern w:val="2"/>
          <w:sz w:val="24"/>
          <w:szCs w:val="24"/>
          <w:highlight w:val="none"/>
          <w:u w:val="single"/>
        </w:rPr>
        <w:t>月</w:t>
      </w:r>
      <w:r>
        <w:rPr>
          <w:rStyle w:val="76"/>
          <w:rFonts w:hint="eastAsia" w:ascii="仿宋" w:hAnsi="仿宋" w:eastAsia="仿宋" w:cs="仿宋"/>
          <w:snapToGrid/>
          <w:color w:val="auto"/>
          <w:kern w:val="2"/>
          <w:sz w:val="24"/>
          <w:szCs w:val="24"/>
          <w:highlight w:val="none"/>
          <w:u w:val="single"/>
          <w:lang w:val="en-US" w:eastAsia="zh-CN"/>
        </w:rPr>
        <w:t>9</w:t>
      </w:r>
      <w:r>
        <w:rPr>
          <w:rStyle w:val="76"/>
          <w:rFonts w:hint="eastAsia" w:ascii="仿宋" w:hAnsi="仿宋" w:eastAsia="仿宋" w:cs="仿宋"/>
          <w:snapToGrid/>
          <w:color w:val="auto"/>
          <w:kern w:val="2"/>
          <w:sz w:val="24"/>
          <w:szCs w:val="24"/>
          <w:highlight w:val="none"/>
          <w:u w:val="single"/>
        </w:rPr>
        <w:t>日</w:t>
      </w:r>
      <w:r>
        <w:rPr>
          <w:rStyle w:val="76"/>
          <w:rFonts w:hint="eastAsia" w:ascii="仿宋" w:hAnsi="仿宋" w:eastAsia="仿宋" w:cs="仿宋"/>
          <w:snapToGrid/>
          <w:color w:val="auto"/>
          <w:kern w:val="2"/>
          <w:sz w:val="24"/>
          <w:szCs w:val="24"/>
          <w:highlight w:val="none"/>
          <w:u w:val="single"/>
          <w:lang w:val="en-US" w:eastAsia="zh-CN"/>
        </w:rPr>
        <w:t>13</w:t>
      </w:r>
      <w:r>
        <w:rPr>
          <w:rStyle w:val="76"/>
          <w:rFonts w:hint="eastAsia" w:ascii="仿宋" w:hAnsi="仿宋" w:eastAsia="仿宋" w:cs="仿宋"/>
          <w:snapToGrid/>
          <w:color w:val="auto"/>
          <w:kern w:val="2"/>
          <w:sz w:val="24"/>
          <w:szCs w:val="24"/>
          <w:highlight w:val="none"/>
          <w:u w:val="single"/>
        </w:rPr>
        <w:t>点</w:t>
      </w:r>
      <w:r>
        <w:rPr>
          <w:rStyle w:val="76"/>
          <w:rFonts w:hint="eastAsia" w:ascii="仿宋" w:hAnsi="仿宋" w:eastAsia="仿宋" w:cs="仿宋"/>
          <w:snapToGrid/>
          <w:color w:val="auto"/>
          <w:kern w:val="2"/>
          <w:sz w:val="24"/>
          <w:szCs w:val="24"/>
          <w:highlight w:val="none"/>
          <w:u w:val="single"/>
          <w:lang w:val="en-US" w:eastAsia="zh-CN"/>
        </w:rPr>
        <w:t>30</w:t>
      </w:r>
      <w:r>
        <w:rPr>
          <w:rStyle w:val="76"/>
          <w:rFonts w:hint="eastAsia" w:ascii="仿宋" w:hAnsi="仿宋" w:eastAsia="仿宋" w:cs="仿宋"/>
          <w:snapToGrid/>
          <w:color w:val="auto"/>
          <w:kern w:val="2"/>
          <w:sz w:val="24"/>
          <w:szCs w:val="24"/>
          <w:highlight w:val="none"/>
          <w:u w:val="single"/>
        </w:rPr>
        <w:t>分</w:t>
      </w:r>
      <w:r>
        <w:rPr>
          <w:rStyle w:val="76"/>
          <w:rFonts w:hint="eastAsia" w:ascii="仿宋" w:hAnsi="仿宋" w:eastAsia="仿宋" w:cs="仿宋"/>
          <w:bCs/>
          <w:snapToGrid/>
          <w:color w:val="auto"/>
          <w:kern w:val="2"/>
          <w:sz w:val="24"/>
          <w:szCs w:val="24"/>
          <w:highlight w:val="none"/>
          <w:u w:val="single"/>
        </w:rPr>
        <w:t>00秒</w:t>
      </w:r>
      <w:r>
        <w:rPr>
          <w:rStyle w:val="76"/>
          <w:rFonts w:hint="eastAsia" w:ascii="仿宋" w:hAnsi="仿宋" w:eastAsia="仿宋" w:cs="仿宋"/>
          <w:bCs/>
          <w:snapToGrid/>
          <w:color w:val="auto"/>
          <w:kern w:val="2"/>
          <w:sz w:val="24"/>
          <w:szCs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pPr>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ZJWS2023-CQJD05</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rPr>
        <w:t>杭州市拱墅区人民政府长庆街道办事处城市综合管理保安服务采购项目</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color w:val="auto"/>
          <w:sz w:val="24"/>
          <w:highlight w:val="none"/>
        </w:rPr>
        <w:t>3104000</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color w:val="auto"/>
          <w:sz w:val="24"/>
          <w:highlight w:val="none"/>
        </w:rPr>
        <w:t>3104000</w:t>
      </w:r>
    </w:p>
    <w:p>
      <w:pPr>
        <w:pStyle w:val="5"/>
        <w:spacing w:line="360" w:lineRule="auto"/>
        <w:ind w:left="479" w:leftChars="228" w:firstLine="0" w:firstLineChars="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rPr>
        <w:t>杭州市拱墅区人民政府长庆街道办事处城市综合管理保安服务采购项目</w:t>
      </w:r>
      <w:r>
        <w:rPr>
          <w:rFonts w:hint="eastAsia" w:ascii="仿宋" w:hAnsi="仿宋" w:eastAsia="仿宋" w:cs="仿宋"/>
          <w:b/>
          <w:color w:val="auto"/>
          <w:sz w:val="24"/>
          <w:highlight w:val="none"/>
        </w:rPr>
        <w:t>主要内容</w:t>
      </w:r>
      <w:r>
        <w:rPr>
          <w:rFonts w:hint="eastAsia" w:ascii="仿宋" w:hAnsi="仿宋" w:eastAsia="仿宋" w:cs="仿宋"/>
          <w:bCs/>
          <w:snapToGrid/>
          <w:color w:val="auto"/>
          <w:kern w:val="2"/>
          <w:sz w:val="24"/>
          <w:szCs w:val="24"/>
          <w:highlight w:val="none"/>
        </w:rPr>
        <w:t>：为全面提升辖区综合环境面貌，综合治理各类社会城市管理问题，及时应对处置突发状况，加强街道城市综合管理力量，落实迎亚运执法保障。前期街道通过政府购买服务的形式，聘请专业保安队伍进行街面保序管理工作，共计62岗。</w:t>
      </w:r>
      <w:r>
        <w:rPr>
          <w:rFonts w:hint="eastAsia" w:ascii="仿宋" w:hAnsi="仿宋" w:eastAsia="仿宋" w:cs="仿宋"/>
          <w:snapToGrid/>
          <w:color w:val="auto"/>
          <w:kern w:val="2"/>
          <w:sz w:val="24"/>
          <w:szCs w:val="24"/>
          <w:highlight w:val="none"/>
        </w:rPr>
        <w:t>具体以招标文件第三部分采购需求为准，供应商可点击本公告下方“浏览采购文件”查看采购需求。</w:t>
      </w:r>
    </w:p>
    <w:p>
      <w:pPr>
        <w:spacing w:line="360" w:lineRule="auto"/>
        <w:ind w:firstLine="48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合同履约期限：</w:t>
      </w:r>
      <w:r>
        <w:rPr>
          <w:rFonts w:hint="eastAsia" w:ascii="仿宋" w:hAnsi="仿宋" w:eastAsia="仿宋" w:cs="仿宋"/>
          <w:bCs/>
          <w:color w:val="auto"/>
          <w:sz w:val="24"/>
          <w:highlight w:val="none"/>
        </w:rPr>
        <w:t>自合同签订之日起一年</w:t>
      </w:r>
      <w:r>
        <w:rPr>
          <w:rFonts w:hint="eastAsia" w:ascii="仿宋" w:hAnsi="仿宋" w:eastAsia="仿宋" w:cs="仿宋"/>
          <w:b/>
          <w:color w:val="auto"/>
          <w:sz w:val="24"/>
          <w:highlight w:val="none"/>
        </w:rPr>
        <w:t xml:space="preserve">。 </w:t>
      </w:r>
    </w:p>
    <w:p>
      <w:pPr>
        <w:pStyle w:val="5"/>
        <w:spacing w:line="360" w:lineRule="auto"/>
        <w:ind w:firstLine="480"/>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sym w:font="Wingdings" w:char="F0FE"/>
      </w:r>
      <w:r>
        <w:rPr>
          <w:rFonts w:hint="eastAsia" w:ascii="仿宋" w:hAnsi="仿宋" w:eastAsia="仿宋" w:cs="仿宋"/>
          <w:b/>
          <w:color w:val="auto"/>
          <w:sz w:val="24"/>
          <w:highlight w:val="none"/>
        </w:rPr>
        <w:t>是；</w:t>
      </w:r>
      <w:r>
        <w:rPr>
          <w:rFonts w:hint="eastAsia" w:ascii="仿宋" w:hAnsi="仿宋" w:eastAsia="仿宋" w:cs="仿宋"/>
          <w:color w:val="auto"/>
          <w:kern w:val="0"/>
          <w:sz w:val="24"/>
          <w:highlight w:val="none"/>
        </w:rPr>
        <w:t>☐</w:t>
      </w:r>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pPr>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pPr>
        <w:spacing w:line="360" w:lineRule="auto"/>
        <w:ind w:firstLine="480" w:firstLineChars="200"/>
        <w:rPr>
          <w:rFonts w:hint="eastAsia" w:ascii="仿宋" w:hAnsi="仿宋" w:eastAsia="仿宋" w:cs="仿宋"/>
          <w:color w:val="auto"/>
          <w:sz w:val="24"/>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pPr>
        <w:spacing w:line="360" w:lineRule="auto"/>
        <w:ind w:firstLine="480" w:firstLineChars="200"/>
        <w:rPr>
          <w:rFonts w:hint="eastAsia" w:ascii="仿宋" w:hAnsi="仿宋" w:eastAsia="仿宋" w:cs="仿宋"/>
          <w:color w:val="auto"/>
          <w:sz w:val="24"/>
          <w:highlight w:val="none"/>
        </w:rPr>
      </w:pPr>
      <w:r>
        <w:rPr>
          <w:rFonts w:hint="eastAsia" w:ascii="Wingdings" w:hAnsi="Wingdings" w:eastAsia="仿宋" w:cs="仿宋"/>
          <w:color w:val="auto"/>
          <w:kern w:val="0"/>
          <w:sz w:val="24"/>
          <w:szCs w:val="24"/>
          <w:highlight w:val="none"/>
          <w:lang w:val="en-US" w:eastAsia="zh-CN" w:bidi="ar-SA"/>
        </w:rPr>
        <w:t>þ</w:t>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spacing w:line="360" w:lineRule="auto"/>
        <w:ind w:firstLine="897" w:firstLineChars="374"/>
        <w:rPr>
          <w:rFonts w:hint="eastAsia" w:ascii="仿宋" w:hAnsi="仿宋" w:eastAsia="仿宋" w:cs="仿宋"/>
          <w:color w:val="auto"/>
          <w:sz w:val="24"/>
          <w:highlight w:val="none"/>
        </w:rPr>
      </w:pPr>
      <w:r>
        <w:rPr>
          <w:rFonts w:hint="eastAsia" w:ascii="Wingdings" w:hAnsi="Wingdings" w:eastAsia="仿宋" w:cs="仿宋"/>
          <w:color w:val="auto"/>
          <w:kern w:val="0"/>
          <w:sz w:val="24"/>
          <w:szCs w:val="24"/>
          <w:highlight w:val="none"/>
          <w:lang w:val="en-US" w:eastAsia="zh-CN" w:bidi="ar-SA"/>
        </w:rPr>
        <w:t>þ</w:t>
      </w:r>
      <w:r>
        <w:rPr>
          <w:rFonts w:hint="eastAsia" w:ascii="仿宋" w:hAnsi="仿宋" w:eastAsia="仿宋" w:cs="仿宋"/>
          <w:color w:val="auto"/>
          <w:sz w:val="24"/>
          <w:highlight w:val="none"/>
        </w:rPr>
        <w:t>服务全部由符合政策要求的中小企业承接，提供中小企业声明函；</w:t>
      </w:r>
    </w:p>
    <w:p>
      <w:pPr>
        <w:spacing w:line="360" w:lineRule="auto"/>
        <w:ind w:firstLine="897" w:firstLineChars="374"/>
        <w:rPr>
          <w:rFonts w:hint="eastAsia" w:ascii="仿宋" w:hAnsi="仿宋" w:eastAsia="仿宋" w:cs="仿宋"/>
          <w:color w:val="auto"/>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服务全部由符合政策要求的小微企业承接，提供中小企业声明函；</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pPr>
        <w:snapToGrid w:val="0"/>
        <w:spacing w:line="360" w:lineRule="auto"/>
        <w:ind w:firstLine="480" w:firstLineChars="200"/>
        <w:rPr>
          <w:rFonts w:hint="eastAsia" w:ascii="仿宋" w:hAnsi="仿宋" w:eastAsia="仿宋" w:cs="仿宋"/>
          <w:color w:val="auto"/>
          <w:spacing w:val="8"/>
          <w:kern w:val="0"/>
          <w:sz w:val="24"/>
          <w:highlight w:val="none"/>
          <w:lang w:eastAsia="zh-CN"/>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pacing w:val="8"/>
          <w:kern w:val="0"/>
          <w:sz w:val="24"/>
          <w:highlight w:val="none"/>
        </w:rPr>
        <w:t>无</w:t>
      </w:r>
      <w:r>
        <w:rPr>
          <w:rFonts w:hint="eastAsia" w:ascii="仿宋" w:hAnsi="仿宋" w:eastAsia="仿宋" w:cs="仿宋"/>
          <w:color w:val="auto"/>
          <w:spacing w:val="8"/>
          <w:kern w:val="0"/>
          <w:sz w:val="24"/>
          <w:highlight w:val="none"/>
          <w:lang w:eastAsia="zh-CN"/>
        </w:rPr>
        <w:t>。</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2023年</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2023年</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13</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color w:val="auto"/>
          <w:sz w:val="24"/>
          <w:highlight w:val="none"/>
        </w:rPr>
        <w:t>（北京时间）</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2023年</w:t>
      </w:r>
      <w:r>
        <w:rPr>
          <w:rFonts w:hint="eastAsia" w:ascii="仿宋" w:hAnsi="仿宋" w:eastAsia="仿宋" w:cs="仿宋"/>
          <w:color w:val="auto"/>
          <w:sz w:val="24"/>
          <w:highlight w:val="none"/>
          <w:u w:val="single"/>
          <w:lang w:val="en-US" w:eastAsia="zh-CN"/>
        </w:rPr>
        <w:t>11</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13</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（以公告发布的开标截止时间为准）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pPr>
        <w:spacing w:line="360" w:lineRule="auto"/>
        <w:outlineLvl w:val="1"/>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pPr>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称：杭州市拱墅区人民政府长庆街道办事处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 柳营巷22号      </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  谈工</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 0571-81999232</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质疑联系人：吴工                    </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 0571-86507013</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浙江五石中正工程咨询有限公司</w:t>
      </w:r>
      <w:r>
        <w:rPr>
          <w:rFonts w:hint="eastAsia" w:ascii="仿宋" w:hAnsi="仿宋" w:eastAsia="仿宋" w:cs="仿宋"/>
          <w:color w:val="auto"/>
          <w:sz w:val="24"/>
          <w:highlight w:val="none"/>
        </w:rPr>
        <w:t xml:space="preserve">  </w:t>
      </w:r>
    </w:p>
    <w:p>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杭州市拱墅区白石巷</w:t>
      </w:r>
      <w:r>
        <w:rPr>
          <w:rFonts w:hint="eastAsia" w:ascii="仿宋" w:hAnsi="仿宋" w:eastAsia="仿宋" w:cs="仿宋"/>
          <w:color w:val="auto"/>
          <w:sz w:val="24"/>
          <w:highlight w:val="none"/>
          <w:lang w:val="en-US" w:eastAsia="zh-CN"/>
        </w:rPr>
        <w:t>318号北楼512室</w:t>
      </w:r>
    </w:p>
    <w:p>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传    真：</w:t>
      </w:r>
      <w:r>
        <w:rPr>
          <w:rFonts w:hint="eastAsia" w:ascii="仿宋" w:hAnsi="仿宋" w:eastAsia="仿宋" w:cs="仿宋"/>
          <w:color w:val="auto"/>
          <w:sz w:val="24"/>
          <w:highlight w:val="none"/>
          <w:lang w:val="en-US" w:eastAsia="zh-CN"/>
        </w:rPr>
        <w:t>0571-85342190</w:t>
      </w:r>
    </w:p>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项目联系人（询问）：</w:t>
      </w:r>
      <w:r>
        <w:rPr>
          <w:rFonts w:hint="eastAsia" w:ascii="仿宋" w:hAnsi="仿宋" w:eastAsia="仿宋" w:cs="仿宋"/>
          <w:color w:val="auto"/>
          <w:sz w:val="24"/>
          <w:highlight w:val="none"/>
          <w:lang w:eastAsia="zh-CN"/>
        </w:rPr>
        <w:t>高琳、韩涛</w:t>
      </w:r>
    </w:p>
    <w:p>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0571-85334203、85061967</w:t>
      </w:r>
    </w:p>
    <w:p>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eastAsia="zh-CN"/>
        </w:rPr>
        <w:t>王雪莲</w:t>
      </w:r>
    </w:p>
    <w:p>
      <w:pPr>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质疑联系方式：0571-</w:t>
      </w:r>
      <w:r>
        <w:rPr>
          <w:rFonts w:hint="eastAsia" w:ascii="仿宋" w:hAnsi="仿宋" w:eastAsia="仿宋" w:cs="仿宋"/>
          <w:color w:val="auto"/>
          <w:sz w:val="24"/>
          <w:highlight w:val="none"/>
          <w:lang w:val="en-US" w:eastAsia="zh-CN"/>
        </w:rPr>
        <w:t>88271621</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称：杭州市拱墅区财政局政府采购监管处/浙江省政府采购行政裁决服务中心（杭州）</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址：杭州市上城区四季青街道新业路市民之家G03办公室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联系人：朱女士、王女士</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监督投诉电话：电话：0571-85252453</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政策咨询：彭先生：0571-89505676  </w:t>
      </w:r>
    </w:p>
    <w:p>
      <w:pPr>
        <w:pStyle w:val="112"/>
        <w:rPr>
          <w:rFonts w:hint="eastAsia" w:ascii="仿宋" w:hAnsi="仿宋" w:eastAsia="仿宋" w:cs="仿宋"/>
          <w:color w:val="auto"/>
          <w:sz w:val="24"/>
          <w:highlight w:val="none"/>
        </w:rPr>
      </w:pPr>
    </w:p>
    <w:p>
      <w:pPr>
        <w:pStyle w:val="113"/>
        <w:rPr>
          <w:rFonts w:hint="eastAsia" w:ascii="仿宋" w:hAnsi="仿宋" w:eastAsia="仿宋" w:cs="仿宋"/>
          <w:color w:val="auto"/>
          <w:highlight w:val="none"/>
        </w:rPr>
      </w:pP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Cs w:val="21"/>
          <w:highlight w:val="none"/>
          <w:shd w:val="clear" w:color="auto" w:fill="FFFFFF"/>
        </w:rPr>
        <w:t>95763</w:t>
      </w:r>
      <w:r>
        <w:rPr>
          <w:rFonts w:hint="eastAsia" w:ascii="仿宋" w:hAnsi="仿宋" w:eastAsia="仿宋" w:cs="仿宋"/>
          <w:color w:val="auto"/>
          <w:sz w:val="24"/>
          <w:highlight w:val="none"/>
        </w:rPr>
        <w:t>获取热线服务帮助。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r>
        <w:rPr>
          <w:rFonts w:hint="eastAsia" w:ascii="仿宋" w:hAnsi="仿宋" w:eastAsia="仿宋" w:cs="仿宋"/>
          <w:b/>
          <w:color w:val="auto"/>
          <w:sz w:val="36"/>
          <w:szCs w:val="20"/>
          <w:highlight w:val="none"/>
          <w:lang w:val="en-US" w:eastAsia="zh-CN"/>
        </w:rPr>
        <w:t xml:space="preserve">             </w:t>
      </w: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pPr>
        <w:adjustRightInd/>
        <w:spacing w:line="360" w:lineRule="auto"/>
        <w:ind w:firstLine="3845" w:firstLineChars="1197"/>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11"/>
        <w:gridCol w:w="612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6"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6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shd w:val="clear" w:color="auto" w:fill="auto"/>
              </w:rPr>
              <w:t>采购标的及其对应的中小企业划分标准所属行业</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hint="eastAsia" w:ascii="仿宋" w:hAnsi="仿宋" w:eastAsia="仿宋" w:cs="仿宋"/>
                <w:color w:val="auto"/>
                <w:highlight w:val="none"/>
                <w:lang w:val="en-US"/>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w:t>
            </w:r>
            <w:r>
              <w:rPr>
                <w:rFonts w:hint="eastAsia" w:ascii="仿宋" w:hAnsi="仿宋" w:eastAsia="仿宋" w:cs="仿宋"/>
                <w:color w:val="auto"/>
                <w:sz w:val="24"/>
                <w:highlight w:val="none"/>
                <w:u w:val="single"/>
              </w:rPr>
              <w:t>杭州市拱墅区人民政府长庆街道办事处城市综合管理保安服务采购项目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租赁和商务服务</w:t>
            </w:r>
            <w:r>
              <w:rPr>
                <w:rFonts w:hint="eastAsia" w:ascii="仿宋" w:hAnsi="仿宋" w:eastAsia="仿宋" w:cs="仿宋"/>
                <w:color w:val="auto"/>
                <w:kern w:val="0"/>
                <w:sz w:val="24"/>
                <w:highlight w:val="none"/>
                <w:u w:val="single"/>
                <w:lang w:val="en-US" w:eastAsia="zh-CN"/>
              </w:rPr>
              <w:t>业</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8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hd w:val="clear" w:color="auto" w:fill="auto"/>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color w:val="auto"/>
                <w:kern w:val="0"/>
                <w:sz w:val="24"/>
                <w:highlight w:val="none"/>
              </w:rPr>
              <w:t>本项目不允许采购进口产品。</w:t>
            </w:r>
          </w:p>
          <w:p>
            <w:pPr>
              <w:shd w:val="clear" w:color="auto" w:fill="auto"/>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color w:val="auto"/>
                <w:sz w:val="24"/>
                <w:highlight w:val="none"/>
                <w:lang w:eastAsia="zh-CN"/>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工作分包</w:t>
            </w:r>
            <w:r>
              <w:rPr>
                <w:rFonts w:hint="eastAsia" w:ascii="仿宋" w:hAnsi="仿宋" w:eastAsia="仿宋" w:cs="仿宋"/>
                <w:color w:val="auto"/>
                <w:sz w:val="24"/>
                <w:highlight w:val="none"/>
                <w:lang w:eastAsia="zh-CN"/>
              </w:rPr>
              <w:t>。</w:t>
            </w:r>
          </w:p>
          <w:p>
            <w:pPr>
              <w:spacing w:line="360" w:lineRule="auto"/>
              <w:rPr>
                <w:rFonts w:hint="eastAsia" w:ascii="仿宋" w:hAnsi="仿宋" w:eastAsia="仿宋" w:cs="仿宋"/>
                <w:color w:val="auto"/>
                <w:sz w:val="24"/>
                <w:highlight w:val="none"/>
              </w:rPr>
            </w:pPr>
            <w:r>
              <w:rPr>
                <w:rFonts w:hint="eastAsia" w:ascii="Wingdings" w:hAnsi="Wingdings" w:eastAsia="仿宋" w:cs="仿宋"/>
                <w:color w:val="auto"/>
                <w:kern w:val="0"/>
                <w:sz w:val="24"/>
                <w:szCs w:val="24"/>
                <w:highlight w:val="none"/>
                <w:lang w:val="en-US" w:eastAsia="zh-CN" w:bidi="ar-SA"/>
              </w:rPr>
              <w:t>þ</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9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color w:val="auto"/>
                <w:sz w:val="24"/>
                <w:highlight w:val="none"/>
              </w:rPr>
            </w:pPr>
            <w:r>
              <w:rPr>
                <w:rFonts w:hint="eastAsia" w:ascii="Wingdings" w:hAnsi="Wingdings" w:eastAsia="仿宋" w:cs="仿宋"/>
                <w:color w:val="auto"/>
                <w:kern w:val="0"/>
                <w:sz w:val="24"/>
                <w:szCs w:val="24"/>
                <w:highlight w:val="none"/>
                <w:lang w:val="en-US" w:eastAsia="zh-CN" w:bidi="ar-SA"/>
              </w:rPr>
              <w:t>þ</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spacing w:line="360" w:lineRule="auto"/>
              <w:rPr>
                <w:rFonts w:hint="eastAsia" w:ascii="仿宋" w:hAnsi="仿宋" w:eastAsia="仿宋" w:cs="仿宋"/>
                <w:color w:val="auto"/>
                <w:sz w:val="24"/>
                <w:szCs w:val="20"/>
                <w:highlight w:val="none"/>
              </w:rPr>
            </w:pP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13"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480" w:lineRule="auto"/>
              <w:rPr>
                <w:rFonts w:hint="eastAsia" w:ascii="仿宋" w:hAnsi="仿宋" w:eastAsia="仿宋" w:cs="仿宋"/>
                <w:color w:val="auto"/>
                <w:sz w:val="24"/>
                <w:highlight w:val="none"/>
              </w:rPr>
            </w:pPr>
            <w:r>
              <w:rPr>
                <w:rFonts w:hint="eastAsia" w:ascii="Wingdings" w:hAnsi="Wingdings" w:eastAsia="仿宋" w:cs="仿宋"/>
                <w:color w:val="auto"/>
                <w:kern w:val="0"/>
                <w:sz w:val="24"/>
                <w:szCs w:val="24"/>
                <w:highlight w:val="none"/>
                <w:lang w:val="en-US" w:eastAsia="zh-CN" w:bidi="ar-SA"/>
              </w:rPr>
              <w:t>þ</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pPr>
              <w:spacing w:line="480" w:lineRule="auto"/>
              <w:rPr>
                <w:rFonts w:hint="eastAsia" w:ascii="仿宋" w:hAnsi="仿宋" w:eastAsia="仿宋" w:cs="仿宋"/>
                <w:color w:val="auto"/>
                <w:kern w:val="0"/>
                <w:sz w:val="24"/>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kern w:val="0"/>
                <w:sz w:val="24"/>
                <w:highlight w:val="none"/>
              </w:rPr>
              <w:t>B要求提供（未提供样品或提供样品不满足采购需求实质性条件的供应商，投标无效）：</w:t>
            </w:r>
          </w:p>
          <w:p>
            <w:pPr>
              <w:spacing w:line="48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spacing w:line="48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spacing w:line="48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评标办分法</w:t>
            </w:r>
            <w:r>
              <w:rPr>
                <w:rFonts w:hint="eastAsia" w:ascii="仿宋" w:hAnsi="仿宋" w:eastAsia="仿宋" w:cs="仿宋"/>
                <w:color w:val="auto"/>
                <w:kern w:val="0"/>
                <w:sz w:val="24"/>
                <w:highlight w:val="none"/>
              </w:rPr>
              <w:t>。</w:t>
            </w:r>
          </w:p>
          <w:p>
            <w:pPr>
              <w:spacing w:line="48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(6)采购活动结束后，对于未中标人提供的样品，采购人、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将通知未中标人在规定的时间内取回，逾期未取回的，采购人、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不负保管义务；对于中标人提供的样品，采购人将进行保管、封存，并作为履约验收的参考。</w:t>
            </w:r>
          </w:p>
          <w:p>
            <w:pPr>
              <w:spacing w:line="48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11" w:type="dxa"/>
            <w:tcBorders>
              <w:top w:val="single" w:color="000000" w:sz="8" w:space="0"/>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color w:val="auto"/>
                <w:sz w:val="24"/>
                <w:highlight w:val="none"/>
              </w:rPr>
            </w:pPr>
            <w:r>
              <w:rPr>
                <w:rFonts w:hint="eastAsia" w:ascii="Wingdings" w:hAnsi="Wingdings" w:eastAsia="仿宋" w:cs="仿宋"/>
                <w:color w:val="auto"/>
                <w:kern w:val="0"/>
                <w:sz w:val="24"/>
                <w:szCs w:val="24"/>
                <w:highlight w:val="none"/>
                <w:lang w:val="en-US" w:eastAsia="zh-CN" w:bidi="ar-SA"/>
              </w:rPr>
              <w:t>þ</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spacing w:line="360" w:lineRule="auto"/>
              <w:rPr>
                <w:rFonts w:hint="eastAsia" w:ascii="仿宋" w:hAnsi="仿宋" w:eastAsia="仿宋" w:cs="仿宋"/>
                <w:color w:val="auto"/>
                <w:kern w:val="0"/>
                <w:sz w:val="24"/>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kern w:val="0"/>
                <w:sz w:val="24"/>
                <w:highlight w:val="none"/>
              </w:rPr>
              <w:t>B组织。</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（1）在评标时安排每个投标人进行方案讲解演示。每个投标人时间不超过</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分钟，讲解次序以投标文件解密时间先后次序为准，讲解演示人员不超过</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人。讲解演示结束后按要求解答评标委员会提问。</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（2）演示地点：杭州市拱墅区白石巷318号中国杭州人力资源服务产业园北楼</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rPr>
              <w:t>会议室，讲解演示所用电脑等设备由投标人自备（场地提供投影仪）。供应商到场后先到</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rPr>
              <w:t>会议室等候。现场讲解演示人员进场时提供讲解人员名单及身份证明（格式自拟，加盖公章或授权代表签名）。</w:t>
            </w:r>
          </w:p>
          <w:p>
            <w:p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11" w:type="dxa"/>
            <w:vMerge w:val="restart"/>
            <w:tcBorders>
              <w:top w:val="single" w:color="000000" w:sz="8" w:space="0"/>
              <w:left w:val="single" w:color="auto" w:sz="4"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127" w:type="dxa"/>
            <w:tcBorders>
              <w:top w:val="single" w:color="000000" w:sz="8" w:space="0"/>
              <w:left w:val="single" w:color="000000" w:sz="2" w:space="0"/>
              <w:bottom w:val="single" w:color="auto" w:sz="4" w:space="0"/>
              <w:right w:val="single" w:color="000000" w:sz="8" w:space="0"/>
            </w:tcBorders>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pP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noWrap w:val="0"/>
            <w:vAlign w:val="center"/>
          </w:tcPr>
          <w:p>
            <w:pPr>
              <w:snapToGrid w:val="0"/>
              <w:spacing w:line="360" w:lineRule="auto"/>
              <w:jc w:val="center"/>
              <w:rPr>
                <w:rFonts w:hint="eastAsia" w:ascii="仿宋" w:hAnsi="仿宋" w:eastAsia="仿宋" w:cs="仿宋"/>
                <w:color w:val="auto"/>
                <w:sz w:val="24"/>
                <w:highlight w:val="none"/>
              </w:rPr>
            </w:pPr>
          </w:p>
        </w:tc>
        <w:tc>
          <w:tcPr>
            <w:tcW w:w="1811" w:type="dxa"/>
            <w:vMerge w:val="continue"/>
            <w:tcBorders>
              <w:left w:val="single" w:color="auto" w:sz="4"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p>
        </w:tc>
        <w:tc>
          <w:tcPr>
            <w:tcW w:w="6127" w:type="dxa"/>
            <w:tcBorders>
              <w:top w:val="single" w:color="auto" w:sz="4"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11"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11"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pPr>
              <w:snapToGrid w:val="0"/>
              <w:spacing w:line="360" w:lineRule="auto"/>
              <w:ind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pPr>
              <w:snapToGrid w:val="0"/>
              <w:spacing w:line="360" w:lineRule="auto"/>
              <w:ind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pP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90" w:hRule="atLeast"/>
          <w:tblHeader/>
        </w:trPr>
        <w:tc>
          <w:tcPr>
            <w:tcW w:w="629" w:type="dxa"/>
            <w:tcBorders>
              <w:top w:val="single" w:color="auto" w:sz="4" w:space="0"/>
              <w:left w:val="single" w:color="000000" w:sz="8"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11" w:type="dxa"/>
            <w:tcBorders>
              <w:top w:val="single" w:color="000000" w:sz="8" w:space="0"/>
              <w:left w:val="single" w:color="000000" w:sz="2"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127" w:type="dxa"/>
            <w:tcBorders>
              <w:top w:val="single" w:color="000000" w:sz="8" w:space="0"/>
              <w:left w:val="single" w:color="000000" w:sz="2" w:space="0"/>
              <w:right w:val="single" w:color="000000" w:sz="8" w:space="0"/>
            </w:tcBorders>
            <w:noWrap w:val="0"/>
            <w:vAlign w:val="center"/>
          </w:tcPr>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11"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pStyle w:val="34"/>
              <w:spacing w:line="360" w:lineRule="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kern w:val="28"/>
                <w:sz w:val="24"/>
                <w:szCs w:val="24"/>
                <w:highlight w:val="none"/>
                <w:u w:val="single"/>
              </w:rPr>
              <w:t>杭州市拱墅区白石巷318号人力资源产业园北楼512室</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kern w:val="28"/>
                <w:sz w:val="24"/>
                <w:szCs w:val="24"/>
                <w:highlight w:val="none"/>
                <w:u w:val="single"/>
              </w:rPr>
              <w:t>韩涛，0571-85061967</w:t>
            </w:r>
            <w:r>
              <w:rPr>
                <w:rFonts w:hint="eastAsia" w:ascii="仿宋" w:hAnsi="仿宋" w:eastAsia="仿宋" w:cs="仿宋"/>
                <w:color w:val="auto"/>
                <w:kern w:val="28"/>
                <w:sz w:val="24"/>
                <w:szCs w:val="24"/>
                <w:highlight w:val="none"/>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811"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招标代理服务费</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pStyle w:val="34"/>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（1）付费单位：由中标单位支付；</w:t>
            </w:r>
          </w:p>
          <w:p>
            <w:pPr>
              <w:pStyle w:val="34"/>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（2）付费标准：以中标金额为计费基准，根据《招标代理服务收费管理暂行办法》（计价格[2002]1980号文件）服务类的收费标准，按差额定率累进制计算。投标人将自行承担涉及本次投标的一切费用。</w:t>
            </w:r>
          </w:p>
          <w:p>
            <w:pPr>
              <w:pStyle w:val="34"/>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（3）付费方式：于领取中标通知书时一次性支付给采购代理公司；</w:t>
            </w:r>
          </w:p>
          <w:p>
            <w:pPr>
              <w:pStyle w:val="34"/>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户   名：浙江五石中正工程咨询有限公司</w:t>
            </w:r>
          </w:p>
          <w:p>
            <w:pPr>
              <w:pStyle w:val="34"/>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帐   号：1202003209900014176</w:t>
            </w:r>
          </w:p>
          <w:p>
            <w:pPr>
              <w:pStyle w:val="34"/>
              <w:spacing w:line="360" w:lineRule="auto"/>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开户银行：中国工商银行杭州市潮王路支行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1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811" w:type="dxa"/>
            <w:tcBorders>
              <w:top w:val="single" w:color="000000" w:sz="8" w:space="0"/>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履约保证金</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pStyle w:val="34"/>
              <w:spacing w:line="360" w:lineRule="auto"/>
              <w:rPr>
                <w:rFonts w:hint="eastAsia" w:ascii="仿宋" w:hAnsi="仿宋" w:eastAsia="仿宋" w:cs="仿宋"/>
                <w:color w:val="auto"/>
                <w:kern w:val="28"/>
                <w:sz w:val="24"/>
                <w:szCs w:val="24"/>
                <w:highlight w:val="none"/>
              </w:rPr>
            </w:pPr>
            <w:r>
              <w:rPr>
                <w:rFonts w:hint="eastAsia" w:ascii="仿宋" w:hAnsi="仿宋" w:eastAsia="仿宋" w:cs="仿宋"/>
                <w:bCs/>
                <w:color w:val="auto"/>
                <w:sz w:val="24"/>
                <w:highlight w:val="none"/>
              </w:rPr>
              <w:t>不缴纳</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p>
        </w:tc>
        <w:tc>
          <w:tcPr>
            <w:tcW w:w="1811" w:type="dxa"/>
            <w:vMerge w:val="restart"/>
            <w:tcBorders>
              <w:top w:val="single" w:color="000000" w:sz="8" w:space="0"/>
              <w:left w:val="single" w:color="000000" w:sz="2"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rPr>
            </w:pPr>
          </w:p>
        </w:tc>
        <w:tc>
          <w:tcPr>
            <w:tcW w:w="1811" w:type="dxa"/>
            <w:vMerge w:val="continue"/>
            <w:tcBorders>
              <w:left w:val="single" w:color="000000" w:sz="2"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联合体投标的，联合体各方均需按招标文件第四部分评标标准要求提供资信证明文件，否则视为不符合相关要求。招标文件第四部分评分标准有其他规定的，从其规定。</w:t>
            </w:r>
          </w:p>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sym w:font="Wingdings" w:char="F0FE"/>
            </w:r>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联合体投标的，联合体中有一方或者联合体成员根据分工按招标文件第四部分评标标准要求提供资信证明文件的，视为符合了相关要求。招标文件第四部分评分标准有其他规定的，从其规定。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noWrap w:val="0"/>
            <w:vAlign w:val="center"/>
          </w:tcPr>
          <w:p>
            <w:pPr>
              <w:snapToGrid w:val="0"/>
              <w:spacing w:line="360" w:lineRule="auto"/>
              <w:jc w:val="center"/>
              <w:rPr>
                <w:rFonts w:hint="eastAsia" w:ascii="仿宋" w:hAnsi="仿宋" w:eastAsia="仿宋" w:cs="仿宋"/>
                <w:color w:val="auto"/>
                <w:sz w:val="24"/>
                <w:highlight w:val="none"/>
              </w:rPr>
            </w:pPr>
          </w:p>
        </w:tc>
        <w:tc>
          <w:tcPr>
            <w:tcW w:w="1811" w:type="dxa"/>
            <w:vMerge w:val="continue"/>
            <w:tcBorders>
              <w:left w:val="single" w:color="000000" w:sz="2" w:space="0"/>
              <w:bottom w:val="single" w:color="000000" w:sz="8" w:space="0"/>
              <w:right w:val="single" w:color="000000" w:sz="8" w:space="0"/>
            </w:tcBorders>
            <w:noWrap w:val="0"/>
            <w:vAlign w:val="center"/>
          </w:tcPr>
          <w:p>
            <w:pPr>
              <w:snapToGrid w:val="0"/>
              <w:spacing w:line="360" w:lineRule="auto"/>
              <w:jc w:val="center"/>
              <w:rPr>
                <w:rFonts w:hint="eastAsia" w:ascii="仿宋" w:hAnsi="仿宋" w:eastAsia="仿宋" w:cs="仿宋"/>
                <w:b/>
                <w:color w:val="auto"/>
                <w:sz w:val="24"/>
                <w:highlight w:val="none"/>
              </w:rPr>
            </w:pPr>
          </w:p>
        </w:tc>
        <w:tc>
          <w:tcPr>
            <w:tcW w:w="6127" w:type="dxa"/>
            <w:tcBorders>
              <w:top w:val="single" w:color="000000" w:sz="8" w:space="0"/>
              <w:left w:val="single" w:color="000000" w:sz="2" w:space="0"/>
              <w:bottom w:val="single" w:color="000000" w:sz="8" w:space="0"/>
              <w:right w:val="single" w:color="000000" w:sz="8" w:space="0"/>
            </w:tcBorders>
            <w:noWrap w:val="0"/>
            <w:vAlign w:val="center"/>
          </w:tcPr>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1、按“投标文件格式”中提供的格式进行签字盖章。</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2、投标文件签署人（签字或盖章）：因系统无法进行法定代表人或其授权代表签字或盖章操作，需线下签字或盖章扫描后上传至电子响应文件中。</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3、盖单位公章：可使用电子公章在线签章或盖单位公章扫描上传，如联合体投标的，以牵头人盖章为准。</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4、电子签章操作指南详见《供应商项目采购-电子招投标操作指南》。系统要求进行电子签章的，按系统要求签章。</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5、《采购活动现场确认声明书》请参与投标的供应商填写完成相关内容后，在投标文件解密时，发送至hzwszb@163.com，文件格式详见后附件6。</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6、带“▲”的有关技术和商务条款为实质性条款，投标方必须做出实质性响应，否则视为投标无效。</w:t>
            </w:r>
          </w:p>
        </w:tc>
      </w:tr>
    </w:tbl>
    <w:p>
      <w:pPr>
        <w:snapToGrid w:val="0"/>
        <w:spacing w:line="360" w:lineRule="auto"/>
        <w:jc w:val="center"/>
        <w:rPr>
          <w:rFonts w:hint="eastAsia" w:ascii="仿宋" w:hAnsi="仿宋" w:eastAsia="仿宋" w:cs="仿宋"/>
          <w:b/>
          <w:color w:val="auto"/>
          <w:sz w:val="32"/>
          <w:szCs w:val="20"/>
          <w:highlight w:val="none"/>
        </w:rPr>
      </w:pPr>
    </w:p>
    <w:bookmarkEnd w:id="10"/>
    <w:p>
      <w:pPr>
        <w:adjustRightInd/>
        <w:spacing w:line="360" w:lineRule="auto"/>
        <w:ind w:firstLine="3845" w:firstLineChars="1197"/>
        <w:outlineLvl w:val="1"/>
        <w:rPr>
          <w:rFonts w:hint="eastAsia" w:ascii="仿宋" w:hAnsi="仿宋" w:eastAsia="仿宋" w:cs="仿宋"/>
          <w:b/>
          <w:color w:val="auto"/>
          <w:sz w:val="32"/>
          <w:szCs w:val="20"/>
          <w:highlight w:val="none"/>
        </w:rPr>
      </w:pPr>
      <w:bookmarkStart w:id="11" w:name="_Toc164416483"/>
      <w:bookmarkStart w:id="12" w:name="第三部分"/>
      <w:r>
        <w:rPr>
          <w:rFonts w:hint="eastAsia" w:ascii="仿宋" w:hAnsi="仿宋" w:eastAsia="仿宋" w:cs="仿宋"/>
          <w:b/>
          <w:color w:val="auto"/>
          <w:sz w:val="32"/>
          <w:szCs w:val="20"/>
          <w:highlight w:val="none"/>
        </w:rPr>
        <w:t>一、总则</w:t>
      </w:r>
    </w:p>
    <w:p>
      <w:pPr>
        <w:snapToGrid w:val="0"/>
        <w:spacing w:line="360"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w:t>
      </w:r>
      <w:r>
        <w:rPr>
          <w:rFonts w:hint="eastAsia" w:ascii="仿宋" w:hAnsi="仿宋" w:eastAsia="仿宋" w:cs="仿宋"/>
          <w:color w:val="auto"/>
          <w:sz w:val="24"/>
          <w:highlight w:val="none"/>
          <w:lang w:eastAsia="zh-CN"/>
        </w:rPr>
        <w:t>代理</w:t>
      </w:r>
      <w:r>
        <w:rPr>
          <w:rFonts w:hint="eastAsia" w:ascii="仿宋" w:hAnsi="仿宋" w:eastAsia="仿宋" w:cs="仿宋"/>
          <w:color w:val="auto"/>
          <w:sz w:val="24"/>
          <w:highlight w:val="none"/>
        </w:rPr>
        <w:t>机构”系指招标公告中载明的本项目的采购</w:t>
      </w:r>
      <w:r>
        <w:rPr>
          <w:rFonts w:hint="eastAsia" w:ascii="仿宋" w:hAnsi="仿宋" w:eastAsia="仿宋" w:cs="仿宋"/>
          <w:color w:val="auto"/>
          <w:sz w:val="24"/>
          <w:highlight w:val="none"/>
          <w:lang w:eastAsia="zh-CN"/>
        </w:rPr>
        <w:t>代理</w:t>
      </w:r>
      <w:r>
        <w:rPr>
          <w:rFonts w:hint="eastAsia" w:ascii="仿宋" w:hAnsi="仿宋" w:eastAsia="仿宋" w:cs="仿宋"/>
          <w:color w:val="auto"/>
          <w:sz w:val="24"/>
          <w:highlight w:val="none"/>
        </w:rPr>
        <w:t>机构。</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“▲”系指实质性要求条款，“</w:t>
      </w:r>
      <w:r>
        <w:rPr>
          <w:rFonts w:hint="eastAsia" w:ascii="Wingdings" w:hAnsi="Wingdings" w:eastAsia="仿宋" w:cs="仿宋"/>
          <w:color w:val="auto"/>
          <w:kern w:val="0"/>
          <w:sz w:val="24"/>
          <w:szCs w:val="24"/>
          <w:highlight w:val="none"/>
          <w:lang w:val="en-US" w:eastAsia="zh-CN" w:bidi="ar-SA"/>
        </w:rPr>
        <w:t>þ</w:t>
      </w:r>
      <w:r>
        <w:rPr>
          <w:rFonts w:hint="eastAsia" w:ascii="仿宋" w:hAnsi="仿宋" w:eastAsia="仿宋" w:cs="仿宋"/>
          <w:color w:val="auto"/>
          <w:sz w:val="24"/>
          <w:highlight w:val="none"/>
        </w:rPr>
        <w:t>”系指适用本项目的要求，“</w:t>
      </w: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”系指不适用本项目的要求。</w:t>
      </w:r>
    </w:p>
    <w:p>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3.2.2修缮、装修类项目采购建材的，采购人应将绿色建筑和绿色建材性能、指标等作为实质性条件纳入招标文件和合同。</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3.2.4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4.询问、质疑、投诉</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pPr>
        <w:pStyle w:val="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pPr>
        <w:pStyle w:val="34"/>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4.3.3.1供应商的姓名或者名称、地址、邮编、联系人及联系电话；</w:t>
      </w:r>
    </w:p>
    <w:p>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4.3.3.2质疑项目的名称、编号；</w:t>
      </w:r>
    </w:p>
    <w:p>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4.3.3.3具体、明确的质疑事项和与质疑事项相关的请求；</w:t>
      </w:r>
    </w:p>
    <w:p>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4.3.3.4事实依据；</w:t>
      </w:r>
    </w:p>
    <w:p>
      <w:pPr>
        <w:pStyle w:val="34"/>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zh-CN"/>
        </w:rPr>
        <w:t>4.3.3.5必要的法律依据；</w:t>
      </w:r>
    </w:p>
    <w:p>
      <w:pPr>
        <w:pStyle w:val="34"/>
        <w:spacing w:line="360" w:lineRule="auto"/>
        <w:ind w:firstLine="720" w:firstLineChars="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在质疑回复后5个工作日内，在浙江政府采购网的“其他公告”栏目公开质疑答复，答复内容应当完整。质疑函作为附件上传。</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的答复不满意或者采购人、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未在规定的时间内作出答复的，可以在答复期满后十五个工作日内向同级政府采购监督管理部门提出投诉。</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4.4.5浙江省本级、杭州市本级、拱墅区、富阳区政府采购项目投诉材料可寄送浙江省政府采购行政裁决服务中心（杭州），地址：杭州市上城区四季青街道新业路市民之家G03办公室，收件人：朱女士</w:t>
      </w:r>
      <w:r>
        <w:rPr>
          <w:rFonts w:hint="eastAsia" w:ascii="仿宋" w:hAnsi="仿宋" w:eastAsia="仿宋" w:cs="仿宋"/>
          <w:color w:val="auto"/>
          <w:highlight w:val="none"/>
          <w:lang w:eastAsia="zh-CN"/>
        </w:rPr>
        <w:t>、王女士</w:t>
      </w:r>
      <w:r>
        <w:rPr>
          <w:rFonts w:hint="eastAsia" w:ascii="仿宋" w:hAnsi="仿宋" w:eastAsia="仿宋" w:cs="仿宋"/>
          <w:color w:val="auto"/>
          <w:highlight w:val="none"/>
        </w:rPr>
        <w:t>，电话：</w:t>
      </w:r>
      <w:r>
        <w:rPr>
          <w:rFonts w:hint="eastAsia" w:ascii="仿宋" w:hAnsi="仿宋" w:eastAsia="仿宋" w:cs="仿宋"/>
          <w:color w:val="auto"/>
          <w:highlight w:val="none"/>
          <w:lang w:val="en-US" w:eastAsia="zh-CN"/>
        </w:rPr>
        <w:t>0571-85252453</w:t>
      </w:r>
      <w:r>
        <w:rPr>
          <w:rFonts w:hint="eastAsia" w:ascii="仿宋" w:hAnsi="仿宋" w:eastAsia="仿宋" w:cs="仿宋"/>
          <w:color w:val="auto"/>
          <w:highlight w:val="none"/>
        </w:rPr>
        <w:t>。</w:t>
      </w:r>
    </w:p>
    <w:p>
      <w:pPr>
        <w:pStyle w:val="890"/>
        <w:shd w:val="clear" w:color="auto" w:fill="FFFFFF"/>
        <w:snapToGrid w:val="0"/>
        <w:spacing w:after="240" w:afterAutospacing="0" w:line="360" w:lineRule="auto"/>
        <w:ind w:firstLine="400"/>
        <w:contextualSpacing/>
        <w:rPr>
          <w:rFonts w:hint="eastAsia" w:ascii="仿宋" w:hAnsi="仿宋" w:eastAsia="仿宋" w:cs="仿宋"/>
          <w:color w:val="auto"/>
          <w:sz w:val="18"/>
          <w:szCs w:val="18"/>
          <w:highlight w:val="none"/>
        </w:rPr>
      </w:pPr>
      <w:r>
        <w:rPr>
          <w:rFonts w:hint="eastAsia" w:ascii="仿宋" w:hAnsi="仿宋" w:eastAsia="仿宋" w:cs="仿宋"/>
          <w:color w:val="auto"/>
          <w:highlight w:val="none"/>
        </w:rPr>
        <w:t>投诉书范本及制作说明详见附件3。</w:t>
      </w:r>
    </w:p>
    <w:p>
      <w:pPr>
        <w:adjustRightInd/>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pPr>
        <w:pStyle w:val="34"/>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6.招标文件的澄清、修改</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adjustRightInd/>
        <w:spacing w:line="360" w:lineRule="auto"/>
        <w:jc w:val="center"/>
        <w:outlineLvl w:val="1"/>
        <w:rPr>
          <w:rFonts w:hint="eastAsia" w:ascii="仿宋" w:hAnsi="仿宋" w:eastAsia="仿宋" w:cs="仿宋"/>
          <w:b/>
          <w:color w:val="auto"/>
          <w:sz w:val="30"/>
          <w:szCs w:val="20"/>
          <w:highlight w:val="none"/>
        </w:rPr>
      </w:pPr>
    </w:p>
    <w:p>
      <w:pPr>
        <w:adjustRightInd/>
        <w:spacing w:line="360" w:lineRule="auto"/>
        <w:jc w:val="center"/>
        <w:outlineLvl w:val="1"/>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7.招标文件的获取</w:t>
      </w:r>
    </w:p>
    <w:p>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pPr>
        <w:pStyle w:val="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pPr>
        <w:snapToGrid w:val="0"/>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pPr>
        <w:snapToGrid w:val="0"/>
        <w:spacing w:line="360" w:lineRule="auto"/>
        <w:ind w:firstLine="482" w:firstLineChars="200"/>
        <w:rPr>
          <w:rFonts w:hint="eastAsia" w:ascii="仿宋" w:hAnsi="仿宋" w:eastAsia="仿宋" w:cs="仿宋"/>
          <w:b w:val="0"/>
          <w:bCs w:val="0"/>
          <w:color w:val="auto"/>
          <w:sz w:val="24"/>
          <w:highlight w:val="none"/>
          <w:lang w:val="zh-CN"/>
        </w:rPr>
      </w:pPr>
      <w:r>
        <w:rPr>
          <w:rFonts w:hint="eastAsia" w:ascii="仿宋" w:hAnsi="仿宋" w:eastAsia="仿宋" w:cs="仿宋"/>
          <w:b/>
          <w:bCs/>
          <w:color w:val="auto"/>
          <w:sz w:val="24"/>
          <w:highlight w:val="none"/>
          <w:lang w:val="zh-CN"/>
        </w:rPr>
        <w:t>11.</w:t>
      </w:r>
      <w:r>
        <w:rPr>
          <w:rFonts w:hint="eastAsia" w:ascii="仿宋" w:hAnsi="仿宋" w:eastAsia="仿宋" w:cs="仿宋"/>
          <w:b/>
          <w:bCs/>
          <w:color w:val="auto"/>
          <w:sz w:val="24"/>
          <w:highlight w:val="none"/>
        </w:rPr>
        <w:t>2商务技术</w:t>
      </w:r>
      <w:r>
        <w:rPr>
          <w:rFonts w:hint="eastAsia" w:ascii="仿宋" w:hAnsi="仿宋" w:eastAsia="仿宋" w:cs="仿宋"/>
          <w:b/>
          <w:bCs/>
          <w:color w:val="auto"/>
          <w:sz w:val="24"/>
          <w:highlight w:val="none"/>
          <w:lang w:val="zh-CN"/>
        </w:rPr>
        <w:t>文件：</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pPr>
        <w:snapToGrid w:val="0"/>
        <w:spacing w:line="360" w:lineRule="auto"/>
        <w:ind w:firstLine="482" w:firstLineChars="200"/>
        <w:rPr>
          <w:rFonts w:hint="eastAsia" w:ascii="仿宋" w:hAnsi="仿宋" w:eastAsia="仿宋" w:cs="仿宋"/>
          <w:color w:val="auto"/>
          <w:sz w:val="24"/>
          <w:highlight w:val="none"/>
          <w:u w:val="single"/>
          <w:lang w:val="zh-CN"/>
        </w:rPr>
      </w:pPr>
      <w:r>
        <w:rPr>
          <w:rFonts w:hint="eastAsia" w:ascii="仿宋" w:hAnsi="仿宋" w:eastAsia="仿宋" w:cs="仿宋"/>
          <w:b/>
          <w:bCs/>
          <w:color w:val="auto"/>
          <w:kern w:val="0"/>
          <w:sz w:val="24"/>
          <w:highlight w:val="none"/>
          <w:lang w:val="zh-CN"/>
        </w:rPr>
        <w:t>11.</w:t>
      </w:r>
      <w:r>
        <w:rPr>
          <w:rFonts w:hint="eastAsia" w:ascii="仿宋" w:hAnsi="仿宋" w:eastAsia="仿宋" w:cs="仿宋"/>
          <w:b/>
          <w:bCs/>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p>
    <w:p>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pPr>
        <w:pStyle w:val="162"/>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w:t>
      </w:r>
      <w:r>
        <w:rPr>
          <w:rFonts w:hint="eastAsia" w:ascii="仿宋" w:hAnsi="仿宋" w:eastAsia="仿宋" w:cs="仿宋"/>
          <w:b/>
          <w:color w:val="auto"/>
          <w:szCs w:val="24"/>
          <w:highlight w:val="none"/>
        </w:rPr>
        <w:t>投标文件的编制</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pPr>
        <w:pStyle w:val="162"/>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62"/>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pPr>
        <w:pStyle w:val="16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14.投标文件的提交、补充、修改、撤回</w:t>
      </w:r>
    </w:p>
    <w:p>
      <w:pPr>
        <w:pStyle w:val="162"/>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62"/>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62"/>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pPr>
        <w:pStyle w:val="34"/>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pPr>
        <w:pStyle w:val="34"/>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pPr>
        <w:pStyle w:val="34"/>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lang w:val="en-US" w:eastAsia="zh-CN"/>
        </w:rPr>
        <w:t>U</w:t>
      </w:r>
      <w:r>
        <w:rPr>
          <w:rFonts w:hint="eastAsia" w:ascii="仿宋" w:hAnsi="仿宋" w:eastAsia="仿宋" w:cs="仿宋"/>
          <w:color w:val="auto"/>
          <w:sz w:val="24"/>
          <w:highlight w:val="none"/>
        </w:rPr>
        <w:t>盘</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pPr>
        <w:pStyle w:val="34"/>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pPr>
        <w:pStyle w:val="34"/>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pPr>
        <w:pStyle w:val="16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pPr>
        <w:pStyle w:val="26"/>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pPr>
        <w:pStyle w:val="16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pPr>
        <w:pStyle w:val="162"/>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pPr>
        <w:pStyle w:val="162"/>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pPr>
        <w:pStyle w:val="162"/>
        <w:spacing w:before="0"/>
        <w:ind w:firstLine="643"/>
        <w:rPr>
          <w:rFonts w:hint="eastAsia" w:ascii="仿宋" w:hAnsi="仿宋" w:eastAsia="仿宋" w:cs="仿宋"/>
          <w:b/>
          <w:color w:val="auto"/>
          <w:sz w:val="32"/>
          <w:highlight w:val="none"/>
        </w:rPr>
      </w:pPr>
    </w:p>
    <w:p>
      <w:pPr>
        <w:pStyle w:val="162"/>
        <w:spacing w:before="0"/>
        <w:ind w:firstLine="1928" w:firstLineChars="600"/>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pPr>
        <w:pStyle w:val="559"/>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pPr>
        <w:pStyle w:val="559"/>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pPr>
        <w:pStyle w:val="559"/>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pPr>
        <w:pStyle w:val="559"/>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19.1开标后，采购人将依据法律法规和招标文件的规定，对投标人的资格进行审查。</w:t>
      </w:r>
    </w:p>
    <w:p>
      <w:pPr>
        <w:pStyle w:val="16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19.2投标人未按照招标文件要求提供与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pPr>
        <w:pStyle w:val="16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3对未通过资格审查的投标人，告知其未通过的原因。</w:t>
      </w:r>
    </w:p>
    <w:p>
      <w:pPr>
        <w:pStyle w:val="16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4合格投标人不足3家的，不再评标。</w:t>
      </w:r>
    </w:p>
    <w:p>
      <w:pPr>
        <w:widowControl/>
        <w:spacing w:before="100" w:beforeAutospacing="1" w:after="240" w:line="360" w:lineRule="auto"/>
        <w:ind w:firstLine="241" w:firstLineChars="1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20、信用信息查询</w:t>
      </w:r>
    </w:p>
    <w:p>
      <w:pPr>
        <w:pStyle w:val="16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将在资格审查时通过“信用中国”网站(www.creditchina.gov.cn)、中国政府采购网(www.ccgp.gov.cn)渠道查询投标人接受资格时的信用记录。</w:t>
      </w:r>
    </w:p>
    <w:p>
      <w:pPr>
        <w:pStyle w:val="16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pPr>
        <w:pStyle w:val="16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6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162"/>
        <w:spacing w:before="0"/>
        <w:ind w:firstLine="0" w:firstLineChars="0"/>
        <w:rPr>
          <w:rFonts w:hint="eastAsia" w:ascii="仿宋" w:hAnsi="仿宋" w:eastAsia="仿宋" w:cs="仿宋"/>
          <w:color w:val="auto"/>
          <w:kern w:val="0"/>
          <w:szCs w:val="24"/>
          <w:highlight w:val="none"/>
        </w:rPr>
      </w:pPr>
    </w:p>
    <w:p>
      <w:pPr>
        <w:snapToGrid w:val="0"/>
        <w:spacing w:line="360" w:lineRule="auto"/>
        <w:jc w:val="center"/>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pPr>
        <w:spacing w:line="360" w:lineRule="auto"/>
        <w:rPr>
          <w:rFonts w:hint="eastAsia" w:ascii="仿宋" w:hAnsi="仿宋" w:eastAsia="仿宋" w:cs="仿宋"/>
          <w:b/>
          <w:color w:val="auto"/>
          <w:sz w:val="24"/>
          <w:highlight w:val="none"/>
        </w:rPr>
      </w:pPr>
    </w:p>
    <w:p>
      <w:pPr>
        <w:snapToGrid w:val="0"/>
        <w:spacing w:line="360" w:lineRule="auto"/>
        <w:jc w:val="center"/>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六、定标</w:t>
      </w:r>
    </w:p>
    <w:p>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22.确定中标供应商</w:t>
      </w:r>
    </w:p>
    <w:p>
      <w:pPr>
        <w:pStyle w:val="162"/>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候选人撤销投标文件不能成为采购人不确认采购结果的正当理由。中标、成交通知书和中标、成交结果公告应当在规定时间内同时发出。</w:t>
      </w:r>
    </w:p>
    <w:p>
      <w:pPr>
        <w:pStyle w:val="162"/>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23.中标通知与中标结果公告</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pPr>
        <w:snapToGrid w:val="0"/>
        <w:spacing w:line="360" w:lineRule="auto"/>
        <w:ind w:left="120" w:leftChars="57" w:firstLine="482" w:firstLineChars="150"/>
        <w:jc w:val="center"/>
        <w:rPr>
          <w:rFonts w:hint="eastAsia" w:ascii="仿宋" w:hAnsi="仿宋" w:eastAsia="仿宋" w:cs="仿宋"/>
          <w:b/>
          <w:color w:val="auto"/>
          <w:sz w:val="32"/>
          <w:highlight w:val="none"/>
        </w:rPr>
      </w:pPr>
    </w:p>
    <w:p>
      <w:pP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62"/>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62"/>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pPr>
        <w:pStyle w:val="2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pPr>
        <w:tabs>
          <w:tab w:val="left" w:pos="432"/>
        </w:tabs>
        <w:spacing w:line="360" w:lineRule="auto"/>
        <w:ind w:firstLine="480" w:firstLineChars="200"/>
        <w:rPr>
          <w:rFonts w:hint="eastAsia" w:ascii="仿宋" w:hAnsi="仿宋" w:eastAsia="仿宋" w:cs="仿宋"/>
          <w:color w:val="auto"/>
          <w:highlight w:val="none"/>
        </w:rPr>
      </w:pPr>
      <w:r>
        <w:rPr>
          <w:rFonts w:hint="eastAsia" w:ascii="仿宋" w:hAnsi="仿宋" w:eastAsia="仿宋" w:cs="仿宋"/>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27.</w:t>
      </w:r>
      <w:r>
        <w:rPr>
          <w:rFonts w:hint="eastAsia" w:ascii="仿宋" w:hAnsi="仿宋" w:eastAsia="仿宋" w:cs="仿宋"/>
          <w:color w:val="auto"/>
          <w:sz w:val="24"/>
          <w:szCs w:val="24"/>
          <w:highlight w:val="none"/>
          <w:lang w:val="en-US"/>
        </w:rPr>
        <w:t>预付款</w:t>
      </w:r>
    </w:p>
    <w:p>
      <w:pPr>
        <w:snapToGrid w:val="0"/>
        <w:spacing w:line="360" w:lineRule="auto"/>
        <w:ind w:firstLine="480" w:firstLineChars="200"/>
        <w:rPr>
          <w:rFonts w:hint="eastAsia" w:ascii="仿宋" w:hAnsi="仿宋" w:eastAsia="仿宋" w:cs="仿宋"/>
          <w:b/>
          <w:color w:val="auto"/>
          <w:sz w:val="24"/>
          <w:szCs w:val="24"/>
          <w:highlight w:val="none"/>
          <w:lang w:val="en-US" w:eastAsia="zh-CN"/>
        </w:rPr>
      </w:pPr>
      <w:r>
        <w:rPr>
          <w:rFonts w:hint="eastAsia" w:ascii="仿宋" w:hAnsi="仿宋" w:eastAsia="仿宋" w:cs="仿宋"/>
          <w:color w:val="auto"/>
          <w:sz w:val="24"/>
          <w:szCs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snapToGrid w:val="0"/>
        <w:spacing w:line="360" w:lineRule="auto"/>
        <w:outlineLvl w:val="1"/>
        <w:rPr>
          <w:rFonts w:hint="eastAsia" w:ascii="仿宋" w:hAnsi="仿宋" w:eastAsia="仿宋" w:cs="仿宋"/>
          <w:b/>
          <w:color w:val="auto"/>
          <w:sz w:val="32"/>
          <w:highlight w:val="none"/>
        </w:rPr>
      </w:pPr>
    </w:p>
    <w:p>
      <w:pPr>
        <w:snapToGrid w:val="0"/>
        <w:spacing w:line="360" w:lineRule="auto"/>
        <w:jc w:val="center"/>
        <w:outlineLvl w:val="1"/>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pPr>
        <w:pStyle w:val="162"/>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2</w:t>
      </w:r>
      <w:r>
        <w:rPr>
          <w:rFonts w:hint="eastAsia" w:ascii="仿宋" w:hAnsi="仿宋" w:eastAsia="仿宋" w:cs="仿宋"/>
          <w:b/>
          <w:bCs/>
          <w:color w:val="auto"/>
          <w:szCs w:val="24"/>
          <w:highlight w:val="none"/>
          <w:lang w:val="en-US" w:eastAsia="zh-CN"/>
        </w:rPr>
        <w:t>8</w:t>
      </w:r>
      <w:r>
        <w:rPr>
          <w:rFonts w:hint="eastAsia" w:ascii="仿宋" w:hAnsi="仿宋" w:eastAsia="仿宋" w:cs="仿宋"/>
          <w:b/>
          <w:bCs/>
          <w:color w:val="auto"/>
          <w:szCs w:val="24"/>
          <w:highlight w:val="none"/>
        </w:rPr>
        <w:t>.</w:t>
      </w:r>
      <w:r>
        <w:rPr>
          <w:rFonts w:hint="eastAsia" w:ascii="仿宋" w:hAnsi="仿宋" w:eastAsia="仿宋" w:cs="仿宋"/>
          <w:b/>
          <w:color w:val="auto"/>
          <w:szCs w:val="24"/>
          <w:highlight w:val="none"/>
        </w:rPr>
        <w:t xml:space="preserve">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 xml:space="preserve">.1电子交易平台发生故障而无法登录访问的； </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.2电子交易平台应用或数据库出现错误，不能进行正常操作的；</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.3电子交易平台发现严重安全漏洞，有潜在泄密危险的；</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 xml:space="preserve">.4病毒发作导致不能进行正常操作的； </w:t>
      </w:r>
    </w:p>
    <w:p>
      <w:pPr>
        <w:pStyle w:val="16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.5其他无法保证电子交易的公平、公正和安全的情况。</w:t>
      </w:r>
    </w:p>
    <w:p>
      <w:pPr>
        <w:pStyle w:val="162"/>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color w:val="auto"/>
          <w:sz w:val="24"/>
          <w:highlight w:val="none"/>
        </w:rPr>
      </w:pPr>
    </w:p>
    <w:p>
      <w:pP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pPr>
        <w:pStyle w:val="26"/>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30</w:t>
      </w:r>
      <w:r>
        <w:rPr>
          <w:rFonts w:hint="eastAsia" w:ascii="仿宋" w:hAnsi="仿宋" w:eastAsia="仿宋" w:cs="仿宋"/>
          <w:b/>
          <w:color w:val="auto"/>
          <w:highlight w:val="none"/>
        </w:rPr>
        <w:t>.验收</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30</w:t>
      </w:r>
      <w:r>
        <w:rPr>
          <w:rFonts w:hint="eastAsia" w:ascii="仿宋" w:hAnsi="仿宋" w:eastAsia="仿宋" w:cs="仿宋"/>
          <w:color w:val="auto"/>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30</w:t>
      </w:r>
      <w:r>
        <w:rPr>
          <w:rFonts w:hint="eastAsia" w:ascii="仿宋" w:hAnsi="仿宋" w:eastAsia="仿宋" w:cs="仿宋"/>
          <w:color w:val="auto"/>
          <w:kern w:val="0"/>
          <w:sz w:val="24"/>
          <w:highlight w:val="none"/>
        </w:rPr>
        <w:t>.2采购人可以邀请参加本项目的其他投标人或者第三方机构参与验收。参与验收的投标人或者第三方机构的意见作为验收书的参考资料一并存档。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30</w:t>
      </w:r>
      <w:r>
        <w:rPr>
          <w:rFonts w:hint="eastAsia" w:ascii="仿宋" w:hAnsi="仿宋" w:eastAsia="仿宋" w:cs="仿宋"/>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lang w:val="en-US" w:eastAsia="zh-CN"/>
        </w:rPr>
        <w:t>30</w:t>
      </w:r>
      <w:r>
        <w:rPr>
          <w:rFonts w:hint="eastAsia" w:ascii="仿宋" w:hAnsi="仿宋" w:eastAsia="仿宋" w:cs="仿宋"/>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403820"/>
      <w:bookmarkEnd w:id="15"/>
      <w:bookmarkStart w:id="16" w:name="_Hlt74730295"/>
      <w:bookmarkEnd w:id="16"/>
      <w:bookmarkStart w:id="17" w:name="_Hlt68073093"/>
      <w:bookmarkEnd w:id="17"/>
      <w:bookmarkStart w:id="18" w:name="_Hlt74707468"/>
      <w:bookmarkEnd w:id="18"/>
      <w:bookmarkStart w:id="19" w:name="_Hlt68072990"/>
      <w:bookmarkEnd w:id="19"/>
      <w:bookmarkStart w:id="20" w:name="_Hlt68057669"/>
      <w:bookmarkEnd w:id="20"/>
      <w:bookmarkStart w:id="21" w:name="_Hlt75236290"/>
      <w:bookmarkEnd w:id="21"/>
      <w:bookmarkStart w:id="22" w:name="_Hlt75236101"/>
      <w:bookmarkEnd w:id="22"/>
      <w:bookmarkStart w:id="23" w:name="_Hlt74714665"/>
      <w:bookmarkEnd w:id="23"/>
      <w:bookmarkStart w:id="24" w:name="_Hlt74729768"/>
      <w:bookmarkEnd w:id="24"/>
      <w:bookmarkStart w:id="25" w:name="_Hlt75236011"/>
      <w:bookmarkEnd w:id="25"/>
      <w:bookmarkStart w:id="26" w:name="_Hlt68072998"/>
      <w:bookmarkEnd w:id="26"/>
    </w:p>
    <w:bookmarkEnd w:id="11"/>
    <w:bookmarkEnd w:id="12"/>
    <w:p>
      <w:pPr>
        <w:spacing w:line="360" w:lineRule="auto"/>
        <w:jc w:val="center"/>
        <w:outlineLvl w:val="0"/>
        <w:rPr>
          <w:rFonts w:hint="eastAsia" w:ascii="仿宋" w:hAnsi="仿宋" w:eastAsia="仿宋" w:cs="仿宋"/>
          <w:bCs/>
          <w:color w:val="auto"/>
          <w:sz w:val="24"/>
          <w:highlight w:val="none"/>
        </w:rPr>
      </w:pPr>
      <w:bookmarkStart w:id="27" w:name="第四部分"/>
      <w:r>
        <w:rPr>
          <w:rFonts w:hint="eastAsia" w:ascii="仿宋" w:hAnsi="仿宋" w:eastAsia="仿宋" w:cs="仿宋"/>
          <w:b/>
          <w:color w:val="auto"/>
          <w:sz w:val="36"/>
          <w:szCs w:val="36"/>
          <w:highlight w:val="none"/>
        </w:rPr>
        <w:t>第三部分   采购需求</w:t>
      </w:r>
    </w:p>
    <w:p>
      <w:pPr>
        <w:widowControl/>
        <w:shd w:val="clear" w:color="auto" w:fill="FFFFFF"/>
        <w:snapToGrid w:val="0"/>
        <w:spacing w:before="100" w:beforeAutospacing="1" w:after="120" w:line="360" w:lineRule="auto"/>
        <w:contextualSpacing/>
        <w:jc w:val="left"/>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一、项目背景</w:t>
      </w:r>
    </w:p>
    <w:p>
      <w:pPr>
        <w:adjustRightInd/>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市拱墅区人民政府长庆街道办事处为全面提升辖区综合环境面貌，综合治理各类社会城市管理问题，及时应对处置突发状况，加强街道城市综合管理力量，通过政府购买服务的形式，聘请专业的保安队伍进行相关工作。</w:t>
      </w:r>
    </w:p>
    <w:p>
      <w:pPr>
        <w:spacing w:line="360" w:lineRule="auto"/>
        <w:ind w:firstLine="480" w:firstLineChars="200"/>
        <w:jc w:val="left"/>
        <w:rPr>
          <w:rFonts w:hint="eastAsia" w:ascii="仿宋" w:hAnsi="仿宋" w:eastAsia="仿宋" w:cs="仿宋"/>
          <w:color w:val="auto"/>
          <w:highlight w:val="none"/>
        </w:rPr>
      </w:pPr>
      <w:r>
        <w:rPr>
          <w:rFonts w:hint="eastAsia" w:ascii="仿宋" w:hAnsi="仿宋" w:eastAsia="仿宋" w:cs="仿宋"/>
          <w:color w:val="auto"/>
          <w:kern w:val="0"/>
          <w:sz w:val="24"/>
          <w:highlight w:val="none"/>
        </w:rPr>
        <w:t>投标报价是履行合同的最终价格，一口价包干。本项目的投标报价，包括人员工资、各种社会保险、劳保、福利、食宿、交通、设备、利润、税金等为完成承包期内保安服务需要发生的全部费用，加班费用不在本项目内。投标人的投标价格在合同执行期间一次包干，其他市场价格波动因素自行考虑，合同总价不再作调整。采购人除以上服务费用之外不再承担其它任何费用，保安人员的薪金、福利、休假日补贴、医疗费用等均由中标单位负责，与采购人无关。</w:t>
      </w:r>
    </w:p>
    <w:p>
      <w:pPr>
        <w:numPr>
          <w:ilvl w:val="0"/>
          <w:numId w:val="1"/>
        </w:numPr>
        <w:adjustRightInd/>
        <w:spacing w:line="360" w:lineRule="auto"/>
        <w:jc w:val="left"/>
        <w:rPr>
          <w:rFonts w:hint="eastAsia" w:ascii="仿宋" w:hAnsi="仿宋" w:eastAsia="仿宋" w:cs="仿宋"/>
          <w:b/>
          <w:color w:val="auto"/>
          <w:sz w:val="28"/>
          <w:szCs w:val="28"/>
          <w:highlight w:val="none"/>
          <w:shd w:val="clear" w:color="auto" w:fill="FFFFFF"/>
        </w:rPr>
      </w:pPr>
      <w:r>
        <w:rPr>
          <w:rFonts w:hint="eastAsia" w:ascii="仿宋" w:hAnsi="仿宋" w:eastAsia="仿宋" w:cs="仿宋"/>
          <w:b/>
          <w:color w:val="auto"/>
          <w:sz w:val="28"/>
          <w:szCs w:val="28"/>
          <w:highlight w:val="none"/>
          <w:shd w:val="clear" w:color="auto" w:fill="FFFFFF"/>
        </w:rPr>
        <w:t xml:space="preserve">项目具体要求 </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保安服务场所：长庆街道管辖范围。</w:t>
      </w:r>
    </w:p>
    <w:p>
      <w:pPr>
        <w:numPr>
          <w:ilvl w:val="0"/>
          <w:numId w:val="2"/>
        </w:num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甲方（采购人，下同）向乙方（供应商，下同）聘用普通保安岗位62个。根据甲方实际需要，</w:t>
      </w:r>
      <w:r>
        <w:rPr>
          <w:rFonts w:hint="eastAsia" w:ascii="仿宋" w:hAnsi="仿宋" w:eastAsia="仿宋" w:cs="仿宋_GB2312"/>
          <w:snapToGrid w:val="0"/>
          <w:color w:val="auto"/>
          <w:kern w:val="28"/>
          <w:sz w:val="24"/>
          <w:highlight w:val="none"/>
        </w:rPr>
        <w:t>其中58个保安岗位为白班，每个岗位平均每周执勤为</w:t>
      </w:r>
      <w:r>
        <w:rPr>
          <w:rFonts w:hint="eastAsia" w:ascii="仿宋" w:hAnsi="仿宋" w:eastAsia="仿宋" w:cs="仿宋_GB2312"/>
          <w:b/>
          <w:snapToGrid w:val="0"/>
          <w:color w:val="auto"/>
          <w:kern w:val="28"/>
          <w:sz w:val="24"/>
          <w:highlight w:val="none"/>
          <w:u w:val="single"/>
        </w:rPr>
        <w:t>42</w:t>
      </w:r>
      <w:r>
        <w:rPr>
          <w:rFonts w:hint="eastAsia" w:ascii="仿宋" w:hAnsi="仿宋" w:eastAsia="仿宋" w:cs="仿宋_GB2312"/>
          <w:snapToGrid w:val="0"/>
          <w:color w:val="auto"/>
          <w:kern w:val="28"/>
          <w:sz w:val="24"/>
          <w:highlight w:val="none"/>
        </w:rPr>
        <w:t>小时，做六休一轮岗。白班每天14小时</w:t>
      </w:r>
      <w:r>
        <w:rPr>
          <w:rFonts w:hint="eastAsia" w:ascii="仿宋" w:hAnsi="仿宋" w:eastAsia="仿宋" w:cs="仿宋_GB2312"/>
          <w:snapToGrid w:val="0"/>
          <w:color w:val="auto"/>
          <w:kern w:val="28"/>
          <w:sz w:val="24"/>
          <w:highlight w:val="none"/>
          <w:lang w:eastAsia="zh-CN"/>
        </w:rPr>
        <w:t>在岗，</w:t>
      </w:r>
      <w:r>
        <w:rPr>
          <w:rFonts w:hint="eastAsia" w:ascii="仿宋" w:hAnsi="仿宋" w:eastAsia="仿宋" w:cs="仿宋_GB2312"/>
          <w:snapToGrid w:val="0"/>
          <w:color w:val="auto"/>
          <w:kern w:val="28"/>
          <w:sz w:val="24"/>
          <w:highlight w:val="none"/>
        </w:rPr>
        <w:t>分为两岗，每岗7小时。另4个保安岗位为夜班，平均每周执勤为</w:t>
      </w:r>
      <w:r>
        <w:rPr>
          <w:rFonts w:hint="eastAsia" w:ascii="仿宋" w:hAnsi="仿宋" w:eastAsia="仿宋" w:cs="仿宋_GB2312"/>
          <w:b/>
          <w:snapToGrid w:val="0"/>
          <w:color w:val="auto"/>
          <w:kern w:val="28"/>
          <w:sz w:val="24"/>
          <w:highlight w:val="none"/>
          <w:u w:val="single"/>
        </w:rPr>
        <w:t>48</w:t>
      </w:r>
      <w:r>
        <w:rPr>
          <w:rFonts w:hint="eastAsia" w:ascii="仿宋" w:hAnsi="仿宋" w:eastAsia="仿宋" w:cs="仿宋_GB2312"/>
          <w:snapToGrid w:val="0"/>
          <w:color w:val="auto"/>
          <w:kern w:val="28"/>
          <w:sz w:val="24"/>
          <w:highlight w:val="none"/>
        </w:rPr>
        <w:t>小时，做六休一轮岗，夜班岗位每天8小时</w:t>
      </w:r>
      <w:r>
        <w:rPr>
          <w:rFonts w:hint="eastAsia" w:ascii="仿宋" w:hAnsi="仿宋" w:eastAsia="仿宋" w:cs="仿宋_GB2312"/>
          <w:snapToGrid w:val="0"/>
          <w:color w:val="auto"/>
          <w:kern w:val="28"/>
          <w:sz w:val="24"/>
          <w:highlight w:val="none"/>
          <w:lang w:eastAsia="zh-CN"/>
        </w:rPr>
        <w:t>在岗。</w:t>
      </w:r>
      <w:r>
        <w:rPr>
          <w:rFonts w:hint="eastAsia" w:ascii="仿宋" w:hAnsi="仿宋" w:eastAsia="仿宋" w:cs="仿宋_GB2312"/>
          <w:snapToGrid w:val="0"/>
          <w:color w:val="auto"/>
          <w:kern w:val="28"/>
          <w:sz w:val="24"/>
          <w:highlight w:val="none"/>
        </w:rPr>
        <w:t>提供服务后，除正常休假人员外，确保不缺岗，如缺岗按实际缺岗小时数扣除当月劳务费。如采购人需要保安临时加班，一般不得超过《中华人民共和国民法典》关于加班时间的规定，并依法支付加班工资或安排同等时间补休，遇有抢险救灾等特殊情况除外。合同履行结束，将根据合同服务期内的考勤考核情况进行综合测评。</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乙方提供的保安人员要求：年龄要求1974年1月1日以后出生，其中40周岁以下人员比例不低于50%，退伍军人比例不低于20%。以上所有保安要求取得保安员上岗证，具备岗位工作技能，身体健康，无传染病及精神病等不能控制自身行为能力的疾病病史，体貌端正，无不良嗜好，无犯罪记录。</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保安队长设置</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乙方指派的一名保安队长（从事保安管理经验要求在两年以上），应具有较强的责任心和管理能力，具有较好的语言、文字表达能力和一定的沟通、协调、组织、指挥能力，负责对服务队伍的管理及与甲方的日常联络工作，并要求保证工作相对稳定。</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乙方保安员的管理职责内容：</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（1）做好日常街面巡查管理，劝导制止以下行为：</w:t>
      </w:r>
      <w:r>
        <w:rPr>
          <w:rFonts w:hint="eastAsia" w:ascii="仿宋" w:hAnsi="仿宋" w:eastAsia="仿宋" w:cs="仿宋"/>
          <w:color w:val="auto"/>
          <w:kern w:val="0"/>
          <w:sz w:val="24"/>
          <w:highlight w:val="none"/>
          <w:lang w:eastAsia="zh-CN"/>
        </w:rPr>
        <w:t>擅自</w:t>
      </w:r>
      <w:r>
        <w:rPr>
          <w:rFonts w:hint="eastAsia" w:ascii="仿宋" w:hAnsi="仿宋" w:eastAsia="仿宋" w:cs="仿宋"/>
          <w:color w:val="auto"/>
          <w:kern w:val="0"/>
          <w:sz w:val="24"/>
          <w:highlight w:val="none"/>
        </w:rPr>
        <w:t>出店（占道）经营；占道堆物；</w:t>
      </w:r>
      <w:r>
        <w:rPr>
          <w:rFonts w:hint="eastAsia" w:ascii="仿宋" w:hAnsi="仿宋" w:eastAsia="仿宋" w:cs="仿宋"/>
          <w:color w:val="auto"/>
          <w:kern w:val="0"/>
          <w:sz w:val="24"/>
          <w:highlight w:val="none"/>
          <w:lang w:eastAsia="zh-CN"/>
        </w:rPr>
        <w:t>私拉电线充电；</w:t>
      </w:r>
      <w:r>
        <w:rPr>
          <w:rFonts w:hint="eastAsia" w:ascii="仿宋" w:hAnsi="仿宋" w:eastAsia="仿宋" w:cs="仿宋"/>
          <w:color w:val="auto"/>
          <w:kern w:val="0"/>
          <w:sz w:val="24"/>
          <w:highlight w:val="none"/>
        </w:rPr>
        <w:t>店外摆放广告牌；占道装修（施工）；户外促销；设置商业</w:t>
      </w:r>
      <w:r>
        <w:rPr>
          <w:rFonts w:hint="eastAsia" w:ascii="仿宋" w:hAnsi="仿宋" w:eastAsia="仿宋" w:cs="仿宋"/>
          <w:color w:val="auto"/>
          <w:kern w:val="0"/>
          <w:sz w:val="24"/>
          <w:highlight w:val="none"/>
          <w:lang w:eastAsia="zh-CN"/>
        </w:rPr>
        <w:t>广告宣传设施</w:t>
      </w:r>
      <w:r>
        <w:rPr>
          <w:rFonts w:hint="eastAsia" w:ascii="仿宋" w:hAnsi="仿宋" w:eastAsia="仿宋" w:cs="仿宋"/>
          <w:color w:val="auto"/>
          <w:kern w:val="0"/>
          <w:sz w:val="24"/>
          <w:highlight w:val="none"/>
        </w:rPr>
        <w:t>；流动无照经营</w:t>
      </w:r>
      <w:r>
        <w:rPr>
          <w:rFonts w:hint="eastAsia" w:ascii="仿宋" w:hAnsi="仿宋" w:eastAsia="仿宋" w:cs="仿宋"/>
          <w:color w:val="auto"/>
          <w:kern w:val="0"/>
          <w:sz w:val="24"/>
          <w:highlight w:val="none"/>
          <w:lang w:eastAsia="zh-CN"/>
        </w:rPr>
        <w:t>（车卖）</w:t>
      </w:r>
      <w:r>
        <w:rPr>
          <w:rFonts w:hint="eastAsia" w:ascii="仿宋" w:hAnsi="仿宋" w:eastAsia="仿宋" w:cs="仿宋"/>
          <w:color w:val="auto"/>
          <w:kern w:val="0"/>
          <w:sz w:val="24"/>
          <w:highlight w:val="none"/>
        </w:rPr>
        <w:t>；未经批准或备案设置报刊亭、早餐车及相关设施；散发小广告；</w:t>
      </w:r>
      <w:r>
        <w:rPr>
          <w:rFonts w:hint="eastAsia" w:ascii="仿宋" w:hAnsi="仿宋" w:eastAsia="仿宋" w:cs="仿宋"/>
          <w:color w:val="auto"/>
          <w:kern w:val="0"/>
          <w:sz w:val="24"/>
          <w:highlight w:val="none"/>
          <w:lang w:eastAsia="zh-CN"/>
        </w:rPr>
        <w:t>人行道</w:t>
      </w:r>
      <w:r>
        <w:rPr>
          <w:rFonts w:hint="eastAsia" w:ascii="仿宋" w:hAnsi="仿宋" w:eastAsia="仿宋" w:cs="仿宋"/>
          <w:color w:val="auto"/>
          <w:kern w:val="0"/>
          <w:sz w:val="24"/>
          <w:highlight w:val="none"/>
        </w:rPr>
        <w:t>机动车</w:t>
      </w:r>
      <w:r>
        <w:rPr>
          <w:rFonts w:hint="eastAsia" w:ascii="仿宋" w:hAnsi="仿宋" w:eastAsia="仿宋" w:cs="仿宋"/>
          <w:color w:val="auto"/>
          <w:kern w:val="0"/>
          <w:sz w:val="24"/>
          <w:highlight w:val="none"/>
          <w:lang w:eastAsia="zh-CN"/>
        </w:rPr>
        <w:t>违停</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占用绿化</w:t>
      </w:r>
      <w:r>
        <w:rPr>
          <w:rFonts w:hint="eastAsia" w:ascii="仿宋" w:hAnsi="仿宋" w:eastAsia="仿宋" w:cs="仿宋"/>
          <w:color w:val="auto"/>
          <w:kern w:val="0"/>
          <w:sz w:val="24"/>
          <w:highlight w:val="none"/>
        </w:rPr>
        <w:t>晾晒；污水</w:t>
      </w:r>
      <w:r>
        <w:rPr>
          <w:rFonts w:hint="eastAsia" w:ascii="仿宋" w:hAnsi="仿宋" w:eastAsia="仿宋" w:cs="仿宋"/>
          <w:color w:val="auto"/>
          <w:kern w:val="0"/>
          <w:sz w:val="24"/>
          <w:highlight w:val="none"/>
          <w:lang w:eastAsia="zh-CN"/>
        </w:rPr>
        <w:t>乱排</w:t>
      </w:r>
      <w:r>
        <w:rPr>
          <w:rFonts w:hint="eastAsia" w:ascii="仿宋" w:hAnsi="仿宋" w:eastAsia="仿宋" w:cs="仿宋"/>
          <w:color w:val="auto"/>
          <w:kern w:val="0"/>
          <w:sz w:val="24"/>
          <w:highlight w:val="none"/>
        </w:rPr>
        <w:t>；渣土乱倒，车辆抛洒滴漏；互联网租赁自行车乱象；</w:t>
      </w:r>
      <w:r>
        <w:rPr>
          <w:rFonts w:hint="eastAsia" w:ascii="仿宋" w:hAnsi="仿宋" w:eastAsia="仿宋" w:cs="仿宋"/>
          <w:color w:val="auto"/>
          <w:kern w:val="0"/>
          <w:sz w:val="24"/>
          <w:highlight w:val="none"/>
          <w:lang w:eastAsia="zh-CN"/>
        </w:rPr>
        <w:t>未按规定文明养犬以及其他</w:t>
      </w:r>
      <w:r>
        <w:rPr>
          <w:rFonts w:hint="eastAsia" w:ascii="仿宋" w:hAnsi="仿宋" w:eastAsia="仿宋" w:cs="仿宋"/>
          <w:color w:val="auto"/>
          <w:kern w:val="0"/>
          <w:sz w:val="24"/>
          <w:highlight w:val="none"/>
        </w:rPr>
        <w:t>纳入街面</w:t>
      </w:r>
      <w:r>
        <w:rPr>
          <w:rFonts w:hint="eastAsia" w:ascii="仿宋" w:hAnsi="仿宋" w:eastAsia="仿宋" w:cs="仿宋"/>
          <w:color w:val="auto"/>
          <w:kern w:val="0"/>
          <w:sz w:val="24"/>
          <w:highlight w:val="none"/>
          <w:lang w:eastAsia="zh-CN"/>
        </w:rPr>
        <w:t>序化管理和环境整治</w:t>
      </w:r>
      <w:r>
        <w:rPr>
          <w:rFonts w:hint="eastAsia" w:ascii="仿宋" w:hAnsi="仿宋" w:eastAsia="仿宋" w:cs="仿宋"/>
          <w:color w:val="auto"/>
          <w:kern w:val="0"/>
          <w:sz w:val="24"/>
          <w:highlight w:val="none"/>
        </w:rPr>
        <w:t>的其他内容。</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加强市场周边秩序管控，强化做好日常街面保序。组织落实专门综合管理力量，加强环北小商品市场、环北丝绸服装城等专业市场周边环境、交通和治安秩序的综合管控，切实改善市场周边秩序。认真完成上级交办的110联动、</w:t>
      </w:r>
      <w:r>
        <w:rPr>
          <w:rFonts w:hint="eastAsia" w:ascii="仿宋" w:hAnsi="仿宋" w:eastAsia="仿宋" w:cs="仿宋"/>
          <w:color w:val="auto"/>
          <w:kern w:val="0"/>
          <w:sz w:val="24"/>
          <w:highlight w:val="none"/>
          <w:lang w:eastAsia="zh-CN"/>
        </w:rPr>
        <w:t>基层治理平台</w:t>
      </w:r>
      <w:r>
        <w:rPr>
          <w:rFonts w:hint="eastAsia" w:ascii="仿宋" w:hAnsi="仿宋" w:eastAsia="仿宋" w:cs="仿宋"/>
          <w:color w:val="auto"/>
          <w:kern w:val="0"/>
          <w:sz w:val="24"/>
          <w:highlight w:val="none"/>
        </w:rPr>
        <w:t>联动及数字城管案卷，结案率要求100%，防止超时、返工现象，避免两同问题。</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（3）做好各类执法保障工作，如上级领导视察调研走访等活动保障任务；街道拆违现场保障和维稳工作；配合街道、社区做好重大社会活动现场保障和维稳工作；其他上级交办的保障任务。</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做好治安管理工作，对区域进行亮灯、配章巡逻，重点对该区域的路面治安、生产安全、消防进行巡防。及时发现治安隐患，并报告***综合勤务指挥室，与***联合处置，排除隐患。对发现的其他苗头性问题，及时通报处理，消除安全隐患，预防治安和刑事等各类案件和事件的发生，确保辖区居民和公共财产的安全。</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做好平安巡防工作，对管理区域内发生的一般纠纷进行及时化解，如纠纷涉及人数较多，情况复杂的报***和街道进行联合调处。对发生在执勤区域内的刑事、治安案件和各类灾害事故，及时处理并上报，采取措施保护现场，配合打击不法分子，协助有关部门紧急处理突发事件。加强盲流和可疑人员管理，及时发现积极劝导，并上报街道相关科室妥善处置。</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做好社区管理工作，加强社区内部环境秩序管理，对无序停放、占道占绿的网约单车及时搬移清理，确保小区内部洁化、绿化、序化。加强小区防火、防盗、防破坏、防信息泄密等平安巡防和安全宣传，落实安全防范措施。负责配合社区做好公共卫生服务。</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（7）协助综治、城管部门依法妥善处理责任范围内的其他各类事件，确保服务区域</w:t>
      </w:r>
      <w:r>
        <w:rPr>
          <w:rFonts w:hint="eastAsia" w:ascii="仿宋" w:hAnsi="仿宋" w:eastAsia="仿宋" w:cs="仿宋"/>
          <w:color w:val="auto"/>
          <w:kern w:val="0"/>
          <w:sz w:val="24"/>
          <w:highlight w:val="none"/>
          <w:lang w:eastAsia="zh-CN"/>
        </w:rPr>
        <w:t>平安建设</w:t>
      </w:r>
      <w:r>
        <w:rPr>
          <w:rFonts w:hint="eastAsia" w:ascii="仿宋" w:hAnsi="仿宋" w:eastAsia="仿宋" w:cs="仿宋"/>
          <w:color w:val="auto"/>
          <w:kern w:val="0"/>
          <w:sz w:val="24"/>
          <w:highlight w:val="none"/>
        </w:rPr>
        <w:t>、城市管理情况良好；完成甲方交办的其他任务。</w:t>
      </w:r>
    </w:p>
    <w:p>
      <w:pPr>
        <w:spacing w:line="360" w:lineRule="auto"/>
        <w:ind w:firstLine="480" w:firstLineChars="200"/>
        <w:jc w:val="left"/>
        <w:rPr>
          <w:rFonts w:hint="eastAsia" w:eastAsia="仿宋_GB2312"/>
          <w:color w:val="auto"/>
          <w:highlight w:val="none"/>
          <w:lang w:val="en-US" w:eastAsia="zh-CN"/>
        </w:rPr>
      </w:pPr>
      <w:r>
        <w:rPr>
          <w:rFonts w:hint="eastAsia" w:ascii="仿宋" w:hAnsi="仿宋" w:eastAsia="仿宋" w:cs="仿宋"/>
          <w:color w:val="auto"/>
          <w:kern w:val="0"/>
          <w:sz w:val="24"/>
          <w:highlight w:val="none"/>
        </w:rPr>
        <w:t>保安服务费用付款方式：</w:t>
      </w:r>
      <w:r>
        <w:rPr>
          <w:rFonts w:hint="eastAsia" w:ascii="仿宋" w:hAnsi="仿宋" w:eastAsia="仿宋" w:cs="仿宋"/>
          <w:color w:val="auto"/>
          <w:kern w:val="0"/>
          <w:sz w:val="24"/>
          <w:highlight w:val="none"/>
          <w:lang w:val="en-US" w:eastAsia="zh-CN"/>
        </w:rPr>
        <w:t>合同签订后支付合同金额70%的</w:t>
      </w:r>
      <w:r>
        <w:rPr>
          <w:rFonts w:hint="eastAsia" w:ascii="仿宋" w:hAnsi="仿宋" w:eastAsia="仿宋" w:cs="仿宋"/>
          <w:color w:val="auto"/>
          <w:kern w:val="0"/>
          <w:sz w:val="24"/>
          <w:highlight w:val="none"/>
        </w:rPr>
        <w:t>预付款</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lang w:val="en-US" w:eastAsia="zh-CN"/>
        </w:rPr>
        <w:t>合同履行结束</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lang w:val="en-US" w:eastAsia="zh-CN"/>
        </w:rPr>
        <w:t>项目验收合格之后，</w:t>
      </w:r>
      <w:r>
        <w:rPr>
          <w:rFonts w:hint="eastAsia" w:ascii="仿宋" w:hAnsi="仿宋" w:eastAsia="仿宋" w:cs="仿宋"/>
          <w:color w:val="auto"/>
          <w:kern w:val="0"/>
          <w:sz w:val="24"/>
          <w:highlight w:val="none"/>
          <w:lang w:val="en-US" w:eastAsia="zh-CN"/>
        </w:rPr>
        <w:t>根据服务考核情况，扣除相应考核扣款费用后，支付剩余</w:t>
      </w:r>
      <w:r>
        <w:rPr>
          <w:rFonts w:hint="eastAsia" w:ascii="仿宋" w:hAnsi="仿宋" w:eastAsia="仿宋" w:cs="仿宋"/>
          <w:color w:val="auto"/>
          <w:kern w:val="0"/>
          <w:sz w:val="24"/>
          <w:highlight w:val="none"/>
        </w:rPr>
        <w:t>尾款</w:t>
      </w:r>
      <w:r>
        <w:rPr>
          <w:rFonts w:hint="eastAsia" w:ascii="仿宋" w:hAnsi="仿宋" w:eastAsia="仿宋" w:cs="仿宋"/>
          <w:color w:val="auto"/>
          <w:kern w:val="0"/>
          <w:sz w:val="24"/>
          <w:highlight w:val="none"/>
          <w:lang w:eastAsia="zh-CN"/>
        </w:rPr>
        <w:t>。</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合同期限：自合同签订生效之日起一年。</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合同期内，供应商能严格履行合同，通过采购单位的年终考核，经双方协商，采购人在合同期满前一个月内向下城区政府采购监管部门提出申请，经批准同意后续签一年。若在合同期内乙方有严重违约行为或考核不合格的，甲方有权提前终止合同，由此造成的一切后果和损失由乙方承担。</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违约责任及监督机制考核：</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社会监督及上级检查考核：采购人成立综合考评小组，结合领导交办、群众举报及日常巡查情况，每月考核一次。</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乙方保安员因工作失职造成甲方损失，经公安机关查证属实，确认保安失职：一是追究直接责任人的行政、法律责任；二是由甲乙双方协商解决所造成的损失。</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（3）甲乙双方均应忠实履行合同。乙方在未能或无法履行职责时，甲方有权中途解除合同。</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因不可抗力或甲方自身原因造成的经济损失，乙方不承担责任；如合同执行期间因国家、地方政策或其他情况等因素需变更相应条款、费用的，由甲、乙双方友好协商解决，后签订的补充协议与原合同具有同等的法律效力。</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保安服务外包方式</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（1）本服务项目总价包括但不限于人员工资、加班费、各种社会保险、劳保、福利、食宿、交通、设备、利润、税金等为完成承包期内保安服务需要发生的全部费用。</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（2）乙方负责工作人员的招聘、使用、管理、调配和辞退。若有违反相关规定，对工作不负责的工作人员，甲方有权进行退回处理。</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服务人员的健康状况（包括操作不规范等因素造成的安全责任事故）全部费用由乙方承担，甲方不承担任何责任；乙方必须根据国家《劳动法》合法用工，依法为每位员工支付各类社会保险；如用工不当，给甲方造成损失由乙方承担。</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（4）乙方在承包期间内与外界发生的一切债权、债务等纠纷均与甲方无关。</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（5）保安服务中使用的技术防范产品，应当符合有关的产品质量要求。</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（6）保安服务中形成的监控影像资料、报警记录，应当至少留存30日备查，保安服务单位不得删改或者扩散。</w:t>
      </w:r>
    </w:p>
    <w:p>
      <w:pPr>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（7）甲方如需乙方完成喷雾消毒、灭鼠、灭蝇等工作，乙方应无条件配合。</w:t>
      </w:r>
    </w:p>
    <w:p>
      <w:pPr>
        <w:widowControl/>
        <w:snapToGrid w:val="0"/>
        <w:spacing w:before="24" w:beforeLines="10" w:line="360" w:lineRule="auto"/>
        <w:rPr>
          <w:rFonts w:hint="eastAsia" w:ascii="仿宋" w:hAnsi="仿宋" w:eastAsia="仿宋" w:cs="仿宋"/>
          <w:b/>
          <w:snapToGrid w:val="0"/>
          <w:color w:val="auto"/>
          <w:kern w:val="28"/>
          <w:sz w:val="28"/>
          <w:highlight w:val="none"/>
        </w:rPr>
      </w:pPr>
      <w:r>
        <w:rPr>
          <w:rFonts w:hint="eastAsia" w:ascii="仿宋" w:hAnsi="仿宋" w:eastAsia="仿宋" w:cs="仿宋"/>
          <w:b/>
          <w:snapToGrid w:val="0"/>
          <w:color w:val="auto"/>
          <w:kern w:val="28"/>
          <w:sz w:val="28"/>
          <w:highlight w:val="none"/>
        </w:rPr>
        <w:t>三、其他说明</w:t>
      </w:r>
    </w:p>
    <w:p>
      <w:pPr>
        <w:adjustRightInd/>
        <w:spacing w:line="360" w:lineRule="auto"/>
        <w:rPr>
          <w:rFonts w:hint="eastAsia" w:ascii="仿宋" w:hAnsi="仿宋" w:eastAsia="仿宋" w:cs="仿宋"/>
          <w:b/>
          <w:snapToGrid w:val="0"/>
          <w:color w:val="auto"/>
          <w:kern w:val="28"/>
          <w:sz w:val="24"/>
          <w:szCs w:val="20"/>
          <w:highlight w:val="none"/>
        </w:rPr>
      </w:pPr>
      <w:r>
        <w:rPr>
          <w:rFonts w:hint="eastAsia" w:ascii="仿宋" w:hAnsi="仿宋" w:eastAsia="仿宋" w:cs="仿宋"/>
          <w:color w:val="auto"/>
          <w:sz w:val="24"/>
          <w:szCs w:val="20"/>
          <w:highlight w:val="none"/>
        </w:rPr>
        <w:t>▲</w:t>
      </w:r>
      <w:r>
        <w:rPr>
          <w:rFonts w:hint="eastAsia" w:ascii="仿宋" w:hAnsi="仿宋" w:eastAsia="仿宋" w:cs="仿宋"/>
          <w:b/>
          <w:snapToGrid w:val="0"/>
          <w:color w:val="auto"/>
          <w:kern w:val="28"/>
          <w:sz w:val="24"/>
          <w:szCs w:val="20"/>
          <w:highlight w:val="none"/>
        </w:rPr>
        <w:t>1、本项目要求中乙方所提供的保安人员都需持证上岗。(提供保安员证复印件)</w:t>
      </w:r>
    </w:p>
    <w:p>
      <w:pPr>
        <w:adjustRightInd/>
        <w:spacing w:line="360" w:lineRule="auto"/>
        <w:rPr>
          <w:rFonts w:hint="eastAsia" w:ascii="仿宋" w:hAnsi="仿宋" w:eastAsia="仿宋" w:cs="仿宋"/>
          <w:b/>
          <w:snapToGrid w:val="0"/>
          <w:color w:val="auto"/>
          <w:kern w:val="28"/>
          <w:sz w:val="24"/>
          <w:szCs w:val="20"/>
          <w:highlight w:val="none"/>
        </w:rPr>
      </w:pPr>
      <w:r>
        <w:rPr>
          <w:rFonts w:hint="eastAsia" w:ascii="仿宋" w:hAnsi="仿宋" w:eastAsia="仿宋" w:cs="仿宋"/>
          <w:color w:val="auto"/>
          <w:sz w:val="24"/>
          <w:szCs w:val="20"/>
          <w:highlight w:val="none"/>
        </w:rPr>
        <w:t>▲</w:t>
      </w:r>
      <w:r>
        <w:rPr>
          <w:rFonts w:hint="eastAsia" w:ascii="仿宋" w:hAnsi="仿宋" w:eastAsia="仿宋" w:cs="仿宋"/>
          <w:b/>
          <w:snapToGrid w:val="0"/>
          <w:color w:val="auto"/>
          <w:kern w:val="28"/>
          <w:sz w:val="24"/>
          <w:szCs w:val="20"/>
          <w:highlight w:val="none"/>
        </w:rPr>
        <w:t>2、本项目要求中乙方所提供的每周工作时间需满足</w:t>
      </w:r>
      <w:r>
        <w:rPr>
          <w:rFonts w:hint="eastAsia" w:ascii="仿宋" w:hAnsi="仿宋" w:eastAsia="仿宋" w:cs="仿宋"/>
          <w:b/>
          <w:snapToGrid w:val="0"/>
          <w:color w:val="auto"/>
          <w:kern w:val="28"/>
          <w:sz w:val="24"/>
          <w:szCs w:val="20"/>
          <w:highlight w:val="none"/>
          <w:lang w:eastAsia="zh-CN"/>
        </w:rPr>
        <w:t>，</w:t>
      </w:r>
      <w:r>
        <w:rPr>
          <w:rFonts w:hint="eastAsia" w:ascii="仿宋" w:hAnsi="仿宋" w:eastAsia="仿宋" w:cs="仿宋_GB2312"/>
          <w:b/>
          <w:snapToGrid w:val="0"/>
          <w:color w:val="auto"/>
          <w:kern w:val="28"/>
          <w:sz w:val="24"/>
          <w:highlight w:val="none"/>
        </w:rPr>
        <w:t>每月应提交人员考勤表。</w:t>
      </w:r>
      <w:r>
        <w:rPr>
          <w:rFonts w:hint="eastAsia" w:ascii="仿宋" w:hAnsi="仿宋" w:eastAsia="仿宋" w:cs="仿宋"/>
          <w:b/>
          <w:snapToGrid w:val="0"/>
          <w:color w:val="auto"/>
          <w:kern w:val="28"/>
          <w:sz w:val="24"/>
          <w:szCs w:val="20"/>
          <w:highlight w:val="none"/>
        </w:rPr>
        <w:t>(需提供承诺函)</w:t>
      </w:r>
    </w:p>
    <w:p>
      <w:pPr>
        <w:spacing w:line="360" w:lineRule="auto"/>
        <w:rPr>
          <w:rFonts w:hint="eastAsia" w:ascii="仿宋" w:hAnsi="仿宋" w:eastAsia="仿宋" w:cs="仿宋"/>
          <w:b/>
          <w:snapToGrid w:val="0"/>
          <w:color w:val="auto"/>
          <w:kern w:val="28"/>
          <w:sz w:val="24"/>
          <w:highlight w:val="none"/>
        </w:rPr>
        <w:sectPr>
          <w:headerReference r:id="rId10" w:type="first"/>
          <w:footerReference r:id="rId13" w:type="first"/>
          <w:headerReference r:id="rId8" w:type="default"/>
          <w:footerReference r:id="rId11" w:type="default"/>
          <w:headerReference r:id="rId9" w:type="even"/>
          <w:footerReference r:id="rId12" w:type="even"/>
          <w:pgSz w:w="11906" w:h="16838"/>
          <w:pgMar w:top="284" w:right="1418" w:bottom="1247" w:left="1418" w:header="851" w:footer="992" w:gutter="0"/>
          <w:cols w:space="720" w:num="1"/>
          <w:titlePg/>
          <w:docGrid w:linePitch="312" w:charSpace="0"/>
        </w:sectPr>
      </w:pPr>
      <w:r>
        <w:rPr>
          <w:rFonts w:hint="eastAsia" w:ascii="仿宋" w:hAnsi="仿宋" w:eastAsia="仿宋" w:cs="仿宋"/>
          <w:color w:val="auto"/>
          <w:sz w:val="24"/>
          <w:szCs w:val="20"/>
          <w:highlight w:val="none"/>
        </w:rPr>
        <w:t>▲</w:t>
      </w:r>
      <w:r>
        <w:rPr>
          <w:rFonts w:hint="eastAsia" w:ascii="仿宋" w:hAnsi="仿宋" w:eastAsia="仿宋" w:cs="仿宋"/>
          <w:b/>
          <w:snapToGrid w:val="0"/>
          <w:color w:val="auto"/>
          <w:kern w:val="28"/>
          <w:sz w:val="24"/>
          <w:szCs w:val="20"/>
          <w:highlight w:val="none"/>
        </w:rPr>
        <w:t>3、本项目如甲方有要求增加的临时应急处理的其他工作，乙方需承诺无条件在1小时内组织30名保安协助甲方处理临时应急工作；临时派遣的保安人员身体素质、业务技能等各类要求与常驻保安人员相同，按实结算，另行支付。(需提供承诺函)</w:t>
      </w:r>
    </w:p>
    <w:p>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8" w:name="_Toc184314419"/>
      <w:bookmarkEnd w:id="28"/>
      <w:bookmarkStart w:id="29" w:name="_Toc184310283"/>
      <w:bookmarkEnd w:id="29"/>
      <w:bookmarkStart w:id="30" w:name="_Toc184310303"/>
      <w:bookmarkEnd w:id="30"/>
      <w:bookmarkStart w:id="31" w:name="_Toc184308038"/>
      <w:bookmarkEnd w:id="31"/>
      <w:bookmarkStart w:id="32" w:name="_Toc184312107"/>
      <w:bookmarkEnd w:id="32"/>
      <w:bookmarkStart w:id="33" w:name="_Toc184314443"/>
      <w:bookmarkEnd w:id="33"/>
      <w:bookmarkStart w:id="34" w:name="_Toc184312138"/>
      <w:bookmarkEnd w:id="34"/>
      <w:bookmarkStart w:id="35" w:name="_Toc184312101"/>
      <w:bookmarkEnd w:id="35"/>
      <w:bookmarkStart w:id="36" w:name="_Toc184308087"/>
      <w:bookmarkEnd w:id="36"/>
      <w:bookmarkStart w:id="37" w:name="_Toc184308061"/>
      <w:bookmarkEnd w:id="37"/>
      <w:bookmarkStart w:id="38" w:name="_Toc184310343"/>
      <w:bookmarkEnd w:id="38"/>
      <w:bookmarkStart w:id="39" w:name="_Toc184310301"/>
      <w:bookmarkEnd w:id="39"/>
      <w:bookmarkStart w:id="40" w:name="_Toc184312137"/>
      <w:bookmarkEnd w:id="40"/>
      <w:bookmarkStart w:id="41" w:name="_Toc184308053"/>
      <w:bookmarkEnd w:id="41"/>
      <w:bookmarkStart w:id="42" w:name="_Toc184314470"/>
      <w:bookmarkEnd w:id="42"/>
      <w:bookmarkStart w:id="43" w:name="_Toc184308091"/>
      <w:bookmarkEnd w:id="43"/>
      <w:bookmarkStart w:id="44" w:name="_Toc184313275"/>
      <w:bookmarkEnd w:id="44"/>
      <w:bookmarkStart w:id="45" w:name="_Toc184314453"/>
      <w:bookmarkEnd w:id="45"/>
      <w:bookmarkStart w:id="46" w:name="_Toc184312130"/>
      <w:bookmarkEnd w:id="46"/>
      <w:bookmarkStart w:id="47" w:name="_Toc184313268"/>
      <w:bookmarkEnd w:id="47"/>
      <w:bookmarkStart w:id="48" w:name="_Toc184310340"/>
      <w:bookmarkEnd w:id="48"/>
      <w:bookmarkStart w:id="49" w:name="_Toc184312100"/>
      <w:bookmarkEnd w:id="49"/>
      <w:bookmarkStart w:id="50" w:name="_Toc184314428"/>
      <w:bookmarkEnd w:id="50"/>
      <w:bookmarkStart w:id="51" w:name="_Toc184308103"/>
      <w:bookmarkEnd w:id="51"/>
      <w:bookmarkStart w:id="52" w:name="_Toc184312089"/>
      <w:bookmarkEnd w:id="52"/>
      <w:bookmarkStart w:id="53" w:name="_Toc184312108"/>
      <w:bookmarkEnd w:id="53"/>
      <w:bookmarkStart w:id="54" w:name="_Toc184312106"/>
      <w:bookmarkEnd w:id="54"/>
      <w:bookmarkStart w:id="55" w:name="_Toc184312067"/>
      <w:bookmarkEnd w:id="55"/>
      <w:bookmarkStart w:id="56" w:name="_Toc184312119"/>
      <w:bookmarkEnd w:id="56"/>
      <w:bookmarkStart w:id="57" w:name="_Toc184310325"/>
      <w:bookmarkEnd w:id="57"/>
      <w:bookmarkStart w:id="58" w:name="_Toc184312095"/>
      <w:bookmarkEnd w:id="58"/>
      <w:bookmarkStart w:id="59" w:name="_Toc184313273"/>
      <w:bookmarkEnd w:id="59"/>
      <w:bookmarkStart w:id="60" w:name="_Toc184313267"/>
      <w:bookmarkEnd w:id="60"/>
      <w:bookmarkStart w:id="61" w:name="_Toc184312123"/>
      <w:bookmarkEnd w:id="61"/>
      <w:bookmarkStart w:id="62" w:name="_Toc184314438"/>
      <w:bookmarkEnd w:id="62"/>
      <w:bookmarkStart w:id="63" w:name="_Toc184310322"/>
      <w:bookmarkEnd w:id="63"/>
      <w:bookmarkStart w:id="64" w:name="_Toc184314431"/>
      <w:bookmarkEnd w:id="64"/>
      <w:bookmarkStart w:id="65" w:name="_Toc184310317"/>
      <w:bookmarkEnd w:id="65"/>
      <w:bookmarkStart w:id="66" w:name="_Toc184308067"/>
      <w:bookmarkEnd w:id="66"/>
      <w:bookmarkStart w:id="67" w:name="_Toc184308088"/>
      <w:bookmarkEnd w:id="67"/>
      <w:bookmarkStart w:id="68" w:name="_Toc184312117"/>
      <w:bookmarkEnd w:id="68"/>
      <w:bookmarkStart w:id="69" w:name="_Toc184312093"/>
      <w:bookmarkEnd w:id="69"/>
      <w:bookmarkStart w:id="70" w:name="_Toc184313261"/>
      <w:bookmarkEnd w:id="70"/>
      <w:bookmarkStart w:id="71" w:name="_Toc184313294"/>
      <w:bookmarkEnd w:id="71"/>
      <w:bookmarkStart w:id="72" w:name="_Toc184310326"/>
      <w:bookmarkEnd w:id="72"/>
      <w:bookmarkStart w:id="73" w:name="_Toc184312090"/>
      <w:bookmarkEnd w:id="73"/>
      <w:bookmarkStart w:id="74" w:name="_Toc184314433"/>
      <w:bookmarkEnd w:id="74"/>
      <w:bookmarkStart w:id="75" w:name="_Toc184312084"/>
      <w:bookmarkEnd w:id="75"/>
      <w:bookmarkStart w:id="76" w:name="_Toc184308097"/>
      <w:bookmarkEnd w:id="76"/>
      <w:bookmarkStart w:id="77" w:name="_Toc184308041"/>
      <w:bookmarkEnd w:id="77"/>
      <w:bookmarkStart w:id="78" w:name="_Toc184310280"/>
      <w:bookmarkEnd w:id="78"/>
      <w:bookmarkStart w:id="79" w:name="_Toc184310285"/>
      <w:bookmarkEnd w:id="79"/>
      <w:bookmarkStart w:id="80" w:name="_Toc184310287"/>
      <w:bookmarkEnd w:id="80"/>
      <w:bookmarkStart w:id="81" w:name="_Toc184312136"/>
      <w:bookmarkEnd w:id="81"/>
      <w:bookmarkStart w:id="82" w:name="_Toc184308062"/>
      <w:bookmarkEnd w:id="82"/>
      <w:bookmarkStart w:id="83" w:name="_Toc184308090"/>
      <w:bookmarkEnd w:id="83"/>
      <w:bookmarkStart w:id="84" w:name="_Toc184312128"/>
      <w:bookmarkEnd w:id="84"/>
      <w:bookmarkStart w:id="85" w:name="_Toc184308055"/>
      <w:bookmarkEnd w:id="85"/>
      <w:bookmarkStart w:id="86" w:name="_Toc184310272"/>
      <w:bookmarkEnd w:id="86"/>
      <w:bookmarkStart w:id="87" w:name="_Toc184313301"/>
      <w:bookmarkEnd w:id="87"/>
      <w:bookmarkStart w:id="88" w:name="_Toc184312071"/>
      <w:bookmarkEnd w:id="88"/>
      <w:bookmarkStart w:id="89" w:name="_Toc184308102"/>
      <w:bookmarkEnd w:id="89"/>
      <w:bookmarkStart w:id="90" w:name="_Toc184310291"/>
      <w:bookmarkEnd w:id="90"/>
      <w:bookmarkStart w:id="91" w:name="_Toc184308046"/>
      <w:bookmarkEnd w:id="91"/>
      <w:bookmarkStart w:id="92" w:name="_Toc184310275"/>
      <w:bookmarkEnd w:id="92"/>
      <w:bookmarkStart w:id="93" w:name="_Toc184314461"/>
      <w:bookmarkEnd w:id="93"/>
      <w:bookmarkStart w:id="94" w:name="_Toc184308064"/>
      <w:bookmarkEnd w:id="94"/>
      <w:bookmarkStart w:id="95" w:name="_Toc184313245"/>
      <w:bookmarkEnd w:id="95"/>
      <w:bookmarkStart w:id="96" w:name="_Toc184314480"/>
      <w:bookmarkEnd w:id="96"/>
      <w:bookmarkStart w:id="97" w:name="_Toc184312127"/>
      <w:bookmarkEnd w:id="97"/>
      <w:bookmarkStart w:id="98" w:name="_Toc184308069"/>
      <w:bookmarkEnd w:id="98"/>
      <w:bookmarkStart w:id="99" w:name="_Toc184312068"/>
      <w:bookmarkEnd w:id="99"/>
      <w:bookmarkStart w:id="100" w:name="_Toc184308039"/>
      <w:bookmarkEnd w:id="100"/>
      <w:bookmarkStart w:id="101" w:name="_Toc184310331"/>
      <w:bookmarkEnd w:id="101"/>
      <w:bookmarkStart w:id="102" w:name="_Toc184313265"/>
      <w:bookmarkEnd w:id="102"/>
      <w:bookmarkStart w:id="103" w:name="_Toc184308045"/>
      <w:bookmarkEnd w:id="103"/>
      <w:bookmarkStart w:id="104" w:name="_Toc184314447"/>
      <w:bookmarkEnd w:id="104"/>
      <w:bookmarkStart w:id="105" w:name="_Toc184314479"/>
      <w:bookmarkEnd w:id="105"/>
      <w:bookmarkStart w:id="106" w:name="_Toc184314459"/>
      <w:bookmarkEnd w:id="106"/>
      <w:bookmarkStart w:id="107" w:name="_Toc184310330"/>
      <w:bookmarkEnd w:id="107"/>
      <w:bookmarkStart w:id="108" w:name="_Toc184308043"/>
      <w:bookmarkEnd w:id="108"/>
      <w:bookmarkStart w:id="109" w:name="_Toc184312096"/>
      <w:bookmarkEnd w:id="109"/>
      <w:bookmarkStart w:id="110" w:name="_Toc184314474"/>
      <w:bookmarkEnd w:id="110"/>
      <w:bookmarkStart w:id="111" w:name="_Toc184313283"/>
      <w:bookmarkEnd w:id="111"/>
      <w:bookmarkStart w:id="112" w:name="_Toc184310297"/>
      <w:bookmarkEnd w:id="112"/>
      <w:bookmarkStart w:id="113" w:name="_Toc184312121"/>
      <w:bookmarkEnd w:id="113"/>
      <w:bookmarkStart w:id="114" w:name="_Toc184308083"/>
      <w:bookmarkEnd w:id="114"/>
      <w:bookmarkStart w:id="115" w:name="_Toc184310328"/>
      <w:bookmarkEnd w:id="115"/>
      <w:bookmarkStart w:id="116" w:name="_Toc184314471"/>
      <w:bookmarkEnd w:id="116"/>
      <w:bookmarkStart w:id="117" w:name="_Toc184313257"/>
      <w:bookmarkEnd w:id="117"/>
      <w:bookmarkStart w:id="118" w:name="_Toc184312077"/>
      <w:bookmarkEnd w:id="118"/>
      <w:bookmarkStart w:id="119" w:name="_Toc184308065"/>
      <w:bookmarkEnd w:id="119"/>
      <w:bookmarkStart w:id="120" w:name="_Toc184313260"/>
      <w:bookmarkEnd w:id="120"/>
      <w:bookmarkStart w:id="121" w:name="_Toc184310316"/>
      <w:bookmarkEnd w:id="121"/>
      <w:bookmarkStart w:id="122" w:name="_Toc184314458"/>
      <w:bookmarkEnd w:id="122"/>
      <w:bookmarkStart w:id="123" w:name="_Toc184308048"/>
      <w:bookmarkEnd w:id="123"/>
      <w:bookmarkStart w:id="124" w:name="_Toc184314467"/>
      <w:bookmarkEnd w:id="124"/>
      <w:bookmarkStart w:id="125" w:name="_Toc184310339"/>
      <w:bookmarkEnd w:id="125"/>
      <w:bookmarkStart w:id="126" w:name="_Toc184310314"/>
      <w:bookmarkEnd w:id="126"/>
      <w:bookmarkStart w:id="127" w:name="_Toc184310289"/>
      <w:bookmarkEnd w:id="127"/>
      <w:bookmarkStart w:id="128" w:name="_Toc184314432"/>
      <w:bookmarkEnd w:id="128"/>
      <w:bookmarkStart w:id="129" w:name="_Toc184308106"/>
      <w:bookmarkEnd w:id="129"/>
      <w:bookmarkStart w:id="130" w:name="_Toc184312086"/>
      <w:bookmarkEnd w:id="130"/>
      <w:bookmarkStart w:id="131" w:name="_Toc184308089"/>
      <w:bookmarkEnd w:id="131"/>
      <w:bookmarkStart w:id="132" w:name="_Toc184314411"/>
      <w:bookmarkEnd w:id="132"/>
      <w:bookmarkStart w:id="133" w:name="_Toc184308040"/>
      <w:bookmarkEnd w:id="133"/>
      <w:bookmarkStart w:id="134" w:name="_Toc184310290"/>
      <w:bookmarkEnd w:id="134"/>
      <w:bookmarkStart w:id="135" w:name="_Toc184313266"/>
      <w:bookmarkEnd w:id="135"/>
      <w:bookmarkStart w:id="136" w:name="_Toc184310341"/>
      <w:bookmarkEnd w:id="136"/>
      <w:bookmarkStart w:id="137" w:name="_Toc184308092"/>
      <w:bookmarkEnd w:id="137"/>
      <w:bookmarkStart w:id="138" w:name="_Toc184313279"/>
      <w:bookmarkEnd w:id="138"/>
      <w:bookmarkStart w:id="139" w:name="_Toc184310323"/>
      <w:bookmarkEnd w:id="139"/>
      <w:bookmarkStart w:id="140" w:name="_Toc184313307"/>
      <w:bookmarkEnd w:id="140"/>
      <w:bookmarkStart w:id="141" w:name="_Toc184313309"/>
      <w:bookmarkEnd w:id="141"/>
      <w:bookmarkStart w:id="142" w:name="_Toc184310327"/>
      <w:bookmarkEnd w:id="142"/>
      <w:bookmarkStart w:id="143" w:name="_Toc184310300"/>
      <w:bookmarkEnd w:id="143"/>
      <w:bookmarkStart w:id="144" w:name="_Toc184312103"/>
      <w:bookmarkEnd w:id="144"/>
      <w:bookmarkStart w:id="145" w:name="_Toc184314464"/>
      <w:bookmarkEnd w:id="145"/>
      <w:bookmarkStart w:id="146" w:name="_Toc184313297"/>
      <w:bookmarkEnd w:id="146"/>
      <w:bookmarkStart w:id="147" w:name="_Toc184313295"/>
      <w:bookmarkEnd w:id="147"/>
      <w:bookmarkStart w:id="148" w:name="_Toc184308095"/>
      <w:bookmarkEnd w:id="148"/>
      <w:bookmarkStart w:id="149" w:name="_Toc184313259"/>
      <w:bookmarkEnd w:id="149"/>
      <w:bookmarkStart w:id="150" w:name="_Toc184310310"/>
      <w:bookmarkEnd w:id="150"/>
      <w:bookmarkStart w:id="151" w:name="_Toc184310313"/>
      <w:bookmarkEnd w:id="151"/>
      <w:bookmarkStart w:id="152" w:name="_Toc184312105"/>
      <w:bookmarkEnd w:id="152"/>
      <w:bookmarkStart w:id="153" w:name="_Toc184314468"/>
      <w:bookmarkEnd w:id="153"/>
      <w:bookmarkStart w:id="154" w:name="_Toc184312129"/>
      <w:bookmarkEnd w:id="154"/>
      <w:bookmarkStart w:id="155" w:name="_Toc184313250"/>
      <w:bookmarkEnd w:id="155"/>
      <w:bookmarkStart w:id="156" w:name="_Toc184314450"/>
      <w:bookmarkEnd w:id="156"/>
      <w:bookmarkStart w:id="157" w:name="_Toc184313254"/>
      <w:bookmarkEnd w:id="157"/>
      <w:bookmarkStart w:id="158" w:name="_Toc184313255"/>
      <w:bookmarkEnd w:id="158"/>
      <w:bookmarkStart w:id="159" w:name="_Toc184313308"/>
      <w:bookmarkEnd w:id="159"/>
      <w:bookmarkStart w:id="160" w:name="_Toc184308060"/>
      <w:bookmarkEnd w:id="160"/>
      <w:bookmarkStart w:id="161" w:name="_Toc184314425"/>
      <w:bookmarkEnd w:id="161"/>
      <w:bookmarkStart w:id="162" w:name="_Toc184312102"/>
      <w:bookmarkEnd w:id="162"/>
      <w:bookmarkStart w:id="163" w:name="_Toc184308107"/>
      <w:bookmarkEnd w:id="163"/>
      <w:bookmarkStart w:id="164" w:name="_Toc184313249"/>
      <w:bookmarkEnd w:id="164"/>
      <w:bookmarkStart w:id="165" w:name="_Toc184313276"/>
      <w:bookmarkEnd w:id="165"/>
      <w:bookmarkStart w:id="166" w:name="_Toc184313302"/>
      <w:bookmarkEnd w:id="166"/>
      <w:bookmarkStart w:id="167" w:name="_Toc184310294"/>
      <w:bookmarkEnd w:id="167"/>
      <w:bookmarkStart w:id="168" w:name="_Toc184314437"/>
      <w:bookmarkEnd w:id="168"/>
      <w:bookmarkStart w:id="169" w:name="_Toc184308093"/>
      <w:bookmarkEnd w:id="169"/>
      <w:bookmarkStart w:id="170" w:name="_Toc184313258"/>
      <w:bookmarkEnd w:id="170"/>
      <w:bookmarkStart w:id="171" w:name="_Toc184310302"/>
      <w:bookmarkEnd w:id="171"/>
      <w:bookmarkStart w:id="172" w:name="_Toc184314430"/>
      <w:bookmarkEnd w:id="172"/>
      <w:bookmarkStart w:id="173" w:name="_Toc184312070"/>
      <w:bookmarkEnd w:id="173"/>
      <w:bookmarkStart w:id="174" w:name="_Toc184310292"/>
      <w:bookmarkEnd w:id="174"/>
      <w:bookmarkStart w:id="175" w:name="_Toc184314410"/>
      <w:bookmarkEnd w:id="175"/>
      <w:bookmarkStart w:id="176" w:name="_Toc184310293"/>
      <w:bookmarkEnd w:id="176"/>
      <w:bookmarkStart w:id="177" w:name="_Toc184308037"/>
      <w:bookmarkEnd w:id="177"/>
      <w:bookmarkStart w:id="178" w:name="_Toc184310299"/>
      <w:bookmarkEnd w:id="178"/>
      <w:bookmarkStart w:id="179" w:name="_Toc184314477"/>
      <w:bookmarkEnd w:id="179"/>
      <w:bookmarkStart w:id="180" w:name="_Toc184312112"/>
      <w:bookmarkEnd w:id="180"/>
      <w:bookmarkStart w:id="181" w:name="_Toc184310305"/>
      <w:bookmarkEnd w:id="181"/>
      <w:bookmarkStart w:id="182" w:name="_Toc184314456"/>
      <w:bookmarkEnd w:id="182"/>
      <w:bookmarkStart w:id="183" w:name="_Toc184313240"/>
      <w:bookmarkEnd w:id="183"/>
      <w:bookmarkStart w:id="184" w:name="_Toc184313291"/>
      <w:bookmarkEnd w:id="184"/>
      <w:bookmarkStart w:id="185" w:name="_Toc184312124"/>
      <w:bookmarkEnd w:id="185"/>
      <w:bookmarkStart w:id="186" w:name="_Toc184308054"/>
      <w:bookmarkEnd w:id="186"/>
      <w:bookmarkStart w:id="187" w:name="_Toc184313305"/>
      <w:bookmarkEnd w:id="187"/>
      <w:bookmarkStart w:id="188" w:name="_Toc184308079"/>
      <w:bookmarkEnd w:id="188"/>
      <w:bookmarkStart w:id="189" w:name="_Toc184314469"/>
      <w:bookmarkEnd w:id="189"/>
      <w:bookmarkStart w:id="190" w:name="_Toc184313300"/>
      <w:bookmarkEnd w:id="190"/>
      <w:bookmarkStart w:id="191" w:name="_Toc184314481"/>
      <w:bookmarkEnd w:id="191"/>
      <w:bookmarkStart w:id="192" w:name="_Toc184308076"/>
      <w:bookmarkEnd w:id="192"/>
      <w:bookmarkStart w:id="193" w:name="_Toc184310336"/>
      <w:bookmarkEnd w:id="193"/>
      <w:bookmarkStart w:id="194" w:name="_Toc184313281"/>
      <w:bookmarkEnd w:id="194"/>
      <w:bookmarkStart w:id="195" w:name="_Toc184308047"/>
      <w:bookmarkEnd w:id="195"/>
      <w:bookmarkStart w:id="196" w:name="_Toc184314424"/>
      <w:bookmarkEnd w:id="196"/>
      <w:bookmarkStart w:id="197" w:name="_Toc184312122"/>
      <w:bookmarkEnd w:id="197"/>
      <w:bookmarkStart w:id="198" w:name="_Toc184313247"/>
      <w:bookmarkEnd w:id="198"/>
      <w:bookmarkStart w:id="199" w:name="_Toc184310321"/>
      <w:bookmarkEnd w:id="199"/>
      <w:bookmarkStart w:id="200" w:name="_Toc184312118"/>
      <w:bookmarkEnd w:id="200"/>
      <w:bookmarkStart w:id="201" w:name="_Toc184312087"/>
      <w:bookmarkEnd w:id="201"/>
      <w:bookmarkStart w:id="202" w:name="_Toc184308101"/>
      <w:bookmarkEnd w:id="202"/>
      <w:bookmarkStart w:id="203" w:name="_Toc184313263"/>
      <w:bookmarkEnd w:id="203"/>
      <w:bookmarkStart w:id="204" w:name="_Toc184308073"/>
      <w:bookmarkEnd w:id="204"/>
      <w:bookmarkStart w:id="205" w:name="_Toc184313293"/>
      <w:bookmarkEnd w:id="205"/>
      <w:bookmarkStart w:id="206" w:name="_Toc184313287"/>
      <w:bookmarkEnd w:id="206"/>
      <w:bookmarkStart w:id="207" w:name="_Toc184312133"/>
      <w:bookmarkEnd w:id="207"/>
      <w:bookmarkStart w:id="208" w:name="_Toc184313298"/>
      <w:bookmarkEnd w:id="208"/>
      <w:bookmarkStart w:id="209" w:name="_Toc184312085"/>
      <w:bookmarkEnd w:id="209"/>
      <w:bookmarkStart w:id="210" w:name="_Toc184314446"/>
      <w:bookmarkEnd w:id="210"/>
      <w:bookmarkStart w:id="211" w:name="_Toc184314441"/>
      <w:bookmarkEnd w:id="211"/>
      <w:bookmarkStart w:id="212" w:name="_Toc184308058"/>
      <w:bookmarkEnd w:id="212"/>
      <w:bookmarkStart w:id="213" w:name="_Toc184308080"/>
      <w:bookmarkEnd w:id="213"/>
      <w:bookmarkStart w:id="214" w:name="_Toc184308056"/>
      <w:bookmarkEnd w:id="214"/>
      <w:bookmarkStart w:id="215" w:name="_Toc184312092"/>
      <w:bookmarkEnd w:id="215"/>
      <w:bookmarkStart w:id="216" w:name="_Toc184310306"/>
      <w:bookmarkEnd w:id="216"/>
      <w:bookmarkStart w:id="217" w:name="_Toc184313280"/>
      <w:bookmarkEnd w:id="217"/>
      <w:bookmarkStart w:id="218" w:name="_Toc184312069"/>
      <w:bookmarkEnd w:id="218"/>
      <w:bookmarkStart w:id="219" w:name="_Toc184312073"/>
      <w:bookmarkEnd w:id="219"/>
      <w:bookmarkStart w:id="220" w:name="_Toc184314449"/>
      <w:bookmarkEnd w:id="220"/>
      <w:bookmarkStart w:id="221" w:name="_Toc184310320"/>
      <w:bookmarkEnd w:id="221"/>
      <w:bookmarkStart w:id="222" w:name="_Toc184313304"/>
      <w:bookmarkEnd w:id="222"/>
      <w:bookmarkStart w:id="223" w:name="_Toc184313278"/>
      <w:bookmarkEnd w:id="223"/>
      <w:bookmarkStart w:id="224" w:name="_Toc184313296"/>
      <w:bookmarkEnd w:id="224"/>
      <w:bookmarkStart w:id="225" w:name="_Toc184308049"/>
      <w:bookmarkEnd w:id="225"/>
      <w:bookmarkStart w:id="226" w:name="_Toc184314452"/>
      <w:bookmarkEnd w:id="226"/>
      <w:bookmarkStart w:id="227" w:name="_Toc184308081"/>
      <w:bookmarkEnd w:id="227"/>
      <w:bookmarkStart w:id="228" w:name="_Toc184310278"/>
      <w:bookmarkEnd w:id="228"/>
      <w:bookmarkStart w:id="229" w:name="_Toc184313242"/>
      <w:bookmarkEnd w:id="229"/>
      <w:bookmarkStart w:id="230" w:name="_Toc184312135"/>
      <w:bookmarkEnd w:id="230"/>
      <w:bookmarkStart w:id="231" w:name="_Toc184308074"/>
      <w:bookmarkEnd w:id="231"/>
      <w:bookmarkStart w:id="232" w:name="_Toc184314455"/>
      <w:bookmarkEnd w:id="232"/>
      <w:bookmarkStart w:id="233" w:name="_Toc184313303"/>
      <w:bookmarkEnd w:id="233"/>
      <w:bookmarkStart w:id="234" w:name="_Toc184313248"/>
      <w:bookmarkEnd w:id="234"/>
      <w:bookmarkStart w:id="235" w:name="_Toc184313290"/>
      <w:bookmarkEnd w:id="235"/>
      <w:bookmarkStart w:id="236" w:name="_Toc184310329"/>
      <w:bookmarkEnd w:id="236"/>
      <w:bookmarkStart w:id="237" w:name="_Toc184310309"/>
      <w:bookmarkEnd w:id="237"/>
      <w:bookmarkStart w:id="238" w:name="_Toc184312134"/>
      <w:bookmarkEnd w:id="238"/>
      <w:bookmarkStart w:id="239" w:name="_Toc184314426"/>
      <w:bookmarkEnd w:id="239"/>
      <w:bookmarkStart w:id="240" w:name="_Toc184313253"/>
      <w:bookmarkEnd w:id="240"/>
      <w:bookmarkStart w:id="241" w:name="_Toc184313274"/>
      <w:bookmarkEnd w:id="241"/>
      <w:bookmarkStart w:id="242" w:name="_Toc184314478"/>
      <w:bookmarkEnd w:id="242"/>
      <w:bookmarkStart w:id="243" w:name="_Toc184308104"/>
      <w:bookmarkEnd w:id="243"/>
      <w:bookmarkStart w:id="244" w:name="_Toc184313251"/>
      <w:bookmarkEnd w:id="244"/>
      <w:bookmarkStart w:id="245" w:name="_Toc184313241"/>
      <w:bookmarkEnd w:id="245"/>
      <w:bookmarkStart w:id="246" w:name="_Toc184312074"/>
      <w:bookmarkEnd w:id="246"/>
      <w:bookmarkStart w:id="247" w:name="_Toc184308072"/>
      <w:bookmarkEnd w:id="247"/>
      <w:bookmarkStart w:id="248" w:name="_Toc184314462"/>
      <w:bookmarkEnd w:id="248"/>
      <w:bookmarkStart w:id="249" w:name="_Toc184313285"/>
      <w:bookmarkEnd w:id="249"/>
      <w:bookmarkStart w:id="250" w:name="_Toc184314466"/>
      <w:bookmarkEnd w:id="250"/>
      <w:bookmarkStart w:id="251" w:name="_Toc184314444"/>
      <w:bookmarkEnd w:id="251"/>
      <w:bookmarkStart w:id="252" w:name="_Toc184313289"/>
      <w:bookmarkEnd w:id="252"/>
      <w:bookmarkStart w:id="253" w:name="_Toc184308044"/>
      <w:bookmarkEnd w:id="253"/>
      <w:bookmarkStart w:id="254" w:name="_Toc184314475"/>
      <w:bookmarkEnd w:id="254"/>
      <w:bookmarkStart w:id="255" w:name="_Toc184314423"/>
      <w:bookmarkEnd w:id="255"/>
      <w:bookmarkStart w:id="256" w:name="_Toc184310298"/>
      <w:bookmarkEnd w:id="256"/>
      <w:bookmarkStart w:id="257" w:name="_Toc184312078"/>
      <w:bookmarkEnd w:id="257"/>
      <w:bookmarkStart w:id="258" w:name="_Toc184312099"/>
      <w:bookmarkEnd w:id="258"/>
      <w:bookmarkStart w:id="259" w:name="_Toc184310338"/>
      <w:bookmarkEnd w:id="259"/>
      <w:bookmarkStart w:id="260" w:name="_Toc184314460"/>
      <w:bookmarkEnd w:id="260"/>
      <w:bookmarkStart w:id="261" w:name="_Toc184314413"/>
      <w:bookmarkEnd w:id="261"/>
      <w:bookmarkStart w:id="262" w:name="_Toc184310288"/>
      <w:bookmarkEnd w:id="262"/>
      <w:bookmarkStart w:id="263" w:name="_Toc184310286"/>
      <w:bookmarkEnd w:id="263"/>
      <w:bookmarkStart w:id="264" w:name="_Toc184314457"/>
      <w:bookmarkEnd w:id="264"/>
      <w:bookmarkStart w:id="265" w:name="_Toc184308098"/>
      <w:bookmarkEnd w:id="265"/>
      <w:bookmarkStart w:id="266" w:name="_Toc184310277"/>
      <w:bookmarkEnd w:id="266"/>
      <w:bookmarkStart w:id="267" w:name="_Toc184308085"/>
      <w:bookmarkEnd w:id="267"/>
      <w:bookmarkStart w:id="268" w:name="_Toc184314427"/>
      <w:bookmarkEnd w:id="268"/>
      <w:bookmarkStart w:id="269" w:name="_Toc184313239"/>
      <w:bookmarkEnd w:id="269"/>
      <w:bookmarkStart w:id="270" w:name="_Toc184312125"/>
      <w:bookmarkEnd w:id="270"/>
      <w:bookmarkStart w:id="271" w:name="_Toc184310334"/>
      <w:bookmarkEnd w:id="271"/>
      <w:bookmarkStart w:id="272" w:name="_Toc184314412"/>
      <w:bookmarkEnd w:id="272"/>
      <w:bookmarkStart w:id="273" w:name="_Toc184308086"/>
      <w:bookmarkEnd w:id="273"/>
      <w:bookmarkStart w:id="274" w:name="_Toc184310324"/>
      <w:bookmarkEnd w:id="274"/>
      <w:bookmarkStart w:id="275" w:name="_Toc184312126"/>
      <w:bookmarkEnd w:id="275"/>
      <w:bookmarkStart w:id="276" w:name="_Toc184314442"/>
      <w:bookmarkEnd w:id="276"/>
      <w:bookmarkStart w:id="277" w:name="_Toc184312104"/>
      <w:bookmarkEnd w:id="277"/>
      <w:bookmarkStart w:id="278" w:name="_Toc184314482"/>
      <w:bookmarkEnd w:id="278"/>
      <w:bookmarkStart w:id="279" w:name="_Toc184312081"/>
      <w:bookmarkEnd w:id="279"/>
      <w:bookmarkStart w:id="280" w:name="_Toc184308051"/>
      <w:bookmarkEnd w:id="280"/>
      <w:bookmarkStart w:id="281" w:name="_Toc184313310"/>
      <w:bookmarkEnd w:id="281"/>
      <w:bookmarkStart w:id="282" w:name="_Toc184314436"/>
      <w:bookmarkEnd w:id="282"/>
      <w:bookmarkStart w:id="283" w:name="_Toc184313286"/>
      <w:bookmarkEnd w:id="283"/>
      <w:bookmarkStart w:id="284" w:name="_Toc184308066"/>
      <w:bookmarkEnd w:id="284"/>
      <w:bookmarkStart w:id="285" w:name="_Toc184314440"/>
      <w:bookmarkEnd w:id="285"/>
      <w:bookmarkStart w:id="286" w:name="_Toc184308099"/>
      <w:bookmarkEnd w:id="286"/>
      <w:bookmarkStart w:id="287" w:name="_Toc184312088"/>
      <w:bookmarkEnd w:id="287"/>
      <w:bookmarkStart w:id="288" w:name="_Toc184312098"/>
      <w:bookmarkEnd w:id="288"/>
      <w:bookmarkStart w:id="289" w:name="_Toc184314454"/>
      <w:bookmarkEnd w:id="289"/>
      <w:bookmarkStart w:id="290" w:name="_Toc184314420"/>
      <w:bookmarkEnd w:id="290"/>
      <w:bookmarkStart w:id="291" w:name="_Toc184310311"/>
      <w:bookmarkEnd w:id="291"/>
      <w:bookmarkStart w:id="292" w:name="_Toc184310296"/>
      <w:bookmarkEnd w:id="292"/>
      <w:bookmarkStart w:id="293" w:name="_Toc184314445"/>
      <w:bookmarkEnd w:id="293"/>
      <w:bookmarkStart w:id="294" w:name="_Toc184310307"/>
      <w:bookmarkEnd w:id="294"/>
      <w:bookmarkStart w:id="295" w:name="_Toc184312116"/>
      <w:bookmarkEnd w:id="295"/>
      <w:bookmarkStart w:id="296" w:name="_Toc184314435"/>
      <w:bookmarkEnd w:id="296"/>
      <w:bookmarkStart w:id="297" w:name="_Toc184308036"/>
      <w:bookmarkEnd w:id="297"/>
      <w:bookmarkStart w:id="298" w:name="_Toc184308059"/>
      <w:bookmarkEnd w:id="298"/>
      <w:bookmarkStart w:id="299" w:name="_Toc184314473"/>
      <w:bookmarkEnd w:id="299"/>
      <w:bookmarkStart w:id="300" w:name="_Toc184313292"/>
      <w:bookmarkEnd w:id="300"/>
      <w:bookmarkStart w:id="301" w:name="_Toc184310279"/>
      <w:bookmarkEnd w:id="301"/>
      <w:bookmarkStart w:id="302" w:name="_Toc184310333"/>
      <w:bookmarkEnd w:id="302"/>
      <w:bookmarkStart w:id="303" w:name="_Toc184310318"/>
      <w:bookmarkEnd w:id="303"/>
      <w:bookmarkStart w:id="304" w:name="_Toc184313284"/>
      <w:bookmarkEnd w:id="304"/>
      <w:bookmarkStart w:id="305" w:name="_Toc184313282"/>
      <w:bookmarkEnd w:id="305"/>
      <w:bookmarkStart w:id="306" w:name="_Toc184310335"/>
      <w:bookmarkEnd w:id="306"/>
      <w:bookmarkStart w:id="307" w:name="_Toc184313256"/>
      <w:bookmarkEnd w:id="307"/>
      <w:bookmarkStart w:id="308" w:name="_Toc184310337"/>
      <w:bookmarkEnd w:id="308"/>
      <w:bookmarkStart w:id="309" w:name="_Toc184313306"/>
      <w:bookmarkEnd w:id="309"/>
      <w:bookmarkStart w:id="310" w:name="_Toc184312132"/>
      <w:bookmarkEnd w:id="310"/>
      <w:bookmarkStart w:id="311" w:name="_Toc184313264"/>
      <w:bookmarkEnd w:id="311"/>
      <w:bookmarkStart w:id="312" w:name="_Toc184310344"/>
      <w:bookmarkEnd w:id="312"/>
      <w:bookmarkStart w:id="313" w:name="_Toc184314417"/>
      <w:bookmarkEnd w:id="313"/>
      <w:bookmarkStart w:id="314" w:name="_Toc184308100"/>
      <w:bookmarkEnd w:id="314"/>
      <w:bookmarkStart w:id="315" w:name="_Toc184308052"/>
      <w:bookmarkEnd w:id="315"/>
      <w:bookmarkStart w:id="316" w:name="_Toc184313288"/>
      <w:bookmarkEnd w:id="316"/>
      <w:bookmarkStart w:id="317" w:name="_Toc184312082"/>
      <w:bookmarkEnd w:id="317"/>
      <w:bookmarkStart w:id="318" w:name="_Toc184310273"/>
      <w:bookmarkEnd w:id="318"/>
      <w:bookmarkStart w:id="319" w:name="_Toc184310281"/>
      <w:bookmarkEnd w:id="319"/>
      <w:bookmarkStart w:id="320" w:name="_Toc184312114"/>
      <w:bookmarkEnd w:id="320"/>
      <w:bookmarkStart w:id="321" w:name="_Toc184314421"/>
      <w:bookmarkEnd w:id="321"/>
      <w:bookmarkStart w:id="322" w:name="_Toc184312072"/>
      <w:bookmarkEnd w:id="322"/>
      <w:bookmarkStart w:id="323" w:name="_Toc184313271"/>
      <w:bookmarkEnd w:id="323"/>
      <w:bookmarkStart w:id="324" w:name="_Toc184310315"/>
      <w:bookmarkEnd w:id="324"/>
      <w:bookmarkStart w:id="325" w:name="_Toc184312097"/>
      <w:bookmarkEnd w:id="325"/>
      <w:bookmarkStart w:id="326" w:name="_Toc184312080"/>
      <w:bookmarkEnd w:id="326"/>
      <w:bookmarkStart w:id="327" w:name="_Toc184310319"/>
      <w:bookmarkEnd w:id="327"/>
      <w:bookmarkStart w:id="328" w:name="_Toc184308108"/>
      <w:bookmarkEnd w:id="328"/>
      <w:bookmarkStart w:id="329" w:name="_Toc184314429"/>
      <w:bookmarkEnd w:id="329"/>
      <w:bookmarkStart w:id="330" w:name="_Toc184308057"/>
      <w:bookmarkEnd w:id="330"/>
      <w:bookmarkStart w:id="331" w:name="_Toc184308050"/>
      <w:bookmarkEnd w:id="331"/>
      <w:bookmarkStart w:id="332" w:name="_Toc184310274"/>
      <w:bookmarkEnd w:id="332"/>
      <w:bookmarkStart w:id="333" w:name="_Toc184312079"/>
      <w:bookmarkEnd w:id="333"/>
      <w:bookmarkStart w:id="334" w:name="_Toc184312110"/>
      <w:bookmarkEnd w:id="334"/>
      <w:bookmarkStart w:id="335" w:name="_Toc184312131"/>
      <w:bookmarkEnd w:id="335"/>
      <w:bookmarkStart w:id="336" w:name="_Toc184312075"/>
      <w:bookmarkEnd w:id="336"/>
      <w:bookmarkStart w:id="337" w:name="_Toc184308096"/>
      <w:bookmarkEnd w:id="337"/>
      <w:bookmarkStart w:id="338" w:name="_Toc184314422"/>
      <w:bookmarkEnd w:id="338"/>
      <w:bookmarkStart w:id="339" w:name="_Toc184308071"/>
      <w:bookmarkEnd w:id="339"/>
      <w:bookmarkStart w:id="340" w:name="_Toc184310332"/>
      <w:bookmarkEnd w:id="340"/>
      <w:bookmarkStart w:id="341" w:name="_Toc184313243"/>
      <w:bookmarkEnd w:id="341"/>
      <w:bookmarkStart w:id="342" w:name="_Toc184308068"/>
      <w:bookmarkEnd w:id="342"/>
      <w:bookmarkStart w:id="343" w:name="_Toc184313244"/>
      <w:bookmarkEnd w:id="343"/>
      <w:bookmarkStart w:id="344" w:name="_Toc184308084"/>
      <w:bookmarkEnd w:id="344"/>
      <w:bookmarkStart w:id="345" w:name="_Toc184312083"/>
      <w:bookmarkEnd w:id="345"/>
      <w:bookmarkStart w:id="346" w:name="_Toc184314448"/>
      <w:bookmarkEnd w:id="346"/>
      <w:bookmarkStart w:id="347" w:name="_Toc184308094"/>
      <w:bookmarkEnd w:id="347"/>
      <w:bookmarkStart w:id="348" w:name="_Toc184308082"/>
      <w:bookmarkEnd w:id="348"/>
      <w:bookmarkStart w:id="349" w:name="_Toc184312076"/>
      <w:bookmarkEnd w:id="349"/>
      <w:bookmarkStart w:id="350" w:name="_Toc184314439"/>
      <w:bookmarkEnd w:id="350"/>
      <w:bookmarkStart w:id="351" w:name="_Toc184313277"/>
      <w:bookmarkEnd w:id="351"/>
      <w:bookmarkStart w:id="352" w:name="_Toc184308077"/>
      <w:bookmarkEnd w:id="352"/>
      <w:bookmarkStart w:id="353" w:name="_Toc184310304"/>
      <w:bookmarkEnd w:id="353"/>
      <w:bookmarkStart w:id="354" w:name="_Toc184313269"/>
      <w:bookmarkEnd w:id="354"/>
      <w:bookmarkStart w:id="355" w:name="_Toc184308070"/>
      <w:bookmarkEnd w:id="355"/>
      <w:bookmarkStart w:id="356" w:name="_Toc184310284"/>
      <w:bookmarkEnd w:id="356"/>
      <w:bookmarkStart w:id="357" w:name="_Toc184313238"/>
      <w:bookmarkEnd w:id="357"/>
      <w:bookmarkStart w:id="358" w:name="_Toc184312113"/>
      <w:bookmarkEnd w:id="358"/>
      <w:bookmarkStart w:id="359" w:name="_Toc184313246"/>
      <w:bookmarkEnd w:id="359"/>
      <w:bookmarkStart w:id="360" w:name="_Toc184312111"/>
      <w:bookmarkEnd w:id="360"/>
      <w:bookmarkStart w:id="361" w:name="_Toc184308078"/>
      <w:bookmarkEnd w:id="361"/>
      <w:bookmarkStart w:id="362" w:name="_Toc184314451"/>
      <w:bookmarkEnd w:id="362"/>
      <w:bookmarkStart w:id="363" w:name="_Toc184310342"/>
      <w:bookmarkEnd w:id="363"/>
      <w:bookmarkStart w:id="364" w:name="_Toc184310276"/>
      <w:bookmarkEnd w:id="364"/>
      <w:bookmarkStart w:id="365" w:name="_Toc184312091"/>
      <w:bookmarkEnd w:id="365"/>
      <w:bookmarkStart w:id="366" w:name="_Toc184310312"/>
      <w:bookmarkEnd w:id="366"/>
      <w:bookmarkStart w:id="367" w:name="_Toc184308063"/>
      <w:bookmarkEnd w:id="367"/>
      <w:bookmarkStart w:id="368" w:name="_Toc184314476"/>
      <w:bookmarkEnd w:id="368"/>
      <w:bookmarkStart w:id="369" w:name="_Toc184314416"/>
      <w:bookmarkEnd w:id="369"/>
      <w:bookmarkStart w:id="370" w:name="_Toc184312115"/>
      <w:bookmarkEnd w:id="370"/>
      <w:bookmarkStart w:id="371" w:name="_Toc184313299"/>
      <w:bookmarkEnd w:id="371"/>
      <w:bookmarkStart w:id="372" w:name="_Toc184314414"/>
      <w:bookmarkEnd w:id="372"/>
      <w:bookmarkStart w:id="373" w:name="_Toc184312109"/>
      <w:bookmarkEnd w:id="373"/>
      <w:bookmarkStart w:id="374" w:name="_Toc184314465"/>
      <w:bookmarkEnd w:id="374"/>
      <w:bookmarkStart w:id="375" w:name="_Toc184314463"/>
      <w:bookmarkEnd w:id="375"/>
      <w:bookmarkStart w:id="376" w:name="_Toc184312094"/>
      <w:bookmarkEnd w:id="376"/>
      <w:bookmarkStart w:id="377" w:name="_Toc184313270"/>
      <w:bookmarkEnd w:id="377"/>
      <w:bookmarkStart w:id="378" w:name="_Toc184310295"/>
      <w:bookmarkEnd w:id="378"/>
      <w:bookmarkStart w:id="379" w:name="_Toc184313272"/>
      <w:bookmarkEnd w:id="379"/>
      <w:bookmarkStart w:id="380" w:name="_Toc184308105"/>
      <w:bookmarkEnd w:id="380"/>
      <w:bookmarkStart w:id="381" w:name="_Toc184314434"/>
      <w:bookmarkEnd w:id="381"/>
      <w:bookmarkStart w:id="382" w:name="_Toc184312120"/>
      <w:bookmarkEnd w:id="382"/>
      <w:bookmarkStart w:id="383" w:name="_Toc184308042"/>
      <w:bookmarkEnd w:id="383"/>
      <w:bookmarkStart w:id="384" w:name="_Toc184312139"/>
      <w:bookmarkEnd w:id="384"/>
      <w:bookmarkStart w:id="385" w:name="_Toc184314472"/>
      <w:bookmarkEnd w:id="385"/>
      <w:bookmarkStart w:id="386" w:name="_Toc184308075"/>
      <w:bookmarkEnd w:id="386"/>
      <w:bookmarkStart w:id="387" w:name="_Toc184310308"/>
      <w:bookmarkEnd w:id="387"/>
      <w:bookmarkStart w:id="388" w:name="_Toc184310282"/>
      <w:bookmarkEnd w:id="388"/>
      <w:bookmarkStart w:id="389" w:name="_Toc184314418"/>
      <w:bookmarkEnd w:id="389"/>
      <w:bookmarkStart w:id="390" w:name="_Toc184314415"/>
      <w:bookmarkEnd w:id="390"/>
      <w:bookmarkStart w:id="391" w:name="_Toc184313262"/>
      <w:bookmarkEnd w:id="391"/>
      <w:bookmarkStart w:id="392" w:name="_Toc184313252"/>
      <w:bookmarkEnd w:id="392"/>
      <w:r>
        <w:rPr>
          <w:rFonts w:hint="eastAsia" w:ascii="仿宋" w:hAnsi="仿宋" w:eastAsia="仿宋" w:cs="仿宋"/>
          <w:b/>
          <w:color w:val="auto"/>
          <w:sz w:val="36"/>
          <w:szCs w:val="36"/>
          <w:highlight w:val="none"/>
        </w:rPr>
        <w:t>评标办法</w:t>
      </w:r>
    </w:p>
    <w:p>
      <w:pPr>
        <w:snapToGrid w:val="0"/>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2"/>
        <w:tblW w:w="58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499"/>
        <w:gridCol w:w="851"/>
        <w:gridCol w:w="1279"/>
        <w:gridCol w:w="173"/>
        <w:gridCol w:w="14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347" w:type="pct"/>
            <w:noWrap w:val="0"/>
            <w:vAlign w:val="center"/>
          </w:tcPr>
          <w:p>
            <w:pPr>
              <w:adjustRightInd/>
              <w:spacing w:line="360" w:lineRule="auto"/>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序号</w:t>
            </w:r>
          </w:p>
        </w:tc>
        <w:tc>
          <w:tcPr>
            <w:tcW w:w="2765" w:type="pct"/>
            <w:noWrap w:val="0"/>
            <w:vAlign w:val="center"/>
          </w:tcPr>
          <w:p>
            <w:pPr>
              <w:adjustRightInd/>
              <w:spacing w:line="360" w:lineRule="auto"/>
              <w:ind w:firstLine="1560" w:firstLineChars="650"/>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评标标准</w:t>
            </w:r>
          </w:p>
        </w:tc>
        <w:tc>
          <w:tcPr>
            <w:tcW w:w="428" w:type="pct"/>
            <w:noWrap w:val="0"/>
            <w:vAlign w:val="center"/>
          </w:tcPr>
          <w:p>
            <w:pPr>
              <w:adjustRightInd/>
              <w:spacing w:line="360" w:lineRule="auto"/>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权重</w:t>
            </w:r>
          </w:p>
        </w:tc>
        <w:tc>
          <w:tcPr>
            <w:tcW w:w="643" w:type="pct"/>
            <w:noWrap w:val="0"/>
            <w:vAlign w:val="top"/>
          </w:tcPr>
          <w:p>
            <w:pPr>
              <w:adjustRightInd/>
              <w:spacing w:line="360" w:lineRule="auto"/>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主观分/客观分属性</w:t>
            </w:r>
          </w:p>
        </w:tc>
        <w:tc>
          <w:tcPr>
            <w:tcW w:w="817" w:type="pct"/>
            <w:gridSpan w:val="2"/>
            <w:noWrap w:val="0"/>
            <w:vAlign w:val="top"/>
          </w:tcPr>
          <w:p>
            <w:pPr>
              <w:adjustRightInd/>
              <w:spacing w:line="360" w:lineRule="auto"/>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投标文件中评标标准相应的商务技术资料目录</w:t>
            </w:r>
            <w:r>
              <w:rPr>
                <w:rFonts w:hint="eastAsia" w:ascii="仿宋" w:hAnsi="仿宋" w:eastAsia="仿宋" w:cs="仿宋"/>
                <w:color w:val="auto"/>
                <w:sz w:val="24"/>
                <w:highlight w:val="none"/>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347" w:type="pct"/>
            <w:noWrap w:val="0"/>
            <w:vAlign w:val="center"/>
          </w:tcPr>
          <w:p>
            <w:pPr>
              <w:adjustRightInd/>
              <w:spacing w:line="360" w:lineRule="auto"/>
              <w:jc w:val="center"/>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2765" w:type="pct"/>
            <w:noWrap w:val="0"/>
            <w:vAlign w:val="center"/>
          </w:tcPr>
          <w:p>
            <w:pPr>
              <w:adjustRightInd/>
              <w:spacing w:line="360" w:lineRule="auto"/>
              <w:jc w:val="left"/>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投标人2020年以来取得的类似安保服务项目业绩每提供一个得0.5分，最多得1.5分。投标人应同时提供业绩合同，时间以合同签订的时间为准。</w:t>
            </w:r>
          </w:p>
        </w:tc>
        <w:tc>
          <w:tcPr>
            <w:tcW w:w="428" w:type="pct"/>
            <w:noWrap w:val="0"/>
            <w:vAlign w:val="center"/>
          </w:tcPr>
          <w:p>
            <w:pPr>
              <w:adjustRightInd/>
              <w:spacing w:line="360" w:lineRule="auto"/>
              <w:jc w:val="center"/>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w:t>
            </w:r>
          </w:p>
        </w:tc>
        <w:tc>
          <w:tcPr>
            <w:tcW w:w="643"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bCs/>
                <w:color w:val="auto"/>
                <w:sz w:val="24"/>
                <w:highlight w:val="none"/>
              </w:rPr>
              <w:t>客观分</w:t>
            </w:r>
          </w:p>
        </w:tc>
        <w:tc>
          <w:tcPr>
            <w:tcW w:w="817" w:type="pct"/>
            <w:gridSpan w:val="2"/>
            <w:noWrap w:val="0"/>
            <w:vAlign w:val="center"/>
          </w:tcPr>
          <w:p>
            <w:pPr>
              <w:adjustRightInd/>
              <w:spacing w:line="360" w:lineRule="auto"/>
              <w:jc w:val="center"/>
              <w:outlineLvl w:val="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347" w:type="pct"/>
            <w:noWrap w:val="0"/>
            <w:vAlign w:val="center"/>
          </w:tcPr>
          <w:p>
            <w:pPr>
              <w:adjustRightInd/>
              <w:spacing w:line="360" w:lineRule="auto"/>
              <w:jc w:val="center"/>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2765" w:type="pct"/>
            <w:noWrap w:val="0"/>
            <w:vAlign w:val="center"/>
          </w:tcPr>
          <w:p>
            <w:pPr>
              <w:adjustRightInd/>
              <w:spacing w:line="360" w:lineRule="auto"/>
              <w:jc w:val="left"/>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投标人获得有效的质量管理体系认证得1分；有效的职业健康安全管理体系认证的得1分。最高2分。（提供有效期内的证书原件扫描件）</w:t>
            </w:r>
          </w:p>
        </w:tc>
        <w:tc>
          <w:tcPr>
            <w:tcW w:w="428" w:type="pct"/>
            <w:noWrap w:val="0"/>
            <w:vAlign w:val="center"/>
          </w:tcPr>
          <w:p>
            <w:pPr>
              <w:adjustRightInd/>
              <w:spacing w:line="360" w:lineRule="auto"/>
              <w:jc w:val="center"/>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643"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bCs/>
                <w:color w:val="auto"/>
                <w:sz w:val="24"/>
                <w:highlight w:val="none"/>
              </w:rPr>
              <w:t>客观分</w:t>
            </w:r>
          </w:p>
        </w:tc>
        <w:tc>
          <w:tcPr>
            <w:tcW w:w="817" w:type="pct"/>
            <w:gridSpan w:val="2"/>
            <w:noWrap w:val="0"/>
            <w:vAlign w:val="center"/>
          </w:tcPr>
          <w:p>
            <w:pPr>
              <w:adjustRightInd/>
              <w:spacing w:line="360" w:lineRule="auto"/>
              <w:jc w:val="center"/>
              <w:outlineLvl w:val="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347"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2765" w:type="pct"/>
            <w:noWrap w:val="0"/>
            <w:vAlign w:val="center"/>
          </w:tcPr>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1）拟派本项目的保安队长情况：（5.5分）</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年龄40周岁及以下得1分；</w:t>
            </w:r>
          </w:p>
          <w:p>
            <w:pPr>
              <w:adjustRightInd/>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是退伍军人得1.5分(提供身份证、退伍证明)</w:t>
            </w:r>
            <w:r>
              <w:rPr>
                <w:rFonts w:hint="eastAsia" w:ascii="仿宋" w:hAnsi="仿宋" w:eastAsia="仿宋" w:cs="仿宋"/>
                <w:color w:val="auto"/>
                <w:sz w:val="24"/>
                <w:highlight w:val="none"/>
                <w:lang w:eastAsia="zh-CN"/>
              </w:rPr>
              <w:t>；</w:t>
            </w:r>
          </w:p>
          <w:p>
            <w:pPr>
              <w:adjustRightInd/>
              <w:snapToGrid w:val="0"/>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具有保安员资格证书二级（及）以上得1分（提供资格证书）</w:t>
            </w:r>
            <w:r>
              <w:rPr>
                <w:rFonts w:hint="eastAsia" w:ascii="仿宋" w:hAnsi="仿宋" w:eastAsia="仿宋" w:cs="仿宋"/>
                <w:color w:val="auto"/>
                <w:sz w:val="24"/>
                <w:highlight w:val="none"/>
                <w:lang w:eastAsia="zh-CN"/>
              </w:rPr>
              <w:t>；</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具有大专（含）以上文化程度的1分(提供学历证明)；</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提供确保100%到位的承诺</w:t>
            </w:r>
            <w:r>
              <w:rPr>
                <w:rFonts w:hint="eastAsia" w:ascii="仿宋" w:hAnsi="仿宋" w:eastAsia="仿宋" w:cs="仿宋"/>
                <w:color w:val="auto"/>
                <w:sz w:val="24"/>
                <w:highlight w:val="none"/>
                <w:lang w:val="en-US" w:eastAsia="zh-CN"/>
              </w:rPr>
              <w:t>书</w:t>
            </w:r>
            <w:r>
              <w:rPr>
                <w:rFonts w:hint="eastAsia" w:ascii="仿宋" w:hAnsi="仿宋" w:eastAsia="仿宋" w:cs="仿宋"/>
                <w:color w:val="auto"/>
                <w:sz w:val="24"/>
                <w:highlight w:val="none"/>
              </w:rPr>
              <w:t>的得1分(提供书面承诺书)；</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2）拟派本项目保安人员拥有中级保安员证书，每个得0.1分，高级保安员证书，每个得0.2分，最高得5分（5分）；（提供资格证书） </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3）拟派本项目保安人员中有3名（含）人员为退伍军人的得1分；3名以上的，每增加1名退伍军人得0.2分，最高4分（4分）；</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4）拟派本项目保安人员中有3名（含）人员曾经参与协助开展行政执法综合管理工作的得1分，每增加1名得0.2分，最高4分（4分）。（提供人员履历表和曾用人单位证明等相关资料）</w:t>
            </w:r>
          </w:p>
        </w:tc>
        <w:tc>
          <w:tcPr>
            <w:tcW w:w="428"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18.5</w:t>
            </w:r>
          </w:p>
        </w:tc>
        <w:tc>
          <w:tcPr>
            <w:tcW w:w="643"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bCs/>
                <w:color w:val="auto"/>
                <w:sz w:val="24"/>
                <w:highlight w:val="none"/>
              </w:rPr>
              <w:t>客观分</w:t>
            </w:r>
          </w:p>
        </w:tc>
        <w:tc>
          <w:tcPr>
            <w:tcW w:w="817" w:type="pct"/>
            <w:gridSpan w:val="2"/>
            <w:noWrap w:val="0"/>
            <w:vAlign w:val="center"/>
          </w:tcPr>
          <w:p>
            <w:pPr>
              <w:adjustRightInd/>
              <w:spacing w:line="360" w:lineRule="auto"/>
              <w:jc w:val="center"/>
              <w:outlineLvl w:val="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347"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2765" w:type="pct"/>
            <w:noWrap w:val="0"/>
            <w:vAlign w:val="center"/>
          </w:tcPr>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投标人的管理制度的完善情况：</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1、投标人制定保安工作人员职责、保安交接班制度、保安队伍例会制度、保安员义务消防队方案、保安员等级考核管理制度、队伍绩效考核管理、队伍奖惩制度、保安员等级考核管理制度，或与上述制度内容</w:t>
            </w:r>
            <w:r>
              <w:rPr>
                <w:rFonts w:hint="eastAsia" w:ascii="仿宋" w:hAnsi="仿宋" w:eastAsia="仿宋" w:cs="仿宋"/>
                <w:color w:val="auto"/>
                <w:sz w:val="24"/>
                <w:highlight w:val="none"/>
                <w:lang w:val="en-US" w:eastAsia="zh-CN"/>
              </w:rPr>
              <w:t>相应</w:t>
            </w:r>
            <w:r>
              <w:rPr>
                <w:rFonts w:hint="eastAsia" w:ascii="仿宋" w:hAnsi="仿宋" w:eastAsia="仿宋" w:cs="仿宋"/>
                <w:color w:val="auto"/>
                <w:sz w:val="24"/>
                <w:highlight w:val="none"/>
              </w:rPr>
              <w:t>的考核规章制度情况，每个0.5分，最高得4分（4分）；</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2、投标人建立规范的人力资源管理体系情况。（1分）；</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3、内部管理制度和员工考核管理办法等设定的科学、合理和有效性，制订切实可行的考核办法。（1分）；</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4、制订针对考核结果的补救措施和奖励办法；（1分）；</w:t>
            </w:r>
          </w:p>
          <w:p>
            <w:pPr>
              <w:adjustRightInd/>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5、有专门成立的考核组织进行内部考核。（1分）；</w:t>
            </w:r>
          </w:p>
        </w:tc>
        <w:tc>
          <w:tcPr>
            <w:tcW w:w="428"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643"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bCs/>
                <w:color w:val="auto"/>
                <w:sz w:val="24"/>
                <w:highlight w:val="none"/>
              </w:rPr>
              <w:t>主观分</w:t>
            </w:r>
          </w:p>
        </w:tc>
        <w:tc>
          <w:tcPr>
            <w:tcW w:w="817" w:type="pct"/>
            <w:gridSpan w:val="2"/>
            <w:noWrap w:val="0"/>
            <w:vAlign w:val="center"/>
          </w:tcPr>
          <w:p>
            <w:pPr>
              <w:adjustRightInd/>
              <w:spacing w:line="360" w:lineRule="auto"/>
              <w:jc w:val="center"/>
              <w:outlineLvl w:val="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347" w:type="pct"/>
            <w:noWrap w:val="0"/>
            <w:vAlign w:val="center"/>
          </w:tcPr>
          <w:p>
            <w:pPr>
              <w:adjustRightInd/>
              <w:spacing w:line="360" w:lineRule="auto"/>
              <w:jc w:val="center"/>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2765" w:type="pct"/>
            <w:noWrap w:val="0"/>
            <w:vAlign w:val="center"/>
          </w:tcPr>
          <w:p>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针对本次项目提供保安管理服务理念、组织架构及管理制度情况：</w:t>
            </w:r>
          </w:p>
          <w:p>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①服务管理运作流程规划、服务理念、服务工作的组织、服务质量目标和质量控制措施等描述清晰、详尽、完整的;②建立和完善档案管理制度等，体现标准化服务;③建立考核机制；④建立激励机制；⑤建立监督机制；⑥建立自我约束机制；⑦建立及时处理机制；⑧有保安服务标准，且与服务对象和环境相适应的。</w:t>
            </w:r>
          </w:p>
          <w:p>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根据提供的方案内容进行评分，每一项内容完整、符合采购需求得2.5分，单项内容有所欠缺的得1.5分，不符合的不得分，本项最高得20分。</w:t>
            </w:r>
          </w:p>
        </w:tc>
        <w:tc>
          <w:tcPr>
            <w:tcW w:w="428" w:type="pct"/>
            <w:noWrap w:val="0"/>
            <w:vAlign w:val="center"/>
          </w:tcPr>
          <w:p>
            <w:pPr>
              <w:adjustRightInd/>
              <w:spacing w:line="360" w:lineRule="auto"/>
              <w:jc w:val="center"/>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w:t>
            </w:r>
          </w:p>
        </w:tc>
        <w:tc>
          <w:tcPr>
            <w:tcW w:w="643"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bCs/>
                <w:color w:val="auto"/>
                <w:sz w:val="24"/>
                <w:highlight w:val="none"/>
              </w:rPr>
              <w:t>主观分</w:t>
            </w:r>
          </w:p>
        </w:tc>
        <w:tc>
          <w:tcPr>
            <w:tcW w:w="817" w:type="pct"/>
            <w:gridSpan w:val="2"/>
            <w:noWrap w:val="0"/>
            <w:vAlign w:val="center"/>
          </w:tcPr>
          <w:p>
            <w:pPr>
              <w:adjustRightInd/>
              <w:spacing w:line="360" w:lineRule="auto"/>
              <w:jc w:val="center"/>
              <w:outlineLvl w:val="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347" w:type="pct"/>
            <w:noWrap w:val="0"/>
            <w:vAlign w:val="center"/>
          </w:tcPr>
          <w:p>
            <w:pPr>
              <w:adjustRightInd/>
              <w:spacing w:line="360" w:lineRule="auto"/>
              <w:ind w:firstLine="360" w:firstLineChars="150"/>
              <w:jc w:val="left"/>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2765" w:type="pct"/>
            <w:noWrap w:val="0"/>
            <w:vAlign w:val="center"/>
          </w:tcPr>
          <w:p>
            <w:pPr>
              <w:autoSpaceDE w:val="0"/>
              <w:autoSpaceDN w:val="0"/>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投标人应在突发特殊情况下具备应急保障预案，针对服务单位突发性事件（自然灾害、突发疫情、临时任务等），投标人应急人员配备完善、应急响应时间充分：①有应对突发事件（包括发生交通堵塞、暴雨等灾害性天气及其他突发事件）时的应急预案，且合理可行的；②有针对抗台、抗震等恶劣天气导致的特殊情况紧急处置预案，且合理可行的；③有应对人员非法聚集、暴恐事件、重大活动或重要接待任务等类型的应急预案，且合理可行的；④有针对防盗、防火的安全防范巡查方案，且合理可行的；⑤若遇突发事件，增援人员需30分钟内到达的可行性现场方案。</w:t>
            </w:r>
            <w:r>
              <w:rPr>
                <w:rFonts w:hint="eastAsia" w:ascii="仿宋" w:hAnsi="仿宋" w:eastAsia="仿宋" w:cs="仿宋"/>
                <w:color w:val="auto"/>
                <w:sz w:val="24"/>
                <w:highlight w:val="none"/>
                <w:lang w:val="zh-CN"/>
              </w:rPr>
              <w:t>根据提供的方案每项内容完整合理、措施有效进行打分，</w:t>
            </w:r>
            <w:r>
              <w:rPr>
                <w:rFonts w:hint="eastAsia" w:ascii="仿宋" w:hAnsi="仿宋" w:eastAsia="仿宋" w:cs="仿宋"/>
                <w:color w:val="auto"/>
                <w:kern w:val="0"/>
                <w:sz w:val="24"/>
                <w:highlight w:val="none"/>
              </w:rPr>
              <w:t>每一项内容完整、符合采购需求</w:t>
            </w:r>
            <w:r>
              <w:rPr>
                <w:rFonts w:hint="eastAsia" w:ascii="仿宋" w:hAnsi="仿宋" w:eastAsia="仿宋" w:cs="仿宋"/>
                <w:color w:val="auto"/>
                <w:sz w:val="24"/>
                <w:highlight w:val="none"/>
                <w:lang w:val="zh-CN"/>
              </w:rPr>
              <w:t>得2分，</w:t>
            </w:r>
            <w:r>
              <w:rPr>
                <w:rFonts w:hint="eastAsia" w:ascii="仿宋" w:hAnsi="仿宋" w:eastAsia="仿宋" w:cs="仿宋"/>
                <w:color w:val="auto"/>
                <w:kern w:val="0"/>
                <w:sz w:val="24"/>
                <w:highlight w:val="none"/>
              </w:rPr>
              <w:t>单项内容描述不完整，部分符合采购需求的得1分，</w:t>
            </w:r>
            <w:r>
              <w:rPr>
                <w:rFonts w:hint="eastAsia" w:ascii="仿宋" w:hAnsi="仿宋" w:eastAsia="仿宋" w:cs="仿宋"/>
                <w:color w:val="auto"/>
                <w:sz w:val="24"/>
                <w:highlight w:val="none"/>
                <w:lang w:val="zh-CN"/>
              </w:rPr>
              <w:t>不符合不得分。（10分）</w:t>
            </w:r>
          </w:p>
        </w:tc>
        <w:tc>
          <w:tcPr>
            <w:tcW w:w="428"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730" w:type="pct"/>
            <w:gridSpan w:val="2"/>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bCs/>
                <w:color w:val="auto"/>
                <w:sz w:val="24"/>
                <w:highlight w:val="none"/>
              </w:rPr>
              <w:t>主观分</w:t>
            </w:r>
          </w:p>
        </w:tc>
        <w:tc>
          <w:tcPr>
            <w:tcW w:w="730" w:type="pct"/>
            <w:noWrap w:val="0"/>
            <w:vAlign w:val="center"/>
          </w:tcPr>
          <w:p>
            <w:pPr>
              <w:adjustRightInd/>
              <w:spacing w:line="360" w:lineRule="auto"/>
              <w:jc w:val="center"/>
              <w:outlineLvl w:val="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347"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2765" w:type="pct"/>
            <w:noWrap w:val="0"/>
            <w:vAlign w:val="center"/>
          </w:tcPr>
          <w:p>
            <w:pPr>
              <w:adjustRightInd/>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lang w:val="zh-CN"/>
              </w:rPr>
              <w:t>针对自然灾害、突发疫情、临时任务、人员非法聚集四类突发事件经常性组织演练情况（请至少提供两种类型以上的应急处置演练</w:t>
            </w:r>
            <w:r>
              <w:rPr>
                <w:rFonts w:hint="eastAsia" w:ascii="仿宋" w:hAnsi="仿宋" w:eastAsia="仿宋" w:cs="仿宋"/>
                <w:color w:val="auto"/>
                <w:sz w:val="24"/>
                <w:highlight w:val="none"/>
              </w:rPr>
              <w:t>和消防、**专业化培训方案</w:t>
            </w:r>
            <w:r>
              <w:rPr>
                <w:rFonts w:hint="eastAsia" w:ascii="仿宋" w:hAnsi="仿宋" w:eastAsia="仿宋" w:cs="仿宋"/>
                <w:color w:val="auto"/>
                <w:sz w:val="24"/>
                <w:highlight w:val="none"/>
                <w:lang w:val="zh-CN"/>
              </w:rPr>
              <w:t>的文字和照片）：①未提供两种类型以上的事件应急处置演练</w:t>
            </w:r>
            <w:r>
              <w:rPr>
                <w:rFonts w:hint="eastAsia" w:ascii="仿宋" w:hAnsi="仿宋" w:eastAsia="仿宋" w:cs="仿宋"/>
                <w:color w:val="auto"/>
                <w:sz w:val="24"/>
                <w:highlight w:val="none"/>
              </w:rPr>
              <w:t>和消防、**专业化培训方案</w:t>
            </w:r>
            <w:r>
              <w:rPr>
                <w:rFonts w:hint="eastAsia" w:ascii="仿宋" w:hAnsi="仿宋" w:eastAsia="仿宋" w:cs="仿宋"/>
                <w:color w:val="auto"/>
                <w:sz w:val="24"/>
                <w:highlight w:val="none"/>
                <w:lang w:val="zh-CN"/>
              </w:rPr>
              <w:t>的文字和照片的不得分；②有提供两种类型以上的事件应急处置演练</w:t>
            </w:r>
            <w:r>
              <w:rPr>
                <w:rFonts w:hint="eastAsia" w:ascii="仿宋" w:hAnsi="仿宋" w:eastAsia="仿宋" w:cs="仿宋"/>
                <w:color w:val="auto"/>
                <w:sz w:val="24"/>
                <w:highlight w:val="none"/>
              </w:rPr>
              <w:t>和消防、**专业化培训方案</w:t>
            </w:r>
            <w:r>
              <w:rPr>
                <w:rFonts w:hint="eastAsia" w:ascii="仿宋" w:hAnsi="仿宋" w:eastAsia="仿宋" w:cs="仿宋"/>
                <w:color w:val="auto"/>
                <w:sz w:val="24"/>
                <w:highlight w:val="none"/>
                <w:lang w:val="zh-CN"/>
              </w:rPr>
              <w:t>的文字和照片的得3分；③有提供三种类型以上的事件应急处置演练</w:t>
            </w:r>
            <w:r>
              <w:rPr>
                <w:rFonts w:hint="eastAsia" w:ascii="仿宋" w:hAnsi="仿宋" w:eastAsia="仿宋" w:cs="仿宋"/>
                <w:color w:val="auto"/>
                <w:sz w:val="24"/>
                <w:highlight w:val="none"/>
              </w:rPr>
              <w:t>和消防、**专业化培训方案</w:t>
            </w:r>
            <w:r>
              <w:rPr>
                <w:rFonts w:hint="eastAsia" w:ascii="仿宋" w:hAnsi="仿宋" w:eastAsia="仿宋" w:cs="仿宋"/>
                <w:color w:val="auto"/>
                <w:sz w:val="24"/>
                <w:highlight w:val="none"/>
                <w:lang w:val="zh-CN"/>
              </w:rPr>
              <w:t>的文字和照片得5分；④有提供四种类型以上的事件应急处置演练</w:t>
            </w:r>
            <w:r>
              <w:rPr>
                <w:rFonts w:hint="eastAsia" w:ascii="仿宋" w:hAnsi="仿宋" w:eastAsia="仿宋" w:cs="仿宋"/>
                <w:color w:val="auto"/>
                <w:sz w:val="24"/>
                <w:highlight w:val="none"/>
              </w:rPr>
              <w:t>和消防、**专业化培训方案</w:t>
            </w:r>
            <w:r>
              <w:rPr>
                <w:rFonts w:hint="eastAsia" w:ascii="仿宋" w:hAnsi="仿宋" w:eastAsia="仿宋" w:cs="仿宋"/>
                <w:color w:val="auto"/>
                <w:sz w:val="24"/>
                <w:highlight w:val="none"/>
                <w:lang w:val="zh-CN"/>
              </w:rPr>
              <w:t>的文字和照片得7分；</w:t>
            </w:r>
          </w:p>
        </w:tc>
        <w:tc>
          <w:tcPr>
            <w:tcW w:w="428" w:type="pct"/>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730" w:type="pct"/>
            <w:gridSpan w:val="2"/>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bCs/>
                <w:color w:val="auto"/>
                <w:sz w:val="24"/>
                <w:highlight w:val="none"/>
              </w:rPr>
              <w:t>客观分</w:t>
            </w:r>
          </w:p>
        </w:tc>
        <w:tc>
          <w:tcPr>
            <w:tcW w:w="730" w:type="pct"/>
            <w:noWrap w:val="0"/>
            <w:vAlign w:val="center"/>
          </w:tcPr>
          <w:p>
            <w:pPr>
              <w:adjustRightInd/>
              <w:spacing w:line="360" w:lineRule="auto"/>
              <w:jc w:val="center"/>
              <w:outlineLvl w:val="0"/>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0" w:hRule="atLeast"/>
          <w:jc w:val="center"/>
        </w:trPr>
        <w:tc>
          <w:tcPr>
            <w:tcW w:w="347" w:type="pct"/>
            <w:vMerge w:val="restar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2765" w:type="pct"/>
            <w:noWrap w:val="0"/>
            <w:vAlign w:val="center"/>
          </w:tcPr>
          <w:p>
            <w:pPr>
              <w:adjustRightInd/>
              <w:spacing w:line="360" w:lineRule="auto"/>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城管联动应急方案：</w:t>
            </w:r>
          </w:p>
          <w:p>
            <w:pPr>
              <w:adjustRightInd/>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1、对紧急事件的处理预案，</w:t>
            </w:r>
            <w:r>
              <w:rPr>
                <w:rFonts w:hint="eastAsia" w:ascii="仿宋" w:hAnsi="仿宋" w:eastAsia="仿宋" w:cs="仿宋"/>
                <w:color w:val="auto"/>
                <w:kern w:val="0"/>
                <w:sz w:val="24"/>
                <w:highlight w:val="none"/>
              </w:rPr>
              <w:t>包括但不限于上级领导视察调研走访等活动保障、街道路面巡查保障和维稳工作、其它上级交办的保障任务等</w:t>
            </w:r>
            <w:r>
              <w:rPr>
                <w:rFonts w:hint="eastAsia" w:ascii="仿宋" w:hAnsi="仿宋" w:eastAsia="仿宋" w:cs="仿宋"/>
                <w:color w:val="auto"/>
                <w:kern w:val="0"/>
                <w:sz w:val="24"/>
                <w:highlight w:val="none"/>
                <w:lang w:val="zh-CN"/>
              </w:rPr>
              <w:t>，内容完整，预案制定科学合理、真实有效，符合现场实际情况得</w:t>
            </w: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分，部分符合得</w:t>
            </w: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zh-CN"/>
              </w:rPr>
              <w:t>分，不提供不得分。</w:t>
            </w:r>
          </w:p>
        </w:tc>
        <w:tc>
          <w:tcPr>
            <w:tcW w:w="428" w:type="pct"/>
            <w:vMerge w:val="restar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730" w:type="pct"/>
            <w:gridSpan w:val="2"/>
            <w:vMerge w:val="restart"/>
            <w:noWrap w:val="0"/>
            <w:vAlign w:val="center"/>
          </w:tcPr>
          <w:p>
            <w:pPr>
              <w:adjustRightInd/>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主观分</w:t>
            </w:r>
          </w:p>
        </w:tc>
        <w:tc>
          <w:tcPr>
            <w:tcW w:w="730" w:type="pct"/>
            <w:vMerge w:val="restart"/>
            <w:noWrap w:val="0"/>
            <w:vAlign w:val="center"/>
          </w:tcPr>
          <w:p>
            <w:pPr>
              <w:adjustRightInd/>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347" w:type="pct"/>
            <w:vMerge w:val="continue"/>
            <w:noWrap w:val="0"/>
            <w:vAlign w:val="center"/>
          </w:tcPr>
          <w:p>
            <w:pPr>
              <w:adjustRightInd/>
              <w:spacing w:line="360" w:lineRule="auto"/>
              <w:jc w:val="center"/>
              <w:rPr>
                <w:rFonts w:hint="eastAsia" w:ascii="仿宋" w:hAnsi="仿宋" w:eastAsia="仿宋" w:cs="仿宋"/>
                <w:color w:val="auto"/>
                <w:sz w:val="24"/>
                <w:highlight w:val="none"/>
              </w:rPr>
            </w:pPr>
          </w:p>
        </w:tc>
        <w:tc>
          <w:tcPr>
            <w:tcW w:w="2765" w:type="pct"/>
            <w:noWrap w:val="0"/>
            <w:vAlign w:val="center"/>
          </w:tcPr>
          <w:p>
            <w:pPr>
              <w:adjustRightInd/>
              <w:spacing w:line="360" w:lineRule="auto"/>
              <w:jc w:val="left"/>
              <w:rPr>
                <w:rFonts w:hint="eastAsia" w:ascii="仿宋" w:hAnsi="仿宋" w:eastAsia="仿宋" w:cs="仿宋"/>
                <w:b/>
                <w:bCs/>
                <w:color w:val="auto"/>
                <w:kern w:val="0"/>
                <w:sz w:val="24"/>
                <w:highlight w:val="none"/>
                <w:lang w:val="zh-CN"/>
              </w:rPr>
            </w:pPr>
            <w:r>
              <w:rPr>
                <w:rFonts w:hint="eastAsia" w:ascii="仿宋" w:hAnsi="仿宋" w:eastAsia="仿宋" w:cs="仿宋"/>
                <w:color w:val="auto"/>
                <w:kern w:val="0"/>
                <w:sz w:val="24"/>
                <w:highlight w:val="none"/>
                <w:lang w:val="zh-CN"/>
              </w:rPr>
              <w:t>2、与城管执法部门有良好的联动、联勤、联岗机制。内容完整、符合采购需求得</w:t>
            </w: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分，部分符合得</w:t>
            </w: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zh-CN"/>
              </w:rPr>
              <w:t>分，不提供不得分。</w:t>
            </w:r>
          </w:p>
        </w:tc>
        <w:tc>
          <w:tcPr>
            <w:tcW w:w="428" w:type="pct"/>
            <w:vMerge w:val="continue"/>
            <w:noWrap w:val="0"/>
            <w:vAlign w:val="center"/>
          </w:tcPr>
          <w:p>
            <w:pPr>
              <w:adjustRightInd/>
              <w:spacing w:line="360" w:lineRule="auto"/>
              <w:jc w:val="center"/>
              <w:rPr>
                <w:rFonts w:hint="eastAsia" w:ascii="仿宋" w:hAnsi="仿宋" w:eastAsia="仿宋" w:cs="仿宋"/>
                <w:color w:val="auto"/>
                <w:sz w:val="24"/>
                <w:highlight w:val="none"/>
              </w:rPr>
            </w:pPr>
          </w:p>
        </w:tc>
        <w:tc>
          <w:tcPr>
            <w:tcW w:w="730" w:type="pct"/>
            <w:gridSpan w:val="2"/>
            <w:vMerge w:val="continue"/>
            <w:noWrap w:val="0"/>
            <w:vAlign w:val="center"/>
          </w:tcPr>
          <w:p>
            <w:pPr>
              <w:adjustRightInd/>
              <w:jc w:val="center"/>
              <w:rPr>
                <w:rFonts w:hint="eastAsia" w:ascii="仿宋" w:hAnsi="仿宋" w:eastAsia="仿宋" w:cs="仿宋"/>
                <w:color w:val="auto"/>
                <w:sz w:val="24"/>
                <w:highlight w:val="none"/>
              </w:rPr>
            </w:pPr>
          </w:p>
        </w:tc>
        <w:tc>
          <w:tcPr>
            <w:tcW w:w="730" w:type="pct"/>
            <w:vMerge w:val="continue"/>
            <w:noWrap w:val="0"/>
            <w:vAlign w:val="center"/>
          </w:tcPr>
          <w:p>
            <w:pPr>
              <w:adjustRightInd/>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47" w:type="pc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2765" w:type="pct"/>
            <w:noWrap w:val="0"/>
            <w:vAlign w:val="center"/>
          </w:tcPr>
          <w:p>
            <w:pPr>
              <w:adjustRightInd/>
              <w:spacing w:line="360" w:lineRule="auto"/>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人员服装及装备情况：</w:t>
            </w:r>
            <w:r>
              <w:rPr>
                <w:rFonts w:hint="eastAsia" w:ascii="仿宋" w:hAnsi="仿宋" w:eastAsia="仿宋" w:cs="仿宋"/>
                <w:bCs/>
                <w:color w:val="auto"/>
                <w:sz w:val="24"/>
                <w:highlight w:val="none"/>
              </w:rPr>
              <w:t>投标人针对本项目拟派安保人员的服装及装备情况，为安保人员配发统一着装，具有佩戴规范并经采购人认可，</w:t>
            </w:r>
            <w:r>
              <w:rPr>
                <w:rFonts w:hint="eastAsia" w:ascii="仿宋" w:hAnsi="仿宋" w:eastAsia="仿宋" w:cs="仿宋"/>
                <w:color w:val="auto"/>
                <w:kern w:val="0"/>
                <w:sz w:val="24"/>
                <w:highlight w:val="none"/>
              </w:rPr>
              <w:t>装备配备，</w:t>
            </w:r>
            <w:r>
              <w:rPr>
                <w:rFonts w:hint="eastAsia" w:ascii="仿宋" w:hAnsi="仿宋" w:eastAsia="仿宋" w:cs="仿宋"/>
                <w:color w:val="auto"/>
                <w:sz w:val="24"/>
                <w:highlight w:val="none"/>
              </w:rPr>
              <w:t>包括对讲装置、强光手电筒、盾牌、钢叉、防刺服、防刺手套、钢盔、橡胶棒、七件套武装腰带、雨衣、雨鞋、执法记录仪等</w:t>
            </w:r>
            <w:r>
              <w:rPr>
                <w:rFonts w:hint="eastAsia" w:ascii="仿宋" w:hAnsi="仿宋" w:eastAsia="仿宋" w:cs="仿宋"/>
                <w:color w:val="auto"/>
                <w:kern w:val="0"/>
                <w:sz w:val="24"/>
                <w:highlight w:val="none"/>
              </w:rPr>
              <w:t>。装备配备一项不满足采购需求的扣0.5分，扣完为止。</w:t>
            </w:r>
            <w:r>
              <w:rPr>
                <w:rFonts w:hint="eastAsia" w:ascii="仿宋" w:hAnsi="仿宋" w:eastAsia="仿宋" w:cs="仿宋"/>
                <w:bCs/>
                <w:color w:val="auto"/>
                <w:sz w:val="24"/>
                <w:highlight w:val="none"/>
              </w:rPr>
              <w:t>（4分）</w:t>
            </w:r>
          </w:p>
        </w:tc>
        <w:tc>
          <w:tcPr>
            <w:tcW w:w="428" w:type="pc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730" w:type="pct"/>
            <w:gridSpan w:val="2"/>
            <w:noWrap w:val="0"/>
            <w:vAlign w:val="center"/>
          </w:tcPr>
          <w:p>
            <w:pPr>
              <w:adjustRightInd/>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客观分</w:t>
            </w:r>
          </w:p>
        </w:tc>
        <w:tc>
          <w:tcPr>
            <w:tcW w:w="730" w:type="pct"/>
            <w:noWrap w:val="0"/>
            <w:vAlign w:val="center"/>
          </w:tcPr>
          <w:p>
            <w:pPr>
              <w:adjustRightInd/>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347" w:type="pc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2765" w:type="pct"/>
            <w:noWrap w:val="0"/>
            <w:vAlign w:val="center"/>
          </w:tcPr>
          <w:p>
            <w:pPr>
              <w:adjustRightInd/>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培训方案：</w:t>
            </w:r>
          </w:p>
          <w:p>
            <w:pPr>
              <w:adjustRightInd/>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1.服务期内组织每季度一次的集中培训，明确培训人数、地点和培训方案的，得2分，不符合不得分。</w:t>
            </w:r>
          </w:p>
          <w:p>
            <w:pPr>
              <w:adjustRightInd/>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2.集中培训计划全面、安排合理，培训方案内容与采购需求相符合，得2分，不符合不得分。</w:t>
            </w:r>
          </w:p>
        </w:tc>
        <w:tc>
          <w:tcPr>
            <w:tcW w:w="428" w:type="pc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730" w:type="pct"/>
            <w:gridSpan w:val="2"/>
            <w:noWrap w:val="0"/>
            <w:vAlign w:val="center"/>
          </w:tcPr>
          <w:p>
            <w:pPr>
              <w:adjustRightInd/>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主观分</w:t>
            </w:r>
          </w:p>
        </w:tc>
        <w:tc>
          <w:tcPr>
            <w:tcW w:w="730" w:type="pct"/>
            <w:noWrap w:val="0"/>
            <w:vAlign w:val="center"/>
          </w:tcPr>
          <w:p>
            <w:pPr>
              <w:adjustRightInd/>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347" w:type="pc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2765" w:type="pct"/>
            <w:noWrap w:val="0"/>
            <w:vAlign w:val="center"/>
          </w:tcPr>
          <w:p>
            <w:pPr>
              <w:adjustRightInd/>
              <w:spacing w:line="360"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投标人服务能力情况：</w:t>
            </w:r>
            <w:r>
              <w:rPr>
                <w:rFonts w:hint="eastAsia" w:ascii="仿宋" w:hAnsi="仿宋" w:eastAsia="仿宋" w:cs="仿宋"/>
                <w:color w:val="auto"/>
                <w:sz w:val="24"/>
                <w:highlight w:val="none"/>
              </w:rPr>
              <w:t>投标人的服务能力情况，能提供快速的服务响应（</w:t>
            </w:r>
            <w:r>
              <w:rPr>
                <w:rFonts w:hint="eastAsia" w:ascii="仿宋" w:hAnsi="仿宋" w:eastAsia="仿宋" w:cs="仿宋"/>
                <w:bCs/>
                <w:color w:val="auto"/>
                <w:sz w:val="24"/>
                <w:highlight w:val="none"/>
              </w:rPr>
              <w:t>人员出现空缺空岗情况，能在24小时内响应并补充人员到位），</w:t>
            </w:r>
            <w:r>
              <w:rPr>
                <w:rFonts w:hint="eastAsia" w:ascii="仿宋" w:hAnsi="仿宋" w:eastAsia="仿宋" w:cs="仿宋"/>
                <w:color w:val="auto"/>
                <w:sz w:val="24"/>
                <w:highlight w:val="none"/>
              </w:rPr>
              <w:t>满足要求的2分，不满足不得分，最高2分；</w:t>
            </w:r>
          </w:p>
        </w:tc>
        <w:tc>
          <w:tcPr>
            <w:tcW w:w="428" w:type="pct"/>
            <w:noWrap w:val="0"/>
            <w:vAlign w:val="center"/>
          </w:tcPr>
          <w:p>
            <w:pPr>
              <w:adjustRightInd/>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730" w:type="pct"/>
            <w:gridSpan w:val="2"/>
            <w:noWrap w:val="0"/>
            <w:vAlign w:val="center"/>
          </w:tcPr>
          <w:p>
            <w:pPr>
              <w:adjustRightInd/>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客观分</w:t>
            </w:r>
          </w:p>
        </w:tc>
        <w:tc>
          <w:tcPr>
            <w:tcW w:w="730" w:type="pct"/>
            <w:noWrap w:val="0"/>
            <w:vAlign w:val="center"/>
          </w:tcPr>
          <w:p>
            <w:pPr>
              <w:adjustRightInd/>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1" w:hRule="atLeast"/>
          <w:jc w:val="center"/>
        </w:trPr>
        <w:tc>
          <w:tcPr>
            <w:tcW w:w="347" w:type="pct"/>
            <w:noWrap w:val="0"/>
            <w:vAlign w:val="center"/>
          </w:tcPr>
          <w:p>
            <w:pPr>
              <w:adjustRightInd/>
              <w:spacing w:line="360" w:lineRule="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2765" w:type="pct"/>
            <w:noWrap w:val="0"/>
            <w:vAlign w:val="top"/>
          </w:tcPr>
          <w:p>
            <w:pPr>
              <w:adjustRightInd/>
              <w:spacing w:line="360" w:lineRule="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有效投标报价的最低价作为评标基准价，其最低报价为满分；按［投标报价得分=（评标基准价/投标报价）*15］的计算公式计算。</w:t>
            </w:r>
          </w:p>
          <w:p>
            <w:pPr>
              <w:adjustRightInd/>
              <w:spacing w:line="360" w:lineRule="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p>
            <w:pPr>
              <w:adjustRightInd/>
              <w:spacing w:line="360" w:lineRule="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因落实政府采购政策需要进行价格调整的，以调整后的价格计算评标基准价和投标报价。</w:t>
            </w:r>
          </w:p>
        </w:tc>
        <w:tc>
          <w:tcPr>
            <w:tcW w:w="428" w:type="pct"/>
            <w:noWrap w:val="0"/>
            <w:vAlign w:val="center"/>
          </w:tcPr>
          <w:p>
            <w:pPr>
              <w:adjustRightInd/>
              <w:spacing w:line="360" w:lineRule="auto"/>
              <w:ind w:firstLine="120" w:firstLineChars="5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1460" w:type="pct"/>
            <w:gridSpan w:val="3"/>
            <w:noWrap w:val="0"/>
            <w:vAlign w:val="center"/>
          </w:tcPr>
          <w:p>
            <w:pPr>
              <w:adjustRightInd/>
              <w:spacing w:line="360" w:lineRule="auto"/>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bl>
    <w:p>
      <w:pPr>
        <w:ind w:firstLine="420"/>
        <w:rPr>
          <w:rFonts w:hint="eastAsia" w:ascii="仿宋" w:hAnsi="仿宋" w:eastAsia="仿宋" w:cs="仿宋"/>
          <w:color w:val="auto"/>
          <w:szCs w:val="20"/>
          <w:highlight w:val="none"/>
        </w:rPr>
      </w:pPr>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pPr>
        <w:snapToGrid w:val="0"/>
        <w:spacing w:line="360" w:lineRule="auto"/>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outlineLvl w:val="1"/>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pPr>
        <w:spacing w:line="360" w:lineRule="auto"/>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pPr>
        <w:pStyle w:val="162"/>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6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pPr>
        <w:pStyle w:val="162"/>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4.2.13投标人未提供样品或提供的样品不满足采购需求实质性条件的，投标无效；</w:t>
      </w:r>
    </w:p>
    <w:p>
      <w:pPr>
        <w:keepNext w:val="0"/>
        <w:keepLines w:val="0"/>
        <w:pageBreakBefore w:val="0"/>
        <w:widowControl w:val="0"/>
        <w:tabs>
          <w:tab w:val="left" w:pos="432"/>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4.2.14 投标文件不满足招标文件的其它实质性要求的；</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4.2.15法律、法规、规章（适用本市的）及省级以上规范性文件（适用本市的）规定的其他无效情形。</w:t>
      </w:r>
    </w:p>
    <w:p>
      <w:pPr>
        <w:pStyle w:val="26"/>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pPr>
        <w:pStyle w:val="26"/>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pPr>
        <w:pStyle w:val="26"/>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6"/>
        <w:snapToGrid w:val="0"/>
        <w:spacing w:line="360" w:lineRule="auto"/>
        <w:ind w:firstLine="0" w:firstLineChars="0"/>
        <w:rPr>
          <w:rFonts w:hint="eastAsia" w:ascii="仿宋" w:hAnsi="仿宋" w:eastAsia="仿宋" w:cs="仿宋"/>
          <w:color w:val="auto"/>
          <w:highlight w:val="none"/>
        </w:rPr>
      </w:pPr>
    </w:p>
    <w:bookmarkEnd w:id="27"/>
    <w:p>
      <w:pPr>
        <w:widowControl/>
        <w:adjustRightInd/>
        <w:jc w:val="left"/>
        <w:rPr>
          <w:rFonts w:hint="eastAsia" w:ascii="仿宋" w:hAnsi="仿宋" w:eastAsia="仿宋" w:cs="仿宋"/>
          <w:b/>
          <w:color w:val="auto"/>
          <w:sz w:val="36"/>
          <w:szCs w:val="36"/>
          <w:highlight w:val="none"/>
        </w:rPr>
      </w:pPr>
      <w:bookmarkStart w:id="393" w:name="第五部分"/>
      <w:bookmarkStart w:id="394" w:name="_Toc86217003"/>
      <w:r>
        <w:rPr>
          <w:rFonts w:hint="eastAsia" w:ascii="仿宋" w:hAnsi="仿宋" w:eastAsia="仿宋" w:cs="仿宋"/>
          <w:b/>
          <w:color w:val="auto"/>
          <w:sz w:val="36"/>
          <w:szCs w:val="36"/>
          <w:highlight w:val="none"/>
        </w:rPr>
        <w:br w:type="page"/>
      </w:r>
    </w:p>
    <w:p>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pPr>
        <w:spacing w:line="480" w:lineRule="auto"/>
        <w:jc w:val="center"/>
        <w:rPr>
          <w:rFonts w:hint="eastAsia" w:ascii="仿宋" w:hAnsi="仿宋" w:eastAsia="仿宋" w:cs="仿宋"/>
          <w:b/>
          <w:color w:val="auto"/>
          <w:sz w:val="28"/>
          <w:szCs w:val="28"/>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pPr>
        <w:pStyle w:val="704"/>
        <w:ind w:firstLine="2843" w:firstLineChars="1180"/>
        <w:outlineLvl w:val="1"/>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pPr>
        <w:spacing w:before="120" w:line="22" w:lineRule="atLeast"/>
        <w:rPr>
          <w:rFonts w:hint="eastAsia" w:ascii="仿宋" w:hAnsi="仿宋" w:eastAsia="仿宋" w:cs="仿宋"/>
          <w:color w:val="auto"/>
          <w:sz w:val="24"/>
          <w:highlight w:val="none"/>
        </w:rPr>
      </w:pPr>
    </w:p>
    <w:p>
      <w:pPr>
        <w:tabs>
          <w:tab w:val="left" w:pos="432"/>
        </w:tabs>
        <w:rPr>
          <w:rFonts w:hint="eastAsia" w:ascii="仿宋" w:hAnsi="仿宋" w:eastAsia="仿宋" w:cs="仿宋"/>
          <w:color w:val="auto"/>
          <w:highlight w:val="none"/>
        </w:rPr>
      </w:pPr>
    </w:p>
    <w:p>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pPr>
        <w:pStyle w:val="601"/>
        <w:spacing w:before="120" w:line="22" w:lineRule="atLeast"/>
        <w:rPr>
          <w:rFonts w:hint="eastAsia" w:ascii="仿宋" w:hAnsi="仿宋" w:eastAsia="仿宋" w:cs="仿宋"/>
          <w:color w:val="auto"/>
          <w:szCs w:val="24"/>
          <w:highlight w:val="none"/>
        </w:rPr>
      </w:pPr>
    </w:p>
    <w:p>
      <w:pPr>
        <w:pStyle w:val="601"/>
        <w:spacing w:before="120" w:line="22" w:lineRule="atLeast"/>
        <w:rPr>
          <w:rFonts w:hint="eastAsia" w:ascii="仿宋" w:hAnsi="仿宋" w:eastAsia="仿宋" w:cs="仿宋"/>
          <w:color w:val="auto"/>
          <w:szCs w:val="24"/>
          <w:highlight w:val="none"/>
        </w:rPr>
      </w:pPr>
    </w:p>
    <w:p>
      <w:pPr>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cols w:space="720" w:num="1"/>
        </w:sectPr>
      </w:pP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杭州市拱墅区人民政府长庆街道办事处城市综合管理保安服务采购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rPr>
        <w:t>为该项目中标供应商。现于中标通知书发出之日起10个工作日内，按照采购文件确定的事项签订本合同。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pPr>
        <w:spacing w:line="560" w:lineRule="exact"/>
        <w:ind w:firstLine="482" w:firstLineChars="200"/>
        <w:outlineLvl w:val="2"/>
        <w:rPr>
          <w:rFonts w:hint="eastAsia" w:ascii="仿宋" w:hAnsi="仿宋" w:eastAsia="仿宋" w:cs="仿宋"/>
          <w:color w:val="auto"/>
          <w:sz w:val="24"/>
          <w:highlight w:val="none"/>
        </w:rPr>
      </w:pPr>
      <w:bookmarkStart w:id="395" w:name="_Toc19273"/>
      <w:bookmarkStart w:id="396" w:name="_Toc20421"/>
      <w:bookmarkStart w:id="397" w:name="_Toc22967"/>
      <w:bookmarkStart w:id="398" w:name="_Toc15367"/>
      <w:bookmarkStart w:id="399" w:name="_Toc28855"/>
      <w:r>
        <w:rPr>
          <w:rFonts w:hint="eastAsia" w:ascii="仿宋" w:hAnsi="仿宋" w:eastAsia="仿宋" w:cs="仿宋"/>
          <w:b/>
          <w:color w:val="auto"/>
          <w:sz w:val="24"/>
          <w:highlight w:val="none"/>
        </w:rPr>
        <w:t>1.1 合同组成部分</w:t>
      </w:r>
      <w:bookmarkEnd w:id="395"/>
      <w:bookmarkEnd w:id="396"/>
      <w:bookmarkEnd w:id="397"/>
      <w:bookmarkEnd w:id="398"/>
      <w:bookmarkEnd w:id="39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中标通知书；</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投标文件（含澄清或者说明文件）；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招标文件（含澄清或者修改文件）；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pPr>
        <w:spacing w:line="560" w:lineRule="exact"/>
        <w:ind w:firstLine="482" w:firstLineChars="200"/>
        <w:outlineLvl w:val="2"/>
        <w:rPr>
          <w:rFonts w:hint="eastAsia" w:ascii="仿宋" w:hAnsi="仿宋" w:eastAsia="仿宋" w:cs="仿宋"/>
          <w:b/>
          <w:color w:val="auto"/>
          <w:sz w:val="24"/>
          <w:highlight w:val="none"/>
        </w:rPr>
      </w:pPr>
      <w:bookmarkStart w:id="400" w:name="_Toc6311"/>
      <w:bookmarkStart w:id="401" w:name="_Toc2918"/>
      <w:bookmarkStart w:id="402" w:name="_Toc22185"/>
      <w:bookmarkStart w:id="403" w:name="_Toc6773"/>
      <w:bookmarkStart w:id="404" w:name="_Toc18585"/>
      <w:r>
        <w:rPr>
          <w:rFonts w:hint="eastAsia" w:ascii="仿宋" w:hAnsi="仿宋" w:eastAsia="仿宋" w:cs="仿宋"/>
          <w:b/>
          <w:color w:val="auto"/>
          <w:sz w:val="24"/>
          <w:highlight w:val="none"/>
        </w:rPr>
        <w:t>1.2 标的</w:t>
      </w:r>
      <w:bookmarkEnd w:id="400"/>
      <w:bookmarkEnd w:id="401"/>
      <w:bookmarkEnd w:id="402"/>
      <w:bookmarkEnd w:id="403"/>
      <w:bookmarkEnd w:id="404"/>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标的名称：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标的数量：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1.2.3 标的质量：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2" w:firstLineChars="200"/>
        <w:outlineLvl w:val="2"/>
        <w:rPr>
          <w:rFonts w:hint="eastAsia" w:ascii="仿宋" w:hAnsi="仿宋" w:eastAsia="仿宋" w:cs="仿宋"/>
          <w:b/>
          <w:color w:val="auto"/>
          <w:sz w:val="24"/>
          <w:highlight w:val="none"/>
        </w:rPr>
      </w:pPr>
      <w:bookmarkStart w:id="405" w:name="_Toc1386"/>
      <w:bookmarkStart w:id="406" w:name="_Toc5635"/>
      <w:bookmarkStart w:id="407" w:name="_Toc4929"/>
      <w:bookmarkStart w:id="408" w:name="_Toc13918"/>
      <w:bookmarkStart w:id="409" w:name="_Toc21124"/>
      <w:r>
        <w:rPr>
          <w:rFonts w:hint="eastAsia" w:ascii="仿宋" w:hAnsi="仿宋" w:eastAsia="仿宋" w:cs="仿宋"/>
          <w:b/>
          <w:color w:val="auto"/>
          <w:sz w:val="24"/>
          <w:highlight w:val="none"/>
        </w:rPr>
        <w:t>1.3 价款</w:t>
      </w:r>
      <w:bookmarkEnd w:id="405"/>
      <w:bookmarkEnd w:id="406"/>
      <w:bookmarkEnd w:id="407"/>
      <w:bookmarkEnd w:id="408"/>
      <w:bookmarkEnd w:id="40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本合同总价为：￥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331"/>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noWrap w:val="0"/>
            <w:vAlign w:val="center"/>
          </w:tcPr>
          <w:p>
            <w:pPr>
              <w:pStyle w:val="331"/>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noWrap w:val="0"/>
            <w:vAlign w:val="center"/>
          </w:tcPr>
          <w:p>
            <w:pPr>
              <w:pStyle w:val="331"/>
              <w:spacing w:line="560" w:lineRule="exact"/>
              <w:ind w:firstLine="200"/>
              <w:jc w:val="center"/>
              <w:rPr>
                <w:rFonts w:hint="eastAsia" w:ascii="仿宋" w:hAnsi="仿宋" w:eastAsia="仿宋" w:cs="仿宋"/>
                <w:color w:val="auto"/>
                <w:sz w:val="24"/>
                <w:szCs w:val="24"/>
                <w:highlight w:val="none"/>
              </w:rPr>
            </w:pPr>
          </w:p>
        </w:tc>
      </w:tr>
    </w:tbl>
    <w:p>
      <w:pPr>
        <w:spacing w:line="560" w:lineRule="exact"/>
        <w:ind w:firstLine="482" w:firstLineChars="200"/>
        <w:outlineLvl w:val="2"/>
        <w:rPr>
          <w:rFonts w:hint="eastAsia" w:ascii="仿宋" w:hAnsi="仿宋" w:eastAsia="仿宋" w:cs="仿宋"/>
          <w:b/>
          <w:color w:val="auto"/>
          <w:sz w:val="24"/>
          <w:highlight w:val="none"/>
        </w:rPr>
      </w:pPr>
      <w:bookmarkStart w:id="410" w:name="_Toc30506"/>
      <w:bookmarkStart w:id="411" w:name="_Toc30158"/>
      <w:bookmarkStart w:id="412" w:name="_Toc14993"/>
      <w:bookmarkStart w:id="413" w:name="_Toc26916"/>
      <w:bookmarkStart w:id="414" w:name="_Toc3654"/>
      <w:r>
        <w:rPr>
          <w:rFonts w:hint="eastAsia" w:ascii="仿宋" w:hAnsi="仿宋" w:eastAsia="仿宋" w:cs="仿宋"/>
          <w:b/>
          <w:color w:val="auto"/>
          <w:sz w:val="24"/>
          <w:highlight w:val="none"/>
        </w:rPr>
        <w:t>1.4 付款方式和发票开具方式</w:t>
      </w:r>
      <w:bookmarkEnd w:id="410"/>
      <w:bookmarkEnd w:id="411"/>
      <w:bookmarkEnd w:id="412"/>
      <w:bookmarkEnd w:id="413"/>
      <w:bookmarkEnd w:id="414"/>
    </w:p>
    <w:p>
      <w:pPr>
        <w:pStyle w:val="959"/>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1.4.2 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1.4.4资金支付的方式、时间和条件详见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spacing w:line="560" w:lineRule="exact"/>
        <w:ind w:firstLine="482" w:firstLineChars="200"/>
        <w:outlineLvl w:val="2"/>
        <w:rPr>
          <w:rFonts w:hint="eastAsia" w:ascii="仿宋" w:hAnsi="仿宋" w:eastAsia="仿宋" w:cs="仿宋"/>
          <w:b/>
          <w:color w:val="auto"/>
          <w:sz w:val="24"/>
          <w:highlight w:val="none"/>
        </w:rPr>
      </w:pPr>
      <w:bookmarkStart w:id="415" w:name="_Toc4760"/>
      <w:bookmarkStart w:id="416" w:name="_Toc3625"/>
      <w:bookmarkStart w:id="417" w:name="_Toc11108"/>
      <w:bookmarkStart w:id="418" w:name="_Toc8772"/>
      <w:bookmarkStart w:id="419" w:name="_Toc31421"/>
      <w:r>
        <w:rPr>
          <w:rFonts w:hint="eastAsia" w:ascii="仿宋" w:hAnsi="仿宋" w:eastAsia="仿宋" w:cs="仿宋"/>
          <w:b/>
          <w:color w:val="auto"/>
          <w:sz w:val="24"/>
          <w:highlight w:val="none"/>
        </w:rPr>
        <w:t>1.5 履行期限、地点和方式</w:t>
      </w:r>
      <w:bookmarkEnd w:id="415"/>
      <w:bookmarkEnd w:id="416"/>
      <w:bookmarkEnd w:id="417"/>
      <w:bookmarkEnd w:id="418"/>
      <w:bookmarkEnd w:id="419"/>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1.5.1 履行期限：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1.5.2 履行地点：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1.5.3 履行方式：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2"/>
        <w:rPr>
          <w:rFonts w:hint="eastAsia" w:ascii="仿宋" w:hAnsi="仿宋" w:eastAsia="仿宋" w:cs="仿宋"/>
          <w:color w:val="auto"/>
          <w:sz w:val="24"/>
          <w:highlight w:val="none"/>
          <w:u w:val="single"/>
        </w:rPr>
      </w:pPr>
      <w:bookmarkStart w:id="420" w:name="_Toc5698"/>
      <w:bookmarkStart w:id="421" w:name="_Toc24662"/>
      <w:bookmarkStart w:id="422" w:name="_Toc3079"/>
      <w:bookmarkStart w:id="423" w:name="_Toc8586"/>
      <w:bookmarkStart w:id="424" w:name="_Toc2375"/>
      <w:r>
        <w:rPr>
          <w:rFonts w:hint="eastAsia" w:ascii="仿宋" w:hAnsi="仿宋" w:eastAsia="仿宋" w:cs="仿宋"/>
          <w:b/>
          <w:color w:val="auto"/>
          <w:sz w:val="24"/>
          <w:highlight w:val="none"/>
        </w:rPr>
        <w:t>1.6 违约责任</w:t>
      </w:r>
      <w:bookmarkEnd w:id="420"/>
      <w:bookmarkEnd w:id="421"/>
      <w:bookmarkEnd w:id="422"/>
      <w:bookmarkEnd w:id="423"/>
      <w:bookmarkEnd w:id="424"/>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720" w:firstLineChars="300"/>
        <w:rPr>
          <w:rFonts w:hint="eastAsia" w:ascii="仿宋" w:hAnsi="仿宋" w:eastAsia="仿宋" w:cs="仿宋"/>
          <w:color w:val="auto"/>
          <w:highlight w:val="none"/>
        </w:rPr>
      </w:pPr>
      <w:r>
        <w:rPr>
          <w:rFonts w:hint="eastAsia" w:ascii="仿宋" w:hAnsi="仿宋" w:eastAsia="仿宋" w:cs="仿宋"/>
          <w:color w:val="auto"/>
          <w:sz w:val="24"/>
          <w:highlight w:val="none"/>
        </w:rPr>
        <w:t>1.6.7违约责任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pPr>
        <w:spacing w:line="560" w:lineRule="exact"/>
        <w:ind w:firstLine="482" w:firstLineChars="200"/>
        <w:outlineLvl w:val="2"/>
        <w:rPr>
          <w:rFonts w:hint="eastAsia" w:ascii="仿宋" w:hAnsi="仿宋" w:eastAsia="仿宋" w:cs="仿宋"/>
          <w:b/>
          <w:color w:val="auto"/>
          <w:sz w:val="24"/>
          <w:highlight w:val="none"/>
        </w:rPr>
      </w:pPr>
      <w:bookmarkStart w:id="425" w:name="_Toc18683"/>
      <w:bookmarkStart w:id="426" w:name="_Toc32454"/>
      <w:bookmarkStart w:id="427" w:name="_Toc9497"/>
      <w:bookmarkStart w:id="428" w:name="_Toc26807"/>
      <w:bookmarkStart w:id="429" w:name="_Toc30329"/>
      <w:r>
        <w:rPr>
          <w:rFonts w:hint="eastAsia" w:ascii="仿宋" w:hAnsi="仿宋" w:eastAsia="仿宋" w:cs="仿宋"/>
          <w:b/>
          <w:color w:val="auto"/>
          <w:sz w:val="24"/>
          <w:highlight w:val="none"/>
        </w:rPr>
        <w:t>1.7 合同争议的解决</w:t>
      </w:r>
      <w:bookmarkEnd w:id="425"/>
      <w:bookmarkEnd w:id="426"/>
      <w:bookmarkEnd w:id="427"/>
      <w:bookmarkEnd w:id="428"/>
      <w:bookmarkEnd w:id="429"/>
    </w:p>
    <w:p>
      <w:pPr>
        <w:spacing w:line="560" w:lineRule="exact"/>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合同专用条款  </w:t>
      </w:r>
      <w:r>
        <w:rPr>
          <w:rFonts w:hint="eastAsia" w:ascii="仿宋" w:hAnsi="仿宋" w:eastAsia="仿宋" w:cs="仿宋"/>
          <w:color w:val="auto"/>
          <w:sz w:val="24"/>
          <w:highlight w:val="none"/>
        </w:rPr>
        <w:t>条款规定的方式解决：</w:t>
      </w:r>
    </w:p>
    <w:p>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1.7.1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1.7.2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pPr>
        <w:spacing w:line="560" w:lineRule="exact"/>
        <w:ind w:firstLine="241" w:firstLineChars="100"/>
        <w:outlineLvl w:val="2"/>
        <w:rPr>
          <w:rFonts w:hint="eastAsia" w:ascii="仿宋" w:hAnsi="仿宋" w:eastAsia="仿宋" w:cs="仿宋"/>
          <w:b/>
          <w:color w:val="auto"/>
          <w:sz w:val="24"/>
          <w:highlight w:val="none"/>
        </w:rPr>
      </w:pPr>
      <w:bookmarkStart w:id="430" w:name="_Toc16417"/>
      <w:bookmarkStart w:id="431" w:name="_Toc26227"/>
      <w:bookmarkStart w:id="432" w:name="_Toc12273"/>
      <w:bookmarkStart w:id="433" w:name="_Toc15827"/>
      <w:bookmarkStart w:id="434" w:name="_Toc23784"/>
      <w:r>
        <w:rPr>
          <w:rFonts w:hint="eastAsia" w:ascii="仿宋" w:hAnsi="仿宋" w:eastAsia="仿宋" w:cs="仿宋"/>
          <w:b/>
          <w:color w:val="auto"/>
          <w:sz w:val="24"/>
          <w:highlight w:val="none"/>
        </w:rPr>
        <w:t>1.8 合同生效</w:t>
      </w:r>
      <w:bookmarkEnd w:id="430"/>
      <w:bookmarkEnd w:id="431"/>
      <w:bookmarkEnd w:id="432"/>
      <w:bookmarkEnd w:id="433"/>
      <w:bookmarkEnd w:id="434"/>
    </w:p>
    <w:p>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本合同自双方当事人盖章或者签字时生效。</w:t>
      </w:r>
    </w:p>
    <w:p>
      <w:pPr>
        <w:autoSpaceDE w:val="0"/>
        <w:autoSpaceDN w:val="0"/>
        <w:spacing w:line="560" w:lineRule="exact"/>
        <w:rPr>
          <w:rFonts w:hint="eastAsia" w:ascii="仿宋" w:hAnsi="仿宋" w:eastAsia="仿宋" w:cs="仿宋"/>
          <w:color w:val="auto"/>
          <w:sz w:val="24"/>
          <w:highlight w:val="none"/>
          <w:lang w:val="zh-CN"/>
        </w:rPr>
      </w:pP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pPr>
        <w:autoSpaceDE w:val="0"/>
        <w:autoSpaceDN w:val="0"/>
        <w:spacing w:line="560" w:lineRule="exact"/>
        <w:rPr>
          <w:rFonts w:hint="eastAsia" w:ascii="仿宋" w:hAnsi="仿宋" w:eastAsia="仿宋" w:cs="仿宋"/>
          <w:color w:val="auto"/>
          <w:sz w:val="24"/>
          <w:highlight w:val="none"/>
          <w:lang w:val="zh-CN"/>
        </w:rPr>
      </w:pP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pPr>
        <w:widowControl/>
        <w:spacing w:line="560" w:lineRule="exact"/>
        <w:jc w:val="left"/>
        <w:rPr>
          <w:rFonts w:hint="eastAsia" w:ascii="仿宋" w:hAnsi="仿宋" w:eastAsia="仿宋" w:cs="仿宋"/>
          <w:b/>
          <w:color w:val="auto"/>
          <w:sz w:val="24"/>
          <w:highlight w:val="none"/>
        </w:rPr>
      </w:pPr>
    </w:p>
    <w:p>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pPr>
        <w:pStyle w:val="704"/>
        <w:spacing w:line="560" w:lineRule="exact"/>
        <w:ind w:firstLine="482"/>
        <w:jc w:val="center"/>
        <w:outlineLvl w:val="1"/>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pPr>
        <w:spacing w:line="560" w:lineRule="exact"/>
        <w:ind w:firstLine="482" w:firstLineChars="200"/>
        <w:outlineLvl w:val="2"/>
        <w:rPr>
          <w:rFonts w:hint="eastAsia" w:ascii="仿宋" w:hAnsi="仿宋" w:eastAsia="仿宋" w:cs="仿宋"/>
          <w:b/>
          <w:color w:val="auto"/>
          <w:sz w:val="24"/>
          <w:highlight w:val="none"/>
        </w:rPr>
      </w:pPr>
      <w:bookmarkStart w:id="435" w:name="_Toc5228"/>
      <w:bookmarkStart w:id="436" w:name="_Toc14021"/>
      <w:bookmarkStart w:id="437" w:name="_Toc19680"/>
      <w:bookmarkStart w:id="438" w:name="_Toc31297"/>
      <w:bookmarkStart w:id="439" w:name="_Toc25079"/>
      <w:r>
        <w:rPr>
          <w:rFonts w:hint="eastAsia" w:ascii="仿宋" w:hAnsi="仿宋" w:eastAsia="仿宋" w:cs="仿宋"/>
          <w:b/>
          <w:color w:val="auto"/>
          <w:sz w:val="24"/>
          <w:highlight w:val="none"/>
        </w:rPr>
        <w:t>2.1 定义</w:t>
      </w:r>
      <w:bookmarkEnd w:id="435"/>
      <w:bookmarkEnd w:id="436"/>
      <w:bookmarkEnd w:id="437"/>
      <w:bookmarkEnd w:id="438"/>
      <w:bookmarkEnd w:id="43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“合同价”系指根据合同约定，中标供应商在完全履行合同义务后，采购人应支付给中标供应商的价格。</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“甲方”系指与中标供应商签署合同的采购人；采购人委托采购代理机构代表其与乙方签订合同的，采购人的授权委托书作为合同附件。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pPr>
        <w:spacing w:line="560" w:lineRule="exact"/>
        <w:ind w:firstLine="482" w:firstLineChars="200"/>
        <w:outlineLvl w:val="2"/>
        <w:rPr>
          <w:rFonts w:hint="eastAsia" w:ascii="仿宋" w:hAnsi="仿宋" w:eastAsia="仿宋" w:cs="仿宋"/>
          <w:b/>
          <w:color w:val="auto"/>
          <w:sz w:val="24"/>
          <w:highlight w:val="none"/>
        </w:rPr>
      </w:pPr>
      <w:bookmarkStart w:id="440" w:name="_Toc16752"/>
      <w:bookmarkStart w:id="441" w:name="_Toc3769"/>
      <w:bookmarkStart w:id="442" w:name="_Toc19539"/>
      <w:bookmarkStart w:id="443" w:name="_Toc31402"/>
      <w:bookmarkStart w:id="444" w:name="_Toc23289"/>
      <w:r>
        <w:rPr>
          <w:rFonts w:hint="eastAsia" w:ascii="仿宋" w:hAnsi="仿宋" w:eastAsia="仿宋" w:cs="仿宋"/>
          <w:b/>
          <w:color w:val="auto"/>
          <w:sz w:val="24"/>
          <w:highlight w:val="none"/>
        </w:rPr>
        <w:t>2.2 技术规范</w:t>
      </w:r>
      <w:bookmarkEnd w:id="440"/>
      <w:bookmarkEnd w:id="441"/>
      <w:bookmarkEnd w:id="442"/>
      <w:bookmarkEnd w:id="443"/>
      <w:bookmarkEnd w:id="444"/>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2"/>
        <w:rPr>
          <w:rFonts w:hint="eastAsia" w:ascii="仿宋" w:hAnsi="仿宋" w:eastAsia="仿宋" w:cs="仿宋"/>
          <w:b/>
          <w:color w:val="auto"/>
          <w:sz w:val="24"/>
          <w:highlight w:val="none"/>
        </w:rPr>
      </w:pPr>
      <w:bookmarkStart w:id="445" w:name="_Toc12412"/>
      <w:bookmarkStart w:id="446" w:name="_Toc9161"/>
      <w:bookmarkStart w:id="447" w:name="_Toc27945"/>
      <w:bookmarkStart w:id="448" w:name="_Toc4133"/>
      <w:bookmarkStart w:id="449" w:name="_Toc13673"/>
      <w:r>
        <w:rPr>
          <w:rFonts w:hint="eastAsia" w:ascii="仿宋" w:hAnsi="仿宋" w:eastAsia="仿宋" w:cs="仿宋"/>
          <w:b/>
          <w:color w:val="auto"/>
          <w:sz w:val="24"/>
          <w:highlight w:val="none"/>
        </w:rPr>
        <w:t>2.3 知识产权</w:t>
      </w:r>
      <w:bookmarkEnd w:id="445"/>
      <w:bookmarkEnd w:id="446"/>
      <w:bookmarkEnd w:id="447"/>
      <w:bookmarkEnd w:id="448"/>
      <w:bookmarkEnd w:id="44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pPr>
        <w:spacing w:line="560" w:lineRule="exact"/>
        <w:ind w:firstLine="482" w:firstLineChars="200"/>
        <w:outlineLvl w:val="2"/>
        <w:rPr>
          <w:rFonts w:hint="eastAsia" w:ascii="仿宋" w:hAnsi="仿宋" w:eastAsia="仿宋" w:cs="仿宋"/>
          <w:b/>
          <w:color w:val="auto"/>
          <w:sz w:val="24"/>
          <w:highlight w:val="none"/>
        </w:rPr>
      </w:pPr>
      <w:bookmarkStart w:id="450" w:name="_Toc32670"/>
      <w:bookmarkStart w:id="451" w:name="_Toc26555"/>
      <w:bookmarkStart w:id="452" w:name="_Toc22011"/>
      <w:bookmarkStart w:id="453" w:name="_Toc15447"/>
      <w:bookmarkStart w:id="454" w:name="_Toc31233"/>
      <w:r>
        <w:rPr>
          <w:rFonts w:hint="eastAsia" w:ascii="仿宋" w:hAnsi="仿宋" w:eastAsia="仿宋" w:cs="仿宋"/>
          <w:b/>
          <w:color w:val="auto"/>
          <w:sz w:val="24"/>
          <w:highlight w:val="none"/>
        </w:rPr>
        <w:t>2.5 结算方式和付款条件</w:t>
      </w:r>
      <w:bookmarkEnd w:id="450"/>
      <w:bookmarkEnd w:id="451"/>
      <w:bookmarkEnd w:id="452"/>
      <w:bookmarkEnd w:id="453"/>
      <w:bookmarkEnd w:id="454"/>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2"/>
        <w:rPr>
          <w:rFonts w:hint="eastAsia" w:ascii="仿宋" w:hAnsi="仿宋" w:eastAsia="仿宋" w:cs="仿宋"/>
          <w:b/>
          <w:color w:val="auto"/>
          <w:sz w:val="24"/>
          <w:highlight w:val="none"/>
        </w:rPr>
      </w:pPr>
      <w:bookmarkStart w:id="455" w:name="_Toc30507"/>
      <w:bookmarkStart w:id="456" w:name="_Toc16163"/>
      <w:bookmarkStart w:id="457" w:name="_Toc13154"/>
      <w:bookmarkStart w:id="458" w:name="_Toc13467"/>
      <w:bookmarkStart w:id="459" w:name="_Toc18990"/>
      <w:r>
        <w:rPr>
          <w:rFonts w:hint="eastAsia" w:ascii="仿宋" w:hAnsi="仿宋" w:eastAsia="仿宋" w:cs="仿宋"/>
          <w:b/>
          <w:color w:val="auto"/>
          <w:sz w:val="24"/>
          <w:highlight w:val="none"/>
        </w:rPr>
        <w:t>2.6 技术资料和保密义务</w:t>
      </w:r>
      <w:bookmarkEnd w:id="455"/>
      <w:bookmarkEnd w:id="456"/>
      <w:bookmarkEnd w:id="457"/>
      <w:bookmarkEnd w:id="458"/>
      <w:bookmarkEnd w:id="45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2"/>
        <w:rPr>
          <w:rFonts w:hint="eastAsia" w:ascii="仿宋" w:hAnsi="仿宋" w:eastAsia="仿宋" w:cs="仿宋"/>
          <w:b/>
          <w:color w:val="auto"/>
          <w:sz w:val="24"/>
          <w:highlight w:val="none"/>
        </w:rPr>
      </w:pPr>
      <w:bookmarkStart w:id="460" w:name="_Toc19069"/>
      <w:r>
        <w:rPr>
          <w:rFonts w:hint="eastAsia" w:ascii="仿宋" w:hAnsi="仿宋" w:eastAsia="仿宋" w:cs="仿宋"/>
          <w:b/>
          <w:color w:val="auto"/>
          <w:sz w:val="24"/>
          <w:highlight w:val="none"/>
        </w:rPr>
        <w:t>2.7 质量保证</w:t>
      </w:r>
      <w:bookmarkEnd w:id="460"/>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2"/>
        <w:rPr>
          <w:rFonts w:hint="eastAsia" w:ascii="仿宋" w:hAnsi="仿宋" w:eastAsia="仿宋" w:cs="仿宋"/>
          <w:b/>
          <w:color w:val="auto"/>
          <w:sz w:val="24"/>
          <w:highlight w:val="none"/>
        </w:rPr>
      </w:pPr>
      <w:bookmarkStart w:id="461" w:name="_Toc22267"/>
      <w:r>
        <w:rPr>
          <w:rFonts w:hint="eastAsia" w:ascii="仿宋" w:hAnsi="仿宋" w:eastAsia="仿宋" w:cs="仿宋"/>
          <w:b/>
          <w:color w:val="auto"/>
          <w:sz w:val="24"/>
          <w:highlight w:val="none"/>
        </w:rPr>
        <w:t>2.8 延迟履行</w:t>
      </w:r>
      <w:bookmarkEnd w:id="461"/>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2"/>
        <w:rPr>
          <w:rFonts w:hint="eastAsia" w:ascii="仿宋" w:hAnsi="仿宋" w:eastAsia="仿宋" w:cs="仿宋"/>
          <w:b/>
          <w:color w:val="auto"/>
          <w:sz w:val="24"/>
          <w:highlight w:val="none"/>
        </w:rPr>
      </w:pPr>
      <w:bookmarkStart w:id="462" w:name="_Toc10611"/>
      <w:r>
        <w:rPr>
          <w:rFonts w:hint="eastAsia" w:ascii="仿宋" w:hAnsi="仿宋" w:eastAsia="仿宋" w:cs="仿宋"/>
          <w:b/>
          <w:color w:val="auto"/>
          <w:sz w:val="24"/>
          <w:highlight w:val="none"/>
        </w:rPr>
        <w:t>2.9 合同变更</w:t>
      </w:r>
      <w:bookmarkEnd w:id="462"/>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2"/>
        <w:rPr>
          <w:rFonts w:hint="eastAsia" w:ascii="仿宋" w:hAnsi="仿宋" w:eastAsia="仿宋" w:cs="仿宋"/>
          <w:b/>
          <w:color w:val="auto"/>
          <w:sz w:val="24"/>
          <w:highlight w:val="none"/>
        </w:rPr>
      </w:pPr>
      <w:bookmarkStart w:id="463" w:name="_Toc21830"/>
      <w:bookmarkStart w:id="464" w:name="_Toc23368"/>
      <w:bookmarkStart w:id="465" w:name="_Toc42"/>
      <w:bookmarkStart w:id="466" w:name="_Toc26689"/>
      <w:bookmarkStart w:id="467" w:name="_Toc10663"/>
      <w:r>
        <w:rPr>
          <w:rFonts w:hint="eastAsia" w:ascii="仿宋" w:hAnsi="仿宋" w:eastAsia="仿宋" w:cs="仿宋"/>
          <w:b/>
          <w:color w:val="auto"/>
          <w:sz w:val="24"/>
          <w:highlight w:val="none"/>
        </w:rPr>
        <w:t>2.10 合同转让和分包</w:t>
      </w:r>
      <w:bookmarkEnd w:id="463"/>
      <w:bookmarkEnd w:id="464"/>
      <w:bookmarkEnd w:id="465"/>
      <w:bookmarkEnd w:id="466"/>
      <w:bookmarkEnd w:id="467"/>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2"/>
        <w:rPr>
          <w:rFonts w:hint="eastAsia" w:ascii="仿宋" w:hAnsi="仿宋" w:eastAsia="仿宋" w:cs="仿宋"/>
          <w:b/>
          <w:color w:val="auto"/>
          <w:sz w:val="24"/>
          <w:highlight w:val="none"/>
        </w:rPr>
      </w:pPr>
      <w:bookmarkStart w:id="468" w:name="_Toc14371"/>
      <w:bookmarkStart w:id="469" w:name="_Toc32494"/>
      <w:bookmarkStart w:id="470" w:name="_Toc25571"/>
      <w:bookmarkStart w:id="471" w:name="_Toc4720"/>
      <w:bookmarkStart w:id="472" w:name="_Toc26633"/>
      <w:r>
        <w:rPr>
          <w:rFonts w:hint="eastAsia" w:ascii="仿宋" w:hAnsi="仿宋" w:eastAsia="仿宋" w:cs="仿宋"/>
          <w:b/>
          <w:color w:val="auto"/>
          <w:sz w:val="24"/>
          <w:highlight w:val="none"/>
        </w:rPr>
        <w:t>2.11 不可抗力</w:t>
      </w:r>
      <w:bookmarkEnd w:id="468"/>
      <w:bookmarkEnd w:id="469"/>
      <w:bookmarkEnd w:id="470"/>
      <w:bookmarkEnd w:id="471"/>
      <w:bookmarkEnd w:id="472"/>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pPr>
        <w:spacing w:line="560" w:lineRule="exact"/>
        <w:ind w:firstLine="482" w:firstLineChars="200"/>
        <w:outlineLvl w:val="2"/>
        <w:rPr>
          <w:rFonts w:hint="eastAsia" w:ascii="仿宋" w:hAnsi="仿宋" w:eastAsia="仿宋" w:cs="仿宋"/>
          <w:b/>
          <w:color w:val="auto"/>
          <w:sz w:val="24"/>
          <w:highlight w:val="none"/>
        </w:rPr>
      </w:pPr>
      <w:bookmarkStart w:id="473" w:name="_Toc25783"/>
      <w:bookmarkStart w:id="474" w:name="_Toc3638"/>
      <w:bookmarkStart w:id="475" w:name="_Toc14115"/>
      <w:bookmarkStart w:id="476" w:name="_Toc24465"/>
      <w:bookmarkStart w:id="477" w:name="_Toc23854"/>
      <w:r>
        <w:rPr>
          <w:rFonts w:hint="eastAsia" w:ascii="仿宋" w:hAnsi="仿宋" w:eastAsia="仿宋" w:cs="仿宋"/>
          <w:b/>
          <w:color w:val="auto"/>
          <w:sz w:val="24"/>
          <w:highlight w:val="none"/>
        </w:rPr>
        <w:t>2.12 税费</w:t>
      </w:r>
      <w:bookmarkEnd w:id="473"/>
      <w:bookmarkEnd w:id="474"/>
      <w:bookmarkEnd w:id="475"/>
      <w:bookmarkEnd w:id="476"/>
      <w:bookmarkEnd w:id="477"/>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pPr>
        <w:spacing w:line="560" w:lineRule="exact"/>
        <w:ind w:firstLine="482" w:firstLineChars="200"/>
        <w:outlineLvl w:val="2"/>
        <w:rPr>
          <w:rFonts w:hint="eastAsia" w:ascii="仿宋" w:hAnsi="仿宋" w:eastAsia="仿宋" w:cs="仿宋"/>
          <w:b/>
          <w:color w:val="auto"/>
          <w:sz w:val="24"/>
          <w:highlight w:val="none"/>
        </w:rPr>
      </w:pPr>
      <w:bookmarkStart w:id="478" w:name="_Toc30105"/>
      <w:bookmarkStart w:id="479" w:name="_Toc26883"/>
      <w:bookmarkStart w:id="480" w:name="_Toc7315"/>
      <w:bookmarkStart w:id="481" w:name="_Toc25525"/>
      <w:bookmarkStart w:id="482" w:name="_Toc14814"/>
      <w:r>
        <w:rPr>
          <w:rFonts w:hint="eastAsia" w:ascii="仿宋" w:hAnsi="仿宋" w:eastAsia="仿宋" w:cs="仿宋"/>
          <w:b/>
          <w:color w:val="auto"/>
          <w:sz w:val="24"/>
          <w:highlight w:val="none"/>
        </w:rPr>
        <w:t>2.13 乙方破产</w:t>
      </w:r>
      <w:bookmarkEnd w:id="478"/>
      <w:bookmarkEnd w:id="479"/>
      <w:bookmarkEnd w:id="480"/>
      <w:bookmarkEnd w:id="481"/>
      <w:bookmarkEnd w:id="482"/>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2"/>
        <w:rPr>
          <w:rFonts w:hint="eastAsia" w:ascii="仿宋" w:hAnsi="仿宋" w:eastAsia="仿宋" w:cs="仿宋"/>
          <w:b/>
          <w:color w:val="auto"/>
          <w:sz w:val="24"/>
          <w:highlight w:val="none"/>
        </w:rPr>
      </w:pPr>
      <w:bookmarkStart w:id="483" w:name="_Toc1123"/>
      <w:bookmarkStart w:id="484" w:name="_Toc2016"/>
      <w:bookmarkStart w:id="485" w:name="_Toc23323"/>
      <w:r>
        <w:rPr>
          <w:rFonts w:hint="eastAsia" w:ascii="仿宋" w:hAnsi="仿宋" w:eastAsia="仿宋" w:cs="仿宋"/>
          <w:b/>
          <w:color w:val="auto"/>
          <w:sz w:val="24"/>
          <w:highlight w:val="none"/>
        </w:rPr>
        <w:t>2.14 合同中止、终止</w:t>
      </w:r>
      <w:bookmarkEnd w:id="483"/>
      <w:bookmarkEnd w:id="484"/>
      <w:bookmarkEnd w:id="485"/>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2"/>
        <w:rPr>
          <w:rFonts w:hint="eastAsia" w:ascii="仿宋" w:hAnsi="仿宋" w:eastAsia="仿宋" w:cs="仿宋"/>
          <w:b/>
          <w:color w:val="auto"/>
          <w:sz w:val="24"/>
          <w:highlight w:val="none"/>
        </w:rPr>
      </w:pPr>
      <w:bookmarkStart w:id="486" w:name="_Toc1969"/>
      <w:bookmarkStart w:id="487" w:name="_Toc14525"/>
      <w:bookmarkStart w:id="488" w:name="_Toc17363"/>
      <w:r>
        <w:rPr>
          <w:rFonts w:hint="eastAsia" w:ascii="仿宋" w:hAnsi="仿宋" w:eastAsia="仿宋" w:cs="仿宋"/>
          <w:b/>
          <w:color w:val="auto"/>
          <w:sz w:val="24"/>
          <w:highlight w:val="none"/>
        </w:rPr>
        <w:t>2.15 检验和验收</w:t>
      </w:r>
      <w:bookmarkEnd w:id="486"/>
      <w:bookmarkEnd w:id="487"/>
      <w:bookmarkEnd w:id="488"/>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pPr>
        <w:spacing w:line="560" w:lineRule="exact"/>
        <w:ind w:firstLine="482" w:firstLineChars="200"/>
        <w:outlineLvl w:val="2"/>
        <w:rPr>
          <w:rFonts w:hint="eastAsia" w:ascii="仿宋" w:hAnsi="仿宋" w:eastAsia="仿宋" w:cs="仿宋"/>
          <w:b/>
          <w:color w:val="auto"/>
          <w:sz w:val="24"/>
          <w:highlight w:val="none"/>
        </w:rPr>
      </w:pPr>
      <w:bookmarkStart w:id="489" w:name="_Toc2308"/>
      <w:bookmarkStart w:id="490" w:name="_Toc25198"/>
      <w:bookmarkStart w:id="491" w:name="_Toc12666"/>
      <w:bookmarkStart w:id="492" w:name="_Toc31892"/>
      <w:bookmarkStart w:id="493" w:name="_Toc9808"/>
      <w:r>
        <w:rPr>
          <w:rFonts w:hint="eastAsia" w:ascii="仿宋" w:hAnsi="仿宋" w:eastAsia="仿宋" w:cs="仿宋"/>
          <w:b/>
          <w:color w:val="auto"/>
          <w:sz w:val="24"/>
          <w:highlight w:val="none"/>
        </w:rPr>
        <w:t>2.16 通知和送达</w:t>
      </w:r>
      <w:bookmarkEnd w:id="489"/>
      <w:bookmarkEnd w:id="490"/>
      <w:bookmarkEnd w:id="491"/>
      <w:bookmarkEnd w:id="492"/>
      <w:bookmarkEnd w:id="493"/>
    </w:p>
    <w:p>
      <w:pPr>
        <w:spacing w:line="560" w:lineRule="exact"/>
        <w:ind w:firstLine="480" w:firstLineChars="200"/>
        <w:rPr>
          <w:rFonts w:hint="eastAsia" w:ascii="仿宋" w:hAnsi="仿宋" w:eastAsia="仿宋" w:cs="仿宋"/>
          <w:color w:val="auto"/>
          <w:sz w:val="24"/>
          <w:highlight w:val="none"/>
        </w:rPr>
      </w:pPr>
      <w:bookmarkStart w:id="494" w:name="_Toc27674"/>
      <w:bookmarkStart w:id="495" w:name="_Toc18401"/>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pPr>
        <w:pStyle w:val="959"/>
        <w:spacing w:before="0" w:beforeAutospacing="0" w:after="0" w:afterAutospacing="0" w:line="360" w:lineRule="auto"/>
        <w:ind w:firstLine="420"/>
        <w:rPr>
          <w:rFonts w:hint="eastAsia" w:ascii="仿宋" w:hAnsi="仿宋" w:eastAsia="仿宋" w:cs="仿宋"/>
          <w:color w:val="auto"/>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w:t>
      </w:r>
      <w:bookmarkEnd w:id="494"/>
      <w:bookmarkEnd w:id="495"/>
      <w:r>
        <w:rPr>
          <w:rFonts w:hint="eastAsia" w:ascii="仿宋" w:hAnsi="仿宋" w:eastAsia="仿宋" w:cs="仿宋"/>
          <w:color w:val="auto"/>
          <w:highlight w:val="none"/>
        </w:rPr>
        <w:t>的保函等非现金形式，提交不超过合同金额1%的履约保证金；鼓励和支持乙方以银行、保险公司出具的保函形式提供履约保证，乙方以银行、保险公司出具保函形式提交履约保证金的，甲方不得拒收。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2.18.2  甲方在项目验收结束后及时退还履约保证金。甲方在项目通过验收之日起</w:t>
      </w:r>
      <w:r>
        <w:rPr>
          <w:rFonts w:hint="eastAsia" w:ascii="仿宋" w:hAnsi="仿宋" w:eastAsia="仿宋" w:cs="仿宋"/>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个工作日内将履约保证金退还乙方，逾期退还的，乙方可要求甲方支付违约金，违约金按每迟延退还一日的应退还而未退还金额的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%计算，最高限额为本合同履约保证金的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 xml:space="preserve">%； </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2.18.3 如果乙方不履行合同，履约保证金不予退还；如果乙方未能按合同约定全面履行义务，那么甲方有权从履约保证金中取得补发出传真之时视为送达；以邮寄方式送达的，邮件挂号寄出或者交邮之日之次日视为送达。</w:t>
      </w:r>
    </w:p>
    <w:p>
      <w:pPr>
        <w:spacing w:line="560" w:lineRule="exact"/>
        <w:ind w:firstLine="482" w:firstLineChars="200"/>
        <w:outlineLvl w:val="2"/>
        <w:rPr>
          <w:rFonts w:hint="eastAsia" w:ascii="仿宋" w:hAnsi="仿宋" w:eastAsia="仿宋" w:cs="仿宋"/>
          <w:b/>
          <w:color w:val="auto"/>
          <w:sz w:val="24"/>
          <w:highlight w:val="none"/>
        </w:rPr>
      </w:pPr>
      <w:bookmarkStart w:id="496" w:name="_Toc28906"/>
      <w:bookmarkStart w:id="497" w:name="_Toc27644"/>
      <w:bookmarkStart w:id="498" w:name="_Toc12254"/>
      <w:bookmarkStart w:id="499" w:name="_Toc20808"/>
      <w:bookmarkStart w:id="500" w:name="_Toc5063"/>
      <w:r>
        <w:rPr>
          <w:rFonts w:hint="eastAsia" w:ascii="仿宋" w:hAnsi="仿宋" w:eastAsia="仿宋" w:cs="仿宋"/>
          <w:b/>
          <w:color w:val="auto"/>
          <w:sz w:val="24"/>
          <w:highlight w:val="none"/>
        </w:rPr>
        <w:t>2.17 合同使用的文字和适用的法律</w:t>
      </w:r>
      <w:bookmarkEnd w:id="496"/>
      <w:bookmarkEnd w:id="497"/>
      <w:bookmarkEnd w:id="498"/>
      <w:bookmarkEnd w:id="499"/>
      <w:bookmarkEnd w:id="500"/>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pPr>
        <w:spacing w:line="560" w:lineRule="exact"/>
        <w:ind w:firstLine="482" w:firstLineChars="200"/>
        <w:outlineLvl w:val="2"/>
        <w:rPr>
          <w:rFonts w:hint="eastAsia" w:ascii="仿宋" w:hAnsi="仿宋" w:eastAsia="仿宋" w:cs="仿宋"/>
          <w:b/>
          <w:color w:val="auto"/>
          <w:sz w:val="24"/>
          <w:highlight w:val="none"/>
        </w:rPr>
      </w:pPr>
      <w:bookmarkStart w:id="501" w:name="_Toc30096"/>
      <w:bookmarkStart w:id="502" w:name="_Toc27127"/>
      <w:bookmarkStart w:id="503" w:name="_Toc22266"/>
      <w:bookmarkStart w:id="504" w:name="_Toc27403"/>
      <w:bookmarkStart w:id="505" w:name="_Toc1492"/>
      <w:r>
        <w:rPr>
          <w:rFonts w:hint="eastAsia" w:ascii="仿宋" w:hAnsi="仿宋" w:eastAsia="仿宋" w:cs="仿宋"/>
          <w:b/>
          <w:color w:val="auto"/>
          <w:sz w:val="24"/>
          <w:highlight w:val="none"/>
        </w:rPr>
        <w:t>2.18 履约保证金</w:t>
      </w:r>
      <w:bookmarkEnd w:id="501"/>
      <w:bookmarkEnd w:id="502"/>
      <w:bookmarkEnd w:id="503"/>
      <w:bookmarkEnd w:id="504"/>
      <w:bookmarkEnd w:id="505"/>
    </w:p>
    <w:p>
      <w:pPr>
        <w:spacing w:line="560" w:lineRule="exact"/>
        <w:ind w:firstLine="420" w:firstLineChars="200"/>
        <w:rPr>
          <w:rFonts w:hint="eastAsia" w:ascii="仿宋" w:hAnsi="仿宋" w:eastAsia="仿宋" w:cs="仿宋"/>
          <w:color w:val="auto"/>
          <w:sz w:val="24"/>
          <w:highlight w:val="none"/>
        </w:rPr>
      </w:pPr>
      <w:r>
        <w:rPr>
          <w:rFonts w:hint="eastAsia" w:ascii="仿宋" w:hAnsi="仿宋" w:eastAsia="仿宋" w:cs="仿宋"/>
          <w:color w:val="auto"/>
          <w:highlight w:val="none"/>
        </w:rPr>
        <w:t>2.18.1 采购文件要求乙方提交履约保证金的，乙方应按</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rPr>
        <w:t>约定的方式，以支票、汇票、本票或者金融机构、担保机构出具</w:t>
      </w:r>
      <w:r>
        <w:rPr>
          <w:rFonts w:hint="eastAsia" w:ascii="仿宋" w:hAnsi="仿宋" w:eastAsia="仿宋" w:cs="仿宋"/>
          <w:color w:val="auto"/>
          <w:sz w:val="24"/>
          <w:highlight w:val="none"/>
        </w:rPr>
        <w:t>偿或赔偿，同时不影响甲方要求乙方承担合同约定的超过履约保证金的违约责任的权利。</w:t>
      </w:r>
    </w:p>
    <w:p>
      <w:pPr>
        <w:spacing w:line="560" w:lineRule="exact"/>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2.18.4 甲方在乙方履行完合同约定义务事项后及时退还，延迟退还的，应当按照合同约定和法律规定承担相应的赔偿责任。</w:t>
      </w:r>
    </w:p>
    <w:p>
      <w:pPr>
        <w:spacing w:line="560" w:lineRule="exact"/>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2.19</w:t>
      </w:r>
      <w:r>
        <w:rPr>
          <w:rFonts w:hint="eastAsia" w:ascii="仿宋" w:hAnsi="仿宋" w:eastAsia="仿宋" w:cs="仿宋"/>
          <w:color w:val="auto"/>
          <w:sz w:val="24"/>
          <w:highlight w:val="none"/>
        </w:rPr>
        <w:t>对于因甲方原因导致变更、中止或者终止政府采购合同的，甲方应当依照合同约定对供应商受到的损失予以赔偿或者补偿。</w:t>
      </w:r>
    </w:p>
    <w:p>
      <w:pPr>
        <w:spacing w:line="560" w:lineRule="exact"/>
        <w:ind w:firstLine="482" w:firstLineChars="200"/>
        <w:outlineLvl w:val="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2.20合同份数</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pPr>
        <w:spacing w:line="360" w:lineRule="auto"/>
        <w:jc w:val="center"/>
        <w:outlineLvl w:val="1"/>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r>
        <w:rPr>
          <w:rFonts w:hint="eastAsia" w:ascii="仿宋" w:hAnsi="仿宋" w:eastAsia="仿宋" w:cs="仿宋"/>
          <w:b/>
          <w:color w:val="auto"/>
          <w:sz w:val="24"/>
          <w:highlight w:val="none"/>
        </w:rPr>
        <w:t>第三部分 合同专用条款</w:t>
      </w:r>
    </w:p>
    <w:p>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267"/>
        <w:gridCol w:w="785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4305" w:type="pct"/>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本项目合同为总价合同。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1.5.1</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预付款比例、支付方式、时间：</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在合同生效且具备实施条件后5个工作日内，甲方向乙方支付合同总价款的【70】%作为预付款。</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（注：在签订合同时，乙方明确表示无需预付款或者主动要求降低预付款比例的，双方可另行协商确定付款方式。）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预付款的扣回方式：不再单独扣回，转为合同已付价款。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资金支付的方式、时间和条件：</w:t>
            </w:r>
          </w:p>
          <w:p>
            <w:pPr>
              <w:spacing w:line="360" w:lineRule="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第一笔付款：在合同生效且具备实施条件后5个工作日内，甲方向乙方支付合同总价款的【70】%作为预付款；</w:t>
            </w:r>
          </w:p>
          <w:p>
            <w:pPr>
              <w:spacing w:line="360" w:lineRule="auto"/>
              <w:jc w:val="left"/>
              <w:rPr>
                <w:rFonts w:hint="default" w:ascii="仿宋" w:hAnsi="仿宋" w:eastAsia="仿宋" w:cs="仿宋"/>
                <w:color w:val="auto"/>
                <w:sz w:val="24"/>
                <w:szCs w:val="21"/>
                <w:highlight w:val="none"/>
                <w:lang w:val="en-US"/>
              </w:rPr>
            </w:pPr>
            <w:r>
              <w:rPr>
                <w:rFonts w:hint="eastAsia" w:ascii="仿宋" w:hAnsi="仿宋" w:eastAsia="仿宋" w:cs="仿宋"/>
                <w:color w:val="auto"/>
                <w:sz w:val="24"/>
                <w:szCs w:val="21"/>
                <w:highlight w:val="none"/>
              </w:rPr>
              <w:t>第二笔付款：</w:t>
            </w:r>
            <w:r>
              <w:rPr>
                <w:rFonts w:hint="eastAsia" w:ascii="仿宋" w:hAnsi="仿宋" w:eastAsia="仿宋" w:cs="仿宋"/>
                <w:color w:val="auto"/>
                <w:sz w:val="24"/>
                <w:highlight w:val="none"/>
                <w:lang w:val="en-US" w:eastAsia="zh-CN"/>
              </w:rPr>
              <w:t>合同履行结束</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lang w:val="en-US" w:eastAsia="zh-CN"/>
              </w:rPr>
              <w:t>项目验收合格之后，</w:t>
            </w:r>
            <w:r>
              <w:rPr>
                <w:rFonts w:hint="eastAsia" w:ascii="仿宋" w:hAnsi="仿宋" w:eastAsia="仿宋" w:cs="仿宋"/>
                <w:color w:val="auto"/>
                <w:sz w:val="24"/>
                <w:szCs w:val="21"/>
                <w:highlight w:val="none"/>
              </w:rPr>
              <w:t>甲方向乙方支付合同总价款的【30】%</w:t>
            </w:r>
            <w:r>
              <w:rPr>
                <w:rFonts w:hint="eastAsia" w:ascii="仿宋" w:hAnsi="仿宋" w:eastAsia="仿宋" w:cs="仿宋"/>
                <w:color w:val="auto"/>
                <w:sz w:val="24"/>
                <w:szCs w:val="21"/>
                <w:highlight w:val="none"/>
                <w:lang w:eastAsia="zh-CN"/>
              </w:rPr>
              <w:t>。</w:t>
            </w:r>
            <w:r>
              <w:rPr>
                <w:rFonts w:hint="eastAsia" w:ascii="仿宋" w:hAnsi="仿宋" w:eastAsia="仿宋" w:cs="仿宋"/>
                <w:color w:val="auto"/>
                <w:kern w:val="0"/>
                <w:sz w:val="24"/>
                <w:highlight w:val="none"/>
                <w:lang w:val="en-US" w:eastAsia="zh-CN"/>
              </w:rPr>
              <w:t>根据服务考核情况，考核扣款费用在30%的尾款中扣除。</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乙方须向甲方提供合同款项等额的增值税发票。</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（注：在签订合同时，乙方明确表示无需预付款或者主动要求降低预付款比例的，双方可另行协商确定付款方式。）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服务交付（实施）的时间（期限）：自合同签订生效之日起一年。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4305" w:type="pct"/>
            <w:noWrap w:val="0"/>
            <w:vAlign w:val="center"/>
          </w:tcPr>
          <w:p>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服务交付（实施）的地点（地域范围）：甲方指定地点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服务交付（实施）的方式：甲方指定地点现场实施。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1.7.4</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若服务涉及货物的，则货物的：本项目不涉及货物。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交付期限：无。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交付地点：无。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交付方式：无。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违约责任：</w:t>
            </w:r>
          </w:p>
          <w:p>
            <w:pPr>
              <w:autoSpaceDE w:val="0"/>
              <w:autoSpaceDN w:val="0"/>
              <w:snapToGrid w:val="0"/>
              <w:spacing w:line="360" w:lineRule="auto"/>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（1）本合同签订后，任何一方不履行或不完全履行本合同约定条款的，即构成违约。任何一方违约时，守约方有权要求违约方继续履行本合同，同时有权要求违约方支付违约金。</w:t>
            </w:r>
          </w:p>
          <w:p>
            <w:pPr>
              <w:autoSpaceDE w:val="0"/>
              <w:autoSpaceDN w:val="0"/>
              <w:snapToGrid w:val="0"/>
              <w:spacing w:line="360" w:lineRule="auto"/>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（2）如果甲方未按照合同约定支付价款，乙方可要求甲方支付违约金，违约金按每延迟一日的应付而未付金额的0.2‰计算，最高限额为本合同总金额的【10%】。</w:t>
            </w:r>
          </w:p>
          <w:p>
            <w:pPr>
              <w:autoSpaceDE w:val="0"/>
              <w:autoSpaceDN w:val="0"/>
              <w:snapToGrid w:val="0"/>
              <w:spacing w:line="360" w:lineRule="auto"/>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（3）如因乙方原因造成项目不能如期</w:t>
            </w:r>
            <w:r>
              <w:rPr>
                <w:rFonts w:hint="eastAsia" w:ascii="仿宋" w:hAnsi="仿宋" w:eastAsia="仿宋" w:cs="仿宋"/>
                <w:b/>
                <w:bCs/>
                <w:color w:val="auto"/>
                <w:sz w:val="24"/>
                <w:highlight w:val="none"/>
              </w:rPr>
              <w:t>交付</w:t>
            </w:r>
            <w:r>
              <w:rPr>
                <w:rFonts w:hint="eastAsia" w:ascii="仿宋" w:hAnsi="仿宋" w:eastAsia="仿宋" w:cs="仿宋"/>
                <w:color w:val="auto"/>
                <w:sz w:val="24"/>
                <w:highlight w:val="none"/>
              </w:rPr>
              <w:t>服务的，则每延迟一日，乙方应向甲方支付合同总额【3‰】的违约金，延期超过【30】日，甲方有权选择解除本合同</w:t>
            </w:r>
            <w:r>
              <w:rPr>
                <w:rFonts w:hint="eastAsia" w:ascii="仿宋" w:hAnsi="仿宋" w:eastAsia="仿宋" w:cs="仿宋"/>
                <w:b/>
                <w:bCs/>
                <w:color w:val="auto"/>
                <w:sz w:val="24"/>
                <w:highlight w:val="none"/>
              </w:rPr>
              <w:t>，乙方应退还全部收取的合同费用并按合同价款的10%承担违约金。</w:t>
            </w:r>
          </w:p>
          <w:p>
            <w:pPr>
              <w:autoSpaceDE w:val="0"/>
              <w:autoSpaceDN w:val="0"/>
              <w:snapToGrid w:val="0"/>
              <w:spacing w:line="360" w:lineRule="auto"/>
              <w:textAlignment w:val="bottom"/>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（4）若乙方工作成果未通过甲方验收的，</w:t>
            </w:r>
            <w:r>
              <w:rPr>
                <w:rFonts w:hint="eastAsia" w:ascii="仿宋" w:hAnsi="仿宋" w:eastAsia="仿宋" w:cs="仿宋"/>
                <w:b/>
                <w:bCs/>
                <w:color w:val="auto"/>
                <w:sz w:val="24"/>
                <w:highlight w:val="none"/>
              </w:rPr>
              <w:t>乙方应当及时整改，因此延误交付期限的，按逾期交付承担违约责任。</w:t>
            </w:r>
          </w:p>
          <w:p>
            <w:pPr>
              <w:autoSpaceDE w:val="0"/>
              <w:autoSpaceDN w:val="0"/>
              <w:snapToGrid w:val="0"/>
              <w:spacing w:line="360" w:lineRule="auto"/>
              <w:textAlignment w:val="bottom"/>
              <w:rPr>
                <w:rFonts w:hint="eastAsia" w:ascii="仿宋" w:hAnsi="仿宋" w:eastAsia="仿宋" w:cs="仿宋"/>
                <w:color w:val="auto"/>
                <w:sz w:val="24"/>
                <w:highlight w:val="none"/>
              </w:rPr>
            </w:pPr>
            <w:r>
              <w:rPr>
                <w:rFonts w:hint="eastAsia" w:ascii="仿宋" w:hAnsi="仿宋" w:eastAsia="仿宋" w:cs="仿宋"/>
                <w:color w:val="auto"/>
                <w:sz w:val="24"/>
                <w:highlight w:val="none"/>
              </w:rPr>
              <w:t>（5）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执行费等费用以及其他可预见的间接经济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1.9</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本合同履行过程中发生的任何争议，双方当事人均可通过和解或者调解解决；不愿和解、调解或者和解、调解不成的，可以选择以下第      1.9.1条款规定的方式解决。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将争议提请杭州仲裁委员会,按照其仲裁规则进行仲裁。仲裁裁决是终局的，对双方均有约束力。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4305" w:type="pct"/>
            <w:noWrap w:val="0"/>
            <w:vAlign w:val="center"/>
          </w:tcPr>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乙方若侵害了第三方知识产权或其他合法权益的，由此引起的纠纷由乙方自行负责，乙方还应及时公开澄清相关信息，使甲方声誉免受损害</w:t>
            </w:r>
            <w:r>
              <w:rPr>
                <w:rFonts w:hint="eastAsia" w:ascii="仿宋" w:hAnsi="仿宋" w:eastAsia="仿宋" w:cs="仿宋"/>
                <w:b/>
                <w:bCs/>
                <w:color w:val="auto"/>
                <w:kern w:val="0"/>
                <w:sz w:val="24"/>
                <w:highlight w:val="none"/>
              </w:rPr>
              <w:t>；造成甲方损失的</w:t>
            </w:r>
            <w:r>
              <w:rPr>
                <w:rFonts w:hint="eastAsia" w:ascii="仿宋" w:hAnsi="仿宋" w:eastAsia="仿宋" w:cs="仿宋"/>
                <w:color w:val="auto"/>
                <w:kern w:val="0"/>
                <w:sz w:val="24"/>
                <w:highlight w:val="none"/>
              </w:rPr>
              <w:t>，甲方保留追</w:t>
            </w:r>
            <w:r>
              <w:rPr>
                <w:rFonts w:hint="eastAsia" w:ascii="仿宋" w:hAnsi="仿宋" w:eastAsia="仿宋" w:cs="仿宋"/>
                <w:b/>
                <w:bCs/>
                <w:color w:val="auto"/>
                <w:kern w:val="0"/>
                <w:sz w:val="24"/>
                <w:highlight w:val="none"/>
              </w:rPr>
              <w:t>偿</w:t>
            </w:r>
            <w:r>
              <w:rPr>
                <w:rFonts w:hint="eastAsia" w:ascii="仿宋" w:hAnsi="仿宋" w:eastAsia="仿宋" w:cs="仿宋"/>
                <w:color w:val="auto"/>
                <w:kern w:val="0"/>
                <w:sz w:val="24"/>
                <w:highlight w:val="none"/>
              </w:rPr>
              <w:t>的权利。</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乙方有义务保护软件和资料的知识产权,在相关知识产权被侵害的情况下采取必要的维权措施。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4305" w:type="pct"/>
            <w:noWrap w:val="0"/>
            <w:vAlign w:val="center"/>
          </w:tcPr>
          <w:p>
            <w:pPr>
              <w:spacing w:line="360" w:lineRule="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结算方式和付款条件：</w:t>
            </w:r>
          </w:p>
          <w:p>
            <w:pPr>
              <w:spacing w:line="360" w:lineRule="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第一笔付款：在合同生效且具备实施条件后5个工作日内，甲方向乙方支付合同总价款的【70】%作为预付款；</w:t>
            </w:r>
          </w:p>
          <w:p>
            <w:pPr>
              <w:spacing w:line="360" w:lineRule="auto"/>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第二笔付款：</w:t>
            </w:r>
            <w:r>
              <w:rPr>
                <w:rFonts w:hint="eastAsia" w:ascii="仿宋" w:hAnsi="仿宋" w:eastAsia="仿宋" w:cs="仿宋"/>
                <w:color w:val="auto"/>
                <w:sz w:val="24"/>
                <w:highlight w:val="none"/>
                <w:lang w:val="en-US" w:eastAsia="zh-CN"/>
              </w:rPr>
              <w:t>合同履行结束</w:t>
            </w:r>
            <w:r>
              <w:rPr>
                <w:rFonts w:hint="eastAsia" w:ascii="仿宋" w:hAnsi="仿宋" w:eastAsia="仿宋" w:cs="仿宋"/>
                <w:color w:val="auto"/>
                <w:sz w:val="24"/>
                <w:szCs w:val="21"/>
                <w:highlight w:val="none"/>
              </w:rPr>
              <w:t>，</w:t>
            </w:r>
            <w:r>
              <w:rPr>
                <w:rFonts w:hint="eastAsia" w:ascii="仿宋" w:hAnsi="仿宋" w:eastAsia="仿宋" w:cs="仿宋"/>
                <w:color w:val="auto"/>
                <w:sz w:val="24"/>
                <w:szCs w:val="21"/>
                <w:highlight w:val="none"/>
                <w:lang w:val="en-US" w:eastAsia="zh-CN"/>
              </w:rPr>
              <w:t>项目验收合格之后</w:t>
            </w:r>
            <w:r>
              <w:rPr>
                <w:rFonts w:hint="eastAsia" w:ascii="仿宋" w:hAnsi="仿宋" w:eastAsia="仿宋" w:cs="仿宋"/>
                <w:color w:val="auto"/>
                <w:sz w:val="24"/>
                <w:szCs w:val="21"/>
                <w:highlight w:val="none"/>
              </w:rPr>
              <w:t>，甲方向乙方支付合同总价款的【30】%；</w:t>
            </w:r>
            <w:r>
              <w:rPr>
                <w:rFonts w:hint="eastAsia" w:ascii="仿宋" w:hAnsi="仿宋" w:eastAsia="仿宋" w:cs="仿宋"/>
                <w:color w:val="auto"/>
                <w:kern w:val="0"/>
                <w:sz w:val="24"/>
                <w:highlight w:val="none"/>
                <w:lang w:val="en-US" w:eastAsia="zh-CN"/>
              </w:rPr>
              <w:t>根据服务考核情况，考核扣款费用在30%的尾款中扣除。</w:t>
            </w:r>
          </w:p>
          <w:p>
            <w:pPr>
              <w:spacing w:line="360" w:lineRule="auto"/>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乙方须向甲方提供合同款项等额的增值税发票。</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 xml:space="preserve">（注：在签订合同时，乙方明确表示无需预付款或者主动要求降低预付款比例的，双方可另行协商确定付款方式。） </w:t>
            </w:r>
            <w:r>
              <w:rPr>
                <w:rFonts w:hint="eastAsia" w:ascii="仿宋" w:hAnsi="仿宋" w:eastAsia="仿宋" w:cs="仿宋"/>
                <w:color w:val="auto"/>
                <w:sz w:val="24"/>
                <w:highlight w:val="none"/>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4305" w:type="pct"/>
            <w:noWrap w:val="0"/>
            <w:vAlign w:val="center"/>
          </w:tcPr>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因不可抗力致使合同有变更必要的，双方当事人应在3个工作日内以书面形式变更合同。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2.11.4</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受不可抗力影响的一方在不可抗力发生后，应在3个工作日内以书面形式通知对方当事人，并在14个工作日内将有关部门出具的证明文件送达对方当事人。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合同期满或者履行完毕后，甲方组织对乙方履约的验收，按照合同约定的技术、服务、安全标准，组织对每一项技术、服务、安全标准的履约情况的验收，并出具验收书。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2.18.1</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本项目不收取履约保证金。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694" w:type="pct"/>
            <w:tcBorders>
              <w:left w:val="single" w:color="auto" w:sz="4" w:space="0"/>
            </w:tcBorders>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2.18.2</w:t>
            </w:r>
          </w:p>
        </w:tc>
        <w:tc>
          <w:tcPr>
            <w:tcW w:w="4305" w:type="pct"/>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本项目不收取履约保证金。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694" w:type="pct"/>
            <w:tcBorders>
              <w:left w:val="single" w:color="auto" w:sz="4" w:space="0"/>
            </w:tcBorders>
            <w:noWrap w:val="0"/>
            <w:vAlign w:val="top"/>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2.20</w:t>
            </w:r>
          </w:p>
        </w:tc>
        <w:tc>
          <w:tcPr>
            <w:tcW w:w="4305" w:type="pct"/>
            <w:noWrap w:val="0"/>
            <w:vAlign w:val="top"/>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本合同一式</w:t>
            </w:r>
            <w:r>
              <w:rPr>
                <w:rFonts w:hint="eastAsia" w:ascii="仿宋" w:hAnsi="仿宋" w:eastAsia="仿宋" w:cs="仿宋"/>
                <w:color w:val="auto"/>
                <w:sz w:val="24"/>
                <w:highlight w:val="none"/>
                <w:lang w:val="en-US" w:eastAsia="zh-CN"/>
              </w:rPr>
              <w:t>柒</w:t>
            </w:r>
            <w:r>
              <w:rPr>
                <w:rFonts w:hint="eastAsia" w:ascii="仿宋" w:hAnsi="仿宋" w:eastAsia="仿宋" w:cs="仿宋"/>
                <w:color w:val="auto"/>
                <w:sz w:val="24"/>
                <w:highlight w:val="none"/>
              </w:rPr>
              <w:t>份，甲方执肆份、乙方执贰份</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采购代理机构执壹份</w:t>
            </w:r>
            <w:r>
              <w:rPr>
                <w:rFonts w:hint="eastAsia" w:ascii="仿宋" w:hAnsi="仿宋" w:eastAsia="仿宋" w:cs="仿宋"/>
                <w:color w:val="auto"/>
                <w:sz w:val="24"/>
                <w:highlight w:val="none"/>
              </w:rPr>
              <w:t>。</w:t>
            </w:r>
          </w:p>
        </w:tc>
      </w:tr>
    </w:tbl>
    <w:p>
      <w:pPr>
        <w:spacing w:line="360" w:lineRule="auto"/>
        <w:ind w:left="-420" w:leftChars="-200" w:right="-420" w:rightChars="-200" w:firstLine="480" w:firstLineChars="200"/>
        <w:rPr>
          <w:rFonts w:hint="eastAsia" w:ascii="仿宋" w:hAnsi="仿宋" w:eastAsia="仿宋" w:cs="仿宋"/>
          <w:color w:val="auto"/>
          <w:sz w:val="24"/>
          <w:highlight w:val="none"/>
        </w:rPr>
      </w:pPr>
    </w:p>
    <w:p>
      <w:pPr>
        <w:spacing w:line="360" w:lineRule="auto"/>
        <w:ind w:left="-420" w:leftChars="-200" w:right="-420" w:rightChars="-200"/>
        <w:rPr>
          <w:rFonts w:hint="eastAsia" w:ascii="仿宋" w:hAnsi="仿宋" w:eastAsia="仿宋" w:cs="仿宋"/>
          <w:color w:val="auto"/>
          <w:sz w:val="24"/>
          <w:highlight w:val="none"/>
        </w:rPr>
      </w:pPr>
    </w:p>
    <w:p>
      <w:pPr>
        <w:spacing w:line="360" w:lineRule="auto"/>
        <w:ind w:left="-420" w:leftChars="-200" w:right="-420" w:rightChars="-200" w:firstLine="480" w:firstLineChars="200"/>
        <w:jc w:val="center"/>
        <w:rPr>
          <w:rFonts w:hint="eastAsia" w:ascii="仿宋" w:hAnsi="仿宋" w:eastAsia="仿宋" w:cs="仿宋"/>
          <w:color w:val="auto"/>
          <w:sz w:val="24"/>
          <w:highlight w:val="none"/>
        </w:rPr>
      </w:pPr>
    </w:p>
    <w:p>
      <w:pPr>
        <w:spacing w:line="360" w:lineRule="auto"/>
        <w:ind w:left="-420" w:leftChars="-200" w:right="-420" w:rightChars="-200" w:firstLine="480" w:firstLineChars="200"/>
        <w:jc w:val="center"/>
        <w:rPr>
          <w:rFonts w:hint="eastAsia" w:ascii="仿宋" w:hAnsi="仿宋" w:eastAsia="仿宋" w:cs="仿宋"/>
          <w:color w:val="auto"/>
          <w:sz w:val="24"/>
          <w:highlight w:val="none"/>
        </w:rPr>
      </w:pPr>
    </w:p>
    <w:p>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sz w:val="36"/>
          <w:szCs w:val="20"/>
          <w:highlight w:val="none"/>
        </w:rPr>
        <w:t>第六部分</w:t>
      </w:r>
      <w:bookmarkEnd w:id="393"/>
      <w:r>
        <w:rPr>
          <w:rFonts w:hint="eastAsia" w:ascii="仿宋" w:hAnsi="仿宋" w:eastAsia="仿宋" w:cs="仿宋"/>
          <w:b/>
          <w:color w:val="auto"/>
          <w:sz w:val="36"/>
          <w:szCs w:val="20"/>
          <w:highlight w:val="none"/>
        </w:rPr>
        <w:t xml:space="preserve"> </w:t>
      </w:r>
      <w:bookmarkEnd w:id="394"/>
      <w:r>
        <w:rPr>
          <w:rFonts w:hint="eastAsia" w:ascii="仿宋" w:hAnsi="仿宋" w:eastAsia="仿宋" w:cs="仿宋"/>
          <w:b/>
          <w:color w:val="auto"/>
          <w:sz w:val="36"/>
          <w:szCs w:val="20"/>
          <w:highlight w:val="none"/>
        </w:rPr>
        <w:t>应提交的有关格式范例</w:t>
      </w:r>
    </w:p>
    <w:p>
      <w:pPr>
        <w:spacing w:line="360" w:lineRule="auto"/>
        <w:jc w:val="center"/>
        <w:outlineLvl w:val="0"/>
        <w:rPr>
          <w:rFonts w:hint="eastAsia" w:ascii="仿宋" w:hAnsi="仿宋" w:eastAsia="仿宋" w:cs="仿宋"/>
          <w:b/>
          <w:color w:val="auto"/>
          <w:kern w:val="0"/>
          <w:sz w:val="36"/>
          <w:szCs w:val="36"/>
          <w:highlight w:val="none"/>
        </w:rPr>
      </w:pPr>
      <w:bookmarkStart w:id="506" w:name="_Toc101358628"/>
      <w:r>
        <w:rPr>
          <w:rFonts w:hint="eastAsia" w:ascii="仿宋" w:hAnsi="仿宋" w:eastAsia="仿宋" w:cs="仿宋"/>
          <w:b/>
          <w:color w:val="auto"/>
          <w:kern w:val="0"/>
          <w:sz w:val="36"/>
          <w:szCs w:val="36"/>
          <w:highlight w:val="none"/>
        </w:rPr>
        <w:t>资格文件部分</w:t>
      </w:r>
      <w:bookmarkEnd w:id="506"/>
    </w:p>
    <w:p>
      <w:pPr>
        <w:spacing w:line="360" w:lineRule="auto"/>
        <w:jc w:val="center"/>
        <w:outlineLvl w:val="0"/>
        <w:rPr>
          <w:rFonts w:hint="eastAsia" w:ascii="仿宋" w:hAnsi="仿宋" w:eastAsia="仿宋" w:cs="仿宋"/>
          <w:b/>
          <w:color w:val="auto"/>
          <w:kern w:val="0"/>
          <w:sz w:val="36"/>
          <w:szCs w:val="36"/>
          <w:highlight w:val="none"/>
        </w:rPr>
      </w:pPr>
      <w:bookmarkStart w:id="507" w:name="_Toc101358629"/>
      <w:r>
        <w:rPr>
          <w:rFonts w:hint="eastAsia" w:ascii="仿宋" w:hAnsi="仿宋" w:eastAsia="仿宋" w:cs="仿宋"/>
          <w:b/>
          <w:color w:val="auto"/>
          <w:kern w:val="0"/>
          <w:sz w:val="36"/>
          <w:szCs w:val="36"/>
          <w:highlight w:val="none"/>
        </w:rPr>
        <w:t>目录</w:t>
      </w:r>
      <w:bookmarkEnd w:id="507"/>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（2）落实政府采购政策需满足的资格要求………………………………（页码）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（3）本项目的特定资格要求………………………………………………（页码）</w:t>
      </w:r>
    </w:p>
    <w:p>
      <w:pPr>
        <w:snapToGrid w:val="0"/>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一、符合参加政府采购活动应当具备的一般条件的承诺函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pStyle w:val="2"/>
        <w:rPr>
          <w:rFonts w:hint="eastAsia" w:ascii="仿宋" w:hAnsi="仿宋" w:eastAsia="仿宋" w:cs="仿宋"/>
          <w:color w:val="auto"/>
          <w:highlight w:val="none"/>
          <w:lang w:val="en-US"/>
        </w:rPr>
      </w:pPr>
    </w:p>
    <w:p>
      <w:pPr>
        <w:rPr>
          <w:rFonts w:hint="eastAsia" w:ascii="仿宋" w:hAnsi="仿宋" w:eastAsia="仿宋" w:cs="仿宋"/>
          <w:color w:val="auto"/>
          <w:highlight w:val="none"/>
        </w:rPr>
      </w:pPr>
    </w:p>
    <w:p>
      <w:pPr>
        <w:pStyle w:val="2"/>
        <w:rPr>
          <w:rFonts w:hint="eastAsia" w:ascii="仿宋" w:hAnsi="仿宋" w:eastAsia="仿宋" w:cs="仿宋"/>
          <w:color w:val="auto"/>
          <w:highlight w:val="none"/>
          <w:lang w:val="en-US"/>
        </w:rPr>
      </w:pPr>
    </w:p>
    <w:p>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二、落实政府采购政策需满足的资格要求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pPr>
        <w:widowControl/>
        <w:spacing w:line="360" w:lineRule="auto"/>
        <w:ind w:firstLine="480"/>
        <w:jc w:val="left"/>
        <w:rPr>
          <w:rFonts w:hint="eastAsia" w:ascii="仿宋" w:hAnsi="仿宋" w:eastAsia="仿宋" w:cs="仿宋"/>
          <w:color w:val="auto"/>
          <w:sz w:val="24"/>
          <w:highlight w:val="none"/>
        </w:rPr>
      </w:pPr>
    </w:p>
    <w:p>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widowControl/>
        <w:spacing w:line="360" w:lineRule="auto"/>
        <w:ind w:left="150"/>
        <w:jc w:val="center"/>
        <w:rPr>
          <w:rFonts w:hint="eastAsia" w:ascii="仿宋" w:hAnsi="仿宋" w:eastAsia="仿宋" w:cs="仿宋"/>
          <w:b/>
          <w:color w:val="auto"/>
          <w:kern w:val="0"/>
          <w:sz w:val="32"/>
          <w:szCs w:val="32"/>
          <w:highlight w:val="none"/>
        </w:rPr>
      </w:pPr>
    </w:p>
    <w:p>
      <w:pPr>
        <w:pStyle w:val="2"/>
        <w:rPr>
          <w:rFonts w:hint="eastAsia" w:ascii="仿宋" w:hAnsi="仿宋" w:eastAsia="仿宋" w:cs="仿宋"/>
          <w:color w:val="auto"/>
          <w:highlight w:val="none"/>
          <w:lang w:val="en-US"/>
        </w:rPr>
      </w:pPr>
    </w:p>
    <w:p>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三、本项目的特定资格要求</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ind w:right="42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pPr>
        <w:spacing w:line="360" w:lineRule="auto"/>
        <w:jc w:val="center"/>
        <w:outlineLvl w:val="0"/>
        <w:rPr>
          <w:rFonts w:hint="eastAsia" w:ascii="仿宋" w:hAnsi="仿宋" w:eastAsia="仿宋" w:cs="仿宋"/>
          <w:b/>
          <w:color w:val="auto"/>
          <w:kern w:val="0"/>
          <w:sz w:val="24"/>
          <w:highlight w:val="none"/>
        </w:rPr>
      </w:pPr>
    </w:p>
    <w:p>
      <w:pPr>
        <w:spacing w:line="360" w:lineRule="auto"/>
        <w:jc w:val="center"/>
        <w:outlineLvl w:val="0"/>
        <w:rPr>
          <w:rFonts w:hint="eastAsia" w:ascii="仿宋" w:hAnsi="仿宋" w:eastAsia="仿宋" w:cs="仿宋"/>
          <w:b/>
          <w:color w:val="auto"/>
          <w:kern w:val="0"/>
          <w:sz w:val="28"/>
          <w:szCs w:val="28"/>
          <w:highlight w:val="none"/>
        </w:rPr>
      </w:pPr>
      <w:bookmarkStart w:id="508" w:name="_Toc101358630"/>
      <w:r>
        <w:rPr>
          <w:rFonts w:hint="eastAsia" w:ascii="仿宋" w:hAnsi="仿宋" w:eastAsia="仿宋" w:cs="仿宋"/>
          <w:b/>
          <w:color w:val="auto"/>
          <w:kern w:val="0"/>
          <w:sz w:val="28"/>
          <w:szCs w:val="28"/>
          <w:highlight w:val="none"/>
        </w:rPr>
        <w:t>目录</w:t>
      </w:r>
      <w:bookmarkEnd w:id="508"/>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（3）联合协议</w:t>
      </w:r>
      <w:r>
        <w:rPr>
          <w:rFonts w:hint="eastAsia" w:ascii="仿宋" w:hAnsi="仿宋" w:eastAsia="仿宋" w:cs="仿宋"/>
          <w:color w:val="auto"/>
          <w:highlight w:val="none"/>
        </w:rPr>
        <w:t>………………………………………………………………………………（页码）</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（5）符合性审查资料</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（6）评标标准相应的商务技术资料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kern w:val="0"/>
          <w:sz w:val="32"/>
          <w:szCs w:val="32"/>
          <w:highlight w:val="none"/>
        </w:rPr>
      </w:pPr>
    </w:p>
    <w:p>
      <w:pPr>
        <w:snapToGrid w:val="0"/>
        <w:spacing w:line="360" w:lineRule="auto"/>
        <w:jc w:val="center"/>
        <w:outlineLvl w:val="0"/>
        <w:rPr>
          <w:rFonts w:hint="eastAsia" w:ascii="仿宋" w:hAnsi="仿宋" w:eastAsia="仿宋" w:cs="仿宋"/>
          <w:b/>
          <w:color w:val="auto"/>
          <w:sz w:val="32"/>
          <w:szCs w:val="32"/>
          <w:highlight w:val="none"/>
        </w:rPr>
      </w:pPr>
      <w:bookmarkStart w:id="509" w:name="_Toc101358631"/>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bookmarkEnd w:id="509"/>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2.1.2落实政府采购政策需满足的资格要求（如果有）；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2.1.3本项目的特定资格要求（如果有）。</w:t>
      </w:r>
    </w:p>
    <w:p>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2.2.3联合协议（如果有）；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2.2.4分包意向协议（如果有）；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2.2.5符合性审查资料；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2.2.6评标标准相应的商务技术资料；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2.3.2分项报价明细表；</w:t>
      </w:r>
    </w:p>
    <w:p>
      <w:pPr>
        <w:pStyle w:val="2"/>
        <w:rPr>
          <w:rFonts w:hint="eastAsia" w:ascii="仿宋" w:hAnsi="仿宋" w:eastAsia="仿宋" w:cs="仿宋"/>
          <w:b w:val="0"/>
          <w:bCs w:val="0"/>
          <w:color w:val="auto"/>
          <w:sz w:val="24"/>
          <w:szCs w:val="24"/>
          <w:highlight w:val="none"/>
          <w:lang w:val="en-US"/>
        </w:rPr>
      </w:pPr>
      <w:bookmarkStart w:id="510" w:name="_Toc101358632"/>
      <w:r>
        <w:rPr>
          <w:rFonts w:hint="eastAsia" w:ascii="仿宋" w:hAnsi="仿宋" w:eastAsia="仿宋" w:cs="仿宋"/>
          <w:b w:val="0"/>
          <w:bCs w:val="0"/>
          <w:color w:val="auto"/>
          <w:sz w:val="24"/>
          <w:szCs w:val="24"/>
          <w:highlight w:val="none"/>
          <w:lang w:val="en-US"/>
        </w:rPr>
        <w:t>.      2.3.3中小企业声明函（如果有）。</w:t>
      </w:r>
      <w:bookmarkEnd w:id="510"/>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rPr>
      </w:pPr>
    </w:p>
    <w:p>
      <w:pPr>
        <w:spacing w:line="360" w:lineRule="auto"/>
        <w:ind w:firstLine="3600" w:firstLineChars="1500"/>
        <w:rPr>
          <w:rFonts w:hint="eastAsia" w:ascii="仿宋" w:hAnsi="仿宋" w:eastAsia="仿宋" w:cs="仿宋"/>
          <w:color w:val="auto"/>
          <w:sz w:val="24"/>
          <w:highlight w:val="none"/>
        </w:rPr>
      </w:pPr>
    </w:p>
    <w:p>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napToGrid w:val="0"/>
        <w:spacing w:line="360" w:lineRule="auto"/>
        <w:ind w:left="420" w:leftChars="200" w:firstLine="4200" w:firstLineChars="1750"/>
        <w:rPr>
          <w:rFonts w:hint="eastAsia" w:ascii="仿宋" w:hAnsi="仿宋" w:eastAsia="仿宋" w:cs="仿宋"/>
          <w:color w:val="auto"/>
          <w:kern w:val="0"/>
          <w:sz w:val="24"/>
          <w:highlight w:val="none"/>
          <w:u w:val="singl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pStyle w:val="2"/>
        <w:rPr>
          <w:rFonts w:hint="eastAsia" w:ascii="仿宋" w:hAnsi="仿宋" w:eastAsia="仿宋" w:cs="仿宋"/>
          <w:color w:val="auto"/>
          <w:highlight w:val="none"/>
          <w:lang w:val="en-US"/>
        </w:rPr>
      </w:pPr>
    </w:p>
    <w:p>
      <w:pPr>
        <w:snapToGrid w:val="0"/>
        <w:spacing w:line="360" w:lineRule="auto"/>
        <w:ind w:firstLine="3514" w:firstLineChars="10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w:t>
      </w:r>
      <w:r>
        <w:rPr>
          <w:rFonts w:hint="eastAsia" w:ascii="仿宋" w:hAnsi="仿宋" w:eastAsia="仿宋" w:cs="仿宋"/>
          <w:color w:val="auto"/>
          <w:highlight w:val="none"/>
        </w:rPr>
        <w:t xml:space="preserve">                            </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snapToGrid w:val="0"/>
        <w:spacing w:line="360" w:lineRule="auto"/>
        <w:rPr>
          <w:rFonts w:hint="eastAsia" w:ascii="仿宋" w:hAnsi="仿宋" w:eastAsia="仿宋" w:cs="仿宋"/>
          <w:color w:val="auto"/>
          <w:sz w:val="24"/>
          <w:highlight w:val="none"/>
        </w:rPr>
      </w:pPr>
    </w:p>
    <w:p>
      <w:pPr>
        <w:jc w:val="center"/>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32"/>
          <w:szCs w:val="32"/>
          <w:highlight w:val="none"/>
          <w:lang w:val="zh-CN"/>
        </w:rPr>
        <w:t xml:space="preserve">     </w:t>
      </w:r>
    </w:p>
    <w:p>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w:t>
      </w:r>
    </w:p>
    <w:p>
      <w:pPr>
        <w:pStyle w:val="178"/>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9" w:hRule="atLeast"/>
          <w:jc w:val="center"/>
        </w:trPr>
        <w:tc>
          <w:tcPr>
            <w:tcW w:w="8500" w:type="dxa"/>
            <w:noWrap w:val="0"/>
            <w:vAlign w:val="top"/>
          </w:tcPr>
          <w:p>
            <w:pPr>
              <w:pStyle w:val="178"/>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178"/>
              <w:adjustRightInd w:val="0"/>
              <w:spacing w:line="360" w:lineRule="auto"/>
              <w:rPr>
                <w:rFonts w:hint="eastAsia" w:ascii="仿宋" w:hAnsi="仿宋" w:eastAsia="仿宋" w:cs="仿宋"/>
                <w:bCs/>
                <w:color w:val="auto"/>
                <w:sz w:val="24"/>
                <w:highlight w:val="none"/>
              </w:rPr>
            </w:pPr>
          </w:p>
        </w:tc>
      </w:tr>
    </w:tbl>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pBdr>
          <w:between w:val="single" w:color="auto" w:sz="4" w:space="1"/>
        </w:pBdr>
        <w:snapToGrid w:val="0"/>
        <w:spacing w:line="360" w:lineRule="auto"/>
        <w:ind w:firstLine="576"/>
        <w:jc w:val="center"/>
        <w:rPr>
          <w:rFonts w:hint="eastAsia" w:ascii="仿宋" w:hAnsi="仿宋" w:eastAsia="仿宋" w:cs="仿宋"/>
          <w:color w:val="auto"/>
          <w:kern w:val="0"/>
          <w:sz w:val="24"/>
          <w:highlight w:val="none"/>
          <w:lang w:val="zh-CN"/>
        </w:rPr>
      </w:pPr>
    </w:p>
    <w:p>
      <w:pPr>
        <w:pStyle w:val="2"/>
        <w:jc w:val="center"/>
        <w:rPr>
          <w:rFonts w:hint="eastAsia" w:ascii="仿宋" w:hAnsi="仿宋" w:eastAsia="仿宋" w:cs="仿宋"/>
          <w:color w:val="auto"/>
          <w:highlight w:val="none"/>
        </w:rPr>
      </w:pPr>
      <w:bookmarkStart w:id="511" w:name="_Toc101358633"/>
      <w:r>
        <w:rPr>
          <w:rFonts w:hint="eastAsia" w:ascii="仿宋" w:hAnsi="仿宋" w:eastAsia="仿宋" w:cs="仿宋"/>
          <w:color w:val="auto"/>
          <w:highlight w:val="none"/>
        </w:rPr>
        <w:t>代理人或被授权人的身份证明</w:t>
      </w:r>
      <w:bookmarkEnd w:id="511"/>
    </w:p>
    <w:p>
      <w:pPr>
        <w:rPr>
          <w:rFonts w:hint="eastAsia" w:ascii="仿宋" w:hAnsi="仿宋" w:eastAsia="仿宋" w:cs="仿宋"/>
          <w:color w:val="auto"/>
          <w:highlight w:val="none"/>
          <w:lang w:val="zh-CN"/>
        </w:rPr>
      </w:pP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9" w:hRule="atLeast"/>
          <w:jc w:val="center"/>
        </w:trPr>
        <w:tc>
          <w:tcPr>
            <w:tcW w:w="8500" w:type="dxa"/>
            <w:noWrap w:val="0"/>
            <w:vAlign w:val="top"/>
          </w:tcPr>
          <w:p>
            <w:pPr>
              <w:pStyle w:val="178"/>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178"/>
              <w:adjustRightInd w:val="0"/>
              <w:spacing w:line="360" w:lineRule="auto"/>
              <w:rPr>
                <w:rFonts w:hint="eastAsia" w:ascii="仿宋" w:hAnsi="仿宋" w:eastAsia="仿宋" w:cs="仿宋"/>
                <w:bCs/>
                <w:color w:val="auto"/>
                <w:sz w:val="24"/>
                <w:highlight w:val="none"/>
              </w:rPr>
            </w:pPr>
          </w:p>
        </w:tc>
      </w:tr>
    </w:tbl>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pBdr>
          <w:between w:val="single" w:color="auto" w:sz="4" w:space="1"/>
        </w:pBdr>
        <w:snapToGrid w:val="0"/>
        <w:spacing w:line="360" w:lineRule="auto"/>
        <w:ind w:firstLine="576"/>
        <w:jc w:val="center"/>
        <w:rPr>
          <w:rFonts w:hint="eastAsia" w:ascii="仿宋" w:hAnsi="仿宋" w:eastAsia="仿宋" w:cs="仿宋"/>
          <w:color w:val="auto"/>
          <w:kern w:val="0"/>
          <w:sz w:val="24"/>
          <w:highlight w:val="none"/>
          <w:lang w:val="zh-CN"/>
        </w:rPr>
      </w:pPr>
    </w:p>
    <w:p>
      <w:pPr>
        <w:pStyle w:val="112"/>
        <w:rPr>
          <w:rFonts w:hint="eastAsia" w:ascii="仿宋" w:hAnsi="仿宋" w:eastAsia="仿宋" w:cs="仿宋"/>
          <w:color w:val="auto"/>
          <w:kern w:val="0"/>
          <w:sz w:val="24"/>
          <w:highlight w:val="none"/>
          <w:lang w:val="zh-CN"/>
        </w:rPr>
      </w:pPr>
    </w:p>
    <w:p>
      <w:pPr>
        <w:pStyle w:val="113"/>
        <w:rPr>
          <w:rFonts w:hint="eastAsia"/>
          <w:color w:val="auto"/>
          <w:highlight w:val="none"/>
          <w:lang w:val="zh-CN"/>
        </w:rPr>
      </w:pPr>
    </w:p>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pStyle w:val="2"/>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12"/>
        <w:rPr>
          <w:rFonts w:hint="eastAsia" w:ascii="仿宋" w:hAnsi="仿宋" w:eastAsia="仿宋" w:cs="仿宋"/>
          <w:color w:val="auto"/>
          <w:highlight w:val="none"/>
        </w:rPr>
      </w:pPr>
    </w:p>
    <w:p>
      <w:pPr>
        <w:pStyle w:val="113"/>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12"/>
        <w:rPr>
          <w:rFonts w:hint="eastAsia"/>
          <w:color w:val="auto"/>
          <w:highlight w:val="none"/>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rPr>
        <w:t>三、</w:t>
      </w:r>
      <w:r>
        <w:rPr>
          <w:rFonts w:hint="eastAsia" w:ascii="仿宋" w:hAnsi="仿宋" w:eastAsia="仿宋" w:cs="仿宋"/>
          <w:b/>
          <w:color w:val="auto"/>
          <w:kern w:val="0"/>
          <w:sz w:val="32"/>
          <w:szCs w:val="32"/>
          <w:highlight w:val="none"/>
          <w:lang w:val="zh-CN"/>
        </w:rPr>
        <w:t>联合协议</w:t>
      </w:r>
    </w:p>
    <w:p>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widowControl/>
        <w:spacing w:line="360" w:lineRule="auto"/>
        <w:ind w:firstLine="482" w:firstLineChars="200"/>
        <w:jc w:val="left"/>
        <w:rPr>
          <w:rFonts w:hint="eastAsia" w:ascii="仿宋" w:hAnsi="仿宋" w:eastAsia="仿宋" w:cs="仿宋"/>
          <w:b/>
          <w:color w:val="auto"/>
          <w:sz w:val="24"/>
          <w:highlight w:val="none"/>
        </w:rPr>
      </w:pPr>
    </w:p>
    <w:p>
      <w:pPr>
        <w:pStyle w:val="112"/>
        <w:rPr>
          <w:rFonts w:hint="eastAsia" w:ascii="仿宋" w:hAnsi="仿宋" w:eastAsia="仿宋" w:cs="仿宋"/>
          <w:b/>
          <w:color w:val="auto"/>
          <w:sz w:val="24"/>
          <w:highlight w:val="none"/>
        </w:rPr>
      </w:pPr>
    </w:p>
    <w:p>
      <w:pPr>
        <w:pStyle w:val="113"/>
        <w:rPr>
          <w:rFonts w:hint="eastAsia"/>
          <w:color w:val="auto"/>
          <w:highlight w:val="none"/>
        </w:rPr>
      </w:pPr>
    </w:p>
    <w:p>
      <w:pPr>
        <w:widowControl/>
        <w:spacing w:line="360" w:lineRule="auto"/>
        <w:ind w:firstLine="3534" w:firstLineChars="1100"/>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四、分包意向协议</w:t>
      </w:r>
    </w:p>
    <w:p>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pStyle w:val="112"/>
        <w:rPr>
          <w:rFonts w:hint="eastAsia" w:ascii="仿宋" w:hAnsi="仿宋" w:eastAsia="仿宋" w:cs="仿宋"/>
          <w:color w:val="auto"/>
          <w:sz w:val="24"/>
          <w:highlight w:val="none"/>
        </w:rPr>
      </w:pPr>
    </w:p>
    <w:p>
      <w:pPr>
        <w:pStyle w:val="113"/>
        <w:rPr>
          <w:rFonts w:hint="eastAsia"/>
          <w:color w:val="auto"/>
          <w:highlight w:val="none"/>
        </w:rPr>
      </w:pP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五、符合性审查资料</w:t>
      </w:r>
    </w:p>
    <w:p>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noWrap w:val="0"/>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noWrap w:val="0"/>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noWrap w:val="0"/>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noWrap w:val="0"/>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noWrap w:val="0"/>
            <w:vAlign w:val="top"/>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noWrap w:val="0"/>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noWrap w:val="0"/>
            <w:vAlign w:val="top"/>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noWrap w:val="0"/>
            <w:vAlign w:val="top"/>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采购人拟采购的产品属于政府强制采购的节能产品品目清单范围的，投标人按招标文件要求提供国家确定的认证机构出具的、处于有效期之内的节能产品认证证书。</w:t>
            </w:r>
          </w:p>
        </w:tc>
        <w:tc>
          <w:tcPr>
            <w:tcW w:w="2551" w:type="dxa"/>
            <w:noWrap w:val="0"/>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节能产品认证证书（本项目拟采购的产品不属于政府强制采购的节能产品品目清单范围的，无需提供）</w:t>
            </w:r>
          </w:p>
        </w:tc>
        <w:tc>
          <w:tcPr>
            <w:tcW w:w="1418" w:type="dxa"/>
            <w:noWrap w:val="0"/>
            <w:vAlign w:val="top"/>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pPr>
              <w:pStyle w:val="2"/>
              <w:rPr>
                <w:rFonts w:hint="eastAsia" w:ascii="仿宋" w:hAnsi="仿宋" w:eastAsia="仿宋" w:cs="仿宋"/>
                <w:color w:val="auto"/>
                <w:highlight w:val="none"/>
                <w:lang w:val="en-US"/>
              </w:rPr>
            </w:pPr>
            <w:bookmarkStart w:id="512" w:name="_Toc101358634"/>
            <w:r>
              <w:rPr>
                <w:rFonts w:hint="eastAsia" w:ascii="仿宋" w:hAnsi="仿宋" w:eastAsia="仿宋" w:cs="仿宋"/>
                <w:b w:val="0"/>
                <w:bCs w:val="0"/>
                <w:color w:val="auto"/>
                <w:sz w:val="24"/>
                <w:szCs w:val="24"/>
                <w:highlight w:val="none"/>
                <w:lang w:val="en-US"/>
              </w:rPr>
              <w:t>第</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页</w:t>
            </w:r>
            <w:bookmarkEnd w:id="51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noWrap w:val="0"/>
            <w:vAlign w:val="top"/>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noWrap w:val="0"/>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noWrap w:val="0"/>
            <w:vAlign w:val="top"/>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991" w:type="dxa"/>
            <w:noWrap w:val="0"/>
            <w:vAlign w:val="top"/>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noWrap w:val="0"/>
            <w:vAlign w:val="center"/>
          </w:tcPr>
          <w:p>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noWrap w:val="0"/>
            <w:vAlign w:val="top"/>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六、评标标准相应的商务技术资料</w:t>
      </w:r>
    </w:p>
    <w:p>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noWrap w:val="0"/>
            <w:vAlign w:val="top"/>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noWrap w:val="0"/>
            <w:vAlign w:val="top"/>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noWrap w:val="0"/>
            <w:vAlign w:val="top"/>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noWrap w:val="0"/>
            <w:vAlign w:val="top"/>
          </w:tcPr>
          <w:p>
            <w:pPr>
              <w:jc w:val="center"/>
              <w:rPr>
                <w:rFonts w:hint="eastAsia" w:ascii="仿宋" w:hAnsi="仿宋" w:eastAsia="仿宋" w:cs="仿宋"/>
                <w:b/>
                <w:color w:val="auto"/>
                <w:kern w:val="0"/>
                <w:sz w:val="32"/>
                <w:szCs w:val="32"/>
                <w:highlight w:val="none"/>
              </w:rPr>
            </w:pPr>
          </w:p>
        </w:tc>
        <w:tc>
          <w:tcPr>
            <w:tcW w:w="3546" w:type="dxa"/>
            <w:noWrap w:val="0"/>
            <w:vAlign w:val="top"/>
          </w:tcPr>
          <w:p>
            <w:pPr>
              <w:jc w:val="center"/>
              <w:rPr>
                <w:rFonts w:hint="eastAsia" w:ascii="仿宋" w:hAnsi="仿宋" w:eastAsia="仿宋" w:cs="仿宋"/>
                <w:b/>
                <w:color w:val="auto"/>
                <w:kern w:val="0"/>
                <w:sz w:val="32"/>
                <w:szCs w:val="32"/>
                <w:highlight w:val="none"/>
              </w:rPr>
            </w:pPr>
          </w:p>
        </w:tc>
        <w:tc>
          <w:tcPr>
            <w:tcW w:w="1276" w:type="dxa"/>
            <w:noWrap w:val="0"/>
            <w:vAlign w:val="top"/>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noWrap w:val="0"/>
            <w:vAlign w:val="top"/>
          </w:tcPr>
          <w:p>
            <w:pPr>
              <w:jc w:val="center"/>
              <w:rPr>
                <w:rFonts w:hint="eastAsia" w:ascii="仿宋" w:hAnsi="仿宋" w:eastAsia="仿宋" w:cs="仿宋"/>
                <w:b/>
                <w:color w:val="auto"/>
                <w:kern w:val="0"/>
                <w:sz w:val="32"/>
                <w:szCs w:val="32"/>
                <w:highlight w:val="none"/>
              </w:rPr>
            </w:pPr>
          </w:p>
        </w:tc>
        <w:tc>
          <w:tcPr>
            <w:tcW w:w="3546" w:type="dxa"/>
            <w:noWrap w:val="0"/>
            <w:vAlign w:val="top"/>
          </w:tcPr>
          <w:p>
            <w:pPr>
              <w:jc w:val="center"/>
              <w:rPr>
                <w:rFonts w:hint="eastAsia" w:ascii="仿宋" w:hAnsi="仿宋" w:eastAsia="仿宋" w:cs="仿宋"/>
                <w:b/>
                <w:color w:val="auto"/>
                <w:kern w:val="0"/>
                <w:sz w:val="32"/>
                <w:szCs w:val="32"/>
                <w:highlight w:val="none"/>
              </w:rPr>
            </w:pPr>
          </w:p>
        </w:tc>
        <w:tc>
          <w:tcPr>
            <w:tcW w:w="1276" w:type="dxa"/>
            <w:noWrap w:val="0"/>
            <w:vAlign w:val="top"/>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noWrap w:val="0"/>
            <w:vAlign w:val="top"/>
          </w:tcPr>
          <w:p>
            <w:pPr>
              <w:jc w:val="center"/>
              <w:rPr>
                <w:rFonts w:hint="eastAsia" w:ascii="仿宋" w:hAnsi="仿宋" w:eastAsia="仿宋" w:cs="仿宋"/>
                <w:b/>
                <w:color w:val="auto"/>
                <w:kern w:val="0"/>
                <w:sz w:val="32"/>
                <w:szCs w:val="32"/>
                <w:highlight w:val="none"/>
              </w:rPr>
            </w:pPr>
          </w:p>
        </w:tc>
        <w:tc>
          <w:tcPr>
            <w:tcW w:w="3546" w:type="dxa"/>
            <w:noWrap w:val="0"/>
            <w:vAlign w:val="top"/>
          </w:tcPr>
          <w:p>
            <w:pPr>
              <w:jc w:val="center"/>
              <w:rPr>
                <w:rFonts w:hint="eastAsia" w:ascii="仿宋" w:hAnsi="仿宋" w:eastAsia="仿宋" w:cs="仿宋"/>
                <w:b/>
                <w:color w:val="auto"/>
                <w:kern w:val="0"/>
                <w:sz w:val="32"/>
                <w:szCs w:val="32"/>
                <w:highlight w:val="none"/>
              </w:rPr>
            </w:pPr>
          </w:p>
        </w:tc>
        <w:tc>
          <w:tcPr>
            <w:tcW w:w="1276" w:type="dxa"/>
            <w:noWrap w:val="0"/>
            <w:vAlign w:val="top"/>
          </w:tcPr>
          <w:p>
            <w:pPr>
              <w:jc w:val="center"/>
              <w:rPr>
                <w:rFonts w:hint="eastAsia" w:ascii="仿宋" w:hAnsi="仿宋" w:eastAsia="仿宋" w:cs="仿宋"/>
                <w:b/>
                <w:color w:val="auto"/>
                <w:kern w:val="0"/>
                <w:sz w:val="32"/>
                <w:szCs w:val="32"/>
                <w:highlight w:val="none"/>
              </w:rPr>
            </w:pPr>
          </w:p>
        </w:tc>
      </w:tr>
    </w:tbl>
    <w:p>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pPr>
        <w:pStyle w:val="112"/>
        <w:rPr>
          <w:rFonts w:hint="eastAsia" w:ascii="仿宋" w:hAnsi="仿宋" w:eastAsia="仿宋" w:cs="仿宋"/>
          <w:color w:val="auto"/>
          <w:kern w:val="0"/>
          <w:sz w:val="24"/>
          <w:highlight w:val="none"/>
        </w:rPr>
      </w:pPr>
    </w:p>
    <w:p>
      <w:pPr>
        <w:pStyle w:val="113"/>
        <w:rPr>
          <w:rFonts w:hint="eastAsia"/>
          <w:color w:val="auto"/>
          <w:highlight w:val="none"/>
        </w:rPr>
      </w:pPr>
    </w:p>
    <w:p>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八、</w:t>
      </w:r>
      <w:r>
        <w:rPr>
          <w:rFonts w:hint="eastAsia" w:ascii="仿宋" w:hAnsi="仿宋" w:eastAsia="仿宋" w:cs="仿宋"/>
          <w:b/>
          <w:color w:val="auto"/>
          <w:kern w:val="0"/>
          <w:sz w:val="32"/>
          <w:szCs w:val="32"/>
          <w:highlight w:val="none"/>
          <w:lang w:val="zh-CN"/>
        </w:rPr>
        <w:t>政府采购供应商廉洁自律承诺书</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pStyle w:val="2"/>
        <w:rPr>
          <w:rFonts w:hint="eastAsia" w:ascii="仿宋" w:hAnsi="仿宋" w:eastAsia="仿宋" w:cs="仿宋"/>
          <w:color w:val="auto"/>
          <w:highlight w:val="none"/>
        </w:rPr>
      </w:pPr>
    </w:p>
    <w:p>
      <w:pPr>
        <w:rPr>
          <w:rFonts w:hint="eastAsia" w:ascii="仿宋" w:hAnsi="仿宋" w:eastAsia="仿宋" w:cs="仿宋"/>
          <w:color w:val="auto"/>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pacing w:line="360" w:lineRule="auto"/>
        <w:jc w:val="center"/>
        <w:rPr>
          <w:rFonts w:hint="eastAsia" w:ascii="仿宋" w:hAnsi="仿宋" w:eastAsia="仿宋" w:cs="仿宋"/>
          <w:b/>
          <w:bCs/>
          <w:color w:val="auto"/>
          <w:sz w:val="24"/>
          <w:highlight w:val="none"/>
        </w:rPr>
      </w:pPr>
    </w:p>
    <w:p>
      <w:pPr>
        <w:spacing w:line="360" w:lineRule="auto"/>
        <w:jc w:val="center"/>
        <w:rPr>
          <w:rFonts w:hint="eastAsia" w:ascii="仿宋" w:hAnsi="仿宋" w:eastAsia="仿宋" w:cs="仿宋"/>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color w:val="auto"/>
          <w:kern w:val="0"/>
          <w:sz w:val="36"/>
          <w:szCs w:val="36"/>
          <w:highlight w:val="none"/>
        </w:rPr>
      </w:pPr>
      <w:bookmarkStart w:id="513" w:name="_Toc101358635"/>
      <w:r>
        <w:rPr>
          <w:rFonts w:hint="eastAsia" w:ascii="仿宋" w:hAnsi="仿宋" w:eastAsia="仿宋" w:cs="仿宋"/>
          <w:b/>
          <w:color w:val="auto"/>
          <w:kern w:val="0"/>
          <w:sz w:val="36"/>
          <w:szCs w:val="36"/>
          <w:highlight w:val="none"/>
        </w:rPr>
        <w:t>报价文件部分</w:t>
      </w:r>
      <w:bookmarkEnd w:id="513"/>
    </w:p>
    <w:p>
      <w:pPr>
        <w:spacing w:line="360" w:lineRule="auto"/>
        <w:jc w:val="center"/>
        <w:outlineLvl w:val="0"/>
        <w:rPr>
          <w:rFonts w:hint="eastAsia" w:ascii="仿宋" w:hAnsi="仿宋" w:eastAsia="仿宋" w:cs="仿宋"/>
          <w:b/>
          <w:color w:val="auto"/>
          <w:kern w:val="0"/>
          <w:sz w:val="36"/>
          <w:szCs w:val="36"/>
          <w:highlight w:val="none"/>
        </w:rPr>
      </w:pPr>
      <w:bookmarkStart w:id="514" w:name="_Toc101358636"/>
      <w:r>
        <w:rPr>
          <w:rFonts w:hint="eastAsia" w:ascii="仿宋" w:hAnsi="仿宋" w:eastAsia="仿宋" w:cs="仿宋"/>
          <w:b/>
          <w:color w:val="auto"/>
          <w:kern w:val="0"/>
          <w:sz w:val="36"/>
          <w:szCs w:val="36"/>
          <w:highlight w:val="none"/>
        </w:rPr>
        <w:t>目录</w:t>
      </w:r>
      <w:bookmarkEnd w:id="514"/>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（2）分项报价表……………………………………………………………………（页码）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（3）中小企业声明函………………………………………………………………（页码）</w:t>
      </w:r>
    </w:p>
    <w:p>
      <w:pPr>
        <w:pStyle w:val="2"/>
        <w:rPr>
          <w:rFonts w:hint="eastAsia" w:ascii="仿宋" w:hAnsi="仿宋" w:eastAsia="仿宋" w:cs="仿宋"/>
          <w:color w:val="auto"/>
          <w:highlight w:val="none"/>
          <w:lang w:val="en-US"/>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pStyle w:val="695"/>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pPr>
        <w:pStyle w:val="695"/>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47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17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noWrap w:val="0"/>
            <w:vAlign w:val="top"/>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2126"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2127" w:type="dxa"/>
            <w:noWrap w:val="0"/>
            <w:vAlign w:val="top"/>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1767" w:type="dxa"/>
            <w:noWrap w:val="0"/>
            <w:vAlign w:val="center"/>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pPr>
              <w:spacing w:line="360" w:lineRule="auto"/>
              <w:jc w:val="center"/>
              <w:rPr>
                <w:rFonts w:hint="eastAsia" w:ascii="仿宋" w:hAnsi="仿宋" w:eastAsia="仿宋" w:cs="仿宋"/>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410"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pPr>
              <w:spacing w:line="360" w:lineRule="auto"/>
              <w:jc w:val="center"/>
              <w:rPr>
                <w:rFonts w:hint="eastAsia" w:ascii="仿宋" w:hAnsi="仿宋" w:eastAsia="仿宋" w:cs="仿宋"/>
                <w:color w:val="auto"/>
                <w:sz w:val="24"/>
                <w:highlight w:val="none"/>
              </w:rPr>
            </w:pPr>
          </w:p>
        </w:tc>
        <w:tc>
          <w:tcPr>
            <w:tcW w:w="2127" w:type="dxa"/>
            <w:noWrap w:val="0"/>
            <w:vAlign w:val="top"/>
          </w:tcPr>
          <w:p>
            <w:pPr>
              <w:spacing w:line="360" w:lineRule="auto"/>
              <w:jc w:val="center"/>
              <w:rPr>
                <w:rFonts w:hint="eastAsia" w:ascii="仿宋" w:hAnsi="仿宋" w:eastAsia="仿宋" w:cs="仿宋"/>
                <w:color w:val="auto"/>
                <w:sz w:val="24"/>
                <w:highlight w:val="none"/>
              </w:rPr>
            </w:pPr>
          </w:p>
        </w:tc>
        <w:tc>
          <w:tcPr>
            <w:tcW w:w="176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noWrap w:val="0"/>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410"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pPr>
              <w:spacing w:line="360" w:lineRule="auto"/>
              <w:jc w:val="center"/>
              <w:rPr>
                <w:rFonts w:hint="eastAsia" w:ascii="仿宋" w:hAnsi="仿宋" w:eastAsia="仿宋" w:cs="仿宋"/>
                <w:color w:val="auto"/>
                <w:sz w:val="24"/>
                <w:highlight w:val="none"/>
              </w:rPr>
            </w:pPr>
          </w:p>
        </w:tc>
        <w:tc>
          <w:tcPr>
            <w:tcW w:w="2127" w:type="dxa"/>
            <w:noWrap w:val="0"/>
            <w:vAlign w:val="top"/>
          </w:tcPr>
          <w:p>
            <w:pPr>
              <w:spacing w:line="360" w:lineRule="auto"/>
              <w:jc w:val="center"/>
              <w:rPr>
                <w:rFonts w:hint="eastAsia" w:ascii="仿宋" w:hAnsi="仿宋" w:eastAsia="仿宋" w:cs="仿宋"/>
                <w:color w:val="auto"/>
                <w:sz w:val="24"/>
                <w:highlight w:val="none"/>
              </w:rPr>
            </w:pPr>
          </w:p>
        </w:tc>
        <w:tc>
          <w:tcPr>
            <w:tcW w:w="176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410"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pPr>
              <w:spacing w:line="360" w:lineRule="auto"/>
              <w:jc w:val="center"/>
              <w:rPr>
                <w:rFonts w:hint="eastAsia" w:ascii="仿宋" w:hAnsi="仿宋" w:eastAsia="仿宋" w:cs="仿宋"/>
                <w:color w:val="auto"/>
                <w:sz w:val="24"/>
                <w:highlight w:val="none"/>
              </w:rPr>
            </w:pPr>
          </w:p>
        </w:tc>
        <w:tc>
          <w:tcPr>
            <w:tcW w:w="2127" w:type="dxa"/>
            <w:noWrap w:val="0"/>
            <w:vAlign w:val="top"/>
          </w:tcPr>
          <w:p>
            <w:pPr>
              <w:spacing w:line="360" w:lineRule="auto"/>
              <w:jc w:val="center"/>
              <w:rPr>
                <w:rFonts w:hint="eastAsia" w:ascii="仿宋" w:hAnsi="仿宋" w:eastAsia="仿宋" w:cs="仿宋"/>
                <w:color w:val="auto"/>
                <w:sz w:val="24"/>
                <w:highlight w:val="none"/>
              </w:rPr>
            </w:pPr>
          </w:p>
        </w:tc>
        <w:tc>
          <w:tcPr>
            <w:tcW w:w="176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pPr>
              <w:spacing w:line="360" w:lineRule="auto"/>
              <w:jc w:val="center"/>
              <w:rPr>
                <w:rFonts w:hint="eastAsia" w:ascii="仿宋" w:hAnsi="仿宋" w:eastAsia="仿宋" w:cs="仿宋"/>
                <w:color w:val="auto"/>
                <w:sz w:val="24"/>
                <w:highlight w:val="none"/>
              </w:rPr>
            </w:pPr>
          </w:p>
        </w:tc>
        <w:tc>
          <w:tcPr>
            <w:tcW w:w="992"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410"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pPr>
              <w:spacing w:line="360" w:lineRule="auto"/>
              <w:jc w:val="center"/>
              <w:rPr>
                <w:rFonts w:hint="eastAsia" w:ascii="仿宋" w:hAnsi="仿宋" w:eastAsia="仿宋" w:cs="仿宋"/>
                <w:color w:val="auto"/>
                <w:sz w:val="24"/>
                <w:highlight w:val="none"/>
              </w:rPr>
            </w:pPr>
          </w:p>
        </w:tc>
        <w:tc>
          <w:tcPr>
            <w:tcW w:w="2127" w:type="dxa"/>
            <w:noWrap w:val="0"/>
            <w:vAlign w:val="top"/>
          </w:tcPr>
          <w:p>
            <w:pPr>
              <w:spacing w:line="360" w:lineRule="auto"/>
              <w:jc w:val="center"/>
              <w:rPr>
                <w:rFonts w:hint="eastAsia" w:ascii="仿宋" w:hAnsi="仿宋" w:eastAsia="仿宋" w:cs="仿宋"/>
                <w:color w:val="auto"/>
                <w:sz w:val="24"/>
                <w:highlight w:val="none"/>
              </w:rPr>
            </w:pPr>
          </w:p>
        </w:tc>
        <w:tc>
          <w:tcPr>
            <w:tcW w:w="176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pPr>
              <w:spacing w:line="360" w:lineRule="auto"/>
              <w:jc w:val="center"/>
              <w:rPr>
                <w:rFonts w:hint="eastAsia" w:ascii="仿宋" w:hAnsi="仿宋" w:eastAsia="仿宋" w:cs="仿宋"/>
                <w:color w:val="auto"/>
                <w:sz w:val="24"/>
                <w:highlight w:val="none"/>
              </w:rPr>
            </w:pPr>
          </w:p>
        </w:tc>
        <w:tc>
          <w:tcPr>
            <w:tcW w:w="992"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410"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268" w:type="dxa"/>
            <w:noWrap w:val="0"/>
            <w:vAlign w:val="center"/>
          </w:tcPr>
          <w:p>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pPr>
              <w:spacing w:line="360" w:lineRule="auto"/>
              <w:jc w:val="center"/>
              <w:rPr>
                <w:rFonts w:hint="eastAsia" w:ascii="仿宋" w:hAnsi="仿宋" w:eastAsia="仿宋" w:cs="仿宋"/>
                <w:color w:val="auto"/>
                <w:sz w:val="24"/>
                <w:highlight w:val="none"/>
              </w:rPr>
            </w:pPr>
          </w:p>
        </w:tc>
        <w:tc>
          <w:tcPr>
            <w:tcW w:w="2127" w:type="dxa"/>
            <w:noWrap w:val="0"/>
            <w:vAlign w:val="top"/>
          </w:tcPr>
          <w:p>
            <w:pPr>
              <w:spacing w:line="360" w:lineRule="auto"/>
              <w:jc w:val="center"/>
              <w:rPr>
                <w:rFonts w:hint="eastAsia" w:ascii="仿宋" w:hAnsi="仿宋" w:eastAsia="仿宋" w:cs="仿宋"/>
                <w:color w:val="auto"/>
                <w:sz w:val="24"/>
                <w:highlight w:val="none"/>
              </w:rPr>
            </w:pPr>
          </w:p>
        </w:tc>
        <w:tc>
          <w:tcPr>
            <w:tcW w:w="176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288" w:type="dxa"/>
            <w:gridSpan w:val="4"/>
            <w:noWrap w:val="0"/>
            <w:vAlign w:val="top"/>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288" w:type="dxa"/>
            <w:gridSpan w:val="4"/>
            <w:noWrap w:val="0"/>
            <w:vAlign w:val="top"/>
          </w:tcPr>
          <w:p>
            <w:pPr>
              <w:spacing w:line="360" w:lineRule="auto"/>
              <w:jc w:val="center"/>
              <w:rPr>
                <w:rFonts w:hint="eastAsia" w:ascii="仿宋" w:hAnsi="仿宋" w:eastAsia="仿宋" w:cs="仿宋"/>
                <w:color w:val="auto"/>
                <w:sz w:val="24"/>
                <w:highlight w:val="none"/>
              </w:rPr>
            </w:pPr>
          </w:p>
        </w:tc>
      </w:tr>
    </w:tbl>
    <w:p>
      <w:pPr>
        <w:pStyle w:val="44"/>
        <w:rPr>
          <w:rFonts w:hint="eastAsia" w:ascii="仿宋" w:hAnsi="仿宋" w:eastAsia="仿宋" w:cs="仿宋"/>
          <w:color w:val="auto"/>
          <w:highlight w:val="none"/>
          <w:lang w:val="zh-CN"/>
        </w:rPr>
      </w:pPr>
    </w:p>
    <w:p>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1、投标人需按本表格式填写，不得自行更改。</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投标文件含有采购人不能接受的附加条件的，投标无效</w:t>
      </w:r>
      <w:r>
        <w:rPr>
          <w:rFonts w:hint="eastAsia" w:ascii="仿宋" w:hAnsi="仿宋" w:eastAsia="仿宋" w:cs="仿宋"/>
          <w:b/>
          <w:color w:val="auto"/>
          <w:kern w:val="0"/>
          <w:sz w:val="24"/>
          <w:highlight w:val="none"/>
          <w:lang w:val="zh-CN"/>
        </w:rPr>
        <w:t>。</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3、以上表格要求细分项目及报价，在“规格型号（或具体服务）”一栏中，货物类项目填写规格型号，服务类项目填写具体服务。</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4、特别提示：采购代理机构将对项目名称和项目编号，中标供应商名称、地址和中标金额，主要中标标的的名称、规格型号、数量、单价、服务要求等予以公示。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5、</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2"/>
        <w:rPr>
          <w:rFonts w:hint="eastAsia" w:ascii="仿宋" w:hAnsi="仿宋" w:eastAsia="仿宋" w:cs="仿宋"/>
          <w:color w:val="auto"/>
          <w:highlight w:val="none"/>
        </w:rPr>
      </w:pPr>
    </w:p>
    <w:p>
      <w:pPr>
        <w:rPr>
          <w:rFonts w:hint="eastAsia" w:ascii="仿宋" w:hAnsi="仿宋" w:eastAsia="仿宋" w:cs="仿宋"/>
          <w:color w:val="auto"/>
          <w:highlight w:val="none"/>
          <w:lang w:val="zh-CN"/>
        </w:rPr>
      </w:pPr>
    </w:p>
    <w:p>
      <w:pPr>
        <w:pStyle w:val="2"/>
        <w:rPr>
          <w:rFonts w:hint="eastAsia" w:ascii="仿宋" w:hAnsi="仿宋" w:eastAsia="仿宋" w:cs="仿宋"/>
          <w:color w:val="auto"/>
          <w:highlight w:val="none"/>
        </w:rPr>
      </w:pPr>
    </w:p>
    <w:p>
      <w:pPr>
        <w:rPr>
          <w:rFonts w:hint="eastAsia" w:ascii="仿宋" w:hAnsi="仿宋" w:eastAsia="仿宋" w:cs="仿宋"/>
          <w:color w:val="auto"/>
          <w:highlight w:val="none"/>
          <w:lang w:val="zh-CN"/>
        </w:rPr>
      </w:pPr>
    </w:p>
    <w:p>
      <w:pPr>
        <w:pStyle w:val="2"/>
        <w:rPr>
          <w:rFonts w:hint="eastAsia" w:ascii="仿宋" w:hAnsi="仿宋" w:eastAsia="仿宋" w:cs="仿宋"/>
          <w:color w:val="auto"/>
          <w:highlight w:val="none"/>
        </w:rPr>
      </w:pPr>
    </w:p>
    <w:p>
      <w:pPr>
        <w:autoSpaceDE w:val="0"/>
        <w:autoSpaceDN w:val="0"/>
        <w:spacing w:line="360" w:lineRule="auto"/>
        <w:ind w:left="2" w:leftChars="1" w:right="1120" w:firstLine="8880" w:firstLineChars="37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left="4620" w:leftChars="2200" w:firstLine="4320" w:firstLineChars="18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rPr>
          <w:rFonts w:hint="eastAsia" w:ascii="仿宋" w:hAnsi="仿宋" w:eastAsia="仿宋" w:cs="仿宋"/>
          <w:color w:val="auto"/>
          <w:highlight w:val="none"/>
          <w:lang w:val="zh-CN"/>
        </w:rPr>
      </w:pPr>
    </w:p>
    <w:p>
      <w:pPr>
        <w:spacing w:line="360" w:lineRule="auto"/>
        <w:ind w:firstLine="482" w:firstLineChars="200"/>
        <w:rPr>
          <w:rFonts w:hint="eastAsia" w:ascii="仿宋" w:hAnsi="仿宋" w:eastAsia="仿宋" w:cs="仿宋"/>
          <w:b/>
          <w:color w:val="auto"/>
          <w:kern w:val="0"/>
          <w:sz w:val="24"/>
          <w:highlight w:val="none"/>
        </w:rPr>
      </w:pPr>
    </w:p>
    <w:p>
      <w:pPr>
        <w:pStyle w:val="695"/>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pPr>
        <w:pStyle w:val="695"/>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5"/>
        <w:keepNext w:val="0"/>
        <w:pageBreakBefore w:val="0"/>
        <w:tabs>
          <w:tab w:val="clear" w:pos="720"/>
        </w:tabs>
        <w:snapToGrid w:val="0"/>
        <w:spacing w:before="120" w:after="120"/>
        <w:ind w:firstLine="643"/>
        <w:outlineLvl w:val="9"/>
        <w:rPr>
          <w:rFonts w:hint="eastAsia" w:ascii="仿宋" w:hAnsi="仿宋" w:eastAsia="仿宋" w:cs="仿宋"/>
          <w:b w:val="0"/>
          <w:color w:val="auto"/>
          <w:sz w:val="24"/>
          <w:highlight w:val="none"/>
        </w:rPr>
      </w:pPr>
      <w:r>
        <w:rPr>
          <w:rFonts w:hint="eastAsia" w:ascii="仿宋" w:hAnsi="仿宋" w:eastAsia="仿宋" w:cs="仿宋"/>
          <w:color w:val="auto"/>
          <w:kern w:val="2"/>
          <w:sz w:val="32"/>
          <w:szCs w:val="32"/>
          <w:highlight w:val="none"/>
        </w:rPr>
        <w:t>二、分项</w:t>
      </w:r>
      <w:r>
        <w:rPr>
          <w:rFonts w:hint="eastAsia" w:ascii="仿宋" w:hAnsi="仿宋" w:eastAsia="仿宋" w:cs="仿宋"/>
          <w:b w:val="0"/>
          <w:color w:val="auto"/>
          <w:sz w:val="32"/>
          <w:szCs w:val="32"/>
          <w:highlight w:val="none"/>
        </w:rPr>
        <w:t>报价明细清单</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2251"/>
        <w:gridCol w:w="1530"/>
        <w:gridCol w:w="735"/>
        <w:gridCol w:w="945"/>
        <w:gridCol w:w="1285"/>
        <w:gridCol w:w="1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7"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251"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530"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规格配置</w:t>
            </w:r>
          </w:p>
        </w:tc>
        <w:tc>
          <w:tcPr>
            <w:tcW w:w="735"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945"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单价（元）</w:t>
            </w:r>
          </w:p>
        </w:tc>
        <w:tc>
          <w:tcPr>
            <w:tcW w:w="1285"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总价（元）</w:t>
            </w:r>
          </w:p>
        </w:tc>
        <w:tc>
          <w:tcPr>
            <w:tcW w:w="1697" w:type="dxa"/>
            <w:noWrap w:val="0"/>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2251" w:type="dxa"/>
            <w:noWrap w:val="0"/>
            <w:vAlign w:val="center"/>
          </w:tcPr>
          <w:p>
            <w:pPr>
              <w:widowControl/>
              <w:spacing w:line="360" w:lineRule="auto"/>
              <w:rPr>
                <w:rFonts w:hint="eastAsia" w:ascii="仿宋" w:hAnsi="仿宋" w:eastAsia="仿宋" w:cs="仿宋"/>
                <w:color w:val="auto"/>
                <w:kern w:val="0"/>
                <w:sz w:val="24"/>
                <w:highlight w:val="none"/>
                <w:lang w:bidi="hi-IN"/>
              </w:rPr>
            </w:pPr>
          </w:p>
        </w:tc>
        <w:tc>
          <w:tcPr>
            <w:tcW w:w="1530" w:type="dxa"/>
            <w:noWrap w:val="0"/>
            <w:vAlign w:val="center"/>
          </w:tcPr>
          <w:p>
            <w:pPr>
              <w:spacing w:line="360" w:lineRule="auto"/>
              <w:jc w:val="center"/>
              <w:rPr>
                <w:rFonts w:hint="eastAsia" w:ascii="仿宋" w:hAnsi="仿宋" w:eastAsia="仿宋" w:cs="仿宋"/>
                <w:color w:val="auto"/>
                <w:sz w:val="24"/>
                <w:highlight w:val="none"/>
              </w:rPr>
            </w:pPr>
          </w:p>
        </w:tc>
        <w:tc>
          <w:tcPr>
            <w:tcW w:w="735" w:type="dxa"/>
            <w:noWrap w:val="0"/>
            <w:vAlign w:val="center"/>
          </w:tcPr>
          <w:p>
            <w:pPr>
              <w:spacing w:line="360" w:lineRule="auto"/>
              <w:jc w:val="center"/>
              <w:rPr>
                <w:rFonts w:hint="eastAsia" w:ascii="仿宋" w:hAnsi="仿宋" w:eastAsia="仿宋" w:cs="仿宋"/>
                <w:color w:val="auto"/>
                <w:sz w:val="24"/>
                <w:highlight w:val="none"/>
              </w:rPr>
            </w:pPr>
          </w:p>
        </w:tc>
        <w:tc>
          <w:tcPr>
            <w:tcW w:w="945" w:type="dxa"/>
            <w:noWrap w:val="0"/>
            <w:vAlign w:val="center"/>
          </w:tcPr>
          <w:p>
            <w:pPr>
              <w:spacing w:line="360" w:lineRule="auto"/>
              <w:jc w:val="center"/>
              <w:rPr>
                <w:rFonts w:hint="eastAsia" w:ascii="仿宋" w:hAnsi="仿宋" w:eastAsia="仿宋" w:cs="仿宋"/>
                <w:color w:val="auto"/>
                <w:sz w:val="24"/>
                <w:highlight w:val="none"/>
              </w:rPr>
            </w:pPr>
          </w:p>
        </w:tc>
        <w:tc>
          <w:tcPr>
            <w:tcW w:w="1285" w:type="dxa"/>
            <w:noWrap w:val="0"/>
            <w:vAlign w:val="center"/>
          </w:tcPr>
          <w:p>
            <w:pPr>
              <w:spacing w:line="360" w:lineRule="auto"/>
              <w:jc w:val="center"/>
              <w:rPr>
                <w:rFonts w:hint="eastAsia" w:ascii="仿宋" w:hAnsi="仿宋" w:eastAsia="仿宋" w:cs="仿宋"/>
                <w:color w:val="auto"/>
                <w:sz w:val="24"/>
                <w:highlight w:val="none"/>
              </w:rPr>
            </w:pPr>
          </w:p>
        </w:tc>
        <w:tc>
          <w:tcPr>
            <w:tcW w:w="1697" w:type="dxa"/>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518" w:type="dxa"/>
            <w:gridSpan w:val="3"/>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投标报价（小写）</w:t>
            </w:r>
          </w:p>
        </w:tc>
        <w:tc>
          <w:tcPr>
            <w:tcW w:w="4662" w:type="dxa"/>
            <w:gridSpan w:val="4"/>
            <w:noWrap w:val="0"/>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518" w:type="dxa"/>
            <w:gridSpan w:val="3"/>
            <w:noWrap w:val="0"/>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投标报价（大写）</w:t>
            </w:r>
          </w:p>
        </w:tc>
        <w:tc>
          <w:tcPr>
            <w:tcW w:w="4662" w:type="dxa"/>
            <w:gridSpan w:val="4"/>
            <w:noWrap w:val="0"/>
            <w:vAlign w:val="center"/>
          </w:tcPr>
          <w:p>
            <w:pPr>
              <w:spacing w:line="360" w:lineRule="auto"/>
              <w:jc w:val="center"/>
              <w:rPr>
                <w:rFonts w:hint="eastAsia" w:ascii="仿宋" w:hAnsi="仿宋" w:eastAsia="仿宋" w:cs="仿宋"/>
                <w:color w:val="auto"/>
                <w:sz w:val="24"/>
                <w:highlight w:val="none"/>
              </w:rPr>
            </w:pPr>
          </w:p>
        </w:tc>
      </w:tr>
    </w:tbl>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注：以上表格要求细分项目及报价，包括有关本项目实施所需的技术方案编写、人员费用、交通成本费用、验收费、评审论证费用、技术支持、测试费、培训费、安全评测费、售后服务和税金等费用均计入报价。</w:t>
      </w:r>
    </w:p>
    <w:p>
      <w:pPr>
        <w:spacing w:line="360" w:lineRule="auto"/>
        <w:ind w:firstLine="482" w:firstLineChars="200"/>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投标文件含有采购人不能接受的附加条件的，投标无效</w:t>
      </w:r>
      <w:r>
        <w:rPr>
          <w:rFonts w:hint="eastAsia" w:ascii="仿宋" w:hAnsi="仿宋" w:eastAsia="仿宋" w:cs="仿宋"/>
          <w:b/>
          <w:color w:val="auto"/>
          <w:kern w:val="0"/>
          <w:sz w:val="24"/>
          <w:highlight w:val="none"/>
          <w:lang w:val="zh-CN"/>
        </w:rPr>
        <w:t>。</w:t>
      </w:r>
    </w:p>
    <w:p>
      <w:pPr>
        <w:pStyle w:val="2"/>
        <w:ind w:left="0" w:firstLine="0"/>
        <w:rPr>
          <w:rFonts w:hint="eastAsia" w:ascii="仿宋" w:hAnsi="仿宋" w:eastAsia="仿宋" w:cs="仿宋"/>
          <w:color w:val="auto"/>
          <w:highlight w:val="none"/>
        </w:rPr>
      </w:pPr>
    </w:p>
    <w:p>
      <w:pPr>
        <w:rPr>
          <w:rFonts w:hint="eastAsia" w:ascii="仿宋" w:hAnsi="仿宋" w:eastAsia="仿宋" w:cs="仿宋"/>
          <w:color w:val="auto"/>
          <w:highlight w:val="none"/>
        </w:rPr>
      </w:pPr>
    </w:p>
    <w:p>
      <w:pPr>
        <w:pStyle w:val="112"/>
        <w:rPr>
          <w:rFonts w:hint="eastAsia"/>
          <w:color w:val="auto"/>
          <w:highlight w:val="none"/>
        </w:rPr>
      </w:pPr>
    </w:p>
    <w:p>
      <w:pPr>
        <w:autoSpaceDE w:val="0"/>
        <w:autoSpaceDN w:val="0"/>
        <w:spacing w:line="360" w:lineRule="auto"/>
        <w:ind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firstLine="4800" w:firstLineChars="20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rPr>
          <w:rFonts w:hint="eastAsia" w:ascii="仿宋" w:hAnsi="仿宋" w:eastAsia="仿宋" w:cs="仿宋"/>
          <w:color w:val="auto"/>
          <w:highlight w:val="none"/>
        </w:rPr>
      </w:pPr>
    </w:p>
    <w:p>
      <w:pPr>
        <w:tabs>
          <w:tab w:val="left" w:pos="8085"/>
        </w:tabs>
        <w:spacing w:line="360" w:lineRule="auto"/>
        <w:ind w:firstLine="1285" w:firstLineChars="400"/>
        <w:jc w:val="left"/>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政府采购支持中小企业信用融资相关事项通知</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一、适用对象</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二、相关信息获取方式</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　政府采购信用融资操作流程：</w:t>
      </w:r>
    </w:p>
    <w:p>
      <w:pPr>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（一）线上融资模式：</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1.供应商根据合作银行提供的方案，自行选择金融产品，并办理开户等手续；</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2.供应商中标后，可通过杭州市政府采购网或“浙里办”测算授信额度；</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3.采购合同签订后，供应商在杭州市政府采购网或“浙里办”向合作银行发出融资申请；</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4.审批通过后，在线办理放贷手续。</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（二）线下融资模式：</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1.供应商根据合作银行提供的方案，自行选择金融产品，向合作银行提出信用资格预审，并办理开户等手续；</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2.采购合同签订后，供应商在杭州市政府采购网或“浙里办”向合作银行发出融资申请；</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4.审批通过后，合作银行应按照合作备忘录中约定的审批放款期限和优惠利率及时予以放款。</w:t>
      </w:r>
    </w:p>
    <w:p>
      <w:pPr>
        <w:pStyle w:val="2"/>
        <w:numPr>
          <w:ilvl w:val="0"/>
          <w:numId w:val="0"/>
        </w:numPr>
        <w:ind w:firstLine="960" w:firstLineChars="400"/>
        <w:rPr>
          <w:rFonts w:hint="eastAsia" w:ascii="仿宋" w:hAnsi="仿宋" w:eastAsia="仿宋" w:cs="仿宋"/>
          <w:b w:val="0"/>
          <w:bCs w:val="0"/>
          <w:color w:val="auto"/>
          <w:sz w:val="24"/>
          <w:szCs w:val="24"/>
          <w:highlight w:val="none"/>
          <w:lang w:val="en-US"/>
        </w:rPr>
      </w:pPr>
      <w:bookmarkStart w:id="515" w:name="_Toc101358637"/>
      <w:r>
        <w:rPr>
          <w:rFonts w:hint="eastAsia" w:ascii="仿宋" w:hAnsi="仿宋" w:eastAsia="仿宋" w:cs="仿宋"/>
          <w:b w:val="0"/>
          <w:bCs w:val="0"/>
          <w:color w:val="auto"/>
          <w:sz w:val="24"/>
          <w:szCs w:val="24"/>
          <w:highlight w:val="none"/>
          <w:lang w:val="en-US"/>
        </w:rPr>
        <w:t>（三）杭州e融平台申请融资</w:t>
      </w:r>
      <w:bookmarkEnd w:id="515"/>
    </w:p>
    <w:p>
      <w:pPr>
        <w:pStyle w:val="2"/>
        <w:numPr>
          <w:ilvl w:val="0"/>
          <w:numId w:val="0"/>
        </w:numPr>
        <w:ind w:firstLine="960" w:firstLineChars="400"/>
        <w:rPr>
          <w:rFonts w:hint="eastAsia" w:ascii="仿宋" w:hAnsi="仿宋" w:eastAsia="仿宋" w:cs="仿宋"/>
          <w:b w:val="0"/>
          <w:bCs w:val="0"/>
          <w:color w:val="auto"/>
          <w:sz w:val="24"/>
          <w:szCs w:val="24"/>
          <w:highlight w:val="none"/>
          <w:lang w:val="en-US"/>
        </w:rPr>
      </w:pPr>
      <w:bookmarkStart w:id="516" w:name="_Toc101358638"/>
      <w:r>
        <w:rPr>
          <w:rFonts w:hint="eastAsia" w:ascii="仿宋" w:hAnsi="仿宋" w:eastAsia="仿宋" w:cs="仿宋"/>
          <w:b w:val="0"/>
          <w:bCs w:val="0"/>
          <w:color w:val="auto"/>
          <w:sz w:val="24"/>
          <w:szCs w:val="24"/>
          <w:highlight w:val="none"/>
          <w:lang w:val="en-US"/>
        </w:rPr>
        <w:t>供应商通过杭州e融平台政采贷专区，自行选择金融产品，按规定手续办理贷款流程。</w:t>
      </w:r>
      <w:bookmarkEnd w:id="516"/>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四、注意事项</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仿宋" w:hAnsi="仿宋" w:eastAsia="仿宋" w:cs="仿宋"/>
          <w:b/>
          <w:bCs/>
          <w:color w:val="auto"/>
          <w:kern w:val="0"/>
          <w:sz w:val="24"/>
          <w:highlight w:val="none"/>
        </w:rPr>
      </w:pPr>
    </w:p>
    <w:p>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517" w:name="_Toc101358639"/>
      <w:bookmarkStart w:id="518" w:name="_Toc465665161"/>
      <w:r>
        <w:rPr>
          <w:rFonts w:hint="eastAsia" w:ascii="仿宋" w:hAnsi="仿宋" w:eastAsia="仿宋" w:cs="仿宋"/>
          <w:color w:val="auto"/>
          <w:highlight w:val="none"/>
        </w:rPr>
        <w:t>附件</w:t>
      </w:r>
      <w:bookmarkEnd w:id="517"/>
      <w:bookmarkEnd w:id="518"/>
    </w:p>
    <w:p>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pPr>
        <w:spacing w:line="360" w:lineRule="auto"/>
        <w:jc w:val="center"/>
        <w:rPr>
          <w:rFonts w:hint="eastAsia" w:ascii="仿宋" w:hAnsi="仿宋" w:eastAsia="仿宋" w:cs="仿宋"/>
          <w:b/>
          <w:color w:val="auto"/>
          <w:spacing w:val="6"/>
          <w:sz w:val="32"/>
          <w:szCs w:val="32"/>
          <w:highlight w:val="none"/>
        </w:rPr>
      </w:pPr>
      <w:bookmarkStart w:id="519" w:name="OLE_LINK14"/>
      <w:bookmarkStart w:id="520" w:name="OLE_LINK13"/>
      <w:r>
        <w:rPr>
          <w:rFonts w:hint="eastAsia" w:ascii="仿宋" w:hAnsi="仿宋" w:eastAsia="仿宋" w:cs="仿宋"/>
          <w:b/>
          <w:color w:val="auto"/>
          <w:spacing w:val="6"/>
          <w:sz w:val="32"/>
          <w:szCs w:val="32"/>
          <w:highlight w:val="none"/>
        </w:rPr>
        <w:t>残疾人福利性单位声明函</w:t>
      </w:r>
    </w:p>
    <w:bookmarkEnd w:id="519"/>
    <w:bookmarkEnd w:id="520"/>
    <w:p>
      <w:pPr>
        <w:spacing w:line="360" w:lineRule="auto"/>
        <w:rPr>
          <w:rFonts w:hint="eastAsia" w:ascii="仿宋" w:hAnsi="仿宋" w:eastAsia="仿宋" w:cs="仿宋"/>
          <w:b/>
          <w:color w:val="auto"/>
          <w:spacing w:val="6"/>
          <w:sz w:val="30"/>
          <w:szCs w:val="30"/>
          <w:highlight w:val="none"/>
        </w:rPr>
      </w:pP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jc w:val="center"/>
        <w:rPr>
          <w:rFonts w:hint="eastAsia" w:ascii="仿宋" w:hAnsi="仿宋" w:eastAsia="仿宋" w:cs="仿宋"/>
          <w:b/>
          <w:bCs/>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color w:val="auto"/>
          <w:sz w:val="24"/>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both"/>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 AQAADwAAAGRycy9kb3ducmV2LnhtbE2PzU7DMBCE70i8g7VI3KjtAk0JcSoB4oKqVISqZzc2iUW8 tmL3h7dnOcFxNKOZb6rV2Y/saKfkAiqQMwHMYheMw17B9uP1ZgksZY1GjwGtgm+bYFVfXlS6NOGE 7/bY5p5RCaZSKxhyjiXnqRus12kWokXyPsPkdSY59dxM+kTlfuRzIRbca4e0MOhonwfbfbUHr2AX Uch1E3PTvs0366eN2700TqnrKykegWV7zn9h+MUndKiJaR8OaBIbFdwVBaFnBfcLCYwCD+K2ALYn R0oBvK74/wv1D1BLAwQUAAAACACHTuJAIQVDvzkCAAB+BAAADgAAAGRycy9lMm9Eb2MueG1srVRB btswELwX6B8I3mvJiu00QuQgiOGiQNoGSPsAmqIsoiSXXdKW088U6C2P6HOKfqMryk6dtIccqoPA 1S6HM7NLnV/srGFbhUGDq/h4lHOmnIRau3XFP31cvnrNWYjC1cKAUxW/U4FfzF++OO98qQpowdQK GYG4UHa+4m2MvsyyIFtlRRiBV46SDaAVkUJcZzWKjtCtyYo8n2UdYO0RpAqBvi6GJN8j4nMAoWm0 VAuQG6tcHFBRGRFJUmi1D3ye2DaNkvFD0wQVmak4KY3pTYfQetW/s/m5KNcofKvlnoJ4DoUnmqzQ jg59gFqIKNgG9V9QVkuEAE0cSbDZICQ5QirG+RNvblvhVdJCVgf/YHr4f7Dy/fYGma4rfsKZE5Ya /uvb/c8f39lJ703nQ0klt/4Ge3XBX4P8HJiDq1a4tbpEhK5VoiZG474+e7ShDwJtZavuHdQELTYR kk27Bm0PSAawXerG3UM31C4ySR+L03wymU05k5QriunJbDxNZ4jysN1jiG8UWNYvKo7U7gQvttch 9nREeShJ9MHoeqmNSQGuV1cG2VbQaCzTs0cPx2XGsa7iZ9NimpAf5cIxRJ6ef0FYHenGGG1JxnGR cT0PlaZ0z/fg2OD8Cuo7cg9hGFu6tLRoAb9y1tHIVjx82QhUnJm3jjpwNp5M+hlPwWR6WlCAx5nV cUY4SVAVj5wNy6s43IuNR71u6aRxUuzgkrrW6ORnz29gte81jWWyeX+F+rk/jlPVn9/G/DdQSwME CgAAAAAAh07iQAAAAAAAAAAAAAAAAAYAAABfcmVscy9QSwMEFAAAAAgAh07iQIoUZjzRAAAAlAEA AAsAAABfcmVscy8ucmVsc6WQwWrDMAyG74O9g9F9cZrDGKNOL6PQa+kewNiKYxpbRjLZ+vbzDoNl 9LajfqHvE//+8JkWtSJLpGxg1/WgMDvyMQcD75fj0wsoqTZ7u1BGAzcUOIyPD/szLra2I5ljEdUo WQzMtZZXrcXNmKx0VDC3zUScbG0jB12su9qAeuj7Z82/GTBumOrkDfDJD6Aut9LMf9gpOiahqXaO kqZpiu4eVQe2ZY7uyDbhG7lGsxywGvAsGgdqWdd+BH1fv/un3tNHPuO61X6HjOuPV2+6HL8AUEsD BBQAAAAIAIdO4kB+5uUg9wAAAOEBAAATAAAAW0NvbnRlbnRfVHlwZXNdLnhtbJWRQU7DMBBF90jc wfIWJU67QAgl6YK0S0CoHGBkTxKLZGx5TGhvj5O2G0SRWNoz/78nu9wcxkFMGNg6quQqL6RA0s5Y 6ir5vt9lD1JwBDIwOMJKHpHlpr69KfdHjyxSmriSfYz+USnWPY7AufNIadK6MEJMx9ApD/oDOlTr orhX2lFEilmcO2RdNtjC5xDF9pCuTyYBB5bi6bQ4syoJ3g9WQ0ymaiLzg5KdCXlKLjvcW893SUOq Xwnz5DrgnHtJTxOsQfEKIT7DmDSUCayM+6KAU/53yWw5cuba1mrMm8BNir3hdLG61o5r1zj93/Lt krp0q+WD6m9QSwECFAAUAAAACACHTuJAfublIPcAAADhAQAAEwAAAAAAAAABACAAAACqBAAAW0Nv bnRlbnRfVHlwZXNdLnhtbFBLAQIUAAoAAAAAAIdO4kAAAAAAAAAAAAAAAAAGAAAAAAAAAAAAEAAA AIwDAABfcmVscy9QSwECFAAUAAAACACHTuJAihRmPNEAAACUAQAACwAAAAAAAAABACAAAACwAwAA X3JlbHMvLnJlbHNQSwECFAAKAAAAAACHTuJAAAAAAAAAAAAAAAAABAAAAAAAAAAAABAAAAAAAAAA ZHJzL1BLAQIUABQAAAAIAIdO4kD1kA8/2AAAAAoBAAAPAAAAAAAAAAEAIAAAACIAAABkcnMvZG93 bnJldi54bWxQSwECFAAUAAAACACHTuJAIQVDvzkCAAB+BAAADgAAAAAAAAABACAAAAAnAQAAZHJz L2Uyb0RvYy54bWxQSwUGAAAAAAYABgBZAQAA0gUAAAAA ">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 AQAADwAAAGRycy9kb3ducmV2LnhtbE2Py2rDMBBF94X+g5hCd4kk45jiWg6kpZsSHOqUrBVLtUWs kbGUR/++01W7u8Mc7pyp1jc/soudowuoQC4FMItdMA57BZ/7t8UTsJg0Gj0GtAq+bYR1fX9X6dKE K37YS5t6RiUYS61gSGkqOY/dYL2OyzBZpN1XmL1ONM49N7O+UrkfeSZEwb12SBcGPdmXwXan9uwV HCYUcttMqWnfs912s3OH18Yp9fggxTOwZG/pD4ZffVKHmpyO4YwmslHBQuY5oQoKUQAjIBcZhSMF uVoBryv+/4X6B1BLAwQUAAAACACHTuJAZ36JqDgCAAB+BAAADgAAAGRycy9lMm9Eb2MueG1srVTB jtMwEL0j8Q+W7zRtaLs02nS12lUR0gIrLXyA6ziNhe0xY7dp+RkkbnwEn4P4DSZOunQXDnsgh8iT GT+/92ac84u9NWynMGhwJZ+MxpwpJ6HSblPyjx9WL15xFqJwlTDgVMkPKvCL5fNn560vVA4NmEoh IxAXitaXvInRF1kWZKOsCCPwylGyBrQiUoibrELREro1WT4ez7MWsPIIUoVAX6/7JB8Q8SmAUNda qmuQW6tc7FFRGRFJUmi0D3yZ2Na1kvF9XQcVmSk5KY3pTYfQet29s+W5KDYofKPlQEE8hcIjTVZo R4feQ12LKNgW9V9QVkuEAHUcSbBZLyQ5Qiom40fe3DXCq6SFrA7+3vTw/2Dlu90tMl2VfMqZE5Ya /uvr958/vrFp503rQ0Eld/4WO3XB34D8FJiDq0a4jbpEhLZRoiJGk64+e7ChCwJtZev2LVQELbYR kk37Gm0HSAawferG4b4bah+ZpI/5fHq2mFGjJOXyfPZyPpmlM0Rx3O4xxNcKLOsWJUdqd4IXu5sQ OzqiOJYk+mB0tdLGpAA36yuDbCdoNFbpGdDDaZlxrC35YpbPEvKDXDiFGKfnXxBWR7oxRluScVpk XMdDpSkd+B4d651fQ3Ug9xD6saVLS4sG8AtnLY1sycPnrUDFmXnjqAOLyXTazXgKprOznAI8zaxP M8JJgip55KxfXsX+Xmw96k1DJ02SYgeX1LVaJz87fj2rodc0lsnm4Qp1c38ap6o/v43lb1BLAwQK AAAAAACHTuJAAAAAAAAAAAAAAAAABgAAAF9yZWxzL1BLAwQUAAAACACHTuJAihRmPNEAAACUAQAA CwAAAF9yZWxzLy5yZWxzpZDBasMwDIbvg72D0X1xmsMYo04vo9Br6R7A2IpjGltGMtn69vMOg2X0 tqN+oe8T//7wmRa1IkukbGDX9aAwO/IxBwPvl+PTCyipNnu7UEYDNxQ4jI8P+zMutrYjmWMR1ShZ DMy1lletxc2YrHRUMLfNRJxsbSMHXay72oB66Ptnzb8ZMG6Y6uQN8MkPoC630sx/2Ck6JqGpdo6S pmmK7h5VB7Zlju7INuEbuUazHLAa8CwaB2pZ134EfV+/+6fe00c+47rVfoeM649Xb7ocvwBQSwME FAAAAAgAh07iQH7m5SD3AAAA4QEAABMAAABbQ29udGVudF9UeXBlc10ueG1slZFBTsMwEEX3SNzB 8hYlTrtACCXpgrRLQKgcYGRPEotkbHlMaG+Pk7YbRJFY2jP/vye73BzGQUwY2Dqq5CovpEDSzljq Kvm+32UPUnAEMjA4wkoekeWmvr0p90ePLFKauJJ9jP5RKdY9jsC580hp0rowQkzH0CkP+gM6VOui uFfaUUSKWZw7ZF022MLnEMX2kK5PJgEHluLptDizKgneD1ZDTKZqIvODkp0JeUouO9xbz3dJQ6pf CfPkOuCce0lPE6xB8QohPsOYNJQJrIz7ooBT/nfJbDly5trWasybwE2KveF0sbrWjmvXOP3f8u2S unSr5YPqb1BLAQIUABQAAAAIAIdO4kB+5uUg9wAAAOEBAAATAAAAAAAAAAEAIAAAAKkEAABbQ29u dGVudF9UeXBlc10ueG1sUEsBAhQACgAAAAAAh07iQAAAAAAAAAAAAAAAAAYAAAAAAAAAAAAQAAAA iwMAAF9yZWxzL1BLAQIUABQAAAAIAIdO4kCKFGY80QAAAJQBAAALAAAAAAAAAAEAIAAAAK8DAABf cmVscy8ucmVsc1BLAQIUAAoAAAAAAIdO4kAAAAAAAAAAAAAAAAAEAAAAAAAAAAAAEAAAAAAAAABk cnMvUEsBAhQAFAAAAAgAh07iQBmMR6bYAAAACgEAAA8AAAAAAAAAAQAgAAAAIgAAAGRycy9kb3du cmV2LnhtbFBLAQIUABQAAAAIAIdO4kBnfomoOAIAAH4EAAAOAAAAAAAAAAEAIAAAACcBAABkcnMv ZTJvRG9jLnhtbFBLBQYAAAAABgAGAFkBAADRBQAAAAA= ">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pPr>
        <w:autoSpaceDE w:val="0"/>
        <w:autoSpaceDN w:val="0"/>
        <w:jc w:val="both"/>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p>
    <w:p>
      <w:pPr>
        <w:pStyle w:val="2"/>
        <w:ind w:left="0" w:firstLine="0"/>
        <w:rPr>
          <w:rFonts w:hint="eastAsia" w:ascii="仿宋" w:hAnsi="仿宋" w:eastAsia="仿宋" w:cs="仿宋"/>
          <w:color w:val="auto"/>
          <w:highlight w:val="none"/>
          <w:lang w:val="en-US"/>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pPr>
        <w:spacing w:line="360" w:lineRule="auto"/>
        <w:rPr>
          <w:rFonts w:hint="eastAsia" w:ascii="仿宋" w:hAnsi="仿宋" w:eastAsia="仿宋" w:cs="仿宋"/>
          <w:color w:val="auto"/>
          <w:highlight w:val="none"/>
        </w:rPr>
      </w:pPr>
    </w:p>
    <w:p>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rPr>
        <w:t>（中型企业、小型企业、微型企业，以上三选一） ;</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（中型企业、小型企业、微型企业，以上三选一）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4"/>
        <w:rPr>
          <w:rFonts w:hint="eastAsia" w:ascii="仿宋" w:hAnsi="仿宋" w:eastAsia="仿宋" w:cs="仿宋"/>
          <w:color w:val="auto"/>
          <w:sz w:val="24"/>
          <w:highlight w:val="none"/>
        </w:rPr>
      </w:pPr>
    </w:p>
    <w:p>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pPr>
        <w:snapToGrid w:val="0"/>
        <w:ind w:firstLine="0" w:firstLineChars="0"/>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附件6：采购活动现场确认声明书</w:t>
      </w:r>
    </w:p>
    <w:p>
      <w:pPr>
        <w:ind w:firstLine="0" w:firstLineChars="0"/>
        <w:jc w:val="center"/>
        <w:rPr>
          <w:rFonts w:hint="eastAsia" w:ascii="仿宋" w:hAnsi="仿宋" w:eastAsia="仿宋" w:cs="仿宋"/>
          <w:b/>
          <w:bCs/>
          <w:color w:val="auto"/>
          <w:highlight w:val="none"/>
        </w:rPr>
      </w:pPr>
    </w:p>
    <w:p>
      <w:pPr>
        <w:ind w:firstLine="0" w:firstLineChars="0"/>
        <w:jc w:val="center"/>
        <w:rPr>
          <w:rFonts w:hint="eastAsia"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采购活动现场确认声明书</w:t>
      </w:r>
    </w:p>
    <w:p>
      <w:pPr>
        <w:pStyle w:val="331"/>
        <w:snapToGrid w:val="0"/>
        <w:spacing w:line="440" w:lineRule="exact"/>
        <w:ind w:left="0" w:leftChars="0" w:firstLine="0" w:firstLineChars="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浙江五石中正工程咨询有限公司：</w:t>
      </w:r>
    </w:p>
    <w:p>
      <w:pPr>
        <w:pStyle w:val="331"/>
        <w:snapToGrid w:val="0"/>
        <w:spacing w:line="440" w:lineRule="exact"/>
        <w:ind w:firstLine="504" w:firstLineChars="200"/>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本人</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（授权代表姓名），经由</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（单位）</w:t>
      </w:r>
    </w:p>
    <w:p>
      <w:pPr>
        <w:pStyle w:val="331"/>
        <w:snapToGrid w:val="0"/>
        <w:spacing w:line="440" w:lineRule="exact"/>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（法定代表人姓名）合法授权参加</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 xml:space="preserve">（编号: </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）标项</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的采购活动，经与本单位法人代表（负责人）联系确认，现就有关公平竞争事项郑重声明如下：</w:t>
      </w:r>
    </w:p>
    <w:p>
      <w:pPr>
        <w:pStyle w:val="332"/>
        <w:widowControl/>
        <w:numPr>
          <w:ilvl w:val="0"/>
          <w:numId w:val="3"/>
        </w:numPr>
        <w:snapToGrid w:val="0"/>
        <w:spacing w:line="440" w:lineRule="exact"/>
        <w:ind w:firstLine="453" w:firstLineChars="189"/>
        <w:rPr>
          <w:rFonts w:hint="eastAsia" w:ascii="仿宋" w:hAnsi="仿宋" w:eastAsia="仿宋" w:cs="仿宋"/>
          <w:color w:val="auto"/>
          <w:kern w:val="0"/>
          <w:highlight w:val="none"/>
        </w:rPr>
      </w:pPr>
      <w:r>
        <w:rPr>
          <w:rFonts w:hint="eastAsia" w:ascii="仿宋" w:hAnsi="仿宋" w:eastAsia="仿宋" w:cs="仿宋"/>
          <w:color w:val="auto"/>
          <w:kern w:val="0"/>
          <w:highlight w:val="none"/>
        </w:rPr>
        <w:t>本单位与采购人之间 □ 不存在利害关系 □ 存在下列利害关系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w:t>
      </w:r>
    </w:p>
    <w:p>
      <w:pPr>
        <w:pStyle w:val="332"/>
        <w:widowControl/>
        <w:snapToGrid w:val="0"/>
        <w:spacing w:line="440" w:lineRule="exact"/>
        <w:rPr>
          <w:rFonts w:hint="eastAsia" w:ascii="仿宋" w:hAnsi="仿宋" w:eastAsia="仿宋" w:cs="仿宋"/>
          <w:color w:val="auto"/>
          <w:kern w:val="0"/>
          <w:highlight w:val="none"/>
        </w:rPr>
      </w:pPr>
      <w:r>
        <w:rPr>
          <w:rFonts w:hint="eastAsia" w:ascii="仿宋" w:hAnsi="仿宋" w:eastAsia="仿宋" w:cs="仿宋"/>
          <w:color w:val="auto"/>
          <w:kern w:val="0"/>
          <w:highlight w:val="none"/>
        </w:rPr>
        <w:t xml:space="preserve">  A.投资关系    B.行政隶属关系    C.业务指导关系</w:t>
      </w:r>
    </w:p>
    <w:p>
      <w:pPr>
        <w:pStyle w:val="332"/>
        <w:widowControl/>
        <w:snapToGrid w:val="0"/>
        <w:spacing w:line="440" w:lineRule="exact"/>
        <w:rPr>
          <w:rFonts w:hint="eastAsia" w:ascii="仿宋" w:hAnsi="仿宋" w:eastAsia="仿宋" w:cs="仿宋"/>
          <w:color w:val="auto"/>
          <w:kern w:val="0"/>
          <w:highlight w:val="none"/>
        </w:rPr>
      </w:pPr>
      <w:r>
        <w:rPr>
          <w:rFonts w:hint="eastAsia" w:ascii="仿宋" w:hAnsi="仿宋" w:eastAsia="仿宋" w:cs="仿宋"/>
          <w:color w:val="auto"/>
          <w:kern w:val="0"/>
          <w:highlight w:val="none"/>
        </w:rPr>
        <w:t xml:space="preserve">  D.其他可能</w:t>
      </w:r>
      <w:r>
        <w:rPr>
          <w:rFonts w:hint="eastAsia" w:ascii="仿宋" w:hAnsi="仿宋" w:eastAsia="仿宋" w:cs="仿宋"/>
          <w:color w:val="auto"/>
          <w:highlight w:val="none"/>
        </w:rPr>
        <w:t>影响采购公正的</w:t>
      </w:r>
      <w:r>
        <w:rPr>
          <w:rFonts w:hint="eastAsia" w:ascii="仿宋" w:hAnsi="仿宋" w:eastAsia="仿宋" w:cs="仿宋"/>
          <w:color w:val="auto"/>
          <w:kern w:val="0"/>
          <w:highlight w:val="none"/>
        </w:rPr>
        <w:t xml:space="preserve">利害关系（如有，请如实说明） </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w:t>
      </w:r>
    </w:p>
    <w:p>
      <w:pPr>
        <w:pStyle w:val="332"/>
        <w:widowControl/>
        <w:numPr>
          <w:ilvl w:val="0"/>
          <w:numId w:val="3"/>
        </w:numPr>
        <w:snapToGrid w:val="0"/>
        <w:spacing w:line="440" w:lineRule="exact"/>
        <w:ind w:firstLine="453" w:firstLineChars="189"/>
        <w:rPr>
          <w:rFonts w:hint="eastAsia" w:ascii="仿宋" w:hAnsi="仿宋" w:eastAsia="仿宋" w:cs="仿宋"/>
          <w:color w:val="auto"/>
          <w:kern w:val="0"/>
          <w:highlight w:val="none"/>
        </w:rPr>
      </w:pPr>
      <w:r>
        <w:rPr>
          <w:rFonts w:hint="eastAsia" w:ascii="仿宋" w:hAnsi="仿宋" w:eastAsia="仿宋" w:cs="仿宋"/>
          <w:color w:val="auto"/>
          <w:kern w:val="0"/>
          <w:highlight w:val="none"/>
        </w:rPr>
        <w:t>现已清楚知道参加本项目采购活动的其他所有供应商名称，本单位</w:t>
      </w:r>
    </w:p>
    <w:p>
      <w:pPr>
        <w:pStyle w:val="332"/>
        <w:widowControl/>
        <w:snapToGrid w:val="0"/>
        <w:spacing w:line="440" w:lineRule="exact"/>
        <w:ind w:firstLine="0" w:firstLineChars="0"/>
        <w:rPr>
          <w:rFonts w:hint="eastAsia" w:ascii="仿宋" w:hAnsi="仿宋" w:eastAsia="仿宋" w:cs="仿宋"/>
          <w:color w:val="auto"/>
          <w:kern w:val="0"/>
          <w:highlight w:val="none"/>
        </w:rPr>
      </w:pPr>
      <w:r>
        <w:rPr>
          <w:rFonts w:hint="eastAsia" w:ascii="仿宋" w:hAnsi="仿宋" w:eastAsia="仿宋" w:cs="仿宋"/>
          <w:color w:val="auto"/>
          <w:kern w:val="0"/>
          <w:highlight w:val="none"/>
        </w:rPr>
        <w:t xml:space="preserve">□ 与其他所有供应商之间均不存在利害关系 □ 与 </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（供应商名称）之间存在下列利害关系</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w:t>
      </w:r>
    </w:p>
    <w:p>
      <w:pPr>
        <w:pStyle w:val="331"/>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A.法定代表人或负责人或实际控制人是同一人</w:t>
      </w:r>
    </w:p>
    <w:p>
      <w:pPr>
        <w:pStyle w:val="331"/>
        <w:snapToGrid w:val="0"/>
        <w:spacing w:line="440" w:lineRule="exact"/>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  B.法定代表人或负责人或实际控制人是夫妻关系</w:t>
      </w:r>
    </w:p>
    <w:p>
      <w:pPr>
        <w:pStyle w:val="331"/>
        <w:snapToGrid w:val="0"/>
        <w:spacing w:line="440" w:lineRule="exact"/>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  C.法定代表人或负责人或实际控制人是直系血亲关系</w:t>
      </w:r>
    </w:p>
    <w:p>
      <w:pPr>
        <w:pStyle w:val="331"/>
        <w:snapToGrid w:val="0"/>
        <w:spacing w:line="440" w:lineRule="exact"/>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  D.法定代表人或负责人或实际控制人存在三代以内旁系血亲关系</w:t>
      </w:r>
    </w:p>
    <w:p>
      <w:pPr>
        <w:pStyle w:val="331"/>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E.法定代表人或负责人或实际控制人存在近姻亲关系</w:t>
      </w:r>
    </w:p>
    <w:p>
      <w:pPr>
        <w:pStyle w:val="331"/>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F.法定代表人或负责人或实际控制人存在股份控制或实际控制关系</w:t>
      </w:r>
    </w:p>
    <w:p>
      <w:pPr>
        <w:pStyle w:val="331"/>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G.存在共同直接或间接投资设立子公司、联营企业和合营企业情况</w:t>
      </w:r>
    </w:p>
    <w:p>
      <w:pPr>
        <w:pStyle w:val="331"/>
        <w:snapToGrid w:val="0"/>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H.存在分级代理或代销关系、同一生产制造商关系、管理关系、重要业务（占主营业务收入50%以上）或重要财务往来关系（如融资）等其他实质性控制关系</w:t>
      </w:r>
    </w:p>
    <w:p>
      <w:pPr>
        <w:pStyle w:val="331"/>
        <w:snapToGrid w:val="0"/>
        <w:spacing w:line="440" w:lineRule="exact"/>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  I.其他利害关系情况</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pStyle w:val="332"/>
        <w:widowControl/>
        <w:numPr>
          <w:ilvl w:val="0"/>
          <w:numId w:val="4"/>
        </w:numPr>
        <w:snapToGrid w:val="0"/>
        <w:spacing w:line="440" w:lineRule="exact"/>
        <w:ind w:firstLine="453" w:firstLineChars="189"/>
        <w:rPr>
          <w:rFonts w:hint="eastAsia" w:ascii="仿宋" w:hAnsi="仿宋" w:eastAsia="仿宋" w:cs="仿宋"/>
          <w:color w:val="auto"/>
          <w:kern w:val="0"/>
          <w:highlight w:val="none"/>
        </w:rPr>
      </w:pPr>
      <w:r>
        <w:rPr>
          <w:rFonts w:hint="eastAsia" w:ascii="仿宋" w:hAnsi="仿宋" w:eastAsia="仿宋" w:cs="仿宋"/>
          <w:color w:val="auto"/>
          <w:highlight w:val="none"/>
        </w:rPr>
        <w:t>现已清楚知道并</w:t>
      </w:r>
      <w:r>
        <w:rPr>
          <w:rFonts w:hint="eastAsia" w:ascii="仿宋" w:hAnsi="仿宋" w:eastAsia="仿宋" w:cs="仿宋"/>
          <w:color w:val="auto"/>
          <w:kern w:val="0"/>
          <w:highlight w:val="none"/>
        </w:rPr>
        <w:t>严格遵守政府采购法律法规和现场纪律。</w:t>
      </w:r>
    </w:p>
    <w:p>
      <w:pPr>
        <w:pStyle w:val="332"/>
        <w:widowControl/>
        <w:numPr>
          <w:ilvl w:val="0"/>
          <w:numId w:val="4"/>
        </w:numPr>
        <w:snapToGrid w:val="0"/>
        <w:spacing w:line="440" w:lineRule="exact"/>
        <w:ind w:firstLine="453" w:firstLineChars="189"/>
        <w:rPr>
          <w:rFonts w:hint="eastAsia" w:ascii="仿宋" w:hAnsi="仿宋" w:eastAsia="仿宋" w:cs="仿宋"/>
          <w:color w:val="auto"/>
          <w:kern w:val="0"/>
          <w:highlight w:val="none"/>
        </w:rPr>
      </w:pPr>
      <w:r>
        <w:rPr>
          <w:rFonts w:hint="eastAsia" w:ascii="仿宋" w:hAnsi="仿宋" w:eastAsia="仿宋" w:cs="仿宋"/>
          <w:color w:val="auto"/>
          <w:kern w:val="0"/>
          <w:highlight w:val="none"/>
        </w:rPr>
        <w:t>我发现</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供应商之间存在或可能存在上述第二条第</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项利害关系。</w:t>
      </w:r>
    </w:p>
    <w:p>
      <w:pPr>
        <w:pStyle w:val="332"/>
        <w:widowControl/>
        <w:numPr>
          <w:ilvl w:val="0"/>
          <w:numId w:val="4"/>
        </w:numPr>
        <w:snapToGrid w:val="0"/>
        <w:spacing w:line="440" w:lineRule="exact"/>
        <w:ind w:firstLine="453" w:firstLineChars="189"/>
        <w:rPr>
          <w:rFonts w:hint="eastAsia" w:ascii="仿宋" w:hAnsi="仿宋" w:eastAsia="仿宋" w:cs="仿宋"/>
          <w:color w:val="auto"/>
          <w:sz w:val="24"/>
          <w:szCs w:val="24"/>
          <w:highlight w:val="none"/>
        </w:rPr>
      </w:pPr>
      <w:r>
        <w:rPr>
          <w:rFonts w:hint="eastAsia" w:ascii="仿宋" w:hAnsi="仿宋" w:eastAsia="仿宋" w:cs="仿宋"/>
          <w:color w:val="auto"/>
          <w:kern w:val="0"/>
          <w:highlight w:val="none"/>
        </w:rPr>
        <w:t>经检查确认所有投标人投标文件 □ 不存在密封包装问题 □ 存在密封包装问题（具体指出）</w:t>
      </w:r>
      <w:r>
        <w:rPr>
          <w:rFonts w:hint="eastAsia" w:ascii="仿宋" w:hAnsi="仿宋" w:eastAsia="仿宋" w:cs="仿宋"/>
          <w:color w:val="auto"/>
          <w:kern w:val="0"/>
          <w:highlight w:val="none"/>
          <w:u w:val="single"/>
        </w:rPr>
        <w:t xml:space="preserve">                                     </w:t>
      </w:r>
      <w:r>
        <w:rPr>
          <w:rFonts w:hint="eastAsia" w:ascii="仿宋" w:hAnsi="仿宋" w:eastAsia="仿宋" w:cs="仿宋"/>
          <w:color w:val="auto"/>
          <w:kern w:val="0"/>
          <w:highlight w:val="none"/>
        </w:rPr>
        <w:t>。</w:t>
      </w:r>
    </w:p>
    <w:p>
      <w:pPr>
        <w:pStyle w:val="331"/>
        <w:snapToGrid w:val="0"/>
        <w:spacing w:line="440" w:lineRule="exact"/>
        <w:ind w:firstLine="5520" w:firstLineChars="2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（供应商代表签名）：</w:t>
      </w:r>
    </w:p>
    <w:p>
      <w:pPr>
        <w:pStyle w:val="331"/>
        <w:snapToGrid w:val="0"/>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pPr>
        <w:rPr>
          <w:rFonts w:hint="eastAsia" w:ascii="仿宋" w:hAnsi="仿宋" w:eastAsia="仿宋" w:cs="仿宋"/>
          <w:b/>
          <w:bCs/>
          <w:color w:val="auto"/>
          <w:highlight w:val="none"/>
        </w:rPr>
      </w:pPr>
    </w:p>
    <w:p>
      <w:pPr>
        <w:spacing w:line="360" w:lineRule="auto"/>
        <w:rPr>
          <w:rFonts w:hint="eastAsia" w:ascii="仿宋" w:hAnsi="仿宋" w:eastAsia="仿宋" w:cs="仿宋"/>
          <w:color w:val="auto"/>
          <w:highlight w:val="none"/>
        </w:rPr>
      </w:pPr>
      <w:r>
        <w:rPr>
          <w:rFonts w:hint="eastAsia" w:ascii="仿宋" w:hAnsi="仿宋" w:eastAsia="仿宋" w:cs="仿宋"/>
          <w:b/>
          <w:bCs/>
          <w:color w:val="auto"/>
          <w:sz w:val="24"/>
          <w:szCs w:val="24"/>
          <w:highlight w:val="none"/>
        </w:rPr>
        <w:t>制作说明：参与投标的供应商填写《采购活动现场确认声明书》相关内容后，在投标文件解密时，将填写完成的《采购活动现场确认声明书》发送至hzwszb@163.com。投标文件中无需递交。</w:t>
      </w:r>
    </w:p>
    <w:p>
      <w:pPr>
        <w:spacing w:line="360" w:lineRule="auto"/>
        <w:rPr>
          <w:rFonts w:hint="eastAsia" w:ascii="仿宋" w:hAnsi="仿宋" w:eastAsia="仿宋" w:cs="仿宋"/>
          <w:bCs/>
          <w:color w:val="auto"/>
          <w:sz w:val="24"/>
          <w:highlight w:val="none"/>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Futura Bk">
    <w:altName w:val="Times New Roman"/>
    <w:panose1 w:val="00000000000000000000"/>
    <w:charset w:val="00"/>
    <w:family w:val="decorative"/>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decorative"/>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moder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Arial"/>
    <w:panose1 w:val="00000000000000000000"/>
    <w:charset w:val="00"/>
    <w:family w:val="modern"/>
    <w:pitch w:val="default"/>
    <w:sig w:usb0="00000000" w:usb1="00000000" w:usb2="00000000" w:usb3="00000000" w:csb0="00000011" w:csb1="00000000"/>
  </w:font>
  <w:font w:name=".PingFang SC">
    <w:altName w:val="微软雅黑"/>
    <w:panose1 w:val="00000000000000000000"/>
    <w:charset w:val="00"/>
    <w:family w:val="swiss"/>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仿宋_GB2312" w:eastAsia="仿宋_GB2312"/>
        <w:sz w:val="18"/>
      </w:rPr>
    </w:pPr>
    <w:r>
      <w:rPr>
        <w:rFonts w:hint="eastAsia" w:ascii="仿宋_GB2312"/>
        <w:kern w:val="0"/>
        <w:sz w:val="18"/>
      </w:rPr>
      <w:t xml:space="preserve">第 </w:t>
    </w:r>
    <w:r>
      <w:rPr>
        <w:rFonts w:hint="eastAsia" w:ascii="仿宋_GB2312" w:eastAsia="仿宋_GB2312"/>
        <w:kern w:val="0"/>
        <w:sz w:val="18"/>
      </w:rPr>
      <w:fldChar w:fldCharType="begin"/>
    </w:r>
    <w:r>
      <w:rPr>
        <w:rFonts w:hint="eastAsia" w:ascii="仿宋_GB2312" w:eastAsia="仿宋_GB2312"/>
        <w:kern w:val="0"/>
        <w:sz w:val="18"/>
      </w:rPr>
      <w:instrText xml:space="preserve"> PAGE </w:instrText>
    </w:r>
    <w:r>
      <w:rPr>
        <w:rFonts w:hint="eastAsia" w:ascii="仿宋_GB2312" w:eastAsia="仿宋_GB2312"/>
        <w:kern w:val="0"/>
        <w:sz w:val="18"/>
      </w:rPr>
      <w:fldChar w:fldCharType="separate"/>
    </w:r>
    <w:r>
      <w:rPr>
        <w:rFonts w:ascii="仿宋_GB2312" w:eastAsia="仿宋_GB2312"/>
        <w:kern w:val="0"/>
        <w:sz w:val="18"/>
      </w:rPr>
      <w:t>23</w:t>
    </w:r>
    <w:r>
      <w:rPr>
        <w:rFonts w:hint="eastAsia" w:ascii="仿宋_GB2312" w:eastAsia="仿宋_GB2312"/>
        <w:kern w:val="0"/>
        <w:sz w:val="18"/>
      </w:rPr>
      <w:fldChar w:fldCharType="end"/>
    </w:r>
    <w:r>
      <w:rPr>
        <w:rFonts w:hint="eastAsia" w:ascii="仿宋_GB2312"/>
        <w:kern w:val="0"/>
        <w:sz w:val="18"/>
      </w:rPr>
      <w:t xml:space="preserve"> 页 共 </w:t>
    </w:r>
    <w:r>
      <w:rPr>
        <w:rFonts w:hint="eastAsia" w:ascii="仿宋_GB2312" w:eastAsia="仿宋_GB2312"/>
        <w:kern w:val="0"/>
        <w:sz w:val="18"/>
      </w:rPr>
      <w:fldChar w:fldCharType="begin"/>
    </w:r>
    <w:r>
      <w:rPr>
        <w:rFonts w:hint="eastAsia" w:ascii="仿宋_GB2312" w:eastAsia="仿宋_GB2312"/>
        <w:kern w:val="0"/>
        <w:sz w:val="18"/>
      </w:rPr>
      <w:instrText xml:space="preserve"> NUMPAGES </w:instrText>
    </w:r>
    <w:r>
      <w:rPr>
        <w:rFonts w:hint="eastAsia" w:ascii="仿宋_GB2312" w:eastAsia="仿宋_GB2312"/>
        <w:kern w:val="0"/>
        <w:sz w:val="18"/>
      </w:rPr>
      <w:fldChar w:fldCharType="separate"/>
    </w:r>
    <w:r>
      <w:rPr>
        <w:rFonts w:ascii="仿宋_GB2312" w:eastAsia="仿宋_GB2312"/>
        <w:kern w:val="0"/>
        <w:sz w:val="18"/>
      </w:rPr>
      <w:t>23</w:t>
    </w:r>
    <w:r>
      <w:rPr>
        <w:rFonts w:hint="eastAsia" w:ascii="仿宋_GB2312" w:eastAsia="仿宋_GB2312"/>
        <w:kern w:val="0"/>
        <w:sz w:val="18"/>
      </w:rPr>
      <w:fldChar w:fldCharType="end"/>
    </w:r>
    <w:r>
      <w:rPr>
        <w:rFonts w:hint="eastAsia" w:ascii="仿宋_GB2312"/>
        <w:kern w:val="0"/>
        <w:sz w:val="18"/>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right" w:y="1"/>
      <w:snapToGrid w:val="0"/>
      <w:jc w:val="left"/>
      <w:rPr>
        <w:sz w:val="18"/>
      </w:rPr>
    </w:pPr>
    <w:r>
      <w:rPr>
        <w:sz w:val="18"/>
      </w:rPr>
      <w:fldChar w:fldCharType="begin"/>
    </w:r>
    <w:r>
      <w:rPr>
        <w:rFonts w:ascii="Arial" w:hAnsi="Arial" w:eastAsia="黑体"/>
        <w:snapToGrid w:val="0"/>
        <w:kern w:val="0"/>
        <w:sz w:val="20"/>
        <w:szCs w:val="21"/>
      </w:rPr>
      <w:instrText xml:space="preserve">PAGE  </w:instrText>
    </w:r>
    <w:r>
      <w:rPr>
        <w:sz w:val="18"/>
      </w:rPr>
      <w:fldChar w:fldCharType="end"/>
    </w:r>
  </w:p>
  <w:p>
    <w:pPr>
      <w:snapToGrid w:val="0"/>
      <w:ind w:right="360"/>
      <w:jc w:val="left"/>
      <w:rPr>
        <w:sz w:val="1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仿宋_GB2312" w:eastAsia="仿宋_GB2312"/>
        <w:sz w:val="18"/>
      </w:rPr>
    </w:pPr>
    <w:r>
      <w:rPr>
        <w:rFonts w:hint="eastAsia" w:ascii="仿宋_GB2312"/>
        <w:kern w:val="0"/>
        <w:sz w:val="18"/>
      </w:rPr>
      <w:t xml:space="preserve">第 </w:t>
    </w:r>
    <w:r>
      <w:rPr>
        <w:rFonts w:hint="eastAsia" w:ascii="仿宋_GB2312" w:eastAsia="仿宋_GB2312"/>
        <w:kern w:val="0"/>
        <w:sz w:val="18"/>
      </w:rPr>
      <w:fldChar w:fldCharType="begin"/>
    </w:r>
    <w:r>
      <w:rPr>
        <w:rFonts w:hint="eastAsia" w:ascii="仿宋_GB2312" w:eastAsia="仿宋_GB2312"/>
        <w:kern w:val="0"/>
        <w:sz w:val="18"/>
      </w:rPr>
      <w:instrText xml:space="preserve"> PAGE </w:instrText>
    </w:r>
    <w:r>
      <w:rPr>
        <w:rFonts w:hint="eastAsia" w:ascii="仿宋_GB2312" w:eastAsia="仿宋_GB2312"/>
        <w:kern w:val="0"/>
        <w:sz w:val="18"/>
      </w:rPr>
      <w:fldChar w:fldCharType="separate"/>
    </w:r>
    <w:r>
      <w:rPr>
        <w:rFonts w:ascii="仿宋_GB2312" w:eastAsia="仿宋_GB2312"/>
        <w:kern w:val="0"/>
        <w:sz w:val="18"/>
      </w:rPr>
      <w:t>21</w:t>
    </w:r>
    <w:r>
      <w:rPr>
        <w:rFonts w:hint="eastAsia" w:ascii="仿宋_GB2312" w:eastAsia="仿宋_GB2312"/>
        <w:kern w:val="0"/>
        <w:sz w:val="18"/>
      </w:rPr>
      <w:fldChar w:fldCharType="end"/>
    </w:r>
    <w:r>
      <w:rPr>
        <w:rFonts w:hint="eastAsia" w:ascii="仿宋_GB2312"/>
        <w:kern w:val="0"/>
        <w:sz w:val="18"/>
      </w:rPr>
      <w:t xml:space="preserve"> 页 共 </w:t>
    </w:r>
    <w:r>
      <w:rPr>
        <w:rFonts w:hint="eastAsia" w:ascii="仿宋_GB2312" w:eastAsia="仿宋_GB2312"/>
        <w:kern w:val="0"/>
        <w:sz w:val="18"/>
      </w:rPr>
      <w:fldChar w:fldCharType="begin"/>
    </w:r>
    <w:r>
      <w:rPr>
        <w:rFonts w:hint="eastAsia" w:ascii="仿宋_GB2312" w:eastAsia="仿宋_GB2312"/>
        <w:kern w:val="0"/>
        <w:sz w:val="18"/>
      </w:rPr>
      <w:instrText xml:space="preserve"> NUMPAGES </w:instrText>
    </w:r>
    <w:r>
      <w:rPr>
        <w:rFonts w:hint="eastAsia" w:ascii="仿宋_GB2312" w:eastAsia="仿宋_GB2312"/>
        <w:kern w:val="0"/>
        <w:sz w:val="18"/>
      </w:rPr>
      <w:fldChar w:fldCharType="separate"/>
    </w:r>
    <w:r>
      <w:rPr>
        <w:rFonts w:ascii="仿宋_GB2312" w:eastAsia="仿宋_GB2312"/>
        <w:kern w:val="0"/>
        <w:sz w:val="18"/>
      </w:rPr>
      <w:t>74</w:t>
    </w:r>
    <w:r>
      <w:rPr>
        <w:rFonts w:hint="eastAsia" w:ascii="仿宋_GB2312" w:eastAsia="仿宋_GB2312"/>
        <w:kern w:val="0"/>
        <w:sz w:val="18"/>
      </w:rPr>
      <w:fldChar w:fldCharType="end"/>
    </w:r>
    <w:r>
      <w:rPr>
        <w:rFonts w:hint="eastAsia" w:ascii="仿宋_GB2312"/>
        <w:kern w:val="0"/>
        <w:sz w:val="18"/>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NqMvz03AgAAbwQAAA4AAABkcnMvZTJvRG9jLnhtbK1UzY7TMBC+I/EO lu80bRFVVTVdla2KkCp2pQVxdh2nieQ/2W6T8gDwBpy4cOe5+hx8dpIuWjjsgUs69oy/me+bmS5v WiXJSThfG53TyWhMidDcFLU+5PTTx+2rOSU+MF0wabTI6Vl4erN6+WLZ2IWYmsrIQjgCEO0Xjc1p FYJdZJnnlVDMj4wVGs7SOMUCju6QFY41QFcym47Hs6wxrrDOcOE9bjedk/aI7jmApixrLjaGH5XQ oUN1QrIASr6qraerVG1ZCh7uytKLQGROwTSkL5LA3sdvtlqyxcExW9W8L4E9p4QnnBSrNZJeoTYs MHJ09V9QqubOeFOGETcq64gkRcBiMn6izUPFrEhcILW3V9H9/4PlH073jtRFTmeUaKbQ8Mv3b5cf vy4/v5JZlKexfoGoB4u40L41LYZmuPe4jKzb0qn4Cz4Efoh7voor2kB4fDSfzudjuDh8wwH42eNz 63x4J4wi0cipQ/eSqOy086ELHUJiNm22tZSpg1KTBhRevxmnB1cPwKWOsSLNQg8TKXWlRyu0+7bn uTfFGTSd6ebEW76tUcqO+XDPHAYD5WN1wh0+pTRIaXqLksq4L/+6j/HoF7yUNBi0nGrsFSXyvUYf ARgGww3GfjD0Ud0aTO4EK2l5MvHABTmYpTPqM/ZpHXPAxTRHppyGwbwN3bBjH7lYr1PQ0br6UHUP MIWWhZ1+sDymiVJ5uz4GSJsUjwJ1qqBT8YA5TD3rdyYO+p/nFPX4P7H6DVBLAwQKAAAAAACHTuJA AAAAAAAAAAAAAAAABgAAAF9yZWxzL1BLAwQUAAAACACHTuJAihRmPNEAAACUAQAACwAAAF9yZWxz Ly5yZWxzpZDBasMwDIbvg72D0X1xmsMYo04vo9Br6R7A2IpjGltGMtn69vMOg2X0tqN+oe8T//7w mRa1IkukbGDX9aAwO/IxBwPvl+PTCyipNnu7UEYDNxQ4jI8P+zMutrYjmWMR1ShZDMy1lletxc2Y rHRUMLfNRJxsbSMHXay72oB66Ptnzb8ZMG6Y6uQN8MkPoC630sx/2Ck6JqGpdo6SpmmK7h5VB7Zl ju7INuEbuUazHLAa8CwaB2pZ134EfV+/+6fe00c+47rVfoeM649Xb7ocvwBQSwMEFAAAAAgAh07i QH7m5SD3AAAA4QEAABMAAABbQ29udGVudF9UeXBlc10ueG1slZFBTsMwEEX3SNzB8hYlTrtACCXp grRLQKgcYGRPEotkbHlMaG+Pk7YbRJFY2jP/vye73BzGQUwY2Dqq5CovpEDSzljqKvm+32UPUnAE MjA4wkoekeWmvr0p90ePLFKauJJ9jP5RKdY9jsC580hp0rowQkzH0CkP+gM6VOuiuFfaUUSKWZw7 ZF022MLnEMX2kK5PJgEHluLptDizKgneD1ZDTKZqIvODkp0JeUouO9xbz3dJQ6pfCfPkOuCce0lP E6xB8QohPsOYNJQJrIz7ooBT/nfJbDly5trWasybwE2KveF0sbrWjmvXOP3f8u2SunSr5YPqb1BL AQIUABQAAAAIAIdO4kB+5uUg9wAAAOEBAAATAAAAAAAAAAEAIAAAAKAEAABbQ29udGVudF9UeXBl c10ueG1sUEsBAhQACgAAAAAAh07iQAAAAAAAAAAAAAAAAAYAAAAAAAAAAAAQAAAAggMAAF9yZWxz L1BLAQIUABQAAAAIAIdO4kCKFGY80QAAAJQBAAALAAAAAAAAAAEAIAAAAKYDAABfcmVscy8ucmVs c1BLAQIUAAoAAAAAAIdO4kAAAAAAAAAAAAAAAAAEAAAAAAAAAAAAEAAAAAAAAABkcnMvUEsBAhQA FAAAAAgAh07iQLNJWO7QAAAABQEAAA8AAAAAAAAAAQAgAAAAIgAAAGRycy9kb3ducmV2LnhtbFBL AQIUABQAAAAIAIdO4kDajL89NwIAAG8EAAAOAAAAAAAAAAEAIAAAAB8BAABkcnMvZTJvRG9jLnht bFBLBQYAAAAABgAGAFkBAADIBQAAAAA= ">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HupMyU4AgAAbwQAAA4AAABkcnMvZTJvRG9jLnhtbK1UzY7TMBC+I/EO lu80aRG7VdV0VbYqQqrYlRbE2XWcJpL/ZLtNygPAG3Diwp3n6nPw2Wm6aOGwBy7p2DP+Zr5vZjq/ 6ZQkB+F8Y3RBx6OcEqG5KRu9K+inj+tXU0p8YLpk0mhR0KPw9Gbx8sW8tTMxMbWRpXAEINrPWlvQ OgQ7yzLPa6GYHxkrNJyVcYoFHN0uKx1rga5kNsnzq6w1rrTOcOE9ble9k54R3XMATVU1XKwM3yuh Q4/qhGQBlHzdWE8XqdqqEjzcVZUXgciCgmlIXySBvY3fbDFns51jtm74uQT2nBKecFKs0Uh6gVqx wMjeNX9BqYY7400VRtyorCeSFAGLcf5Em4eaWZG4QGpvL6L7/wfLPxzuHWnKgl5ToplCw0/fv51+ /Dr9/Equozyt9TNEPVjEhe6t6TA0w73HZWTdVU7FX/Ah8EPc40Vc0QXC46PpZDrN4eLwDQfgZ4/P rfPhnTCKRKOgDt1LorLDxoc+dAiJ2bRZN1KmDkpN2oJevX6TpwcXD8CljrEizcIZJlLqS49W6Lbd mefWlEfQdKafE2/5ukEpG+bDPXMYDJSP1Ql3+FTSIKU5W5TUxn35132MR7/gpaTFoBVUY68oke81 +gjAMBhuMLaDoffq1mByx1hJy5OJBy7IwaycUZ+xT8uYAy6mOTIVNAzmbeiHHfvIxXKZgvbWNbu6 f4AptCxs9IPlMU2UytvlPkDapHgUqFcFnYoHzGHq2Xln4qD/eU5Rj/8Ti99QSwMECgAAAAAAh07i QAAAAAAAAAAAAAAAAAYAAABfcmVscy9QSwMEFAAAAAgAh07iQIoUZjzRAAAAlAEAAAsAAABfcmVs cy8ucmVsc6WQwWrDMAyG74O9g9F9cZrDGKNOL6PQa+kewNiKYxpbRjLZ+vbzDoNl9LajfqHvE//+ 8JkWtSJLpGxg1/WgMDvyMQcD75fj0wsoqTZ7u1BGAzcUOIyPD/szLra2I5ljEdUoWQzMtZZXrcXN mKx0VDC3zUScbG0jB12su9qAeuj7Z82/GTBumOrkDfDJD6Aut9LMf9gpOiahqXaOkqZpiu4eVQe2 ZY7uyDbhG7lGsxywGvAsGgdqWdd+BH1fv/un3tNHPuO61X6HjOuPV2+6HL8AUEsDBBQAAAAIAIdO 4kB+5uUg9wAAAOEBAAATAAAAW0NvbnRlbnRfVHlwZXNdLnhtbJWRQU7DMBBF90jcwfIWJU67QAgl 6YK0S0CoHGBkTxKLZGx5TGhvj5O2G0SRWNoz/78nu9wcxkFMGNg6quQqL6RA0s5Y6ir5vt9lD1Jw BDIwOMJKHpHlpr69KfdHjyxSmriSfYz+USnWPY7AufNIadK6MEJMx9ApD/oDOlTrorhX2lFEilmc O2RdNtjC5xDF9pCuTyYBB5bi6bQ4syoJ3g9WQ0ymaiLzg5KdCXlKLjvcW893SUOqXwnz5DrgnHtJ TxOsQfEKIT7DmDSUCayM+6KAU/53yWw5cuba1mrMm8BNir3hdLG61o5r1zj93/Ltkrp0q+WD6m9Q SwECFAAUAAAACACHTuJAfublIPcAAADhAQAAEwAAAAAAAAABACAAAAChBAAAW0NvbnRlbnRfVHlw ZXNdLnhtbFBLAQIUAAoAAAAAAIdO4kAAAAAAAAAAAAAAAAAGAAAAAAAAAAAAEAAAAIMDAABfcmVs cy9QSwECFAAUAAAACACHTuJAihRmPNEAAACUAQAACwAAAAAAAAABACAAAACnAwAAX3JlbHMvLnJl bHNQSwECFAAKAAAAAACHTuJAAAAAAAAAAAAAAAAABAAAAAAAAAAAABAAAAAAAAAAZHJzL1BLAQIU ABQAAAAIAIdO4kCzSVju0AAAAAUBAAAPAAAAAAAAAAEAIAAAACIAAABkcnMvZG93bnJldi54bWxQ SwECFAAUAAAACACHTuJAe6kzJTgCAABvBAAADgAAAAAAAAABACAAAAAfAQAAZHJzL2Uyb0RvYy54 bWxQSwUGAAAAAAYABgBZAQAAyQUAAAAA ">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BR89qo3AgAAbwQAAA4AAABkcnMvZTJvRG9jLnhtbK1UzY7TMBC+I/EO lu80bRGrqmq6KlsVIVXsSgVxdh2nieQ/2W6T8gDwBpy4cOe5+hx8dpIuWjjsgUs69oy/me+bmS5u WyXJSThfG53TyWhMidDcFLU+5PTTx82rGSU+MF0wabTI6Vl4ert8+WLR2LmYmsrIQjgCEO3njc1p FYKdZ5nnlVDMj4wVGs7SOMUCju6QFY41QFcym47HN1ljXGGd4cJ73K47J+0R3XMATVnWXKwNPyqh Q4fqhGQBlHxVW0+XqdqyFDzcl6UXgcicgmlIXySBvY/fbLlg84Njtqp5XwJ7TglPOClWayS9Qq1Z YOTo6r+gVM2d8aYMI25U1hFJioDFZPxEm13FrEhcILW3V9H9/4PlH04PjtRFTtF2zRQafvn+7fLj 1+XnVzKL8jTWzxG1s4gL7VvTYmiGe4/LyLotnYq/4EPgh7jnq7iiDYTHR7PpbDaGi8M3HICfPT63 zod3wigSjZw6dC+Jyk5bH7rQISRm02ZTS5k6KDVpcnrz+s04Pbh6AC51jBVpFnqYSKkrPVqh3bc9 z70pzqDpTDcn3vJNjVK2zIcH5jAYKB+rE+7xKaVBStNblFTGffnXfYxHv+ClpMGg5VRjryiR7zX6 CMAwGG4w9oOhj+rOYHInWEnLk4kHLsjBLJ1Rn7FPq5gDLqY5MuU0DOZd6IYd+8jFapWCjtbVh6p7 gCm0LGz1zvKYJkrl7eoYIG1SPArUqYJOxQPmMPWs35k46H+eU9Tj/8TyN1BLAwQKAAAAAACHTuJA AAAAAAAAAAAAAAAABgAAAF9yZWxzL1BLAwQUAAAACACHTuJAihRmPNEAAACUAQAACwAAAF9yZWxz Ly5yZWxzpZDBasMwDIbvg72D0X1xmsMYo04vo9Br6R7A2IpjGltGMtn69vMOg2X0tqN+oe8T//7w mRa1IkukbGDX9aAwO/IxBwPvl+PTCyipNnu7UEYDNxQ4jI8P+zMutrYjmWMR1ShZDMy1lletxc2Y rHRUMLfNRJxsbSMHXay72oB66Ptnzb8ZMG6Y6uQN8MkPoC630sx/2Ck6JqGpdo6SpmmK7h5VB7Zl ju7INuEbuUazHLAa8CwaB2pZ134EfV+/+6fe00c+47rVfoeM649Xb7ocvwBQSwMEFAAAAAgAh07i QH7m5SD3AAAA4QEAABMAAABbQ29udGVudF9UeXBlc10ueG1slZFBTsMwEEX3SNzB8hYlTrtACCXp grRLQKgcYGRPEotkbHlMaG+Pk7YbRJFY2jP/vye73BzGQUwY2Dqq5CovpEDSzljqKvm+32UPUnAE MjA4wkoekeWmvr0p90ePLFKauJJ9jP5RKdY9jsC580hp0rowQkzH0CkP+gM6VOuiuFfaUUSKWZw7 ZF022MLnEMX2kK5PJgEHluLptDizKgneD1ZDTKZqIvODkp0JeUouO9xbz3dJQ6pfCfPkOuCce0lP E6xB8QohPsOYNJQJrIz7ooBT/nfJbDly5trWasybwE2KveF0sbrWjmvXOP3f8u2SunSr5YPqb1BL AQIUABQAAAAIAIdO4kB+5uUg9wAAAOEBAAATAAAAAAAAAAEAIAAAAKAEAABbQ29udGVudF9UeXBl c10ueG1sUEsBAhQACgAAAAAAh07iQAAAAAAAAAAAAAAAAAYAAAAAAAAAAAAQAAAAggMAAF9yZWxz L1BLAQIUABQAAAAIAIdO4kCKFGY80QAAAJQBAAALAAAAAAAAAAEAIAAAAKYDAABfcmVscy8ucmVs c1BLAQIUAAoAAAAAAIdO4kAAAAAAAAAAAAAAAAAEAAAAAAAAAAAAEAAAAAAAAABkcnMvUEsBAhQA FAAAAAgAh07iQLNJWO7QAAAABQEAAA8AAAAAAAAAAQAgAAAAIgAAAGRycy9kb3ducmV2LnhtbFBL AQIUABQAAAAIAIdO4kAUfPaqNwIAAG8EAAAOAAAAAAAAAAEAIAAAAB8BAABkcnMvZTJvRG9jLnht bFBLBQYAAAAABgAGAFkBAADIBQAAAAA= ">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4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LVZerI4AgAAbwQAAA4AAABkcnMvZTJvRG9jLnhtbK1UzY7TMBC+I/EO lu80aRGrbtV0VbYqQqrYlRbE2XWcJpL/ZLtNygPAG3Diwp3n6nPw2Wm6aOGwBy7p2DP+Zr5vZjq/ 6ZQkB+F8Y3RBx6OcEqG5KRu9K+inj+tXU0p8YLpk0mhR0KPw9Gbx8sW8tTMxMbWRpXAEINrPWlvQ OgQ7yzLPa6GYHxkrNJyVcYoFHN0uKx1rga5kNsnzq6w1rrTOcOE9ble9k54R3XMATVU1XKwM3yuh Q4/qhGQBlHzdWE8XqdqqEjzcVZUXgciCgmlIXySBvY3fbDFns51jtm74uQT2nBKecFKs0Uh6gVqx wMjeNX9BqYY7400VRtyorCeSFAGLcf5Em4eaWZG4QGpvL6L7/wfLPxzuHWnKgl5ToplCw0/fv51+ /Dr9/Equozyt9TNEPVjEhe6t6TA0w73HZWTdVU7FX/Ah8EPc40Vc0QXC46PpZDrN4eLwDQfgZ4/P rfPhnTCKRKOgDt1LorLDxoc+dAiJ2bRZN1KmDkpN2oJevX6TpwcXD8CljrEizcIZJlLqS49W6Lbd mefWlEfQdKafE2/5ukEpG+bDPXMYDJSP1Ql3+FTSIKU5W5TUxn35132MR7/gpaTFoBVUY68oke81 +gjAMBhuMLaDoffq1mByx1hJy5OJBy7IwaycUZ+xT8uYAy6mOTIVNAzmbeiHHfvIxXKZgvbWNbu6 f4AptCxs9IPlMU2UytvlPkDapHgUqFcFnYoHzGHq2Xln4qD/eU5Rj/8Ti99QSwMECgAAAAAAh07i QAAAAAAAAAAAAAAAAAYAAABfcmVscy9QSwMEFAAAAAgAh07iQIoUZjzRAAAAlAEAAAsAAABfcmVs cy8ucmVsc6WQwWrDMAyG74O9g9F9cZrDGKNOL6PQa+kewNiKYxpbRjLZ+vbzDoNl9LajfqHvE//+ 8JkWtSJLpGxg1/WgMDvyMQcD75fj0wsoqTZ7u1BGAzcUOIyPD/szLra2I5ljEdUoWQzMtZZXrcXN mKx0VDC3zUScbG0jB12su9qAeuj7Z82/GTBumOrkDfDJD6Aut9LMf9gpOiahqXaOkqZpiu4eVQe2 ZY7uyDbhG7lGsxywGvAsGgdqWdd+BH1fv/un3tNHPuO61X6HjOuPV2+6HL8AUEsDBBQAAAAIAIdO 4kB+5uUg9wAAAOEBAAATAAAAW0NvbnRlbnRfVHlwZXNdLnhtbJWRQU7DMBBF90jcwfIWJU67QAgl 6YK0S0CoHGBkTxKLZGx5TGhvj5O2G0SRWNoz/78nu9wcxkFMGNg6quQqL6RA0s5Y6ir5vt9lD1Jw BDIwOMJKHpHlpr69KfdHjyxSmriSfYz+USnWPY7AufNIadK6MEJMx9ApD/oDOlTrorhX2lFEilmc O2RdNtjC5xDF9pCuTyYBB5bi6bQ4syoJ3g9WQ0ymaiLzg5KdCXlKLjvcW893SUOqXwnz5DrgnHtJ TxOsQfEKIT7DmDSUCayM+6KAU/53yWw5cuba1mrMm8BNir3hdLG61o5r1zj93/Ltkrp0q+WD6m9Q SwECFAAUAAAACACHTuJAfublIPcAAADhAQAAEwAAAAAAAAABACAAAAChBAAAW0NvbnRlbnRfVHlw ZXNdLnhtbFBLAQIUAAoAAAAAAIdO4kAAAAAAAAAAAAAAAAAGAAAAAAAAAAAAEAAAAIMDAABfcmVs cy9QSwECFAAUAAAACACHTuJAihRmPNEAAACUAQAACwAAAAAAAAABACAAAACnAwAAX3JlbHMvLnJl bHNQSwECFAAKAAAAAACHTuJAAAAAAAAAAAAAAAAABAAAAAAAAAAAABAAAAAAAAAAZHJzL1BLAQIU ABQAAAAIAIdO4kCzSVju0AAAAAUBAAAPAAAAAAAAAAEAIAAAACIAAABkcnMvZG93bnJldi54bWxQ SwECFAAUAAAACACHTuJAtVl6sjgCAABvBAAADgAAAAAAAAABACAAAAAfAQAAZHJzL2Uyb0RvYy54 bWxQSwUGAAAAAAYABgBZAQAAyQUAAAAA ">
              <v:fill on="f" focussize="0,0"/>
              <v:stroke on="f" weight="0.5pt"/>
              <v:imagedata o:title=""/>
              <o:lock v:ext="edit" aspectratio="f"/>
              <v:textbox inset="0mm,0mm,0mm,0mm" style="mso-fit-shape-to-text:t;">
                <w:txbxContent>
                  <w:p>
                    <w:pPr>
                      <w:pStyle w:val="41"/>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21" w:name="_Toc36110187"/>
    <w:bookmarkStart w:id="522" w:name="_Toc91899912"/>
    <w:bookmarkStart w:id="523" w:name="_Toc131845147"/>
    <w:bookmarkStart w:id="524" w:name="_Toc164085800"/>
    <w:r>
      <w:rPr>
        <w:rFonts w:hint="eastAsia" w:ascii="仿宋_GB2312" w:eastAsia="仿宋_GB2312"/>
        <w:kern w:val="0"/>
        <w:szCs w:val="21"/>
      </w:rPr>
      <w:t xml:space="preserve"> 页</w:t>
    </w:r>
    <w:bookmarkEnd w:id="521"/>
    <w:bookmarkEnd w:id="522"/>
    <w:bookmarkEnd w:id="523"/>
    <w:bookmarkEnd w:id="52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right"/>
      <w:rPr>
        <w:sz w:val="18"/>
      </w:rPr>
    </w:pPr>
    <w:r>
      <w:rPr>
        <w:rFonts w:hint="eastAsia" w:eastAsia="仿宋_GB2312"/>
        <w:i/>
        <w:sz w:val="18"/>
      </w:rPr>
      <w:t>杭州市公共资源交易中心下城分中心政府采购公开招标文件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sz w:val="18"/>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right"/>
      <w:rPr>
        <w:sz w:val="18"/>
      </w:rPr>
    </w:pPr>
    <w:r>
      <w:rPr>
        <w:rFonts w:hint="eastAsia" w:eastAsia="仿宋_GB2312"/>
        <w:i/>
        <w:sz w:val="18"/>
      </w:rPr>
      <w:t>杭州市公共资源交易中心下城分中心政府采购公开招标文件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F3CF28"/>
    <w:multiLevelType w:val="singleLevel"/>
    <w:tmpl w:val="B5F3CF28"/>
    <w:lvl w:ilvl="0" w:tentative="0">
      <w:start w:val="2"/>
      <w:numFmt w:val="chineseCounting"/>
      <w:suff w:val="nothing"/>
      <w:lvlText w:val="%1、"/>
      <w:lvlJc w:val="left"/>
      <w:rPr>
        <w:rFonts w:hint="eastAsia"/>
      </w:rPr>
    </w:lvl>
  </w:abstractNum>
  <w:abstractNum w:abstractNumId="1">
    <w:nsid w:val="30EB47CB"/>
    <w:multiLevelType w:val="singleLevel"/>
    <w:tmpl w:val="30EB47CB"/>
    <w:lvl w:ilvl="0" w:tentative="0">
      <w:start w:val="1"/>
      <w:numFmt w:val="decimal"/>
      <w:suff w:val="nothing"/>
      <w:lvlText w:val="%1、"/>
      <w:lvlJc w:val="left"/>
      <w:pPr>
        <w:ind w:left="0" w:firstLine="0"/>
      </w:pPr>
      <w:rPr>
        <w:rFonts w:ascii="仿宋_GB2312" w:hAnsi="Times New Roman" w:eastAsia="仿宋_GB2312" w:cs="Times New Roman"/>
      </w:rPr>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lMmNjZDM3OWE5M2NhYmJiMmY4YjZlODk5OWQwZDk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6F16"/>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2CB"/>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550"/>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3EB0"/>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60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5E4"/>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1D8"/>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F640E"/>
    <w:rsid w:val="016025FC"/>
    <w:rsid w:val="01654456"/>
    <w:rsid w:val="019F7441"/>
    <w:rsid w:val="01B37585"/>
    <w:rsid w:val="01D55165"/>
    <w:rsid w:val="01DF6BF8"/>
    <w:rsid w:val="01EC2C57"/>
    <w:rsid w:val="023754AE"/>
    <w:rsid w:val="025340DF"/>
    <w:rsid w:val="025F0711"/>
    <w:rsid w:val="026B2E25"/>
    <w:rsid w:val="02824D4D"/>
    <w:rsid w:val="02A824AD"/>
    <w:rsid w:val="02DC4B10"/>
    <w:rsid w:val="02DD76CE"/>
    <w:rsid w:val="02F36323"/>
    <w:rsid w:val="02F5619C"/>
    <w:rsid w:val="0326446A"/>
    <w:rsid w:val="032D5555"/>
    <w:rsid w:val="036634D2"/>
    <w:rsid w:val="038D3451"/>
    <w:rsid w:val="03AC33FA"/>
    <w:rsid w:val="03DD35E4"/>
    <w:rsid w:val="04076900"/>
    <w:rsid w:val="041A5A3B"/>
    <w:rsid w:val="042311BA"/>
    <w:rsid w:val="042B157A"/>
    <w:rsid w:val="0451447E"/>
    <w:rsid w:val="045F557C"/>
    <w:rsid w:val="048F763B"/>
    <w:rsid w:val="049F330E"/>
    <w:rsid w:val="04AA775C"/>
    <w:rsid w:val="04AF1889"/>
    <w:rsid w:val="04D05CEB"/>
    <w:rsid w:val="04F66F48"/>
    <w:rsid w:val="05251E14"/>
    <w:rsid w:val="05A16594"/>
    <w:rsid w:val="05A7762D"/>
    <w:rsid w:val="05F41399"/>
    <w:rsid w:val="060E5941"/>
    <w:rsid w:val="06110FAF"/>
    <w:rsid w:val="06493CA7"/>
    <w:rsid w:val="065A6178"/>
    <w:rsid w:val="066F1CF3"/>
    <w:rsid w:val="068B011B"/>
    <w:rsid w:val="06930BB8"/>
    <w:rsid w:val="07245D42"/>
    <w:rsid w:val="07264C62"/>
    <w:rsid w:val="07481B68"/>
    <w:rsid w:val="075F5A26"/>
    <w:rsid w:val="0779354C"/>
    <w:rsid w:val="07B678A7"/>
    <w:rsid w:val="08061376"/>
    <w:rsid w:val="08452D77"/>
    <w:rsid w:val="086401F8"/>
    <w:rsid w:val="08751CAA"/>
    <w:rsid w:val="087E4C40"/>
    <w:rsid w:val="088210AA"/>
    <w:rsid w:val="08843074"/>
    <w:rsid w:val="08A871D0"/>
    <w:rsid w:val="08D66AD6"/>
    <w:rsid w:val="08DA33A3"/>
    <w:rsid w:val="08DA76DE"/>
    <w:rsid w:val="08E71F9B"/>
    <w:rsid w:val="08E80F13"/>
    <w:rsid w:val="09335624"/>
    <w:rsid w:val="093A65B1"/>
    <w:rsid w:val="0944690F"/>
    <w:rsid w:val="09535675"/>
    <w:rsid w:val="095F057D"/>
    <w:rsid w:val="09642282"/>
    <w:rsid w:val="09733572"/>
    <w:rsid w:val="09772C16"/>
    <w:rsid w:val="098353B5"/>
    <w:rsid w:val="09A92330"/>
    <w:rsid w:val="09B06B87"/>
    <w:rsid w:val="09C13146"/>
    <w:rsid w:val="09E04166"/>
    <w:rsid w:val="0A1C0718"/>
    <w:rsid w:val="0A1E281C"/>
    <w:rsid w:val="0A3B7763"/>
    <w:rsid w:val="0A3E7710"/>
    <w:rsid w:val="0A5A18A6"/>
    <w:rsid w:val="0A5B7E63"/>
    <w:rsid w:val="0A955578"/>
    <w:rsid w:val="0AA374A5"/>
    <w:rsid w:val="0AAB7649"/>
    <w:rsid w:val="0AAC240E"/>
    <w:rsid w:val="0ABC5606"/>
    <w:rsid w:val="0AFB3396"/>
    <w:rsid w:val="0B30404E"/>
    <w:rsid w:val="0B4C6C14"/>
    <w:rsid w:val="0B542123"/>
    <w:rsid w:val="0B547599"/>
    <w:rsid w:val="0B631A88"/>
    <w:rsid w:val="0B683D45"/>
    <w:rsid w:val="0B7F3F11"/>
    <w:rsid w:val="0B884417"/>
    <w:rsid w:val="0BDB744F"/>
    <w:rsid w:val="0BF6188C"/>
    <w:rsid w:val="0BF73C91"/>
    <w:rsid w:val="0C170175"/>
    <w:rsid w:val="0C28597F"/>
    <w:rsid w:val="0C571A41"/>
    <w:rsid w:val="0C5C1171"/>
    <w:rsid w:val="0C5E1CBC"/>
    <w:rsid w:val="0C615B50"/>
    <w:rsid w:val="0C831895"/>
    <w:rsid w:val="0C8445DA"/>
    <w:rsid w:val="0C87121B"/>
    <w:rsid w:val="0CC007F7"/>
    <w:rsid w:val="0CC617AC"/>
    <w:rsid w:val="0CE618DF"/>
    <w:rsid w:val="0CFD203B"/>
    <w:rsid w:val="0CFE707A"/>
    <w:rsid w:val="0D04213F"/>
    <w:rsid w:val="0D063BDA"/>
    <w:rsid w:val="0D08375F"/>
    <w:rsid w:val="0D184CFB"/>
    <w:rsid w:val="0D4A5F0F"/>
    <w:rsid w:val="0D4A7419"/>
    <w:rsid w:val="0D827401"/>
    <w:rsid w:val="0D84094E"/>
    <w:rsid w:val="0D8A00E9"/>
    <w:rsid w:val="0D8D589E"/>
    <w:rsid w:val="0DA01C73"/>
    <w:rsid w:val="0DD63300"/>
    <w:rsid w:val="0DF1760D"/>
    <w:rsid w:val="0DF50604"/>
    <w:rsid w:val="0DF702FE"/>
    <w:rsid w:val="0E060E51"/>
    <w:rsid w:val="0E4B5086"/>
    <w:rsid w:val="0E5604B2"/>
    <w:rsid w:val="0E6D5D79"/>
    <w:rsid w:val="0E9046B4"/>
    <w:rsid w:val="0E9D0089"/>
    <w:rsid w:val="0EA476D7"/>
    <w:rsid w:val="0EB803EE"/>
    <w:rsid w:val="0EF94D4B"/>
    <w:rsid w:val="0F4958DC"/>
    <w:rsid w:val="0F515DF7"/>
    <w:rsid w:val="0F596BA8"/>
    <w:rsid w:val="0F6248D2"/>
    <w:rsid w:val="0F693536"/>
    <w:rsid w:val="0F783207"/>
    <w:rsid w:val="0F7B0511"/>
    <w:rsid w:val="0F7B76D9"/>
    <w:rsid w:val="0F816ACD"/>
    <w:rsid w:val="0F9811B3"/>
    <w:rsid w:val="0F9832DB"/>
    <w:rsid w:val="0FB513D3"/>
    <w:rsid w:val="0FBF3FD2"/>
    <w:rsid w:val="0FBF7FF3"/>
    <w:rsid w:val="0FCE7B7F"/>
    <w:rsid w:val="104B4DE1"/>
    <w:rsid w:val="10646583"/>
    <w:rsid w:val="107D4B15"/>
    <w:rsid w:val="108005C5"/>
    <w:rsid w:val="108A3C80"/>
    <w:rsid w:val="10C26171"/>
    <w:rsid w:val="10F33360"/>
    <w:rsid w:val="10FC16EA"/>
    <w:rsid w:val="110F1D40"/>
    <w:rsid w:val="11266F33"/>
    <w:rsid w:val="113D0264"/>
    <w:rsid w:val="117D68B3"/>
    <w:rsid w:val="118963A1"/>
    <w:rsid w:val="11902A8A"/>
    <w:rsid w:val="11C6522A"/>
    <w:rsid w:val="11E104CC"/>
    <w:rsid w:val="11E20309"/>
    <w:rsid w:val="12255233"/>
    <w:rsid w:val="1230601B"/>
    <w:rsid w:val="12530213"/>
    <w:rsid w:val="125B46F2"/>
    <w:rsid w:val="127723A9"/>
    <w:rsid w:val="12862074"/>
    <w:rsid w:val="12883966"/>
    <w:rsid w:val="129E45B4"/>
    <w:rsid w:val="129E4D32"/>
    <w:rsid w:val="12D81596"/>
    <w:rsid w:val="12DC3AAD"/>
    <w:rsid w:val="13072A44"/>
    <w:rsid w:val="135F4BE2"/>
    <w:rsid w:val="139B1A0A"/>
    <w:rsid w:val="139D25C7"/>
    <w:rsid w:val="13A66595"/>
    <w:rsid w:val="13BF3CE4"/>
    <w:rsid w:val="13D86969"/>
    <w:rsid w:val="13E7095B"/>
    <w:rsid w:val="14067033"/>
    <w:rsid w:val="140909CD"/>
    <w:rsid w:val="141008D8"/>
    <w:rsid w:val="14125FE6"/>
    <w:rsid w:val="14213E6D"/>
    <w:rsid w:val="142474B9"/>
    <w:rsid w:val="143D67CD"/>
    <w:rsid w:val="14563F45"/>
    <w:rsid w:val="146D271E"/>
    <w:rsid w:val="14982588"/>
    <w:rsid w:val="149A5AD9"/>
    <w:rsid w:val="14A7619D"/>
    <w:rsid w:val="14CA62B3"/>
    <w:rsid w:val="150536C3"/>
    <w:rsid w:val="150C1963"/>
    <w:rsid w:val="151447A0"/>
    <w:rsid w:val="15314652"/>
    <w:rsid w:val="153B0F5F"/>
    <w:rsid w:val="154A6454"/>
    <w:rsid w:val="15762120"/>
    <w:rsid w:val="157B5510"/>
    <w:rsid w:val="15E40D35"/>
    <w:rsid w:val="16551BAC"/>
    <w:rsid w:val="168129A1"/>
    <w:rsid w:val="16877182"/>
    <w:rsid w:val="16A8729C"/>
    <w:rsid w:val="16B33777"/>
    <w:rsid w:val="16BC70A7"/>
    <w:rsid w:val="16C6339E"/>
    <w:rsid w:val="16E15B36"/>
    <w:rsid w:val="17285513"/>
    <w:rsid w:val="172F2D79"/>
    <w:rsid w:val="175207E1"/>
    <w:rsid w:val="17557BEF"/>
    <w:rsid w:val="178D1819"/>
    <w:rsid w:val="17D349C1"/>
    <w:rsid w:val="17D80CE7"/>
    <w:rsid w:val="17FF2717"/>
    <w:rsid w:val="1830729E"/>
    <w:rsid w:val="1870062C"/>
    <w:rsid w:val="18814EDA"/>
    <w:rsid w:val="18817102"/>
    <w:rsid w:val="18830A15"/>
    <w:rsid w:val="18852B28"/>
    <w:rsid w:val="188B5321"/>
    <w:rsid w:val="19070402"/>
    <w:rsid w:val="191A70DD"/>
    <w:rsid w:val="19932372"/>
    <w:rsid w:val="19A20DD5"/>
    <w:rsid w:val="19AE03F1"/>
    <w:rsid w:val="1A071A03"/>
    <w:rsid w:val="1A0E6ACF"/>
    <w:rsid w:val="1A1F16AE"/>
    <w:rsid w:val="1A3B5C77"/>
    <w:rsid w:val="1A5F2FF9"/>
    <w:rsid w:val="1A984BAD"/>
    <w:rsid w:val="1AB8220E"/>
    <w:rsid w:val="1AE17EB2"/>
    <w:rsid w:val="1AE4166C"/>
    <w:rsid w:val="1AF06CFB"/>
    <w:rsid w:val="1AF11B8D"/>
    <w:rsid w:val="1AF5570C"/>
    <w:rsid w:val="1B11359C"/>
    <w:rsid w:val="1B2A271F"/>
    <w:rsid w:val="1B2E1D0C"/>
    <w:rsid w:val="1B530544"/>
    <w:rsid w:val="1B713184"/>
    <w:rsid w:val="1BA209CF"/>
    <w:rsid w:val="1BB4777D"/>
    <w:rsid w:val="1BD75AB8"/>
    <w:rsid w:val="1BE96E32"/>
    <w:rsid w:val="1BF27E9D"/>
    <w:rsid w:val="1C0459C2"/>
    <w:rsid w:val="1C0A168B"/>
    <w:rsid w:val="1C1B3B4A"/>
    <w:rsid w:val="1C37598E"/>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31280"/>
    <w:rsid w:val="1E8B6156"/>
    <w:rsid w:val="1EA703CC"/>
    <w:rsid w:val="1EB7330C"/>
    <w:rsid w:val="1F02489B"/>
    <w:rsid w:val="1F0A0FF3"/>
    <w:rsid w:val="1F0B3750"/>
    <w:rsid w:val="1F182311"/>
    <w:rsid w:val="1F5771FF"/>
    <w:rsid w:val="1F7D3F22"/>
    <w:rsid w:val="1F9D6372"/>
    <w:rsid w:val="1FE868A9"/>
    <w:rsid w:val="20034907"/>
    <w:rsid w:val="20173E4B"/>
    <w:rsid w:val="20194AB6"/>
    <w:rsid w:val="201E1010"/>
    <w:rsid w:val="204E48BC"/>
    <w:rsid w:val="206D21E8"/>
    <w:rsid w:val="207922E0"/>
    <w:rsid w:val="208921B3"/>
    <w:rsid w:val="20973DEB"/>
    <w:rsid w:val="20A200E4"/>
    <w:rsid w:val="20B26522"/>
    <w:rsid w:val="20B44310"/>
    <w:rsid w:val="211116EB"/>
    <w:rsid w:val="216058A9"/>
    <w:rsid w:val="216133FC"/>
    <w:rsid w:val="21821CC3"/>
    <w:rsid w:val="21D56769"/>
    <w:rsid w:val="21E52EF3"/>
    <w:rsid w:val="21FB5D7B"/>
    <w:rsid w:val="22015E94"/>
    <w:rsid w:val="220B1C3D"/>
    <w:rsid w:val="221D1D20"/>
    <w:rsid w:val="22334A87"/>
    <w:rsid w:val="229E48DB"/>
    <w:rsid w:val="22BE6801"/>
    <w:rsid w:val="23052BAC"/>
    <w:rsid w:val="233500BF"/>
    <w:rsid w:val="23377FF7"/>
    <w:rsid w:val="236B425F"/>
    <w:rsid w:val="23836192"/>
    <w:rsid w:val="23901F29"/>
    <w:rsid w:val="239C0061"/>
    <w:rsid w:val="23B908A4"/>
    <w:rsid w:val="23D5432C"/>
    <w:rsid w:val="23E95BEF"/>
    <w:rsid w:val="23FD0064"/>
    <w:rsid w:val="241F08AE"/>
    <w:rsid w:val="242F3DD2"/>
    <w:rsid w:val="245375B0"/>
    <w:rsid w:val="24642C0A"/>
    <w:rsid w:val="24B22173"/>
    <w:rsid w:val="24B30B11"/>
    <w:rsid w:val="24B95AD9"/>
    <w:rsid w:val="24BE24DA"/>
    <w:rsid w:val="24CF5825"/>
    <w:rsid w:val="24D663E6"/>
    <w:rsid w:val="24D77F2B"/>
    <w:rsid w:val="24F66C50"/>
    <w:rsid w:val="24F95938"/>
    <w:rsid w:val="2513335E"/>
    <w:rsid w:val="255A71DF"/>
    <w:rsid w:val="25711DDF"/>
    <w:rsid w:val="258B00E2"/>
    <w:rsid w:val="25A917A6"/>
    <w:rsid w:val="25BE27CC"/>
    <w:rsid w:val="25F25669"/>
    <w:rsid w:val="25F74A5C"/>
    <w:rsid w:val="26062EC3"/>
    <w:rsid w:val="2628662C"/>
    <w:rsid w:val="262D45DE"/>
    <w:rsid w:val="26871DC8"/>
    <w:rsid w:val="269E2179"/>
    <w:rsid w:val="26A53EF9"/>
    <w:rsid w:val="26A94201"/>
    <w:rsid w:val="26AC274F"/>
    <w:rsid w:val="26BE379D"/>
    <w:rsid w:val="27044A29"/>
    <w:rsid w:val="270513CC"/>
    <w:rsid w:val="271813DF"/>
    <w:rsid w:val="271D34C8"/>
    <w:rsid w:val="27271343"/>
    <w:rsid w:val="274676FC"/>
    <w:rsid w:val="275F0ADD"/>
    <w:rsid w:val="276142BF"/>
    <w:rsid w:val="27783712"/>
    <w:rsid w:val="27907362"/>
    <w:rsid w:val="27B801ED"/>
    <w:rsid w:val="280451E0"/>
    <w:rsid w:val="28333E1D"/>
    <w:rsid w:val="28454BD6"/>
    <w:rsid w:val="28455253"/>
    <w:rsid w:val="28551971"/>
    <w:rsid w:val="28566EDF"/>
    <w:rsid w:val="285B1C53"/>
    <w:rsid w:val="28706D19"/>
    <w:rsid w:val="28810F26"/>
    <w:rsid w:val="289F7086"/>
    <w:rsid w:val="28BD3A65"/>
    <w:rsid w:val="28C32028"/>
    <w:rsid w:val="28CC490F"/>
    <w:rsid w:val="28CF1C92"/>
    <w:rsid w:val="28DE40AA"/>
    <w:rsid w:val="28ED2118"/>
    <w:rsid w:val="29345E77"/>
    <w:rsid w:val="294C65AD"/>
    <w:rsid w:val="29806583"/>
    <w:rsid w:val="298B3C4C"/>
    <w:rsid w:val="29BF2BB3"/>
    <w:rsid w:val="29C4633F"/>
    <w:rsid w:val="29F26D24"/>
    <w:rsid w:val="2A0D40A5"/>
    <w:rsid w:val="2A15033F"/>
    <w:rsid w:val="2A1662C1"/>
    <w:rsid w:val="2A1C7367"/>
    <w:rsid w:val="2A2815FA"/>
    <w:rsid w:val="2A6D6092"/>
    <w:rsid w:val="2A7D76B4"/>
    <w:rsid w:val="2AD33150"/>
    <w:rsid w:val="2B437463"/>
    <w:rsid w:val="2B7807EE"/>
    <w:rsid w:val="2B861D0B"/>
    <w:rsid w:val="2BA50BF7"/>
    <w:rsid w:val="2BBF00EC"/>
    <w:rsid w:val="2BC37CFD"/>
    <w:rsid w:val="2BD5237F"/>
    <w:rsid w:val="2BE536CE"/>
    <w:rsid w:val="2BE758D9"/>
    <w:rsid w:val="2BFB1B9B"/>
    <w:rsid w:val="2BFF4499"/>
    <w:rsid w:val="2C047EA4"/>
    <w:rsid w:val="2C09049E"/>
    <w:rsid w:val="2C0A653C"/>
    <w:rsid w:val="2C191F85"/>
    <w:rsid w:val="2C9F5E1F"/>
    <w:rsid w:val="2CA64AB8"/>
    <w:rsid w:val="2CB03B88"/>
    <w:rsid w:val="2CE82D6F"/>
    <w:rsid w:val="2D0D2D89"/>
    <w:rsid w:val="2D343236"/>
    <w:rsid w:val="2DAA05D8"/>
    <w:rsid w:val="2DD15014"/>
    <w:rsid w:val="2DEC6E42"/>
    <w:rsid w:val="2DF72DE4"/>
    <w:rsid w:val="2E0220AF"/>
    <w:rsid w:val="2E4B082A"/>
    <w:rsid w:val="2E5D4E86"/>
    <w:rsid w:val="2E5D790B"/>
    <w:rsid w:val="2E9A3C18"/>
    <w:rsid w:val="2EBB0FEE"/>
    <w:rsid w:val="2EC63002"/>
    <w:rsid w:val="2F0A6B38"/>
    <w:rsid w:val="2F4B5DEA"/>
    <w:rsid w:val="2F4D1B62"/>
    <w:rsid w:val="2F946CCB"/>
    <w:rsid w:val="2FC11C09"/>
    <w:rsid w:val="2FD25781"/>
    <w:rsid w:val="2FDC745C"/>
    <w:rsid w:val="2FF81ACE"/>
    <w:rsid w:val="2FFD7934"/>
    <w:rsid w:val="301461DC"/>
    <w:rsid w:val="30444D13"/>
    <w:rsid w:val="30733ACD"/>
    <w:rsid w:val="307742E4"/>
    <w:rsid w:val="308C3862"/>
    <w:rsid w:val="309379D8"/>
    <w:rsid w:val="30A270F7"/>
    <w:rsid w:val="30DF1478"/>
    <w:rsid w:val="30EC586F"/>
    <w:rsid w:val="319C6071"/>
    <w:rsid w:val="31AC537E"/>
    <w:rsid w:val="31B9528D"/>
    <w:rsid w:val="31D3333A"/>
    <w:rsid w:val="31E3679B"/>
    <w:rsid w:val="31E732FD"/>
    <w:rsid w:val="31EE67AC"/>
    <w:rsid w:val="3214607E"/>
    <w:rsid w:val="32517576"/>
    <w:rsid w:val="32853772"/>
    <w:rsid w:val="32B31CDC"/>
    <w:rsid w:val="32BE5C2C"/>
    <w:rsid w:val="32E20814"/>
    <w:rsid w:val="32FB6478"/>
    <w:rsid w:val="33012F73"/>
    <w:rsid w:val="33263B3F"/>
    <w:rsid w:val="332C1A8F"/>
    <w:rsid w:val="333D5A4A"/>
    <w:rsid w:val="33527747"/>
    <w:rsid w:val="336963EB"/>
    <w:rsid w:val="33816EEB"/>
    <w:rsid w:val="339E473B"/>
    <w:rsid w:val="33EB55CD"/>
    <w:rsid w:val="33EC4C02"/>
    <w:rsid w:val="340D2360"/>
    <w:rsid w:val="3410665D"/>
    <w:rsid w:val="341C2C0D"/>
    <w:rsid w:val="34211214"/>
    <w:rsid w:val="342E63AB"/>
    <w:rsid w:val="34645984"/>
    <w:rsid w:val="349456DD"/>
    <w:rsid w:val="34950E68"/>
    <w:rsid w:val="34986E94"/>
    <w:rsid w:val="34AF62C9"/>
    <w:rsid w:val="34CB4388"/>
    <w:rsid w:val="34E33701"/>
    <w:rsid w:val="34FA6E12"/>
    <w:rsid w:val="35415CC5"/>
    <w:rsid w:val="354D7158"/>
    <w:rsid w:val="358D5588"/>
    <w:rsid w:val="359D0A22"/>
    <w:rsid w:val="363A3B40"/>
    <w:rsid w:val="365302AE"/>
    <w:rsid w:val="36607A0A"/>
    <w:rsid w:val="366E227C"/>
    <w:rsid w:val="366F2E0D"/>
    <w:rsid w:val="36714388"/>
    <w:rsid w:val="367B6A5C"/>
    <w:rsid w:val="36A04C6E"/>
    <w:rsid w:val="36A74ADA"/>
    <w:rsid w:val="36AD60D5"/>
    <w:rsid w:val="36B224F9"/>
    <w:rsid w:val="36CA5847"/>
    <w:rsid w:val="36EC0CC9"/>
    <w:rsid w:val="373F410B"/>
    <w:rsid w:val="376B702A"/>
    <w:rsid w:val="37A662B4"/>
    <w:rsid w:val="37C369C1"/>
    <w:rsid w:val="37EE7094"/>
    <w:rsid w:val="38286CC9"/>
    <w:rsid w:val="38296C89"/>
    <w:rsid w:val="383002EB"/>
    <w:rsid w:val="38586797"/>
    <w:rsid w:val="38BC0149"/>
    <w:rsid w:val="38BD38B5"/>
    <w:rsid w:val="38D87D1C"/>
    <w:rsid w:val="39113C01"/>
    <w:rsid w:val="39636459"/>
    <w:rsid w:val="396B7F6C"/>
    <w:rsid w:val="39897C3B"/>
    <w:rsid w:val="398C3287"/>
    <w:rsid w:val="39B417A9"/>
    <w:rsid w:val="39EF2BD6"/>
    <w:rsid w:val="39FC5695"/>
    <w:rsid w:val="3A006D8E"/>
    <w:rsid w:val="3A3651E5"/>
    <w:rsid w:val="3A744481"/>
    <w:rsid w:val="3A8B11F0"/>
    <w:rsid w:val="3A8C7BEF"/>
    <w:rsid w:val="3A906246"/>
    <w:rsid w:val="3B0D21A6"/>
    <w:rsid w:val="3B2349B7"/>
    <w:rsid w:val="3B616CFF"/>
    <w:rsid w:val="3B6259F6"/>
    <w:rsid w:val="3B976654"/>
    <w:rsid w:val="3BC01EFC"/>
    <w:rsid w:val="3BCA786A"/>
    <w:rsid w:val="3BD31E2F"/>
    <w:rsid w:val="3BF15831"/>
    <w:rsid w:val="3C105946"/>
    <w:rsid w:val="3C2854E9"/>
    <w:rsid w:val="3C471448"/>
    <w:rsid w:val="3C5F759A"/>
    <w:rsid w:val="3C6C525A"/>
    <w:rsid w:val="3C776471"/>
    <w:rsid w:val="3CC05722"/>
    <w:rsid w:val="3CCE23CB"/>
    <w:rsid w:val="3CD17D17"/>
    <w:rsid w:val="3D2E5330"/>
    <w:rsid w:val="3D3C7F39"/>
    <w:rsid w:val="3D440F09"/>
    <w:rsid w:val="3D4504A0"/>
    <w:rsid w:val="3D8734BB"/>
    <w:rsid w:val="3D9A11D4"/>
    <w:rsid w:val="3DA16D89"/>
    <w:rsid w:val="3DA364BE"/>
    <w:rsid w:val="3DE041CB"/>
    <w:rsid w:val="3E0D48F6"/>
    <w:rsid w:val="3E1868B4"/>
    <w:rsid w:val="3E2B12C1"/>
    <w:rsid w:val="3E377251"/>
    <w:rsid w:val="3E42664B"/>
    <w:rsid w:val="3E5A7334"/>
    <w:rsid w:val="3E7464B5"/>
    <w:rsid w:val="3E7B5D6B"/>
    <w:rsid w:val="3E843E66"/>
    <w:rsid w:val="3E8F51FE"/>
    <w:rsid w:val="3E926F87"/>
    <w:rsid w:val="3E9A59DE"/>
    <w:rsid w:val="3EAF4836"/>
    <w:rsid w:val="3EC33DFA"/>
    <w:rsid w:val="3EDE6333"/>
    <w:rsid w:val="3F060E16"/>
    <w:rsid w:val="3F122481"/>
    <w:rsid w:val="3F17428F"/>
    <w:rsid w:val="3F1D1096"/>
    <w:rsid w:val="3F2F0234"/>
    <w:rsid w:val="3F6363FE"/>
    <w:rsid w:val="3F756B8F"/>
    <w:rsid w:val="3F95482B"/>
    <w:rsid w:val="3FC56267"/>
    <w:rsid w:val="4019356B"/>
    <w:rsid w:val="403F4FF6"/>
    <w:rsid w:val="404E1296"/>
    <w:rsid w:val="40592157"/>
    <w:rsid w:val="406E1CAE"/>
    <w:rsid w:val="40A0133A"/>
    <w:rsid w:val="40C31A53"/>
    <w:rsid w:val="40C41559"/>
    <w:rsid w:val="40FF545D"/>
    <w:rsid w:val="410067C8"/>
    <w:rsid w:val="41377F7D"/>
    <w:rsid w:val="415A0FC6"/>
    <w:rsid w:val="415A2A55"/>
    <w:rsid w:val="418F0D2A"/>
    <w:rsid w:val="41CC6917"/>
    <w:rsid w:val="41D01505"/>
    <w:rsid w:val="42474939"/>
    <w:rsid w:val="424C3C57"/>
    <w:rsid w:val="42613FF3"/>
    <w:rsid w:val="42660D96"/>
    <w:rsid w:val="42730C32"/>
    <w:rsid w:val="428667D2"/>
    <w:rsid w:val="42CD1CE0"/>
    <w:rsid w:val="42E1381E"/>
    <w:rsid w:val="42ED6459"/>
    <w:rsid w:val="42F26851"/>
    <w:rsid w:val="42FE58DD"/>
    <w:rsid w:val="430F2F5F"/>
    <w:rsid w:val="43174B3D"/>
    <w:rsid w:val="431B5DA8"/>
    <w:rsid w:val="434B790E"/>
    <w:rsid w:val="4360274F"/>
    <w:rsid w:val="437D25BE"/>
    <w:rsid w:val="43977AB6"/>
    <w:rsid w:val="43A3342B"/>
    <w:rsid w:val="43BC4CB6"/>
    <w:rsid w:val="43C77C27"/>
    <w:rsid w:val="43DE09EE"/>
    <w:rsid w:val="44002FAD"/>
    <w:rsid w:val="44281145"/>
    <w:rsid w:val="449101DD"/>
    <w:rsid w:val="449C4CC6"/>
    <w:rsid w:val="44DE1391"/>
    <w:rsid w:val="451B225C"/>
    <w:rsid w:val="452410C9"/>
    <w:rsid w:val="45317DFB"/>
    <w:rsid w:val="455F7AA2"/>
    <w:rsid w:val="456D3CE4"/>
    <w:rsid w:val="4579042C"/>
    <w:rsid w:val="457F0571"/>
    <w:rsid w:val="45851176"/>
    <w:rsid w:val="458A0FC3"/>
    <w:rsid w:val="45A32084"/>
    <w:rsid w:val="45C51FFB"/>
    <w:rsid w:val="45C63B94"/>
    <w:rsid w:val="46023FB8"/>
    <w:rsid w:val="46040D75"/>
    <w:rsid w:val="460E7DA5"/>
    <w:rsid w:val="46422483"/>
    <w:rsid w:val="46560EA5"/>
    <w:rsid w:val="4659254A"/>
    <w:rsid w:val="465B0637"/>
    <w:rsid w:val="465E3F0D"/>
    <w:rsid w:val="466A16E6"/>
    <w:rsid w:val="46893F2B"/>
    <w:rsid w:val="46B6465C"/>
    <w:rsid w:val="46C4686E"/>
    <w:rsid w:val="47280A93"/>
    <w:rsid w:val="473867FC"/>
    <w:rsid w:val="474E7DCE"/>
    <w:rsid w:val="476F66C2"/>
    <w:rsid w:val="477B778F"/>
    <w:rsid w:val="478203EC"/>
    <w:rsid w:val="47B025FA"/>
    <w:rsid w:val="47D77DC3"/>
    <w:rsid w:val="4809698F"/>
    <w:rsid w:val="4811697D"/>
    <w:rsid w:val="487A3E25"/>
    <w:rsid w:val="488B5503"/>
    <w:rsid w:val="48937E21"/>
    <w:rsid w:val="489A0361"/>
    <w:rsid w:val="48B94FF3"/>
    <w:rsid w:val="48E1714C"/>
    <w:rsid w:val="48E37AAB"/>
    <w:rsid w:val="48E56510"/>
    <w:rsid w:val="48EF3D6D"/>
    <w:rsid w:val="48FD4B4C"/>
    <w:rsid w:val="490A68E0"/>
    <w:rsid w:val="491055FE"/>
    <w:rsid w:val="49132CB8"/>
    <w:rsid w:val="49555444"/>
    <w:rsid w:val="495F5B3E"/>
    <w:rsid w:val="496F77D7"/>
    <w:rsid w:val="497654FD"/>
    <w:rsid w:val="49B64211"/>
    <w:rsid w:val="49CD5922"/>
    <w:rsid w:val="49F6167F"/>
    <w:rsid w:val="4A064FA0"/>
    <w:rsid w:val="4A125C97"/>
    <w:rsid w:val="4A16615C"/>
    <w:rsid w:val="4A4424D7"/>
    <w:rsid w:val="4A5E47CC"/>
    <w:rsid w:val="4A8E77DA"/>
    <w:rsid w:val="4AB82D0F"/>
    <w:rsid w:val="4ABB1C1E"/>
    <w:rsid w:val="4AEB7664"/>
    <w:rsid w:val="4AF802B1"/>
    <w:rsid w:val="4AFD7C19"/>
    <w:rsid w:val="4B0567D1"/>
    <w:rsid w:val="4B236AAE"/>
    <w:rsid w:val="4B707271"/>
    <w:rsid w:val="4B8572A9"/>
    <w:rsid w:val="4B8C1BDC"/>
    <w:rsid w:val="4B9739F7"/>
    <w:rsid w:val="4BBA3C84"/>
    <w:rsid w:val="4BEE2503"/>
    <w:rsid w:val="4C1C493F"/>
    <w:rsid w:val="4C245A30"/>
    <w:rsid w:val="4C561BFF"/>
    <w:rsid w:val="4CB6685F"/>
    <w:rsid w:val="4CB84667"/>
    <w:rsid w:val="4CBB7CB4"/>
    <w:rsid w:val="4CC367FE"/>
    <w:rsid w:val="4D077F3C"/>
    <w:rsid w:val="4D0E24D9"/>
    <w:rsid w:val="4D102D7B"/>
    <w:rsid w:val="4D123355"/>
    <w:rsid w:val="4D2A3B31"/>
    <w:rsid w:val="4D312C52"/>
    <w:rsid w:val="4D905305"/>
    <w:rsid w:val="4D964A72"/>
    <w:rsid w:val="4D9C1254"/>
    <w:rsid w:val="4DD75391"/>
    <w:rsid w:val="4DF06083"/>
    <w:rsid w:val="4E105DDD"/>
    <w:rsid w:val="4E1C0C26"/>
    <w:rsid w:val="4E257ADB"/>
    <w:rsid w:val="4E793892"/>
    <w:rsid w:val="4E800872"/>
    <w:rsid w:val="4EC569ED"/>
    <w:rsid w:val="4ED50EA1"/>
    <w:rsid w:val="4EEC050C"/>
    <w:rsid w:val="4F104EC3"/>
    <w:rsid w:val="4F165675"/>
    <w:rsid w:val="4F47354A"/>
    <w:rsid w:val="4F911C54"/>
    <w:rsid w:val="4FE625E0"/>
    <w:rsid w:val="4FEB08B0"/>
    <w:rsid w:val="4FED287A"/>
    <w:rsid w:val="5021480F"/>
    <w:rsid w:val="5038161B"/>
    <w:rsid w:val="5060129E"/>
    <w:rsid w:val="50962ECB"/>
    <w:rsid w:val="50A42E38"/>
    <w:rsid w:val="50A4577F"/>
    <w:rsid w:val="50B73D1F"/>
    <w:rsid w:val="50BD5BC9"/>
    <w:rsid w:val="50C11EEE"/>
    <w:rsid w:val="50E27F05"/>
    <w:rsid w:val="50E97CFC"/>
    <w:rsid w:val="50FA4028"/>
    <w:rsid w:val="510D65B7"/>
    <w:rsid w:val="511157AB"/>
    <w:rsid w:val="5142540C"/>
    <w:rsid w:val="518832C8"/>
    <w:rsid w:val="519D3C50"/>
    <w:rsid w:val="51A0432A"/>
    <w:rsid w:val="51A27694"/>
    <w:rsid w:val="51A86090"/>
    <w:rsid w:val="51B7396D"/>
    <w:rsid w:val="52077FA0"/>
    <w:rsid w:val="522E4CC3"/>
    <w:rsid w:val="5244713B"/>
    <w:rsid w:val="52615633"/>
    <w:rsid w:val="526F4DE4"/>
    <w:rsid w:val="52977FD4"/>
    <w:rsid w:val="52A25790"/>
    <w:rsid w:val="52A96B6F"/>
    <w:rsid w:val="52AA6800"/>
    <w:rsid w:val="52B45975"/>
    <w:rsid w:val="52D94AA4"/>
    <w:rsid w:val="52EA3A62"/>
    <w:rsid w:val="52F50BB8"/>
    <w:rsid w:val="53097272"/>
    <w:rsid w:val="53544462"/>
    <w:rsid w:val="5397158E"/>
    <w:rsid w:val="54013861"/>
    <w:rsid w:val="54487265"/>
    <w:rsid w:val="5449029B"/>
    <w:rsid w:val="544D6070"/>
    <w:rsid w:val="54605E1E"/>
    <w:rsid w:val="547A7572"/>
    <w:rsid w:val="54A47F71"/>
    <w:rsid w:val="54B3506A"/>
    <w:rsid w:val="54CA0D16"/>
    <w:rsid w:val="54DD4057"/>
    <w:rsid w:val="54E7490F"/>
    <w:rsid w:val="550764A4"/>
    <w:rsid w:val="550B2BF6"/>
    <w:rsid w:val="55214EB5"/>
    <w:rsid w:val="55364EFD"/>
    <w:rsid w:val="55552C0B"/>
    <w:rsid w:val="555D4828"/>
    <w:rsid w:val="557A4C8B"/>
    <w:rsid w:val="558931E1"/>
    <w:rsid w:val="55923347"/>
    <w:rsid w:val="55925180"/>
    <w:rsid w:val="55983B1B"/>
    <w:rsid w:val="55A8376B"/>
    <w:rsid w:val="55A94C63"/>
    <w:rsid w:val="55DC29B6"/>
    <w:rsid w:val="55DD4241"/>
    <w:rsid w:val="56066443"/>
    <w:rsid w:val="562C6B11"/>
    <w:rsid w:val="566118CC"/>
    <w:rsid w:val="566B6D1E"/>
    <w:rsid w:val="56D54068"/>
    <w:rsid w:val="56F72230"/>
    <w:rsid w:val="57032A2C"/>
    <w:rsid w:val="570F5219"/>
    <w:rsid w:val="575D12B5"/>
    <w:rsid w:val="57610A87"/>
    <w:rsid w:val="577B1140"/>
    <w:rsid w:val="577B7F21"/>
    <w:rsid w:val="577F181B"/>
    <w:rsid w:val="57921984"/>
    <w:rsid w:val="579730CB"/>
    <w:rsid w:val="579737F0"/>
    <w:rsid w:val="57AB7B30"/>
    <w:rsid w:val="57AF5251"/>
    <w:rsid w:val="57B26373"/>
    <w:rsid w:val="57B63F04"/>
    <w:rsid w:val="57CD20C2"/>
    <w:rsid w:val="57D675AB"/>
    <w:rsid w:val="57D95FDD"/>
    <w:rsid w:val="58472D43"/>
    <w:rsid w:val="58917D2F"/>
    <w:rsid w:val="5894085C"/>
    <w:rsid w:val="58AE4F0C"/>
    <w:rsid w:val="58B85899"/>
    <w:rsid w:val="58DE5456"/>
    <w:rsid w:val="58E363A9"/>
    <w:rsid w:val="58E660B8"/>
    <w:rsid w:val="58F46A27"/>
    <w:rsid w:val="595E1678"/>
    <w:rsid w:val="596D5BD4"/>
    <w:rsid w:val="597E3DD8"/>
    <w:rsid w:val="59BE6C04"/>
    <w:rsid w:val="59D2663D"/>
    <w:rsid w:val="59F80043"/>
    <w:rsid w:val="5A074538"/>
    <w:rsid w:val="5A09252F"/>
    <w:rsid w:val="5A0B2778"/>
    <w:rsid w:val="5A2A7C7B"/>
    <w:rsid w:val="5A3E2560"/>
    <w:rsid w:val="5A5D3B6E"/>
    <w:rsid w:val="5A637A76"/>
    <w:rsid w:val="5A6D33BA"/>
    <w:rsid w:val="5A792B1F"/>
    <w:rsid w:val="5A821E11"/>
    <w:rsid w:val="5A874767"/>
    <w:rsid w:val="5AA85BE2"/>
    <w:rsid w:val="5AAD6F28"/>
    <w:rsid w:val="5AD63A24"/>
    <w:rsid w:val="5B0E6829"/>
    <w:rsid w:val="5B2E1A1D"/>
    <w:rsid w:val="5B843A1C"/>
    <w:rsid w:val="5B873E3F"/>
    <w:rsid w:val="5BC22E0D"/>
    <w:rsid w:val="5BDB3ECE"/>
    <w:rsid w:val="5BEA4111"/>
    <w:rsid w:val="5C02690E"/>
    <w:rsid w:val="5C196DA7"/>
    <w:rsid w:val="5C2A048C"/>
    <w:rsid w:val="5C80234E"/>
    <w:rsid w:val="5C8A680C"/>
    <w:rsid w:val="5CBE269B"/>
    <w:rsid w:val="5CF64305"/>
    <w:rsid w:val="5D0C4701"/>
    <w:rsid w:val="5D0F0395"/>
    <w:rsid w:val="5D221076"/>
    <w:rsid w:val="5D397964"/>
    <w:rsid w:val="5D59154F"/>
    <w:rsid w:val="5D5A391C"/>
    <w:rsid w:val="5D5F10C0"/>
    <w:rsid w:val="5D881E34"/>
    <w:rsid w:val="5D891B7B"/>
    <w:rsid w:val="5D942587"/>
    <w:rsid w:val="5DAD38EE"/>
    <w:rsid w:val="5DB46785"/>
    <w:rsid w:val="5DFD637E"/>
    <w:rsid w:val="5E006862"/>
    <w:rsid w:val="5E0207B9"/>
    <w:rsid w:val="5E1834A1"/>
    <w:rsid w:val="5E261785"/>
    <w:rsid w:val="5E437B09"/>
    <w:rsid w:val="5E4A7017"/>
    <w:rsid w:val="5E552BBA"/>
    <w:rsid w:val="5E611C10"/>
    <w:rsid w:val="5E7A0F3F"/>
    <w:rsid w:val="5E8C1D37"/>
    <w:rsid w:val="5E8E5228"/>
    <w:rsid w:val="5EB804F7"/>
    <w:rsid w:val="5EE72B8A"/>
    <w:rsid w:val="5EFC7377"/>
    <w:rsid w:val="5F06174D"/>
    <w:rsid w:val="5F3A3602"/>
    <w:rsid w:val="5F45733B"/>
    <w:rsid w:val="5F6277C6"/>
    <w:rsid w:val="5F6D0B1D"/>
    <w:rsid w:val="5F6E5059"/>
    <w:rsid w:val="5F8D0B82"/>
    <w:rsid w:val="5FBA3DFB"/>
    <w:rsid w:val="5FCC5339"/>
    <w:rsid w:val="5FD96977"/>
    <w:rsid w:val="5FE34A5B"/>
    <w:rsid w:val="5FEA46E0"/>
    <w:rsid w:val="5FFE1E36"/>
    <w:rsid w:val="60232584"/>
    <w:rsid w:val="60567FC7"/>
    <w:rsid w:val="607330CE"/>
    <w:rsid w:val="60825176"/>
    <w:rsid w:val="608E53F7"/>
    <w:rsid w:val="609F2AC4"/>
    <w:rsid w:val="60FA2EE8"/>
    <w:rsid w:val="61054A27"/>
    <w:rsid w:val="610A52BC"/>
    <w:rsid w:val="611D2366"/>
    <w:rsid w:val="613F280A"/>
    <w:rsid w:val="61421856"/>
    <w:rsid w:val="614B5652"/>
    <w:rsid w:val="615227C4"/>
    <w:rsid w:val="61606C47"/>
    <w:rsid w:val="61654E3F"/>
    <w:rsid w:val="616615DF"/>
    <w:rsid w:val="6182292A"/>
    <w:rsid w:val="619F7F92"/>
    <w:rsid w:val="61BA4976"/>
    <w:rsid w:val="61F47A98"/>
    <w:rsid w:val="61F94C26"/>
    <w:rsid w:val="62000E56"/>
    <w:rsid w:val="624F3E49"/>
    <w:rsid w:val="62632286"/>
    <w:rsid w:val="62885958"/>
    <w:rsid w:val="62A80882"/>
    <w:rsid w:val="62D52D32"/>
    <w:rsid w:val="62F12229"/>
    <w:rsid w:val="62F40B65"/>
    <w:rsid w:val="62FC2CFE"/>
    <w:rsid w:val="63024505"/>
    <w:rsid w:val="632D11C2"/>
    <w:rsid w:val="635600A5"/>
    <w:rsid w:val="635B1DB5"/>
    <w:rsid w:val="63711FED"/>
    <w:rsid w:val="63880DDC"/>
    <w:rsid w:val="638D750D"/>
    <w:rsid w:val="63AC6CC0"/>
    <w:rsid w:val="64055776"/>
    <w:rsid w:val="64240056"/>
    <w:rsid w:val="643E143A"/>
    <w:rsid w:val="64491666"/>
    <w:rsid w:val="648B6EEF"/>
    <w:rsid w:val="64C158BF"/>
    <w:rsid w:val="64CE2EAA"/>
    <w:rsid w:val="65044496"/>
    <w:rsid w:val="653C3090"/>
    <w:rsid w:val="65710FFE"/>
    <w:rsid w:val="65854376"/>
    <w:rsid w:val="658767BE"/>
    <w:rsid w:val="65892531"/>
    <w:rsid w:val="65B47BFE"/>
    <w:rsid w:val="66195831"/>
    <w:rsid w:val="662E75B1"/>
    <w:rsid w:val="66342C2E"/>
    <w:rsid w:val="663E784C"/>
    <w:rsid w:val="66456B14"/>
    <w:rsid w:val="666164A5"/>
    <w:rsid w:val="66751F24"/>
    <w:rsid w:val="668B6A45"/>
    <w:rsid w:val="669E4476"/>
    <w:rsid w:val="66DC6D4D"/>
    <w:rsid w:val="672F3F24"/>
    <w:rsid w:val="6736247A"/>
    <w:rsid w:val="673E055F"/>
    <w:rsid w:val="67551CE3"/>
    <w:rsid w:val="67902011"/>
    <w:rsid w:val="67A22552"/>
    <w:rsid w:val="67B22DCC"/>
    <w:rsid w:val="67BE71AA"/>
    <w:rsid w:val="67C1666E"/>
    <w:rsid w:val="67D90273"/>
    <w:rsid w:val="67DE5875"/>
    <w:rsid w:val="67E55852"/>
    <w:rsid w:val="67EB1AB4"/>
    <w:rsid w:val="67FA1285"/>
    <w:rsid w:val="68551F4F"/>
    <w:rsid w:val="687C10C9"/>
    <w:rsid w:val="68840C16"/>
    <w:rsid w:val="68876EFB"/>
    <w:rsid w:val="68884654"/>
    <w:rsid w:val="689F444F"/>
    <w:rsid w:val="68B96DBB"/>
    <w:rsid w:val="68CA2805"/>
    <w:rsid w:val="68DC4DE2"/>
    <w:rsid w:val="68E937A3"/>
    <w:rsid w:val="693E15D3"/>
    <w:rsid w:val="69627681"/>
    <w:rsid w:val="6977531D"/>
    <w:rsid w:val="69894F6A"/>
    <w:rsid w:val="69CC2BFF"/>
    <w:rsid w:val="69CE65A8"/>
    <w:rsid w:val="69E93C5A"/>
    <w:rsid w:val="69FD55B8"/>
    <w:rsid w:val="6A0740E0"/>
    <w:rsid w:val="6A0B1C62"/>
    <w:rsid w:val="6A1F142A"/>
    <w:rsid w:val="6A2406C8"/>
    <w:rsid w:val="6ADE0BD1"/>
    <w:rsid w:val="6AE96859"/>
    <w:rsid w:val="6B0D1BCA"/>
    <w:rsid w:val="6B147746"/>
    <w:rsid w:val="6B24787C"/>
    <w:rsid w:val="6B573233"/>
    <w:rsid w:val="6B5B6274"/>
    <w:rsid w:val="6B685053"/>
    <w:rsid w:val="6B8579B3"/>
    <w:rsid w:val="6B935D53"/>
    <w:rsid w:val="6C196F71"/>
    <w:rsid w:val="6C226FCB"/>
    <w:rsid w:val="6C31226F"/>
    <w:rsid w:val="6C552F0B"/>
    <w:rsid w:val="6C8B464E"/>
    <w:rsid w:val="6C8C67B7"/>
    <w:rsid w:val="6C9D744C"/>
    <w:rsid w:val="6CA675F0"/>
    <w:rsid w:val="6CCB7647"/>
    <w:rsid w:val="6CEE3336"/>
    <w:rsid w:val="6CF44DF0"/>
    <w:rsid w:val="6D167928"/>
    <w:rsid w:val="6D26299B"/>
    <w:rsid w:val="6D4772EC"/>
    <w:rsid w:val="6D7640A6"/>
    <w:rsid w:val="6D9078AF"/>
    <w:rsid w:val="6DAA3FEF"/>
    <w:rsid w:val="6DB4632D"/>
    <w:rsid w:val="6DC0172B"/>
    <w:rsid w:val="6DCB690C"/>
    <w:rsid w:val="6DD41A5B"/>
    <w:rsid w:val="6DD673C5"/>
    <w:rsid w:val="6DF43C2E"/>
    <w:rsid w:val="6DF51CA3"/>
    <w:rsid w:val="6E680311"/>
    <w:rsid w:val="6E8335BD"/>
    <w:rsid w:val="6E8E12EF"/>
    <w:rsid w:val="6E972936"/>
    <w:rsid w:val="6ED446C5"/>
    <w:rsid w:val="6F190B3E"/>
    <w:rsid w:val="6F2A7D94"/>
    <w:rsid w:val="6F8331F1"/>
    <w:rsid w:val="6FAE1A09"/>
    <w:rsid w:val="6FC7059A"/>
    <w:rsid w:val="6FCF56A0"/>
    <w:rsid w:val="6FD75BF8"/>
    <w:rsid w:val="6FEA072C"/>
    <w:rsid w:val="702A1E44"/>
    <w:rsid w:val="707723D0"/>
    <w:rsid w:val="709073B0"/>
    <w:rsid w:val="70C57A65"/>
    <w:rsid w:val="70F5661B"/>
    <w:rsid w:val="71211F2C"/>
    <w:rsid w:val="71237A52"/>
    <w:rsid w:val="71360107"/>
    <w:rsid w:val="713B688E"/>
    <w:rsid w:val="71804EA4"/>
    <w:rsid w:val="71D43752"/>
    <w:rsid w:val="71F1796A"/>
    <w:rsid w:val="72154626"/>
    <w:rsid w:val="72192C03"/>
    <w:rsid w:val="721F3278"/>
    <w:rsid w:val="72262B5D"/>
    <w:rsid w:val="72283FF7"/>
    <w:rsid w:val="722E7212"/>
    <w:rsid w:val="723A0474"/>
    <w:rsid w:val="72572841"/>
    <w:rsid w:val="725923E4"/>
    <w:rsid w:val="727D7636"/>
    <w:rsid w:val="72864BF7"/>
    <w:rsid w:val="72880622"/>
    <w:rsid w:val="729023FC"/>
    <w:rsid w:val="73337C0A"/>
    <w:rsid w:val="73561E8C"/>
    <w:rsid w:val="735F4F8D"/>
    <w:rsid w:val="738549F4"/>
    <w:rsid w:val="739F35DC"/>
    <w:rsid w:val="73C0646E"/>
    <w:rsid w:val="73C117A4"/>
    <w:rsid w:val="73EA4857"/>
    <w:rsid w:val="73EA5D66"/>
    <w:rsid w:val="742222F5"/>
    <w:rsid w:val="7426061C"/>
    <w:rsid w:val="74476126"/>
    <w:rsid w:val="74706664"/>
    <w:rsid w:val="747F3682"/>
    <w:rsid w:val="749C4185"/>
    <w:rsid w:val="74FD2BE4"/>
    <w:rsid w:val="75067759"/>
    <w:rsid w:val="752E6DCD"/>
    <w:rsid w:val="7551380D"/>
    <w:rsid w:val="75600BE5"/>
    <w:rsid w:val="7564475C"/>
    <w:rsid w:val="7583797F"/>
    <w:rsid w:val="75D20F1D"/>
    <w:rsid w:val="75DA2C18"/>
    <w:rsid w:val="75E023B5"/>
    <w:rsid w:val="75EB0D5A"/>
    <w:rsid w:val="75F54412"/>
    <w:rsid w:val="761D08E0"/>
    <w:rsid w:val="765D347C"/>
    <w:rsid w:val="76826699"/>
    <w:rsid w:val="76976CAD"/>
    <w:rsid w:val="76C53359"/>
    <w:rsid w:val="76C87133"/>
    <w:rsid w:val="76CD08D5"/>
    <w:rsid w:val="76D17F50"/>
    <w:rsid w:val="76DB4B92"/>
    <w:rsid w:val="77052AA4"/>
    <w:rsid w:val="77136511"/>
    <w:rsid w:val="77340A39"/>
    <w:rsid w:val="77351FD0"/>
    <w:rsid w:val="77472422"/>
    <w:rsid w:val="777F31F2"/>
    <w:rsid w:val="77D1700D"/>
    <w:rsid w:val="77EC04CC"/>
    <w:rsid w:val="780B2500"/>
    <w:rsid w:val="78775729"/>
    <w:rsid w:val="788646EF"/>
    <w:rsid w:val="78A31478"/>
    <w:rsid w:val="78A42DB0"/>
    <w:rsid w:val="78A656AB"/>
    <w:rsid w:val="78B2245C"/>
    <w:rsid w:val="78E172CC"/>
    <w:rsid w:val="78EA1D1F"/>
    <w:rsid w:val="7904172F"/>
    <w:rsid w:val="790F7E27"/>
    <w:rsid w:val="791B54B2"/>
    <w:rsid w:val="792A231A"/>
    <w:rsid w:val="79316829"/>
    <w:rsid w:val="79386762"/>
    <w:rsid w:val="797E66A9"/>
    <w:rsid w:val="798518A4"/>
    <w:rsid w:val="79A97383"/>
    <w:rsid w:val="79E27E8B"/>
    <w:rsid w:val="79F850CE"/>
    <w:rsid w:val="79FD443C"/>
    <w:rsid w:val="7A1D1975"/>
    <w:rsid w:val="7A3E5150"/>
    <w:rsid w:val="7A4670D6"/>
    <w:rsid w:val="7A526DB4"/>
    <w:rsid w:val="7A534B63"/>
    <w:rsid w:val="7A615382"/>
    <w:rsid w:val="7A67303B"/>
    <w:rsid w:val="7A6A4943"/>
    <w:rsid w:val="7AAB1D04"/>
    <w:rsid w:val="7ABA4368"/>
    <w:rsid w:val="7AD05746"/>
    <w:rsid w:val="7B257FFD"/>
    <w:rsid w:val="7B343476"/>
    <w:rsid w:val="7B5A2978"/>
    <w:rsid w:val="7B5A7E4C"/>
    <w:rsid w:val="7B667AF9"/>
    <w:rsid w:val="7B7468F8"/>
    <w:rsid w:val="7B89704B"/>
    <w:rsid w:val="7BA63759"/>
    <w:rsid w:val="7BEE0103"/>
    <w:rsid w:val="7C0A0FE4"/>
    <w:rsid w:val="7C1A5EF5"/>
    <w:rsid w:val="7C254906"/>
    <w:rsid w:val="7C590818"/>
    <w:rsid w:val="7C7C10F6"/>
    <w:rsid w:val="7C853BEA"/>
    <w:rsid w:val="7C881368"/>
    <w:rsid w:val="7CE27788"/>
    <w:rsid w:val="7D0C32F1"/>
    <w:rsid w:val="7D0F408D"/>
    <w:rsid w:val="7D491C6C"/>
    <w:rsid w:val="7D5429C0"/>
    <w:rsid w:val="7D6E6D43"/>
    <w:rsid w:val="7DB57A34"/>
    <w:rsid w:val="7DE60973"/>
    <w:rsid w:val="7DEF0916"/>
    <w:rsid w:val="7E094473"/>
    <w:rsid w:val="7E1E5218"/>
    <w:rsid w:val="7E9A4E1F"/>
    <w:rsid w:val="7EA7723A"/>
    <w:rsid w:val="7EF56FBB"/>
    <w:rsid w:val="7F0768EB"/>
    <w:rsid w:val="7F143BEC"/>
    <w:rsid w:val="7F2826D7"/>
    <w:rsid w:val="7F49785A"/>
    <w:rsid w:val="7F4A728E"/>
    <w:rsid w:val="7F715AF2"/>
    <w:rsid w:val="7F886E69"/>
    <w:rsid w:val="BB7FA927"/>
    <w:rsid w:val="F5FFD31F"/>
    <w:rsid w:val="FF7C0AB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1"/>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83"/>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86"/>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80"/>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87"/>
    <w:autoRedefine/>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88"/>
    <w:qFormat/>
    <w:uiPriority w:val="0"/>
    <w:pPr>
      <w:shd w:val="clear" w:color="auto" w:fill="000080"/>
    </w:pPr>
  </w:style>
  <w:style w:type="paragraph" w:styleId="19">
    <w:name w:val="annotation text"/>
    <w:basedOn w:val="1"/>
    <w:link w:val="89"/>
    <w:autoRedefine/>
    <w:qFormat/>
    <w:uiPriority w:val="99"/>
    <w:pPr>
      <w:jc w:val="left"/>
    </w:pPr>
  </w:style>
  <w:style w:type="paragraph" w:styleId="20">
    <w:name w:val="Salutation"/>
    <w:basedOn w:val="1"/>
    <w:next w:val="1"/>
    <w:link w:val="90"/>
    <w:qFormat/>
    <w:uiPriority w:val="0"/>
    <w:rPr>
      <w:rFonts w:ascii="仿宋_GB2312" w:eastAsia="仿宋_GB2312"/>
      <w:sz w:val="28"/>
      <w:szCs w:val="20"/>
    </w:rPr>
  </w:style>
  <w:style w:type="paragraph" w:styleId="21">
    <w:name w:val="Body Text 3"/>
    <w:basedOn w:val="1"/>
    <w:link w:val="91"/>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92"/>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93"/>
    <w:qFormat/>
    <w:uiPriority w:val="0"/>
    <w:pPr>
      <w:ind w:firstLine="420"/>
    </w:pPr>
    <w:rPr>
      <w:rFonts w:hAnsi="Calibri" w:cs="Times New Roman"/>
      <w:snapToGrid/>
      <w:szCs w:val="20"/>
    </w:rPr>
  </w:style>
  <w:style w:type="paragraph" w:styleId="25">
    <w:name w:val="toc 6"/>
    <w:basedOn w:val="1"/>
    <w:next w:val="1"/>
    <w:autoRedefine/>
    <w:qFormat/>
    <w:uiPriority w:val="0"/>
    <w:pPr>
      <w:ind w:left="2100" w:leftChars="1000"/>
    </w:pPr>
  </w:style>
  <w:style w:type="paragraph" w:styleId="26">
    <w:name w:val="Body Text Indent"/>
    <w:basedOn w:val="1"/>
    <w:link w:val="94"/>
    <w:autoRedefine/>
    <w:qFormat/>
    <w:uiPriority w:val="0"/>
    <w:pPr>
      <w:spacing w:line="480" w:lineRule="exact"/>
      <w:ind w:firstLine="480" w:firstLineChars="200"/>
    </w:pPr>
    <w:rPr>
      <w:rFonts w:ascii="宋体" w:hAnsi="宋体"/>
      <w:sz w:val="24"/>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95"/>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96"/>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97"/>
    <w:autoRedefine/>
    <w:qFormat/>
    <w:uiPriority w:val="0"/>
    <w:pPr>
      <w:ind w:left="100" w:leftChars="2500"/>
    </w:pPr>
    <w:rPr>
      <w:rFonts w:ascii="宋体"/>
      <w:sz w:val="24"/>
      <w:szCs w:val="21"/>
      <w:lang w:val="zh-CN"/>
    </w:rPr>
  </w:style>
  <w:style w:type="paragraph" w:styleId="38">
    <w:name w:val="Body Text Indent 2"/>
    <w:basedOn w:val="1"/>
    <w:link w:val="98"/>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9"/>
    <w:autoRedefine/>
    <w:qFormat/>
    <w:uiPriority w:val="0"/>
    <w:rPr>
      <w:lang w:val="zh-CN"/>
    </w:rPr>
  </w:style>
  <w:style w:type="paragraph" w:styleId="40">
    <w:name w:val="Balloon Text"/>
    <w:basedOn w:val="1"/>
    <w:link w:val="100"/>
    <w:qFormat/>
    <w:uiPriority w:val="0"/>
    <w:rPr>
      <w:sz w:val="18"/>
      <w:szCs w:val="18"/>
    </w:rPr>
  </w:style>
  <w:style w:type="paragraph" w:styleId="41">
    <w:name w:val="footer"/>
    <w:basedOn w:val="1"/>
    <w:link w:val="101"/>
    <w:autoRedefine/>
    <w:qFormat/>
    <w:uiPriority w:val="99"/>
    <w:pPr>
      <w:tabs>
        <w:tab w:val="center" w:pos="4153"/>
        <w:tab w:val="right" w:pos="8306"/>
      </w:tabs>
      <w:snapToGrid w:val="0"/>
      <w:jc w:val="left"/>
    </w:pPr>
    <w:rPr>
      <w:sz w:val="18"/>
      <w:szCs w:val="18"/>
    </w:rPr>
  </w:style>
  <w:style w:type="paragraph" w:styleId="42">
    <w:name w:val="header"/>
    <w:basedOn w:val="1"/>
    <w:link w:val="102"/>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103"/>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0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5"/>
    <w:link w:val="105"/>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106"/>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107"/>
    <w:autoRedefine/>
    <w:qFormat/>
    <w:uiPriority w:val="0"/>
    <w:pPr>
      <w:spacing w:after="120" w:line="480" w:lineRule="auto"/>
    </w:pPr>
  </w:style>
  <w:style w:type="paragraph" w:styleId="57">
    <w:name w:val="HTML Preformatted"/>
    <w:basedOn w:val="1"/>
    <w:link w:val="10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109"/>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10"/>
    <w:autoRedefine/>
    <w:qFormat/>
    <w:uiPriority w:val="0"/>
    <w:rPr>
      <w:b/>
      <w:bCs/>
    </w:rPr>
  </w:style>
  <w:style w:type="paragraph" w:styleId="61">
    <w:name w:val="Body Text First Indent 2"/>
    <w:basedOn w:val="26"/>
    <w:link w:val="111"/>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character" w:customStyle="1" w:styleId="79">
    <w:name w:val="标题 1 字符1"/>
    <w:link w:val="3"/>
    <w:autoRedefine/>
    <w:qFormat/>
    <w:uiPriority w:val="9"/>
    <w:rPr>
      <w:b/>
      <w:bCs/>
      <w:kern w:val="44"/>
      <w:sz w:val="44"/>
      <w:szCs w:val="44"/>
    </w:rPr>
  </w:style>
  <w:style w:type="character" w:customStyle="1" w:styleId="80">
    <w:name w:val="正文缩进 字符2"/>
    <w:link w:val="5"/>
    <w:autoRedefine/>
    <w:qFormat/>
    <w:uiPriority w:val="0"/>
    <w:rPr>
      <w:rFonts w:ascii="宋体" w:eastAsia="宋体"/>
      <w:snapToGrid w:val="0"/>
      <w:color w:val="000000"/>
      <w:kern w:val="28"/>
      <w:sz w:val="28"/>
      <w:lang w:val="en-US" w:eastAsia="zh-CN" w:bidi="ar-SA"/>
    </w:rPr>
  </w:style>
  <w:style w:type="character" w:customStyle="1" w:styleId="81">
    <w:name w:val="标题 4 字符1"/>
    <w:link w:val="6"/>
    <w:autoRedefine/>
    <w:qFormat/>
    <w:uiPriority w:val="9"/>
    <w:rPr>
      <w:rFonts w:ascii="Arial" w:hAnsi="Arial" w:eastAsia="黑体"/>
      <w:b/>
      <w:bCs/>
      <w:kern w:val="2"/>
      <w:sz w:val="28"/>
      <w:szCs w:val="28"/>
      <w:lang w:val="zh-CN"/>
    </w:rPr>
  </w:style>
  <w:style w:type="character" w:customStyle="1" w:styleId="82">
    <w:name w:val="标题 5 字符"/>
    <w:link w:val="7"/>
    <w:autoRedefine/>
    <w:qFormat/>
    <w:uiPriority w:val="9"/>
    <w:rPr>
      <w:b/>
      <w:bCs/>
      <w:kern w:val="2"/>
      <w:sz w:val="28"/>
      <w:szCs w:val="28"/>
    </w:rPr>
  </w:style>
  <w:style w:type="character" w:customStyle="1" w:styleId="83">
    <w:name w:val="标题 6 字符"/>
    <w:link w:val="8"/>
    <w:autoRedefine/>
    <w:qFormat/>
    <w:uiPriority w:val="0"/>
    <w:rPr>
      <w:rFonts w:ascii="Arial" w:hAnsi="Arial" w:eastAsia="黑体"/>
      <w:b/>
      <w:bCs/>
      <w:kern w:val="2"/>
      <w:sz w:val="24"/>
      <w:szCs w:val="24"/>
    </w:rPr>
  </w:style>
  <w:style w:type="character" w:customStyle="1" w:styleId="84">
    <w:name w:val="标题 7 字符"/>
    <w:link w:val="9"/>
    <w:autoRedefine/>
    <w:qFormat/>
    <w:uiPriority w:val="0"/>
    <w:rPr>
      <w:b/>
      <w:bCs/>
      <w:kern w:val="2"/>
      <w:sz w:val="24"/>
      <w:szCs w:val="24"/>
    </w:rPr>
  </w:style>
  <w:style w:type="character" w:customStyle="1" w:styleId="85">
    <w:name w:val="标题 8 字符"/>
    <w:link w:val="10"/>
    <w:autoRedefine/>
    <w:qFormat/>
    <w:uiPriority w:val="0"/>
    <w:rPr>
      <w:rFonts w:ascii="Arial" w:hAnsi="Arial" w:eastAsia="黑体"/>
      <w:kern w:val="2"/>
      <w:sz w:val="24"/>
      <w:szCs w:val="24"/>
    </w:rPr>
  </w:style>
  <w:style w:type="character" w:customStyle="1" w:styleId="86">
    <w:name w:val="标题 9 字符"/>
    <w:link w:val="11"/>
    <w:autoRedefine/>
    <w:qFormat/>
    <w:uiPriority w:val="0"/>
    <w:rPr>
      <w:rFonts w:ascii="Arial" w:hAnsi="Arial" w:eastAsia="黑体"/>
      <w:kern w:val="2"/>
      <w:sz w:val="21"/>
      <w:szCs w:val="21"/>
    </w:rPr>
  </w:style>
  <w:style w:type="character" w:customStyle="1" w:styleId="87">
    <w:name w:val="题注 字符"/>
    <w:link w:val="16"/>
    <w:autoRedefine/>
    <w:qFormat/>
    <w:uiPriority w:val="0"/>
    <w:rPr>
      <w:b/>
      <w:kern w:val="2"/>
      <w:sz w:val="28"/>
    </w:rPr>
  </w:style>
  <w:style w:type="character" w:customStyle="1" w:styleId="88">
    <w:name w:val="文档结构图 字符"/>
    <w:link w:val="18"/>
    <w:autoRedefine/>
    <w:qFormat/>
    <w:uiPriority w:val="0"/>
    <w:rPr>
      <w:kern w:val="2"/>
      <w:sz w:val="21"/>
      <w:szCs w:val="24"/>
      <w:shd w:val="clear" w:color="auto" w:fill="000080"/>
    </w:rPr>
  </w:style>
  <w:style w:type="character" w:customStyle="1" w:styleId="89">
    <w:name w:val="批注文字 字符1"/>
    <w:link w:val="19"/>
    <w:autoRedefine/>
    <w:qFormat/>
    <w:uiPriority w:val="99"/>
    <w:rPr>
      <w:kern w:val="2"/>
      <w:sz w:val="21"/>
      <w:szCs w:val="24"/>
    </w:rPr>
  </w:style>
  <w:style w:type="character" w:customStyle="1" w:styleId="90">
    <w:name w:val="称呼 字符"/>
    <w:link w:val="20"/>
    <w:autoRedefine/>
    <w:qFormat/>
    <w:uiPriority w:val="0"/>
    <w:rPr>
      <w:rFonts w:ascii="仿宋_GB2312" w:eastAsia="仿宋_GB2312"/>
      <w:kern w:val="2"/>
      <w:sz w:val="28"/>
    </w:rPr>
  </w:style>
  <w:style w:type="character" w:customStyle="1" w:styleId="91">
    <w:name w:val="正文文本 3 字符"/>
    <w:link w:val="21"/>
    <w:autoRedefine/>
    <w:qFormat/>
    <w:uiPriority w:val="0"/>
    <w:rPr>
      <w:kern w:val="2"/>
      <w:sz w:val="21"/>
    </w:rPr>
  </w:style>
  <w:style w:type="character" w:customStyle="1" w:styleId="92">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93">
    <w:name w:val="正文文本首行缩进 字符"/>
    <w:link w:val="24"/>
    <w:autoRedefine/>
    <w:qFormat/>
    <w:uiPriority w:val="0"/>
    <w:rPr>
      <w:rFonts w:ascii="宋体"/>
      <w:kern w:val="2"/>
      <w:sz w:val="24"/>
      <w:lang w:val="zh-CN"/>
    </w:rPr>
  </w:style>
  <w:style w:type="character" w:customStyle="1" w:styleId="94">
    <w:name w:val="正文文本缩进 字符1"/>
    <w:link w:val="26"/>
    <w:autoRedefine/>
    <w:qFormat/>
    <w:uiPriority w:val="0"/>
    <w:rPr>
      <w:rFonts w:ascii="宋体" w:hAnsi="宋体"/>
      <w:kern w:val="2"/>
      <w:sz w:val="24"/>
      <w:szCs w:val="24"/>
    </w:rPr>
  </w:style>
  <w:style w:type="character" w:customStyle="1" w:styleId="95">
    <w:name w:val="HTML 地址 字符"/>
    <w:link w:val="31"/>
    <w:autoRedefine/>
    <w:qFormat/>
    <w:uiPriority w:val="0"/>
    <w:rPr>
      <w:rFonts w:ascii="宋体" w:hAnsi="宋体"/>
      <w:i/>
      <w:iCs/>
      <w:sz w:val="24"/>
      <w:szCs w:val="24"/>
    </w:rPr>
  </w:style>
  <w:style w:type="character" w:customStyle="1" w:styleId="96">
    <w:name w:val="纯文本 字符1"/>
    <w:link w:val="34"/>
    <w:autoRedefine/>
    <w:qFormat/>
    <w:uiPriority w:val="0"/>
    <w:rPr>
      <w:rFonts w:ascii="宋体" w:hAnsi="Courier New" w:eastAsia="宋体" w:cs="Arial"/>
      <w:snapToGrid w:val="0"/>
      <w:kern w:val="2"/>
      <w:sz w:val="21"/>
      <w:szCs w:val="21"/>
      <w:lang w:val="en-US" w:eastAsia="zh-CN" w:bidi="ar-SA"/>
    </w:rPr>
  </w:style>
  <w:style w:type="character" w:customStyle="1" w:styleId="97">
    <w:name w:val="日期 字符"/>
    <w:link w:val="37"/>
    <w:autoRedefine/>
    <w:qFormat/>
    <w:uiPriority w:val="0"/>
    <w:rPr>
      <w:rFonts w:ascii="宋体"/>
      <w:kern w:val="2"/>
      <w:sz w:val="24"/>
      <w:szCs w:val="21"/>
      <w:lang w:val="zh-CN"/>
    </w:rPr>
  </w:style>
  <w:style w:type="character" w:customStyle="1" w:styleId="98">
    <w:name w:val="正文文本缩进 2 字符"/>
    <w:link w:val="38"/>
    <w:autoRedefine/>
    <w:qFormat/>
    <w:uiPriority w:val="0"/>
    <w:rPr>
      <w:rFonts w:ascii="宋体"/>
      <w:sz w:val="28"/>
    </w:rPr>
  </w:style>
  <w:style w:type="character" w:customStyle="1" w:styleId="99">
    <w:name w:val="尾注文本 字符"/>
    <w:link w:val="39"/>
    <w:autoRedefine/>
    <w:qFormat/>
    <w:uiPriority w:val="0"/>
    <w:rPr>
      <w:kern w:val="2"/>
      <w:sz w:val="21"/>
      <w:szCs w:val="24"/>
      <w:lang w:val="zh-CN"/>
    </w:rPr>
  </w:style>
  <w:style w:type="character" w:customStyle="1" w:styleId="100">
    <w:name w:val="批注框文本 字符1"/>
    <w:link w:val="40"/>
    <w:autoRedefine/>
    <w:qFormat/>
    <w:uiPriority w:val="0"/>
    <w:rPr>
      <w:kern w:val="2"/>
      <w:sz w:val="18"/>
      <w:szCs w:val="18"/>
    </w:rPr>
  </w:style>
  <w:style w:type="character" w:customStyle="1" w:styleId="101">
    <w:name w:val="页脚 字符2"/>
    <w:link w:val="41"/>
    <w:autoRedefine/>
    <w:qFormat/>
    <w:locked/>
    <w:uiPriority w:val="99"/>
    <w:rPr>
      <w:kern w:val="2"/>
      <w:sz w:val="18"/>
      <w:szCs w:val="18"/>
    </w:rPr>
  </w:style>
  <w:style w:type="character" w:customStyle="1" w:styleId="102">
    <w:name w:val="页眉 字符2"/>
    <w:link w:val="42"/>
    <w:autoRedefine/>
    <w:qFormat/>
    <w:uiPriority w:val="99"/>
    <w:rPr>
      <w:kern w:val="2"/>
      <w:sz w:val="18"/>
      <w:szCs w:val="18"/>
    </w:rPr>
  </w:style>
  <w:style w:type="character" w:customStyle="1" w:styleId="103">
    <w:name w:val="签名 字符"/>
    <w:link w:val="43"/>
    <w:autoRedefine/>
    <w:qFormat/>
    <w:uiPriority w:val="0"/>
    <w:rPr>
      <w:rFonts w:eastAsia="仿宋_GB2312"/>
      <w:sz w:val="24"/>
    </w:rPr>
  </w:style>
  <w:style w:type="character" w:customStyle="1" w:styleId="104">
    <w:name w:val="副标题 字符"/>
    <w:link w:val="48"/>
    <w:autoRedefine/>
    <w:qFormat/>
    <w:uiPriority w:val="0"/>
    <w:rPr>
      <w:rFonts w:ascii="Arial" w:hAnsi="Arial" w:eastAsia="隶书"/>
      <w:b/>
      <w:bCs/>
      <w:kern w:val="28"/>
      <w:sz w:val="44"/>
      <w:szCs w:val="32"/>
      <w:lang w:val="en-US" w:eastAsia="zh-CN" w:bidi="ar-SA"/>
    </w:rPr>
  </w:style>
  <w:style w:type="character" w:customStyle="1" w:styleId="105">
    <w:name w:val="脚注文本 字符"/>
    <w:link w:val="51"/>
    <w:autoRedefine/>
    <w:qFormat/>
    <w:uiPriority w:val="0"/>
    <w:rPr>
      <w:color w:val="0000FF"/>
      <w:sz w:val="21"/>
    </w:rPr>
  </w:style>
  <w:style w:type="character" w:customStyle="1" w:styleId="106">
    <w:name w:val="正文文本缩进 3 字符"/>
    <w:link w:val="53"/>
    <w:autoRedefine/>
    <w:qFormat/>
    <w:uiPriority w:val="0"/>
    <w:rPr>
      <w:kern w:val="2"/>
      <w:sz w:val="24"/>
    </w:rPr>
  </w:style>
  <w:style w:type="character" w:customStyle="1" w:styleId="107">
    <w:name w:val="正文文本 2 字符1"/>
    <w:link w:val="56"/>
    <w:autoRedefine/>
    <w:qFormat/>
    <w:uiPriority w:val="0"/>
    <w:rPr>
      <w:kern w:val="2"/>
      <w:sz w:val="21"/>
      <w:szCs w:val="24"/>
    </w:rPr>
  </w:style>
  <w:style w:type="character" w:customStyle="1" w:styleId="108">
    <w:name w:val="HTML 预设格式 字符"/>
    <w:link w:val="57"/>
    <w:autoRedefine/>
    <w:qFormat/>
    <w:uiPriority w:val="0"/>
    <w:rPr>
      <w:rFonts w:ascii="黑体" w:hAnsi="Courier New" w:eastAsia="黑体"/>
    </w:rPr>
  </w:style>
  <w:style w:type="character" w:customStyle="1" w:styleId="109">
    <w:name w:val="标题 字符"/>
    <w:link w:val="59"/>
    <w:autoRedefine/>
    <w:qFormat/>
    <w:uiPriority w:val="10"/>
    <w:rPr>
      <w:b/>
      <w:sz w:val="24"/>
      <w:lang w:val="en-GB"/>
    </w:rPr>
  </w:style>
  <w:style w:type="character" w:customStyle="1" w:styleId="110">
    <w:name w:val="批注主题 字符"/>
    <w:link w:val="60"/>
    <w:autoRedefine/>
    <w:qFormat/>
    <w:uiPriority w:val="0"/>
    <w:rPr>
      <w:b/>
      <w:bCs/>
      <w:kern w:val="2"/>
      <w:sz w:val="21"/>
      <w:szCs w:val="24"/>
    </w:rPr>
  </w:style>
  <w:style w:type="character" w:customStyle="1" w:styleId="111">
    <w:name w:val="正文文本首行缩进 2 字符"/>
    <w:link w:val="61"/>
    <w:autoRedefine/>
    <w:qFormat/>
    <w:uiPriority w:val="0"/>
    <w:rPr>
      <w:rFonts w:ascii="宋体" w:hAnsi="宋体"/>
      <w:kern w:val="2"/>
      <w:sz w:val="21"/>
      <w:szCs w:val="24"/>
    </w:rPr>
  </w:style>
  <w:style w:type="paragraph" w:customStyle="1" w:styleId="112">
    <w:name w:val="Default"/>
    <w:next w:val="113"/>
    <w:link w:val="11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13">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14">
    <w:name w:val="Default Char"/>
    <w:link w:val="112"/>
    <w:autoRedefine/>
    <w:qFormat/>
    <w:uiPriority w:val="0"/>
    <w:rPr>
      <w:rFonts w:ascii="仿宋_GB2312" w:eastAsia="仿宋_GB2312" w:cs="仿宋_GB2312"/>
      <w:color w:val="000000"/>
      <w:sz w:val="24"/>
      <w:szCs w:val="24"/>
      <w:lang w:val="en-US" w:eastAsia="zh-CN" w:bidi="ar-SA"/>
    </w:rPr>
  </w:style>
  <w:style w:type="paragraph" w:customStyle="1" w:styleId="115">
    <w:name w:val="样式 标题 1 + 四号 加粗"/>
    <w:basedOn w:val="3"/>
    <w:autoRedefine/>
    <w:qFormat/>
    <w:uiPriority w:val="0"/>
    <w:pPr>
      <w:adjustRightInd/>
      <w:ind w:left="0" w:firstLine="0"/>
    </w:pPr>
    <w:rPr>
      <w:rFonts w:eastAsia="黑体"/>
    </w:rPr>
  </w:style>
  <w:style w:type="character" w:customStyle="1" w:styleId="116">
    <w:name w:val="表格非标题文字 Char"/>
    <w:link w:val="117"/>
    <w:autoRedefine/>
    <w:qFormat/>
    <w:uiPriority w:val="0"/>
    <w:rPr>
      <w:rFonts w:ascii="Futura Bk" w:hAnsi="Futura Bk"/>
      <w:kern w:val="2"/>
      <w:sz w:val="18"/>
      <w:szCs w:val="21"/>
      <w:lang w:val="en-US" w:eastAsia="zh-CN" w:bidi="ar-SA"/>
    </w:rPr>
  </w:style>
  <w:style w:type="paragraph" w:customStyle="1" w:styleId="117">
    <w:name w:val="表格非标题文字"/>
    <w:link w:val="116"/>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autoRedefine/>
    <w:qFormat/>
    <w:locked/>
    <w:uiPriority w:val="0"/>
    <w:rPr>
      <w:rFonts w:ascii="宋体" w:hAnsi="宋体"/>
      <w:sz w:val="24"/>
    </w:rPr>
  </w:style>
  <w:style w:type="paragraph" w:customStyle="1" w:styleId="119">
    <w:name w:val="*正文"/>
    <w:basedOn w:val="1"/>
    <w:link w:val="118"/>
    <w:autoRedefine/>
    <w:qFormat/>
    <w:uiPriority w:val="0"/>
    <w:pPr>
      <w:snapToGrid w:val="0"/>
      <w:spacing w:line="360" w:lineRule="auto"/>
      <w:ind w:firstLine="482"/>
      <w:jc w:val="left"/>
    </w:pPr>
    <w:rPr>
      <w:rFonts w:ascii="宋体" w:hAnsi="宋体"/>
      <w:kern w:val="0"/>
      <w:sz w:val="24"/>
      <w:szCs w:val="20"/>
    </w:rPr>
  </w:style>
  <w:style w:type="character" w:customStyle="1" w:styleId="120">
    <w:name w:val="Char Char71"/>
    <w:autoRedefine/>
    <w:semiHidden/>
    <w:qFormat/>
    <w:uiPriority w:val="0"/>
    <w:rPr>
      <w:rFonts w:eastAsia="宋体"/>
      <w:kern w:val="2"/>
      <w:sz w:val="21"/>
      <w:szCs w:val="24"/>
      <w:lang w:val="en-US" w:eastAsia="zh-CN" w:bidi="ar-SA"/>
    </w:rPr>
  </w:style>
  <w:style w:type="character" w:customStyle="1" w:styleId="121">
    <w:name w:val="Char Char6"/>
    <w:autoRedefine/>
    <w:qFormat/>
    <w:uiPriority w:val="0"/>
    <w:rPr>
      <w:rFonts w:eastAsia="宋体"/>
      <w:kern w:val="2"/>
      <w:sz w:val="21"/>
      <w:szCs w:val="24"/>
      <w:lang w:val="en-US" w:eastAsia="zh-CN" w:bidi="ar-SA"/>
    </w:rPr>
  </w:style>
  <w:style w:type="character" w:customStyle="1" w:styleId="122">
    <w:name w:val="正文缩进 Char"/>
    <w:qFormat/>
    <w:uiPriority w:val="0"/>
    <w:rPr>
      <w:rFonts w:eastAsia="宋体"/>
      <w:kern w:val="2"/>
      <w:sz w:val="21"/>
      <w:lang w:val="en-US" w:eastAsia="zh-CN"/>
    </w:rPr>
  </w:style>
  <w:style w:type="character" w:customStyle="1" w:styleId="123">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124">
    <w:name w:val="Char Char28"/>
    <w:autoRedefine/>
    <w:qFormat/>
    <w:uiPriority w:val="6"/>
    <w:rPr>
      <w:rFonts w:ascii="仿宋_GB2312" w:hAnsi="仿宋_GB2312" w:eastAsia="仿宋_GB2312"/>
      <w:kern w:val="1"/>
      <w:sz w:val="28"/>
    </w:rPr>
  </w:style>
  <w:style w:type="character" w:customStyle="1" w:styleId="125">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26">
    <w:name w:val="Heading 1 Char"/>
    <w:autoRedefine/>
    <w:qFormat/>
    <w:uiPriority w:val="6"/>
    <w:rPr>
      <w:rFonts w:ascii="Times New Roman" w:hAnsi="Times New Roman" w:eastAsia="黑体" w:cs="Times New Roman"/>
      <w:b/>
      <w:kern w:val="0"/>
      <w:sz w:val="24"/>
      <w:szCs w:val="24"/>
    </w:rPr>
  </w:style>
  <w:style w:type="character" w:customStyle="1" w:styleId="127">
    <w:name w:val="U_正文 Char"/>
    <w:link w:val="128"/>
    <w:autoRedefine/>
    <w:qFormat/>
    <w:uiPriority w:val="0"/>
    <w:rPr>
      <w:sz w:val="24"/>
      <w:szCs w:val="24"/>
    </w:rPr>
  </w:style>
  <w:style w:type="paragraph" w:customStyle="1" w:styleId="128">
    <w:name w:val="U_正文"/>
    <w:basedOn w:val="1"/>
    <w:link w:val="127"/>
    <w:autoRedefine/>
    <w:qFormat/>
    <w:uiPriority w:val="0"/>
    <w:pPr>
      <w:adjustRightInd/>
      <w:spacing w:beforeLines="20" w:afterLines="20" w:line="300" w:lineRule="auto"/>
      <w:ind w:firstLine="200" w:firstLineChars="200"/>
    </w:pPr>
    <w:rPr>
      <w:kern w:val="0"/>
      <w:sz w:val="24"/>
    </w:rPr>
  </w:style>
  <w:style w:type="character" w:customStyle="1" w:styleId="129">
    <w:name w:val="HTML 地址 Char1"/>
    <w:autoRedefine/>
    <w:qFormat/>
    <w:uiPriority w:val="0"/>
    <w:rPr>
      <w:rFonts w:ascii="Times New Roman" w:hAnsi="Times New Roman" w:eastAsia="宋体" w:cs="Times New Roman"/>
      <w:i/>
      <w:iCs/>
      <w:szCs w:val="24"/>
    </w:rPr>
  </w:style>
  <w:style w:type="character" w:customStyle="1" w:styleId="130">
    <w:name w:val="Char Char51"/>
    <w:autoRedefine/>
    <w:qFormat/>
    <w:uiPriority w:val="0"/>
    <w:rPr>
      <w:rFonts w:ascii="宋体" w:hAnsi="Courier New" w:eastAsia="宋体"/>
      <w:kern w:val="2"/>
      <w:sz w:val="21"/>
      <w:lang w:val="en-US" w:eastAsia="zh-CN"/>
    </w:rPr>
  </w:style>
  <w:style w:type="character" w:customStyle="1" w:styleId="131">
    <w:name w:val="表正文 Char"/>
    <w:autoRedefine/>
    <w:qFormat/>
    <w:uiPriority w:val="0"/>
    <w:rPr>
      <w:rFonts w:ascii="宋体" w:eastAsia="宋体"/>
      <w:snapToGrid w:val="0"/>
      <w:color w:val="000000"/>
      <w:kern w:val="28"/>
      <w:sz w:val="28"/>
      <w:lang w:val="en-US" w:eastAsia="zh-CN" w:bidi="ar-SA"/>
    </w:rPr>
  </w:style>
  <w:style w:type="character" w:customStyle="1" w:styleId="132">
    <w:name w:val="Char Char34"/>
    <w:autoRedefine/>
    <w:qFormat/>
    <w:uiPriority w:val="6"/>
    <w:rPr>
      <w:b/>
      <w:kern w:val="1"/>
      <w:sz w:val="28"/>
      <w:szCs w:val="28"/>
    </w:rPr>
  </w:style>
  <w:style w:type="character" w:customStyle="1" w:styleId="133">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34">
    <w:name w:val="哈哈正文 Char"/>
    <w:link w:val="135"/>
    <w:autoRedefine/>
    <w:qFormat/>
    <w:uiPriority w:val="0"/>
    <w:rPr>
      <w:rFonts w:ascii="宋体" w:hAnsi="宋体" w:eastAsia="宋体"/>
      <w:kern w:val="2"/>
      <w:sz w:val="24"/>
      <w:lang w:bidi="ar-SA"/>
    </w:rPr>
  </w:style>
  <w:style w:type="paragraph" w:customStyle="1" w:styleId="135">
    <w:name w:val="哈哈正文"/>
    <w:basedOn w:val="1"/>
    <w:link w:val="134"/>
    <w:autoRedefine/>
    <w:qFormat/>
    <w:uiPriority w:val="0"/>
    <w:pPr>
      <w:adjustRightInd/>
      <w:spacing w:line="360" w:lineRule="auto"/>
      <w:ind w:firstLine="200" w:firstLineChars="200"/>
    </w:pPr>
    <w:rPr>
      <w:rFonts w:ascii="宋体" w:hAnsi="宋体"/>
      <w:sz w:val="24"/>
      <w:szCs w:val="20"/>
    </w:rPr>
  </w:style>
  <w:style w:type="character" w:customStyle="1" w:styleId="136">
    <w:name w:val="未处理的提及1"/>
    <w:autoRedefine/>
    <w:qFormat/>
    <w:uiPriority w:val="0"/>
    <w:rPr>
      <w:color w:val="808080"/>
      <w:shd w:val="clear" w:color="auto" w:fill="E6E6E6"/>
    </w:rPr>
  </w:style>
  <w:style w:type="character" w:customStyle="1" w:styleId="137">
    <w:name w:val="txt"/>
    <w:autoRedefine/>
    <w:qFormat/>
    <w:uiPriority w:val="0"/>
    <w:rPr>
      <w:rFonts w:ascii="仿宋_GB2312" w:eastAsia="微软雅黑"/>
      <w:b/>
      <w:kern w:val="2"/>
      <w:sz w:val="32"/>
      <w:szCs w:val="32"/>
      <w:lang w:val="en-US" w:eastAsia="zh-CN" w:bidi="ar-SA"/>
    </w:rPr>
  </w:style>
  <w:style w:type="character" w:customStyle="1" w:styleId="138">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39">
    <w:name w:val="Char Char32"/>
    <w:autoRedefine/>
    <w:qFormat/>
    <w:uiPriority w:val="6"/>
    <w:rPr>
      <w:b/>
      <w:kern w:val="1"/>
      <w:sz w:val="24"/>
      <w:szCs w:val="24"/>
    </w:rPr>
  </w:style>
  <w:style w:type="character" w:customStyle="1" w:styleId="140">
    <w:name w:val="PI Char1"/>
    <w:autoRedefine/>
    <w:qFormat/>
    <w:uiPriority w:val="0"/>
    <w:rPr>
      <w:rFonts w:ascii="宋体" w:hAnsi="宋体"/>
      <w:kern w:val="2"/>
      <w:sz w:val="24"/>
      <w:szCs w:val="24"/>
    </w:rPr>
  </w:style>
  <w:style w:type="character" w:customStyle="1" w:styleId="141">
    <w:name w:val="tw4winTerm"/>
    <w:autoRedefine/>
    <w:qFormat/>
    <w:uiPriority w:val="0"/>
    <w:rPr>
      <w:color w:val="0000FF"/>
    </w:rPr>
  </w:style>
  <w:style w:type="character" w:customStyle="1" w:styleId="142">
    <w:name w:val="Footer Char"/>
    <w:qFormat/>
    <w:locked/>
    <w:uiPriority w:val="0"/>
    <w:rPr>
      <w:rFonts w:eastAsia="宋体"/>
      <w:kern w:val="2"/>
      <w:sz w:val="18"/>
      <w:lang w:val="en-US" w:eastAsia="zh-CN" w:bidi="ar-SA"/>
    </w:rPr>
  </w:style>
  <w:style w:type="character" w:customStyle="1" w:styleId="143">
    <w:name w:val="普通文字 Char Char1"/>
    <w:qFormat/>
    <w:uiPriority w:val="0"/>
    <w:rPr>
      <w:rFonts w:ascii="宋体" w:hAnsi="Courier New"/>
      <w:kern w:val="2"/>
      <w:sz w:val="21"/>
    </w:rPr>
  </w:style>
  <w:style w:type="character" w:customStyle="1" w:styleId="144">
    <w:name w:val="Char Char101"/>
    <w:qFormat/>
    <w:uiPriority w:val="6"/>
    <w:rPr>
      <w:rFonts w:ascii="宋体" w:hAnsi="宋体"/>
      <w:kern w:val="2"/>
      <w:sz w:val="21"/>
      <w:szCs w:val="24"/>
      <w:lang w:val="en-US" w:eastAsia="zh-CN"/>
    </w:rPr>
  </w:style>
  <w:style w:type="character" w:customStyle="1" w:styleId="145">
    <w:name w:val="标题 4 Char"/>
    <w:qFormat/>
    <w:uiPriority w:val="0"/>
    <w:rPr>
      <w:rFonts w:ascii="Arial" w:hAnsi="Arial" w:eastAsia="黑体"/>
      <w:b/>
      <w:kern w:val="2"/>
      <w:sz w:val="28"/>
    </w:rPr>
  </w:style>
  <w:style w:type="character" w:customStyle="1" w:styleId="146">
    <w:name w:val="链接"/>
    <w:qFormat/>
    <w:uiPriority w:val="0"/>
    <w:rPr>
      <w:color w:val="0000FF"/>
      <w:sz w:val="21"/>
      <w:szCs w:val="21"/>
      <w:u w:val="single"/>
    </w:rPr>
  </w:style>
  <w:style w:type="character" w:customStyle="1" w:styleId="147">
    <w:name w:val="h4 Char"/>
    <w:qFormat/>
    <w:uiPriority w:val="0"/>
    <w:rPr>
      <w:rFonts w:ascii="Arial" w:hAnsi="Arial" w:eastAsia="黑体"/>
      <w:b/>
      <w:bCs/>
      <w:kern w:val="2"/>
      <w:sz w:val="28"/>
      <w:szCs w:val="28"/>
      <w:lang w:val="zh-CN" w:eastAsia="zh-CN" w:bidi="ar-SA"/>
    </w:rPr>
  </w:style>
  <w:style w:type="character" w:customStyle="1" w:styleId="148">
    <w:name w:val="5正文 Char"/>
    <w:link w:val="149"/>
    <w:qFormat/>
    <w:uiPriority w:val="0"/>
    <w:rPr>
      <w:rFonts w:ascii="仿宋_GB2312" w:hAnsi="微软雅黑" w:eastAsia="仿宋_GB2312"/>
      <w:sz w:val="28"/>
      <w:szCs w:val="21"/>
    </w:rPr>
  </w:style>
  <w:style w:type="paragraph" w:customStyle="1" w:styleId="149">
    <w:name w:val="5正文"/>
    <w:basedOn w:val="1"/>
    <w:link w:val="14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0">
    <w:name w:val="标题 3 字符"/>
    <w:qFormat/>
    <w:uiPriority w:val="9"/>
    <w:rPr>
      <w:b/>
      <w:bCs/>
      <w:kern w:val="2"/>
      <w:sz w:val="32"/>
      <w:szCs w:val="32"/>
    </w:rPr>
  </w:style>
  <w:style w:type="character" w:customStyle="1" w:styleId="151">
    <w:name w:val="样式6 Char"/>
    <w:qFormat/>
    <w:uiPriority w:val="0"/>
    <w:rPr>
      <w:rFonts w:ascii="仿宋_GB2312" w:hAnsi="宋体" w:eastAsia="仿宋_GB2312"/>
      <w:b/>
      <w:bCs/>
      <w:kern w:val="2"/>
      <w:sz w:val="24"/>
      <w:szCs w:val="24"/>
      <w:lang w:val="en-US" w:eastAsia="zh-CN" w:bidi="ar-SA"/>
    </w:rPr>
  </w:style>
  <w:style w:type="character" w:customStyle="1" w:styleId="152">
    <w:name w:val="Char Char14"/>
    <w:qFormat/>
    <w:uiPriority w:val="6"/>
    <w:rPr>
      <w:rFonts w:ascii="黑体" w:hAnsi="黑体" w:eastAsia="黑体"/>
    </w:rPr>
  </w:style>
  <w:style w:type="character" w:customStyle="1" w:styleId="153">
    <w:name w:val="Heading 2 Hidden Char"/>
    <w:qFormat/>
    <w:uiPriority w:val="0"/>
    <w:rPr>
      <w:rFonts w:ascii="仿宋_GB2312" w:eastAsia="仿宋_GB2312"/>
      <w:b/>
      <w:bCs/>
      <w:kern w:val="2"/>
      <w:sz w:val="24"/>
      <w:szCs w:val="24"/>
      <w:lang w:val="zh-CN" w:eastAsia="zh-CN" w:bidi="ar-SA"/>
    </w:rPr>
  </w:style>
  <w:style w:type="character" w:customStyle="1" w:styleId="154">
    <w:name w:val="font11"/>
    <w:qFormat/>
    <w:uiPriority w:val="0"/>
    <w:rPr>
      <w:rFonts w:hint="default" w:ascii="Times New Roman" w:hAnsi="Times New Roman" w:cs="Times New Roman"/>
      <w:color w:val="000000"/>
      <w:sz w:val="22"/>
      <w:szCs w:val="22"/>
      <w:u w:val="none"/>
    </w:rPr>
  </w:style>
  <w:style w:type="character" w:customStyle="1" w:styleId="155">
    <w:name w:val="表正文 Char1"/>
    <w:qFormat/>
    <w:uiPriority w:val="0"/>
    <w:rPr>
      <w:rFonts w:ascii="宋体" w:eastAsia="宋体"/>
      <w:snapToGrid w:val="0"/>
      <w:color w:val="000000"/>
      <w:kern w:val="28"/>
      <w:sz w:val="28"/>
    </w:rPr>
  </w:style>
  <w:style w:type="character" w:customStyle="1" w:styleId="156">
    <w:name w:val="blue1"/>
    <w:basedOn w:val="69"/>
    <w:qFormat/>
    <w:uiPriority w:val="0"/>
    <w:rPr>
      <w:rFonts w:ascii="Arial" w:hAnsi="Arial" w:eastAsia="黑体" w:cs="Arial"/>
      <w:snapToGrid w:val="0"/>
      <w:kern w:val="0"/>
      <w:szCs w:val="21"/>
    </w:rPr>
  </w:style>
  <w:style w:type="character" w:customStyle="1" w:styleId="157">
    <w:name w:val="标书1 Char"/>
    <w:qFormat/>
    <w:uiPriority w:val="0"/>
    <w:rPr>
      <w:rFonts w:eastAsia="宋体"/>
      <w:b/>
      <w:bCs/>
      <w:kern w:val="44"/>
      <w:sz w:val="44"/>
      <w:szCs w:val="44"/>
      <w:lang w:val="en-US" w:eastAsia="zh-CN" w:bidi="ar-SA"/>
    </w:rPr>
  </w:style>
  <w:style w:type="character" w:customStyle="1" w:styleId="158">
    <w:name w:val="样式5 Char"/>
    <w:qFormat/>
    <w:uiPriority w:val="0"/>
    <w:rPr>
      <w:rFonts w:ascii="仿宋_GB2312" w:hAnsi="仿宋" w:eastAsia="仿宋_GB2312"/>
      <w:kern w:val="2"/>
      <w:sz w:val="24"/>
      <w:szCs w:val="24"/>
    </w:rPr>
  </w:style>
  <w:style w:type="character" w:customStyle="1" w:styleId="159">
    <w:name w:val="样式4 Char"/>
    <w:qFormat/>
    <w:uiPriority w:val="0"/>
    <w:rPr>
      <w:rFonts w:ascii="仿宋_GB2312" w:hAnsi="仿宋" w:eastAsia="仿宋_GB2312"/>
      <w:b/>
      <w:kern w:val="2"/>
      <w:sz w:val="32"/>
      <w:szCs w:val="32"/>
      <w:lang w:bidi="ar-SA"/>
    </w:rPr>
  </w:style>
  <w:style w:type="character" w:customStyle="1" w:styleId="160">
    <w:name w:val="插图说明 Char"/>
    <w:qFormat/>
    <w:uiPriority w:val="0"/>
    <w:rPr>
      <w:rFonts w:eastAsia="黑体"/>
      <w:sz w:val="24"/>
      <w:lang w:val="en-US" w:eastAsia="zh-CN"/>
    </w:rPr>
  </w:style>
  <w:style w:type="character" w:customStyle="1" w:styleId="161">
    <w:name w:val="正文2 Char Char"/>
    <w:link w:val="162"/>
    <w:qFormat/>
    <w:uiPriority w:val="0"/>
    <w:rPr>
      <w:rFonts w:eastAsia="宋体"/>
      <w:kern w:val="2"/>
      <w:sz w:val="24"/>
      <w:lang w:val="en-US" w:eastAsia="zh-CN" w:bidi="ar-SA"/>
    </w:rPr>
  </w:style>
  <w:style w:type="paragraph" w:customStyle="1" w:styleId="162">
    <w:name w:val="正文2"/>
    <w:basedOn w:val="1"/>
    <w:link w:val="161"/>
    <w:qFormat/>
    <w:uiPriority w:val="0"/>
    <w:pPr>
      <w:spacing w:before="156" w:line="360" w:lineRule="auto"/>
      <w:ind w:firstLine="510" w:firstLineChars="200"/>
    </w:pPr>
    <w:rPr>
      <w:sz w:val="24"/>
      <w:szCs w:val="20"/>
    </w:rPr>
  </w:style>
  <w:style w:type="character" w:customStyle="1" w:styleId="163">
    <w:name w:val="Char Char24"/>
    <w:qFormat/>
    <w:uiPriority w:val="6"/>
    <w:rPr>
      <w:kern w:val="1"/>
      <w:sz w:val="21"/>
    </w:rPr>
  </w:style>
  <w:style w:type="character" w:customStyle="1" w:styleId="164">
    <w:name w:val="普通文字 Char1 Char"/>
    <w:qFormat/>
    <w:uiPriority w:val="0"/>
    <w:rPr>
      <w:rFonts w:ascii="宋体" w:hAnsi="Courier New" w:eastAsia="宋体"/>
      <w:kern w:val="2"/>
      <w:sz w:val="21"/>
      <w:szCs w:val="24"/>
      <w:lang w:val="en-US" w:eastAsia="zh-CN" w:bidi="ar-SA"/>
    </w:rPr>
  </w:style>
  <w:style w:type="character" w:customStyle="1" w:styleId="165">
    <w:name w:val="h3 Char1"/>
    <w:qFormat/>
    <w:uiPriority w:val="0"/>
    <w:rPr>
      <w:rFonts w:eastAsia="宋体"/>
      <w:b/>
      <w:bCs/>
      <w:kern w:val="2"/>
      <w:sz w:val="32"/>
      <w:szCs w:val="32"/>
      <w:lang w:bidi="ar-SA"/>
    </w:rPr>
  </w:style>
  <w:style w:type="character" w:customStyle="1" w:styleId="166">
    <w:name w:val="标题 Char1"/>
    <w:qFormat/>
    <w:uiPriority w:val="0"/>
    <w:rPr>
      <w:rFonts w:ascii="Cambria" w:hAnsi="Cambria" w:eastAsia="宋体" w:cs="Times New Roman"/>
      <w:b/>
      <w:bCs/>
      <w:sz w:val="32"/>
      <w:szCs w:val="32"/>
      <w:lang w:bidi="ar-SA"/>
    </w:rPr>
  </w:style>
  <w:style w:type="character" w:customStyle="1" w:styleId="167">
    <w:name w:val="gf正文1 Char"/>
    <w:qFormat/>
    <w:uiPriority w:val="0"/>
    <w:rPr>
      <w:rFonts w:ascii="宋体" w:hAnsi="宋体" w:eastAsia="宋体" w:cs="宋体"/>
      <w:kern w:val="2"/>
      <w:sz w:val="24"/>
      <w:szCs w:val="24"/>
      <w:lang w:val="en-US" w:eastAsia="zh-CN" w:bidi="ar-SA"/>
    </w:rPr>
  </w:style>
  <w:style w:type="character" w:customStyle="1" w:styleId="168">
    <w:name w:val="正文文本缩进 Char1"/>
    <w:qFormat/>
    <w:uiPriority w:val="0"/>
    <w:rPr>
      <w:rFonts w:ascii="Calibri" w:hAnsi="Calibri"/>
      <w:sz w:val="28"/>
    </w:rPr>
  </w:style>
  <w:style w:type="character" w:customStyle="1" w:styleId="169">
    <w:name w:val="No Spacing Char"/>
    <w:link w:val="170"/>
    <w:qFormat/>
    <w:uiPriority w:val="1"/>
    <w:rPr>
      <w:sz w:val="22"/>
      <w:szCs w:val="22"/>
      <w:lang w:val="en-US" w:eastAsia="zh-CN" w:bidi="ar-SA"/>
    </w:rPr>
  </w:style>
  <w:style w:type="paragraph" w:customStyle="1" w:styleId="170">
    <w:name w:val="无间隔1"/>
    <w:link w:val="169"/>
    <w:qFormat/>
    <w:uiPriority w:val="1"/>
    <w:rPr>
      <w:rFonts w:ascii="Times New Roman" w:hAnsi="Times New Roman" w:eastAsia="宋体" w:cs="Times New Roman"/>
      <w:sz w:val="22"/>
      <w:szCs w:val="22"/>
      <w:lang w:val="en-US" w:eastAsia="zh-CN" w:bidi="ar-SA"/>
    </w:rPr>
  </w:style>
  <w:style w:type="character" w:customStyle="1" w:styleId="171">
    <w:name w:val="样式7 Char"/>
    <w:qFormat/>
    <w:uiPriority w:val="0"/>
    <w:rPr>
      <w:rFonts w:ascii="仿宋_GB2312" w:hAnsi="仿宋" w:eastAsia="仿宋_GB2312"/>
      <w:b/>
      <w:kern w:val="2"/>
      <w:sz w:val="24"/>
      <w:szCs w:val="24"/>
    </w:rPr>
  </w:style>
  <w:style w:type="character" w:customStyle="1" w:styleId="172">
    <w:name w:val="font12gray1"/>
    <w:qFormat/>
    <w:uiPriority w:val="0"/>
    <w:rPr>
      <w:rFonts w:ascii="仿宋_GB2312" w:eastAsia="微软雅黑"/>
      <w:b/>
      <w:spacing w:val="300"/>
      <w:kern w:val="2"/>
      <w:sz w:val="18"/>
      <w:szCs w:val="18"/>
      <w:lang w:val="en-US" w:eastAsia="zh-CN" w:bidi="ar-SA"/>
    </w:rPr>
  </w:style>
  <w:style w:type="character" w:customStyle="1" w:styleId="173">
    <w:name w:val="Char Char7"/>
    <w:autoRedefine/>
    <w:semiHidden/>
    <w:qFormat/>
    <w:uiPriority w:val="0"/>
    <w:rPr>
      <w:rFonts w:eastAsia="宋体"/>
      <w:kern w:val="2"/>
      <w:sz w:val="21"/>
      <w:szCs w:val="24"/>
      <w:lang w:val="en-US" w:eastAsia="zh-CN" w:bidi="ar-SA"/>
    </w:rPr>
  </w:style>
  <w:style w:type="character" w:customStyle="1" w:styleId="174">
    <w:name w:val="表名 Char"/>
    <w:autoRedefine/>
    <w:qFormat/>
    <w:uiPriority w:val="0"/>
    <w:rPr>
      <w:rFonts w:eastAsia="宋体"/>
      <w:b/>
      <w:bCs/>
      <w:kern w:val="2"/>
      <w:sz w:val="24"/>
      <w:szCs w:val="24"/>
      <w:lang w:val="en-US" w:eastAsia="zh-CN" w:bidi="ar-SA"/>
    </w:rPr>
  </w:style>
  <w:style w:type="character" w:customStyle="1" w:styleId="175">
    <w:name w:val="Document Map Char"/>
    <w:autoRedefine/>
    <w:qFormat/>
    <w:locked/>
    <w:uiPriority w:val="0"/>
    <w:rPr>
      <w:rFonts w:eastAsia="宋体"/>
      <w:kern w:val="2"/>
      <w:sz w:val="21"/>
      <w:szCs w:val="24"/>
      <w:lang w:val="en-US" w:eastAsia="zh-CN" w:bidi="ar-SA"/>
    </w:rPr>
  </w:style>
  <w:style w:type="character" w:customStyle="1" w:styleId="176">
    <w:name w:val="font41"/>
    <w:autoRedefine/>
    <w:qFormat/>
    <w:uiPriority w:val="0"/>
    <w:rPr>
      <w:rFonts w:hint="eastAsia" w:ascii="仿宋_GB2312" w:eastAsia="仿宋_GB2312" w:cs="仿宋_GB2312"/>
      <w:color w:val="000000"/>
      <w:sz w:val="22"/>
      <w:szCs w:val="22"/>
      <w:u w:val="none"/>
    </w:rPr>
  </w:style>
  <w:style w:type="character" w:customStyle="1" w:styleId="177">
    <w:name w:val="纯文本 Char_0"/>
    <w:link w:val="178"/>
    <w:autoRedefine/>
    <w:qFormat/>
    <w:uiPriority w:val="0"/>
    <w:rPr>
      <w:rFonts w:ascii="宋体" w:hAnsi="Courier New"/>
      <w:kern w:val="2"/>
      <w:sz w:val="21"/>
      <w:szCs w:val="21"/>
      <w:lang w:val="en-US" w:eastAsia="zh-CN"/>
    </w:rPr>
  </w:style>
  <w:style w:type="paragraph" w:customStyle="1" w:styleId="178">
    <w:name w:val="纯文本_0_0"/>
    <w:basedOn w:val="179"/>
    <w:link w:val="177"/>
    <w:autoRedefine/>
    <w:qFormat/>
    <w:uiPriority w:val="0"/>
    <w:rPr>
      <w:rFonts w:ascii="宋体" w:hAnsi="Courier New"/>
      <w:szCs w:val="21"/>
    </w:rPr>
  </w:style>
  <w:style w:type="paragraph" w:customStyle="1" w:styleId="1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0">
    <w:name w:val="Balloon Text Char"/>
    <w:autoRedefine/>
    <w:qFormat/>
    <w:locked/>
    <w:uiPriority w:val="0"/>
    <w:rPr>
      <w:rFonts w:eastAsia="宋体"/>
      <w:kern w:val="2"/>
      <w:sz w:val="18"/>
      <w:szCs w:val="18"/>
      <w:lang w:val="en-US" w:eastAsia="zh-CN" w:bidi="ar-SA"/>
    </w:rPr>
  </w:style>
  <w:style w:type="character" w:customStyle="1" w:styleId="181">
    <w:name w:val="正文 项目2 Char"/>
    <w:basedOn w:val="182"/>
    <w:autoRedefine/>
    <w:qFormat/>
    <w:uiPriority w:val="0"/>
    <w:rPr>
      <w:rFonts w:ascii="仿宋_GB2312" w:hAnsi="仿宋_GB2312" w:eastAsia="仿宋_GB2312"/>
      <w:kern w:val="2"/>
      <w:sz w:val="24"/>
      <w:lang w:bidi="ar-SA"/>
    </w:rPr>
  </w:style>
  <w:style w:type="character" w:customStyle="1" w:styleId="182">
    <w:name w:val="正文 项目 Char"/>
    <w:autoRedefine/>
    <w:qFormat/>
    <w:uiPriority w:val="0"/>
    <w:rPr>
      <w:rFonts w:ascii="仿宋_GB2312" w:hAnsi="仿宋_GB2312" w:eastAsia="仿宋_GB2312"/>
      <w:kern w:val="2"/>
      <w:sz w:val="24"/>
      <w:lang w:bidi="ar-SA"/>
    </w:rPr>
  </w:style>
  <w:style w:type="character" w:customStyle="1" w:styleId="183">
    <w:name w:val="h Char Char1"/>
    <w:autoRedefine/>
    <w:qFormat/>
    <w:uiPriority w:val="0"/>
    <w:rPr>
      <w:rFonts w:eastAsia="宋体"/>
      <w:kern w:val="2"/>
      <w:sz w:val="18"/>
      <w:szCs w:val="18"/>
      <w:lang w:val="en-US" w:eastAsia="zh-CN" w:bidi="ar-SA"/>
    </w:rPr>
  </w:style>
  <w:style w:type="character" w:customStyle="1" w:styleId="184">
    <w:name w:val="Char Char27"/>
    <w:autoRedefine/>
    <w:qFormat/>
    <w:uiPriority w:val="6"/>
    <w:rPr>
      <w:rFonts w:ascii="宋体" w:hAnsi="宋体" w:eastAsia="宋体"/>
      <w:color w:val="000000"/>
      <w:kern w:val="1"/>
      <w:sz w:val="28"/>
      <w:lang w:val="en-US" w:eastAsia="zh-CN" w:bidi="ar-SA"/>
    </w:rPr>
  </w:style>
  <w:style w:type="character" w:customStyle="1" w:styleId="185">
    <w:name w:val="px14"/>
    <w:autoRedefine/>
    <w:qFormat/>
    <w:uiPriority w:val="0"/>
    <w:rPr>
      <w:rFonts w:ascii="仿宋_GB2312" w:eastAsia="微软雅黑" w:cs="Times New Roman"/>
      <w:b/>
      <w:kern w:val="2"/>
      <w:sz w:val="32"/>
      <w:szCs w:val="32"/>
      <w:lang w:val="en-US" w:eastAsia="zh-CN" w:bidi="ar-SA"/>
    </w:rPr>
  </w:style>
  <w:style w:type="character" w:customStyle="1" w:styleId="186">
    <w:name w:val="HTML 预设格式 Char1"/>
    <w:autoRedefine/>
    <w:qFormat/>
    <w:uiPriority w:val="0"/>
    <w:rPr>
      <w:rFonts w:ascii="Courier New" w:hAnsi="Courier New" w:eastAsia="宋体" w:cs="Courier New"/>
      <w:sz w:val="20"/>
      <w:szCs w:val="20"/>
    </w:rPr>
  </w:style>
  <w:style w:type="character" w:customStyle="1" w:styleId="187">
    <w:name w:val="普通文字 Char1"/>
    <w:autoRedefine/>
    <w:qFormat/>
    <w:uiPriority w:val="0"/>
    <w:rPr>
      <w:rFonts w:ascii="宋体" w:hAnsi="Courier New" w:eastAsia="宋体"/>
      <w:kern w:val="2"/>
      <w:sz w:val="21"/>
      <w:lang w:val="en-US" w:eastAsia="zh-CN"/>
    </w:rPr>
  </w:style>
  <w:style w:type="character" w:customStyle="1" w:styleId="188">
    <w:name w:val="hei16b1"/>
    <w:autoRedefine/>
    <w:qFormat/>
    <w:uiPriority w:val="0"/>
    <w:rPr>
      <w:rFonts w:hint="default" w:ascii="Arial" w:hAnsi="Arial" w:cs="Arial"/>
      <w:b/>
      <w:bCs/>
      <w:color w:val="000000"/>
      <w:sz w:val="24"/>
      <w:szCs w:val="24"/>
    </w:rPr>
  </w:style>
  <w:style w:type="character" w:customStyle="1" w:styleId="189">
    <w:name w:val="正文（绿盟科技） Char"/>
    <w:link w:val="190"/>
    <w:autoRedefine/>
    <w:qFormat/>
    <w:uiPriority w:val="0"/>
    <w:rPr>
      <w:rFonts w:ascii="Arial" w:hAnsi="Arial"/>
      <w:sz w:val="21"/>
      <w:szCs w:val="21"/>
    </w:rPr>
  </w:style>
  <w:style w:type="paragraph" w:customStyle="1" w:styleId="190">
    <w:name w:val="正文（绿盟科技）"/>
    <w:link w:val="189"/>
    <w:autoRedefine/>
    <w:qFormat/>
    <w:uiPriority w:val="0"/>
    <w:pPr>
      <w:spacing w:line="300" w:lineRule="auto"/>
    </w:pPr>
    <w:rPr>
      <w:rFonts w:ascii="Arial" w:hAnsi="Arial" w:eastAsia="宋体" w:cs="Times New Roman"/>
      <w:sz w:val="21"/>
      <w:szCs w:val="21"/>
      <w:lang w:val="en-US" w:eastAsia="zh-CN" w:bidi="ar-SA"/>
    </w:rPr>
  </w:style>
  <w:style w:type="character" w:customStyle="1" w:styleId="191">
    <w:name w:val="Char Char19"/>
    <w:autoRedefine/>
    <w:qFormat/>
    <w:uiPriority w:val="6"/>
    <w:rPr>
      <w:rFonts w:ascii="宋体" w:hAnsi="宋体"/>
      <w:i/>
      <w:sz w:val="24"/>
      <w:szCs w:val="24"/>
    </w:rPr>
  </w:style>
  <w:style w:type="character" w:customStyle="1" w:styleId="192">
    <w:name w:val="页脚 Char"/>
    <w:autoRedefine/>
    <w:qFormat/>
    <w:uiPriority w:val="0"/>
    <w:rPr>
      <w:rFonts w:eastAsia="仿宋_GB2312"/>
      <w:kern w:val="2"/>
      <w:sz w:val="18"/>
      <w:lang w:val="en-US" w:eastAsia="zh-CN"/>
    </w:rPr>
  </w:style>
  <w:style w:type="character" w:customStyle="1" w:styleId="193">
    <w:name w:val="批注主题 Char"/>
    <w:autoRedefine/>
    <w:qFormat/>
    <w:uiPriority w:val="0"/>
    <w:rPr>
      <w:rFonts w:eastAsia="宋体"/>
      <w:b/>
      <w:bCs/>
      <w:kern w:val="2"/>
      <w:sz w:val="21"/>
      <w:szCs w:val="24"/>
      <w:lang w:val="en-US" w:eastAsia="zh-CN" w:bidi="ar-SA"/>
    </w:rPr>
  </w:style>
  <w:style w:type="character" w:customStyle="1" w:styleId="194">
    <w:name w:val="Comment Text Char"/>
    <w:autoRedefine/>
    <w:qFormat/>
    <w:locked/>
    <w:uiPriority w:val="0"/>
    <w:rPr>
      <w:rFonts w:ascii="宋体" w:hAnsi="宋体" w:eastAsia="宋体"/>
      <w:kern w:val="2"/>
      <w:sz w:val="24"/>
      <w:lang w:val="en-US" w:eastAsia="zh-CN" w:bidi="ar-SA"/>
    </w:rPr>
  </w:style>
  <w:style w:type="character" w:customStyle="1" w:styleId="195">
    <w:name w:val="标题 2 字符"/>
    <w:autoRedefine/>
    <w:qFormat/>
    <w:uiPriority w:val="1"/>
    <w:rPr>
      <w:rFonts w:ascii="仿宋_GB2312" w:hAnsi="Times New Roman" w:eastAsia="仿宋_GB2312" w:cs="Times New Roman"/>
      <w:b/>
      <w:kern w:val="2"/>
      <w:sz w:val="24"/>
      <w:lang w:val="zh-CN"/>
    </w:rPr>
  </w:style>
  <w:style w:type="character" w:customStyle="1" w:styleId="196">
    <w:name w:val="Char Char72"/>
    <w:autoRedefine/>
    <w:qFormat/>
    <w:uiPriority w:val="0"/>
    <w:rPr>
      <w:rFonts w:eastAsia="宋体"/>
      <w:kern w:val="2"/>
      <w:sz w:val="21"/>
      <w:szCs w:val="24"/>
      <w:lang w:val="en-US" w:eastAsia="zh-CN" w:bidi="ar-SA"/>
    </w:rPr>
  </w:style>
  <w:style w:type="character" w:customStyle="1" w:styleId="197">
    <w:name w:val="正文文本缩进 Char2"/>
    <w:autoRedefine/>
    <w:qFormat/>
    <w:uiPriority w:val="0"/>
    <w:rPr>
      <w:rFonts w:ascii="Times New Roman" w:hAnsi="Times New Roman" w:eastAsia="宋体" w:cs="Times New Roman"/>
      <w:snapToGrid w:val="0"/>
      <w:kern w:val="0"/>
      <w:szCs w:val="24"/>
    </w:rPr>
  </w:style>
  <w:style w:type="character" w:customStyle="1" w:styleId="198">
    <w:name w:val="样式2 Char"/>
    <w:autoRedefine/>
    <w:qFormat/>
    <w:uiPriority w:val="0"/>
    <w:rPr>
      <w:rFonts w:ascii="仿宋_GB2312" w:hAnsi="仿宋" w:eastAsia="仿宋_GB2312" w:cs="仿宋_GB2312"/>
      <w:b/>
      <w:bCs/>
      <w:sz w:val="32"/>
      <w:szCs w:val="30"/>
      <w:lang w:val="zh-CN"/>
    </w:rPr>
  </w:style>
  <w:style w:type="character" w:customStyle="1" w:styleId="199">
    <w:name w:val="表格名称[858D7CFB-ED40-4347-BF05-701D383B685F]"/>
    <w:link w:val="200"/>
    <w:autoRedefine/>
    <w:qFormat/>
    <w:uiPriority w:val="0"/>
    <w:rPr>
      <w:sz w:val="32"/>
    </w:rPr>
  </w:style>
  <w:style w:type="paragraph" w:customStyle="1" w:styleId="200">
    <w:name w:val="表格名称"/>
    <w:basedOn w:val="2"/>
    <w:link w:val="19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201">
    <w:name w:val="Char Char4"/>
    <w:autoRedefine/>
    <w:qFormat/>
    <w:uiPriority w:val="0"/>
    <w:rPr>
      <w:rFonts w:eastAsia="宋体"/>
      <w:b/>
      <w:sz w:val="24"/>
      <w:lang w:val="en-GB" w:eastAsia="zh-CN" w:bidi="ar-SA"/>
    </w:rPr>
  </w:style>
  <w:style w:type="character" w:customStyle="1" w:styleId="202">
    <w:name w:val="c7 style3"/>
    <w:autoRedefine/>
    <w:qFormat/>
    <w:uiPriority w:val="0"/>
  </w:style>
  <w:style w:type="character" w:customStyle="1" w:styleId="203">
    <w:name w:val="正文文本 3 Char1"/>
    <w:semiHidden/>
    <w:qFormat/>
    <w:uiPriority w:val="99"/>
    <w:rPr>
      <w:rFonts w:ascii="Times New Roman" w:hAnsi="Times New Roman" w:eastAsia="宋体" w:cs="Times New Roman"/>
      <w:sz w:val="16"/>
      <w:szCs w:val="16"/>
    </w:rPr>
  </w:style>
  <w:style w:type="character" w:customStyle="1" w:styleId="204">
    <w:name w:val="tw4winInternal"/>
    <w:autoRedefine/>
    <w:qFormat/>
    <w:uiPriority w:val="0"/>
    <w:rPr>
      <w:rFonts w:ascii="Courier New" w:hAnsi="Courier New" w:cs="Courier New"/>
      <w:color w:val="FF0000"/>
      <w:lang w:val="en-US" w:eastAsia="zh-CN"/>
    </w:rPr>
  </w:style>
  <w:style w:type="character" w:customStyle="1" w:styleId="205">
    <w:name w:val="Char Char10"/>
    <w:autoRedefine/>
    <w:semiHidden/>
    <w:qFormat/>
    <w:uiPriority w:val="0"/>
    <w:rPr>
      <w:rFonts w:ascii="宋体" w:hAnsi="宋体"/>
      <w:kern w:val="2"/>
      <w:sz w:val="21"/>
      <w:szCs w:val="24"/>
      <w:lang w:val="en-US" w:eastAsia="zh-CN"/>
    </w:rPr>
  </w:style>
  <w:style w:type="character" w:customStyle="1" w:styleId="206">
    <w:name w:val="shadow11"/>
    <w:autoRedefine/>
    <w:qFormat/>
    <w:uiPriority w:val="0"/>
    <w:rPr>
      <w:color w:val="000000"/>
      <w:sz w:val="21"/>
    </w:rPr>
  </w:style>
  <w:style w:type="character" w:customStyle="1" w:styleId="207">
    <w:name w:val="正文非缩进 Char3"/>
    <w:autoRedefine/>
    <w:qFormat/>
    <w:uiPriority w:val="0"/>
    <w:rPr>
      <w:rFonts w:ascii="宋体" w:eastAsia="宋体"/>
      <w:snapToGrid w:val="0"/>
      <w:color w:val="000000"/>
      <w:kern w:val="28"/>
      <w:sz w:val="28"/>
      <w:lang w:val="en-US" w:eastAsia="zh-CN" w:bidi="ar-SA"/>
    </w:rPr>
  </w:style>
  <w:style w:type="character" w:customStyle="1" w:styleId="208">
    <w:name w:val="Char Char"/>
    <w:autoRedefine/>
    <w:qFormat/>
    <w:uiPriority w:val="0"/>
    <w:rPr>
      <w:rFonts w:ascii="宋体" w:hAnsi="Courier New" w:eastAsia="宋体"/>
      <w:kern w:val="2"/>
      <w:sz w:val="21"/>
      <w:lang w:val="en-US" w:eastAsia="zh-CN" w:bidi="ar-SA"/>
    </w:rPr>
  </w:style>
  <w:style w:type="character" w:customStyle="1" w:styleId="209">
    <w:name w:val="签名 Char1"/>
    <w:autoRedefine/>
    <w:qFormat/>
    <w:uiPriority w:val="0"/>
    <w:rPr>
      <w:rFonts w:ascii="Times New Roman" w:hAnsi="Times New Roman" w:eastAsia="宋体" w:cs="Times New Roman"/>
      <w:szCs w:val="24"/>
    </w:rPr>
  </w:style>
  <w:style w:type="character" w:customStyle="1" w:styleId="210">
    <w:name w:val="Char Char18"/>
    <w:qFormat/>
    <w:uiPriority w:val="6"/>
    <w:rPr>
      <w:rFonts w:ascii="宋体" w:hAnsi="宋体"/>
      <w:sz w:val="28"/>
    </w:rPr>
  </w:style>
  <w:style w:type="character" w:customStyle="1" w:styleId="211">
    <w:name w:val="批注文字 Char"/>
    <w:autoRedefine/>
    <w:qFormat/>
    <w:uiPriority w:val="99"/>
    <w:rPr>
      <w:kern w:val="2"/>
      <w:sz w:val="21"/>
      <w:szCs w:val="24"/>
    </w:rPr>
  </w:style>
  <w:style w:type="character" w:customStyle="1" w:styleId="212">
    <w:name w:val="Char Char22"/>
    <w:autoRedefine/>
    <w:qFormat/>
    <w:uiPriority w:val="6"/>
    <w:rPr>
      <w:rFonts w:ascii="宋体" w:hAnsi="宋体"/>
      <w:kern w:val="1"/>
      <w:sz w:val="24"/>
      <w:szCs w:val="24"/>
    </w:rPr>
  </w:style>
  <w:style w:type="character" w:customStyle="1" w:styleId="213">
    <w:name w:val="pt141"/>
    <w:autoRedefine/>
    <w:qFormat/>
    <w:uiPriority w:val="0"/>
    <w:rPr>
      <w:color w:val="330066"/>
      <w:sz w:val="22"/>
      <w:szCs w:val="22"/>
    </w:rPr>
  </w:style>
  <w:style w:type="character" w:customStyle="1" w:styleId="214">
    <w:name w:val="正文文本缩进 2 Char1"/>
    <w:semiHidden/>
    <w:qFormat/>
    <w:uiPriority w:val="99"/>
    <w:rPr>
      <w:rFonts w:ascii="Times New Roman" w:hAnsi="Times New Roman" w:eastAsia="宋体" w:cs="Times New Roman"/>
      <w:szCs w:val="24"/>
    </w:rPr>
  </w:style>
  <w:style w:type="character" w:customStyle="1" w:styleId="215">
    <w:name w:val="Char Char611"/>
    <w:autoRedefine/>
    <w:qFormat/>
    <w:uiPriority w:val="0"/>
    <w:rPr>
      <w:rFonts w:eastAsia="宋体"/>
      <w:kern w:val="2"/>
      <w:sz w:val="21"/>
      <w:szCs w:val="24"/>
      <w:lang w:val="en-US" w:eastAsia="zh-CN" w:bidi="ar-SA"/>
    </w:rPr>
  </w:style>
  <w:style w:type="character" w:customStyle="1" w:styleId="216">
    <w:name w:val="highlight1"/>
    <w:autoRedefine/>
    <w:qFormat/>
    <w:uiPriority w:val="0"/>
    <w:rPr>
      <w:rFonts w:ascii="仿宋_GB2312" w:eastAsia="微软雅黑"/>
      <w:b/>
      <w:kern w:val="2"/>
      <w:sz w:val="23"/>
      <w:szCs w:val="23"/>
      <w:lang w:val="en-US" w:eastAsia="zh-CN" w:bidi="ar-SA"/>
    </w:rPr>
  </w:style>
  <w:style w:type="character" w:customStyle="1" w:styleId="217">
    <w:name w:val="my正文 Char"/>
    <w:link w:val="218"/>
    <w:autoRedefine/>
    <w:qFormat/>
    <w:locked/>
    <w:uiPriority w:val="0"/>
    <w:rPr>
      <w:rFonts w:ascii="Tahoma" w:hAnsi="Tahoma"/>
      <w:sz w:val="24"/>
      <w:szCs w:val="24"/>
    </w:rPr>
  </w:style>
  <w:style w:type="paragraph" w:customStyle="1" w:styleId="218">
    <w:name w:val="my正文"/>
    <w:basedOn w:val="1"/>
    <w:link w:val="217"/>
    <w:autoRedefine/>
    <w:qFormat/>
    <w:uiPriority w:val="0"/>
    <w:pPr>
      <w:adjustRightInd/>
      <w:spacing w:line="360" w:lineRule="auto"/>
      <w:ind w:firstLine="480" w:firstLineChars="200"/>
    </w:pPr>
    <w:rPr>
      <w:rFonts w:ascii="Tahoma" w:hAnsi="Tahoma"/>
      <w:kern w:val="0"/>
      <w:sz w:val="24"/>
    </w:rPr>
  </w:style>
  <w:style w:type="character" w:customStyle="1" w:styleId="219">
    <w:name w:val="Used by Word for text of Help footnotes Char Char1"/>
    <w:autoRedefine/>
    <w:qFormat/>
    <w:uiPriority w:val="0"/>
    <w:rPr>
      <w:color w:val="0000FF"/>
      <w:sz w:val="21"/>
    </w:rPr>
  </w:style>
  <w:style w:type="character" w:customStyle="1" w:styleId="220">
    <w:name w:val="页眉 Char"/>
    <w:autoRedefine/>
    <w:qFormat/>
    <w:uiPriority w:val="0"/>
    <w:rPr>
      <w:rFonts w:eastAsia="仿宋_GB2312"/>
      <w:kern w:val="2"/>
      <w:sz w:val="18"/>
      <w:lang w:val="en-US" w:eastAsia="zh-CN"/>
    </w:rPr>
  </w:style>
  <w:style w:type="character" w:customStyle="1" w:styleId="221">
    <w:name w:val="FA正文 Char Char"/>
    <w:autoRedefine/>
    <w:qFormat/>
    <w:uiPriority w:val="0"/>
    <w:rPr>
      <w:rFonts w:hAnsi="宋体"/>
      <w:kern w:val="2"/>
      <w:sz w:val="24"/>
      <w:lang w:bidi="ar-SA"/>
    </w:rPr>
  </w:style>
  <w:style w:type="character" w:customStyle="1" w:styleId="222">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23">
    <w:name w:val="3级 Char"/>
    <w:link w:val="224"/>
    <w:autoRedefine/>
    <w:qFormat/>
    <w:uiPriority w:val="0"/>
    <w:rPr>
      <w:rFonts w:ascii="宋体" w:hAnsi="宋体"/>
      <w:b/>
      <w:bCs/>
      <w:snapToGrid/>
      <w:sz w:val="28"/>
    </w:rPr>
  </w:style>
  <w:style w:type="paragraph" w:customStyle="1" w:styleId="224">
    <w:name w:val="3级"/>
    <w:basedOn w:val="225"/>
    <w:link w:val="223"/>
    <w:qFormat/>
    <w:uiPriority w:val="0"/>
    <w:pPr>
      <w:ind w:left="0" w:right="466" w:firstLine="288"/>
    </w:pPr>
    <w:rPr>
      <w:rFonts w:hAnsi="宋体"/>
      <w:snapToGrid/>
    </w:rPr>
  </w:style>
  <w:style w:type="paragraph" w:customStyle="1" w:styleId="225">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6">
    <w:name w:val="myp11"/>
    <w:autoRedefine/>
    <w:qFormat/>
    <w:uiPriority w:val="0"/>
    <w:rPr>
      <w:rFonts w:ascii="仿宋_GB2312" w:eastAsia="微软雅黑"/>
      <w:b/>
      <w:kern w:val="2"/>
      <w:sz w:val="32"/>
      <w:szCs w:val="32"/>
      <w:lang w:val="en-US" w:eastAsia="zh-CN" w:bidi="ar-SA"/>
    </w:rPr>
  </w:style>
  <w:style w:type="character" w:customStyle="1" w:styleId="227">
    <w:name w:val="H6 Char"/>
    <w:qFormat/>
    <w:uiPriority w:val="0"/>
    <w:rPr>
      <w:rFonts w:ascii="Arial" w:hAnsi="Arial" w:eastAsia="黑体"/>
      <w:b/>
      <w:bCs/>
      <w:kern w:val="2"/>
      <w:sz w:val="24"/>
      <w:szCs w:val="24"/>
    </w:rPr>
  </w:style>
  <w:style w:type="character" w:customStyle="1" w:styleId="228">
    <w:name w:val="Char Char91"/>
    <w:qFormat/>
    <w:uiPriority w:val="0"/>
    <w:rPr>
      <w:rFonts w:eastAsia="宋体"/>
      <w:kern w:val="2"/>
      <w:sz w:val="18"/>
      <w:szCs w:val="18"/>
      <w:lang w:val="en-US" w:eastAsia="zh-CN" w:bidi="ar-SA"/>
    </w:rPr>
  </w:style>
  <w:style w:type="character" w:customStyle="1" w:styleId="229">
    <w:name w:val="副标题 Char1"/>
    <w:autoRedefine/>
    <w:qFormat/>
    <w:uiPriority w:val="0"/>
    <w:rPr>
      <w:rFonts w:ascii="Cambria" w:hAnsi="Cambria" w:eastAsia="宋体" w:cs="Times New Roman"/>
      <w:b/>
      <w:bCs/>
      <w:snapToGrid w:val="0"/>
      <w:kern w:val="28"/>
      <w:sz w:val="32"/>
      <w:szCs w:val="32"/>
    </w:rPr>
  </w:style>
  <w:style w:type="character" w:customStyle="1" w:styleId="230">
    <w:name w:val="font61"/>
    <w:autoRedefine/>
    <w:qFormat/>
    <w:uiPriority w:val="0"/>
    <w:rPr>
      <w:rFonts w:hint="eastAsia" w:ascii="仿宋" w:hAnsi="仿宋" w:eastAsia="仿宋" w:cs="仿宋"/>
      <w:color w:val="000000"/>
      <w:sz w:val="20"/>
      <w:szCs w:val="20"/>
      <w:u w:val="none"/>
    </w:rPr>
  </w:style>
  <w:style w:type="character" w:customStyle="1" w:styleId="23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32">
    <w:name w:val="Char Char211"/>
    <w:autoRedefine/>
    <w:qFormat/>
    <w:uiPriority w:val="0"/>
    <w:rPr>
      <w:rFonts w:eastAsia="宋体"/>
      <w:b/>
      <w:bCs/>
      <w:kern w:val="2"/>
      <w:sz w:val="21"/>
      <w:szCs w:val="24"/>
      <w:lang w:val="en-US" w:eastAsia="zh-CN" w:bidi="ar-SA"/>
    </w:rPr>
  </w:style>
  <w:style w:type="character" w:customStyle="1" w:styleId="233">
    <w:name w:val="标题 2 Char"/>
    <w:qFormat/>
    <w:uiPriority w:val="0"/>
    <w:rPr>
      <w:rFonts w:ascii="Arial" w:hAnsi="Arial" w:eastAsia="黑体"/>
      <w:b/>
      <w:kern w:val="2"/>
      <w:sz w:val="32"/>
      <w:lang w:val="en-US" w:eastAsia="zh-CN"/>
    </w:rPr>
  </w:style>
  <w:style w:type="character" w:customStyle="1" w:styleId="234">
    <w:name w:val="maywed421"/>
    <w:autoRedefine/>
    <w:qFormat/>
    <w:uiPriority w:val="0"/>
    <w:rPr>
      <w:color w:val="366FB6"/>
      <w:u w:val="none"/>
    </w:rPr>
  </w:style>
  <w:style w:type="character" w:customStyle="1" w:styleId="235">
    <w:name w:val="正文文本缩进 Char"/>
    <w:autoRedefine/>
    <w:qFormat/>
    <w:uiPriority w:val="0"/>
    <w:rPr>
      <w:rFonts w:ascii="宋体" w:hAnsi="宋体"/>
      <w:kern w:val="2"/>
      <w:sz w:val="24"/>
      <w:szCs w:val="24"/>
    </w:rPr>
  </w:style>
  <w:style w:type="character" w:customStyle="1" w:styleId="236">
    <w:name w:val="Char Char102"/>
    <w:autoRedefine/>
    <w:semiHidden/>
    <w:qFormat/>
    <w:uiPriority w:val="0"/>
    <w:rPr>
      <w:rFonts w:ascii="宋体" w:hAnsi="宋体"/>
      <w:kern w:val="2"/>
      <w:sz w:val="21"/>
      <w:szCs w:val="24"/>
      <w:lang w:val="en-US" w:eastAsia="zh-CN"/>
    </w:rPr>
  </w:style>
  <w:style w:type="character" w:customStyle="1" w:styleId="237">
    <w:name w:val="页眉 Char1"/>
    <w:autoRedefine/>
    <w:qFormat/>
    <w:uiPriority w:val="0"/>
    <w:rPr>
      <w:rFonts w:eastAsia="宋体"/>
      <w:kern w:val="2"/>
      <w:sz w:val="18"/>
      <w:szCs w:val="18"/>
      <w:lang w:val="en-US" w:eastAsia="zh-CN" w:bidi="ar-SA"/>
    </w:rPr>
  </w:style>
  <w:style w:type="character" w:customStyle="1" w:styleId="238">
    <w:name w:val="md"/>
    <w:basedOn w:val="69"/>
    <w:autoRedefine/>
    <w:qFormat/>
    <w:uiPriority w:val="0"/>
    <w:rPr>
      <w:rFonts w:ascii="Arial" w:hAnsi="Arial" w:eastAsia="黑体" w:cs="Arial"/>
      <w:snapToGrid w:val="0"/>
      <w:kern w:val="0"/>
      <w:szCs w:val="21"/>
    </w:rPr>
  </w:style>
  <w:style w:type="character" w:customStyle="1" w:styleId="239">
    <w:name w:val="big1"/>
    <w:autoRedefine/>
    <w:qFormat/>
    <w:uiPriority w:val="0"/>
    <w:rPr>
      <w:rFonts w:hint="eastAsia" w:ascii="宋体" w:hAnsi="宋体" w:eastAsia="宋体"/>
      <w:color w:val="333333"/>
      <w:sz w:val="22"/>
      <w:szCs w:val="22"/>
    </w:rPr>
  </w:style>
  <w:style w:type="character" w:customStyle="1" w:styleId="240">
    <w:name w:val="Char Char311"/>
    <w:qFormat/>
    <w:uiPriority w:val="0"/>
    <w:rPr>
      <w:rFonts w:eastAsia="宋体"/>
      <w:kern w:val="2"/>
      <w:sz w:val="21"/>
      <w:szCs w:val="24"/>
      <w:lang w:val="en-US" w:eastAsia="zh-CN" w:bidi="ar-SA"/>
    </w:rPr>
  </w:style>
  <w:style w:type="character" w:customStyle="1" w:styleId="241">
    <w:name w:val="Char Char81"/>
    <w:autoRedefine/>
    <w:qFormat/>
    <w:uiPriority w:val="6"/>
    <w:rPr>
      <w:rFonts w:eastAsia="宋体"/>
      <w:b/>
      <w:sz w:val="24"/>
      <w:lang w:val="en-GB" w:eastAsia="zh-CN"/>
    </w:rPr>
  </w:style>
  <w:style w:type="character" w:customStyle="1" w:styleId="242">
    <w:name w:val="样式3 Char"/>
    <w:basedOn w:val="198"/>
    <w:autoRedefine/>
    <w:qFormat/>
    <w:uiPriority w:val="0"/>
    <w:rPr>
      <w:rFonts w:ascii="仿宋_GB2312" w:hAnsi="仿宋" w:eastAsia="仿宋_GB2312" w:cs="仿宋_GB2312"/>
      <w:sz w:val="32"/>
      <w:szCs w:val="30"/>
      <w:lang w:val="zh-CN"/>
    </w:rPr>
  </w:style>
  <w:style w:type="character" w:customStyle="1" w:styleId="243">
    <w:name w:val="正文首行缩进 2 Char1"/>
    <w:autoRedefine/>
    <w:qFormat/>
    <w:uiPriority w:val="0"/>
    <w:rPr>
      <w:rFonts w:ascii="Times New Roman" w:hAnsi="Times New Roman" w:eastAsia="宋体" w:cs="Times New Roman"/>
      <w:kern w:val="2"/>
      <w:sz w:val="24"/>
      <w:szCs w:val="24"/>
    </w:rPr>
  </w:style>
  <w:style w:type="character" w:customStyle="1" w:styleId="244">
    <w:name w:val="副标题 Char2"/>
    <w:autoRedefine/>
    <w:qFormat/>
    <w:uiPriority w:val="0"/>
    <w:rPr>
      <w:rFonts w:ascii="Cambria" w:hAnsi="Cambria" w:eastAsia="宋体" w:cs="Times New Roman"/>
      <w:b/>
      <w:bCs/>
      <w:snapToGrid w:val="0"/>
      <w:kern w:val="28"/>
      <w:sz w:val="32"/>
      <w:szCs w:val="32"/>
    </w:rPr>
  </w:style>
  <w:style w:type="character" w:customStyle="1" w:styleId="245">
    <w:name w:val="标题4-dyf Char"/>
    <w:link w:val="246"/>
    <w:autoRedefine/>
    <w:qFormat/>
    <w:uiPriority w:val="0"/>
    <w:rPr>
      <w:rFonts w:ascii="Cambria" w:hAnsi="Cambria"/>
      <w:b/>
      <w:bCs/>
      <w:color w:val="000000"/>
      <w:kern w:val="2"/>
      <w:sz w:val="21"/>
      <w:szCs w:val="21"/>
    </w:rPr>
  </w:style>
  <w:style w:type="paragraph" w:customStyle="1" w:styleId="246">
    <w:name w:val="标题4-dyf"/>
    <w:basedOn w:val="6"/>
    <w:link w:val="245"/>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47">
    <w:name w:val="dectext1"/>
    <w:autoRedefine/>
    <w:qFormat/>
    <w:uiPriority w:val="0"/>
    <w:rPr>
      <w:rFonts w:ascii="宋体" w:hAnsi="宋体" w:eastAsia="宋体"/>
      <w:color w:val="333333"/>
      <w:sz w:val="21"/>
      <w:szCs w:val="21"/>
      <w:u w:val="none"/>
    </w:rPr>
  </w:style>
  <w:style w:type="character" w:customStyle="1" w:styleId="248">
    <w:name w:val="冯 Char"/>
    <w:link w:val="249"/>
    <w:qFormat/>
    <w:uiPriority w:val="0"/>
    <w:rPr>
      <w:rFonts w:ascii="宋体" w:hAnsi="宋体"/>
      <w:color w:val="000000"/>
      <w:sz w:val="24"/>
      <w:szCs w:val="24"/>
    </w:rPr>
  </w:style>
  <w:style w:type="paragraph" w:customStyle="1" w:styleId="249">
    <w:name w:val="冯"/>
    <w:basedOn w:val="1"/>
    <w:link w:val="248"/>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50">
    <w:name w:val="Header Char"/>
    <w:autoRedefine/>
    <w:qFormat/>
    <w:locked/>
    <w:uiPriority w:val="0"/>
    <w:rPr>
      <w:rFonts w:eastAsia="宋体"/>
      <w:kern w:val="2"/>
      <w:sz w:val="18"/>
      <w:szCs w:val="18"/>
      <w:lang w:val="en-US" w:eastAsia="zh-CN" w:bidi="ar-SA"/>
    </w:rPr>
  </w:style>
  <w:style w:type="character" w:customStyle="1" w:styleId="251">
    <w:name w:val="Char Char12"/>
    <w:autoRedefine/>
    <w:qFormat/>
    <w:uiPriority w:val="0"/>
    <w:rPr>
      <w:rFonts w:ascii="仿宋_GB2312" w:eastAsia="仿宋_GB2312"/>
      <w:b/>
      <w:bCs/>
      <w:kern w:val="2"/>
      <w:sz w:val="24"/>
      <w:szCs w:val="24"/>
      <w:lang w:val="zh-CN" w:eastAsia="zh-CN" w:bidi="ar-SA"/>
    </w:rPr>
  </w:style>
  <w:style w:type="character" w:customStyle="1" w:styleId="252">
    <w:name w:val="普通文字 Char3"/>
    <w:qFormat/>
    <w:uiPriority w:val="0"/>
    <w:rPr>
      <w:rFonts w:ascii="宋体" w:hAnsi="Courier New" w:eastAsia="宋体"/>
      <w:kern w:val="2"/>
      <w:sz w:val="21"/>
      <w:lang w:val="en-US" w:eastAsia="zh-CN" w:bidi="ar-SA"/>
    </w:rPr>
  </w:style>
  <w:style w:type="character" w:customStyle="1" w:styleId="253">
    <w:name w:val="公文正文 Char"/>
    <w:qFormat/>
    <w:uiPriority w:val="0"/>
    <w:rPr>
      <w:rFonts w:ascii="仿宋_GB2312" w:eastAsia="仿宋_GB2312"/>
      <w:kern w:val="2"/>
      <w:sz w:val="24"/>
      <w:szCs w:val="24"/>
      <w:lang w:val="en-US" w:eastAsia="zh-CN" w:bidi="ar-SA"/>
    </w:rPr>
  </w:style>
  <w:style w:type="character" w:customStyle="1" w:styleId="254">
    <w:name w:val="正文首行缩进 Char Char Char Char Char"/>
    <w:autoRedefine/>
    <w:qFormat/>
    <w:uiPriority w:val="0"/>
    <w:rPr>
      <w:rFonts w:ascii="宋体"/>
      <w:kern w:val="2"/>
      <w:sz w:val="24"/>
      <w:lang w:val="zh-CN"/>
    </w:rPr>
  </w:style>
  <w:style w:type="character" w:customStyle="1" w:styleId="255">
    <w:name w:val="PI Char"/>
    <w:autoRedefine/>
    <w:qFormat/>
    <w:uiPriority w:val="0"/>
    <w:rPr>
      <w:rFonts w:ascii="宋体" w:hAnsi="宋体" w:eastAsia="宋体"/>
      <w:kern w:val="2"/>
      <w:sz w:val="24"/>
      <w:szCs w:val="24"/>
      <w:lang w:val="en-US" w:eastAsia="zh-CN" w:bidi="ar-SA"/>
    </w:rPr>
  </w:style>
  <w:style w:type="character" w:customStyle="1" w:styleId="256">
    <w:name w:val="style91"/>
    <w:qFormat/>
    <w:uiPriority w:val="0"/>
    <w:rPr>
      <w:color w:val="333333"/>
    </w:rPr>
  </w:style>
  <w:style w:type="character" w:customStyle="1" w:styleId="257">
    <w:name w:val="列出段落 Char2"/>
    <w:autoRedefine/>
    <w:qFormat/>
    <w:uiPriority w:val="34"/>
    <w:rPr>
      <w:rFonts w:ascii="Calibri" w:hAnsi="Calibri"/>
      <w:kern w:val="2"/>
      <w:sz w:val="28"/>
    </w:rPr>
  </w:style>
  <w:style w:type="character" w:customStyle="1" w:styleId="258">
    <w:name w:val="mdeck"/>
    <w:autoRedefine/>
    <w:qFormat/>
    <w:uiPriority w:val="0"/>
    <w:rPr>
      <w:rFonts w:ascii="仿宋_GB2312" w:eastAsia="微软雅黑"/>
      <w:b/>
      <w:kern w:val="2"/>
      <w:sz w:val="32"/>
      <w:szCs w:val="32"/>
      <w:lang w:val="en-US" w:eastAsia="zh-CN" w:bidi="ar-SA"/>
    </w:rPr>
  </w:style>
  <w:style w:type="character" w:customStyle="1" w:styleId="259">
    <w:name w:val="unnamed11"/>
    <w:autoRedefine/>
    <w:qFormat/>
    <w:uiPriority w:val="0"/>
    <w:rPr>
      <w:sz w:val="20"/>
      <w:szCs w:val="20"/>
    </w:rPr>
  </w:style>
  <w:style w:type="character" w:customStyle="1" w:styleId="260">
    <w:name w:val="正文文本 Char2"/>
    <w:semiHidden/>
    <w:qFormat/>
    <w:uiPriority w:val="99"/>
    <w:rPr>
      <w:rFonts w:ascii="Times New Roman" w:hAnsi="Times New Roman" w:eastAsia="宋体" w:cs="Times New Roman"/>
      <w:snapToGrid w:val="0"/>
      <w:kern w:val="0"/>
      <w:szCs w:val="24"/>
    </w:rPr>
  </w:style>
  <w:style w:type="character" w:customStyle="1" w:styleId="261">
    <w:name w:val="标书正文格式 Char"/>
    <w:autoRedefine/>
    <w:qFormat/>
    <w:uiPriority w:val="0"/>
    <w:rPr>
      <w:rFonts w:eastAsia="楷体_GB2312"/>
      <w:kern w:val="2"/>
      <w:sz w:val="24"/>
      <w:szCs w:val="24"/>
      <w:lang w:bidi="ar-SA"/>
    </w:rPr>
  </w:style>
  <w:style w:type="character" w:customStyle="1" w:styleId="262">
    <w:name w:val="Char Char11"/>
    <w:autoRedefine/>
    <w:qFormat/>
    <w:locked/>
    <w:uiPriority w:val="0"/>
    <w:rPr>
      <w:rFonts w:ascii="宋体" w:hAnsi="宋体" w:eastAsia="宋体"/>
      <w:b/>
      <w:kern w:val="2"/>
      <w:sz w:val="24"/>
      <w:szCs w:val="24"/>
      <w:lang w:val="en-US" w:eastAsia="zh-CN" w:bidi="ar-SA"/>
    </w:rPr>
  </w:style>
  <w:style w:type="character" w:customStyle="1" w:styleId="263">
    <w:name w:val="ca-131"/>
    <w:autoRedefine/>
    <w:qFormat/>
    <w:uiPriority w:val="0"/>
    <w:rPr>
      <w:rFonts w:hint="eastAsia" w:ascii="仿宋_GB2312" w:eastAsia="仿宋_GB2312"/>
      <w:b/>
      <w:bCs/>
      <w:color w:val="000000"/>
      <w:spacing w:val="-20"/>
      <w:sz w:val="24"/>
      <w:szCs w:val="24"/>
    </w:rPr>
  </w:style>
  <w:style w:type="character" w:customStyle="1" w:styleId="264">
    <w:name w:val="tw4winMark"/>
    <w:autoRedefine/>
    <w:qFormat/>
    <w:uiPriority w:val="0"/>
    <w:rPr>
      <w:rFonts w:ascii="Courier New" w:hAnsi="Courier New" w:cs="Courier New"/>
      <w:vanish/>
      <w:color w:val="800080"/>
      <w:sz w:val="24"/>
      <w:szCs w:val="24"/>
      <w:vertAlign w:val="subscript"/>
    </w:rPr>
  </w:style>
  <w:style w:type="character" w:customStyle="1" w:styleId="265">
    <w:name w:val="正文样式 Char"/>
    <w:link w:val="266"/>
    <w:autoRedefine/>
    <w:qFormat/>
    <w:uiPriority w:val="0"/>
    <w:rPr>
      <w:rFonts w:ascii="Calibri" w:hAnsi="Calibri"/>
      <w:sz w:val="24"/>
      <w:szCs w:val="24"/>
    </w:rPr>
  </w:style>
  <w:style w:type="paragraph" w:customStyle="1" w:styleId="266">
    <w:name w:val="正文样式"/>
    <w:basedOn w:val="1"/>
    <w:link w:val="265"/>
    <w:autoRedefine/>
    <w:qFormat/>
    <w:uiPriority w:val="0"/>
    <w:pPr>
      <w:adjustRightInd/>
      <w:spacing w:line="360" w:lineRule="auto"/>
      <w:ind w:firstLine="480" w:firstLineChars="200"/>
    </w:pPr>
    <w:rPr>
      <w:kern w:val="0"/>
      <w:sz w:val="24"/>
    </w:rPr>
  </w:style>
  <w:style w:type="character" w:customStyle="1" w:styleId="267">
    <w:name w:val="表正文 Char3"/>
    <w:qFormat/>
    <w:uiPriority w:val="0"/>
    <w:rPr>
      <w:rFonts w:eastAsia="宋体"/>
    </w:rPr>
  </w:style>
  <w:style w:type="character" w:customStyle="1" w:styleId="268">
    <w:name w:val="H5 Char"/>
    <w:autoRedefine/>
    <w:qFormat/>
    <w:uiPriority w:val="0"/>
    <w:rPr>
      <w:b/>
      <w:bCs/>
      <w:kern w:val="2"/>
      <w:sz w:val="28"/>
      <w:szCs w:val="28"/>
    </w:rPr>
  </w:style>
  <w:style w:type="character" w:customStyle="1" w:styleId="269">
    <w:name w:val="Char Char3"/>
    <w:autoRedefine/>
    <w:qFormat/>
    <w:uiPriority w:val="0"/>
    <w:rPr>
      <w:rFonts w:eastAsia="宋体"/>
      <w:kern w:val="2"/>
      <w:sz w:val="21"/>
      <w:szCs w:val="24"/>
      <w:lang w:val="en-US" w:eastAsia="zh-CN" w:bidi="ar-SA"/>
    </w:rPr>
  </w:style>
  <w:style w:type="character" w:customStyle="1" w:styleId="270">
    <w:name w:val="正文 编号 Char"/>
    <w:autoRedefine/>
    <w:qFormat/>
    <w:uiPriority w:val="0"/>
    <w:rPr>
      <w:rFonts w:ascii="仿宋_GB2312" w:hAnsi="仿宋_GB2312" w:eastAsia="仿宋_GB2312"/>
      <w:kern w:val="2"/>
      <w:sz w:val="24"/>
      <w:lang w:bidi="ar-SA"/>
    </w:rPr>
  </w:style>
  <w:style w:type="character" w:customStyle="1" w:styleId="271">
    <w:name w:val="question-title2"/>
    <w:autoRedefine/>
    <w:qFormat/>
    <w:uiPriority w:val="6"/>
    <w:rPr>
      <w:rFonts w:ascii="Arial" w:hAnsi="Arial" w:eastAsia="黑体" w:cs="Arial"/>
      <w:snapToGrid w:val="0"/>
      <w:kern w:val="0"/>
      <w:szCs w:val="21"/>
    </w:rPr>
  </w:style>
  <w:style w:type="character" w:customStyle="1" w:styleId="272">
    <w:name w:val="gf正文1 Char Char"/>
    <w:link w:val="273"/>
    <w:autoRedefine/>
    <w:qFormat/>
    <w:uiPriority w:val="0"/>
    <w:rPr>
      <w:rFonts w:ascii="宋体" w:hAnsi="宋体" w:cs="宋体"/>
      <w:kern w:val="2"/>
      <w:sz w:val="24"/>
      <w:szCs w:val="24"/>
    </w:rPr>
  </w:style>
  <w:style w:type="paragraph" w:customStyle="1" w:styleId="273">
    <w:name w:val="gf正文1"/>
    <w:basedOn w:val="1"/>
    <w:link w:val="27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4">
    <w:name w:val="Char Char15"/>
    <w:autoRedefine/>
    <w:qFormat/>
    <w:uiPriority w:val="6"/>
    <w:rPr>
      <w:rFonts w:ascii="宋体" w:hAnsi="宋体"/>
      <w:kern w:val="1"/>
      <w:sz w:val="21"/>
    </w:rPr>
  </w:style>
  <w:style w:type="character" w:customStyle="1" w:styleId="275">
    <w:name w:val="正文缩进 Char3"/>
    <w:autoRedefine/>
    <w:qFormat/>
    <w:uiPriority w:val="0"/>
    <w:rPr>
      <w:rFonts w:ascii="宋体" w:eastAsia="宋体"/>
      <w:snapToGrid w:val="0"/>
      <w:color w:val="000000"/>
      <w:kern w:val="28"/>
      <w:sz w:val="28"/>
      <w:lang w:val="en-US" w:eastAsia="zh-CN" w:bidi="ar-SA"/>
    </w:rPr>
  </w:style>
  <w:style w:type="character" w:customStyle="1" w:styleId="276">
    <w:name w:val="列出段落 Char1"/>
    <w:link w:val="277"/>
    <w:qFormat/>
    <w:uiPriority w:val="0"/>
    <w:rPr>
      <w:rFonts w:ascii="Calibri" w:hAnsi="Calibri"/>
      <w:sz w:val="24"/>
      <w:lang w:eastAsia="en-US"/>
    </w:rPr>
  </w:style>
  <w:style w:type="paragraph" w:customStyle="1" w:styleId="277">
    <w:name w:val="列表1"/>
    <w:basedOn w:val="1"/>
    <w:next w:val="278"/>
    <w:link w:val="276"/>
    <w:qFormat/>
    <w:uiPriority w:val="0"/>
    <w:pPr>
      <w:widowControl/>
      <w:adjustRightInd/>
      <w:spacing w:after="200" w:line="360" w:lineRule="auto"/>
      <w:ind w:left="720" w:firstLine="200" w:firstLineChars="200"/>
      <w:jc w:val="left"/>
    </w:pPr>
    <w:rPr>
      <w:kern w:val="0"/>
      <w:sz w:val="24"/>
      <w:szCs w:val="20"/>
      <w:lang w:eastAsia="en-US"/>
    </w:rPr>
  </w:style>
  <w:style w:type="paragraph" w:styleId="27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79">
    <w:name w:val="Char Char8"/>
    <w:qFormat/>
    <w:uiPriority w:val="0"/>
    <w:rPr>
      <w:rFonts w:eastAsia="宋体"/>
      <w:b/>
      <w:sz w:val="24"/>
      <w:lang w:val="en-GB" w:eastAsia="zh-CN"/>
    </w:rPr>
  </w:style>
  <w:style w:type="character" w:customStyle="1" w:styleId="280">
    <w:name w:val="Normal Indent Char Char"/>
    <w:autoRedefine/>
    <w:qFormat/>
    <w:uiPriority w:val="0"/>
    <w:rPr>
      <w:rFonts w:eastAsia="宋体"/>
      <w:kern w:val="2"/>
      <w:sz w:val="21"/>
      <w:lang w:val="en-US" w:eastAsia="zh-CN" w:bidi="ar-SA"/>
    </w:rPr>
  </w:style>
  <w:style w:type="character" w:customStyle="1" w:styleId="281">
    <w:name w:val="列表段落 字符"/>
    <w:autoRedefine/>
    <w:qFormat/>
    <w:uiPriority w:val="99"/>
  </w:style>
  <w:style w:type="character" w:customStyle="1" w:styleId="282">
    <w:name w:val="Ò³Ã¼ Char Char1"/>
    <w:autoRedefine/>
    <w:qFormat/>
    <w:uiPriority w:val="0"/>
    <w:rPr>
      <w:rFonts w:eastAsia="宋体"/>
      <w:kern w:val="2"/>
      <w:sz w:val="18"/>
      <w:szCs w:val="18"/>
      <w:lang w:val="en-US" w:eastAsia="zh-CN" w:bidi="ar-SA"/>
    </w:rPr>
  </w:style>
  <w:style w:type="character" w:customStyle="1" w:styleId="283">
    <w:name w:val="方案正文 Char"/>
    <w:qFormat/>
    <w:uiPriority w:val="0"/>
    <w:rPr>
      <w:rFonts w:ascii="仿宋_GB2312" w:eastAsia="仿宋_GB2312"/>
      <w:b/>
      <w:color w:val="000000"/>
      <w:kern w:val="2"/>
      <w:sz w:val="24"/>
      <w:lang w:val="en-US" w:eastAsia="zh-CN" w:bidi="ar-SA"/>
    </w:rPr>
  </w:style>
  <w:style w:type="character" w:customStyle="1" w:styleId="284">
    <w:name w:val="Char Char30"/>
    <w:autoRedefine/>
    <w:qFormat/>
    <w:uiPriority w:val="6"/>
    <w:rPr>
      <w:rFonts w:ascii="Arial" w:hAnsi="Arial" w:eastAsia="黑体"/>
      <w:kern w:val="1"/>
      <w:sz w:val="21"/>
      <w:szCs w:val="21"/>
    </w:rPr>
  </w:style>
  <w:style w:type="character" w:customStyle="1" w:styleId="285">
    <w:name w:val="font01"/>
    <w:autoRedefine/>
    <w:qFormat/>
    <w:uiPriority w:val="0"/>
    <w:rPr>
      <w:rFonts w:hint="eastAsia" w:ascii="微软雅黑" w:hAnsi="微软雅黑" w:eastAsia="微软雅黑" w:cs="微软雅黑"/>
      <w:color w:val="000000"/>
      <w:sz w:val="20"/>
      <w:szCs w:val="20"/>
      <w:u w:val="none"/>
    </w:rPr>
  </w:style>
  <w:style w:type="character" w:customStyle="1" w:styleId="286">
    <w:name w:val="Char Char20"/>
    <w:autoRedefine/>
    <w:qFormat/>
    <w:uiPriority w:val="6"/>
    <w:rPr>
      <w:kern w:val="1"/>
      <w:sz w:val="24"/>
    </w:rPr>
  </w:style>
  <w:style w:type="character" w:customStyle="1" w:styleId="287">
    <w:name w:val="tw4winExternal"/>
    <w:autoRedefine/>
    <w:qFormat/>
    <w:uiPriority w:val="0"/>
    <w:rPr>
      <w:rFonts w:ascii="Courier New" w:hAnsi="Courier New" w:cs="Courier New"/>
      <w:color w:val="808080"/>
      <w:lang w:val="en-US" w:eastAsia="zh-CN"/>
    </w:rPr>
  </w:style>
  <w:style w:type="character" w:customStyle="1" w:styleId="288">
    <w:name w:val="标题 4 Char1"/>
    <w:autoRedefine/>
    <w:qFormat/>
    <w:uiPriority w:val="9"/>
    <w:rPr>
      <w:rFonts w:ascii="Cambria" w:hAnsi="Cambria" w:eastAsia="宋体" w:cs="Times New Roman"/>
      <w:b/>
      <w:bCs/>
      <w:kern w:val="2"/>
      <w:sz w:val="28"/>
      <w:szCs w:val="28"/>
    </w:rPr>
  </w:style>
  <w:style w:type="character" w:customStyle="1" w:styleId="289">
    <w:name w:val="批注文字 Char2"/>
    <w:autoRedefine/>
    <w:qFormat/>
    <w:uiPriority w:val="99"/>
    <w:rPr>
      <w:rFonts w:ascii="Times New Roman" w:hAnsi="Times New Roman" w:eastAsia="宋体" w:cs="Times New Roman"/>
      <w:snapToGrid w:val="0"/>
      <w:kern w:val="0"/>
      <w:szCs w:val="24"/>
    </w:rPr>
  </w:style>
  <w:style w:type="character" w:customStyle="1" w:styleId="290">
    <w:name w:val="正文文本 2 Char"/>
    <w:autoRedefine/>
    <w:qFormat/>
    <w:uiPriority w:val="0"/>
    <w:rPr>
      <w:rFonts w:eastAsia="宋体"/>
      <w:kern w:val="2"/>
      <w:sz w:val="21"/>
      <w:szCs w:val="24"/>
      <w:lang w:val="en-US" w:eastAsia="zh-CN" w:bidi="ar-SA"/>
    </w:rPr>
  </w:style>
  <w:style w:type="character" w:customStyle="1" w:styleId="291">
    <w:name w:val="Ò³Ã¼ Char Char"/>
    <w:qFormat/>
    <w:uiPriority w:val="0"/>
    <w:rPr>
      <w:rFonts w:eastAsia="宋体"/>
      <w:kern w:val="2"/>
      <w:sz w:val="18"/>
      <w:lang w:val="en-US" w:eastAsia="zh-CN" w:bidi="ar-SA"/>
    </w:rPr>
  </w:style>
  <w:style w:type="character" w:customStyle="1" w:styleId="292">
    <w:name w:val="message1"/>
    <w:autoRedefine/>
    <w:qFormat/>
    <w:uiPriority w:val="0"/>
    <w:rPr>
      <w:rFonts w:hint="default" w:ascii="Tahoma" w:hAnsi="Tahoma" w:cs="Tahoma"/>
      <w:sz w:val="18"/>
      <w:szCs w:val="18"/>
    </w:rPr>
  </w:style>
  <w:style w:type="character" w:customStyle="1" w:styleId="293">
    <w:name w:val="Char Char23"/>
    <w:qFormat/>
    <w:uiPriority w:val="6"/>
    <w:rPr>
      <w:color w:val="0000FF"/>
      <w:sz w:val="21"/>
    </w:rPr>
  </w:style>
  <w:style w:type="character" w:customStyle="1" w:styleId="294">
    <w:name w:val="批注框文本 字符"/>
    <w:autoRedefine/>
    <w:qFormat/>
    <w:uiPriority w:val="0"/>
    <w:rPr>
      <w:rFonts w:ascii="Arial" w:hAnsi="Arial" w:eastAsia="黑体" w:cs="Arial"/>
      <w:snapToGrid w:val="0"/>
      <w:kern w:val="0"/>
      <w:sz w:val="18"/>
      <w:szCs w:val="18"/>
    </w:rPr>
  </w:style>
  <w:style w:type="character" w:customStyle="1" w:styleId="295">
    <w:name w:val="纯文本 Char2"/>
    <w:autoRedefine/>
    <w:semiHidden/>
    <w:qFormat/>
    <w:uiPriority w:val="99"/>
    <w:rPr>
      <w:rFonts w:ascii="宋体" w:hAnsi="Courier New" w:eastAsia="宋体" w:cs="Courier New"/>
    </w:rPr>
  </w:style>
  <w:style w:type="character" w:customStyle="1" w:styleId="296">
    <w:name w:val="Char Char25"/>
    <w:autoRedefine/>
    <w:qFormat/>
    <w:uiPriority w:val="6"/>
    <w:rPr>
      <w:rFonts w:ascii="宋体" w:hAnsi="宋体"/>
      <w:kern w:val="1"/>
      <w:sz w:val="24"/>
      <w:lang w:val="zh-CN"/>
    </w:rPr>
  </w:style>
  <w:style w:type="character" w:customStyle="1" w:styleId="297">
    <w:name w:val="Char Char411"/>
    <w:autoRedefine/>
    <w:qFormat/>
    <w:uiPriority w:val="0"/>
    <w:rPr>
      <w:rFonts w:eastAsia="宋体"/>
      <w:b/>
      <w:sz w:val="24"/>
      <w:lang w:val="en-GB" w:eastAsia="zh-CN" w:bidi="ar-SA"/>
    </w:rPr>
  </w:style>
  <w:style w:type="character" w:customStyle="1" w:styleId="298">
    <w:name w:val="Heading 7 Char"/>
    <w:autoRedefine/>
    <w:qFormat/>
    <w:locked/>
    <w:uiPriority w:val="0"/>
    <w:rPr>
      <w:rFonts w:ascii="宋体" w:hAnsi="宋体" w:eastAsia="宋体"/>
      <w:b/>
      <w:bCs/>
      <w:kern w:val="2"/>
      <w:sz w:val="24"/>
      <w:szCs w:val="24"/>
      <w:lang w:val="en-US" w:eastAsia="zh-CN" w:bidi="ar-SA"/>
    </w:rPr>
  </w:style>
  <w:style w:type="character" w:customStyle="1" w:styleId="299">
    <w:name w:val="此正文 Char"/>
    <w:link w:val="300"/>
    <w:qFormat/>
    <w:uiPriority w:val="0"/>
    <w:rPr>
      <w:kern w:val="2"/>
      <w:sz w:val="24"/>
      <w:szCs w:val="24"/>
    </w:rPr>
  </w:style>
  <w:style w:type="paragraph" w:customStyle="1" w:styleId="300">
    <w:name w:val="此正文"/>
    <w:basedOn w:val="1"/>
    <w:link w:val="299"/>
    <w:qFormat/>
    <w:uiPriority w:val="0"/>
    <w:pPr>
      <w:adjustRightInd/>
      <w:spacing w:line="360" w:lineRule="auto"/>
      <w:ind w:firstLine="200" w:firstLineChars="200"/>
    </w:pPr>
    <w:rPr>
      <w:sz w:val="24"/>
    </w:rPr>
  </w:style>
  <w:style w:type="character" w:customStyle="1" w:styleId="301">
    <w:name w:val="Char Char2"/>
    <w:qFormat/>
    <w:uiPriority w:val="0"/>
    <w:rPr>
      <w:rFonts w:eastAsia="宋体"/>
      <w:b/>
      <w:bCs/>
      <w:kern w:val="2"/>
      <w:sz w:val="21"/>
      <w:szCs w:val="24"/>
      <w:lang w:val="en-US" w:eastAsia="zh-CN" w:bidi="ar-SA"/>
    </w:rPr>
  </w:style>
  <w:style w:type="character" w:customStyle="1" w:styleId="302">
    <w:name w:val="Footer-Even Char1"/>
    <w:qFormat/>
    <w:uiPriority w:val="0"/>
    <w:rPr>
      <w:rFonts w:eastAsia="宋体"/>
      <w:kern w:val="2"/>
      <w:sz w:val="18"/>
      <w:szCs w:val="18"/>
      <w:lang w:val="en-US" w:eastAsia="zh-CN" w:bidi="ar-SA"/>
    </w:rPr>
  </w:style>
  <w:style w:type="character" w:customStyle="1" w:styleId="303">
    <w:name w:val="Char Char29"/>
    <w:autoRedefine/>
    <w:qFormat/>
    <w:uiPriority w:val="6"/>
    <w:rPr>
      <w:rFonts w:ascii="Arial" w:hAnsi="Arial" w:eastAsia="微软雅黑"/>
      <w:b/>
      <w:kern w:val="1"/>
      <w:sz w:val="44"/>
      <w:szCs w:val="32"/>
      <w:lang w:val="en-US" w:eastAsia="zh-CN" w:bidi="ar-SA"/>
    </w:rPr>
  </w:style>
  <w:style w:type="character" w:customStyle="1" w:styleId="304">
    <w:name w:val="font81"/>
    <w:qFormat/>
    <w:uiPriority w:val="0"/>
    <w:rPr>
      <w:rFonts w:ascii="微软雅黑" w:hAnsi="微软雅黑" w:eastAsia="微软雅黑" w:cs="微软雅黑"/>
      <w:color w:val="000000"/>
      <w:sz w:val="20"/>
      <w:szCs w:val="20"/>
      <w:u w:val="none"/>
    </w:rPr>
  </w:style>
  <w:style w:type="character" w:customStyle="1" w:styleId="30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306">
    <w:name w:val="t21"/>
    <w:autoRedefine/>
    <w:qFormat/>
    <w:uiPriority w:val="0"/>
    <w:rPr>
      <w:rFonts w:ascii="仿宋_GB2312" w:eastAsia="微软雅黑"/>
      <w:b/>
      <w:kern w:val="2"/>
      <w:sz w:val="23"/>
      <w:szCs w:val="23"/>
      <w:lang w:val="en-US" w:eastAsia="zh-CN" w:bidi="ar-SA"/>
    </w:rPr>
  </w:style>
  <w:style w:type="character" w:customStyle="1" w:styleId="307">
    <w:name w:val="样式8 Char"/>
    <w:autoRedefine/>
    <w:qFormat/>
    <w:uiPriority w:val="0"/>
    <w:rPr>
      <w:rFonts w:ascii="仿宋_GB2312" w:hAnsi="宋体" w:eastAsia="仿宋_GB2312"/>
      <w:b/>
      <w:bCs/>
      <w:kern w:val="2"/>
      <w:sz w:val="24"/>
      <w:szCs w:val="24"/>
    </w:rPr>
  </w:style>
  <w:style w:type="character" w:customStyle="1" w:styleId="308">
    <w:name w:val="表格 Char Char"/>
    <w:autoRedefine/>
    <w:qFormat/>
    <w:uiPriority w:val="0"/>
    <w:rPr>
      <w:rFonts w:ascii="宋体" w:hAnsi="宋体" w:eastAsia="宋体"/>
      <w:lang w:bidi="ar-SA"/>
    </w:rPr>
  </w:style>
  <w:style w:type="character" w:customStyle="1" w:styleId="309">
    <w:name w:val="正文文本 字符1"/>
    <w:autoRedefine/>
    <w:qFormat/>
    <w:uiPriority w:val="0"/>
    <w:rPr>
      <w:rFonts w:ascii="Calibri" w:hAnsi="Calibri" w:eastAsia="黑体" w:cs="Arial"/>
      <w:snapToGrid w:val="0"/>
      <w:kern w:val="2"/>
      <w:sz w:val="28"/>
      <w:szCs w:val="21"/>
    </w:rPr>
  </w:style>
  <w:style w:type="character" w:customStyle="1" w:styleId="310">
    <w:name w:val="标题 6 Char1"/>
    <w:autoRedefine/>
    <w:qFormat/>
    <w:uiPriority w:val="0"/>
    <w:rPr>
      <w:rFonts w:ascii="Arial" w:hAnsi="Arial" w:eastAsia="黑体" w:cs="Times New Roman"/>
      <w:b/>
      <w:sz w:val="24"/>
      <w:szCs w:val="20"/>
      <w:lang w:bidi="ar-SA"/>
    </w:rPr>
  </w:style>
  <w:style w:type="character" w:customStyle="1" w:styleId="311">
    <w:name w:val="带编号样式 Char"/>
    <w:autoRedefine/>
    <w:qFormat/>
    <w:uiPriority w:val="0"/>
    <w:rPr>
      <w:rFonts w:ascii="仿宋_GB2312" w:eastAsia="仿宋_GB2312"/>
      <w:color w:val="000000"/>
      <w:sz w:val="24"/>
      <w:lang w:bidi="ar-SA"/>
    </w:rPr>
  </w:style>
  <w:style w:type="character" w:customStyle="1" w:styleId="312">
    <w:name w:val="unnamed31"/>
    <w:autoRedefine/>
    <w:qFormat/>
    <w:uiPriority w:val="0"/>
    <w:rPr>
      <w:rFonts w:ascii="Tahoma" w:hAnsi="Tahoma" w:eastAsia="宋体"/>
      <w:b/>
      <w:kern w:val="2"/>
      <w:sz w:val="24"/>
      <w:szCs w:val="32"/>
      <w:u w:val="none"/>
      <w:lang w:val="en-US" w:eastAsia="zh-CN" w:bidi="ar-SA"/>
    </w:rPr>
  </w:style>
  <w:style w:type="character" w:customStyle="1" w:styleId="313">
    <w:name w:val="正文首行缩进 Char Char Char Char Char Char1"/>
    <w:autoRedefine/>
    <w:qFormat/>
    <w:uiPriority w:val="0"/>
    <w:rPr>
      <w:rFonts w:ascii="宋体" w:eastAsia="宋体"/>
      <w:kern w:val="2"/>
      <w:sz w:val="24"/>
      <w:szCs w:val="24"/>
      <w:lang w:val="zh-CN" w:bidi="ar-SA"/>
    </w:rPr>
  </w:style>
  <w:style w:type="character" w:customStyle="1" w:styleId="314">
    <w:name w:val="文本正文 Char Char"/>
    <w:autoRedefine/>
    <w:qFormat/>
    <w:locked/>
    <w:uiPriority w:val="0"/>
    <w:rPr>
      <w:sz w:val="24"/>
      <w:lang w:bidi="ar-SA"/>
    </w:rPr>
  </w:style>
  <w:style w:type="character" w:customStyle="1" w:styleId="315">
    <w:name w:val="正文缩进 字符"/>
    <w:autoRedefine/>
    <w:qFormat/>
    <w:uiPriority w:val="0"/>
    <w:rPr>
      <w:rFonts w:ascii="宋体" w:eastAsia="宋体"/>
      <w:snapToGrid w:val="0"/>
      <w:color w:val="000000"/>
      <w:kern w:val="28"/>
      <w:sz w:val="28"/>
      <w:lang w:val="en-US" w:eastAsia="zh-CN" w:bidi="ar-SA"/>
    </w:rPr>
  </w:style>
  <w:style w:type="character" w:customStyle="1" w:styleId="316">
    <w:name w:val="样式 样式 标题 4h4H4Fab-4T5Ref Heading 1rh1Heading sqlsect 1.2.3.... +... Char"/>
    <w:link w:val="317"/>
    <w:autoRedefine/>
    <w:qFormat/>
    <w:uiPriority w:val="0"/>
    <w:rPr>
      <w:rFonts w:ascii="微软雅黑" w:hAnsi="微软雅黑" w:eastAsia="微软雅黑"/>
      <w:b/>
      <w:bCs/>
      <w:kern w:val="2"/>
      <w:sz w:val="24"/>
      <w:szCs w:val="28"/>
    </w:rPr>
  </w:style>
  <w:style w:type="paragraph" w:customStyle="1" w:styleId="317">
    <w:name w:val="样式 样式 标题 4h4H4Fab-4T5Ref Heading 1rh1Heading sqlsect 1.2.3.... +..."/>
    <w:basedOn w:val="318"/>
    <w:link w:val="316"/>
    <w:qFormat/>
    <w:uiPriority w:val="0"/>
    <w:pPr>
      <w:tabs>
        <w:tab w:val="left" w:pos="2356"/>
      </w:tabs>
    </w:pPr>
  </w:style>
  <w:style w:type="paragraph" w:customStyle="1" w:styleId="318">
    <w:name w:val="样式 标题 4h4H4Fab-4T5Ref Heading 1rh1Heading sqlsect 1.2.3...."/>
    <w:basedOn w:val="6"/>
    <w:link w:val="31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9">
    <w:name w:val="样式 标题 4h4H4Fab-4T5Ref Heading 1rh1Heading sqlsect 1.2.3.... Char"/>
    <w:link w:val="318"/>
    <w:qFormat/>
    <w:uiPriority w:val="0"/>
    <w:rPr>
      <w:rFonts w:ascii="微软雅黑" w:hAnsi="微软雅黑" w:eastAsia="微软雅黑"/>
      <w:b/>
      <w:bCs/>
      <w:kern w:val="2"/>
      <w:sz w:val="24"/>
      <w:szCs w:val="28"/>
    </w:rPr>
  </w:style>
  <w:style w:type="character" w:customStyle="1" w:styleId="320">
    <w:name w:val="正文非缩进 Char"/>
    <w:qFormat/>
    <w:uiPriority w:val="0"/>
    <w:rPr>
      <w:rFonts w:ascii="宋体" w:eastAsia="宋体"/>
      <w:snapToGrid w:val="0"/>
      <w:color w:val="000000"/>
      <w:kern w:val="28"/>
      <w:sz w:val="28"/>
      <w:lang w:val="en-US" w:eastAsia="zh-CN" w:bidi="ar-SA"/>
    </w:rPr>
  </w:style>
  <w:style w:type="character" w:customStyle="1" w:styleId="321">
    <w:name w:val="Char Char5"/>
    <w:autoRedefine/>
    <w:qFormat/>
    <w:uiPriority w:val="0"/>
    <w:rPr>
      <w:rFonts w:ascii="宋体" w:hAnsi="Courier New" w:eastAsia="宋体"/>
      <w:kern w:val="2"/>
      <w:sz w:val="21"/>
      <w:lang w:val="en-US" w:eastAsia="zh-CN"/>
    </w:rPr>
  </w:style>
  <w:style w:type="character" w:customStyle="1" w:styleId="322">
    <w:name w:val="称呼 Char1"/>
    <w:autoRedefine/>
    <w:qFormat/>
    <w:uiPriority w:val="0"/>
    <w:rPr>
      <w:rFonts w:ascii="Times New Roman" w:hAnsi="Times New Roman" w:eastAsia="宋体" w:cs="Times New Roman"/>
      <w:szCs w:val="24"/>
    </w:rPr>
  </w:style>
  <w:style w:type="character" w:customStyle="1" w:styleId="323">
    <w:name w:val="正文1 Char"/>
    <w:autoRedefine/>
    <w:qFormat/>
    <w:uiPriority w:val="0"/>
    <w:rPr>
      <w:rFonts w:ascii="宋体" w:eastAsia="宋体"/>
      <w:snapToGrid w:val="0"/>
      <w:color w:val="000000"/>
      <w:kern w:val="28"/>
      <w:sz w:val="28"/>
      <w:lang w:val="en-US" w:eastAsia="zh-CN" w:bidi="ar-SA"/>
    </w:rPr>
  </w:style>
  <w:style w:type="character" w:customStyle="1" w:styleId="324">
    <w:name w:val="正文缩进 Char1"/>
    <w:qFormat/>
    <w:uiPriority w:val="0"/>
    <w:rPr>
      <w:rFonts w:ascii="宋体" w:eastAsia="宋体"/>
      <w:snapToGrid w:val="0"/>
      <w:color w:val="000000"/>
      <w:kern w:val="28"/>
      <w:sz w:val="28"/>
      <w:lang w:val="en-US" w:eastAsia="zh-CN" w:bidi="ar-SA"/>
    </w:rPr>
  </w:style>
  <w:style w:type="character" w:customStyle="1" w:styleId="325">
    <w:name w:val="font21"/>
    <w:autoRedefine/>
    <w:qFormat/>
    <w:uiPriority w:val="0"/>
    <w:rPr>
      <w:rFonts w:hint="eastAsia" w:ascii="宋体" w:hAnsi="宋体" w:eastAsia="宋体"/>
      <w:kern w:val="2"/>
      <w:sz w:val="28"/>
      <w:szCs w:val="28"/>
      <w:lang w:val="en-US" w:eastAsia="zh-CN" w:bidi="ar-SA"/>
    </w:rPr>
  </w:style>
  <w:style w:type="character" w:customStyle="1" w:styleId="326">
    <w:name w:val="Char Char26"/>
    <w:autoRedefine/>
    <w:qFormat/>
    <w:uiPriority w:val="6"/>
    <w:rPr>
      <w:kern w:val="1"/>
      <w:sz w:val="21"/>
      <w:szCs w:val="24"/>
    </w:rPr>
  </w:style>
  <w:style w:type="character" w:customStyle="1" w:styleId="327">
    <w:name w:val="Item List Char"/>
    <w:link w:val="328"/>
    <w:autoRedefine/>
    <w:qFormat/>
    <w:uiPriority w:val="0"/>
    <w:rPr>
      <w:rFonts w:ascii="Arial"/>
      <w:bCs/>
      <w:sz w:val="21"/>
      <w:szCs w:val="21"/>
      <w:lang w:val="en-US" w:eastAsia="zh-CN" w:bidi="ar-SA"/>
    </w:rPr>
  </w:style>
  <w:style w:type="paragraph" w:customStyle="1" w:styleId="328">
    <w:name w:val="Item List"/>
    <w:link w:val="327"/>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9">
    <w:name w:val="批注框文本 Char1"/>
    <w:autoRedefine/>
    <w:qFormat/>
    <w:uiPriority w:val="0"/>
    <w:rPr>
      <w:rFonts w:ascii="Times New Roman" w:hAnsi="Times New Roman" w:eastAsia="宋体" w:cs="Times New Roman"/>
      <w:sz w:val="18"/>
      <w:szCs w:val="18"/>
    </w:rPr>
  </w:style>
  <w:style w:type="character" w:customStyle="1" w:styleId="330">
    <w:name w:val="纯文本 Char1"/>
    <w:link w:val="331"/>
    <w:autoRedefine/>
    <w:qFormat/>
    <w:uiPriority w:val="0"/>
    <w:rPr>
      <w:rFonts w:ascii="宋体" w:hAnsi="Courier New"/>
    </w:rPr>
  </w:style>
  <w:style w:type="paragraph" w:customStyle="1" w:styleId="331">
    <w:name w:val="纯文本1"/>
    <w:basedOn w:val="332"/>
    <w:link w:val="330"/>
    <w:autoRedefine/>
    <w:qFormat/>
    <w:uiPriority w:val="0"/>
    <w:pPr>
      <w:tabs>
        <w:tab w:val="right" w:leader="dot" w:pos="8268"/>
      </w:tabs>
      <w:adjustRightInd/>
    </w:pPr>
    <w:rPr>
      <w:rFonts w:ascii="宋体" w:hAnsi="Courier New"/>
      <w:kern w:val="0"/>
      <w:sz w:val="20"/>
      <w:szCs w:val="20"/>
    </w:rPr>
  </w:style>
  <w:style w:type="paragraph" w:customStyle="1" w:styleId="332">
    <w:name w:val="正文1"/>
    <w:basedOn w:val="33"/>
    <w:autoRedefine/>
    <w:qFormat/>
    <w:uiPriority w:val="0"/>
    <w:pPr>
      <w:ind w:left="0" w:leftChars="0" w:firstLine="480" w:firstLineChars="200"/>
    </w:pPr>
    <w:rPr>
      <w:rFonts w:ascii="仿宋_GB2312" w:hAnsi="Courier New" w:eastAsia="仿宋_GB2312"/>
      <w:kern w:val="28"/>
      <w:sz w:val="24"/>
    </w:rPr>
  </w:style>
  <w:style w:type="character" w:customStyle="1" w:styleId="333">
    <w:name w:val="h3 Char"/>
    <w:autoRedefine/>
    <w:qFormat/>
    <w:uiPriority w:val="0"/>
    <w:rPr>
      <w:rFonts w:eastAsia="宋体"/>
      <w:b/>
      <w:kern w:val="2"/>
      <w:sz w:val="32"/>
      <w:lang w:val="en-US" w:eastAsia="zh-CN" w:bidi="ar-SA"/>
    </w:rPr>
  </w:style>
  <w:style w:type="character" w:customStyle="1" w:styleId="334">
    <w:name w:val="dandyren_title1"/>
    <w:autoRedefine/>
    <w:qFormat/>
    <w:uiPriority w:val="0"/>
    <w:rPr>
      <w:b/>
      <w:bCs/>
      <w:color w:val="FF6633"/>
      <w:sz w:val="18"/>
      <w:szCs w:val="18"/>
    </w:rPr>
  </w:style>
  <w:style w:type="character" w:customStyle="1" w:styleId="335">
    <w:name w:val="Char Char31"/>
    <w:autoRedefine/>
    <w:qFormat/>
    <w:uiPriority w:val="6"/>
    <w:rPr>
      <w:rFonts w:ascii="Arial" w:hAnsi="Arial" w:eastAsia="黑体"/>
      <w:kern w:val="1"/>
      <w:sz w:val="24"/>
      <w:szCs w:val="24"/>
    </w:rPr>
  </w:style>
  <w:style w:type="character" w:customStyle="1" w:styleId="336">
    <w:name w:val="h Char1"/>
    <w:autoRedefine/>
    <w:qFormat/>
    <w:uiPriority w:val="0"/>
    <w:rPr>
      <w:sz w:val="18"/>
      <w:szCs w:val="18"/>
    </w:rPr>
  </w:style>
  <w:style w:type="character" w:customStyle="1" w:styleId="337">
    <w:name w:val="solutionfonts"/>
    <w:autoRedefine/>
    <w:qFormat/>
    <w:uiPriority w:val="0"/>
  </w:style>
  <w:style w:type="character" w:customStyle="1" w:styleId="338">
    <w:name w:val="首行缩进 Char"/>
    <w:autoRedefine/>
    <w:qFormat/>
    <w:uiPriority w:val="0"/>
    <w:rPr>
      <w:rFonts w:ascii="宋体" w:eastAsia="宋体"/>
      <w:kern w:val="2"/>
      <w:sz w:val="24"/>
      <w:lang w:val="en-US" w:eastAsia="zh-CN" w:bidi="ar-SA"/>
    </w:rPr>
  </w:style>
  <w:style w:type="character" w:customStyle="1" w:styleId="339">
    <w:name w:val="Char Char52"/>
    <w:autoRedefine/>
    <w:qFormat/>
    <w:uiPriority w:val="0"/>
    <w:rPr>
      <w:rFonts w:ascii="宋体" w:hAnsi="Courier New" w:eastAsia="宋体"/>
      <w:kern w:val="2"/>
      <w:sz w:val="21"/>
      <w:lang w:val="en-US" w:eastAsia="zh-CN"/>
    </w:rPr>
  </w:style>
  <w:style w:type="character" w:customStyle="1" w:styleId="340">
    <w:name w:val="font31"/>
    <w:autoRedefine/>
    <w:qFormat/>
    <w:uiPriority w:val="0"/>
    <w:rPr>
      <w:rFonts w:hint="eastAsia" w:ascii="仿宋" w:hAnsi="仿宋" w:eastAsia="仿宋" w:cs="仿宋"/>
      <w:color w:val="000000"/>
      <w:sz w:val="20"/>
      <w:szCs w:val="20"/>
      <w:u w:val="none"/>
    </w:rPr>
  </w:style>
  <w:style w:type="character" w:customStyle="1" w:styleId="341">
    <w:name w:val="正文说明 Char"/>
    <w:link w:val="342"/>
    <w:autoRedefine/>
    <w:qFormat/>
    <w:uiPriority w:val="0"/>
    <w:rPr>
      <w:sz w:val="24"/>
      <w:szCs w:val="24"/>
    </w:rPr>
  </w:style>
  <w:style w:type="paragraph" w:customStyle="1" w:styleId="342">
    <w:name w:val="正文说明"/>
    <w:basedOn w:val="1"/>
    <w:link w:val="341"/>
    <w:autoRedefine/>
    <w:qFormat/>
    <w:uiPriority w:val="0"/>
    <w:pPr>
      <w:adjustRightInd/>
      <w:spacing w:line="360" w:lineRule="auto"/>
    </w:pPr>
    <w:rPr>
      <w:kern w:val="0"/>
      <w:sz w:val="24"/>
    </w:rPr>
  </w:style>
  <w:style w:type="character" w:customStyle="1" w:styleId="343">
    <w:name w:val="脚注文本 Char1"/>
    <w:autoRedefine/>
    <w:qFormat/>
    <w:uiPriority w:val="0"/>
    <w:rPr>
      <w:rFonts w:ascii="Times New Roman" w:hAnsi="Times New Roman" w:eastAsia="宋体" w:cs="Times New Roman"/>
      <w:sz w:val="18"/>
      <w:szCs w:val="18"/>
    </w:rPr>
  </w:style>
  <w:style w:type="character" w:customStyle="1" w:styleId="344">
    <w:name w:val="Char Char1211"/>
    <w:autoRedefine/>
    <w:qFormat/>
    <w:uiPriority w:val="0"/>
    <w:rPr>
      <w:rFonts w:ascii="仿宋_GB2312" w:eastAsia="仿宋_GB2312"/>
      <w:b/>
      <w:bCs/>
      <w:kern w:val="2"/>
      <w:sz w:val="24"/>
      <w:szCs w:val="24"/>
      <w:lang w:val="zh-CN" w:eastAsia="zh-CN" w:bidi="ar-SA"/>
    </w:rPr>
  </w:style>
  <w:style w:type="character" w:customStyle="1" w:styleId="345">
    <w:name w:val="标题 Char"/>
    <w:autoRedefine/>
    <w:qFormat/>
    <w:uiPriority w:val="0"/>
    <w:rPr>
      <w:rFonts w:eastAsia="宋体"/>
      <w:b/>
      <w:sz w:val="24"/>
      <w:lang w:val="en-GB" w:eastAsia="zh-CN" w:bidi="ar-SA"/>
    </w:rPr>
  </w:style>
  <w:style w:type="character" w:customStyle="1" w:styleId="346">
    <w:name w:val="Char Char35"/>
    <w:autoRedefine/>
    <w:qFormat/>
    <w:uiPriority w:val="6"/>
    <w:rPr>
      <w:rFonts w:ascii="Arial" w:hAnsi="Arial" w:eastAsia="黑体"/>
      <w:b/>
      <w:kern w:val="1"/>
      <w:sz w:val="28"/>
      <w:szCs w:val="28"/>
      <w:lang w:val="zh-CN"/>
    </w:rPr>
  </w:style>
  <w:style w:type="character" w:customStyle="1" w:styleId="347">
    <w:name w:val="纯文本 Char Char Char"/>
    <w:autoRedefine/>
    <w:qFormat/>
    <w:uiPriority w:val="0"/>
    <w:rPr>
      <w:rFonts w:ascii="宋体" w:hAnsi="Courier New" w:eastAsia="宋体"/>
      <w:kern w:val="2"/>
      <w:sz w:val="21"/>
      <w:lang w:val="en-US" w:eastAsia="zh-CN" w:bidi="ar-SA"/>
    </w:rPr>
  </w:style>
  <w:style w:type="character" w:customStyle="1" w:styleId="348">
    <w:name w:val="Table Text Char"/>
    <w:link w:val="349"/>
    <w:autoRedefine/>
    <w:qFormat/>
    <w:uiPriority w:val="0"/>
    <w:rPr>
      <w:sz w:val="24"/>
      <w:szCs w:val="24"/>
    </w:rPr>
  </w:style>
  <w:style w:type="paragraph" w:customStyle="1" w:styleId="349">
    <w:name w:val="Table Text"/>
    <w:basedOn w:val="1"/>
    <w:link w:val="348"/>
    <w:autoRedefine/>
    <w:qFormat/>
    <w:uiPriority w:val="0"/>
    <w:pPr>
      <w:widowControl/>
      <w:spacing w:before="60" w:after="60"/>
      <w:jc w:val="left"/>
    </w:pPr>
    <w:rPr>
      <w:kern w:val="0"/>
      <w:sz w:val="24"/>
    </w:rPr>
  </w:style>
  <w:style w:type="character" w:customStyle="1" w:styleId="350">
    <w:name w:val="正文1 Char1"/>
    <w:autoRedefine/>
    <w:qFormat/>
    <w:uiPriority w:val="0"/>
    <w:rPr>
      <w:rFonts w:ascii="仿宋_GB2312" w:hAnsi="Courier New" w:eastAsia="仿宋_GB2312"/>
      <w:kern w:val="28"/>
      <w:sz w:val="24"/>
      <w:szCs w:val="24"/>
      <w:lang w:val="en-US" w:eastAsia="zh-CN"/>
    </w:rPr>
  </w:style>
  <w:style w:type="character" w:customStyle="1" w:styleId="351">
    <w:name w:val="页脚 Char1"/>
    <w:autoRedefine/>
    <w:qFormat/>
    <w:uiPriority w:val="0"/>
    <w:rPr>
      <w:rFonts w:eastAsia="宋体"/>
      <w:kern w:val="2"/>
      <w:sz w:val="18"/>
      <w:szCs w:val="18"/>
      <w:lang w:val="en-US" w:eastAsia="zh-CN" w:bidi="ar-SA"/>
    </w:rPr>
  </w:style>
  <w:style w:type="character" w:customStyle="1" w:styleId="352">
    <w:name w:val="Bold"/>
    <w:autoRedefine/>
    <w:qFormat/>
    <w:uiPriority w:val="0"/>
    <w:rPr>
      <w:rFonts w:ascii="Arial" w:hAnsi="Arial" w:eastAsia="黑体" w:cs="Times New Roman"/>
      <w:b/>
      <w:kern w:val="2"/>
      <w:sz w:val="32"/>
      <w:szCs w:val="32"/>
      <w:lang w:val="en-US" w:eastAsia="zh-CN" w:bidi="ar-SA"/>
    </w:rPr>
  </w:style>
  <w:style w:type="character" w:customStyle="1" w:styleId="353">
    <w:name w:val="hui3"/>
    <w:autoRedefine/>
    <w:qFormat/>
    <w:uiPriority w:val="0"/>
    <w:rPr>
      <w:color w:val="333333"/>
    </w:rPr>
  </w:style>
  <w:style w:type="character" w:customStyle="1" w:styleId="354">
    <w:name w:val="Char Char17"/>
    <w:autoRedefine/>
    <w:qFormat/>
    <w:uiPriority w:val="6"/>
    <w:rPr>
      <w:rFonts w:eastAsia="仿宋_GB2312"/>
      <w:sz w:val="24"/>
    </w:rPr>
  </w:style>
  <w:style w:type="character" w:customStyle="1" w:styleId="35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6">
    <w:name w:val="Char Char37"/>
    <w:autoRedefine/>
    <w:qFormat/>
    <w:uiPriority w:val="6"/>
    <w:rPr>
      <w:b/>
      <w:kern w:val="1"/>
      <w:sz w:val="44"/>
      <w:szCs w:val="44"/>
    </w:rPr>
  </w:style>
  <w:style w:type="character" w:customStyle="1" w:styleId="357">
    <w:name w:val="列出段落 Char"/>
    <w:autoRedefine/>
    <w:qFormat/>
    <w:uiPriority w:val="0"/>
    <w:rPr>
      <w:rFonts w:eastAsia="楷体_GB2312" w:cs="Lucida Sans"/>
      <w:kern w:val="2"/>
      <w:sz w:val="24"/>
      <w:szCs w:val="24"/>
      <w:lang w:val="en-US" w:eastAsia="zh-CN" w:bidi="ar-SA"/>
    </w:rPr>
  </w:style>
  <w:style w:type="character" w:customStyle="1" w:styleId="358">
    <w:name w:val="正文文本缩进 3 Char1"/>
    <w:autoRedefine/>
    <w:semiHidden/>
    <w:qFormat/>
    <w:uiPriority w:val="99"/>
    <w:rPr>
      <w:rFonts w:ascii="Times New Roman" w:hAnsi="Times New Roman" w:eastAsia="宋体" w:cs="Times New Roman"/>
      <w:sz w:val="16"/>
      <w:szCs w:val="16"/>
    </w:rPr>
  </w:style>
  <w:style w:type="character" w:customStyle="1" w:styleId="359">
    <w:name w:val="公文正文 Char Char"/>
    <w:link w:val="360"/>
    <w:autoRedefine/>
    <w:qFormat/>
    <w:uiPriority w:val="0"/>
    <w:rPr>
      <w:rFonts w:ascii="仿宋_GB2312" w:eastAsia="仿宋_GB2312"/>
      <w:kern w:val="2"/>
      <w:sz w:val="24"/>
      <w:szCs w:val="24"/>
    </w:rPr>
  </w:style>
  <w:style w:type="paragraph" w:customStyle="1" w:styleId="360">
    <w:name w:val="公文正文"/>
    <w:basedOn w:val="1"/>
    <w:link w:val="359"/>
    <w:autoRedefine/>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autoRedefine/>
    <w:qFormat/>
    <w:uiPriority w:val="0"/>
    <w:rPr>
      <w:rFonts w:eastAsia="宋体"/>
      <w:sz w:val="24"/>
      <w:szCs w:val="24"/>
      <w:lang w:val="en-US" w:eastAsia="zh-CN" w:bidi="ar-SA"/>
    </w:rPr>
  </w:style>
  <w:style w:type="character" w:customStyle="1" w:styleId="362">
    <w:name w:val="标题 1 Char Char"/>
    <w:autoRedefine/>
    <w:qFormat/>
    <w:uiPriority w:val="0"/>
    <w:rPr>
      <w:rFonts w:hint="eastAsia" w:ascii="宋体" w:hAnsi="宋体" w:eastAsia="宋体"/>
      <w:b/>
      <w:spacing w:val="-2"/>
      <w:sz w:val="24"/>
      <w:lang w:val="en-US" w:eastAsia="zh-CN" w:bidi="ar-SA"/>
    </w:rPr>
  </w:style>
  <w:style w:type="character" w:customStyle="1" w:styleId="363">
    <w:name w:val="正文（缩进2汉字） Char"/>
    <w:link w:val="364"/>
    <w:autoRedefine/>
    <w:qFormat/>
    <w:uiPriority w:val="0"/>
    <w:rPr>
      <w:rFonts w:ascii="宋体"/>
    </w:rPr>
  </w:style>
  <w:style w:type="paragraph" w:customStyle="1" w:styleId="364">
    <w:name w:val="正文（缩进2汉字）"/>
    <w:basedOn w:val="1"/>
    <w:link w:val="36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书表格字体格式 Char"/>
    <w:autoRedefine/>
    <w:qFormat/>
    <w:uiPriority w:val="0"/>
    <w:rPr>
      <w:kern w:val="2"/>
      <w:sz w:val="21"/>
      <w:szCs w:val="24"/>
      <w:lang w:bidi="ar-SA"/>
    </w:rPr>
  </w:style>
  <w:style w:type="character" w:customStyle="1" w:styleId="366">
    <w:name w:val="tw4winError"/>
    <w:autoRedefine/>
    <w:qFormat/>
    <w:uiPriority w:val="0"/>
    <w:rPr>
      <w:rFonts w:ascii="Courier New" w:hAnsi="Courier New" w:cs="Courier New"/>
      <w:color w:val="00FF00"/>
      <w:sz w:val="40"/>
      <w:szCs w:val="40"/>
    </w:rPr>
  </w:style>
  <w:style w:type="character" w:customStyle="1" w:styleId="367">
    <w:name w:val="Body Text(ch) Char Char"/>
    <w:autoRedefine/>
    <w:qFormat/>
    <w:uiPriority w:val="0"/>
    <w:rPr>
      <w:rFonts w:ascii="宋体"/>
      <w:kern w:val="2"/>
      <w:sz w:val="24"/>
      <w:szCs w:val="21"/>
      <w:lang w:val="zh-CN"/>
    </w:rPr>
  </w:style>
  <w:style w:type="character" w:customStyle="1" w:styleId="368">
    <w:name w:val="正文首行缩进两字 Char"/>
    <w:autoRedefine/>
    <w:qFormat/>
    <w:uiPriority w:val="0"/>
    <w:rPr>
      <w:sz w:val="24"/>
      <w:szCs w:val="24"/>
      <w:lang w:val="en-US" w:eastAsia="zh-CN" w:bidi="ar-SA"/>
    </w:rPr>
  </w:style>
  <w:style w:type="character" w:customStyle="1" w:styleId="369">
    <w:name w:val="正文文本 Char"/>
    <w:autoRedefine/>
    <w:qFormat/>
    <w:uiPriority w:val="0"/>
    <w:rPr>
      <w:rFonts w:eastAsia="宋体"/>
      <w:kern w:val="2"/>
      <w:sz w:val="24"/>
      <w:szCs w:val="24"/>
      <w:lang w:val="en-US" w:eastAsia="zh-CN" w:bidi="ar-SA"/>
    </w:rPr>
  </w:style>
  <w:style w:type="character" w:customStyle="1" w:styleId="370">
    <w:name w:val="文档结构图 字符1"/>
    <w:autoRedefine/>
    <w:qFormat/>
    <w:uiPriority w:val="0"/>
    <w:rPr>
      <w:rFonts w:ascii="宋体" w:hAnsi="Calibri" w:eastAsia="黑体" w:cs="Arial"/>
      <w:snapToGrid w:val="0"/>
      <w:kern w:val="2"/>
      <w:sz w:val="18"/>
      <w:szCs w:val="18"/>
    </w:rPr>
  </w:style>
  <w:style w:type="character" w:customStyle="1" w:styleId="371">
    <w:name w:val="content"/>
    <w:autoRedefine/>
    <w:qFormat/>
    <w:uiPriority w:val="0"/>
  </w:style>
  <w:style w:type="character" w:customStyle="1" w:styleId="372">
    <w:name w:val="tw4winPopup"/>
    <w:autoRedefine/>
    <w:qFormat/>
    <w:uiPriority w:val="0"/>
    <w:rPr>
      <w:rFonts w:ascii="Courier New" w:hAnsi="Courier New" w:cs="Courier New"/>
      <w:color w:val="008000"/>
      <w:lang w:val="en-US" w:eastAsia="zh-CN"/>
    </w:rPr>
  </w:style>
  <w:style w:type="character" w:customStyle="1" w:styleId="373">
    <w:name w:val="param-name"/>
    <w:autoRedefine/>
    <w:qFormat/>
    <w:uiPriority w:val="99"/>
    <w:rPr>
      <w:rFonts w:ascii="Arial" w:hAnsi="Arial" w:eastAsia="黑体" w:cs="Arial"/>
      <w:snapToGrid w:val="0"/>
      <w:kern w:val="0"/>
      <w:szCs w:val="21"/>
    </w:rPr>
  </w:style>
  <w:style w:type="character" w:customStyle="1" w:styleId="374">
    <w:name w:val="标准正文格式 Char"/>
    <w:autoRedefine/>
    <w:qFormat/>
    <w:uiPriority w:val="0"/>
    <w:rPr>
      <w:rFonts w:ascii="宋体" w:eastAsia="仿宋_GB2312" w:cs="宋体"/>
      <w:color w:val="000000"/>
      <w:sz w:val="24"/>
      <w:lang w:val="en-US" w:eastAsia="zh-CN" w:bidi="ar-SA"/>
    </w:rPr>
  </w:style>
  <w:style w:type="character" w:customStyle="1" w:styleId="375">
    <w:name w:val="Char Char212"/>
    <w:autoRedefine/>
    <w:qFormat/>
    <w:uiPriority w:val="0"/>
    <w:rPr>
      <w:rFonts w:eastAsia="宋体"/>
      <w:b/>
      <w:bCs/>
      <w:kern w:val="2"/>
      <w:sz w:val="21"/>
      <w:szCs w:val="24"/>
      <w:lang w:val="en-US" w:eastAsia="zh-CN" w:bidi="ar-SA"/>
    </w:rPr>
  </w:style>
  <w:style w:type="character" w:customStyle="1" w:styleId="376">
    <w:name w:val="文档结构图 Char"/>
    <w:autoRedefine/>
    <w:qFormat/>
    <w:uiPriority w:val="0"/>
    <w:rPr>
      <w:rFonts w:eastAsia="宋体"/>
      <w:kern w:val="2"/>
      <w:sz w:val="21"/>
      <w:szCs w:val="24"/>
      <w:lang w:val="en-US" w:eastAsia="zh-CN" w:bidi="ar-SA"/>
    </w:rPr>
  </w:style>
  <w:style w:type="character" w:customStyle="1" w:styleId="377">
    <w:name w:val="zbggmain style9"/>
    <w:autoRedefine/>
    <w:qFormat/>
    <w:uiPriority w:val="0"/>
  </w:style>
  <w:style w:type="character" w:customStyle="1" w:styleId="378">
    <w:name w:val="Char Char16"/>
    <w:autoRedefine/>
    <w:qFormat/>
    <w:uiPriority w:val="6"/>
    <w:rPr>
      <w:kern w:val="1"/>
      <w:sz w:val="18"/>
      <w:szCs w:val="18"/>
    </w:rPr>
  </w:style>
  <w:style w:type="character" w:customStyle="1" w:styleId="379">
    <w:name w:val="font51"/>
    <w:autoRedefine/>
    <w:qFormat/>
    <w:uiPriority w:val="0"/>
    <w:rPr>
      <w:rFonts w:hint="eastAsia" w:ascii="仿宋" w:hAnsi="仿宋" w:eastAsia="仿宋" w:cs="仿宋"/>
      <w:color w:val="000000"/>
      <w:sz w:val="20"/>
      <w:szCs w:val="20"/>
      <w:u w:val="none"/>
    </w:rPr>
  </w:style>
  <w:style w:type="character" w:customStyle="1" w:styleId="380">
    <w:name w:val="Char Char82"/>
    <w:autoRedefine/>
    <w:qFormat/>
    <w:uiPriority w:val="0"/>
    <w:rPr>
      <w:rFonts w:eastAsia="宋体"/>
      <w:b/>
      <w:sz w:val="24"/>
      <w:lang w:val="en-GB" w:eastAsia="zh-CN"/>
    </w:rPr>
  </w:style>
  <w:style w:type="character" w:customStyle="1" w:styleId="381">
    <w:name w:val="日期 Char1"/>
    <w:autoRedefine/>
    <w:semiHidden/>
    <w:qFormat/>
    <w:uiPriority w:val="99"/>
    <w:rPr>
      <w:rFonts w:ascii="Times New Roman" w:hAnsi="Times New Roman" w:eastAsia="宋体" w:cs="Times New Roman"/>
      <w:szCs w:val="24"/>
    </w:rPr>
  </w:style>
  <w:style w:type="character" w:customStyle="1" w:styleId="382">
    <w:name w:val="页眉 字符"/>
    <w:autoRedefine/>
    <w:qFormat/>
    <w:uiPriority w:val="99"/>
    <w:rPr>
      <w:kern w:val="2"/>
      <w:sz w:val="18"/>
      <w:szCs w:val="18"/>
    </w:rPr>
  </w:style>
  <w:style w:type="character" w:customStyle="1" w:styleId="383">
    <w:name w:val="Char Char33"/>
    <w:autoRedefine/>
    <w:qFormat/>
    <w:uiPriority w:val="6"/>
    <w:rPr>
      <w:rFonts w:ascii="Arial" w:hAnsi="Arial" w:eastAsia="黑体"/>
      <w:b/>
      <w:kern w:val="1"/>
      <w:sz w:val="24"/>
      <w:szCs w:val="24"/>
    </w:rPr>
  </w:style>
  <w:style w:type="character" w:customStyle="1" w:styleId="384">
    <w:name w:val="b11_01b Char"/>
    <w:link w:val="385"/>
    <w:autoRedefine/>
    <w:qFormat/>
    <w:uiPriority w:val="0"/>
    <w:rPr>
      <w:rFonts w:ascii="Verdana" w:hAnsi="Verdana"/>
      <w:b/>
      <w:bCs/>
      <w:color w:val="4A82CA"/>
      <w:sz w:val="17"/>
      <w:szCs w:val="17"/>
    </w:rPr>
  </w:style>
  <w:style w:type="paragraph" w:customStyle="1" w:styleId="385">
    <w:name w:val="b11_01b"/>
    <w:basedOn w:val="1"/>
    <w:next w:val="1"/>
    <w:link w:val="384"/>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6">
    <w:name w:val="Char Char121"/>
    <w:autoRedefine/>
    <w:qFormat/>
    <w:uiPriority w:val="6"/>
    <w:rPr>
      <w:rFonts w:ascii="仿宋_GB2312" w:eastAsia="仿宋_GB2312"/>
      <w:b/>
      <w:bCs/>
      <w:kern w:val="2"/>
      <w:sz w:val="24"/>
      <w:szCs w:val="24"/>
      <w:lang w:val="zh-CN" w:eastAsia="zh-CN" w:bidi="ar-SA"/>
    </w:rPr>
  </w:style>
  <w:style w:type="character" w:customStyle="1" w:styleId="387">
    <w:name w:val="Footer-Even Char"/>
    <w:autoRedefine/>
    <w:qFormat/>
    <w:uiPriority w:val="0"/>
    <w:rPr>
      <w:rFonts w:eastAsia="宋体"/>
      <w:kern w:val="2"/>
      <w:sz w:val="18"/>
      <w:lang w:val="en-US" w:eastAsia="zh-CN" w:bidi="ar-SA"/>
    </w:rPr>
  </w:style>
  <w:style w:type="character" w:customStyle="1" w:styleId="388">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9">
    <w:name w:val="Char Char61"/>
    <w:autoRedefine/>
    <w:qFormat/>
    <w:uiPriority w:val="6"/>
    <w:rPr>
      <w:rFonts w:eastAsia="宋体"/>
      <w:kern w:val="2"/>
      <w:sz w:val="21"/>
      <w:szCs w:val="24"/>
      <w:lang w:val="en-US" w:eastAsia="zh-CN" w:bidi="ar-SA"/>
    </w:rPr>
  </w:style>
  <w:style w:type="character" w:customStyle="1" w:styleId="390">
    <w:name w:val="正文文字缩进 2 Char Char"/>
    <w:autoRedefine/>
    <w:qFormat/>
    <w:uiPriority w:val="0"/>
    <w:rPr>
      <w:rFonts w:ascii="宋体"/>
      <w:sz w:val="28"/>
    </w:rPr>
  </w:style>
  <w:style w:type="character" w:customStyle="1" w:styleId="391">
    <w:name w:val="f141"/>
    <w:autoRedefine/>
    <w:qFormat/>
    <w:uiPriority w:val="0"/>
    <w:rPr>
      <w:rFonts w:ascii="Tahoma" w:hAnsi="Tahoma" w:eastAsia="宋体"/>
      <w:b/>
      <w:kern w:val="2"/>
      <w:sz w:val="21"/>
      <w:szCs w:val="21"/>
      <w:lang w:val="en-US" w:eastAsia="zh-CN" w:bidi="ar-SA"/>
    </w:rPr>
  </w:style>
  <w:style w:type="character" w:customStyle="1" w:styleId="392">
    <w:name w:val="段落 Char Char"/>
    <w:link w:val="393"/>
    <w:autoRedefine/>
    <w:qFormat/>
    <w:uiPriority w:val="0"/>
    <w:rPr>
      <w:rFonts w:ascii="宋体" w:hAnsi="宋体"/>
      <w:sz w:val="24"/>
    </w:rPr>
  </w:style>
  <w:style w:type="paragraph" w:customStyle="1" w:styleId="393">
    <w:name w:val="段落"/>
    <w:basedOn w:val="1"/>
    <w:link w:val="392"/>
    <w:autoRedefine/>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autoRedefine/>
    <w:qFormat/>
    <w:uiPriority w:val="0"/>
    <w:rPr>
      <w:rFonts w:eastAsia="宋体"/>
      <w:b/>
      <w:bCs/>
      <w:kern w:val="2"/>
      <w:sz w:val="32"/>
      <w:szCs w:val="32"/>
      <w:lang w:val="en-US" w:eastAsia="zh-CN" w:bidi="ar-SA"/>
    </w:rPr>
  </w:style>
  <w:style w:type="character" w:customStyle="1" w:styleId="395">
    <w:name w:val="apple-converted-space"/>
    <w:autoRedefine/>
    <w:qFormat/>
    <w:uiPriority w:val="0"/>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156"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69"/>
    <w:autoRedefine/>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autoRedefine/>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autoRedefine/>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5"/>
    <w:link w:val="430"/>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gray6"/>
    <w:basedOn w:val="69"/>
    <w:autoRedefine/>
    <w:qFormat/>
    <w:uiPriority w:val="0"/>
    <w:rPr>
      <w:rFonts w:ascii="Arial" w:hAnsi="Arial" w:eastAsia="黑体" w:cs="Arial"/>
      <w:snapToGrid w:val="0"/>
      <w:kern w:val="0"/>
      <w:szCs w:val="21"/>
    </w:rPr>
  </w:style>
  <w:style w:type="character" w:customStyle="1" w:styleId="433">
    <w:name w:val="hui"/>
    <w:basedOn w:val="69"/>
    <w:autoRedefine/>
    <w:qFormat/>
    <w:uiPriority w:val="0"/>
    <w:rPr>
      <w:rFonts w:ascii="Arial" w:hAnsi="Arial" w:eastAsia="黑体" w:cs="Arial"/>
      <w:snapToGrid w:val="0"/>
      <w:kern w:val="0"/>
      <w:szCs w:val="21"/>
    </w:rPr>
  </w:style>
  <w:style w:type="character" w:customStyle="1" w:styleId="434">
    <w:name w:val="哈哈正文 Char Char"/>
    <w:autoRedefine/>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autoRedefine/>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autoRedefine/>
    <w:qFormat/>
    <w:uiPriority w:val="0"/>
    <w:pPr>
      <w:spacing w:before="120" w:line="360" w:lineRule="auto"/>
      <w:ind w:firstLine="567"/>
    </w:pPr>
    <w:rPr>
      <w:rFonts w:ascii="Arial" w:hAnsi="Arial"/>
      <w:sz w:val="20"/>
      <w:szCs w:val="20"/>
    </w:rPr>
  </w:style>
  <w:style w:type="paragraph" w:customStyle="1" w:styleId="445">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autoRedefine/>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7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485"/>
    <w:qFormat/>
    <w:uiPriority w:val="99"/>
    <w:rPr>
      <w:szCs w:val="22"/>
    </w:rPr>
  </w:style>
  <w:style w:type="character" w:customStyle="1" w:styleId="485">
    <w:name w:val="无间隔 字符"/>
    <w:link w:val="484"/>
    <w:qFormat/>
    <w:uiPriority w:val="99"/>
    <w:rPr>
      <w:kern w:val="2"/>
      <w:sz w:val="21"/>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2"/>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4"/>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7"/>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62"/>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4"/>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6"/>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112"/>
    <w:next w:val="112"/>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112"/>
    <w:next w:val="112"/>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3"/>
    <w:qFormat/>
    <w:uiPriority w:val="0"/>
    <w:pPr>
      <w:tabs>
        <w:tab w:val="left" w:pos="840"/>
      </w:tabs>
      <w:adjustRightInd/>
      <w:ind w:left="840" w:hanging="420"/>
    </w:pPr>
  </w:style>
  <w:style w:type="paragraph" w:customStyle="1" w:styleId="628">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beforeLines="0" w:after="0" w:afterLines="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6"/>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8"/>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left" w:pos="2940"/>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78"/>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0"/>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autoRedefine/>
    <w:qFormat/>
    <w:uiPriority w:val="34"/>
    <w:pPr>
      <w:adjustRightInd/>
      <w:ind w:firstLine="420" w:firstLineChars="200"/>
    </w:pPr>
    <w:rPr>
      <w:rFonts w:eastAsia="仿宋_GB2312"/>
      <w:sz w:val="28"/>
    </w:rPr>
  </w:style>
  <w:style w:type="paragraph" w:customStyle="1" w:styleId="894">
    <w:name w:val="表格 内容"/>
    <w:basedOn w:val="731"/>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4"/>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78"/>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5.xml" Type="http://schemas.openxmlformats.org/officeDocument/2006/relationships/header"/><Relationship Id="rId11" Target="footer4.xml" Type="http://schemas.openxmlformats.org/officeDocument/2006/relationships/footer"/><Relationship Id="rId12" Target="footer5.xml" Type="http://schemas.openxmlformats.org/officeDocument/2006/relationships/footer"/><Relationship Id="rId13" Target="footer6.xml" Type="http://schemas.openxmlformats.org/officeDocument/2006/relationships/footer"/><Relationship Id="rId14" Target="header6.xml" Type="http://schemas.openxmlformats.org/officeDocument/2006/relationships/header"/><Relationship Id="rId15" Target="header7.xml" Type="http://schemas.openxmlformats.org/officeDocument/2006/relationships/header"/><Relationship Id="rId16" Target="footer7.xml" Type="http://schemas.openxmlformats.org/officeDocument/2006/relationships/footer"/><Relationship Id="rId17" Target="footer8.xml" Type="http://schemas.openxmlformats.org/officeDocument/2006/relationships/footer"/><Relationship Id="rId18" Target="header8.xml" Type="http://schemas.openxmlformats.org/officeDocument/2006/relationships/header"/><Relationship Id="rId19" Target="header9.xml" Type="http://schemas.openxmlformats.org/officeDocument/2006/relationships/header"/><Relationship Id="rId2" Target="settings.xml" Type="http://schemas.openxmlformats.org/officeDocument/2006/relationships/settings"/><Relationship Id="rId20" Target="footer9.xml" Type="http://schemas.openxmlformats.org/officeDocument/2006/relationships/footer"/><Relationship Id="rId21" Target="footer10.xml" Type="http://schemas.openxmlformats.org/officeDocument/2006/relationships/footer"/><Relationship Id="rId22" Target="header10.xml" Type="http://schemas.openxmlformats.org/officeDocument/2006/relationships/header"/><Relationship Id="rId23" Target="header11.xml" Type="http://schemas.openxmlformats.org/officeDocument/2006/relationships/header"/><Relationship Id="rId24" Target="footer11.xml" Type="http://schemas.openxmlformats.org/officeDocument/2006/relationships/footer"/><Relationship Id="rId25" Target="footer12.xml" Type="http://schemas.openxmlformats.org/officeDocument/2006/relationships/footer"/><Relationship Id="rId26" Target="footer13.xml" Type="http://schemas.openxmlformats.org/officeDocument/2006/relationships/footer"/><Relationship Id="rId27" Target="theme/theme1.xml" Type="http://schemas.openxmlformats.org/officeDocument/2006/relationships/theme"/><Relationship Id="rId28" Target="../customXml/item1.xml" Type="http://schemas.openxmlformats.org/officeDocument/2006/relationships/customXml"/><Relationship Id="rId29" Target="numbering.xml" Type="http://schemas.openxmlformats.org/officeDocument/2006/relationships/numbering"/><Relationship Id="rId3" Target="header1.xml" Type="http://schemas.openxmlformats.org/officeDocument/2006/relationships/header"/><Relationship Id="rId30" Target="fontTable.xml" Type="http://schemas.openxmlformats.org/officeDocument/2006/relationships/fontTable"/><Relationship Id="rId4" Target="header2.xml" Type="http://schemas.openxmlformats.org/officeDocument/2006/relationships/header"/><Relationship Id="rId5" Target="footer1.xml" Type="http://schemas.openxmlformats.org/officeDocument/2006/relationships/footer"/><Relationship Id="rId6" Target="footer2.xml" Type="http://schemas.openxmlformats.org/officeDocument/2006/relationships/footer"/><Relationship Id="rId7" Target="footer3.xml" Type="http://schemas.openxmlformats.org/officeDocument/2006/relationships/footer"/><Relationship Id="rId8" Target="header3.xml" Type="http://schemas.openxmlformats.org/officeDocument/2006/relationships/header"/><Relationship Id="rId9" Target="header4.xml" Type="http://schemas.openxmlformats.org/officeDocument/2006/relationships/head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7000</Words>
  <Characters>39903</Characters>
  <Lines>332</Lines>
  <Paragraphs>93</Paragraphs>
  <TotalTime>1</TotalTime>
  <ScaleCrop>false</ScaleCrop>
  <LinksUpToDate>false</LinksUpToDate>
  <CharactersWithSpaces>46810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2021-07-30T16:22:00Z</dcterms:created>
  <dc:creator>玥</dc:creator>
  <cp:lastModifiedBy>WPS_1701756769</cp:lastModifiedBy>
  <cp:lastPrinted>2021-12-27T19:06:00Z</cp:lastPrinted>
  <dcterms:modified xsi:type="dcterms:W3CDTF">2024-02-23T05:01:58Z</dcterms:modified>
  <cp:revision>3</cp:revision>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0D9BD6F321F04D74AC8A2D141CF1CCA5_13</vt:lpwstr>
  </property>
</Properties>
</file>