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480"/>
      </w:pPr>
      <w:bookmarkStart w:id="0" w:name="_Toc16275"/>
      <w:bookmarkStart w:id="1" w:name="_Toc1168"/>
    </w:p>
    <w:p>
      <w:pPr>
        <w:pStyle w:val="18"/>
        <w:snapToGrid w:val="0"/>
        <w:spacing w:before="120" w:after="120"/>
        <w:ind w:firstLine="0" w:firstLineChars="0"/>
        <w:jc w:val="center"/>
        <w:rPr>
          <w:rFonts w:cs="Times New Roman"/>
          <w:b/>
          <w:bCs/>
          <w:sz w:val="36"/>
          <w:szCs w:val="36"/>
        </w:rPr>
      </w:pPr>
      <w:r>
        <w:rPr>
          <w:rFonts w:hint="eastAsia"/>
          <w:b/>
          <w:bCs/>
          <w:sz w:val="52"/>
          <w:szCs w:val="52"/>
        </w:rPr>
        <w:t>杭州市滨江区春波小区整体装配式既有住宅加装电梯工程（二期）</w:t>
      </w:r>
    </w:p>
    <w:p>
      <w:pPr>
        <w:ind w:firstLine="2530" w:firstLineChars="300"/>
        <w:rPr>
          <w:b/>
          <w:sz w:val="84"/>
          <w:szCs w:val="84"/>
        </w:rPr>
      </w:pPr>
      <w:r>
        <w:rPr>
          <w:rFonts w:hint="eastAsia"/>
          <w:b/>
          <w:sz w:val="84"/>
          <w:szCs w:val="84"/>
        </w:rPr>
        <w:t>招 标 文 件</w:t>
      </w:r>
      <w:bookmarkStart w:id="215" w:name="_GoBack"/>
      <w:bookmarkEnd w:id="215"/>
    </w:p>
    <w:p>
      <w:pPr>
        <w:ind w:firstLine="0" w:firstLineChars="0"/>
        <w:jc w:val="center"/>
        <w:rPr>
          <w:b/>
          <w:sz w:val="36"/>
          <w:szCs w:val="36"/>
        </w:rPr>
      </w:pPr>
      <w:r>
        <w:rPr>
          <w:rFonts w:hint="eastAsia"/>
          <w:b/>
          <w:sz w:val="36"/>
          <w:szCs w:val="36"/>
        </w:rPr>
        <w:t>（项目编号：WZZB-CHDT2020-001）</w:t>
      </w:r>
    </w:p>
    <w:p>
      <w:pPr>
        <w:pStyle w:val="18"/>
        <w:ind w:firstLine="0" w:firstLineChars="0"/>
        <w:jc w:val="center"/>
        <w:rPr>
          <w:rFonts w:hAnsi="宋体" w:cs="Times New Roman"/>
          <w:sz w:val="28"/>
          <w:szCs w:val="28"/>
        </w:rPr>
      </w:pPr>
      <w:r>
        <w:rPr>
          <w:rFonts w:hint="eastAsia" w:hAnsi="宋体"/>
          <w:sz w:val="28"/>
          <w:szCs w:val="28"/>
        </w:rPr>
        <w:t xml:space="preserve"> </w:t>
      </w:r>
    </w:p>
    <w:p>
      <w:pPr>
        <w:pStyle w:val="18"/>
        <w:ind w:firstLine="560"/>
        <w:rPr>
          <w:rFonts w:ascii="仿宋_GB2312" w:hAnsi="宋体" w:eastAsia="仿宋_GB2312" w:cs="Times New Roman"/>
          <w:sz w:val="28"/>
          <w:szCs w:val="28"/>
        </w:rPr>
      </w:pPr>
    </w:p>
    <w:p>
      <w:pPr>
        <w:pStyle w:val="18"/>
        <w:ind w:firstLine="0" w:firstLineChars="0"/>
        <w:rPr>
          <w:rFonts w:ascii="仿宋_GB2312" w:hAnsi="宋体" w:eastAsia="仿宋_GB2312" w:cs="Times New Roman"/>
          <w:sz w:val="28"/>
          <w:szCs w:val="28"/>
        </w:rPr>
      </w:pPr>
    </w:p>
    <w:p>
      <w:pPr>
        <w:pStyle w:val="2"/>
        <w:keepNext w:val="0"/>
        <w:keepLines w:val="0"/>
        <w:widowControl/>
        <w:ind w:left="2100" w:leftChars="250" w:hanging="1500" w:hangingChars="500"/>
        <w:jc w:val="both"/>
        <w:rPr>
          <w:rFonts w:eastAsia="宋体"/>
        </w:rPr>
      </w:pPr>
      <w:bookmarkStart w:id="2" w:name="_Toc7732"/>
      <w:bookmarkStart w:id="3" w:name="_Toc16619"/>
      <w:r>
        <w:rPr>
          <w:rFonts w:hint="eastAsia" w:ascii="宋体" w:hAnsi="宋体" w:eastAsia="宋体" w:cs="宋体"/>
          <w:b w:val="0"/>
          <w:bCs w:val="0"/>
          <w:kern w:val="2"/>
          <w:sz w:val="30"/>
          <w:szCs w:val="30"/>
        </w:rPr>
        <w:t>项目名称</w:t>
      </w:r>
      <w:r>
        <w:rPr>
          <w:rFonts w:ascii="宋体" w:hAnsi="宋体" w:eastAsia="宋体" w:cs="宋体"/>
          <w:b w:val="0"/>
          <w:bCs w:val="0"/>
          <w:kern w:val="2"/>
          <w:sz w:val="30"/>
          <w:szCs w:val="30"/>
        </w:rPr>
        <w:t xml:space="preserve">: </w:t>
      </w:r>
      <w:r>
        <w:rPr>
          <w:rFonts w:hint="eastAsia" w:ascii="宋体" w:hAnsi="宋体" w:eastAsia="宋体" w:cs="宋体"/>
          <w:b w:val="0"/>
          <w:bCs w:val="0"/>
          <w:kern w:val="2"/>
          <w:sz w:val="30"/>
          <w:szCs w:val="30"/>
          <w:u w:val="single"/>
        </w:rPr>
        <w:t>杭州市滨江区春波小区整体装配式既有住宅加装电梯</w:t>
      </w:r>
      <w:bookmarkEnd w:id="2"/>
      <w:bookmarkEnd w:id="3"/>
      <w:r>
        <w:rPr>
          <w:rFonts w:hint="eastAsia" w:ascii="宋体" w:hAnsi="宋体" w:eastAsia="宋体" w:cs="宋体"/>
          <w:b w:val="0"/>
          <w:bCs w:val="0"/>
          <w:kern w:val="2"/>
          <w:sz w:val="30"/>
          <w:szCs w:val="30"/>
          <w:u w:val="single"/>
        </w:rPr>
        <w:t>工程（二期）</w:t>
      </w:r>
    </w:p>
    <w:p>
      <w:pPr>
        <w:ind w:firstLine="0" w:firstLineChars="0"/>
        <w:rPr>
          <w:rFonts w:cs="Times New Roman"/>
          <w:b/>
          <w:bCs/>
          <w:sz w:val="32"/>
          <w:szCs w:val="32"/>
        </w:rPr>
      </w:pPr>
    </w:p>
    <w:p>
      <w:pPr>
        <w:pStyle w:val="18"/>
        <w:snapToGrid w:val="0"/>
        <w:spacing w:before="120" w:after="120"/>
        <w:ind w:firstLine="357" w:firstLineChars="119"/>
        <w:jc w:val="left"/>
        <w:rPr>
          <w:rFonts w:hAnsi="宋体" w:cs="Times New Roman"/>
          <w:sz w:val="30"/>
          <w:szCs w:val="30"/>
        </w:rPr>
      </w:pPr>
      <w:r>
        <w:rPr>
          <w:rFonts w:hAnsi="宋体"/>
          <w:sz w:val="30"/>
          <w:szCs w:val="30"/>
        </w:rPr>
        <w:t xml:space="preserve">  </w:t>
      </w:r>
      <w:r>
        <w:rPr>
          <w:rFonts w:hint="eastAsia" w:hAnsi="宋体"/>
          <w:sz w:val="30"/>
          <w:szCs w:val="30"/>
        </w:rPr>
        <w:t>采购人</w:t>
      </w:r>
      <w:r>
        <w:rPr>
          <w:rFonts w:hAnsi="宋体"/>
          <w:sz w:val="30"/>
          <w:szCs w:val="30"/>
        </w:rPr>
        <w:t xml:space="preserve">: </w:t>
      </w:r>
      <w:r>
        <w:rPr>
          <w:rFonts w:hint="eastAsia" w:hAnsi="宋体"/>
          <w:sz w:val="30"/>
          <w:szCs w:val="30"/>
          <w:u w:val="single"/>
        </w:rPr>
        <w:t>杭州市滨江区人民政府长河街道办事处</w:t>
      </w:r>
      <w:r>
        <w:rPr>
          <w:rFonts w:hAnsi="宋体"/>
          <w:sz w:val="30"/>
          <w:szCs w:val="30"/>
          <w:u w:val="single"/>
        </w:rPr>
        <w:t>(</w:t>
      </w:r>
      <w:r>
        <w:rPr>
          <w:rFonts w:hint="eastAsia" w:hAnsi="宋体"/>
          <w:sz w:val="30"/>
          <w:szCs w:val="30"/>
          <w:u w:val="single"/>
        </w:rPr>
        <w:t>盖章</w:t>
      </w:r>
      <w:r>
        <w:rPr>
          <w:rFonts w:hAnsi="宋体"/>
          <w:sz w:val="30"/>
          <w:szCs w:val="30"/>
          <w:u w:val="single"/>
        </w:rPr>
        <w:t>)</w:t>
      </w:r>
    </w:p>
    <w:p>
      <w:pPr>
        <w:ind w:firstLine="0" w:firstLineChars="0"/>
        <w:rPr>
          <w:rFonts w:cs="Times New Roman"/>
          <w:b/>
          <w:bCs/>
          <w:sz w:val="32"/>
          <w:szCs w:val="32"/>
        </w:rPr>
      </w:pPr>
    </w:p>
    <w:p>
      <w:pPr>
        <w:pStyle w:val="18"/>
        <w:snapToGrid w:val="0"/>
        <w:spacing w:before="120" w:after="120"/>
        <w:ind w:firstLine="507" w:firstLineChars="169"/>
        <w:rPr>
          <w:rFonts w:hAnsi="宋体" w:cs="Times New Roman"/>
          <w:sz w:val="30"/>
          <w:szCs w:val="30"/>
        </w:rPr>
      </w:pPr>
      <w:r>
        <w:rPr>
          <w:rFonts w:hAnsi="宋体"/>
          <w:sz w:val="30"/>
          <w:szCs w:val="30"/>
        </w:rPr>
        <w:t xml:space="preserve"> </w:t>
      </w:r>
      <w:r>
        <w:rPr>
          <w:rFonts w:hint="eastAsia" w:hAnsi="宋体"/>
          <w:sz w:val="30"/>
          <w:szCs w:val="30"/>
        </w:rPr>
        <w:t>采购代理机构</w:t>
      </w:r>
      <w:r>
        <w:rPr>
          <w:rFonts w:hAnsi="宋体"/>
          <w:sz w:val="30"/>
          <w:szCs w:val="30"/>
        </w:rPr>
        <w:t>:</w:t>
      </w:r>
      <w:r>
        <w:rPr>
          <w:rFonts w:hAnsi="宋体"/>
          <w:sz w:val="30"/>
          <w:szCs w:val="30"/>
          <w:u w:val="single"/>
        </w:rPr>
        <w:t xml:space="preserve"> 浙江五洲工程项目管理有限公司（</w:t>
      </w:r>
      <w:r>
        <w:rPr>
          <w:rFonts w:hint="eastAsia" w:hAnsi="宋体"/>
          <w:sz w:val="30"/>
          <w:szCs w:val="30"/>
          <w:u w:val="single"/>
        </w:rPr>
        <w:t>盖章</w:t>
      </w:r>
      <w:r>
        <w:rPr>
          <w:rFonts w:hAnsi="宋体"/>
          <w:sz w:val="30"/>
          <w:szCs w:val="30"/>
          <w:u w:val="single"/>
        </w:rPr>
        <w:t>)</w:t>
      </w:r>
    </w:p>
    <w:p>
      <w:pPr>
        <w:pStyle w:val="18"/>
        <w:snapToGrid w:val="0"/>
        <w:spacing w:before="120" w:after="120"/>
        <w:ind w:firstLine="0" w:firstLineChars="0"/>
        <w:rPr>
          <w:rFonts w:ascii="黑体" w:hAnsi="黑体" w:eastAsia="黑体" w:cs="Times New Roman"/>
          <w:b/>
          <w:bCs/>
          <w:sz w:val="32"/>
          <w:szCs w:val="32"/>
        </w:rPr>
      </w:pPr>
    </w:p>
    <w:p>
      <w:pPr>
        <w:pStyle w:val="18"/>
        <w:snapToGrid w:val="0"/>
        <w:spacing w:before="120" w:after="120"/>
        <w:ind w:firstLine="0" w:firstLineChars="0"/>
        <w:jc w:val="center"/>
        <w:rPr>
          <w:rFonts w:cs="Times New Roman"/>
          <w:b/>
          <w:bCs/>
          <w:w w:val="95"/>
          <w:sz w:val="30"/>
          <w:szCs w:val="30"/>
        </w:rPr>
        <w:sectPr>
          <w:headerReference r:id="rId5" w:type="first"/>
          <w:footerReference r:id="rId8" w:type="first"/>
          <w:headerReference r:id="rId3" w:type="default"/>
          <w:footerReference r:id="rId6" w:type="default"/>
          <w:headerReference r:id="rId4" w:type="even"/>
          <w:footerReference r:id="rId7" w:type="even"/>
          <w:type w:val="continuous"/>
          <w:pgSz w:w="11906" w:h="16838"/>
          <w:pgMar w:top="1418" w:right="1418" w:bottom="1418" w:left="1418" w:header="851" w:footer="567" w:gutter="0"/>
          <w:pgNumType w:start="1"/>
          <w:cols w:space="720" w:num="1"/>
          <w:titlePg/>
          <w:docGrid w:linePitch="312" w:charSpace="0"/>
        </w:sectPr>
      </w:pPr>
      <w:r>
        <w:rPr>
          <w:rFonts w:hint="eastAsia"/>
          <w:b/>
          <w:bCs/>
          <w:w w:val="95"/>
          <w:sz w:val="30"/>
          <w:szCs w:val="30"/>
        </w:rPr>
        <w:t>2020年</w:t>
      </w:r>
      <w:r>
        <w:rPr>
          <w:rFonts w:hint="eastAsia"/>
          <w:b/>
          <w:bCs/>
          <w:w w:val="95"/>
          <w:sz w:val="30"/>
          <w:szCs w:val="30"/>
          <w:lang w:val="en-US" w:eastAsia="zh-CN"/>
        </w:rPr>
        <w:t>03</w:t>
      </w:r>
      <w:r>
        <w:rPr>
          <w:rFonts w:hint="eastAsia"/>
          <w:b/>
          <w:bCs/>
          <w:w w:val="95"/>
          <w:sz w:val="30"/>
          <w:szCs w:val="30"/>
        </w:rPr>
        <w:t>月</w:t>
      </w:r>
      <w:r>
        <w:rPr>
          <w:rFonts w:hint="eastAsia"/>
          <w:b/>
          <w:bCs/>
          <w:w w:val="95"/>
          <w:sz w:val="30"/>
          <w:szCs w:val="30"/>
          <w:lang w:val="en-US" w:eastAsia="zh-CN"/>
        </w:rPr>
        <w:t>12</w:t>
      </w:r>
      <w:r>
        <w:rPr>
          <w:rFonts w:hint="eastAsia"/>
          <w:b/>
          <w:bCs/>
          <w:w w:val="95"/>
          <w:sz w:val="30"/>
          <w:szCs w:val="30"/>
        </w:rPr>
        <w:t>日</w:t>
      </w:r>
    </w:p>
    <w:p>
      <w:pPr>
        <w:pStyle w:val="18"/>
        <w:snapToGrid w:val="0"/>
        <w:spacing w:before="120" w:after="120"/>
        <w:ind w:firstLine="0" w:firstLineChars="0"/>
        <w:jc w:val="center"/>
        <w:rPr>
          <w:rFonts w:ascii="黑体" w:hAnsi="黑体" w:eastAsia="黑体" w:cs="黑体"/>
          <w:b/>
          <w:bCs/>
          <w:sz w:val="32"/>
          <w:szCs w:val="32"/>
        </w:rPr>
      </w:pPr>
      <w:r>
        <w:rPr>
          <w:rFonts w:hint="eastAsia" w:ascii="黑体" w:hAnsi="黑体" w:eastAsia="黑体" w:cs="黑体"/>
          <w:b/>
          <w:bCs/>
          <w:sz w:val="32"/>
          <w:szCs w:val="32"/>
        </w:rPr>
        <w:t>目</w:t>
      </w:r>
      <w:r>
        <w:rPr>
          <w:rFonts w:ascii="黑体" w:hAnsi="黑体" w:eastAsia="黑体" w:cs="黑体"/>
          <w:b/>
          <w:bCs/>
          <w:sz w:val="32"/>
          <w:szCs w:val="32"/>
        </w:rPr>
        <w:t xml:space="preserve">  </w:t>
      </w:r>
      <w:r>
        <w:rPr>
          <w:rFonts w:hint="eastAsia" w:ascii="黑体" w:hAnsi="黑体" w:eastAsia="黑体" w:cs="黑体"/>
          <w:b/>
          <w:bCs/>
          <w:sz w:val="32"/>
          <w:szCs w:val="32"/>
        </w:rPr>
        <w:t>录</w:t>
      </w:r>
    </w:p>
    <w:p>
      <w:pPr>
        <w:pStyle w:val="18"/>
        <w:snapToGrid w:val="0"/>
        <w:spacing w:before="120" w:after="120"/>
        <w:ind w:firstLine="0" w:firstLineChars="0"/>
        <w:jc w:val="center"/>
        <w:rPr>
          <w:rFonts w:ascii="黑体" w:hAnsi="黑体" w:eastAsia="黑体" w:cs="黑体"/>
          <w:b/>
          <w:bCs/>
          <w:sz w:val="32"/>
          <w:szCs w:val="32"/>
        </w:rPr>
      </w:pPr>
    </w:p>
    <w:p>
      <w:pPr>
        <w:pStyle w:val="24"/>
        <w:tabs>
          <w:tab w:val="right" w:leader="dot" w:pos="9070"/>
        </w:tabs>
        <w:ind w:firstLine="0" w:firstLineChars="0"/>
      </w:pPr>
      <w:r>
        <w:rPr>
          <w:rFonts w:ascii="黑体" w:hAnsi="黑体" w:eastAsia="黑体" w:cs="黑体"/>
          <w:b/>
          <w:bCs/>
          <w:sz w:val="32"/>
          <w:szCs w:val="32"/>
        </w:rPr>
        <w:fldChar w:fldCharType="begin"/>
      </w:r>
      <w:r>
        <w:rPr>
          <w:rFonts w:ascii="黑体" w:hAnsi="黑体" w:eastAsia="黑体" w:cs="黑体"/>
          <w:b/>
          <w:bCs/>
          <w:sz w:val="32"/>
          <w:szCs w:val="32"/>
        </w:rPr>
        <w:instrText xml:space="preserve">TOC \o "1-2" \h  \u </w:instrText>
      </w:r>
      <w:r>
        <w:rPr>
          <w:rFonts w:ascii="黑体" w:hAnsi="黑体" w:eastAsia="黑体" w:cs="黑体"/>
          <w:b/>
          <w:bCs/>
          <w:sz w:val="32"/>
          <w:szCs w:val="32"/>
        </w:rPr>
        <w:fldChar w:fldCharType="separate"/>
      </w:r>
      <w:r>
        <w:fldChar w:fldCharType="begin"/>
      </w:r>
      <w:r>
        <w:instrText xml:space="preserve"> HYPERLINK \l "_Toc29775" </w:instrText>
      </w:r>
      <w:r>
        <w:fldChar w:fldCharType="separate"/>
      </w:r>
      <w:r>
        <w:rPr>
          <w:rFonts w:hint="eastAsia" w:eastAsia="黑体"/>
          <w:bCs/>
          <w:szCs w:val="32"/>
        </w:rPr>
        <w:t xml:space="preserve">第一章 </w:t>
      </w:r>
      <w:r>
        <w:rPr>
          <w:rFonts w:hint="eastAsia" w:cs="黑体"/>
        </w:rPr>
        <w:t>公开招标采购公告</w:t>
      </w:r>
      <w:r>
        <w:tab/>
      </w:r>
      <w:r>
        <w:fldChar w:fldCharType="end"/>
      </w:r>
    </w:p>
    <w:p>
      <w:pPr>
        <w:pStyle w:val="24"/>
        <w:tabs>
          <w:tab w:val="right" w:leader="dot" w:pos="9070"/>
        </w:tabs>
        <w:ind w:firstLine="0" w:firstLineChars="0"/>
      </w:pPr>
      <w:r>
        <w:fldChar w:fldCharType="begin"/>
      </w:r>
      <w:r>
        <w:instrText xml:space="preserve"> HYPERLINK \l "_Toc15646" </w:instrText>
      </w:r>
      <w:r>
        <w:fldChar w:fldCharType="separate"/>
      </w:r>
      <w:r>
        <w:rPr>
          <w:rFonts w:hint="eastAsia" w:eastAsia="黑体"/>
          <w:bCs/>
          <w:szCs w:val="32"/>
        </w:rPr>
        <w:t xml:space="preserve">第二章 </w:t>
      </w:r>
      <w:r>
        <w:rPr>
          <w:rFonts w:hint="eastAsia" w:cs="黑体"/>
        </w:rPr>
        <w:t>招标需求</w:t>
      </w:r>
      <w:r>
        <w:tab/>
      </w:r>
      <w:r>
        <w:fldChar w:fldCharType="end"/>
      </w:r>
    </w:p>
    <w:p>
      <w:pPr>
        <w:pStyle w:val="28"/>
        <w:tabs>
          <w:tab w:val="right" w:leader="dot" w:pos="9070"/>
        </w:tabs>
        <w:ind w:left="480" w:firstLine="480"/>
      </w:pPr>
      <w:r>
        <w:fldChar w:fldCharType="begin"/>
      </w:r>
      <w:r>
        <w:instrText xml:space="preserve"> HYPERLINK \l "_Toc25388" </w:instrText>
      </w:r>
      <w:r>
        <w:fldChar w:fldCharType="separate"/>
      </w:r>
      <w:r>
        <w:rPr>
          <w:rFonts w:cs="Times New Roman"/>
        </w:rPr>
        <w:t xml:space="preserve">一、 </w:t>
      </w:r>
      <w:r>
        <w:rPr>
          <w:rFonts w:hint="eastAsia" w:cs="黑体"/>
        </w:rPr>
        <w:t>项目概况及内容</w:t>
      </w:r>
      <w:r>
        <w:tab/>
      </w:r>
      <w:r>
        <w:fldChar w:fldCharType="end"/>
      </w:r>
    </w:p>
    <w:p>
      <w:pPr>
        <w:pStyle w:val="28"/>
        <w:tabs>
          <w:tab w:val="right" w:leader="dot" w:pos="9070"/>
        </w:tabs>
        <w:ind w:left="480" w:firstLine="480"/>
      </w:pPr>
      <w:r>
        <w:fldChar w:fldCharType="begin"/>
      </w:r>
      <w:r>
        <w:instrText xml:space="preserve"> HYPERLINK \l "_Toc13115" </w:instrText>
      </w:r>
      <w:r>
        <w:fldChar w:fldCharType="separate"/>
      </w:r>
      <w:r>
        <w:rPr>
          <w:rFonts w:hint="eastAsia" w:cs="黑体"/>
        </w:rPr>
        <w:t>二、项目要求</w:t>
      </w:r>
      <w:r>
        <w:tab/>
      </w:r>
      <w:r>
        <w:fldChar w:fldCharType="end"/>
      </w:r>
    </w:p>
    <w:p>
      <w:pPr>
        <w:pStyle w:val="28"/>
        <w:tabs>
          <w:tab w:val="right" w:leader="dot" w:pos="9070"/>
        </w:tabs>
        <w:ind w:left="480" w:firstLine="480"/>
      </w:pPr>
      <w:r>
        <w:fldChar w:fldCharType="begin"/>
      </w:r>
      <w:r>
        <w:instrText xml:space="preserve"> HYPERLINK \l "_Toc29013" </w:instrText>
      </w:r>
      <w:r>
        <w:fldChar w:fldCharType="separate"/>
      </w:r>
      <w:r>
        <w:rPr>
          <w:rFonts w:hint="eastAsia" w:cs="黑体"/>
        </w:rPr>
        <w:t>三、技术需求表</w:t>
      </w:r>
      <w:r>
        <w:tab/>
      </w:r>
      <w:r>
        <w:fldChar w:fldCharType="end"/>
      </w:r>
    </w:p>
    <w:p>
      <w:pPr>
        <w:pStyle w:val="28"/>
        <w:tabs>
          <w:tab w:val="right" w:leader="dot" w:pos="9070"/>
        </w:tabs>
        <w:ind w:left="480" w:firstLine="480"/>
      </w:pPr>
      <w:r>
        <w:fldChar w:fldCharType="begin"/>
      </w:r>
      <w:r>
        <w:instrText xml:space="preserve"> HYPERLINK \l "_Toc3428" </w:instrText>
      </w:r>
      <w:r>
        <w:fldChar w:fldCharType="separate"/>
      </w:r>
      <w:r>
        <w:rPr>
          <w:rFonts w:hint="eastAsia" w:cs="黑体"/>
        </w:rPr>
        <w:t>四、商务要求表</w:t>
      </w:r>
      <w:r>
        <w:tab/>
      </w:r>
      <w:r>
        <w:fldChar w:fldCharType="end"/>
      </w:r>
    </w:p>
    <w:p>
      <w:pPr>
        <w:pStyle w:val="28"/>
        <w:tabs>
          <w:tab w:val="right" w:leader="dot" w:pos="9070"/>
        </w:tabs>
        <w:ind w:left="480" w:firstLine="480"/>
      </w:pPr>
      <w:r>
        <w:fldChar w:fldCharType="begin"/>
      </w:r>
      <w:r>
        <w:instrText xml:space="preserve"> HYPERLINK \l "_Toc21138" </w:instrText>
      </w:r>
      <w:r>
        <w:fldChar w:fldCharType="separate"/>
      </w:r>
      <w:r>
        <w:rPr>
          <w:rFonts w:hint="eastAsia" w:cs="黑体"/>
        </w:rPr>
        <w:t>五、投标人的资信要求表</w:t>
      </w:r>
      <w:r>
        <w:tab/>
      </w:r>
      <w:r>
        <w:fldChar w:fldCharType="end"/>
      </w:r>
    </w:p>
    <w:p>
      <w:pPr>
        <w:pStyle w:val="24"/>
        <w:tabs>
          <w:tab w:val="right" w:leader="dot" w:pos="9070"/>
        </w:tabs>
        <w:ind w:firstLine="0" w:firstLineChars="0"/>
      </w:pPr>
      <w:r>
        <w:fldChar w:fldCharType="begin"/>
      </w:r>
      <w:r>
        <w:instrText xml:space="preserve"> HYPERLINK \l "_Toc8615" </w:instrText>
      </w:r>
      <w:r>
        <w:fldChar w:fldCharType="separate"/>
      </w:r>
      <w:r>
        <w:rPr>
          <w:rFonts w:hint="eastAsia" w:eastAsia="黑体"/>
          <w:bCs/>
          <w:szCs w:val="32"/>
        </w:rPr>
        <w:t xml:space="preserve">第三章 </w:t>
      </w:r>
      <w:r>
        <w:rPr>
          <w:rFonts w:hint="eastAsia" w:cs="黑体"/>
        </w:rPr>
        <w:t>投标人须知</w:t>
      </w:r>
      <w:r>
        <w:tab/>
      </w:r>
      <w:r>
        <w:fldChar w:fldCharType="end"/>
      </w:r>
    </w:p>
    <w:p>
      <w:pPr>
        <w:pStyle w:val="28"/>
        <w:tabs>
          <w:tab w:val="right" w:leader="dot" w:pos="9070"/>
        </w:tabs>
        <w:ind w:left="480" w:firstLine="480"/>
      </w:pPr>
      <w:r>
        <w:fldChar w:fldCharType="begin"/>
      </w:r>
      <w:r>
        <w:instrText xml:space="preserve"> HYPERLINK \l "_Toc22652" </w:instrText>
      </w:r>
      <w:r>
        <w:fldChar w:fldCharType="separate"/>
      </w:r>
      <w:r>
        <w:rPr>
          <w:rFonts w:hint="eastAsia" w:cs="黑体"/>
        </w:rPr>
        <w:t>一、 前附表</w:t>
      </w:r>
      <w:r>
        <w:tab/>
      </w:r>
      <w:r>
        <w:fldChar w:fldCharType="end"/>
      </w:r>
    </w:p>
    <w:p>
      <w:pPr>
        <w:pStyle w:val="28"/>
        <w:tabs>
          <w:tab w:val="right" w:leader="dot" w:pos="9070"/>
        </w:tabs>
        <w:ind w:left="480" w:firstLine="480"/>
      </w:pPr>
      <w:r>
        <w:fldChar w:fldCharType="begin"/>
      </w:r>
      <w:r>
        <w:instrText xml:space="preserve"> HYPERLINK \l "_Toc2038" </w:instrText>
      </w:r>
      <w:r>
        <w:fldChar w:fldCharType="separate"/>
      </w:r>
      <w:r>
        <w:rPr>
          <w:rFonts w:hint="eastAsia" w:cs="黑体"/>
        </w:rPr>
        <w:t>二、</w:t>
      </w:r>
      <w:r>
        <w:rPr>
          <w:rFonts w:hint="eastAsia" w:eastAsia="黑体" w:cs="Times New Roman"/>
          <w:bCs/>
          <w:szCs w:val="30"/>
        </w:rPr>
        <w:t xml:space="preserve"> </w:t>
      </w:r>
      <w:r>
        <w:rPr>
          <w:rFonts w:hint="eastAsia" w:cs="黑体"/>
        </w:rPr>
        <w:t>总则</w:t>
      </w:r>
      <w:r>
        <w:tab/>
      </w:r>
      <w:r>
        <w:fldChar w:fldCharType="end"/>
      </w:r>
    </w:p>
    <w:p>
      <w:pPr>
        <w:pStyle w:val="28"/>
        <w:tabs>
          <w:tab w:val="right" w:leader="dot" w:pos="9070"/>
        </w:tabs>
        <w:ind w:left="480" w:firstLine="480"/>
      </w:pPr>
      <w:r>
        <w:fldChar w:fldCharType="begin"/>
      </w:r>
      <w:r>
        <w:instrText xml:space="preserve"> HYPERLINK \l "_Toc32013" </w:instrText>
      </w:r>
      <w:r>
        <w:fldChar w:fldCharType="separate"/>
      </w:r>
      <w:r>
        <w:rPr>
          <w:rFonts w:hint="eastAsia" w:cs="黑体"/>
        </w:rPr>
        <w:t>三、</w:t>
      </w:r>
      <w:r>
        <w:rPr>
          <w:rFonts w:hint="eastAsia" w:eastAsia="黑体" w:cs="Times New Roman"/>
          <w:bCs/>
          <w:szCs w:val="30"/>
        </w:rPr>
        <w:t xml:space="preserve"> </w:t>
      </w:r>
      <w:r>
        <w:rPr>
          <w:rFonts w:hint="eastAsia" w:cs="黑体"/>
        </w:rPr>
        <w:t>采购文件</w:t>
      </w:r>
      <w:r>
        <w:tab/>
      </w:r>
      <w:r>
        <w:fldChar w:fldCharType="end"/>
      </w:r>
    </w:p>
    <w:p>
      <w:pPr>
        <w:pStyle w:val="28"/>
        <w:tabs>
          <w:tab w:val="right" w:leader="dot" w:pos="9070"/>
        </w:tabs>
        <w:ind w:left="480" w:firstLine="480"/>
      </w:pPr>
      <w:r>
        <w:fldChar w:fldCharType="begin"/>
      </w:r>
      <w:r>
        <w:instrText xml:space="preserve"> HYPERLINK \l "_Toc21737" </w:instrText>
      </w:r>
      <w:r>
        <w:fldChar w:fldCharType="separate"/>
      </w:r>
      <w:r>
        <w:rPr>
          <w:rFonts w:hint="eastAsia" w:cs="黑体"/>
        </w:rPr>
        <w:t>四、 投标文件的编制</w:t>
      </w:r>
      <w:r>
        <w:tab/>
      </w:r>
      <w:r>
        <w:fldChar w:fldCharType="end"/>
      </w:r>
    </w:p>
    <w:p>
      <w:pPr>
        <w:pStyle w:val="28"/>
        <w:tabs>
          <w:tab w:val="right" w:leader="dot" w:pos="9070"/>
        </w:tabs>
        <w:ind w:left="480" w:firstLine="480"/>
      </w:pPr>
      <w:r>
        <w:fldChar w:fldCharType="begin"/>
      </w:r>
      <w:r>
        <w:instrText xml:space="preserve"> HYPERLINK \l "_Toc8925" </w:instrText>
      </w:r>
      <w:r>
        <w:fldChar w:fldCharType="separate"/>
      </w:r>
      <w:r>
        <w:rPr>
          <w:rFonts w:hint="eastAsia" w:cs="黑体"/>
        </w:rPr>
        <w:t>五、 开标</w:t>
      </w:r>
      <w:r>
        <w:tab/>
      </w:r>
      <w:r>
        <w:fldChar w:fldCharType="end"/>
      </w:r>
    </w:p>
    <w:p>
      <w:pPr>
        <w:pStyle w:val="28"/>
        <w:tabs>
          <w:tab w:val="right" w:leader="dot" w:pos="9070"/>
        </w:tabs>
        <w:ind w:left="480" w:firstLine="480"/>
      </w:pPr>
      <w:r>
        <w:fldChar w:fldCharType="begin"/>
      </w:r>
      <w:r>
        <w:instrText xml:space="preserve"> HYPERLINK \l "_Toc1941" </w:instrText>
      </w:r>
      <w:r>
        <w:fldChar w:fldCharType="separate"/>
      </w:r>
      <w:r>
        <w:rPr>
          <w:rFonts w:hint="eastAsia" w:cs="黑体"/>
        </w:rPr>
        <w:t>六、 评标</w:t>
      </w:r>
      <w:r>
        <w:tab/>
      </w:r>
      <w:r>
        <w:fldChar w:fldCharType="end"/>
      </w:r>
    </w:p>
    <w:p>
      <w:pPr>
        <w:pStyle w:val="28"/>
        <w:tabs>
          <w:tab w:val="right" w:leader="dot" w:pos="9070"/>
        </w:tabs>
        <w:ind w:left="480" w:firstLine="480"/>
      </w:pPr>
      <w:r>
        <w:fldChar w:fldCharType="begin"/>
      </w:r>
      <w:r>
        <w:instrText xml:space="preserve"> HYPERLINK \l "_Toc16424" </w:instrText>
      </w:r>
      <w:r>
        <w:fldChar w:fldCharType="separate"/>
      </w:r>
      <w:r>
        <w:rPr>
          <w:rFonts w:hint="eastAsia" w:cs="黑体"/>
        </w:rPr>
        <w:t>七、 定标</w:t>
      </w:r>
      <w:r>
        <w:tab/>
      </w:r>
      <w:r>
        <w:fldChar w:fldCharType="end"/>
      </w:r>
    </w:p>
    <w:p>
      <w:pPr>
        <w:pStyle w:val="28"/>
        <w:tabs>
          <w:tab w:val="right" w:leader="dot" w:pos="9070"/>
        </w:tabs>
        <w:ind w:left="480" w:firstLine="480"/>
      </w:pPr>
      <w:r>
        <w:fldChar w:fldCharType="begin"/>
      </w:r>
      <w:r>
        <w:instrText xml:space="preserve"> HYPERLINK \l "_Toc10991" </w:instrText>
      </w:r>
      <w:r>
        <w:fldChar w:fldCharType="separate"/>
      </w:r>
      <w:r>
        <w:rPr>
          <w:rFonts w:hint="eastAsia" w:cs="黑体"/>
        </w:rPr>
        <w:t>八、</w:t>
      </w:r>
      <w:r>
        <w:rPr>
          <w:rFonts w:hint="eastAsia" w:eastAsia="黑体" w:cs="Times New Roman"/>
          <w:bCs/>
          <w:szCs w:val="30"/>
        </w:rPr>
        <w:t xml:space="preserve"> </w:t>
      </w:r>
      <w:r>
        <w:rPr>
          <w:rFonts w:hint="eastAsia" w:cs="黑体"/>
        </w:rPr>
        <w:t>合同授予</w:t>
      </w:r>
      <w:r>
        <w:tab/>
      </w:r>
      <w:r>
        <w:fldChar w:fldCharType="end"/>
      </w:r>
    </w:p>
    <w:p>
      <w:pPr>
        <w:pStyle w:val="24"/>
        <w:tabs>
          <w:tab w:val="right" w:leader="dot" w:pos="9070"/>
        </w:tabs>
        <w:ind w:firstLine="0" w:firstLineChars="0"/>
      </w:pPr>
      <w:r>
        <w:fldChar w:fldCharType="begin"/>
      </w:r>
      <w:r>
        <w:instrText xml:space="preserve"> HYPERLINK \l "_Toc4872" </w:instrText>
      </w:r>
      <w:r>
        <w:fldChar w:fldCharType="separate"/>
      </w:r>
      <w:r>
        <w:rPr>
          <w:rFonts w:hint="eastAsia" w:eastAsia="黑体"/>
          <w:bCs/>
          <w:szCs w:val="32"/>
        </w:rPr>
        <w:t xml:space="preserve">第四章 </w:t>
      </w:r>
      <w:r>
        <w:rPr>
          <w:rFonts w:hint="eastAsia" w:cs="黑体"/>
        </w:rPr>
        <w:t>评标办法及评分标准</w:t>
      </w:r>
      <w:r>
        <w:tab/>
      </w:r>
      <w:r>
        <w:fldChar w:fldCharType="end"/>
      </w:r>
    </w:p>
    <w:p>
      <w:pPr>
        <w:pStyle w:val="28"/>
        <w:tabs>
          <w:tab w:val="right" w:leader="dot" w:pos="9070"/>
        </w:tabs>
        <w:ind w:left="480" w:firstLine="480"/>
      </w:pPr>
      <w:r>
        <w:fldChar w:fldCharType="begin"/>
      </w:r>
      <w:r>
        <w:instrText xml:space="preserve"> HYPERLINK \l "_Toc28578" </w:instrText>
      </w:r>
      <w:r>
        <w:fldChar w:fldCharType="separate"/>
      </w:r>
      <w:r>
        <w:rPr>
          <w:rFonts w:hint="eastAsia" w:cs="黑体"/>
        </w:rPr>
        <w:t>一、</w:t>
      </w:r>
      <w:r>
        <w:rPr>
          <w:rFonts w:hint="eastAsia" w:eastAsia="黑体" w:cs="Times New Roman"/>
          <w:bCs/>
          <w:szCs w:val="30"/>
        </w:rPr>
        <w:t xml:space="preserve"> </w:t>
      </w:r>
      <w:r>
        <w:rPr>
          <w:rFonts w:hint="eastAsia" w:cs="黑体"/>
        </w:rPr>
        <w:t>总则</w:t>
      </w:r>
      <w:r>
        <w:tab/>
      </w:r>
      <w:r>
        <w:fldChar w:fldCharType="end"/>
      </w:r>
    </w:p>
    <w:p>
      <w:pPr>
        <w:pStyle w:val="28"/>
        <w:tabs>
          <w:tab w:val="right" w:leader="dot" w:pos="9070"/>
        </w:tabs>
        <w:ind w:left="480" w:firstLine="480"/>
      </w:pPr>
      <w:r>
        <w:fldChar w:fldCharType="begin"/>
      </w:r>
      <w:r>
        <w:instrText xml:space="preserve"> HYPERLINK \l "_Toc12432" </w:instrText>
      </w:r>
      <w:r>
        <w:fldChar w:fldCharType="separate"/>
      </w:r>
      <w:r>
        <w:rPr>
          <w:rFonts w:hint="eastAsia"/>
        </w:rPr>
        <w:t>二</w:t>
      </w:r>
      <w:r>
        <w:rPr>
          <w:rFonts w:hint="eastAsia" w:cs="黑体"/>
        </w:rPr>
        <w:t>、 评标内容及标准</w:t>
      </w:r>
      <w:r>
        <w:tab/>
      </w:r>
      <w:r>
        <w:fldChar w:fldCharType="end"/>
      </w:r>
    </w:p>
    <w:p>
      <w:pPr>
        <w:pStyle w:val="24"/>
        <w:tabs>
          <w:tab w:val="right" w:leader="dot" w:pos="9070"/>
        </w:tabs>
        <w:ind w:firstLine="0" w:firstLineChars="0"/>
      </w:pPr>
      <w:r>
        <w:fldChar w:fldCharType="begin"/>
      </w:r>
      <w:r>
        <w:instrText xml:space="preserve"> HYPERLINK \l "_Toc26947" </w:instrText>
      </w:r>
      <w:r>
        <w:fldChar w:fldCharType="separate"/>
      </w:r>
      <w:r>
        <w:rPr>
          <w:rFonts w:hint="eastAsia" w:eastAsia="黑体"/>
          <w:bCs/>
          <w:szCs w:val="32"/>
        </w:rPr>
        <w:t>第五章</w:t>
      </w:r>
      <w:r>
        <w:t xml:space="preserve">  </w:t>
      </w:r>
      <w:r>
        <w:rPr>
          <w:rFonts w:hint="eastAsia" w:cs="黑体"/>
        </w:rPr>
        <w:t>合同主要条款</w:t>
      </w:r>
      <w:r>
        <w:tab/>
      </w:r>
      <w:r>
        <w:fldChar w:fldCharType="end"/>
      </w:r>
    </w:p>
    <w:p>
      <w:pPr>
        <w:pStyle w:val="24"/>
        <w:tabs>
          <w:tab w:val="right" w:leader="dot" w:pos="9070"/>
        </w:tabs>
        <w:ind w:firstLine="0" w:firstLineChars="0"/>
      </w:pPr>
      <w:r>
        <w:fldChar w:fldCharType="begin"/>
      </w:r>
      <w:r>
        <w:instrText xml:space="preserve"> HYPERLINK \l "_Toc3494" </w:instrText>
      </w:r>
      <w:r>
        <w:fldChar w:fldCharType="separate"/>
      </w:r>
      <w:r>
        <w:rPr>
          <w:rFonts w:hint="eastAsia" w:eastAsia="黑体"/>
          <w:bCs/>
          <w:szCs w:val="32"/>
        </w:rPr>
        <w:t>第六章</w:t>
      </w:r>
      <w:r>
        <w:rPr>
          <w:rFonts w:hint="eastAsia" w:cs="黑体"/>
          <w:szCs w:val="32"/>
        </w:rPr>
        <w:t>　</w:t>
      </w:r>
      <w:r>
        <w:rPr>
          <w:rFonts w:hint="eastAsia" w:cs="黑体"/>
        </w:rPr>
        <w:t>投标文件格式</w:t>
      </w:r>
      <w:r>
        <w:tab/>
      </w:r>
      <w:r>
        <w:fldChar w:fldCharType="end"/>
      </w:r>
    </w:p>
    <w:p>
      <w:pPr>
        <w:pStyle w:val="18"/>
        <w:snapToGrid w:val="0"/>
        <w:ind w:firstLine="0" w:firstLineChars="0"/>
        <w:jc w:val="center"/>
        <w:rPr>
          <w:rFonts w:ascii="黑体" w:hAnsi="黑体" w:eastAsia="黑体" w:cs="Times New Roman"/>
          <w:b/>
          <w:bCs/>
          <w:sz w:val="32"/>
          <w:szCs w:val="32"/>
        </w:rPr>
      </w:pPr>
      <w:r>
        <w:rPr>
          <w:rFonts w:ascii="黑体" w:hAnsi="黑体" w:eastAsia="黑体" w:cs="黑体"/>
          <w:bCs/>
          <w:szCs w:val="32"/>
        </w:rPr>
        <w:fldChar w:fldCharType="end"/>
      </w:r>
    </w:p>
    <w:p>
      <w:pPr>
        <w:pStyle w:val="18"/>
        <w:snapToGrid w:val="0"/>
        <w:spacing w:before="120" w:after="120"/>
        <w:ind w:firstLine="0" w:firstLineChars="0"/>
        <w:jc w:val="center"/>
        <w:rPr>
          <w:rFonts w:ascii="黑体" w:hAnsi="黑体" w:eastAsia="黑体" w:cs="Times New Roman"/>
          <w:b/>
          <w:bCs/>
          <w:sz w:val="32"/>
          <w:szCs w:val="32"/>
        </w:rPr>
      </w:pPr>
    </w:p>
    <w:p>
      <w:pPr>
        <w:tabs>
          <w:tab w:val="left" w:pos="6206"/>
        </w:tabs>
        <w:ind w:firstLine="480"/>
        <w:jc w:val="left"/>
        <w:sectPr>
          <w:headerReference r:id="rId9" w:type="default"/>
          <w:footerReference r:id="rId10" w:type="default"/>
          <w:pgSz w:w="11906" w:h="16838"/>
          <w:pgMar w:top="1418" w:right="1418" w:bottom="1418" w:left="1418" w:header="851" w:footer="567" w:gutter="0"/>
          <w:pgNumType w:start="1"/>
          <w:cols w:space="720" w:num="1"/>
          <w:docGrid w:linePitch="312" w:charSpace="0"/>
        </w:sectPr>
      </w:pPr>
      <w:r>
        <w:rPr>
          <w:rFonts w:hint="eastAsia"/>
        </w:rPr>
        <w:tab/>
      </w:r>
    </w:p>
    <w:p>
      <w:pPr>
        <w:pStyle w:val="2"/>
        <w:numPr>
          <w:ilvl w:val="0"/>
          <w:numId w:val="3"/>
        </w:numPr>
        <w:ind w:left="0" w:firstLine="0" w:firstLineChars="0"/>
      </w:pPr>
      <w:bookmarkStart w:id="4" w:name="_Toc10662"/>
      <w:r>
        <w:t xml:space="preserve"> </w:t>
      </w:r>
      <w:bookmarkStart w:id="5" w:name="_Toc29775"/>
      <w:r>
        <w:rPr>
          <w:rFonts w:hint="eastAsia" w:cs="黑体"/>
        </w:rPr>
        <w:t>公开招标采购公告</w:t>
      </w:r>
      <w:bookmarkEnd w:id="0"/>
      <w:bookmarkEnd w:id="1"/>
      <w:bookmarkEnd w:id="4"/>
      <w:bookmarkEnd w:id="5"/>
    </w:p>
    <w:p>
      <w:pPr>
        <w:pStyle w:val="18"/>
        <w:snapToGrid w:val="0"/>
        <w:spacing w:before="120" w:after="120"/>
        <w:ind w:firstLine="0" w:firstLineChars="0"/>
        <w:jc w:val="left"/>
        <w:rPr>
          <w:rFonts w:hAnsi="宋体" w:cs="Times New Roman"/>
          <w:sz w:val="24"/>
          <w:szCs w:val="24"/>
        </w:rPr>
      </w:pPr>
      <w:bookmarkStart w:id="6" w:name="_Toc21481"/>
      <w:r>
        <w:rPr>
          <w:rFonts w:hAnsi="宋体"/>
          <w:sz w:val="24"/>
          <w:szCs w:val="24"/>
        </w:rPr>
        <w:t xml:space="preserve">    </w:t>
      </w:r>
      <w:r>
        <w:rPr>
          <w:rFonts w:hint="eastAsia" w:hAnsi="宋体"/>
          <w:sz w:val="24"/>
          <w:szCs w:val="24"/>
        </w:rPr>
        <w:t>根据《中华人民共和国政府采购法》、《政府采购货物和服务招标投标管理办法》规定，经长河街道办事处批准，浙江五洲工程项目管理有限公司现就杭州市滨江区春波小区整体装配式既有住宅加装电梯工程（二期）组织公开招标，欢迎能提供本项目服务的投标人前来投标</w:t>
      </w:r>
      <w:bookmarkEnd w:id="6"/>
      <w:r>
        <w:rPr>
          <w:rFonts w:hint="eastAsia" w:hAnsi="宋体"/>
          <w:sz w:val="24"/>
          <w:szCs w:val="24"/>
        </w:rPr>
        <w:t>。</w:t>
      </w:r>
    </w:p>
    <w:p>
      <w:pPr>
        <w:pStyle w:val="80"/>
        <w:widowControl/>
        <w:spacing w:after="120"/>
        <w:jc w:val="left"/>
        <w:rPr>
          <w:rFonts w:cs="Times New Roman"/>
          <w:b/>
          <w:bCs/>
        </w:rPr>
      </w:pPr>
      <w:r>
        <w:rPr>
          <w:rFonts w:hint="eastAsia"/>
          <w:b/>
          <w:bCs/>
        </w:rPr>
        <w:t>一、项目编号：WZZB-CHDT2020-001</w:t>
      </w:r>
    </w:p>
    <w:p>
      <w:pPr>
        <w:pStyle w:val="80"/>
        <w:widowControl/>
        <w:spacing w:after="120"/>
        <w:jc w:val="left"/>
        <w:rPr>
          <w:rFonts w:cs="Times New Roman"/>
        </w:rPr>
      </w:pPr>
      <w:r>
        <w:rPr>
          <w:rFonts w:hint="eastAsia"/>
          <w:b/>
          <w:bCs/>
        </w:rPr>
        <w:t>二、采购组织类型：</w:t>
      </w:r>
      <w:r>
        <w:rPr>
          <w:rFonts w:hint="eastAsia"/>
        </w:rPr>
        <w:t>分散采购委托代理</w:t>
      </w:r>
    </w:p>
    <w:p>
      <w:pPr>
        <w:pStyle w:val="80"/>
        <w:widowControl/>
        <w:spacing w:after="120"/>
        <w:jc w:val="left"/>
        <w:rPr>
          <w:rFonts w:cs="Times New Roman"/>
        </w:rPr>
      </w:pPr>
      <w:r>
        <w:rPr>
          <w:rFonts w:hint="eastAsia"/>
          <w:b/>
          <w:bCs/>
        </w:rPr>
        <w:t>三、采购方式：</w:t>
      </w:r>
      <w:r>
        <w:rPr>
          <w:rFonts w:hint="eastAsia"/>
        </w:rPr>
        <w:t>公开招标</w:t>
      </w:r>
    </w:p>
    <w:p>
      <w:pPr>
        <w:pStyle w:val="80"/>
        <w:widowControl/>
        <w:spacing w:before="120" w:beforeLines="50" w:after="120"/>
        <w:jc w:val="left"/>
        <w:rPr>
          <w:rFonts w:cs="Times New Roman"/>
          <w:b/>
          <w:bCs/>
        </w:rPr>
      </w:pPr>
      <w:r>
        <w:rPr>
          <w:rFonts w:hint="eastAsia"/>
          <w:b/>
          <w:bCs/>
        </w:rPr>
        <w:t>四、采购内容</w:t>
      </w:r>
      <w:bookmarkStart w:id="7" w:name="_Toc31015"/>
      <w:r>
        <w:rPr>
          <w:rFonts w:hint="eastAsia"/>
          <w:b/>
          <w:bCs/>
        </w:rPr>
        <w:t>及要求：</w:t>
      </w:r>
    </w:p>
    <w:p>
      <w:pPr>
        <w:pStyle w:val="80"/>
        <w:widowControl/>
        <w:spacing w:before="120" w:beforeLines="50" w:after="120"/>
        <w:jc w:val="left"/>
        <w:rPr>
          <w:rFonts w:cs="Times New Roman"/>
          <w:b/>
          <w:bCs/>
        </w:rPr>
      </w:pPr>
      <w:r>
        <w:rPr>
          <w:b/>
          <w:bCs/>
        </w:rPr>
        <w:t>1</w:t>
      </w:r>
      <w:r>
        <w:rPr>
          <w:rFonts w:hint="eastAsia"/>
          <w:b/>
          <w:bCs/>
        </w:rPr>
        <w:t>、采购内容</w:t>
      </w:r>
    </w:p>
    <w:p>
      <w:pPr>
        <w:ind w:firstLine="480"/>
      </w:pPr>
      <w:r>
        <w:rPr>
          <w:rFonts w:hint="eastAsia"/>
        </w:rPr>
        <w:t>春波</w:t>
      </w:r>
      <w:r>
        <w:t>小区</w:t>
      </w:r>
      <w:r>
        <w:rPr>
          <w:rFonts w:hint="eastAsia"/>
        </w:rPr>
        <w:t>整体装配式加装电梯设备供货及安装。包括设备供货和安装调试及内装饰等内容。现场开挖后涉及到电力、水务、燃气、华数电信等单位的管线，需要配合相关单位进行综合管线迁移，涉及其它管线的需自行完成管线迁移，以及管线迁移完成后路面修复工作。电梯共计</w:t>
      </w:r>
      <w:r>
        <w:rPr>
          <w:rFonts w:hint="eastAsia"/>
          <w:lang w:val="en-US" w:eastAsia="zh-CN"/>
        </w:rPr>
        <w:t>84</w:t>
      </w:r>
      <w:r>
        <w:rPr>
          <w:rFonts w:hint="eastAsia"/>
        </w:rPr>
        <w:t>台</w:t>
      </w:r>
      <w:r>
        <w:rPr>
          <w:rFonts w:hint="eastAsia"/>
          <w:b/>
          <w:bCs/>
          <w:highlight w:val="none"/>
        </w:rPr>
        <w:t>(具体电梯安装数量，以实际发生为准）</w:t>
      </w:r>
      <w:r>
        <w:rPr>
          <w:rFonts w:hint="eastAsia"/>
        </w:rPr>
        <w:t>，预算金额约为</w:t>
      </w:r>
      <w:r>
        <w:rPr>
          <w:rFonts w:hint="eastAsia"/>
          <w:lang w:val="en-US" w:eastAsia="zh-CN"/>
        </w:rPr>
        <w:t>5500</w:t>
      </w:r>
      <w:r>
        <w:rPr>
          <w:rFonts w:hint="eastAsia"/>
        </w:rPr>
        <w:t>万元。</w:t>
      </w:r>
    </w:p>
    <w:p>
      <w:pPr>
        <w:pStyle w:val="80"/>
        <w:widowControl/>
        <w:spacing w:before="120" w:beforeLines="50" w:after="120"/>
        <w:jc w:val="left"/>
        <w:rPr>
          <w:rFonts w:cs="Times New Roman"/>
          <w:b/>
          <w:bCs/>
        </w:rPr>
      </w:pPr>
      <w:r>
        <w:rPr>
          <w:rFonts w:hint="eastAsia"/>
        </w:rPr>
        <w:t>▲</w:t>
      </w:r>
      <w:r>
        <w:rPr>
          <w:rFonts w:hint="eastAsia"/>
          <w:b/>
          <w:bCs/>
        </w:rPr>
        <w:t>五、合格投标人的资格要求</w:t>
      </w:r>
      <w:bookmarkEnd w:id="7"/>
      <w:r>
        <w:rPr>
          <w:rFonts w:hint="eastAsia"/>
          <w:b/>
          <w:bCs/>
        </w:rPr>
        <w:t>：</w:t>
      </w:r>
    </w:p>
    <w:p>
      <w:pPr>
        <w:ind w:firstLine="480"/>
      </w:pPr>
      <w:r>
        <w:rPr>
          <w:rFonts w:hint="eastAsia"/>
        </w:rPr>
        <w:t>符合《中华人民共和国政府采购法》第二十二条规定，生产商或供应商参加政府采购活动应当具备的条件。</w:t>
      </w:r>
    </w:p>
    <w:p>
      <w:pPr>
        <w:ind w:firstLine="240" w:firstLineChars="100"/>
        <w:rPr>
          <w:color w:val="auto"/>
        </w:rPr>
      </w:pPr>
      <w:r>
        <w:rPr>
          <w:rFonts w:hint="eastAsia"/>
          <w:color w:val="auto"/>
        </w:rPr>
        <w:t>特定资格条件要求：</w:t>
      </w:r>
    </w:p>
    <w:p>
      <w:pPr>
        <w:ind w:firstLine="240" w:firstLineChars="100"/>
        <w:rPr>
          <w:color w:val="auto"/>
        </w:rPr>
      </w:pPr>
      <w:r>
        <w:rPr>
          <w:rFonts w:hint="eastAsia"/>
          <w:color w:val="auto"/>
          <w:kern w:val="0"/>
        </w:rPr>
        <w:t>（1）</w:t>
      </w:r>
      <w:r>
        <w:rPr>
          <w:rFonts w:hint="eastAsia"/>
          <w:color w:val="auto"/>
        </w:rPr>
        <w:t>未被“信用中国”（www.creditchina.gov.cn）、中国政府采购网（www.ccgp.gov.cn）列入失信被执行人、重大税收违法案件当事人名单、政府采购严重违法失信行为记录名单。</w:t>
      </w:r>
    </w:p>
    <w:p>
      <w:pPr>
        <w:ind w:firstLine="240" w:firstLineChars="100"/>
        <w:rPr>
          <w:color w:val="auto"/>
        </w:rPr>
      </w:pPr>
      <w:r>
        <w:rPr>
          <w:rFonts w:hint="eastAsia"/>
          <w:color w:val="auto"/>
          <w:kern w:val="0"/>
        </w:rPr>
        <w:t>（2）</w:t>
      </w:r>
      <w:r>
        <w:rPr>
          <w:rFonts w:hint="eastAsia"/>
          <w:color w:val="auto"/>
        </w:rPr>
        <w:t>投标人须为电梯制造商或制造商授权的代理商，电梯制造商必须具有《中华人民共和国特种设备制造许可证（电梯）》乘客电梯 A 级资质和《中华人民共和国特种设备安装改造维修许可证(电梯)》A级资质（须提供资质证书复印件加盖公章）；电梯代理商需具有中华人民共和国特种设备安装改造维修许可证(电梯)》乘客电梯B级或以上资质。</w:t>
      </w:r>
    </w:p>
    <w:p>
      <w:pPr>
        <w:wordWrap w:val="0"/>
        <w:ind w:firstLine="0" w:firstLineChars="0"/>
        <w:rPr>
          <w:rFonts w:cs="Times New Roman"/>
        </w:rPr>
      </w:pPr>
      <w:r>
        <w:t xml:space="preserve"> </w:t>
      </w:r>
      <w:bookmarkStart w:id="8" w:name="_Toc9672"/>
      <w:r>
        <w:rPr>
          <w:rFonts w:hint="eastAsia"/>
          <w:b/>
          <w:bCs/>
        </w:rPr>
        <w:t>六、采购文件的发售</w:t>
      </w:r>
      <w:bookmarkEnd w:id="8"/>
      <w:r>
        <w:rPr>
          <w:rFonts w:hint="eastAsia"/>
          <w:b/>
          <w:bCs/>
        </w:rPr>
        <w:t>：</w:t>
      </w:r>
    </w:p>
    <w:p>
      <w:pPr>
        <w:widowControl/>
        <w:ind w:firstLine="480"/>
        <w:jc w:val="left"/>
        <w:rPr>
          <w:rFonts w:cs="Times New Roman"/>
        </w:rPr>
      </w:pPr>
      <w:r>
        <w:t>1</w:t>
      </w:r>
      <w:r>
        <w:rPr>
          <w:rFonts w:hint="eastAsia"/>
        </w:rPr>
        <w:t>、发售时间：2020年</w:t>
      </w:r>
      <w:r>
        <w:rPr>
          <w:rFonts w:hint="eastAsia"/>
          <w:lang w:val="en-US" w:eastAsia="zh-CN"/>
        </w:rPr>
        <w:t>3</w:t>
      </w:r>
      <w:r>
        <w:rPr>
          <w:rFonts w:hint="eastAsia"/>
        </w:rPr>
        <w:t>月</w:t>
      </w:r>
      <w:r>
        <w:rPr>
          <w:rFonts w:hint="eastAsia"/>
          <w:lang w:val="en-US" w:eastAsia="zh-CN"/>
        </w:rPr>
        <w:t>13</w:t>
      </w:r>
      <w:r>
        <w:rPr>
          <w:rFonts w:hint="eastAsia"/>
        </w:rPr>
        <w:t>日至2020年</w:t>
      </w:r>
      <w:r>
        <w:rPr>
          <w:rFonts w:hint="eastAsia"/>
          <w:lang w:val="en-US" w:eastAsia="zh-CN"/>
        </w:rPr>
        <w:t>3</w:t>
      </w:r>
      <w:r>
        <w:rPr>
          <w:rFonts w:hint="eastAsia"/>
        </w:rPr>
        <w:t>月</w:t>
      </w:r>
      <w:r>
        <w:rPr>
          <w:rFonts w:hint="eastAsia"/>
          <w:lang w:val="en-US" w:eastAsia="zh-CN"/>
        </w:rPr>
        <w:t>19</w:t>
      </w:r>
      <w:r>
        <w:rPr>
          <w:rFonts w:hint="eastAsia"/>
        </w:rPr>
        <w:t>日（双休日除外）</w:t>
      </w:r>
    </w:p>
    <w:p>
      <w:pPr>
        <w:widowControl/>
        <w:ind w:firstLine="1920" w:firstLineChars="800"/>
        <w:jc w:val="left"/>
        <w:rPr>
          <w:rFonts w:cs="Times New Roman"/>
        </w:rPr>
      </w:pPr>
      <w:r>
        <w:rPr>
          <w:rFonts w:hint="eastAsia"/>
        </w:rPr>
        <w:t>上午：</w:t>
      </w:r>
      <w:r>
        <w:t>9</w:t>
      </w:r>
      <w:r>
        <w:rPr>
          <w:rFonts w:hint="eastAsia"/>
        </w:rPr>
        <w:t>：</w:t>
      </w:r>
      <w:r>
        <w:t>00-11</w:t>
      </w:r>
      <w:r>
        <w:rPr>
          <w:rFonts w:hint="eastAsia"/>
        </w:rPr>
        <w:t>：</w:t>
      </w:r>
      <w:r>
        <w:t xml:space="preserve">30    </w:t>
      </w:r>
      <w:r>
        <w:rPr>
          <w:rFonts w:hint="eastAsia"/>
        </w:rPr>
        <w:t>下午：</w:t>
      </w:r>
      <w:r>
        <w:t>13</w:t>
      </w:r>
      <w:r>
        <w:rPr>
          <w:rFonts w:hint="eastAsia"/>
        </w:rPr>
        <w:t>：</w:t>
      </w:r>
      <w:r>
        <w:t>30-17</w:t>
      </w:r>
      <w:r>
        <w:rPr>
          <w:rFonts w:hint="eastAsia"/>
        </w:rPr>
        <w:t>：</w:t>
      </w:r>
      <w:r>
        <w:t>00</w:t>
      </w:r>
    </w:p>
    <w:p>
      <w:pPr>
        <w:widowControl/>
        <w:numPr>
          <w:ilvl w:val="0"/>
          <w:numId w:val="4"/>
        </w:numPr>
        <w:ind w:firstLine="480"/>
        <w:jc w:val="left"/>
        <w:rPr>
          <w:rFonts w:hint="eastAsia"/>
          <w:lang w:val="en-US" w:eastAsia="zh-CN"/>
        </w:rPr>
      </w:pPr>
      <w:r>
        <w:rPr>
          <w:rFonts w:hint="eastAsia"/>
        </w:rPr>
        <w:t>发售地点：</w:t>
      </w:r>
      <w:r>
        <w:t>杭州市滨江区六和路中控大厦E幢18楼</w:t>
      </w:r>
      <w:r>
        <w:rPr>
          <w:rFonts w:hint="eastAsia"/>
          <w:lang w:val="en-US" w:eastAsia="zh-CN"/>
        </w:rPr>
        <w:t>1807室</w:t>
      </w:r>
    </w:p>
    <w:p>
      <w:pPr>
        <w:widowControl/>
        <w:numPr>
          <w:ilvl w:val="0"/>
          <w:numId w:val="4"/>
        </w:numPr>
        <w:ind w:firstLine="480"/>
        <w:jc w:val="left"/>
        <w:rPr>
          <w:rFonts w:hint="default" w:eastAsia="宋体" w:cs="Times New Roman"/>
          <w:lang w:val="en-US" w:eastAsia="zh-CN"/>
        </w:rPr>
      </w:pPr>
      <w:r>
        <w:rPr>
          <w:rFonts w:hint="eastAsia" w:ascii="宋体" w:hAnsi="宋体"/>
          <w:b/>
          <w:bCs/>
          <w:sz w:val="24"/>
          <w:lang w:val="en-US" w:eastAsia="zh-CN"/>
        </w:rPr>
        <w:t>（疫情期间请各供应商采用远程报名方式参与本项目）</w:t>
      </w:r>
    </w:p>
    <w:p>
      <w:pPr>
        <w:pStyle w:val="80"/>
        <w:widowControl/>
        <w:spacing w:before="120" w:beforeLines="50" w:after="120"/>
        <w:jc w:val="left"/>
        <w:rPr>
          <w:rFonts w:cs="Times New Roman"/>
          <w:b/>
          <w:bCs/>
        </w:rPr>
      </w:pPr>
      <w:bookmarkStart w:id="9" w:name="_Toc29063"/>
      <w:r>
        <w:rPr>
          <w:rFonts w:hint="eastAsia"/>
          <w:b/>
          <w:bCs/>
        </w:rPr>
        <w:t>七、报名及购买招标文件时应提供以下资料</w:t>
      </w:r>
      <w:bookmarkEnd w:id="9"/>
      <w:r>
        <w:rPr>
          <w:rFonts w:hint="eastAsia"/>
          <w:b/>
          <w:bCs/>
        </w:rPr>
        <w:t>：</w:t>
      </w:r>
    </w:p>
    <w:p>
      <w:pPr>
        <w:ind w:firstLine="480"/>
        <w:rPr>
          <w:rFonts w:cs="Times New Roman"/>
        </w:rPr>
      </w:pPr>
      <w:r>
        <w:t>1</w:t>
      </w:r>
      <w:r>
        <w:rPr>
          <w:rFonts w:hint="eastAsia"/>
        </w:rPr>
        <w:t>、报名人有效身份证件原件及复印件；</w:t>
      </w:r>
    </w:p>
    <w:p>
      <w:pPr>
        <w:ind w:firstLine="480"/>
        <w:rPr>
          <w:rFonts w:cs="Times New Roman"/>
        </w:rPr>
      </w:pPr>
      <w:r>
        <w:t>2</w:t>
      </w:r>
      <w:r>
        <w:rPr>
          <w:rFonts w:hint="eastAsia"/>
        </w:rPr>
        <w:t>、单位介绍信或授权委托书；</w:t>
      </w:r>
    </w:p>
    <w:p>
      <w:pPr>
        <w:ind w:firstLine="480"/>
      </w:pPr>
      <w:r>
        <w:t>3</w:t>
      </w:r>
      <w:r>
        <w:rPr>
          <w:rFonts w:hint="eastAsia"/>
        </w:rPr>
        <w:t>、企业法人营业执照副本复印件；</w:t>
      </w:r>
    </w:p>
    <w:p>
      <w:pPr>
        <w:ind w:firstLine="480"/>
      </w:pPr>
      <w:r>
        <w:rPr>
          <w:rFonts w:hint="eastAsia"/>
        </w:rPr>
        <w:t>4、资格要求的证件复印件加盖公章。</w:t>
      </w:r>
    </w:p>
    <w:p>
      <w:pPr>
        <w:pStyle w:val="80"/>
        <w:widowControl/>
        <w:spacing w:before="120" w:beforeLines="50" w:after="120"/>
        <w:jc w:val="left"/>
        <w:rPr>
          <w:rFonts w:cs="Times New Roman"/>
          <w:b/>
          <w:bCs/>
        </w:rPr>
      </w:pPr>
      <w:bookmarkStart w:id="10" w:name="_Toc25940"/>
      <w:r>
        <w:rPr>
          <w:rFonts w:hint="eastAsia"/>
          <w:b/>
          <w:bCs/>
        </w:rPr>
        <w:t>八、</w:t>
      </w:r>
      <w:bookmarkEnd w:id="10"/>
      <w:bookmarkStart w:id="11" w:name="_Toc24833"/>
      <w:r>
        <w:rPr>
          <w:rFonts w:hint="eastAsia"/>
          <w:b/>
          <w:bCs/>
        </w:rPr>
        <w:t>投标截止时间和地点</w:t>
      </w:r>
      <w:bookmarkEnd w:id="11"/>
      <w:r>
        <w:rPr>
          <w:rFonts w:hint="eastAsia"/>
          <w:b/>
          <w:bCs/>
        </w:rPr>
        <w:t>：</w:t>
      </w:r>
    </w:p>
    <w:p>
      <w:pPr>
        <w:widowControl/>
        <w:snapToGrid w:val="0"/>
        <w:ind w:left="240" w:leftChars="100" w:firstLine="480"/>
        <w:jc w:val="left"/>
        <w:rPr>
          <w:rFonts w:hint="eastAsia" w:eastAsia="宋体" w:cs="Times New Roman"/>
          <w:lang w:eastAsia="zh-CN"/>
        </w:rPr>
      </w:pPr>
      <w:r>
        <w:rPr>
          <w:rFonts w:hint="eastAsia"/>
        </w:rPr>
        <w:t>投标人应于2020年</w:t>
      </w:r>
      <w:r>
        <w:rPr>
          <w:rFonts w:hint="eastAsia"/>
          <w:lang w:val="en-US" w:eastAsia="zh-CN"/>
        </w:rPr>
        <w:t>4</w:t>
      </w:r>
      <w:r>
        <w:rPr>
          <w:rFonts w:hint="eastAsia"/>
        </w:rPr>
        <w:t>月</w:t>
      </w:r>
      <w:r>
        <w:rPr>
          <w:rFonts w:hint="eastAsia"/>
          <w:lang w:val="en-US" w:eastAsia="zh-CN"/>
        </w:rPr>
        <w:t>2</w:t>
      </w:r>
      <w:r>
        <w:rPr>
          <w:rFonts w:hint="eastAsia"/>
        </w:rPr>
        <w:t>日</w:t>
      </w:r>
      <w:r>
        <w:rPr>
          <w:rFonts w:hint="eastAsia"/>
          <w:lang w:val="en-US" w:eastAsia="zh-CN"/>
        </w:rPr>
        <w:t>9</w:t>
      </w:r>
      <w:r>
        <w:rPr>
          <w:rFonts w:hint="eastAsia"/>
        </w:rPr>
        <w:t>时</w:t>
      </w:r>
      <w:r>
        <w:rPr>
          <w:rFonts w:hint="eastAsia"/>
          <w:lang w:val="en-US" w:eastAsia="zh-CN"/>
        </w:rPr>
        <w:t>30</w:t>
      </w:r>
      <w:r>
        <w:rPr>
          <w:rFonts w:hint="eastAsia"/>
        </w:rPr>
        <w:t>分前将投标文件密封送交到</w:t>
      </w:r>
      <w:r>
        <w:rPr>
          <w:rFonts w:hint="eastAsia"/>
          <w:u w:val="single"/>
          <w:lang w:eastAsia="zh-CN"/>
        </w:rPr>
        <w:t>杭州市滨江区六和路中控大厦E幢18楼1807室开标室</w:t>
      </w:r>
      <w:r>
        <w:rPr>
          <w:rFonts w:hint="eastAsia"/>
        </w:rPr>
        <w:t>，逾期送达或未密封将予以拒收。</w:t>
      </w:r>
      <w:r>
        <w:rPr>
          <w:rFonts w:hint="eastAsia" w:ascii="宋体" w:hAnsi="宋体"/>
          <w:b/>
          <w:bCs/>
          <w:sz w:val="24"/>
          <w:lang w:val="en-US" w:eastAsia="zh-CN"/>
        </w:rPr>
        <w:t>。</w:t>
      </w:r>
    </w:p>
    <w:p>
      <w:pPr>
        <w:pStyle w:val="80"/>
        <w:widowControl/>
        <w:spacing w:before="120" w:beforeLines="50" w:after="120"/>
        <w:jc w:val="left"/>
        <w:rPr>
          <w:rFonts w:cs="Times New Roman"/>
          <w:b/>
          <w:bCs/>
        </w:rPr>
      </w:pPr>
      <w:bookmarkStart w:id="12" w:name="_Toc5166"/>
      <w:r>
        <w:rPr>
          <w:rFonts w:hint="eastAsia"/>
          <w:b/>
          <w:bCs/>
        </w:rPr>
        <w:t>九、开标时间及地点</w:t>
      </w:r>
      <w:bookmarkEnd w:id="12"/>
      <w:r>
        <w:rPr>
          <w:rFonts w:hint="eastAsia"/>
          <w:b/>
          <w:bCs/>
        </w:rPr>
        <w:t>：</w:t>
      </w:r>
    </w:p>
    <w:p>
      <w:pPr>
        <w:widowControl/>
        <w:ind w:firstLine="480"/>
        <w:jc w:val="left"/>
        <w:rPr>
          <w:rFonts w:cs="Times New Roman"/>
        </w:rPr>
      </w:pPr>
      <w:r>
        <w:rPr>
          <w:rFonts w:hint="eastAsia"/>
        </w:rPr>
        <w:t>本次招标将于2020年</w:t>
      </w:r>
      <w:r>
        <w:rPr>
          <w:rFonts w:hint="eastAsia"/>
          <w:lang w:val="en-US" w:eastAsia="zh-CN"/>
        </w:rPr>
        <w:t>4</w:t>
      </w:r>
      <w:r>
        <w:rPr>
          <w:rFonts w:hint="eastAsia"/>
        </w:rPr>
        <w:t>月</w:t>
      </w:r>
      <w:r>
        <w:rPr>
          <w:rFonts w:hint="eastAsia"/>
          <w:lang w:val="en-US" w:eastAsia="zh-CN"/>
        </w:rPr>
        <w:t>2</w:t>
      </w:r>
      <w:r>
        <w:rPr>
          <w:rFonts w:hint="eastAsia"/>
        </w:rPr>
        <w:t>日</w:t>
      </w:r>
      <w:r>
        <w:rPr>
          <w:rFonts w:hint="eastAsia"/>
          <w:lang w:val="en-US" w:eastAsia="zh-CN"/>
        </w:rPr>
        <w:t>9</w:t>
      </w:r>
      <w:r>
        <w:rPr>
          <w:rFonts w:hint="eastAsia"/>
        </w:rPr>
        <w:t>时</w:t>
      </w:r>
      <w:r>
        <w:rPr>
          <w:rFonts w:hint="eastAsia"/>
          <w:lang w:val="en-US" w:eastAsia="zh-CN"/>
        </w:rPr>
        <w:t>30</w:t>
      </w:r>
      <w:r>
        <w:rPr>
          <w:rFonts w:hint="eastAsia"/>
        </w:rPr>
        <w:t>分在</w:t>
      </w:r>
      <w:r>
        <w:rPr>
          <w:rFonts w:hint="eastAsia"/>
          <w:u w:val="single"/>
          <w:lang w:eastAsia="zh-CN"/>
        </w:rPr>
        <w:t>杭州市滨江区六和路中控大厦E幢18楼1807室开标室</w:t>
      </w:r>
      <w:r>
        <w:rPr>
          <w:rFonts w:hint="eastAsia"/>
        </w:rPr>
        <w:t>开标，投标人可以委派授权代表出席开标会议（授权代表应携带身份证和授权委托书原件，允许密封在投标文件中开标后查验）在开标会上提交以证明其身份。</w:t>
      </w:r>
      <w:r>
        <w:rPr>
          <w:rFonts w:hint="eastAsia"/>
          <w:b/>
          <w:bCs/>
          <w:sz w:val="24"/>
          <w:lang w:val="en-US" w:eastAsia="zh-CN"/>
        </w:rPr>
        <w:t>。</w:t>
      </w:r>
    </w:p>
    <w:p>
      <w:pPr>
        <w:pStyle w:val="80"/>
        <w:widowControl/>
        <w:spacing w:before="120" w:beforeLines="50" w:after="120"/>
        <w:jc w:val="left"/>
        <w:rPr>
          <w:rFonts w:cs="Times New Roman"/>
          <w:b/>
          <w:bCs/>
        </w:rPr>
      </w:pPr>
      <w:bookmarkStart w:id="13" w:name="_Toc10762"/>
      <w:bookmarkStart w:id="14" w:name="_Toc22214"/>
      <w:r>
        <w:rPr>
          <w:rFonts w:hint="eastAsia"/>
          <w:b/>
          <w:bCs/>
        </w:rPr>
        <w:t>十、业务咨询</w:t>
      </w:r>
      <w:bookmarkEnd w:id="13"/>
      <w:bookmarkEnd w:id="14"/>
      <w:r>
        <w:rPr>
          <w:rFonts w:hint="eastAsia"/>
          <w:b/>
          <w:bCs/>
        </w:rPr>
        <w:t>：</w:t>
      </w:r>
    </w:p>
    <w:p>
      <w:pPr>
        <w:widowControl/>
        <w:snapToGrid w:val="0"/>
        <w:ind w:firstLine="0" w:firstLineChars="0"/>
        <w:jc w:val="left"/>
      </w:pPr>
      <w:r>
        <w:rPr>
          <w:rFonts w:hint="eastAsia"/>
        </w:rPr>
        <w:t>代理机构：</w:t>
      </w:r>
      <w:r>
        <w:t>浙江五洲工程项目管理有限公司</w:t>
      </w:r>
    </w:p>
    <w:p>
      <w:pPr>
        <w:widowControl/>
        <w:snapToGrid w:val="0"/>
        <w:ind w:firstLine="0" w:firstLineChars="0"/>
        <w:jc w:val="left"/>
      </w:pPr>
      <w:r>
        <w:rPr>
          <w:rFonts w:hint="eastAsia"/>
        </w:rPr>
        <w:t>联系地点：</w:t>
      </w:r>
      <w:r>
        <w:t>杭州市滨江区六和路中控大厦E幢18楼</w:t>
      </w:r>
    </w:p>
    <w:p>
      <w:pPr>
        <w:widowControl/>
        <w:snapToGrid w:val="0"/>
        <w:ind w:firstLine="0" w:firstLineChars="0"/>
        <w:jc w:val="left"/>
        <w:rPr>
          <w:rFonts w:hint="eastAsia" w:eastAsia="宋体" w:cs="Times New Roman"/>
          <w:lang w:val="en-US" w:eastAsia="zh-CN"/>
        </w:rPr>
      </w:pPr>
      <w:bookmarkStart w:id="15" w:name="_Toc24582"/>
      <w:bookmarkStart w:id="16" w:name="_Toc8054"/>
      <w:bookmarkStart w:id="17" w:name="_Toc9944"/>
      <w:bookmarkStart w:id="18" w:name="_Toc22879"/>
      <w:bookmarkStart w:id="19" w:name="_Toc20910"/>
      <w:r>
        <w:rPr>
          <w:rFonts w:hint="eastAsia"/>
        </w:rPr>
        <w:t>联</w:t>
      </w:r>
      <w:r>
        <w:t xml:space="preserve"> </w:t>
      </w:r>
      <w:r>
        <w:rPr>
          <w:rFonts w:hint="eastAsia"/>
        </w:rPr>
        <w:t>系</w:t>
      </w:r>
      <w:r>
        <w:t xml:space="preserve"> </w:t>
      </w:r>
      <w:r>
        <w:rPr>
          <w:rFonts w:hint="eastAsia"/>
        </w:rPr>
        <w:t>人：</w:t>
      </w:r>
      <w:r>
        <w:rPr>
          <w:rFonts w:hint="eastAsia"/>
          <w:lang w:eastAsia="zh-CN"/>
        </w:rPr>
        <w:t>徐辉</w:t>
      </w:r>
    </w:p>
    <w:p>
      <w:pPr>
        <w:widowControl/>
        <w:snapToGrid w:val="0"/>
        <w:ind w:firstLine="0" w:firstLineChars="0"/>
        <w:jc w:val="left"/>
        <w:rPr>
          <w:rFonts w:hint="default" w:eastAsia="宋体"/>
          <w:lang w:val="en-US" w:eastAsia="zh-CN"/>
        </w:rPr>
      </w:pPr>
      <w:r>
        <w:rPr>
          <w:rFonts w:hint="eastAsia"/>
        </w:rPr>
        <w:t>联系电话：</w:t>
      </w:r>
      <w:r>
        <w:rPr>
          <w:rFonts w:hint="eastAsia"/>
          <w:lang w:val="en-US" w:eastAsia="zh-CN"/>
        </w:rPr>
        <w:t>13666634227</w:t>
      </w:r>
    </w:p>
    <w:p>
      <w:pPr>
        <w:widowControl/>
        <w:snapToGrid w:val="0"/>
        <w:ind w:firstLine="0" w:firstLineChars="0"/>
        <w:jc w:val="left"/>
        <w:rPr>
          <w:rFonts w:hint="eastAsia"/>
        </w:rPr>
      </w:pPr>
      <w:r>
        <w:rPr>
          <w:rFonts w:hint="eastAsia"/>
        </w:rPr>
        <w:t>邮箱：</w:t>
      </w:r>
      <w:r>
        <w:rPr>
          <w:rFonts w:hint="eastAsia"/>
          <w:lang w:val="en-US" w:eastAsia="zh-CN"/>
        </w:rPr>
        <w:t>262374829@qq.com</w:t>
      </w:r>
      <w:r>
        <w:rPr>
          <w:rFonts w:hint="eastAsia"/>
        </w:rPr>
        <w:t xml:space="preserve"> </w:t>
      </w:r>
    </w:p>
    <w:p>
      <w:pPr>
        <w:widowControl/>
        <w:snapToGrid w:val="0"/>
        <w:ind w:firstLine="0" w:firstLineChars="0"/>
        <w:jc w:val="left"/>
        <w:rPr>
          <w:rFonts w:cs="Times New Roman"/>
        </w:rPr>
      </w:pPr>
      <w:r>
        <w:rPr>
          <w:rFonts w:hint="eastAsia"/>
        </w:rPr>
        <w:t>采购人：杭州市滨江区人民政府长河街道办事处</w:t>
      </w:r>
    </w:p>
    <w:p>
      <w:pPr>
        <w:widowControl/>
        <w:snapToGrid w:val="0"/>
        <w:ind w:firstLine="0" w:firstLineChars="0"/>
        <w:jc w:val="left"/>
        <w:rPr>
          <w:rFonts w:hint="eastAsia" w:eastAsia="宋体"/>
          <w:lang w:eastAsia="zh-CN"/>
        </w:rPr>
      </w:pPr>
      <w:r>
        <w:rPr>
          <w:rFonts w:hint="eastAsia"/>
        </w:rPr>
        <w:t>联系人：</w:t>
      </w:r>
      <w:r>
        <w:rPr>
          <w:rFonts w:hint="eastAsia"/>
          <w:lang w:eastAsia="zh-CN"/>
        </w:rPr>
        <w:t>练工</w:t>
      </w:r>
    </w:p>
    <w:p>
      <w:pPr>
        <w:widowControl/>
        <w:snapToGrid w:val="0"/>
        <w:ind w:firstLine="0" w:firstLineChars="0"/>
        <w:jc w:val="left"/>
        <w:rPr>
          <w:rFonts w:hint="default" w:eastAsia="宋体"/>
          <w:lang w:val="en-US" w:eastAsia="zh-CN"/>
        </w:rPr>
      </w:pPr>
      <w:r>
        <w:rPr>
          <w:rFonts w:hint="eastAsia"/>
        </w:rPr>
        <w:t>联系电话：</w:t>
      </w:r>
      <w:r>
        <w:rPr>
          <w:rFonts w:hint="eastAsia"/>
          <w:lang w:val="en-US" w:eastAsia="zh-CN"/>
        </w:rPr>
        <w:t>13588801927</w:t>
      </w:r>
    </w:p>
    <w:p>
      <w:pPr>
        <w:widowControl/>
        <w:snapToGrid w:val="0"/>
        <w:ind w:firstLine="0" w:firstLineChars="0"/>
        <w:jc w:val="left"/>
        <w:rPr>
          <w:rFonts w:cs="Times New Roman"/>
        </w:rPr>
      </w:pPr>
      <w:r>
        <w:rPr>
          <w:rFonts w:hint="eastAsia"/>
        </w:rPr>
        <w:t>地址：滨江区长江北路18号</w:t>
      </w:r>
    </w:p>
    <w:p>
      <w:pPr>
        <w:widowControl/>
        <w:snapToGrid w:val="0"/>
        <w:ind w:firstLine="0" w:firstLineChars="0"/>
        <w:jc w:val="left"/>
        <w:rPr>
          <w:rFonts w:cs="Times New Roman"/>
        </w:rPr>
      </w:pPr>
      <w:r>
        <w:rPr>
          <w:rFonts w:hint="eastAsia"/>
        </w:rPr>
        <w:t>政府采购监督部门：杭州市滨江区财政局</w:t>
      </w:r>
    </w:p>
    <w:p>
      <w:pPr>
        <w:widowControl/>
        <w:snapToGrid w:val="0"/>
        <w:ind w:firstLine="0" w:firstLineChars="0"/>
        <w:jc w:val="left"/>
        <w:rPr>
          <w:rFonts w:cs="Times New Roman"/>
        </w:rPr>
        <w:sectPr>
          <w:footerReference r:id="rId11" w:type="default"/>
          <w:pgSz w:w="11906" w:h="16838"/>
          <w:pgMar w:top="938" w:right="1418" w:bottom="1260" w:left="1418" w:header="454" w:footer="284" w:gutter="0"/>
          <w:pgNumType w:start="1"/>
          <w:cols w:space="720" w:num="1"/>
          <w:docGrid w:linePitch="312" w:charSpace="0"/>
        </w:sectPr>
      </w:pPr>
      <w:r>
        <w:rPr>
          <w:rFonts w:hint="eastAsia"/>
        </w:rPr>
        <w:t>联系电话：</w:t>
      </w:r>
      <w:r>
        <w:t>0571</w:t>
      </w:r>
      <w:r>
        <w:rPr>
          <w:rFonts w:hint="eastAsia"/>
        </w:rPr>
        <w:t>－</w:t>
      </w:r>
      <w:r>
        <w:t xml:space="preserve">87760023                                                 </w:t>
      </w:r>
    </w:p>
    <w:bookmarkEnd w:id="15"/>
    <w:bookmarkEnd w:id="16"/>
    <w:bookmarkEnd w:id="17"/>
    <w:bookmarkEnd w:id="18"/>
    <w:bookmarkEnd w:id="19"/>
    <w:p>
      <w:pPr>
        <w:pStyle w:val="2"/>
        <w:numPr>
          <w:ilvl w:val="0"/>
          <w:numId w:val="3"/>
        </w:numPr>
        <w:ind w:left="0" w:firstLine="0" w:firstLineChars="0"/>
      </w:pPr>
      <w:bookmarkStart w:id="20" w:name="_Toc8605"/>
      <w:bookmarkStart w:id="21" w:name="_Toc1744"/>
      <w:bookmarkStart w:id="22" w:name="_Toc10434"/>
      <w:r>
        <w:t xml:space="preserve">  </w:t>
      </w:r>
      <w:bookmarkStart w:id="23" w:name="_Toc15646"/>
      <w:r>
        <w:rPr>
          <w:rFonts w:hint="eastAsia" w:cs="黑体"/>
        </w:rPr>
        <w:t>招标需求</w:t>
      </w:r>
      <w:bookmarkEnd w:id="23"/>
    </w:p>
    <w:p>
      <w:pPr>
        <w:pStyle w:val="56"/>
      </w:pPr>
      <w:r>
        <w:rPr>
          <w:rFonts w:hint="eastAsia" w:cs="宋体"/>
        </w:rPr>
        <w:t>项</w:t>
      </w:r>
      <w:r>
        <w:rPr>
          <w:rFonts w:hint="eastAsia" w:cs="宋体"/>
          <w:color w:val="000000"/>
        </w:rPr>
        <w:t>目编号：</w:t>
      </w:r>
      <w:r>
        <w:rPr>
          <w:rFonts w:hint="eastAsia" w:cs="宋体"/>
        </w:rPr>
        <w:t>WZZB-CHDT2020-001</w:t>
      </w:r>
    </w:p>
    <w:p>
      <w:pPr>
        <w:pStyle w:val="56"/>
      </w:pPr>
      <w:r>
        <w:rPr>
          <w:rFonts w:hint="eastAsia" w:cs="宋体"/>
        </w:rPr>
        <w:t>采购单位（采购人）名称：杭州市滨江区人民政府长河街道办事处</w:t>
      </w:r>
    </w:p>
    <w:p>
      <w:pPr>
        <w:pStyle w:val="56"/>
      </w:pPr>
      <w:r>
        <w:rPr>
          <w:rFonts w:hint="eastAsia" w:cs="宋体"/>
        </w:rPr>
        <w:t>招标代理机构：</w:t>
      </w:r>
      <w:r>
        <w:rPr>
          <w:rFonts w:ascii="宋体" w:hAnsi="宋体"/>
        </w:rPr>
        <w:t>浙江五洲工程项目管理有限公司</w:t>
      </w:r>
    </w:p>
    <w:p>
      <w:pPr>
        <w:pStyle w:val="3"/>
        <w:numPr>
          <w:ilvl w:val="0"/>
          <w:numId w:val="5"/>
        </w:numPr>
        <w:ind w:firstLine="602"/>
        <w:rPr>
          <w:rFonts w:cs="Times New Roman"/>
        </w:rPr>
      </w:pPr>
      <w:bookmarkStart w:id="24" w:name="_Toc298856057"/>
      <w:bookmarkStart w:id="25" w:name="_Toc25388"/>
      <w:r>
        <w:rPr>
          <w:rFonts w:hint="eastAsia" w:cs="黑体"/>
        </w:rPr>
        <w:t>项目概况</w:t>
      </w:r>
      <w:bookmarkEnd w:id="24"/>
      <w:r>
        <w:rPr>
          <w:rFonts w:hint="eastAsia" w:cs="黑体"/>
        </w:rPr>
        <w:t>及内容</w:t>
      </w:r>
      <w:bookmarkEnd w:id="25"/>
    </w:p>
    <w:p>
      <w:pPr>
        <w:ind w:firstLine="480"/>
      </w:pPr>
      <w:bookmarkStart w:id="26" w:name="_Toc298856058"/>
      <w:r>
        <w:t>1</w:t>
      </w:r>
      <w:r>
        <w:rPr>
          <w:rFonts w:hint="eastAsia"/>
        </w:rPr>
        <w:t>、春波</w:t>
      </w:r>
      <w:r>
        <w:t>小区</w:t>
      </w:r>
      <w:r>
        <w:rPr>
          <w:rFonts w:hint="eastAsia"/>
        </w:rPr>
        <w:t>整体装配式加装电梯设备供货及安装（二期）。包括设备供货和安装调试及内装饰等内容。现场开挖后涉及到电力、水务、燃气、华数电信等单位的管线，需要配合相关单位进行综合管线迁移，涉及其它管线的需自行完成管线迁移，以及管线迁移完成后路面修复工作。电梯共计84台(具体电梯安装数量，以实际发生为准），预算金额约为</w:t>
      </w:r>
      <w:r>
        <w:rPr>
          <w:rFonts w:hint="eastAsia"/>
          <w:lang w:val="en-US" w:eastAsia="zh-CN"/>
        </w:rPr>
        <w:t>5500</w:t>
      </w:r>
      <w:r>
        <w:rPr>
          <w:rFonts w:hint="eastAsia"/>
        </w:rPr>
        <w:t>万元。</w:t>
      </w:r>
    </w:p>
    <w:p>
      <w:pPr>
        <w:ind w:firstLine="480"/>
        <w:jc w:val="left"/>
      </w:pPr>
      <w:r>
        <w:t>2、项目实施依据及标准要求</w:t>
      </w:r>
    </w:p>
    <w:p>
      <w:pPr>
        <w:ind w:firstLine="480"/>
        <w:jc w:val="left"/>
      </w:pPr>
      <w:bookmarkStart w:id="27" w:name="_Toc194726160"/>
      <w:bookmarkEnd w:id="27"/>
      <w:r>
        <w:rPr>
          <w:rFonts w:hint="eastAsia"/>
        </w:rPr>
        <w:t>GB50096-2011《住宅设计规范》</w:t>
      </w:r>
    </w:p>
    <w:p>
      <w:pPr>
        <w:ind w:firstLine="480"/>
        <w:jc w:val="left"/>
      </w:pPr>
      <w:r>
        <w:rPr>
          <w:rFonts w:hint="eastAsia"/>
        </w:rPr>
        <w:t>GB50007-2011《建筑地基基础设计规范》</w:t>
      </w:r>
    </w:p>
    <w:p>
      <w:pPr>
        <w:ind w:firstLine="480"/>
        <w:jc w:val="left"/>
      </w:pPr>
      <w:r>
        <w:rPr>
          <w:rFonts w:hint="eastAsia"/>
        </w:rPr>
        <w:t>GB50009-2012《建筑结构荷载规范》</w:t>
      </w:r>
    </w:p>
    <w:p>
      <w:pPr>
        <w:ind w:firstLine="480"/>
        <w:jc w:val="left"/>
      </w:pPr>
      <w:r>
        <w:rPr>
          <w:rFonts w:hint="eastAsia"/>
        </w:rPr>
        <w:t>GB50010-2010《混凝土结构设计规范》</w:t>
      </w:r>
    </w:p>
    <w:p>
      <w:pPr>
        <w:ind w:firstLine="480"/>
        <w:jc w:val="left"/>
      </w:pPr>
      <w:r>
        <w:rPr>
          <w:rFonts w:hint="eastAsia"/>
        </w:rPr>
        <w:t>GB50017-2017《钢结构设计规范》</w:t>
      </w:r>
    </w:p>
    <w:p>
      <w:pPr>
        <w:ind w:firstLine="480"/>
        <w:jc w:val="left"/>
      </w:pPr>
      <w:r>
        <w:rPr>
          <w:rFonts w:hint="eastAsia"/>
        </w:rPr>
        <w:t>GB50011-2010《建筑抗震设计规范》</w:t>
      </w:r>
    </w:p>
    <w:p>
      <w:pPr>
        <w:ind w:firstLine="480"/>
        <w:jc w:val="left"/>
      </w:pPr>
      <w:r>
        <w:rPr>
          <w:rFonts w:hint="eastAsia"/>
        </w:rPr>
        <w:t>GB50661-2011《钢结构焊接规范》</w:t>
      </w:r>
    </w:p>
    <w:p>
      <w:pPr>
        <w:ind w:firstLine="480"/>
        <w:jc w:val="left"/>
      </w:pPr>
      <w:r>
        <w:rPr>
          <w:rFonts w:hint="eastAsia"/>
        </w:rPr>
        <w:t>GB7588-2003《电梯制造与安装安全规范》</w:t>
      </w:r>
    </w:p>
    <w:p>
      <w:pPr>
        <w:ind w:firstLine="480"/>
        <w:jc w:val="left"/>
      </w:pPr>
      <w:r>
        <w:rPr>
          <w:rFonts w:hint="eastAsia"/>
        </w:rPr>
        <w:t>GB/T10058-1997《电梯技术条件》</w:t>
      </w:r>
    </w:p>
    <w:p>
      <w:pPr>
        <w:ind w:firstLine="480"/>
        <w:jc w:val="left"/>
      </w:pPr>
      <w:r>
        <w:rPr>
          <w:rFonts w:hint="eastAsia"/>
        </w:rPr>
        <w:t>GB10060-93《电梯安装验收规范》</w:t>
      </w:r>
    </w:p>
    <w:p>
      <w:pPr>
        <w:ind w:firstLine="480"/>
        <w:jc w:val="left"/>
      </w:pPr>
      <w:r>
        <w:rPr>
          <w:rFonts w:hint="eastAsia"/>
        </w:rPr>
        <w:t>GB50310-2002《电梯工程施工质量验收规范》</w:t>
      </w:r>
    </w:p>
    <w:p>
      <w:pPr>
        <w:ind w:firstLine="480"/>
        <w:jc w:val="left"/>
      </w:pPr>
      <w:r>
        <w:rPr>
          <w:rFonts w:hint="eastAsia"/>
        </w:rPr>
        <w:t xml:space="preserve">DB11-420-2007《电梯安装、改造、重大维修和维护保养自检规则》 </w:t>
      </w:r>
    </w:p>
    <w:p>
      <w:pPr>
        <w:ind w:firstLine="480"/>
        <w:jc w:val="left"/>
      </w:pPr>
      <w:r>
        <w:rPr>
          <w:rFonts w:hint="eastAsia"/>
        </w:rPr>
        <w:t xml:space="preserve">GB10059-1997《电梯试验方法》 </w:t>
      </w:r>
    </w:p>
    <w:p>
      <w:pPr>
        <w:ind w:firstLine="480"/>
        <w:jc w:val="left"/>
        <w:rPr>
          <w:b/>
          <w:bCs/>
          <w:sz w:val="28"/>
          <w:szCs w:val="28"/>
        </w:rPr>
      </w:pPr>
      <w:r>
        <w:rPr>
          <w:rFonts w:hint="eastAsia"/>
        </w:rPr>
        <w:t>JJ49-87《电梯手册》</w:t>
      </w:r>
    </w:p>
    <w:p>
      <w:pPr>
        <w:pStyle w:val="56"/>
        <w:rPr>
          <w:rFonts w:cs="宋体"/>
        </w:rPr>
      </w:pPr>
    </w:p>
    <w:p>
      <w:pPr>
        <w:pStyle w:val="3"/>
        <w:rPr>
          <w:rFonts w:cs="Times New Roman"/>
          <w:b w:val="0"/>
          <w:bCs w:val="0"/>
        </w:rPr>
      </w:pPr>
      <w:bookmarkStart w:id="28" w:name="_Toc13115"/>
      <w:r>
        <w:rPr>
          <w:rFonts w:hint="eastAsia" w:cs="黑体"/>
          <w:b w:val="0"/>
          <w:bCs w:val="0"/>
        </w:rPr>
        <w:t>二、项目要求</w:t>
      </w:r>
      <w:bookmarkEnd w:id="26"/>
      <w:bookmarkEnd w:id="28"/>
    </w:p>
    <w:p>
      <w:pPr>
        <w:pStyle w:val="8"/>
        <w:tabs>
          <w:tab w:val="left" w:pos="1000"/>
        </w:tabs>
        <w:ind w:firstLine="0" w:firstLineChars="0"/>
        <w:rPr>
          <w:rFonts w:cs="Times New Roman"/>
          <w:b/>
          <w:bCs/>
          <w:color w:val="000000"/>
          <w:kern w:val="0"/>
        </w:rPr>
      </w:pPr>
      <w:r>
        <w:rPr>
          <w:b/>
          <w:bCs/>
          <w:color w:val="000000"/>
          <w:kern w:val="0"/>
        </w:rPr>
        <w:t>1</w:t>
      </w:r>
      <w:r>
        <w:rPr>
          <w:rFonts w:hint="eastAsia"/>
          <w:b/>
          <w:bCs/>
          <w:color w:val="000000"/>
          <w:kern w:val="0"/>
        </w:rPr>
        <w:t>、采购内容：</w:t>
      </w:r>
    </w:p>
    <w:p>
      <w:pPr>
        <w:ind w:firstLine="464"/>
        <w:rPr>
          <w:bCs/>
        </w:rPr>
      </w:pPr>
      <w:r>
        <w:rPr>
          <w:rFonts w:hint="eastAsia"/>
          <w:bCs/>
          <w:spacing w:val="-4"/>
        </w:rPr>
        <w:t>1、杭州市滨江区春波小区整体装配式既有住宅加装电梯工程（二期）。设备供货和安装所需的零</w:t>
      </w:r>
      <w:r>
        <w:rPr>
          <w:rFonts w:hint="eastAsia"/>
          <w:bCs/>
        </w:rPr>
        <w:t>星土建，现场开挖后涉及到电力、水务、燃气、华数、电信、移动、联通等单位的管线需要配合相关单位综合管线迁移，同时完成上述所涉及的开挖及开挖复原（修复）工作地面开挖、开挖复原（修复）和配合管线单位迁移，整体装配式主体结构及电梯设备、安装、调试、装饰、试运行、设备供货、运输、卸货吊装、质监部门验收、质保期内的维修保养项目。电梯安装时对原有构筑物的改动需完成修复及复原。</w:t>
      </w:r>
    </w:p>
    <w:p>
      <w:pPr>
        <w:adjustRightInd w:val="0"/>
        <w:snapToGrid w:val="0"/>
        <w:ind w:firstLine="480"/>
      </w:pPr>
      <w:r>
        <w:rPr>
          <w:rFonts w:hint="eastAsia"/>
          <w:bCs/>
        </w:rPr>
        <w:t>2、</w:t>
      </w:r>
      <w:r>
        <w:rPr>
          <w:rFonts w:hint="eastAsia"/>
        </w:rPr>
        <w:t>报价方式：</w:t>
      </w:r>
    </w:p>
    <w:p>
      <w:pPr>
        <w:adjustRightInd w:val="0"/>
        <w:snapToGrid w:val="0"/>
        <w:ind w:firstLine="480"/>
        <w:rPr>
          <w:bCs/>
          <w:u w:val="single"/>
        </w:rPr>
      </w:pPr>
      <w:r>
        <w:rPr>
          <w:rFonts w:hint="eastAsia"/>
        </w:rPr>
        <w:t>投标总价应包括：</w:t>
      </w:r>
      <w:r>
        <w:rPr>
          <w:rFonts w:hint="eastAsia"/>
          <w:bCs/>
          <w:spacing w:val="-4"/>
          <w:u w:val="single"/>
        </w:rPr>
        <w:t>设备供货和安装所需的零</w:t>
      </w:r>
      <w:r>
        <w:rPr>
          <w:rFonts w:hint="eastAsia"/>
          <w:bCs/>
          <w:u w:val="single"/>
        </w:rPr>
        <w:t>星土建，现场开挖后涉及到电力、水务、燃气、华数、电信、移动、联通等单位的管线需要配合相关单位综合管线迁移，同时完成上述所涉及的开挖及开挖复原（修复）工作地面开挖、开挖复原（修复）和配合管线单位迁移，整体装配式主体结构及电梯设备、安装、调试、装饰、试运行、设备供货、运输、卸货吊装、质监部门验收、质保期内的维修保养项目。电梯安装时对原有构筑物的改动需完成修复及复原。</w:t>
      </w:r>
    </w:p>
    <w:p>
      <w:pPr>
        <w:adjustRightInd w:val="0"/>
        <w:snapToGrid w:val="0"/>
        <w:ind w:firstLine="480"/>
      </w:pPr>
      <w:r>
        <w:rPr>
          <w:rFonts w:hint="eastAsia"/>
        </w:rPr>
        <w:t>本招标项目为</w:t>
      </w:r>
      <w:r>
        <w:rPr>
          <w:rFonts w:hint="eastAsia"/>
          <w:u w:val="single"/>
        </w:rPr>
        <w:t>交钥匙项目</w:t>
      </w:r>
      <w:r>
        <w:rPr>
          <w:rFonts w:hint="eastAsia"/>
        </w:rPr>
        <w:t>。</w:t>
      </w:r>
      <w:bookmarkStart w:id="29" w:name="_Toc440790356"/>
    </w:p>
    <w:bookmarkEnd w:id="29"/>
    <w:p>
      <w:pPr>
        <w:adjustRightInd w:val="0"/>
        <w:snapToGrid w:val="0"/>
        <w:ind w:firstLine="480"/>
      </w:pPr>
      <w:bookmarkStart w:id="30" w:name="_Toc298856059"/>
      <w:r>
        <w:rPr>
          <w:rFonts w:hint="eastAsia"/>
        </w:rPr>
        <w:t>3、技术要求（共计84台）：</w:t>
      </w:r>
    </w:p>
    <w:p>
      <w:pPr>
        <w:shd w:val="clear" w:color="auto" w:fill="FFFFFF"/>
        <w:spacing w:before="93" w:beforeLines="30" w:line="312" w:lineRule="auto"/>
        <w:ind w:firstLine="482"/>
        <w:rPr>
          <w:b/>
        </w:rPr>
      </w:pPr>
      <w:r>
        <w:rPr>
          <w:rFonts w:hint="eastAsia"/>
          <w:b/>
        </w:rPr>
        <w:t>1）★</w:t>
      </w:r>
      <w:r>
        <w:rPr>
          <w:rFonts w:hint="eastAsia"/>
          <w:b/>
          <w:color w:val="000000" w:themeColor="text1"/>
          <w14:textFill>
            <w14:solidFill>
              <w14:schemeClr w14:val="tx1"/>
            </w14:solidFill>
          </w14:textFill>
        </w:rPr>
        <w:t>整体式预制基坑</w:t>
      </w:r>
    </w:p>
    <w:tbl>
      <w:tblPr>
        <w:tblStyle w:val="33"/>
        <w:tblW w:w="97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
        <w:gridCol w:w="1556"/>
        <w:gridCol w:w="6545"/>
        <w:gridCol w:w="546"/>
        <w:gridCol w:w="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452" w:type="dxa"/>
            <w:vAlign w:val="center"/>
          </w:tcPr>
          <w:p>
            <w:pPr>
              <w:shd w:val="clear" w:color="auto" w:fill="FFFFFF"/>
              <w:spacing w:before="93" w:beforeLines="30" w:line="312" w:lineRule="auto"/>
              <w:ind w:firstLine="0" w:firstLineChars="0"/>
              <w:rPr>
                <w:b/>
              </w:rPr>
            </w:pPr>
            <w:r>
              <w:rPr>
                <w:rFonts w:hint="eastAsia"/>
                <w:b/>
              </w:rPr>
              <w:t>1</w:t>
            </w:r>
          </w:p>
        </w:tc>
        <w:tc>
          <w:tcPr>
            <w:tcW w:w="1556" w:type="dxa"/>
            <w:vAlign w:val="center"/>
          </w:tcPr>
          <w:p>
            <w:pPr>
              <w:shd w:val="clear" w:color="auto" w:fill="FFFFFF"/>
              <w:spacing w:before="93" w:beforeLines="30" w:line="312" w:lineRule="auto"/>
              <w:ind w:firstLine="0" w:firstLineChars="0"/>
              <w:rPr>
                <w:b/>
              </w:rPr>
            </w:pPr>
            <w:r>
              <w:rPr>
                <w:rFonts w:hint="eastAsia"/>
                <w:b/>
              </w:rPr>
              <w:t>基坑基础</w:t>
            </w:r>
          </w:p>
        </w:tc>
        <w:tc>
          <w:tcPr>
            <w:tcW w:w="6545" w:type="dxa"/>
            <w:vAlign w:val="center"/>
          </w:tcPr>
          <w:p>
            <w:pPr>
              <w:spacing w:before="2" w:line="312" w:lineRule="auto"/>
              <w:ind w:right="98" w:firstLine="0" w:firstLineChars="0"/>
              <w:rPr>
                <w:b/>
                <w:kern w:val="0"/>
              </w:rPr>
            </w:pPr>
            <w:r>
              <w:rPr>
                <w:rFonts w:hint="eastAsia" w:ascii="Calibri" w:hAnsi="Calibri" w:cs="Calibri"/>
                <w:kern w:val="0"/>
              </w:rPr>
              <w:t>参照设计图纸和地勘报告进行基础处理，包含基坑开挖、土方清运、基础制作等事项；</w:t>
            </w:r>
          </w:p>
        </w:tc>
        <w:tc>
          <w:tcPr>
            <w:tcW w:w="546" w:type="dxa"/>
            <w:vMerge w:val="restart"/>
            <w:vAlign w:val="center"/>
          </w:tcPr>
          <w:p>
            <w:pPr>
              <w:spacing w:before="2" w:line="312" w:lineRule="auto"/>
              <w:ind w:right="98" w:firstLine="0" w:firstLineChars="0"/>
              <w:rPr>
                <w:rFonts w:ascii="Calibri" w:hAnsi="Calibri" w:cs="Calibri"/>
                <w:kern w:val="0"/>
              </w:rPr>
            </w:pPr>
            <w:r>
              <w:rPr>
                <w:rFonts w:hint="eastAsia" w:ascii="Calibri" w:hAnsi="Calibri" w:cs="Calibri"/>
                <w:kern w:val="0"/>
              </w:rPr>
              <w:t>台</w:t>
            </w:r>
          </w:p>
        </w:tc>
        <w:tc>
          <w:tcPr>
            <w:tcW w:w="611" w:type="dxa"/>
            <w:vMerge w:val="restart"/>
            <w:vAlign w:val="center"/>
          </w:tcPr>
          <w:p>
            <w:pPr>
              <w:spacing w:before="2" w:line="312" w:lineRule="auto"/>
              <w:ind w:right="98" w:firstLine="0" w:firstLineChars="0"/>
              <w:rPr>
                <w:rFonts w:ascii="Calibri" w:hAnsi="Calibri" w:cs="Calibri"/>
                <w:kern w:val="0"/>
              </w:rPr>
            </w:pPr>
            <w:r>
              <w:rPr>
                <w:rFonts w:hint="eastAsia" w:ascii="Calibri" w:hAnsi="Calibri" w:cs="Calibri"/>
                <w:kern w:val="0"/>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trPr>
        <w:tc>
          <w:tcPr>
            <w:tcW w:w="452" w:type="dxa"/>
            <w:vAlign w:val="center"/>
          </w:tcPr>
          <w:p>
            <w:pPr>
              <w:shd w:val="clear" w:color="auto" w:fill="FFFFFF"/>
              <w:spacing w:before="93" w:beforeLines="30" w:line="312" w:lineRule="auto"/>
              <w:ind w:firstLine="0" w:firstLineChars="0"/>
              <w:rPr>
                <w:b/>
              </w:rPr>
            </w:pPr>
            <w:r>
              <w:rPr>
                <w:rFonts w:hint="eastAsia"/>
                <w:b/>
              </w:rPr>
              <w:t>2</w:t>
            </w:r>
          </w:p>
        </w:tc>
        <w:tc>
          <w:tcPr>
            <w:tcW w:w="1556" w:type="dxa"/>
            <w:vAlign w:val="center"/>
          </w:tcPr>
          <w:p>
            <w:pPr>
              <w:shd w:val="clear" w:color="auto" w:fill="FFFFFF"/>
              <w:spacing w:before="93" w:beforeLines="30" w:line="312" w:lineRule="auto"/>
              <w:ind w:firstLine="0" w:firstLineChars="0"/>
              <w:rPr>
                <w:b/>
              </w:rPr>
            </w:pPr>
            <w:r>
              <w:rPr>
                <w:rFonts w:hint="eastAsia"/>
                <w:b/>
              </w:rPr>
              <w:t>整体式预制电梯基坑</w:t>
            </w:r>
          </w:p>
        </w:tc>
        <w:tc>
          <w:tcPr>
            <w:tcW w:w="6545" w:type="dxa"/>
            <w:vAlign w:val="center"/>
          </w:tcPr>
          <w:p>
            <w:pPr>
              <w:spacing w:before="2" w:line="312" w:lineRule="auto"/>
              <w:ind w:right="98" w:firstLine="0" w:firstLineChars="0"/>
              <w:rPr>
                <w:rFonts w:ascii="Calibri" w:hAnsi="Calibri" w:cs="Calibri"/>
                <w:kern w:val="0"/>
              </w:rPr>
            </w:pPr>
            <w:r>
              <w:rPr>
                <w:rFonts w:hint="eastAsia" w:ascii="Calibri" w:hAnsi="Calibri" w:cs="Calibri"/>
                <w:kern w:val="0"/>
              </w:rPr>
              <w:t>基坑深度：1200mm和650mm，按设计院的图纸设计尺寸要求，当基坑与原房地基结构处理有干涉时，应采用浅基坑设计；</w:t>
            </w:r>
          </w:p>
          <w:p>
            <w:pPr>
              <w:spacing w:before="2" w:line="312" w:lineRule="auto"/>
              <w:ind w:right="98" w:firstLine="0" w:firstLineChars="0"/>
              <w:rPr>
                <w:rFonts w:ascii="Calibri" w:hAnsi="Calibri" w:cs="Calibri"/>
                <w:kern w:val="0"/>
              </w:rPr>
            </w:pPr>
            <w:r>
              <w:rPr>
                <w:rFonts w:hint="eastAsia" w:ascii="Calibri" w:hAnsi="Calibri" w:cs="Calibri"/>
                <w:kern w:val="0"/>
              </w:rPr>
              <w:t>基坑全防水处理，满足电梯相关使用要求。</w:t>
            </w:r>
          </w:p>
        </w:tc>
        <w:tc>
          <w:tcPr>
            <w:tcW w:w="546" w:type="dxa"/>
            <w:vMerge w:val="continue"/>
            <w:vAlign w:val="center"/>
          </w:tcPr>
          <w:p>
            <w:pPr>
              <w:spacing w:before="2" w:line="312" w:lineRule="auto"/>
              <w:ind w:right="98" w:firstLine="480"/>
              <w:jc w:val="center"/>
              <w:rPr>
                <w:rFonts w:ascii="Calibri" w:hAnsi="Calibri" w:cs="Calibri"/>
                <w:kern w:val="0"/>
              </w:rPr>
            </w:pPr>
          </w:p>
        </w:tc>
        <w:tc>
          <w:tcPr>
            <w:tcW w:w="611" w:type="dxa"/>
            <w:vMerge w:val="continue"/>
            <w:vAlign w:val="center"/>
          </w:tcPr>
          <w:p>
            <w:pPr>
              <w:spacing w:before="2" w:line="312" w:lineRule="auto"/>
              <w:ind w:right="98" w:firstLine="480"/>
              <w:jc w:val="center"/>
              <w:rPr>
                <w:rFonts w:ascii="Calibri" w:hAnsi="Calibri" w:cs="Calibri"/>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452" w:type="dxa"/>
            <w:vAlign w:val="center"/>
          </w:tcPr>
          <w:p>
            <w:pPr>
              <w:shd w:val="clear" w:color="auto" w:fill="FFFFFF"/>
              <w:spacing w:before="93" w:beforeLines="30" w:line="312" w:lineRule="auto"/>
              <w:ind w:firstLine="0" w:firstLineChars="0"/>
              <w:rPr>
                <w:b/>
              </w:rPr>
            </w:pPr>
            <w:r>
              <w:rPr>
                <w:rFonts w:hint="eastAsia"/>
                <w:b/>
              </w:rPr>
              <w:t>3</w:t>
            </w:r>
          </w:p>
        </w:tc>
        <w:tc>
          <w:tcPr>
            <w:tcW w:w="1556" w:type="dxa"/>
            <w:vAlign w:val="center"/>
          </w:tcPr>
          <w:p>
            <w:pPr>
              <w:shd w:val="clear" w:color="auto" w:fill="FFFFFF"/>
              <w:spacing w:before="93" w:beforeLines="30" w:line="312" w:lineRule="auto"/>
              <w:ind w:firstLine="0" w:firstLineChars="0"/>
              <w:rPr>
                <w:b/>
              </w:rPr>
            </w:pPr>
            <w:r>
              <w:rPr>
                <w:rFonts w:hint="eastAsia"/>
                <w:b/>
              </w:rPr>
              <w:t>原建筑施工</w:t>
            </w:r>
          </w:p>
        </w:tc>
        <w:tc>
          <w:tcPr>
            <w:tcW w:w="6545" w:type="dxa"/>
            <w:vAlign w:val="center"/>
          </w:tcPr>
          <w:p>
            <w:pPr>
              <w:spacing w:before="2" w:line="312" w:lineRule="auto"/>
              <w:ind w:right="98" w:firstLine="0" w:firstLineChars="0"/>
              <w:rPr>
                <w:b/>
                <w:kern w:val="0"/>
              </w:rPr>
            </w:pPr>
            <w:r>
              <w:rPr>
                <w:rFonts w:hint="eastAsia" w:ascii="Calibri" w:hAnsi="Calibri" w:cs="Calibri"/>
                <w:kern w:val="0"/>
              </w:rPr>
              <w:t>钢结构主体连接处的墙体拆除，做好施工区域的防护措施；涉及梁、柱及地下室加固工作除外。</w:t>
            </w:r>
          </w:p>
        </w:tc>
        <w:tc>
          <w:tcPr>
            <w:tcW w:w="546" w:type="dxa"/>
            <w:vMerge w:val="continue"/>
            <w:vAlign w:val="center"/>
          </w:tcPr>
          <w:p>
            <w:pPr>
              <w:spacing w:before="2" w:line="312" w:lineRule="auto"/>
              <w:ind w:right="98" w:firstLine="480"/>
              <w:jc w:val="center"/>
              <w:rPr>
                <w:rFonts w:ascii="Calibri" w:hAnsi="Calibri" w:cs="Calibri"/>
                <w:kern w:val="0"/>
              </w:rPr>
            </w:pPr>
          </w:p>
        </w:tc>
        <w:tc>
          <w:tcPr>
            <w:tcW w:w="611" w:type="dxa"/>
            <w:vMerge w:val="continue"/>
            <w:vAlign w:val="center"/>
          </w:tcPr>
          <w:p>
            <w:pPr>
              <w:spacing w:before="2" w:line="312" w:lineRule="auto"/>
              <w:ind w:right="98" w:firstLine="480"/>
              <w:jc w:val="center"/>
              <w:rPr>
                <w:rFonts w:ascii="Calibri" w:hAnsi="Calibri" w:cs="Calibri"/>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452" w:type="dxa"/>
            <w:vAlign w:val="center"/>
          </w:tcPr>
          <w:p>
            <w:pPr>
              <w:shd w:val="clear" w:color="auto" w:fill="FFFFFF"/>
              <w:spacing w:before="93" w:beforeLines="30" w:line="312" w:lineRule="auto"/>
              <w:ind w:firstLine="0" w:firstLineChars="0"/>
              <w:rPr>
                <w:b/>
              </w:rPr>
            </w:pPr>
            <w:r>
              <w:rPr>
                <w:rFonts w:hint="eastAsia"/>
                <w:b/>
              </w:rPr>
              <w:t>4</w:t>
            </w:r>
          </w:p>
        </w:tc>
        <w:tc>
          <w:tcPr>
            <w:tcW w:w="1556" w:type="dxa"/>
            <w:vAlign w:val="center"/>
          </w:tcPr>
          <w:p>
            <w:pPr>
              <w:shd w:val="clear" w:color="auto" w:fill="FFFFFF"/>
              <w:spacing w:before="93" w:beforeLines="30" w:line="312" w:lineRule="auto"/>
              <w:ind w:firstLine="0" w:firstLineChars="0"/>
              <w:rPr>
                <w:b/>
              </w:rPr>
            </w:pPr>
            <w:r>
              <w:rPr>
                <w:rFonts w:hint="eastAsia"/>
                <w:b/>
              </w:rPr>
              <w:t>土建修复</w:t>
            </w:r>
          </w:p>
        </w:tc>
        <w:tc>
          <w:tcPr>
            <w:tcW w:w="6545" w:type="dxa"/>
            <w:vAlign w:val="center"/>
          </w:tcPr>
          <w:p>
            <w:pPr>
              <w:shd w:val="clear" w:color="auto" w:fill="FFFFFF"/>
              <w:spacing w:before="93" w:beforeLines="30" w:line="312" w:lineRule="auto"/>
              <w:ind w:firstLine="0" w:firstLineChars="0"/>
              <w:rPr>
                <w:b/>
              </w:rPr>
            </w:pPr>
            <w:r>
              <w:rPr>
                <w:rFonts w:hint="eastAsia"/>
                <w:lang w:bidi="zh-CN"/>
              </w:rPr>
              <w:t>主体完工后，墙体修复、基坑回填、地面修复项目</w:t>
            </w:r>
          </w:p>
        </w:tc>
        <w:tc>
          <w:tcPr>
            <w:tcW w:w="546" w:type="dxa"/>
            <w:vMerge w:val="continue"/>
            <w:vAlign w:val="center"/>
          </w:tcPr>
          <w:p>
            <w:pPr>
              <w:spacing w:before="2" w:line="312" w:lineRule="auto"/>
              <w:ind w:right="98" w:firstLine="480"/>
              <w:jc w:val="center"/>
              <w:rPr>
                <w:lang w:bidi="zh-CN"/>
              </w:rPr>
            </w:pPr>
          </w:p>
        </w:tc>
        <w:tc>
          <w:tcPr>
            <w:tcW w:w="611" w:type="dxa"/>
            <w:vMerge w:val="continue"/>
            <w:vAlign w:val="center"/>
          </w:tcPr>
          <w:p>
            <w:pPr>
              <w:spacing w:before="2" w:line="312" w:lineRule="auto"/>
              <w:ind w:right="98" w:firstLine="480"/>
              <w:jc w:val="center"/>
              <w:rPr>
                <w:lang w:bidi="zh-CN"/>
              </w:rPr>
            </w:pPr>
          </w:p>
        </w:tc>
      </w:tr>
    </w:tbl>
    <w:p>
      <w:pPr>
        <w:ind w:firstLine="482"/>
        <w:rPr>
          <w:b/>
        </w:rPr>
      </w:pPr>
      <w:r>
        <w:rPr>
          <w:rFonts w:hint="eastAsia"/>
          <w:b/>
        </w:rPr>
        <w:br w:type="page"/>
      </w:r>
    </w:p>
    <w:p>
      <w:pPr>
        <w:shd w:val="clear" w:color="auto" w:fill="FFFFFF"/>
        <w:spacing w:before="93" w:beforeLines="30" w:line="312" w:lineRule="auto"/>
        <w:ind w:firstLine="482"/>
        <w:rPr>
          <w:b/>
        </w:rPr>
      </w:pPr>
      <w:r>
        <w:rPr>
          <w:rFonts w:hint="eastAsia"/>
          <w:b/>
        </w:rPr>
        <w:t>2）★整体装配式主体结构</w:t>
      </w:r>
    </w:p>
    <w:tbl>
      <w:tblPr>
        <w:tblStyle w:val="33"/>
        <w:tblW w:w="9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
        <w:gridCol w:w="767"/>
        <w:gridCol w:w="711"/>
        <w:gridCol w:w="1274"/>
        <w:gridCol w:w="5368"/>
        <w:gridCol w:w="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5" w:type="dxa"/>
            <w:vAlign w:val="center"/>
          </w:tcPr>
          <w:p>
            <w:pPr>
              <w:shd w:val="clear" w:color="auto" w:fill="FFFFFF"/>
              <w:spacing w:before="93" w:beforeLines="30" w:line="312" w:lineRule="auto"/>
              <w:ind w:firstLine="0" w:firstLineChars="0"/>
              <w:rPr>
                <w:rFonts w:ascii="Calibri" w:hAnsi="Calibri"/>
                <w:kern w:val="0"/>
              </w:rPr>
            </w:pPr>
            <w:r>
              <w:rPr>
                <w:rFonts w:hint="eastAsia"/>
                <w:b/>
              </w:rPr>
              <w:t>1</w:t>
            </w:r>
          </w:p>
        </w:tc>
        <w:tc>
          <w:tcPr>
            <w:tcW w:w="767" w:type="dxa"/>
            <w:vAlign w:val="center"/>
          </w:tcPr>
          <w:p>
            <w:pPr>
              <w:shd w:val="clear" w:color="auto" w:fill="FFFFFF"/>
              <w:spacing w:before="93" w:beforeLines="30" w:line="312" w:lineRule="auto"/>
              <w:ind w:firstLine="0" w:firstLineChars="0"/>
              <w:rPr>
                <w:rFonts w:ascii="Calibri" w:hAnsi="Calibri"/>
                <w:kern w:val="0"/>
              </w:rPr>
            </w:pPr>
            <w:r>
              <w:rPr>
                <w:rFonts w:hint="eastAsia"/>
                <w:b/>
              </w:rPr>
              <w:t>主体结构</w:t>
            </w:r>
          </w:p>
        </w:tc>
        <w:tc>
          <w:tcPr>
            <w:tcW w:w="8318" w:type="dxa"/>
            <w:gridSpan w:val="4"/>
            <w:vAlign w:val="center"/>
          </w:tcPr>
          <w:p>
            <w:pPr>
              <w:spacing w:before="2" w:line="312" w:lineRule="auto"/>
              <w:ind w:right="98" w:firstLine="0" w:firstLineChars="0"/>
              <w:rPr>
                <w:rFonts w:ascii="Calibri" w:hAnsi="Calibri"/>
                <w:kern w:val="0"/>
              </w:rPr>
            </w:pPr>
            <w:r>
              <w:rPr>
                <w:rFonts w:hint="eastAsia" w:ascii="Calibri" w:hAnsi="Calibri" w:cs="Calibri"/>
                <w:kern w:val="0"/>
              </w:rPr>
              <w:t>整体装配式主体结构，电梯预制在电梯井道内，全部一次性吊装完成。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475" w:type="dxa"/>
            <w:vAlign w:val="center"/>
          </w:tcPr>
          <w:p>
            <w:pPr>
              <w:shd w:val="clear" w:color="auto" w:fill="FFFFFF"/>
              <w:spacing w:before="93" w:beforeLines="30" w:line="312" w:lineRule="auto"/>
              <w:ind w:firstLine="0" w:firstLineChars="0"/>
              <w:rPr>
                <w:rFonts w:ascii="Calibri" w:hAnsi="Calibri"/>
                <w:kern w:val="0"/>
              </w:rPr>
            </w:pPr>
            <w:r>
              <w:rPr>
                <w:rFonts w:hint="eastAsia"/>
                <w:b/>
              </w:rPr>
              <w:t>2</w:t>
            </w:r>
          </w:p>
        </w:tc>
        <w:tc>
          <w:tcPr>
            <w:tcW w:w="767" w:type="dxa"/>
            <w:vAlign w:val="center"/>
          </w:tcPr>
          <w:p>
            <w:pPr>
              <w:shd w:val="clear" w:color="auto" w:fill="FFFFFF"/>
              <w:spacing w:before="93" w:beforeLines="30" w:line="312" w:lineRule="auto"/>
              <w:ind w:firstLine="0" w:firstLineChars="0"/>
              <w:rPr>
                <w:rFonts w:ascii="Calibri" w:hAnsi="Calibri"/>
                <w:kern w:val="0"/>
              </w:rPr>
            </w:pPr>
            <w:r>
              <w:rPr>
                <w:rFonts w:hint="eastAsia"/>
                <w:b/>
              </w:rPr>
              <w:t>规格材质</w:t>
            </w:r>
          </w:p>
        </w:tc>
        <w:tc>
          <w:tcPr>
            <w:tcW w:w="8318" w:type="dxa"/>
            <w:gridSpan w:val="4"/>
            <w:vAlign w:val="center"/>
          </w:tcPr>
          <w:p>
            <w:pPr>
              <w:spacing w:before="50" w:line="312" w:lineRule="auto"/>
              <w:ind w:firstLine="0" w:firstLineChars="0"/>
              <w:jc w:val="left"/>
              <w:rPr>
                <w:rFonts w:ascii="Calibri" w:hAnsi="Calibri"/>
                <w:kern w:val="0"/>
              </w:rPr>
            </w:pPr>
            <w:r>
              <w:rPr>
                <w:rFonts w:hint="eastAsia" w:ascii="Calibri" w:hAnsi="Calibri" w:cs="Calibri"/>
                <w:kern w:val="0"/>
              </w:rPr>
              <w:t>主材及连接件：钢Q235B，其它规格依设计图纸要求。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475" w:type="dxa"/>
            <w:vMerge w:val="restart"/>
            <w:vAlign w:val="center"/>
          </w:tcPr>
          <w:p>
            <w:pPr>
              <w:spacing w:before="2" w:line="312" w:lineRule="auto"/>
              <w:ind w:right="98" w:firstLine="0" w:firstLineChars="0"/>
              <w:rPr>
                <w:rFonts w:ascii="Calibri" w:hAnsi="Calibri"/>
                <w:kern w:val="0"/>
              </w:rPr>
            </w:pPr>
            <w:r>
              <w:rPr>
                <w:rFonts w:hint="eastAsia" w:ascii="Calibri" w:hAnsi="Calibri"/>
                <w:kern w:val="0"/>
              </w:rPr>
              <w:t>3</w:t>
            </w:r>
          </w:p>
        </w:tc>
        <w:tc>
          <w:tcPr>
            <w:tcW w:w="767" w:type="dxa"/>
            <w:vMerge w:val="restart"/>
            <w:vAlign w:val="center"/>
          </w:tcPr>
          <w:p>
            <w:pPr>
              <w:spacing w:before="2" w:line="312" w:lineRule="auto"/>
              <w:ind w:right="98" w:firstLine="0" w:firstLineChars="0"/>
              <w:jc w:val="left"/>
              <w:rPr>
                <w:rFonts w:ascii="Calibri" w:hAnsi="Calibri"/>
                <w:kern w:val="0"/>
              </w:rPr>
            </w:pPr>
            <w:r>
              <w:rPr>
                <w:rFonts w:hint="eastAsia"/>
                <w:b/>
              </w:rPr>
              <w:t>连廊方式</w:t>
            </w:r>
          </w:p>
        </w:tc>
        <w:tc>
          <w:tcPr>
            <w:tcW w:w="711" w:type="dxa"/>
            <w:vMerge w:val="restart"/>
            <w:vAlign w:val="center"/>
          </w:tcPr>
          <w:p>
            <w:pPr>
              <w:spacing w:before="2" w:line="312" w:lineRule="auto"/>
              <w:ind w:right="98" w:firstLine="0" w:firstLineChars="0"/>
              <w:jc w:val="center"/>
              <w:rPr>
                <w:rFonts w:ascii="Calibri" w:hAnsi="Calibri"/>
                <w:kern w:val="0"/>
              </w:rPr>
            </w:pPr>
            <w:r>
              <w:rPr>
                <w:rFonts w:hint="eastAsia" w:ascii="Calibri" w:hAnsi="Calibri"/>
                <w:kern w:val="0"/>
              </w:rPr>
              <w:t>直连廊</w:t>
            </w:r>
          </w:p>
        </w:tc>
        <w:tc>
          <w:tcPr>
            <w:tcW w:w="1274" w:type="dxa"/>
            <w:vAlign w:val="center"/>
          </w:tcPr>
          <w:p>
            <w:pPr>
              <w:spacing w:before="2" w:line="312" w:lineRule="auto"/>
              <w:ind w:right="98" w:firstLine="0" w:firstLineChars="0"/>
              <w:jc w:val="center"/>
              <w:rPr>
                <w:rFonts w:ascii="Calibri" w:hAnsi="Calibri"/>
                <w:kern w:val="0"/>
              </w:rPr>
            </w:pPr>
            <w:r>
              <w:rPr>
                <w:rFonts w:hint="eastAsia" w:ascii="Calibri" w:hAnsi="Calibri"/>
                <w:kern w:val="0"/>
              </w:rPr>
              <w:t>1.6m</w:t>
            </w:r>
          </w:p>
        </w:tc>
        <w:tc>
          <w:tcPr>
            <w:tcW w:w="5368" w:type="dxa"/>
            <w:vAlign w:val="center"/>
          </w:tcPr>
          <w:p>
            <w:pPr>
              <w:spacing w:before="2" w:line="312" w:lineRule="auto"/>
              <w:ind w:right="98" w:firstLine="0" w:firstLineChars="0"/>
              <w:jc w:val="left"/>
              <w:rPr>
                <w:rFonts w:hint="eastAsia" w:ascii="Calibri" w:hAnsi="Calibri" w:eastAsia="宋体"/>
                <w:kern w:val="0"/>
                <w:lang w:val="en-US" w:eastAsia="zh-CN"/>
              </w:rPr>
            </w:pPr>
            <w:r>
              <w:rPr>
                <w:rFonts w:hint="eastAsia" w:ascii="Calibri" w:hAnsi="Calibri"/>
                <w:kern w:val="0"/>
              </w:rPr>
              <w:t>1幢2单元、11幢2单元、25幢1单元、25幢2单元、26幢2单元、12幢2单元、24幢2单元、西苑2-2、东苑8-2、东苑7-2，东苑6-2、东苑12-2、东苑8-1、东苑7-1，东苑6-1、东苑10-1、东苑12-1</w:t>
            </w:r>
            <w:r>
              <w:rPr>
                <w:rFonts w:hint="eastAsia" w:ascii="Calibri" w:hAnsi="Calibri"/>
                <w:kern w:val="0"/>
                <w:lang w:eastAsia="zh-CN"/>
              </w:rPr>
              <w:t>、</w:t>
            </w:r>
            <w:r>
              <w:rPr>
                <w:rFonts w:hint="eastAsia" w:ascii="Calibri" w:hAnsi="Calibri"/>
                <w:kern w:val="0"/>
              </w:rPr>
              <w:t>东苑1-1、东苑1-2，东苑2-1、东苑3-1、东苑3-2</w:t>
            </w:r>
          </w:p>
        </w:tc>
        <w:tc>
          <w:tcPr>
            <w:tcW w:w="965" w:type="dxa"/>
            <w:vAlign w:val="center"/>
          </w:tcPr>
          <w:p>
            <w:pPr>
              <w:spacing w:before="2" w:line="312" w:lineRule="auto"/>
              <w:ind w:right="98" w:firstLine="0" w:firstLineChars="0"/>
              <w:jc w:val="center"/>
              <w:rPr>
                <w:rFonts w:ascii="Calibri" w:hAnsi="Calibri"/>
                <w:kern w:val="0"/>
              </w:rPr>
            </w:pPr>
            <w:r>
              <w:rPr>
                <w:rFonts w:hint="eastAsia" w:ascii="Calibri" w:hAnsi="Calibri"/>
                <w:kern w:val="0"/>
                <w:lang w:val="en-US" w:eastAsia="zh-CN"/>
              </w:rPr>
              <w:t>22</w:t>
            </w:r>
            <w:r>
              <w:rPr>
                <w:rFonts w:hint="eastAsia" w:ascii="Calibri" w:hAnsi="Calibri"/>
                <w:kern w:val="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4" w:hRule="atLeast"/>
        </w:trPr>
        <w:tc>
          <w:tcPr>
            <w:tcW w:w="475" w:type="dxa"/>
            <w:vMerge w:val="continue"/>
            <w:vAlign w:val="center"/>
          </w:tcPr>
          <w:p>
            <w:pPr>
              <w:spacing w:before="2" w:line="312" w:lineRule="auto"/>
              <w:ind w:left="105" w:right="98" w:firstLine="480"/>
              <w:rPr>
                <w:rFonts w:ascii="Calibri" w:hAnsi="Calibri"/>
                <w:kern w:val="0"/>
              </w:rPr>
            </w:pPr>
          </w:p>
        </w:tc>
        <w:tc>
          <w:tcPr>
            <w:tcW w:w="767" w:type="dxa"/>
            <w:vMerge w:val="continue"/>
            <w:vAlign w:val="center"/>
          </w:tcPr>
          <w:p>
            <w:pPr>
              <w:spacing w:before="2" w:line="312" w:lineRule="auto"/>
              <w:ind w:left="105" w:right="98" w:firstLine="480"/>
              <w:rPr>
                <w:rFonts w:ascii="Calibri" w:hAnsi="Calibri"/>
                <w:kern w:val="0"/>
              </w:rPr>
            </w:pPr>
          </w:p>
        </w:tc>
        <w:tc>
          <w:tcPr>
            <w:tcW w:w="711" w:type="dxa"/>
            <w:vMerge w:val="restart"/>
            <w:vAlign w:val="center"/>
          </w:tcPr>
          <w:p>
            <w:pPr>
              <w:spacing w:before="2" w:line="312" w:lineRule="auto"/>
              <w:ind w:right="98" w:firstLine="0" w:firstLineChars="0"/>
              <w:jc w:val="center"/>
              <w:rPr>
                <w:rFonts w:ascii="Calibri" w:hAnsi="Calibri"/>
                <w:kern w:val="0"/>
              </w:rPr>
            </w:pPr>
            <w:r>
              <w:rPr>
                <w:rFonts w:hint="eastAsia" w:ascii="Calibri" w:hAnsi="Calibri"/>
                <w:kern w:val="0"/>
              </w:rPr>
              <w:t>转角连廊</w:t>
            </w:r>
          </w:p>
        </w:tc>
        <w:tc>
          <w:tcPr>
            <w:tcW w:w="1274" w:type="dxa"/>
            <w:vAlign w:val="center"/>
          </w:tcPr>
          <w:p>
            <w:pPr>
              <w:spacing w:before="2" w:line="312" w:lineRule="auto"/>
              <w:ind w:right="98" w:firstLine="0" w:firstLineChars="0"/>
              <w:jc w:val="center"/>
              <w:rPr>
                <w:rFonts w:ascii="Calibri" w:hAnsi="Calibri"/>
                <w:kern w:val="0"/>
              </w:rPr>
            </w:pPr>
            <w:r>
              <w:rPr>
                <w:rFonts w:hint="eastAsia" w:ascii="Calibri" w:hAnsi="Calibri"/>
                <w:kern w:val="0"/>
              </w:rPr>
              <w:t>2.68m</w:t>
            </w:r>
          </w:p>
        </w:tc>
        <w:tc>
          <w:tcPr>
            <w:tcW w:w="5368" w:type="dxa"/>
            <w:vAlign w:val="center"/>
          </w:tcPr>
          <w:p>
            <w:pPr>
              <w:spacing w:before="2" w:line="312" w:lineRule="auto"/>
              <w:ind w:right="98" w:firstLine="0" w:firstLineChars="0"/>
              <w:jc w:val="left"/>
              <w:rPr>
                <w:rFonts w:ascii="Calibri" w:hAnsi="Calibri"/>
                <w:kern w:val="0"/>
              </w:rPr>
            </w:pPr>
            <w:r>
              <w:rPr>
                <w:rFonts w:hint="eastAsia" w:ascii="Calibri" w:hAnsi="Calibri"/>
                <w:kern w:val="0"/>
              </w:rPr>
              <w:t>4幢2单元、9幢1单元、13幢1单元、13幢2单元、14幢1单元、14幢2单元、22幢2单元、23幢1单元、23幢2单元、西苑1-1、西苑2-1、2幢1单元、2幢2单元、4幢1单元、3幢1单元、3幢2单元、10幢1单元、10幢2单元、15幢2单元、16幢1单元、16幢2单元、20幢1单元、20幢2单元、21幢1单元、21幢2单元、6幢1单元、6幢2单元、7幢1单元、8幢2单元、17幢2单元、18幢1单元、27幢2单元、19幢2单元、28幢1单元、东苑11-1、西苑7-1，西苑5-1、西苑4-1、西苑3-1、西苑9-1、西苑1-2、5幢1单元、7幢2单元、8幢1单元、18幢2单元、19幢1单元、27幢2单元、28幢2单元、东苑5-2、东苑11-2、西苑4-2、西苑3-2、西苑5-2、西苑7-2、西苑6-2、西苑10-2</w:t>
            </w:r>
          </w:p>
        </w:tc>
        <w:tc>
          <w:tcPr>
            <w:tcW w:w="965" w:type="dxa"/>
            <w:vAlign w:val="center"/>
          </w:tcPr>
          <w:p>
            <w:pPr>
              <w:spacing w:before="2" w:line="312" w:lineRule="auto"/>
              <w:ind w:right="98" w:firstLine="0" w:firstLineChars="0"/>
              <w:jc w:val="center"/>
              <w:rPr>
                <w:rFonts w:ascii="Calibri" w:hAnsi="Calibri"/>
                <w:kern w:val="0"/>
              </w:rPr>
            </w:pPr>
            <w:r>
              <w:rPr>
                <w:rFonts w:hint="eastAsia" w:ascii="Calibri" w:hAnsi="Calibri"/>
                <w:kern w:val="0"/>
              </w:rPr>
              <w:t>56台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475" w:type="dxa"/>
            <w:vMerge w:val="continue"/>
            <w:vAlign w:val="center"/>
          </w:tcPr>
          <w:p>
            <w:pPr>
              <w:spacing w:before="2" w:line="312" w:lineRule="auto"/>
              <w:ind w:left="105" w:right="98" w:firstLine="480"/>
              <w:rPr>
                <w:rFonts w:ascii="Calibri" w:hAnsi="Calibri"/>
                <w:kern w:val="0"/>
              </w:rPr>
            </w:pPr>
          </w:p>
        </w:tc>
        <w:tc>
          <w:tcPr>
            <w:tcW w:w="767" w:type="dxa"/>
            <w:vMerge w:val="continue"/>
            <w:vAlign w:val="center"/>
          </w:tcPr>
          <w:p>
            <w:pPr>
              <w:spacing w:before="2" w:line="312" w:lineRule="auto"/>
              <w:ind w:left="105" w:right="98" w:firstLine="480"/>
              <w:rPr>
                <w:rFonts w:ascii="Calibri" w:hAnsi="Calibri"/>
                <w:kern w:val="0"/>
              </w:rPr>
            </w:pPr>
          </w:p>
        </w:tc>
        <w:tc>
          <w:tcPr>
            <w:tcW w:w="711" w:type="dxa"/>
            <w:vMerge w:val="continue"/>
            <w:vAlign w:val="center"/>
          </w:tcPr>
          <w:p>
            <w:pPr>
              <w:spacing w:before="2" w:line="312" w:lineRule="auto"/>
              <w:ind w:left="105" w:right="98" w:firstLine="480"/>
              <w:jc w:val="center"/>
              <w:rPr>
                <w:rFonts w:ascii="Calibri" w:hAnsi="Calibri"/>
                <w:kern w:val="0"/>
              </w:rPr>
            </w:pPr>
          </w:p>
        </w:tc>
        <w:tc>
          <w:tcPr>
            <w:tcW w:w="1274" w:type="dxa"/>
            <w:vAlign w:val="center"/>
          </w:tcPr>
          <w:p>
            <w:pPr>
              <w:spacing w:before="2" w:line="312" w:lineRule="auto"/>
              <w:ind w:right="98" w:firstLine="0" w:firstLineChars="0"/>
              <w:jc w:val="center"/>
              <w:rPr>
                <w:rFonts w:ascii="Calibri" w:hAnsi="Calibri"/>
                <w:kern w:val="0"/>
              </w:rPr>
            </w:pPr>
            <w:r>
              <w:rPr>
                <w:rFonts w:hint="eastAsia" w:ascii="Calibri" w:hAnsi="Calibri"/>
                <w:kern w:val="0"/>
              </w:rPr>
              <w:t>3.18m</w:t>
            </w:r>
          </w:p>
        </w:tc>
        <w:tc>
          <w:tcPr>
            <w:tcW w:w="5368" w:type="dxa"/>
            <w:vAlign w:val="center"/>
          </w:tcPr>
          <w:p>
            <w:pPr>
              <w:spacing w:before="2" w:line="312" w:lineRule="auto"/>
              <w:ind w:right="98" w:firstLine="0" w:firstLineChars="0"/>
              <w:jc w:val="left"/>
              <w:rPr>
                <w:rFonts w:ascii="Calibri" w:hAnsi="Calibri"/>
                <w:kern w:val="0"/>
              </w:rPr>
            </w:pPr>
            <w:r>
              <w:rPr>
                <w:rFonts w:hint="eastAsia" w:ascii="Calibri" w:hAnsi="Calibri"/>
                <w:kern w:val="0"/>
              </w:rPr>
              <w:t>29幢1单元、30幢1单元、31幢1单元、29幢2单元、30幢2单元、31幢2单元</w:t>
            </w:r>
          </w:p>
        </w:tc>
        <w:tc>
          <w:tcPr>
            <w:tcW w:w="965" w:type="dxa"/>
            <w:vAlign w:val="center"/>
          </w:tcPr>
          <w:p>
            <w:pPr>
              <w:spacing w:before="2" w:line="312" w:lineRule="auto"/>
              <w:ind w:right="98" w:firstLine="0" w:firstLineChars="0"/>
              <w:jc w:val="center"/>
              <w:rPr>
                <w:rFonts w:ascii="Calibri" w:hAnsi="Calibri"/>
                <w:kern w:val="0"/>
              </w:rPr>
            </w:pPr>
            <w:r>
              <w:rPr>
                <w:rFonts w:hint="eastAsia" w:ascii="Calibri" w:hAnsi="Calibri"/>
                <w:kern w:val="0"/>
              </w:rPr>
              <w:t>6台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0" w:hRule="atLeast"/>
        </w:trPr>
        <w:tc>
          <w:tcPr>
            <w:tcW w:w="475" w:type="dxa"/>
            <w:vAlign w:val="center"/>
          </w:tcPr>
          <w:p>
            <w:pPr>
              <w:shd w:val="clear" w:color="auto" w:fill="FFFFFF"/>
              <w:spacing w:before="93" w:beforeLines="30" w:line="312" w:lineRule="auto"/>
              <w:ind w:firstLine="0" w:firstLineChars="0"/>
              <w:rPr>
                <w:b/>
              </w:rPr>
            </w:pPr>
            <w:r>
              <w:rPr>
                <w:rFonts w:hint="eastAsia"/>
                <w:b/>
              </w:rPr>
              <w:t>4</w:t>
            </w:r>
          </w:p>
        </w:tc>
        <w:tc>
          <w:tcPr>
            <w:tcW w:w="767" w:type="dxa"/>
            <w:vAlign w:val="center"/>
          </w:tcPr>
          <w:p>
            <w:pPr>
              <w:shd w:val="clear" w:color="auto" w:fill="FFFFFF"/>
              <w:spacing w:before="93" w:beforeLines="30" w:line="312" w:lineRule="auto"/>
              <w:ind w:firstLine="0" w:firstLineChars="0"/>
              <w:rPr>
                <w:b/>
              </w:rPr>
            </w:pPr>
            <w:r>
              <w:rPr>
                <w:rFonts w:hint="eastAsia"/>
                <w:b/>
              </w:rPr>
              <w:t>连廊装饰要求</w:t>
            </w:r>
          </w:p>
        </w:tc>
        <w:tc>
          <w:tcPr>
            <w:tcW w:w="8318" w:type="dxa"/>
            <w:gridSpan w:val="4"/>
            <w:vAlign w:val="center"/>
          </w:tcPr>
          <w:p>
            <w:pPr>
              <w:spacing w:before="2" w:line="312" w:lineRule="auto"/>
              <w:ind w:right="98" w:firstLine="0" w:firstLineChars="0"/>
              <w:rPr>
                <w:rFonts w:ascii="Calibri" w:hAnsi="Calibri"/>
                <w:b/>
                <w:bCs/>
                <w:kern w:val="0"/>
              </w:rPr>
            </w:pPr>
            <w:r>
              <w:rPr>
                <w:rFonts w:hint="eastAsia" w:ascii="Calibri" w:hAnsi="Calibri"/>
                <w:b/>
                <w:bCs/>
                <w:kern w:val="0"/>
              </w:rPr>
              <w:t>表面处理：钢结构表面防锈处理，铝单板采用阿克苏氟碳面漆；</w:t>
            </w:r>
          </w:p>
          <w:p>
            <w:pPr>
              <w:spacing w:before="2" w:line="312" w:lineRule="auto"/>
              <w:ind w:right="98" w:firstLine="0" w:firstLineChars="0"/>
              <w:rPr>
                <w:rFonts w:ascii="Calibri" w:hAnsi="Calibri"/>
                <w:b/>
                <w:bCs/>
                <w:kern w:val="0"/>
              </w:rPr>
            </w:pPr>
            <w:r>
              <w:rPr>
                <w:rFonts w:hint="eastAsia" w:ascii="Calibri" w:hAnsi="Calibri" w:cs="Calibri"/>
                <w:b/>
                <w:bCs/>
                <w:kern w:val="0"/>
              </w:rPr>
              <w:t>幕墙材料：</w:t>
            </w:r>
            <w:r>
              <w:rPr>
                <w:rFonts w:hint="eastAsia" w:ascii="Calibri" w:hAnsi="Calibri"/>
                <w:b/>
                <w:bCs/>
                <w:kern w:val="0"/>
              </w:rPr>
              <w:t>单层铝单板(厚2.5mm)+夹胶玻璃（6mm+6mm）；</w:t>
            </w:r>
          </w:p>
          <w:p>
            <w:pPr>
              <w:spacing w:before="2" w:line="312" w:lineRule="auto"/>
              <w:ind w:right="98" w:firstLine="0" w:firstLineChars="0"/>
              <w:rPr>
                <w:rFonts w:ascii="Calibri" w:hAnsi="Calibri"/>
                <w:b/>
                <w:bCs/>
                <w:kern w:val="0"/>
              </w:rPr>
            </w:pPr>
            <w:r>
              <w:rPr>
                <w:rFonts w:hint="eastAsia" w:ascii="Calibri" w:hAnsi="Calibri"/>
                <w:b/>
                <w:bCs/>
                <w:kern w:val="0"/>
              </w:rPr>
              <w:t>窗体：铝合金门窗；</w:t>
            </w:r>
          </w:p>
          <w:p>
            <w:pPr>
              <w:spacing w:before="2" w:line="312" w:lineRule="auto"/>
              <w:ind w:right="98" w:firstLine="0" w:firstLineChars="0"/>
              <w:rPr>
                <w:rFonts w:ascii="Calibri" w:hAnsi="Calibri"/>
                <w:b/>
                <w:bCs/>
                <w:kern w:val="0"/>
              </w:rPr>
            </w:pPr>
            <w:r>
              <w:rPr>
                <w:rFonts w:hint="eastAsia" w:ascii="Calibri" w:hAnsi="Calibri"/>
                <w:b/>
                <w:bCs/>
                <w:kern w:val="0"/>
              </w:rPr>
              <w:t>连廊装饰：铝吊顶、移窗、</w:t>
            </w:r>
            <w:r>
              <w:rPr>
                <w:rFonts w:ascii="Calibri" w:hAnsi="Calibri"/>
                <w:b/>
                <w:bCs/>
                <w:kern w:val="0"/>
              </w:rPr>
              <w:t>LED</w:t>
            </w:r>
            <w:r>
              <w:rPr>
                <w:rFonts w:hint="eastAsia" w:ascii="Calibri" w:hAnsi="Calibri"/>
                <w:b/>
                <w:bCs/>
                <w:kern w:val="0"/>
              </w:rPr>
              <w:t>人体感应灯、防滑瓷砖地面、不锈钢电梯大门套、铝合金栏杆，文化石基座；</w:t>
            </w:r>
          </w:p>
          <w:p>
            <w:pPr>
              <w:spacing w:before="2" w:line="312" w:lineRule="auto"/>
              <w:ind w:right="98" w:firstLine="0" w:firstLineChars="0"/>
              <w:rPr>
                <w:rFonts w:ascii="Calibri" w:hAnsi="Calibri"/>
                <w:kern w:val="0"/>
              </w:rPr>
            </w:pPr>
            <w:r>
              <w:rPr>
                <w:rFonts w:hint="eastAsia" w:ascii="Calibri" w:hAnsi="Calibri"/>
                <w:b/>
                <w:bCs/>
                <w:kern w:val="0"/>
              </w:rPr>
              <w:t>密封胶、结构胶：杭州之江。</w:t>
            </w:r>
          </w:p>
        </w:tc>
      </w:tr>
    </w:tbl>
    <w:p>
      <w:pPr>
        <w:shd w:val="clear" w:color="auto" w:fill="FFFFFF"/>
        <w:spacing w:before="93" w:beforeLines="30"/>
        <w:ind w:firstLine="482"/>
        <w:rPr>
          <w:b/>
        </w:rPr>
      </w:pPr>
      <w:r>
        <w:rPr>
          <w:rFonts w:hint="eastAsia"/>
          <w:b/>
        </w:rPr>
        <w:t>3）电梯部分：</w:t>
      </w:r>
    </w:p>
    <w:p>
      <w:pPr>
        <w:shd w:val="clear" w:color="auto" w:fill="FFFFFF"/>
        <w:spacing w:before="93" w:beforeLines="30"/>
        <w:ind w:firstLine="422" w:firstLineChars="175"/>
        <w:jc w:val="center"/>
        <w:rPr>
          <w:b/>
        </w:rPr>
      </w:pPr>
      <w:r>
        <w:rPr>
          <w:rFonts w:hint="eastAsia"/>
          <w:b/>
        </w:rPr>
        <w:t>电梯规格参数表一</w:t>
      </w:r>
    </w:p>
    <w:tbl>
      <w:tblPr>
        <w:tblStyle w:val="33"/>
        <w:tblW w:w="8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3194"/>
        <w:gridCol w:w="4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283" w:type="dxa"/>
            <w:vAlign w:val="center"/>
          </w:tcPr>
          <w:p>
            <w:pPr>
              <w:ind w:firstLine="0" w:firstLineChars="0"/>
              <w:rPr>
                <w:b/>
                <w:bCs/>
              </w:rPr>
            </w:pPr>
            <w:r>
              <w:rPr>
                <w:rFonts w:hint="eastAsia"/>
                <w:b/>
                <w:bCs/>
              </w:rPr>
              <w:t>梯 型</w:t>
            </w:r>
          </w:p>
        </w:tc>
        <w:tc>
          <w:tcPr>
            <w:tcW w:w="3194" w:type="dxa"/>
            <w:vAlign w:val="center"/>
          </w:tcPr>
          <w:p>
            <w:pPr>
              <w:ind w:firstLine="482"/>
              <w:jc w:val="center"/>
              <w:rPr>
                <w:b/>
                <w:bCs/>
              </w:rPr>
            </w:pPr>
            <w:r>
              <w:rPr>
                <w:rFonts w:hint="eastAsia"/>
                <w:b/>
                <w:bCs/>
              </w:rPr>
              <w:t>规 格</w:t>
            </w:r>
          </w:p>
        </w:tc>
        <w:tc>
          <w:tcPr>
            <w:tcW w:w="4503" w:type="dxa"/>
            <w:vAlign w:val="center"/>
          </w:tcPr>
          <w:p>
            <w:pPr>
              <w:ind w:firstLine="482"/>
              <w:jc w:val="center"/>
              <w:rPr>
                <w:b/>
                <w:bCs/>
              </w:rPr>
            </w:pPr>
            <w:r>
              <w:rPr>
                <w:rFonts w:hint="eastAsia"/>
                <w:b/>
                <w:bCs/>
              </w:rPr>
              <w:t>参 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283" w:type="dxa"/>
            <w:vMerge w:val="restart"/>
            <w:vAlign w:val="center"/>
          </w:tcPr>
          <w:p>
            <w:pPr>
              <w:ind w:firstLine="0" w:firstLineChars="0"/>
            </w:pPr>
            <w:r>
              <w:rPr>
                <w:rFonts w:hint="eastAsia"/>
              </w:rPr>
              <w:t>春波小区84台无机房乘客电梯</w:t>
            </w:r>
          </w:p>
        </w:tc>
        <w:tc>
          <w:tcPr>
            <w:tcW w:w="3194" w:type="dxa"/>
            <w:vAlign w:val="center"/>
          </w:tcPr>
          <w:p>
            <w:pPr>
              <w:ind w:firstLine="480"/>
              <w:jc w:val="center"/>
            </w:pPr>
            <w:r>
              <w:rPr>
                <w:rFonts w:hint="eastAsia"/>
              </w:rPr>
              <w:t>额定载重（kg）</w:t>
            </w:r>
          </w:p>
        </w:tc>
        <w:tc>
          <w:tcPr>
            <w:tcW w:w="4503" w:type="dxa"/>
            <w:vAlign w:val="center"/>
          </w:tcPr>
          <w:p>
            <w:pPr>
              <w:ind w:firstLine="480"/>
              <w:jc w:val="center"/>
              <w:rPr>
                <w:u w:val="single"/>
              </w:rPr>
            </w:pPr>
            <w:r>
              <w:rPr>
                <w:rFonts w:hint="eastAsia"/>
                <w:u w:val="single"/>
              </w:rPr>
              <w:t>400KG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283" w:type="dxa"/>
            <w:vMerge w:val="continue"/>
            <w:vAlign w:val="center"/>
          </w:tcPr>
          <w:p>
            <w:pPr>
              <w:ind w:firstLine="480"/>
              <w:jc w:val="center"/>
            </w:pPr>
          </w:p>
        </w:tc>
        <w:tc>
          <w:tcPr>
            <w:tcW w:w="3194" w:type="dxa"/>
            <w:vAlign w:val="center"/>
          </w:tcPr>
          <w:p>
            <w:pPr>
              <w:ind w:firstLine="480"/>
              <w:jc w:val="center"/>
            </w:pPr>
            <w:r>
              <w:rPr>
                <w:rFonts w:hint="eastAsia"/>
              </w:rPr>
              <w:t>额定速度（m/s）</w:t>
            </w:r>
          </w:p>
        </w:tc>
        <w:tc>
          <w:tcPr>
            <w:tcW w:w="4503" w:type="dxa"/>
            <w:vAlign w:val="center"/>
          </w:tcPr>
          <w:p>
            <w:pPr>
              <w:ind w:firstLine="480"/>
              <w:jc w:val="center"/>
            </w:pPr>
            <w:r>
              <w:rPr>
                <w:rFonts w:hint="eastAsia"/>
              </w:rPr>
              <w:t>1.0m/s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283" w:type="dxa"/>
            <w:vMerge w:val="continue"/>
            <w:vAlign w:val="center"/>
          </w:tcPr>
          <w:p>
            <w:pPr>
              <w:ind w:firstLine="480"/>
              <w:jc w:val="center"/>
            </w:pPr>
          </w:p>
        </w:tc>
        <w:tc>
          <w:tcPr>
            <w:tcW w:w="3194" w:type="dxa"/>
            <w:vAlign w:val="center"/>
          </w:tcPr>
          <w:p>
            <w:pPr>
              <w:ind w:firstLine="480"/>
              <w:jc w:val="center"/>
            </w:pPr>
            <w:r>
              <w:rPr>
                <w:rFonts w:hint="eastAsia"/>
              </w:rPr>
              <w:t>层/站/门</w:t>
            </w:r>
          </w:p>
        </w:tc>
        <w:tc>
          <w:tcPr>
            <w:tcW w:w="4503" w:type="dxa"/>
            <w:vAlign w:val="center"/>
          </w:tcPr>
          <w:p>
            <w:pPr>
              <w:ind w:firstLine="480"/>
              <w:jc w:val="center"/>
              <w:rPr>
                <w:u w:val="single"/>
              </w:rPr>
            </w:pPr>
            <w:r>
              <w:rPr>
                <w:rFonts w:hint="eastAsia"/>
              </w:rPr>
              <w:t>6/4/4和6/5/5，详见依设计图纸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283" w:type="dxa"/>
            <w:vMerge w:val="continue"/>
            <w:vAlign w:val="center"/>
          </w:tcPr>
          <w:p>
            <w:pPr>
              <w:ind w:firstLine="480"/>
              <w:jc w:val="center"/>
            </w:pPr>
          </w:p>
        </w:tc>
        <w:tc>
          <w:tcPr>
            <w:tcW w:w="3194" w:type="dxa"/>
            <w:vAlign w:val="center"/>
          </w:tcPr>
          <w:p>
            <w:pPr>
              <w:ind w:firstLine="480"/>
              <w:jc w:val="center"/>
            </w:pPr>
            <w:r>
              <w:rPr>
                <w:rFonts w:hint="eastAsia"/>
              </w:rPr>
              <w:t>停靠站</w:t>
            </w:r>
          </w:p>
        </w:tc>
        <w:tc>
          <w:tcPr>
            <w:tcW w:w="4503" w:type="dxa"/>
            <w:vAlign w:val="center"/>
          </w:tcPr>
          <w:p>
            <w:pPr>
              <w:ind w:firstLine="480"/>
              <w:jc w:val="center"/>
            </w:pPr>
            <w:r>
              <w:rPr>
                <w:rFonts w:hint="eastAsia"/>
              </w:rPr>
              <w:t>1F、2.5F、3.5F、4.5F、5.5F和1F、2.5F、3.5F、4.5F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283" w:type="dxa"/>
            <w:vMerge w:val="continue"/>
            <w:vAlign w:val="center"/>
          </w:tcPr>
          <w:p>
            <w:pPr>
              <w:ind w:firstLine="480"/>
              <w:jc w:val="center"/>
            </w:pPr>
          </w:p>
        </w:tc>
        <w:tc>
          <w:tcPr>
            <w:tcW w:w="3194" w:type="dxa"/>
            <w:vAlign w:val="center"/>
          </w:tcPr>
          <w:p>
            <w:pPr>
              <w:ind w:firstLine="480"/>
              <w:jc w:val="center"/>
            </w:pPr>
            <w:r>
              <w:rPr>
                <w:rFonts w:hint="eastAsia"/>
              </w:rPr>
              <w:t>台 量</w:t>
            </w:r>
          </w:p>
        </w:tc>
        <w:tc>
          <w:tcPr>
            <w:tcW w:w="4503" w:type="dxa"/>
            <w:vAlign w:val="center"/>
          </w:tcPr>
          <w:p>
            <w:pPr>
              <w:ind w:firstLine="480"/>
              <w:jc w:val="center"/>
            </w:pPr>
            <w:r>
              <w:rPr>
                <w:rFonts w:hint="eastAsia"/>
              </w:rPr>
              <w:t>84台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1283" w:type="dxa"/>
            <w:vMerge w:val="continue"/>
            <w:vAlign w:val="center"/>
          </w:tcPr>
          <w:p>
            <w:pPr>
              <w:ind w:firstLine="480"/>
              <w:jc w:val="center"/>
            </w:pPr>
          </w:p>
        </w:tc>
        <w:tc>
          <w:tcPr>
            <w:tcW w:w="3194" w:type="dxa"/>
            <w:vAlign w:val="center"/>
          </w:tcPr>
          <w:p>
            <w:pPr>
              <w:ind w:firstLine="482"/>
              <w:jc w:val="center"/>
              <w:rPr>
                <w:b/>
              </w:rPr>
            </w:pPr>
            <w:r>
              <w:rPr>
                <w:rFonts w:hint="eastAsia"/>
                <w:b/>
              </w:rPr>
              <w:t>★钢结构主体外部尺寸</w:t>
            </w:r>
          </w:p>
          <w:p>
            <w:pPr>
              <w:ind w:firstLine="482"/>
              <w:jc w:val="center"/>
              <w:rPr>
                <w:b/>
              </w:rPr>
            </w:pPr>
            <w:r>
              <w:rPr>
                <w:rFonts w:hint="eastAsia"/>
                <w:b/>
              </w:rPr>
              <w:t>（宽×深）（mm）</w:t>
            </w:r>
          </w:p>
        </w:tc>
        <w:tc>
          <w:tcPr>
            <w:tcW w:w="4503" w:type="dxa"/>
            <w:vAlign w:val="center"/>
          </w:tcPr>
          <w:p>
            <w:pPr>
              <w:ind w:firstLine="482"/>
              <w:jc w:val="center"/>
              <w:rPr>
                <w:b/>
              </w:rPr>
            </w:pPr>
            <w:r>
              <w:rPr>
                <w:rFonts w:hint="eastAsia"/>
                <w:b/>
              </w:rPr>
              <w:t>依图纸设计要求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1283" w:type="dxa"/>
            <w:vMerge w:val="continue"/>
            <w:vAlign w:val="center"/>
          </w:tcPr>
          <w:p>
            <w:pPr>
              <w:ind w:firstLine="480"/>
              <w:jc w:val="center"/>
            </w:pPr>
          </w:p>
        </w:tc>
        <w:tc>
          <w:tcPr>
            <w:tcW w:w="3194" w:type="dxa"/>
            <w:vAlign w:val="center"/>
          </w:tcPr>
          <w:p>
            <w:pPr>
              <w:ind w:firstLine="482"/>
              <w:jc w:val="center"/>
              <w:rPr>
                <w:b/>
              </w:rPr>
            </w:pPr>
            <w:r>
              <w:rPr>
                <w:rFonts w:hint="eastAsia"/>
                <w:b/>
              </w:rPr>
              <w:t>★轿厢内尺寸</w:t>
            </w:r>
          </w:p>
          <w:p>
            <w:pPr>
              <w:ind w:firstLine="482"/>
              <w:jc w:val="center"/>
              <w:rPr>
                <w:b/>
              </w:rPr>
            </w:pPr>
            <w:r>
              <w:rPr>
                <w:rFonts w:hint="eastAsia"/>
                <w:b/>
              </w:rPr>
              <w:t>（宽×深×高）（mm）</w:t>
            </w:r>
          </w:p>
        </w:tc>
        <w:tc>
          <w:tcPr>
            <w:tcW w:w="4503" w:type="dxa"/>
            <w:vAlign w:val="center"/>
          </w:tcPr>
          <w:p>
            <w:pPr>
              <w:ind w:firstLine="482"/>
              <w:jc w:val="center"/>
              <w:rPr>
                <w:b/>
              </w:rPr>
            </w:pPr>
            <w:r>
              <w:rPr>
                <w:rFonts w:hint="eastAsia"/>
                <w:b/>
              </w:rPr>
              <w:t>1000mm*1100mm*2300mm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1283" w:type="dxa"/>
            <w:vMerge w:val="continue"/>
            <w:vAlign w:val="center"/>
          </w:tcPr>
          <w:p>
            <w:pPr>
              <w:ind w:firstLine="480"/>
              <w:jc w:val="center"/>
            </w:pPr>
          </w:p>
        </w:tc>
        <w:tc>
          <w:tcPr>
            <w:tcW w:w="3194" w:type="dxa"/>
            <w:vAlign w:val="center"/>
          </w:tcPr>
          <w:p>
            <w:pPr>
              <w:ind w:firstLine="482"/>
              <w:jc w:val="center"/>
              <w:rPr>
                <w:b/>
              </w:rPr>
            </w:pPr>
            <w:r>
              <w:rPr>
                <w:rFonts w:hint="eastAsia"/>
                <w:b/>
              </w:rPr>
              <w:t>★开门尺寸</w:t>
            </w:r>
          </w:p>
          <w:p>
            <w:pPr>
              <w:ind w:firstLine="482"/>
              <w:jc w:val="center"/>
              <w:rPr>
                <w:b/>
              </w:rPr>
            </w:pPr>
            <w:r>
              <w:rPr>
                <w:rFonts w:hint="eastAsia"/>
                <w:b/>
              </w:rPr>
              <w:t>（宽×高）（mm）</w:t>
            </w:r>
          </w:p>
        </w:tc>
        <w:tc>
          <w:tcPr>
            <w:tcW w:w="4503" w:type="dxa"/>
            <w:vAlign w:val="center"/>
          </w:tcPr>
          <w:p>
            <w:pPr>
              <w:ind w:firstLine="482"/>
              <w:jc w:val="center"/>
              <w:rPr>
                <w:b/>
              </w:rPr>
            </w:pPr>
            <w:r>
              <w:rPr>
                <w:rFonts w:hint="eastAsia"/>
                <w:b/>
              </w:rPr>
              <w:t>750mm*2100mm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283" w:type="dxa"/>
            <w:vMerge w:val="continue"/>
            <w:vAlign w:val="center"/>
          </w:tcPr>
          <w:p>
            <w:pPr>
              <w:ind w:firstLine="480"/>
              <w:jc w:val="center"/>
            </w:pPr>
          </w:p>
        </w:tc>
        <w:tc>
          <w:tcPr>
            <w:tcW w:w="3194" w:type="dxa"/>
            <w:vAlign w:val="center"/>
          </w:tcPr>
          <w:p>
            <w:pPr>
              <w:ind w:firstLine="480"/>
              <w:jc w:val="center"/>
            </w:pPr>
            <w:r>
              <w:rPr>
                <w:rFonts w:hint="eastAsia"/>
              </w:rPr>
              <w:t>开门方式</w:t>
            </w:r>
          </w:p>
        </w:tc>
        <w:tc>
          <w:tcPr>
            <w:tcW w:w="4503" w:type="dxa"/>
            <w:vAlign w:val="center"/>
          </w:tcPr>
          <w:p>
            <w:pPr>
              <w:ind w:firstLine="480"/>
              <w:jc w:val="center"/>
            </w:pPr>
            <w:r>
              <w:rPr>
                <w:rFonts w:hint="eastAsia"/>
              </w:rPr>
              <w:t>中分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283" w:type="dxa"/>
            <w:vMerge w:val="continue"/>
            <w:vAlign w:val="center"/>
          </w:tcPr>
          <w:p>
            <w:pPr>
              <w:ind w:firstLine="480"/>
              <w:jc w:val="center"/>
            </w:pPr>
          </w:p>
        </w:tc>
        <w:tc>
          <w:tcPr>
            <w:tcW w:w="3194" w:type="dxa"/>
            <w:vAlign w:val="center"/>
          </w:tcPr>
          <w:p>
            <w:pPr>
              <w:ind w:firstLine="480"/>
              <w:jc w:val="center"/>
            </w:pPr>
            <w:r>
              <w:rPr>
                <w:rFonts w:hint="eastAsia"/>
              </w:rPr>
              <w:t>运行方式</w:t>
            </w:r>
          </w:p>
        </w:tc>
        <w:tc>
          <w:tcPr>
            <w:tcW w:w="4503" w:type="dxa"/>
            <w:vAlign w:val="center"/>
          </w:tcPr>
          <w:p>
            <w:pPr>
              <w:ind w:firstLine="480"/>
              <w:jc w:val="center"/>
            </w:pPr>
            <w:r>
              <w:rPr>
                <w:rFonts w:hint="eastAsia"/>
              </w:rPr>
              <w:t>单控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283" w:type="dxa"/>
            <w:vMerge w:val="continue"/>
            <w:vAlign w:val="center"/>
          </w:tcPr>
          <w:p>
            <w:pPr>
              <w:ind w:firstLine="480"/>
              <w:jc w:val="center"/>
            </w:pPr>
          </w:p>
        </w:tc>
        <w:tc>
          <w:tcPr>
            <w:tcW w:w="3194" w:type="dxa"/>
            <w:vAlign w:val="center"/>
          </w:tcPr>
          <w:p>
            <w:pPr>
              <w:ind w:firstLine="480"/>
              <w:jc w:val="center"/>
            </w:pPr>
            <w:r>
              <w:rPr>
                <w:rFonts w:hint="eastAsia"/>
              </w:rPr>
              <w:t>顶层高度</w:t>
            </w:r>
          </w:p>
        </w:tc>
        <w:tc>
          <w:tcPr>
            <w:tcW w:w="4503" w:type="dxa"/>
            <w:vAlign w:val="center"/>
          </w:tcPr>
          <w:p>
            <w:pPr>
              <w:ind w:firstLine="480"/>
              <w:jc w:val="center"/>
            </w:pPr>
            <w:r>
              <w:rPr>
                <w:rFonts w:hint="eastAsia"/>
              </w:rPr>
              <w:t>3800mm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283" w:type="dxa"/>
            <w:vMerge w:val="continue"/>
            <w:vAlign w:val="center"/>
          </w:tcPr>
          <w:p>
            <w:pPr>
              <w:ind w:firstLine="480"/>
              <w:jc w:val="center"/>
            </w:pPr>
          </w:p>
        </w:tc>
        <w:tc>
          <w:tcPr>
            <w:tcW w:w="3194" w:type="dxa"/>
            <w:vAlign w:val="center"/>
          </w:tcPr>
          <w:p>
            <w:pPr>
              <w:ind w:firstLine="482"/>
              <w:jc w:val="center"/>
              <w:rPr>
                <w:b/>
              </w:rPr>
            </w:pPr>
            <w:r>
              <w:rPr>
                <w:rFonts w:hint="eastAsia"/>
                <w:b/>
              </w:rPr>
              <w:t>基坑深度</w:t>
            </w:r>
          </w:p>
        </w:tc>
        <w:tc>
          <w:tcPr>
            <w:tcW w:w="4503" w:type="dxa"/>
            <w:vAlign w:val="center"/>
          </w:tcPr>
          <w:p>
            <w:pPr>
              <w:ind w:firstLine="482"/>
              <w:jc w:val="center"/>
              <w:rPr>
                <w:b/>
              </w:rPr>
            </w:pPr>
            <w:r>
              <w:rPr>
                <w:rFonts w:hint="eastAsia"/>
                <w:b/>
              </w:rPr>
              <w:t>1200mm</w:t>
            </w:r>
            <w:r>
              <w:rPr>
                <w:rFonts w:hint="eastAsia"/>
                <w:b/>
                <w:lang w:val="en-US" w:eastAsia="zh-CN"/>
              </w:rPr>
              <w:t>和</w:t>
            </w:r>
            <w:r>
              <w:rPr>
                <w:rFonts w:hint="eastAsia"/>
                <w:b/>
              </w:rPr>
              <w:t>650mm</w:t>
            </w:r>
          </w:p>
        </w:tc>
      </w:tr>
    </w:tbl>
    <w:p>
      <w:pPr>
        <w:ind w:firstLine="482"/>
        <w:rPr>
          <w:b/>
          <w:bCs/>
          <w:kern w:val="0"/>
        </w:rPr>
      </w:pPr>
      <w:r>
        <w:rPr>
          <w:rFonts w:hint="eastAsia"/>
          <w:b/>
          <w:bCs/>
          <w:kern w:val="0"/>
        </w:rPr>
        <w:br w:type="page"/>
      </w:r>
    </w:p>
    <w:p>
      <w:pPr>
        <w:shd w:val="clear" w:color="auto" w:fill="FFFFFF"/>
        <w:spacing w:before="93" w:beforeLines="30"/>
        <w:ind w:firstLine="0" w:firstLineChars="0"/>
        <w:jc w:val="center"/>
        <w:rPr>
          <w:b/>
        </w:rPr>
      </w:pPr>
      <w:r>
        <w:rPr>
          <w:rFonts w:hint="eastAsia"/>
          <w:b/>
        </w:rPr>
        <w:t>电梯技术要求</w:t>
      </w:r>
    </w:p>
    <w:tbl>
      <w:tblPr>
        <w:tblStyle w:val="33"/>
        <w:tblpPr w:leftFromText="180" w:rightFromText="180" w:vertAnchor="text" w:horzAnchor="page" w:tblpX="1755" w:tblpY="908"/>
        <w:tblOverlap w:val="never"/>
        <w:tblW w:w="9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1827"/>
        <w:gridCol w:w="6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blHeader/>
        </w:trPr>
        <w:tc>
          <w:tcPr>
            <w:tcW w:w="915" w:type="dxa"/>
            <w:vAlign w:val="center"/>
          </w:tcPr>
          <w:p>
            <w:pPr>
              <w:spacing w:line="500" w:lineRule="exact"/>
              <w:ind w:firstLine="0" w:firstLineChars="0"/>
              <w:rPr>
                <w:b/>
                <w:bCs/>
              </w:rPr>
            </w:pPr>
            <w:r>
              <w:rPr>
                <w:rFonts w:hint="eastAsia"/>
                <w:b/>
                <w:bCs/>
              </w:rPr>
              <w:t>序号</w:t>
            </w:r>
          </w:p>
        </w:tc>
        <w:tc>
          <w:tcPr>
            <w:tcW w:w="1827" w:type="dxa"/>
            <w:vAlign w:val="center"/>
          </w:tcPr>
          <w:p>
            <w:pPr>
              <w:spacing w:line="500" w:lineRule="exact"/>
              <w:ind w:firstLine="0" w:firstLineChars="0"/>
              <w:jc w:val="center"/>
              <w:rPr>
                <w:b/>
                <w:bCs/>
              </w:rPr>
            </w:pPr>
            <w:r>
              <w:rPr>
                <w:rFonts w:hint="eastAsia"/>
                <w:b/>
                <w:bCs/>
              </w:rPr>
              <w:t>项目名称</w:t>
            </w:r>
          </w:p>
        </w:tc>
        <w:tc>
          <w:tcPr>
            <w:tcW w:w="6526" w:type="dxa"/>
            <w:vAlign w:val="center"/>
          </w:tcPr>
          <w:p>
            <w:pPr>
              <w:ind w:firstLine="482"/>
              <w:jc w:val="center"/>
              <w:rPr>
                <w:b/>
                <w:bCs/>
              </w:rPr>
            </w:pPr>
            <w:r>
              <w:rPr>
                <w:rFonts w:hint="eastAsia"/>
                <w:b/>
                <w:bCs/>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blHeader/>
        </w:trPr>
        <w:tc>
          <w:tcPr>
            <w:tcW w:w="915" w:type="dxa"/>
            <w:vAlign w:val="center"/>
          </w:tcPr>
          <w:p>
            <w:pPr>
              <w:tabs>
                <w:tab w:val="left" w:pos="720"/>
              </w:tabs>
              <w:spacing w:line="500" w:lineRule="exact"/>
              <w:ind w:firstLine="0" w:firstLineChars="0"/>
              <w:jc w:val="center"/>
            </w:pPr>
            <w:r>
              <w:rPr>
                <w:rFonts w:hint="eastAsia"/>
              </w:rPr>
              <w:t>1</w:t>
            </w:r>
          </w:p>
        </w:tc>
        <w:tc>
          <w:tcPr>
            <w:tcW w:w="1827" w:type="dxa"/>
            <w:vAlign w:val="center"/>
          </w:tcPr>
          <w:p>
            <w:pPr>
              <w:ind w:firstLine="0" w:firstLineChars="0"/>
              <w:rPr>
                <w:bCs/>
              </w:rPr>
            </w:pPr>
            <w:r>
              <w:rPr>
                <w:rFonts w:hint="eastAsia"/>
                <w:bCs/>
              </w:rPr>
              <w:t>驱动系统</w:t>
            </w:r>
          </w:p>
        </w:tc>
        <w:tc>
          <w:tcPr>
            <w:tcW w:w="6526" w:type="dxa"/>
            <w:vAlign w:val="center"/>
          </w:tcPr>
          <w:p>
            <w:pPr>
              <w:ind w:firstLine="0" w:firstLineChars="0"/>
              <w:rPr>
                <w:b/>
                <w:bCs/>
              </w:rPr>
            </w:pPr>
            <w:r>
              <w:rPr>
                <w:rFonts w:hint="eastAsia"/>
                <w:b/>
              </w:rPr>
              <w:t>★</w:t>
            </w:r>
            <w:r>
              <w:rPr>
                <w:rFonts w:hint="eastAsia"/>
                <w:b/>
                <w:bCs/>
              </w:rPr>
              <w:t>永磁同步无齿轮钢带型曳引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blHeader/>
        </w:trPr>
        <w:tc>
          <w:tcPr>
            <w:tcW w:w="915" w:type="dxa"/>
            <w:vAlign w:val="center"/>
          </w:tcPr>
          <w:p>
            <w:pPr>
              <w:tabs>
                <w:tab w:val="left" w:pos="720"/>
              </w:tabs>
              <w:spacing w:line="500" w:lineRule="exact"/>
              <w:ind w:firstLine="0" w:firstLineChars="0"/>
              <w:jc w:val="center"/>
            </w:pPr>
            <w:r>
              <w:rPr>
                <w:rFonts w:hint="eastAsia"/>
              </w:rPr>
              <w:t>2</w:t>
            </w:r>
          </w:p>
        </w:tc>
        <w:tc>
          <w:tcPr>
            <w:tcW w:w="1827" w:type="dxa"/>
            <w:vAlign w:val="center"/>
          </w:tcPr>
          <w:p>
            <w:pPr>
              <w:ind w:firstLine="0" w:firstLineChars="0"/>
              <w:rPr>
                <w:bCs/>
              </w:rPr>
            </w:pPr>
            <w:r>
              <w:rPr>
                <w:rFonts w:hint="eastAsia"/>
                <w:bCs/>
              </w:rPr>
              <w:t>控制系统</w:t>
            </w:r>
          </w:p>
        </w:tc>
        <w:tc>
          <w:tcPr>
            <w:tcW w:w="6526" w:type="dxa"/>
            <w:vAlign w:val="center"/>
          </w:tcPr>
          <w:p>
            <w:pPr>
              <w:ind w:firstLine="0" w:firstLineChars="0"/>
              <w:rPr>
                <w:bCs/>
              </w:rPr>
            </w:pPr>
            <w:r>
              <w:rPr>
                <w:rFonts w:hint="eastAsia"/>
                <w:bCs/>
              </w:rPr>
              <w:t>全电脑、分布式微机网络、串行传输，变频控制系统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blHeader/>
        </w:trPr>
        <w:tc>
          <w:tcPr>
            <w:tcW w:w="915" w:type="dxa"/>
            <w:vAlign w:val="center"/>
          </w:tcPr>
          <w:p>
            <w:pPr>
              <w:tabs>
                <w:tab w:val="left" w:pos="720"/>
              </w:tabs>
              <w:spacing w:line="500" w:lineRule="exact"/>
              <w:ind w:firstLine="0" w:firstLineChars="0"/>
              <w:jc w:val="center"/>
            </w:pPr>
            <w:r>
              <w:rPr>
                <w:rFonts w:hint="eastAsia"/>
              </w:rPr>
              <w:t>3</w:t>
            </w:r>
          </w:p>
        </w:tc>
        <w:tc>
          <w:tcPr>
            <w:tcW w:w="1827" w:type="dxa"/>
            <w:vAlign w:val="center"/>
          </w:tcPr>
          <w:p>
            <w:pPr>
              <w:ind w:firstLine="0" w:firstLineChars="0"/>
            </w:pPr>
            <w:r>
              <w:rPr>
                <w:rFonts w:hint="eastAsia"/>
              </w:rPr>
              <w:t>变频系统</w:t>
            </w:r>
          </w:p>
        </w:tc>
        <w:tc>
          <w:tcPr>
            <w:tcW w:w="6526" w:type="dxa"/>
            <w:vAlign w:val="center"/>
          </w:tcPr>
          <w:p>
            <w:pPr>
              <w:ind w:firstLine="0" w:firstLineChars="0"/>
            </w:pPr>
            <w:r>
              <w:rPr>
                <w:rFonts w:hint="eastAsia"/>
              </w:rPr>
              <w:t>交流变频变压调速（VVVF）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blHeader/>
        </w:trPr>
        <w:tc>
          <w:tcPr>
            <w:tcW w:w="915" w:type="dxa"/>
            <w:vAlign w:val="center"/>
          </w:tcPr>
          <w:p>
            <w:pPr>
              <w:tabs>
                <w:tab w:val="left" w:pos="720"/>
              </w:tabs>
              <w:spacing w:line="500" w:lineRule="exact"/>
              <w:ind w:firstLine="0" w:firstLineChars="0"/>
              <w:jc w:val="center"/>
            </w:pPr>
            <w:r>
              <w:rPr>
                <w:rFonts w:hint="eastAsia"/>
              </w:rPr>
              <w:t>4</w:t>
            </w:r>
          </w:p>
        </w:tc>
        <w:tc>
          <w:tcPr>
            <w:tcW w:w="1827" w:type="dxa"/>
            <w:vAlign w:val="center"/>
          </w:tcPr>
          <w:p>
            <w:pPr>
              <w:ind w:firstLine="0" w:firstLineChars="0"/>
            </w:pPr>
            <w:r>
              <w:rPr>
                <w:rFonts w:hint="eastAsia"/>
              </w:rPr>
              <w:t>门机系统</w:t>
            </w:r>
          </w:p>
        </w:tc>
        <w:tc>
          <w:tcPr>
            <w:tcW w:w="6526" w:type="dxa"/>
            <w:vAlign w:val="center"/>
          </w:tcPr>
          <w:p>
            <w:pPr>
              <w:ind w:firstLine="0" w:firstLineChars="0"/>
            </w:pPr>
            <w:r>
              <w:rPr>
                <w:rFonts w:hint="eastAsia"/>
              </w:rPr>
              <w:t>交流变频变压调速（VVVF）门机或直流门机，32位微机控制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blHeader/>
        </w:trPr>
        <w:tc>
          <w:tcPr>
            <w:tcW w:w="915" w:type="dxa"/>
            <w:vAlign w:val="center"/>
          </w:tcPr>
          <w:p>
            <w:pPr>
              <w:tabs>
                <w:tab w:val="left" w:pos="720"/>
              </w:tabs>
              <w:spacing w:line="500" w:lineRule="exact"/>
              <w:ind w:firstLine="0" w:firstLineChars="0"/>
              <w:jc w:val="center"/>
            </w:pPr>
            <w:r>
              <w:rPr>
                <w:rFonts w:hint="eastAsia"/>
              </w:rPr>
              <w:t>5</w:t>
            </w:r>
          </w:p>
        </w:tc>
        <w:tc>
          <w:tcPr>
            <w:tcW w:w="1827" w:type="dxa"/>
            <w:vAlign w:val="center"/>
          </w:tcPr>
          <w:p>
            <w:pPr>
              <w:ind w:firstLine="0" w:firstLineChars="0"/>
            </w:pPr>
            <w:r>
              <w:rPr>
                <w:rFonts w:hint="eastAsia"/>
              </w:rPr>
              <w:t>门机传动</w:t>
            </w:r>
          </w:p>
        </w:tc>
        <w:tc>
          <w:tcPr>
            <w:tcW w:w="6526" w:type="dxa"/>
            <w:vAlign w:val="center"/>
          </w:tcPr>
          <w:p>
            <w:pPr>
              <w:ind w:firstLine="0" w:firstLineChars="0"/>
            </w:pPr>
            <w:r>
              <w:rPr>
                <w:rFonts w:hint="eastAsia"/>
              </w:rPr>
              <w:t>同步带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blHeader/>
        </w:trPr>
        <w:tc>
          <w:tcPr>
            <w:tcW w:w="915" w:type="dxa"/>
            <w:vAlign w:val="center"/>
          </w:tcPr>
          <w:p>
            <w:pPr>
              <w:tabs>
                <w:tab w:val="left" w:pos="720"/>
              </w:tabs>
              <w:spacing w:line="500" w:lineRule="exact"/>
              <w:ind w:firstLine="0" w:firstLineChars="0"/>
              <w:jc w:val="center"/>
            </w:pPr>
            <w:r>
              <w:rPr>
                <w:rFonts w:hint="eastAsia"/>
              </w:rPr>
              <w:t>6</w:t>
            </w:r>
          </w:p>
        </w:tc>
        <w:tc>
          <w:tcPr>
            <w:tcW w:w="1827" w:type="dxa"/>
            <w:vAlign w:val="center"/>
          </w:tcPr>
          <w:p>
            <w:pPr>
              <w:ind w:firstLine="0" w:firstLineChars="0"/>
            </w:pPr>
            <w:r>
              <w:rPr>
                <w:rFonts w:hint="eastAsia"/>
              </w:rPr>
              <w:t>逻辑控制系统</w:t>
            </w:r>
          </w:p>
        </w:tc>
        <w:tc>
          <w:tcPr>
            <w:tcW w:w="6526" w:type="dxa"/>
            <w:vAlign w:val="center"/>
          </w:tcPr>
          <w:p>
            <w:pPr>
              <w:ind w:firstLine="0" w:firstLineChars="0"/>
            </w:pPr>
            <w:r>
              <w:rPr>
                <w:rFonts w:hint="eastAsia"/>
              </w:rPr>
              <w:t>采用32位微机控制板及以上微电脑控制系统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blHeader/>
        </w:trPr>
        <w:tc>
          <w:tcPr>
            <w:tcW w:w="915" w:type="dxa"/>
            <w:vAlign w:val="center"/>
          </w:tcPr>
          <w:p>
            <w:pPr>
              <w:tabs>
                <w:tab w:val="left" w:pos="720"/>
              </w:tabs>
              <w:spacing w:line="500" w:lineRule="exact"/>
              <w:ind w:firstLine="0" w:firstLineChars="0"/>
              <w:jc w:val="center"/>
            </w:pPr>
            <w:r>
              <w:rPr>
                <w:rFonts w:hint="eastAsia"/>
              </w:rPr>
              <w:t>7</w:t>
            </w:r>
          </w:p>
        </w:tc>
        <w:tc>
          <w:tcPr>
            <w:tcW w:w="1827" w:type="dxa"/>
            <w:vAlign w:val="center"/>
          </w:tcPr>
          <w:p>
            <w:pPr>
              <w:ind w:firstLine="0" w:firstLineChars="0"/>
            </w:pPr>
            <w:r>
              <w:rPr>
                <w:rFonts w:hint="eastAsia"/>
              </w:rPr>
              <w:t>曳引机</w:t>
            </w:r>
          </w:p>
        </w:tc>
        <w:tc>
          <w:tcPr>
            <w:tcW w:w="6526" w:type="dxa"/>
            <w:vAlign w:val="center"/>
          </w:tcPr>
          <w:p>
            <w:pPr>
              <w:ind w:firstLine="0" w:firstLineChars="0"/>
            </w:pPr>
            <w:r>
              <w:rPr>
                <w:rFonts w:hint="eastAsia"/>
              </w:rPr>
              <w:t>永磁同步电动机驱动的无齿轮曳引机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blHeader/>
        </w:trPr>
        <w:tc>
          <w:tcPr>
            <w:tcW w:w="915" w:type="dxa"/>
            <w:vAlign w:val="center"/>
          </w:tcPr>
          <w:p>
            <w:pPr>
              <w:tabs>
                <w:tab w:val="left" w:pos="720"/>
              </w:tabs>
              <w:spacing w:line="500" w:lineRule="exact"/>
              <w:ind w:firstLine="0" w:firstLineChars="0"/>
              <w:jc w:val="center"/>
            </w:pPr>
            <w:r>
              <w:rPr>
                <w:rFonts w:hint="eastAsia"/>
              </w:rPr>
              <w:t>8</w:t>
            </w:r>
          </w:p>
        </w:tc>
        <w:tc>
          <w:tcPr>
            <w:tcW w:w="1827" w:type="dxa"/>
            <w:vAlign w:val="center"/>
          </w:tcPr>
          <w:p>
            <w:pPr>
              <w:ind w:firstLine="0" w:firstLineChars="0"/>
            </w:pPr>
            <w:r>
              <w:rPr>
                <w:rFonts w:hint="eastAsia"/>
              </w:rPr>
              <w:t>电梯门区保护</w:t>
            </w:r>
          </w:p>
        </w:tc>
        <w:tc>
          <w:tcPr>
            <w:tcW w:w="6526" w:type="dxa"/>
            <w:vAlign w:val="center"/>
          </w:tcPr>
          <w:p>
            <w:pPr>
              <w:ind w:firstLine="0" w:firstLineChars="0"/>
            </w:pPr>
            <w:r>
              <w:rPr>
                <w:rFonts w:hint="eastAsia"/>
              </w:rPr>
              <w:t>★光幕保护，≥154束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blHeader/>
        </w:trPr>
        <w:tc>
          <w:tcPr>
            <w:tcW w:w="915" w:type="dxa"/>
            <w:vAlign w:val="center"/>
          </w:tcPr>
          <w:p>
            <w:pPr>
              <w:tabs>
                <w:tab w:val="left" w:pos="720"/>
              </w:tabs>
              <w:spacing w:line="500" w:lineRule="exact"/>
              <w:ind w:firstLine="0" w:firstLineChars="0"/>
              <w:jc w:val="center"/>
            </w:pPr>
            <w:r>
              <w:rPr>
                <w:rFonts w:hint="eastAsia"/>
              </w:rPr>
              <w:t>9</w:t>
            </w:r>
          </w:p>
        </w:tc>
        <w:tc>
          <w:tcPr>
            <w:tcW w:w="1827" w:type="dxa"/>
            <w:vAlign w:val="center"/>
          </w:tcPr>
          <w:p>
            <w:pPr>
              <w:ind w:firstLine="0" w:firstLineChars="0"/>
            </w:pPr>
            <w:r>
              <w:rPr>
                <w:rFonts w:hint="eastAsia"/>
              </w:rPr>
              <w:t>平层精度</w:t>
            </w:r>
          </w:p>
        </w:tc>
        <w:tc>
          <w:tcPr>
            <w:tcW w:w="6526" w:type="dxa"/>
            <w:vAlign w:val="center"/>
          </w:tcPr>
          <w:p>
            <w:pPr>
              <w:ind w:firstLine="0" w:firstLineChars="0"/>
            </w:pPr>
            <w:r>
              <w:rPr>
                <w:rFonts w:hint="eastAsia"/>
              </w:rPr>
              <w:t>≤</w:t>
            </w:r>
            <w:r>
              <w:rPr>
                <w:rFonts w:hint="eastAsia"/>
              </w:rPr>
              <w:sym w:font="Symbol" w:char="00B1"/>
            </w:r>
            <w:r>
              <w:rPr>
                <w:rFonts w:hint="eastAsia"/>
              </w:rPr>
              <w:t>3mm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blHeader/>
        </w:trPr>
        <w:tc>
          <w:tcPr>
            <w:tcW w:w="915" w:type="dxa"/>
            <w:vAlign w:val="center"/>
          </w:tcPr>
          <w:p>
            <w:pPr>
              <w:tabs>
                <w:tab w:val="left" w:pos="720"/>
              </w:tabs>
              <w:spacing w:line="500" w:lineRule="exact"/>
              <w:ind w:firstLine="0" w:firstLineChars="0"/>
              <w:jc w:val="center"/>
            </w:pPr>
            <w:r>
              <w:rPr>
                <w:rFonts w:hint="eastAsia"/>
              </w:rPr>
              <w:t>10</w:t>
            </w:r>
          </w:p>
        </w:tc>
        <w:tc>
          <w:tcPr>
            <w:tcW w:w="1827" w:type="dxa"/>
            <w:vAlign w:val="center"/>
          </w:tcPr>
          <w:p>
            <w:pPr>
              <w:ind w:firstLine="0" w:firstLineChars="0"/>
            </w:pPr>
            <w:r>
              <w:rPr>
                <w:rFonts w:hint="eastAsia"/>
              </w:rPr>
              <w:t>称重装置</w:t>
            </w:r>
          </w:p>
        </w:tc>
        <w:tc>
          <w:tcPr>
            <w:tcW w:w="6526" w:type="dxa"/>
            <w:vAlign w:val="center"/>
          </w:tcPr>
          <w:p>
            <w:pPr>
              <w:ind w:firstLine="0" w:firstLineChars="0"/>
            </w:pPr>
            <w:r>
              <w:rPr>
                <w:rFonts w:hint="eastAsia"/>
              </w:rPr>
              <w:t>精度1％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blHeader/>
        </w:trPr>
        <w:tc>
          <w:tcPr>
            <w:tcW w:w="915" w:type="dxa"/>
            <w:vAlign w:val="center"/>
          </w:tcPr>
          <w:p>
            <w:pPr>
              <w:tabs>
                <w:tab w:val="left" w:pos="720"/>
              </w:tabs>
              <w:spacing w:line="500" w:lineRule="exact"/>
              <w:ind w:firstLine="0" w:firstLineChars="0"/>
              <w:jc w:val="center"/>
            </w:pPr>
            <w:r>
              <w:rPr>
                <w:rFonts w:hint="eastAsia"/>
              </w:rPr>
              <w:t>11</w:t>
            </w:r>
          </w:p>
        </w:tc>
        <w:tc>
          <w:tcPr>
            <w:tcW w:w="1827" w:type="dxa"/>
            <w:vAlign w:val="center"/>
          </w:tcPr>
          <w:p>
            <w:pPr>
              <w:ind w:firstLine="0" w:firstLineChars="0"/>
            </w:pPr>
            <w:r>
              <w:rPr>
                <w:rFonts w:hint="eastAsia"/>
              </w:rPr>
              <w:t>噪声指标</w:t>
            </w:r>
          </w:p>
        </w:tc>
        <w:tc>
          <w:tcPr>
            <w:tcW w:w="6526" w:type="dxa"/>
            <w:vAlign w:val="center"/>
          </w:tcPr>
          <w:p>
            <w:pPr>
              <w:ind w:firstLine="0" w:firstLineChars="0"/>
            </w:pPr>
            <w:r>
              <w:rPr>
                <w:rFonts w:hint="eastAsia"/>
              </w:rPr>
              <w:t>轿厢≤52dB、开关门≤57dB、机房≤75dB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blHeader/>
        </w:trPr>
        <w:tc>
          <w:tcPr>
            <w:tcW w:w="915" w:type="dxa"/>
            <w:vAlign w:val="center"/>
          </w:tcPr>
          <w:p>
            <w:pPr>
              <w:tabs>
                <w:tab w:val="left" w:pos="720"/>
              </w:tabs>
              <w:spacing w:line="500" w:lineRule="exact"/>
              <w:ind w:firstLine="0" w:firstLineChars="0"/>
              <w:jc w:val="center"/>
            </w:pPr>
            <w:r>
              <w:rPr>
                <w:rFonts w:hint="eastAsia"/>
              </w:rPr>
              <w:t>12</w:t>
            </w:r>
          </w:p>
        </w:tc>
        <w:tc>
          <w:tcPr>
            <w:tcW w:w="1827" w:type="dxa"/>
            <w:vAlign w:val="center"/>
          </w:tcPr>
          <w:p>
            <w:pPr>
              <w:ind w:firstLine="0" w:firstLineChars="0"/>
            </w:pPr>
            <w:r>
              <w:rPr>
                <w:rFonts w:hint="eastAsia"/>
              </w:rPr>
              <w:t>振动加速度</w:t>
            </w:r>
          </w:p>
        </w:tc>
        <w:tc>
          <w:tcPr>
            <w:tcW w:w="6526" w:type="dxa"/>
            <w:vAlign w:val="center"/>
          </w:tcPr>
          <w:p>
            <w:pPr>
              <w:ind w:firstLine="0" w:firstLineChars="0"/>
            </w:pPr>
            <w:r>
              <w:rPr>
                <w:rFonts w:hint="eastAsia"/>
              </w:rPr>
              <w:t>垂直≤100mm/s2，水平≤100mm/s2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blHeader/>
        </w:trPr>
        <w:tc>
          <w:tcPr>
            <w:tcW w:w="915" w:type="dxa"/>
            <w:vAlign w:val="center"/>
          </w:tcPr>
          <w:p>
            <w:pPr>
              <w:tabs>
                <w:tab w:val="left" w:pos="720"/>
              </w:tabs>
              <w:spacing w:line="500" w:lineRule="exact"/>
              <w:ind w:firstLine="0" w:firstLineChars="0"/>
              <w:jc w:val="center"/>
            </w:pPr>
            <w:r>
              <w:rPr>
                <w:rFonts w:hint="eastAsia"/>
              </w:rPr>
              <w:t>13</w:t>
            </w:r>
          </w:p>
        </w:tc>
        <w:tc>
          <w:tcPr>
            <w:tcW w:w="1827" w:type="dxa"/>
            <w:vAlign w:val="center"/>
          </w:tcPr>
          <w:p>
            <w:pPr>
              <w:ind w:firstLine="0" w:firstLineChars="0"/>
            </w:pPr>
            <w:r>
              <w:rPr>
                <w:rFonts w:hint="eastAsia"/>
              </w:rPr>
              <w:t>起制动加速度</w:t>
            </w:r>
          </w:p>
        </w:tc>
        <w:tc>
          <w:tcPr>
            <w:tcW w:w="6526" w:type="dxa"/>
            <w:vAlign w:val="center"/>
          </w:tcPr>
          <w:p>
            <w:pPr>
              <w:ind w:firstLine="0" w:firstLineChars="0"/>
            </w:pPr>
            <w:r>
              <w:rPr>
                <w:rFonts w:hint="eastAsia"/>
              </w:rPr>
              <w:t>平均≥0.48m/s2 ，且在0.48-1m/s2之间可调，最大≤1.5 m/s2，同时满足整个时间-速度曲线应平滑，并提供曲线图；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blHeader/>
        </w:trPr>
        <w:tc>
          <w:tcPr>
            <w:tcW w:w="915" w:type="dxa"/>
            <w:vAlign w:val="center"/>
          </w:tcPr>
          <w:p>
            <w:pPr>
              <w:tabs>
                <w:tab w:val="left" w:pos="720"/>
              </w:tabs>
              <w:spacing w:line="500" w:lineRule="exact"/>
              <w:ind w:firstLine="0" w:firstLineChars="0"/>
              <w:jc w:val="center"/>
            </w:pPr>
            <w:r>
              <w:rPr>
                <w:rFonts w:hint="eastAsia"/>
              </w:rPr>
              <w:t>14</w:t>
            </w:r>
          </w:p>
        </w:tc>
        <w:tc>
          <w:tcPr>
            <w:tcW w:w="1827" w:type="dxa"/>
            <w:vAlign w:val="center"/>
          </w:tcPr>
          <w:p>
            <w:pPr>
              <w:ind w:firstLine="0" w:firstLineChars="0"/>
            </w:pPr>
            <w:r>
              <w:rPr>
                <w:rFonts w:hint="eastAsia"/>
              </w:rPr>
              <w:t>厅门、轿厢门、门坎</w:t>
            </w:r>
          </w:p>
        </w:tc>
        <w:tc>
          <w:tcPr>
            <w:tcW w:w="6526" w:type="dxa"/>
            <w:vAlign w:val="center"/>
          </w:tcPr>
          <w:p>
            <w:pPr>
              <w:ind w:firstLine="0" w:firstLineChars="0"/>
            </w:pPr>
            <w:r>
              <w:rPr>
                <w:rFonts w:hint="eastAsia"/>
              </w:rPr>
              <w:t>轿厢门板：采用304发纹不锈钢；</w:t>
            </w:r>
          </w:p>
          <w:p>
            <w:pPr>
              <w:ind w:firstLine="0" w:firstLineChars="0"/>
            </w:pPr>
            <w:r>
              <w:rPr>
                <w:rFonts w:hint="eastAsia"/>
              </w:rPr>
              <w:t>厅门门板：采用304发纹不锈钢；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915" w:type="dxa"/>
            <w:vAlign w:val="center"/>
          </w:tcPr>
          <w:p>
            <w:pPr>
              <w:tabs>
                <w:tab w:val="left" w:pos="720"/>
              </w:tabs>
              <w:spacing w:line="500" w:lineRule="exact"/>
              <w:ind w:firstLine="0" w:firstLineChars="0"/>
              <w:jc w:val="center"/>
            </w:pPr>
            <w:r>
              <w:rPr>
                <w:rFonts w:hint="eastAsia"/>
              </w:rPr>
              <w:t>15</w:t>
            </w:r>
          </w:p>
        </w:tc>
        <w:tc>
          <w:tcPr>
            <w:tcW w:w="1827" w:type="dxa"/>
            <w:vAlign w:val="center"/>
          </w:tcPr>
          <w:p>
            <w:pPr>
              <w:ind w:firstLine="0" w:firstLineChars="0"/>
              <w:rPr>
                <w:b/>
              </w:rPr>
            </w:pPr>
            <w:r>
              <w:rPr>
                <w:rFonts w:hint="eastAsia"/>
                <w:b/>
              </w:rPr>
              <w:t>★轿厢设计及整体装饰</w:t>
            </w:r>
          </w:p>
        </w:tc>
        <w:tc>
          <w:tcPr>
            <w:tcW w:w="6526" w:type="dxa"/>
            <w:vAlign w:val="center"/>
          </w:tcPr>
          <w:p>
            <w:pPr>
              <w:ind w:firstLine="0" w:firstLineChars="0"/>
              <w:rPr>
                <w:b/>
              </w:rPr>
            </w:pPr>
            <w:r>
              <w:rPr>
                <w:rFonts w:hint="eastAsia"/>
                <w:b/>
              </w:rPr>
              <w:t>招标范围含以下内容：</w:t>
            </w:r>
          </w:p>
          <w:p>
            <w:pPr>
              <w:numPr>
                <w:ilvl w:val="0"/>
                <w:numId w:val="6"/>
              </w:numPr>
              <w:ind w:left="0" w:firstLine="0" w:firstLineChars="0"/>
              <w:rPr>
                <w:b/>
              </w:rPr>
            </w:pPr>
            <w:r>
              <w:rPr>
                <w:rFonts w:hint="eastAsia"/>
                <w:b/>
              </w:rPr>
              <w:t>确保运行环境隔音、防震、通风；</w:t>
            </w:r>
          </w:p>
          <w:p>
            <w:pPr>
              <w:numPr>
                <w:ilvl w:val="0"/>
                <w:numId w:val="6"/>
              </w:numPr>
              <w:ind w:left="0" w:firstLine="0" w:firstLineChars="0"/>
              <w:rPr>
                <w:b/>
              </w:rPr>
            </w:pPr>
            <w:r>
              <w:rPr>
                <w:rFonts w:hint="eastAsia"/>
                <w:b/>
              </w:rPr>
              <w:t>轿厢顶：设置</w:t>
            </w:r>
            <w:r>
              <w:rPr>
                <w:rFonts w:hint="eastAsia"/>
                <w:b/>
                <w:color w:val="000000" w:themeColor="text1"/>
                <w14:textFill>
                  <w14:solidFill>
                    <w14:schemeClr w14:val="tx1"/>
                  </w14:solidFill>
                </w14:textFill>
              </w:rPr>
              <w:t>轿厢</w:t>
            </w:r>
            <w:r>
              <w:rPr>
                <w:rFonts w:hint="eastAsia"/>
                <w:b/>
                <w:color w:val="000000" w:themeColor="text1"/>
                <w:lang w:val="en-US" w:eastAsia="zh-CN"/>
                <w14:textFill>
                  <w14:solidFill>
                    <w14:schemeClr w14:val="tx1"/>
                  </w14:solidFill>
                </w14:textFill>
              </w:rPr>
              <w:t>横流</w:t>
            </w:r>
            <w:r>
              <w:rPr>
                <w:rFonts w:hint="eastAsia"/>
                <w:b/>
                <w:color w:val="000000" w:themeColor="text1"/>
                <w14:textFill>
                  <w14:solidFill>
                    <w14:schemeClr w14:val="tx1"/>
                  </w14:solidFill>
                </w14:textFill>
              </w:rPr>
              <w:t>风机</w:t>
            </w:r>
            <w:r>
              <w:rPr>
                <w:rFonts w:hint="eastAsia"/>
                <w:b/>
              </w:rPr>
              <w:t>；</w:t>
            </w:r>
          </w:p>
          <w:p>
            <w:pPr>
              <w:numPr>
                <w:ilvl w:val="0"/>
                <w:numId w:val="6"/>
              </w:numPr>
              <w:ind w:left="0" w:firstLine="0" w:firstLineChars="0"/>
              <w:rPr>
                <w:b/>
              </w:rPr>
            </w:pPr>
            <w:r>
              <w:rPr>
                <w:rFonts w:hint="eastAsia"/>
                <w:b/>
              </w:rPr>
              <w:t>轿厢壁：轿厢内轿壁采用304发纹不锈钢；</w:t>
            </w:r>
          </w:p>
          <w:p>
            <w:pPr>
              <w:numPr>
                <w:ilvl w:val="0"/>
                <w:numId w:val="6"/>
              </w:numPr>
              <w:ind w:left="0" w:firstLine="0" w:firstLineChars="0"/>
              <w:rPr>
                <w:b/>
              </w:rPr>
            </w:pPr>
            <w:r>
              <w:rPr>
                <w:rFonts w:hint="eastAsia"/>
                <w:b/>
              </w:rPr>
              <w:t>轿厢地面：采用大理石地面；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blHeader/>
        </w:trPr>
        <w:tc>
          <w:tcPr>
            <w:tcW w:w="915" w:type="dxa"/>
            <w:vAlign w:val="center"/>
          </w:tcPr>
          <w:p>
            <w:pPr>
              <w:tabs>
                <w:tab w:val="left" w:pos="720"/>
              </w:tabs>
              <w:spacing w:line="500" w:lineRule="exact"/>
              <w:ind w:firstLine="0" w:firstLineChars="0"/>
              <w:jc w:val="center"/>
            </w:pPr>
            <w:r>
              <w:rPr>
                <w:rFonts w:hint="eastAsia"/>
              </w:rPr>
              <w:t>16</w:t>
            </w:r>
          </w:p>
        </w:tc>
        <w:tc>
          <w:tcPr>
            <w:tcW w:w="1827" w:type="dxa"/>
            <w:vAlign w:val="center"/>
          </w:tcPr>
          <w:p>
            <w:pPr>
              <w:ind w:firstLine="0" w:firstLineChars="0"/>
            </w:pPr>
            <w:r>
              <w:rPr>
                <w:rFonts w:hint="eastAsia"/>
              </w:rPr>
              <w:t>楼层显示及召唤显示</w:t>
            </w:r>
          </w:p>
        </w:tc>
        <w:tc>
          <w:tcPr>
            <w:tcW w:w="6526" w:type="dxa"/>
            <w:vAlign w:val="center"/>
          </w:tcPr>
          <w:p>
            <w:pPr>
              <w:numPr>
                <w:ilvl w:val="0"/>
                <w:numId w:val="7"/>
              </w:numPr>
              <w:ind w:left="0" w:firstLine="0" w:firstLineChars="0"/>
            </w:pPr>
            <w:r>
              <w:rPr>
                <w:rFonts w:hint="eastAsia"/>
              </w:rPr>
              <w:t>采用≥4.3英寸液晶显示；</w:t>
            </w:r>
          </w:p>
          <w:p>
            <w:pPr>
              <w:numPr>
                <w:ilvl w:val="0"/>
                <w:numId w:val="7"/>
              </w:numPr>
              <w:ind w:left="0" w:firstLine="0" w:firstLineChars="0"/>
            </w:pPr>
            <w:r>
              <w:rPr>
                <w:rFonts w:hint="eastAsia"/>
              </w:rPr>
              <w:t>召唤按钮：微触式金属盲文按钮；</w:t>
            </w:r>
          </w:p>
          <w:p>
            <w:pPr>
              <w:numPr>
                <w:ilvl w:val="0"/>
                <w:numId w:val="7"/>
              </w:numPr>
              <w:ind w:left="0" w:firstLine="0" w:firstLineChars="0"/>
            </w:pPr>
            <w:r>
              <w:rPr>
                <w:rFonts w:hint="eastAsia"/>
              </w:rPr>
              <w:t>采用无底盒外呼；</w:t>
            </w:r>
          </w:p>
          <w:p>
            <w:pPr>
              <w:numPr>
                <w:ilvl w:val="0"/>
                <w:numId w:val="7"/>
              </w:numPr>
              <w:ind w:left="0" w:firstLine="0" w:firstLineChars="0"/>
            </w:pPr>
            <w:r>
              <w:rPr>
                <w:rFonts w:hint="eastAsia"/>
              </w:rPr>
              <w:t>原孔洞修补。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4" w:hRule="atLeast"/>
          <w:tblHeader/>
        </w:trPr>
        <w:tc>
          <w:tcPr>
            <w:tcW w:w="915" w:type="dxa"/>
            <w:vAlign w:val="center"/>
          </w:tcPr>
          <w:p>
            <w:pPr>
              <w:tabs>
                <w:tab w:val="left" w:pos="720"/>
              </w:tabs>
              <w:spacing w:line="500" w:lineRule="exact"/>
              <w:ind w:firstLine="0" w:firstLineChars="0"/>
              <w:jc w:val="center"/>
            </w:pPr>
            <w:r>
              <w:rPr>
                <w:rFonts w:hint="eastAsia"/>
              </w:rPr>
              <w:t>17</w:t>
            </w:r>
          </w:p>
        </w:tc>
        <w:tc>
          <w:tcPr>
            <w:tcW w:w="1827" w:type="dxa"/>
            <w:vAlign w:val="center"/>
          </w:tcPr>
          <w:p>
            <w:pPr>
              <w:ind w:firstLine="0" w:firstLineChars="0"/>
            </w:pPr>
            <w:r>
              <w:rPr>
                <w:rFonts w:hint="eastAsia"/>
              </w:rPr>
              <w:t>轿厢内操作盘</w:t>
            </w:r>
          </w:p>
        </w:tc>
        <w:tc>
          <w:tcPr>
            <w:tcW w:w="6526" w:type="dxa"/>
            <w:vAlign w:val="center"/>
          </w:tcPr>
          <w:p>
            <w:pPr>
              <w:numPr>
                <w:ilvl w:val="0"/>
                <w:numId w:val="7"/>
              </w:numPr>
              <w:ind w:left="0" w:firstLine="0" w:firstLineChars="0"/>
            </w:pPr>
            <w:r>
              <w:rPr>
                <w:rFonts w:hint="eastAsia"/>
              </w:rPr>
              <w:t>面板：发纹不锈钢；</w:t>
            </w:r>
          </w:p>
          <w:p>
            <w:pPr>
              <w:numPr>
                <w:ilvl w:val="0"/>
                <w:numId w:val="7"/>
              </w:numPr>
              <w:ind w:left="0" w:firstLine="0" w:firstLineChars="0"/>
              <w:rPr>
                <w:b/>
                <w:bCs/>
              </w:rPr>
            </w:pPr>
            <w:r>
              <w:rPr>
                <w:rFonts w:hint="eastAsia"/>
                <w:b/>
              </w:rPr>
              <w:t>★显示方式：10.4英寸网络版多媒体液晶大屏幕显示器（需预留用户信息发布、操作平台</w:t>
            </w:r>
            <w:r>
              <w:rPr>
                <w:rFonts w:hint="eastAsia"/>
                <w:b/>
                <w:bCs/>
              </w:rPr>
              <w:t>功能）；上升与下降方向指示。隐藏式对讲机；</w:t>
            </w:r>
          </w:p>
          <w:p>
            <w:pPr>
              <w:numPr>
                <w:ilvl w:val="0"/>
                <w:numId w:val="8"/>
              </w:numPr>
              <w:ind w:left="0" w:firstLine="0" w:firstLineChars="0"/>
            </w:pPr>
            <w:r>
              <w:rPr>
                <w:rFonts w:hint="eastAsia"/>
              </w:rPr>
              <w:t>标示：标示厂牌、用途、限乘人数、限载重量；</w:t>
            </w:r>
          </w:p>
          <w:p>
            <w:pPr>
              <w:numPr>
                <w:ilvl w:val="0"/>
                <w:numId w:val="8"/>
              </w:numPr>
              <w:ind w:left="0" w:firstLine="0" w:firstLineChars="0"/>
            </w:pPr>
            <w:r>
              <w:rPr>
                <w:rFonts w:hint="eastAsia"/>
              </w:rPr>
              <w:t>以钥匙操作的开关箱内有照明开关、风扇开关、司机控制；</w:t>
            </w:r>
          </w:p>
          <w:p>
            <w:pPr>
              <w:numPr>
                <w:ilvl w:val="0"/>
                <w:numId w:val="8"/>
              </w:numPr>
              <w:ind w:left="0" w:firstLine="0" w:firstLineChars="0"/>
            </w:pPr>
            <w:r>
              <w:rPr>
                <w:rFonts w:hint="eastAsia"/>
              </w:rPr>
              <w:t>操作盘面板上端附加“禁烟”两字或以图形表示；附通信畅通标志；</w:t>
            </w:r>
          </w:p>
          <w:p>
            <w:pPr>
              <w:numPr>
                <w:ilvl w:val="0"/>
                <w:numId w:val="8"/>
              </w:numPr>
              <w:ind w:left="0" w:firstLine="0" w:firstLineChars="0"/>
            </w:pPr>
            <w:r>
              <w:rPr>
                <w:rFonts w:hint="eastAsia"/>
              </w:rPr>
              <w:t>按钮：微触式金属盲文微光按钮，具有停靠层数相同的楼层按钮；</w:t>
            </w:r>
          </w:p>
          <w:p>
            <w:pPr>
              <w:numPr>
                <w:ilvl w:val="0"/>
                <w:numId w:val="8"/>
              </w:numPr>
              <w:ind w:left="0" w:firstLine="0" w:firstLineChars="0"/>
            </w:pPr>
            <w:r>
              <w:rPr>
                <w:rFonts w:hint="eastAsia"/>
              </w:rPr>
              <w:t>开关门按钮各一付，并以图形表示，紧急呼叫按钮；</w:t>
            </w:r>
          </w:p>
          <w:p>
            <w:pPr>
              <w:numPr>
                <w:ilvl w:val="0"/>
                <w:numId w:val="8"/>
              </w:numPr>
              <w:ind w:left="0" w:firstLine="0" w:firstLineChars="0"/>
            </w:pPr>
            <w:r>
              <w:rPr>
                <w:rFonts w:hint="eastAsia"/>
              </w:rPr>
              <w:t>采用一体式操作盘。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blHeader/>
        </w:trPr>
        <w:tc>
          <w:tcPr>
            <w:tcW w:w="915" w:type="dxa"/>
            <w:vAlign w:val="center"/>
          </w:tcPr>
          <w:p>
            <w:pPr>
              <w:tabs>
                <w:tab w:val="left" w:pos="720"/>
              </w:tabs>
              <w:spacing w:line="500" w:lineRule="exact"/>
              <w:ind w:firstLine="0" w:firstLineChars="0"/>
              <w:jc w:val="center"/>
            </w:pPr>
            <w:r>
              <w:rPr>
                <w:rFonts w:hint="eastAsia"/>
              </w:rPr>
              <w:t>18</w:t>
            </w:r>
          </w:p>
        </w:tc>
        <w:tc>
          <w:tcPr>
            <w:tcW w:w="1827" w:type="dxa"/>
            <w:vAlign w:val="center"/>
          </w:tcPr>
          <w:p>
            <w:pPr>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标准功能</w:t>
            </w:r>
          </w:p>
        </w:tc>
        <w:tc>
          <w:tcPr>
            <w:tcW w:w="6526" w:type="dxa"/>
            <w:vAlign w:val="center"/>
          </w:tcPr>
          <w:p>
            <w:pPr>
              <w:numPr>
                <w:ilvl w:val="0"/>
                <w:numId w:val="9"/>
              </w:numPr>
              <w:ind w:left="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轿厢配置单管扶手；</w:t>
            </w:r>
          </w:p>
          <w:p>
            <w:pPr>
              <w:numPr>
                <w:ilvl w:val="0"/>
                <w:numId w:val="9"/>
              </w:numPr>
              <w:ind w:left="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轿厢照明采用LED照明；</w:t>
            </w:r>
          </w:p>
          <w:p>
            <w:pPr>
              <w:numPr>
                <w:ilvl w:val="0"/>
                <w:numId w:val="9"/>
              </w:numPr>
              <w:ind w:left="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吊顶须具有高透光性。</w:t>
            </w:r>
          </w:p>
          <w:p>
            <w:pPr>
              <w:numPr>
                <w:ilvl w:val="0"/>
                <w:numId w:val="9"/>
              </w:numPr>
              <w:ind w:left="0" w:firstLine="0" w:firstLineChars="0"/>
              <w:rPr>
                <w:b/>
                <w:color w:val="000000" w:themeColor="text1"/>
                <w14:textFill>
                  <w14:solidFill>
                    <w14:schemeClr w14:val="tx1"/>
                  </w14:solidFill>
                </w14:textFill>
              </w:rPr>
            </w:pPr>
            <w:r>
              <w:rPr>
                <w:rFonts w:hint="eastAsia"/>
                <w:b/>
              </w:rPr>
              <w:t>★</w:t>
            </w:r>
            <w:r>
              <w:rPr>
                <w:rFonts w:hint="eastAsia"/>
                <w:b/>
                <w:color w:val="000000" w:themeColor="text1"/>
                <w14:textFill>
                  <w14:solidFill>
                    <w14:schemeClr w14:val="tx1"/>
                  </w14:solidFill>
                </w14:textFill>
              </w:rPr>
              <w:t>电梯智能管理系统：通过首层厅外人脸识别系统使用电梯，具备二维码访客功能，具备手机APP自助收费功能。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1" w:hRule="atLeast"/>
          <w:tblHeader/>
        </w:trPr>
        <w:tc>
          <w:tcPr>
            <w:tcW w:w="915" w:type="dxa"/>
            <w:vAlign w:val="center"/>
          </w:tcPr>
          <w:p>
            <w:pPr>
              <w:tabs>
                <w:tab w:val="left" w:pos="720"/>
              </w:tabs>
              <w:spacing w:line="500" w:lineRule="exact"/>
              <w:ind w:firstLine="0" w:firstLineChars="0"/>
              <w:jc w:val="left"/>
            </w:pPr>
            <w:r>
              <w:rPr>
                <w:rFonts w:hint="eastAsia"/>
              </w:rPr>
              <w:t>19</w:t>
            </w:r>
          </w:p>
        </w:tc>
        <w:tc>
          <w:tcPr>
            <w:tcW w:w="1827" w:type="dxa"/>
            <w:vAlign w:val="center"/>
          </w:tcPr>
          <w:p>
            <w:pPr>
              <w:ind w:firstLine="0" w:firstLineChars="0"/>
            </w:pPr>
            <w:r>
              <w:rPr>
                <w:rFonts w:hint="eastAsia"/>
              </w:rPr>
              <w:t>使用功能</w:t>
            </w:r>
          </w:p>
        </w:tc>
        <w:tc>
          <w:tcPr>
            <w:tcW w:w="6526" w:type="dxa"/>
            <w:vAlign w:val="center"/>
          </w:tcPr>
          <w:p>
            <w:pPr>
              <w:ind w:firstLine="0" w:firstLineChars="0"/>
            </w:pPr>
            <w:r>
              <w:rPr>
                <w:rFonts w:hint="eastAsia"/>
              </w:rPr>
              <w:t>满载直驶；</w:t>
            </w:r>
          </w:p>
          <w:p>
            <w:pPr>
              <w:ind w:firstLine="0" w:firstLineChars="0"/>
            </w:pPr>
            <w:r>
              <w:rPr>
                <w:rFonts w:hint="eastAsia"/>
              </w:rPr>
              <w:t>司机操作控制（设有基站锁）；</w:t>
            </w:r>
          </w:p>
          <w:p>
            <w:pPr>
              <w:ind w:firstLine="0" w:firstLineChars="0"/>
            </w:pPr>
            <w:r>
              <w:rPr>
                <w:rFonts w:hint="eastAsia"/>
              </w:rPr>
              <w:t>防捣乱功能；</w:t>
            </w:r>
          </w:p>
          <w:p>
            <w:pPr>
              <w:ind w:firstLine="0" w:firstLineChars="0"/>
            </w:pPr>
            <w:r>
              <w:rPr>
                <w:rFonts w:hint="eastAsia"/>
              </w:rPr>
              <w:t>无呼叫自动返设定层（1楼或中间楼层）；</w:t>
            </w:r>
          </w:p>
          <w:p>
            <w:pPr>
              <w:ind w:firstLine="0" w:firstLineChars="0"/>
            </w:pPr>
            <w:r>
              <w:rPr>
                <w:rFonts w:hint="eastAsia"/>
              </w:rPr>
              <w:t>超载报警保护；</w:t>
            </w:r>
          </w:p>
          <w:p>
            <w:pPr>
              <w:ind w:firstLine="0" w:firstLineChars="0"/>
            </w:pPr>
            <w:r>
              <w:rPr>
                <w:rFonts w:hint="eastAsia"/>
              </w:rPr>
              <w:t>开/关门受阻保护（门过载保护功能）；</w:t>
            </w:r>
          </w:p>
          <w:p>
            <w:pPr>
              <w:ind w:firstLine="0" w:firstLineChars="0"/>
            </w:pPr>
            <w:r>
              <w:rPr>
                <w:rFonts w:hint="eastAsia"/>
              </w:rPr>
              <w:t>光幕保护装置；</w:t>
            </w:r>
          </w:p>
          <w:p>
            <w:pPr>
              <w:ind w:firstLine="0" w:firstLineChars="0"/>
            </w:pPr>
            <w:r>
              <w:rPr>
                <w:rFonts w:hint="eastAsia"/>
              </w:rPr>
              <w:t>自动再平层功能；</w:t>
            </w:r>
          </w:p>
          <w:p>
            <w:pPr>
              <w:ind w:firstLine="0" w:firstLineChars="0"/>
            </w:pPr>
            <w:r>
              <w:rPr>
                <w:rFonts w:hint="eastAsia"/>
              </w:rPr>
              <w:t>提前开门功能；</w:t>
            </w:r>
          </w:p>
          <w:p>
            <w:pPr>
              <w:ind w:firstLine="0" w:firstLineChars="0"/>
            </w:pPr>
            <w:r>
              <w:rPr>
                <w:rFonts w:hint="eastAsia"/>
              </w:rPr>
              <w:t>超速保护；</w:t>
            </w:r>
          </w:p>
          <w:p>
            <w:pPr>
              <w:ind w:firstLine="0" w:firstLineChars="0"/>
            </w:pPr>
            <w:r>
              <w:rPr>
                <w:rFonts w:hint="eastAsia"/>
              </w:rPr>
              <w:t>内部通话装置，可实现轿厢、机房、监控中心、电梯顶部、电梯无线五方通话；</w:t>
            </w:r>
          </w:p>
          <w:p>
            <w:pPr>
              <w:ind w:firstLine="0" w:firstLineChars="0"/>
            </w:pPr>
            <w:r>
              <w:rPr>
                <w:rFonts w:hint="eastAsia"/>
              </w:rPr>
              <w:t>到站通知（提供声响报站）；</w:t>
            </w:r>
          </w:p>
          <w:p>
            <w:pPr>
              <w:ind w:firstLine="0" w:firstLineChars="0"/>
            </w:pPr>
            <w:r>
              <w:rPr>
                <w:rFonts w:hint="eastAsia"/>
              </w:rPr>
              <w:t>轿厢照明、风扇自动关闭（自动开关控制）；</w:t>
            </w:r>
          </w:p>
          <w:p>
            <w:pPr>
              <w:ind w:firstLine="0" w:firstLineChars="0"/>
            </w:pPr>
            <w:r>
              <w:rPr>
                <w:rFonts w:hint="eastAsia"/>
              </w:rPr>
              <w:t>停电自动应急照明；</w:t>
            </w:r>
          </w:p>
          <w:p>
            <w:pPr>
              <w:ind w:firstLine="0" w:firstLineChars="0"/>
            </w:pPr>
            <w:r>
              <w:rPr>
                <w:rFonts w:hint="eastAsia"/>
              </w:rPr>
              <w:t>轿厢内误指令取消功能；</w:t>
            </w:r>
          </w:p>
          <w:p>
            <w:pPr>
              <w:ind w:firstLine="0" w:firstLineChars="0"/>
            </w:pPr>
            <w:r>
              <w:rPr>
                <w:rFonts w:hint="eastAsia"/>
              </w:rPr>
              <w:t>门停止运行功能；</w:t>
            </w:r>
          </w:p>
          <w:p>
            <w:pPr>
              <w:ind w:firstLine="0" w:firstLineChars="0"/>
            </w:pPr>
            <w:r>
              <w:rPr>
                <w:rFonts w:hint="eastAsia"/>
              </w:rPr>
              <w:t>检修操作功能（轿顶、机房）；</w:t>
            </w:r>
          </w:p>
          <w:p>
            <w:pPr>
              <w:ind w:firstLine="0" w:firstLineChars="0"/>
            </w:pPr>
            <w:r>
              <w:rPr>
                <w:rFonts w:hint="eastAsia"/>
              </w:rPr>
              <w:t>运行次数显示；</w:t>
            </w:r>
          </w:p>
          <w:p>
            <w:pPr>
              <w:ind w:firstLine="0" w:firstLineChars="0"/>
            </w:pPr>
            <w:r>
              <w:rPr>
                <w:rFonts w:hint="eastAsia"/>
              </w:rPr>
              <w:t>停车在非门区报警功能；</w:t>
            </w:r>
          </w:p>
          <w:p>
            <w:pPr>
              <w:ind w:firstLine="0" w:firstLineChars="0"/>
            </w:pPr>
            <w:r>
              <w:rPr>
                <w:rFonts w:hint="eastAsia"/>
              </w:rPr>
              <w:t>消防应急返回（需提供返馈信号接口）；</w:t>
            </w:r>
          </w:p>
          <w:p>
            <w:pPr>
              <w:ind w:firstLine="0" w:firstLineChars="0"/>
            </w:pPr>
            <w:r>
              <w:rPr>
                <w:rFonts w:hint="eastAsia"/>
              </w:rPr>
              <w:t>配合轿厢摄像监视装置随行视屏线缆；</w:t>
            </w:r>
          </w:p>
          <w:p>
            <w:pPr>
              <w:ind w:firstLine="0" w:firstLineChars="0"/>
            </w:pPr>
            <w:r>
              <w:rPr>
                <w:rFonts w:hint="eastAsia"/>
              </w:rPr>
              <w:t>动力电源：380V/50Hz,照明电源：220V/50Hz</w:t>
            </w:r>
          </w:p>
        </w:tc>
      </w:tr>
    </w:tbl>
    <w:p>
      <w:pPr>
        <w:adjustRightInd w:val="0"/>
        <w:snapToGrid w:val="0"/>
        <w:ind w:firstLine="482"/>
        <w:rPr>
          <w:b/>
          <w:bCs/>
          <w:kern w:val="0"/>
        </w:rPr>
      </w:pPr>
    </w:p>
    <w:p>
      <w:pPr>
        <w:adjustRightInd w:val="0"/>
        <w:snapToGrid w:val="0"/>
        <w:ind w:firstLine="482"/>
        <w:rPr>
          <w:b/>
          <w:bCs/>
          <w:kern w:val="0"/>
        </w:rPr>
      </w:pPr>
      <w:r>
        <w:rPr>
          <w:rFonts w:hint="eastAsia"/>
          <w:b/>
          <w:bCs/>
          <w:kern w:val="0"/>
        </w:rPr>
        <w:t>4）项目施工</w:t>
      </w:r>
    </w:p>
    <w:p>
      <w:pPr>
        <w:adjustRightInd w:val="0"/>
        <w:snapToGrid w:val="0"/>
        <w:ind w:firstLine="480"/>
        <w:rPr>
          <w:bCs/>
          <w:kern w:val="0"/>
        </w:rPr>
      </w:pPr>
      <w:r>
        <w:rPr>
          <w:rFonts w:hint="eastAsia"/>
          <w:bCs/>
          <w:kern w:val="0"/>
        </w:rPr>
        <w:t>1、投标单位需按招标人的要求和认可负责土建、钢结构、电梯设备安装调试及试运行，项目为交钥匙工程，招标人除提供安装所需的水电条件、设备存放场地以外，设备装卸、安装时所需的水电费、井道脚手架搭设及拆除费、土建重新开孔扩孔费、仓储费、保管费、搁机大梁材料及施工费、辅工辅料、井道永久照明、施工安全护栏、主机等其他部件的吊装搬运费、土建施工费用、钢结构主体施工费用、质监部门验收费用以及电梯交钥匙工程中可能涉及的其它一切费用全部包括在投标报价内。</w:t>
      </w:r>
    </w:p>
    <w:p>
      <w:pPr>
        <w:adjustRightInd w:val="0"/>
        <w:snapToGrid w:val="0"/>
        <w:ind w:firstLine="480"/>
        <w:rPr>
          <w:bCs/>
          <w:kern w:val="0"/>
        </w:rPr>
      </w:pPr>
      <w:r>
        <w:rPr>
          <w:rFonts w:hint="eastAsia"/>
          <w:bCs/>
          <w:kern w:val="0"/>
        </w:rPr>
        <w:t>2、投标单位对施工、安装、调试、试运行等负责，直至取得质监部门的验收证书。验收费用包括在投标总价中。</w:t>
      </w:r>
    </w:p>
    <w:p>
      <w:pPr>
        <w:adjustRightInd w:val="0"/>
        <w:snapToGrid w:val="0"/>
        <w:ind w:firstLine="480"/>
        <w:rPr>
          <w:bCs/>
          <w:kern w:val="0"/>
        </w:rPr>
      </w:pPr>
      <w:r>
        <w:rPr>
          <w:rFonts w:hint="eastAsia"/>
          <w:bCs/>
          <w:kern w:val="0"/>
        </w:rPr>
        <w:t>3、未经招标人同意不得将施工及设备委托他方作业。</w:t>
      </w:r>
    </w:p>
    <w:p>
      <w:pPr>
        <w:adjustRightInd w:val="0"/>
        <w:snapToGrid w:val="0"/>
        <w:ind w:firstLine="480"/>
        <w:rPr>
          <w:bCs/>
          <w:kern w:val="0"/>
        </w:rPr>
      </w:pPr>
      <w:r>
        <w:rPr>
          <w:rFonts w:hint="eastAsia"/>
          <w:bCs/>
          <w:kern w:val="0"/>
        </w:rPr>
        <w:t>4、设备安装验收合格，交付招标人使用以前的设备保护及费用由投标单位负责。</w:t>
      </w:r>
    </w:p>
    <w:p>
      <w:pPr>
        <w:adjustRightInd w:val="0"/>
        <w:snapToGrid w:val="0"/>
        <w:ind w:firstLine="480"/>
        <w:rPr>
          <w:bCs/>
          <w:kern w:val="0"/>
        </w:rPr>
      </w:pPr>
      <w:r>
        <w:rPr>
          <w:rFonts w:hint="eastAsia"/>
          <w:bCs/>
          <w:kern w:val="0"/>
        </w:rPr>
        <w:t>5、投标单位须提供与工程建设总进度相适应的供货计划和施工计划，并须由招标人认可。</w:t>
      </w:r>
    </w:p>
    <w:p>
      <w:pPr>
        <w:adjustRightInd w:val="0"/>
        <w:snapToGrid w:val="0"/>
        <w:ind w:firstLine="480"/>
        <w:rPr>
          <w:bCs/>
          <w:kern w:val="0"/>
        </w:rPr>
      </w:pPr>
      <w:r>
        <w:rPr>
          <w:rFonts w:hint="eastAsia"/>
          <w:bCs/>
          <w:kern w:val="0"/>
        </w:rPr>
        <w:t>6、在进入完工装修之前，所有不需要特殊装修并且是暴露的钢制件应在表面进行除锈防腐处理，若是非暴露的零件、部件、机器等，可在制造时进行除锈、防腐蚀处理。</w:t>
      </w:r>
    </w:p>
    <w:p>
      <w:pPr>
        <w:adjustRightInd w:val="0"/>
        <w:snapToGrid w:val="0"/>
        <w:ind w:firstLine="482"/>
        <w:rPr>
          <w:b/>
          <w:bCs/>
          <w:kern w:val="0"/>
        </w:rPr>
      </w:pPr>
      <w:bookmarkStart w:id="31" w:name="_Toc22375_WPSOffice_Level2"/>
      <w:r>
        <w:rPr>
          <w:rFonts w:hint="eastAsia"/>
          <w:b/>
          <w:bCs/>
          <w:kern w:val="0"/>
        </w:rPr>
        <w:t>5）项目测试和试运行</w:t>
      </w:r>
      <w:bookmarkEnd w:id="31"/>
    </w:p>
    <w:p>
      <w:pPr>
        <w:adjustRightInd w:val="0"/>
        <w:snapToGrid w:val="0"/>
        <w:ind w:firstLine="480"/>
        <w:rPr>
          <w:bCs/>
          <w:kern w:val="0"/>
        </w:rPr>
      </w:pPr>
      <w:r>
        <w:rPr>
          <w:rFonts w:hint="eastAsia"/>
          <w:bCs/>
          <w:kern w:val="0"/>
        </w:rPr>
        <w:t>1、工具、材料、仪器设备和劳务人员</w:t>
      </w:r>
    </w:p>
    <w:p>
      <w:pPr>
        <w:adjustRightInd w:val="0"/>
        <w:snapToGrid w:val="0"/>
        <w:ind w:firstLine="480"/>
        <w:rPr>
          <w:bCs/>
          <w:kern w:val="0"/>
        </w:rPr>
      </w:pPr>
      <w:r>
        <w:rPr>
          <w:rFonts w:hint="eastAsia"/>
          <w:bCs/>
          <w:kern w:val="0"/>
        </w:rPr>
        <w:t>投标单位应派有五年以上工作经验的工程师在现场负责测试和调试，以检测其设计、制造、运行效果等。并提供所有测试和调试所需的工具、材料、仪器和劳务人员。</w:t>
      </w:r>
    </w:p>
    <w:p>
      <w:pPr>
        <w:adjustRightInd w:val="0"/>
        <w:snapToGrid w:val="0"/>
        <w:ind w:firstLine="480"/>
        <w:rPr>
          <w:bCs/>
          <w:kern w:val="0"/>
        </w:rPr>
      </w:pPr>
      <w:r>
        <w:rPr>
          <w:rFonts w:hint="eastAsia"/>
          <w:bCs/>
          <w:kern w:val="0"/>
        </w:rPr>
        <w:t>2、测试</w:t>
      </w:r>
    </w:p>
    <w:p>
      <w:pPr>
        <w:adjustRightInd w:val="0"/>
        <w:snapToGrid w:val="0"/>
        <w:ind w:firstLine="480"/>
        <w:rPr>
          <w:bCs/>
          <w:kern w:val="0"/>
        </w:rPr>
      </w:pPr>
      <w:r>
        <w:rPr>
          <w:rFonts w:hint="eastAsia"/>
          <w:bCs/>
          <w:kern w:val="0"/>
        </w:rPr>
        <w:t>投标单位提供的电梯设备应在噪音、振动、设备可靠性、性能等方面需符合GB10058的现行标准中的优等品标准和相应的国际标准，并满足本招标文件技术规格的要求。</w:t>
      </w:r>
    </w:p>
    <w:p>
      <w:pPr>
        <w:adjustRightInd w:val="0"/>
        <w:snapToGrid w:val="0"/>
        <w:ind w:firstLine="480"/>
        <w:rPr>
          <w:bCs/>
          <w:kern w:val="0"/>
        </w:rPr>
      </w:pPr>
      <w:r>
        <w:rPr>
          <w:rFonts w:hint="eastAsia"/>
          <w:bCs/>
          <w:kern w:val="0"/>
        </w:rPr>
        <w:t>在最终验收时，要对噪音、震动这二方面的性能数据作专门检测，其结果应达到上述提及的要求。</w:t>
      </w:r>
    </w:p>
    <w:p>
      <w:pPr>
        <w:adjustRightInd w:val="0"/>
        <w:snapToGrid w:val="0"/>
        <w:ind w:firstLine="480"/>
        <w:rPr>
          <w:bCs/>
          <w:kern w:val="0"/>
        </w:rPr>
      </w:pPr>
      <w:r>
        <w:rPr>
          <w:rFonts w:hint="eastAsia"/>
          <w:bCs/>
          <w:kern w:val="0"/>
        </w:rPr>
        <w:t>3、试运行</w:t>
      </w:r>
    </w:p>
    <w:p>
      <w:pPr>
        <w:adjustRightInd w:val="0"/>
        <w:snapToGrid w:val="0"/>
        <w:ind w:firstLine="480"/>
        <w:rPr>
          <w:b/>
          <w:bCs/>
          <w:kern w:val="0"/>
        </w:rPr>
      </w:pPr>
      <w:r>
        <w:rPr>
          <w:rFonts w:hint="eastAsia"/>
          <w:bCs/>
          <w:kern w:val="0"/>
        </w:rPr>
        <w:t>设备试运行应在有关部门及招标人有关人员的监督下进行。</w:t>
      </w:r>
    </w:p>
    <w:p>
      <w:pPr>
        <w:adjustRightInd w:val="0"/>
        <w:snapToGrid w:val="0"/>
        <w:ind w:firstLine="482"/>
        <w:rPr>
          <w:b/>
          <w:bCs/>
          <w:kern w:val="0"/>
        </w:rPr>
      </w:pPr>
      <w:bookmarkStart w:id="32" w:name="_Toc29789_WPSOffice_Level2"/>
      <w:r>
        <w:rPr>
          <w:rFonts w:hint="eastAsia"/>
          <w:b/>
          <w:bCs/>
          <w:kern w:val="0"/>
        </w:rPr>
        <w:t>6）项目验收</w:t>
      </w:r>
      <w:bookmarkEnd w:id="32"/>
    </w:p>
    <w:p>
      <w:pPr>
        <w:adjustRightInd w:val="0"/>
        <w:snapToGrid w:val="0"/>
        <w:ind w:firstLine="480"/>
        <w:rPr>
          <w:bCs/>
          <w:kern w:val="0"/>
        </w:rPr>
      </w:pPr>
      <w:r>
        <w:rPr>
          <w:rFonts w:hint="eastAsia"/>
          <w:bCs/>
          <w:kern w:val="0"/>
        </w:rPr>
        <w:t>1、产品保护</w:t>
      </w:r>
    </w:p>
    <w:p>
      <w:pPr>
        <w:adjustRightInd w:val="0"/>
        <w:snapToGrid w:val="0"/>
        <w:ind w:firstLine="480"/>
        <w:rPr>
          <w:bCs/>
          <w:kern w:val="0"/>
        </w:rPr>
      </w:pPr>
      <w:r>
        <w:rPr>
          <w:rFonts w:hint="eastAsia"/>
          <w:bCs/>
          <w:kern w:val="0"/>
        </w:rPr>
        <w:t>项目施工完成后，投标单位须负责全部项目设备的保护和清洁工作，直至设备验收合格并正常运行后为止。在施工过程中，如建筑结构或其它设备被损坏，投标单位将要负责修理及赔偿损失。</w:t>
      </w:r>
    </w:p>
    <w:p>
      <w:pPr>
        <w:adjustRightInd w:val="0"/>
        <w:snapToGrid w:val="0"/>
        <w:ind w:firstLine="480"/>
        <w:rPr>
          <w:bCs/>
          <w:kern w:val="0"/>
        </w:rPr>
      </w:pPr>
      <w:r>
        <w:rPr>
          <w:rFonts w:hint="eastAsia"/>
          <w:bCs/>
          <w:kern w:val="0"/>
        </w:rPr>
        <w:t>2、验收合格条件</w:t>
      </w:r>
    </w:p>
    <w:p>
      <w:pPr>
        <w:adjustRightInd w:val="0"/>
        <w:snapToGrid w:val="0"/>
        <w:ind w:firstLine="480"/>
        <w:rPr>
          <w:bCs/>
          <w:kern w:val="0"/>
        </w:rPr>
      </w:pPr>
      <w:r>
        <w:rPr>
          <w:rFonts w:hint="eastAsia"/>
          <w:bCs/>
          <w:kern w:val="0"/>
        </w:rPr>
        <w:t>（1）运行结果符合产品标准和技术规格书及合同要求。</w:t>
      </w:r>
    </w:p>
    <w:p>
      <w:pPr>
        <w:adjustRightInd w:val="0"/>
        <w:snapToGrid w:val="0"/>
        <w:ind w:firstLine="480"/>
        <w:rPr>
          <w:bCs/>
          <w:kern w:val="0"/>
        </w:rPr>
      </w:pPr>
      <w:r>
        <w:rPr>
          <w:rFonts w:hint="eastAsia"/>
          <w:bCs/>
          <w:kern w:val="0"/>
        </w:rPr>
        <w:t>（2）在进行测试和验收运行过程中发生的故障已被消除并得到招标人的认可。</w:t>
      </w:r>
    </w:p>
    <w:p>
      <w:pPr>
        <w:adjustRightInd w:val="0"/>
        <w:snapToGrid w:val="0"/>
        <w:ind w:firstLine="480"/>
        <w:rPr>
          <w:bCs/>
          <w:kern w:val="0"/>
        </w:rPr>
      </w:pPr>
      <w:r>
        <w:rPr>
          <w:rFonts w:hint="eastAsia"/>
          <w:bCs/>
          <w:kern w:val="0"/>
        </w:rPr>
        <w:t>（3）所有合同中规定的图纸、施工记录、货物、材料和技术文件都已提交。</w:t>
      </w:r>
    </w:p>
    <w:p>
      <w:pPr>
        <w:adjustRightInd w:val="0"/>
        <w:snapToGrid w:val="0"/>
        <w:ind w:firstLine="480"/>
        <w:rPr>
          <w:bCs/>
          <w:kern w:val="0"/>
        </w:rPr>
      </w:pPr>
      <w:r>
        <w:rPr>
          <w:rFonts w:hint="eastAsia"/>
          <w:bCs/>
          <w:kern w:val="0"/>
        </w:rPr>
        <w:t>（4）设备在交由招标人使用之前己通过技术监督局及有关部门的验收并得到使用证书。</w:t>
      </w:r>
    </w:p>
    <w:p>
      <w:pPr>
        <w:adjustRightInd w:val="0"/>
        <w:snapToGrid w:val="0"/>
        <w:ind w:firstLine="480"/>
        <w:rPr>
          <w:bCs/>
          <w:kern w:val="0"/>
        </w:rPr>
      </w:pPr>
      <w:r>
        <w:rPr>
          <w:rFonts w:hint="eastAsia"/>
          <w:bCs/>
          <w:kern w:val="0"/>
        </w:rPr>
        <w:t>（5）合同双方共同签署电梯验收合格证书。</w:t>
      </w:r>
    </w:p>
    <w:p>
      <w:pPr>
        <w:adjustRightInd w:val="0"/>
        <w:snapToGrid w:val="0"/>
        <w:ind w:firstLine="480"/>
        <w:rPr>
          <w:bCs/>
          <w:kern w:val="0"/>
        </w:rPr>
      </w:pPr>
      <w:r>
        <w:rPr>
          <w:rFonts w:hint="eastAsia"/>
          <w:bCs/>
          <w:kern w:val="0"/>
        </w:rPr>
        <w:t>（6）项目的设计图纸、设备图纸及技术文件都己提交并得到接受。</w:t>
      </w:r>
    </w:p>
    <w:p>
      <w:pPr>
        <w:adjustRightInd w:val="0"/>
        <w:snapToGrid w:val="0"/>
        <w:ind w:firstLine="482"/>
        <w:rPr>
          <w:b/>
          <w:bCs/>
          <w:kern w:val="0"/>
        </w:rPr>
      </w:pPr>
      <w:bookmarkStart w:id="33" w:name="_Toc28710_WPSOffice_Level2"/>
      <w:r>
        <w:rPr>
          <w:rFonts w:hint="eastAsia"/>
          <w:b/>
          <w:bCs/>
          <w:kern w:val="0"/>
        </w:rPr>
        <w:t>7）技术培训</w:t>
      </w:r>
      <w:bookmarkEnd w:id="33"/>
    </w:p>
    <w:p>
      <w:pPr>
        <w:adjustRightInd w:val="0"/>
        <w:snapToGrid w:val="0"/>
        <w:ind w:firstLine="480"/>
        <w:rPr>
          <w:bCs/>
          <w:kern w:val="0"/>
        </w:rPr>
      </w:pPr>
      <w:r>
        <w:rPr>
          <w:rFonts w:hint="eastAsia"/>
          <w:bCs/>
          <w:kern w:val="0"/>
        </w:rPr>
        <w:t>1、投标单位须对招标人的技术人员、维修人员及操作人员进行免费培训。人数4人（2人机械，2人电气），培训为现场培训。投标单位须在投标文件中提供详细的培训计划，包括培训内容、地点、培训时间等。</w:t>
      </w:r>
    </w:p>
    <w:p>
      <w:pPr>
        <w:adjustRightInd w:val="0"/>
        <w:snapToGrid w:val="0"/>
        <w:ind w:firstLine="480"/>
        <w:rPr>
          <w:bCs/>
          <w:kern w:val="0"/>
        </w:rPr>
      </w:pPr>
      <w:r>
        <w:rPr>
          <w:rFonts w:hint="eastAsia"/>
          <w:bCs/>
          <w:kern w:val="0"/>
        </w:rPr>
        <w:t>2、投标单位提供的负责培训的人员应具备同类产品5年以上的维修经验。</w:t>
      </w:r>
    </w:p>
    <w:p>
      <w:pPr>
        <w:adjustRightInd w:val="0"/>
        <w:snapToGrid w:val="0"/>
        <w:ind w:firstLine="482"/>
        <w:rPr>
          <w:b/>
          <w:bCs/>
          <w:kern w:val="0"/>
        </w:rPr>
      </w:pPr>
      <w:bookmarkStart w:id="34" w:name="_Toc14141_WPSOffice_Level2"/>
      <w:r>
        <w:rPr>
          <w:rFonts w:hint="eastAsia"/>
          <w:b/>
          <w:bCs/>
          <w:kern w:val="0"/>
        </w:rPr>
        <w:t>8）</w:t>
      </w:r>
      <w:r>
        <w:rPr>
          <w:rFonts w:hint="eastAsia"/>
          <w:b/>
        </w:rPr>
        <w:t>★</w:t>
      </w:r>
      <w:r>
        <w:rPr>
          <w:rFonts w:hint="eastAsia"/>
          <w:b/>
          <w:bCs/>
          <w:kern w:val="0"/>
        </w:rPr>
        <w:t>售后服务</w:t>
      </w:r>
      <w:bookmarkEnd w:id="34"/>
    </w:p>
    <w:p>
      <w:pPr>
        <w:adjustRightInd w:val="0"/>
        <w:snapToGrid w:val="0"/>
        <w:ind w:firstLine="480"/>
        <w:rPr>
          <w:bCs/>
          <w:kern w:val="0"/>
        </w:rPr>
      </w:pPr>
      <w:r>
        <w:rPr>
          <w:rFonts w:hint="eastAsia"/>
          <w:bCs/>
          <w:kern w:val="0"/>
        </w:rPr>
        <w:t>1、在项目所在地设置的指定维修点，以处理所有的维修服务，并提供24小时服务。维修人员接到维修电话后须在2小时内赶到现场，并在12小时内修复完毕。维修点需提供足够的备件以适应维修需求。投标单位在投标时应明确负责此项目维修工作的售后服务公司，维修工作不得转包。此售后服务公司对此项目的维修也要作出明确承诺。</w:t>
      </w:r>
    </w:p>
    <w:p>
      <w:pPr>
        <w:adjustRightInd w:val="0"/>
        <w:snapToGrid w:val="0"/>
        <w:ind w:firstLine="482"/>
        <w:rPr>
          <w:b/>
          <w:kern w:val="0"/>
        </w:rPr>
      </w:pPr>
      <w:r>
        <w:rPr>
          <w:rFonts w:hint="eastAsia"/>
          <w:b/>
        </w:rPr>
        <w:t>★</w:t>
      </w:r>
      <w:r>
        <w:rPr>
          <w:rFonts w:hint="eastAsia"/>
          <w:b/>
          <w:kern w:val="0"/>
        </w:rPr>
        <w:t xml:space="preserve">2、电梯的质量保证期为全部产品安装调试完成，经技术监督部门验收合格且合同双方共同签署电梯验收合格证书之日起 </w:t>
      </w:r>
      <w:r>
        <w:rPr>
          <w:rFonts w:hint="eastAsia"/>
          <w:b/>
          <w:kern w:val="0"/>
          <w:u w:val="single"/>
        </w:rPr>
        <w:t>24</w:t>
      </w:r>
      <w:r>
        <w:rPr>
          <w:rFonts w:hint="eastAsia"/>
          <w:b/>
          <w:kern w:val="0"/>
        </w:rPr>
        <w:t>个月；钢带或钢丝绳需提供质量保证承诺。</w:t>
      </w:r>
    </w:p>
    <w:p>
      <w:pPr>
        <w:adjustRightInd w:val="0"/>
        <w:snapToGrid w:val="0"/>
        <w:ind w:firstLine="480"/>
        <w:rPr>
          <w:bCs/>
          <w:kern w:val="0"/>
        </w:rPr>
      </w:pPr>
      <w:r>
        <w:rPr>
          <w:rFonts w:hint="eastAsia"/>
          <w:bCs/>
          <w:kern w:val="0"/>
        </w:rPr>
        <w:t>3、在质保期内的工作应包括对所有电梯常规检查、调整和润滑。具体的操作程序和内容须在投标时说明。</w:t>
      </w:r>
    </w:p>
    <w:p>
      <w:pPr>
        <w:adjustRightInd w:val="0"/>
        <w:snapToGrid w:val="0"/>
        <w:ind w:firstLine="480"/>
        <w:rPr>
          <w:bCs/>
          <w:kern w:val="0"/>
        </w:rPr>
      </w:pPr>
      <w:r>
        <w:rPr>
          <w:rFonts w:hint="eastAsia"/>
          <w:bCs/>
          <w:kern w:val="0"/>
        </w:rPr>
        <w:t>4、在缺陷保修结束时，须由专业工程师对电梯进行一次测试，任何故障须由投标单位自费解决并取得招标人的同意。解决后，投标单位需一式两份报告给招标人，包括故障原因，解决措施，完成修理所费时间及恢复正常运行日期。</w:t>
      </w:r>
    </w:p>
    <w:p>
      <w:pPr>
        <w:adjustRightInd w:val="0"/>
        <w:snapToGrid w:val="0"/>
        <w:ind w:firstLine="480"/>
        <w:rPr>
          <w:bCs/>
          <w:kern w:val="0"/>
        </w:rPr>
      </w:pPr>
      <w:r>
        <w:rPr>
          <w:rFonts w:hint="eastAsia"/>
          <w:bCs/>
          <w:kern w:val="0"/>
        </w:rPr>
        <w:t>5、备件供应：</w:t>
      </w:r>
    </w:p>
    <w:p>
      <w:pPr>
        <w:adjustRightInd w:val="0"/>
        <w:snapToGrid w:val="0"/>
        <w:ind w:firstLine="480"/>
        <w:rPr>
          <w:bCs/>
          <w:kern w:val="0"/>
        </w:rPr>
      </w:pPr>
      <w:r>
        <w:rPr>
          <w:rFonts w:hint="eastAsia"/>
          <w:bCs/>
          <w:kern w:val="0"/>
        </w:rPr>
        <w:t>投标单位对各种型号的设备须提供足够的备件、附件和易损件并保证是原厂生产的产品，以满足设备正常运行的需要。</w:t>
      </w:r>
    </w:p>
    <w:p>
      <w:pPr>
        <w:adjustRightInd w:val="0"/>
        <w:snapToGrid w:val="0"/>
        <w:ind w:firstLine="480"/>
        <w:rPr>
          <w:bCs/>
          <w:kern w:val="0"/>
        </w:rPr>
      </w:pPr>
      <w:r>
        <w:rPr>
          <w:rFonts w:hint="eastAsia"/>
          <w:bCs/>
          <w:kern w:val="0"/>
        </w:rPr>
        <w:t>6、质保期内中标人须自行付费，负责修理或替换任何由于设备自身质量问题造成的损坏及故障，并承担年检费用。</w:t>
      </w:r>
    </w:p>
    <w:p>
      <w:pPr>
        <w:adjustRightInd w:val="0"/>
        <w:snapToGrid w:val="0"/>
        <w:ind w:firstLine="480"/>
        <w:rPr>
          <w:bCs/>
          <w:kern w:val="0"/>
        </w:rPr>
      </w:pPr>
      <w:r>
        <w:rPr>
          <w:rFonts w:hint="eastAsia"/>
          <w:bCs/>
          <w:kern w:val="0"/>
        </w:rPr>
        <w:t xml:space="preserve"> 7、投标人对各种型号的设备须提供足够的备件、附件和易损件并保证是原厂生产的产品，以满足设备正常运行的需要。</w:t>
      </w:r>
    </w:p>
    <w:p>
      <w:pPr>
        <w:adjustRightInd w:val="0"/>
        <w:snapToGrid w:val="0"/>
        <w:ind w:firstLine="482"/>
        <w:rPr>
          <w:b/>
          <w:bCs/>
          <w:kern w:val="0"/>
        </w:rPr>
      </w:pPr>
      <w:r>
        <w:rPr>
          <w:rFonts w:hint="eastAsia"/>
          <w:b/>
          <w:bCs/>
          <w:kern w:val="0"/>
        </w:rPr>
        <w:t>9）其他</w:t>
      </w:r>
    </w:p>
    <w:p>
      <w:pPr>
        <w:adjustRightInd w:val="0"/>
        <w:snapToGrid w:val="0"/>
        <w:ind w:firstLine="480"/>
        <w:rPr>
          <w:bCs/>
          <w:kern w:val="0"/>
        </w:rPr>
      </w:pPr>
      <w:r>
        <w:rPr>
          <w:rFonts w:hint="eastAsia"/>
          <w:bCs/>
          <w:kern w:val="0"/>
        </w:rPr>
        <w:t xml:space="preserve"> 1、在工地的建设中，中标人有责任与代建单位、监理单位、及其它供应商保持联系和合作。此责任应包括所有为了开展工作切实有效，所需的交换、提供数据、标准和资料等工作。</w:t>
      </w:r>
    </w:p>
    <w:p>
      <w:pPr>
        <w:adjustRightInd w:val="0"/>
        <w:snapToGrid w:val="0"/>
        <w:ind w:firstLine="480"/>
        <w:rPr>
          <w:bCs/>
          <w:kern w:val="0"/>
        </w:rPr>
      </w:pPr>
      <w:r>
        <w:rPr>
          <w:rFonts w:hint="eastAsia"/>
          <w:bCs/>
          <w:kern w:val="0"/>
        </w:rPr>
        <w:t>2、中标人须参加现场工程例会，并接受招标人、代建单位及监理单位等单位的统一管理，遵守工地的安全和建筑规定、现场管理条例等。</w:t>
      </w:r>
    </w:p>
    <w:p>
      <w:pPr>
        <w:adjustRightInd w:val="0"/>
        <w:snapToGrid w:val="0"/>
        <w:ind w:firstLine="480"/>
        <w:rPr>
          <w:bCs/>
          <w:kern w:val="0"/>
        </w:rPr>
      </w:pPr>
      <w:r>
        <w:rPr>
          <w:rFonts w:hint="eastAsia"/>
          <w:bCs/>
          <w:kern w:val="0"/>
        </w:rPr>
        <w:t>3、中标人应与所有相关的部门相联系，获得相关认可，以便设备能及时投入服务。</w:t>
      </w:r>
    </w:p>
    <w:p>
      <w:pPr>
        <w:adjustRightInd w:val="0"/>
        <w:snapToGrid w:val="0"/>
        <w:ind w:firstLine="480"/>
        <w:rPr>
          <w:bCs/>
          <w:kern w:val="0"/>
        </w:rPr>
      </w:pPr>
      <w:r>
        <w:rPr>
          <w:rFonts w:hint="eastAsia"/>
          <w:bCs/>
          <w:kern w:val="0"/>
        </w:rPr>
        <w:t>4、 在安装期间，中标人应遵守有关部门及相关单位的管理，并遵照相关的规定。、</w:t>
      </w:r>
    </w:p>
    <w:p>
      <w:pPr>
        <w:adjustRightInd w:val="0"/>
        <w:snapToGrid w:val="0"/>
        <w:ind w:firstLine="480"/>
        <w:rPr>
          <w:bCs/>
          <w:kern w:val="0"/>
        </w:rPr>
      </w:pPr>
      <w:r>
        <w:rPr>
          <w:rFonts w:hint="eastAsia"/>
          <w:bCs/>
          <w:kern w:val="0"/>
        </w:rPr>
        <w:t>5、 由于工程进度和正式使用的不同需求，中标人有责任防止所有电梯在未经正式认可不准使用，而应根据招标人需要，得到认可后再投入运行。</w:t>
      </w:r>
    </w:p>
    <w:p>
      <w:pPr>
        <w:adjustRightInd w:val="0"/>
        <w:snapToGrid w:val="0"/>
        <w:ind w:firstLine="480"/>
        <w:rPr>
          <w:bCs/>
          <w:kern w:val="0"/>
        </w:rPr>
      </w:pPr>
      <w:r>
        <w:rPr>
          <w:rFonts w:hint="eastAsia"/>
          <w:bCs/>
          <w:kern w:val="0"/>
        </w:rPr>
        <w:t>6、电梯安装调试后的服务应按相关规定和合同要求予以保证。</w:t>
      </w:r>
    </w:p>
    <w:p>
      <w:pPr>
        <w:adjustRightInd w:val="0"/>
        <w:snapToGrid w:val="0"/>
        <w:ind w:firstLine="480"/>
        <w:rPr>
          <w:bCs/>
          <w:kern w:val="0"/>
        </w:rPr>
      </w:pPr>
      <w:r>
        <w:rPr>
          <w:rFonts w:hint="eastAsia"/>
          <w:bCs/>
          <w:kern w:val="0"/>
        </w:rPr>
        <w:t>7、通电前电梯调试电缆由中标人自备，电源为现场施工用电，技术措施自行解决。</w:t>
      </w:r>
    </w:p>
    <w:p>
      <w:pPr>
        <w:adjustRightInd w:val="0"/>
        <w:snapToGrid w:val="0"/>
        <w:ind w:firstLine="482"/>
        <w:rPr>
          <w:bCs/>
          <w:kern w:val="0"/>
        </w:rPr>
      </w:pPr>
      <w:r>
        <w:rPr>
          <w:rFonts w:hint="eastAsia"/>
          <w:b/>
          <w:bCs/>
        </w:rPr>
        <w:t>▲</w:t>
      </w:r>
      <w:r>
        <w:rPr>
          <w:rFonts w:hint="eastAsia"/>
          <w:b/>
          <w:bCs/>
          <w:kern w:val="0"/>
        </w:rPr>
        <w:t>8、投标人如为代理商的，须提供电梯制造商的授权书。</w:t>
      </w:r>
    </w:p>
    <w:p>
      <w:pPr>
        <w:pStyle w:val="3"/>
        <w:rPr>
          <w:rFonts w:cs="黑体"/>
        </w:rPr>
      </w:pPr>
    </w:p>
    <w:p>
      <w:pPr>
        <w:ind w:firstLine="480"/>
        <w:rPr>
          <w:rFonts w:cs="黑体"/>
        </w:rPr>
      </w:pPr>
    </w:p>
    <w:p>
      <w:pPr>
        <w:ind w:firstLine="480"/>
        <w:rPr>
          <w:rFonts w:cs="黑体"/>
        </w:rPr>
      </w:pPr>
    </w:p>
    <w:p>
      <w:pPr>
        <w:ind w:firstLine="480"/>
        <w:rPr>
          <w:rFonts w:cs="黑体"/>
        </w:rPr>
      </w:pPr>
      <w:bookmarkStart w:id="35" w:name="_Toc29013"/>
      <w:r>
        <w:rPr>
          <w:rFonts w:hint="eastAsia" w:cs="黑体"/>
        </w:rPr>
        <w:br w:type="page"/>
      </w:r>
    </w:p>
    <w:p>
      <w:pPr>
        <w:pStyle w:val="3"/>
        <w:rPr>
          <w:rFonts w:cs="Times New Roman"/>
        </w:rPr>
      </w:pPr>
      <w:r>
        <w:rPr>
          <w:rFonts w:hint="eastAsia" w:cs="黑体"/>
        </w:rPr>
        <w:t>三、技术需求表</w:t>
      </w:r>
      <w:bookmarkEnd w:id="30"/>
      <w:bookmarkEnd w:id="35"/>
    </w:p>
    <w:tbl>
      <w:tblPr>
        <w:tblStyle w:val="33"/>
        <w:tblW w:w="96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01"/>
        <w:gridCol w:w="75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8" w:hRule="exact"/>
          <w:jc w:val="center"/>
        </w:trPr>
        <w:tc>
          <w:tcPr>
            <w:tcW w:w="2101" w:type="dxa"/>
            <w:tcBorders>
              <w:top w:val="single" w:color="auto" w:sz="4" w:space="0"/>
              <w:right w:val="single" w:color="auto" w:sz="4" w:space="0"/>
            </w:tcBorders>
            <w:vAlign w:val="center"/>
          </w:tcPr>
          <w:p>
            <w:pPr>
              <w:ind w:firstLine="0" w:firstLineChars="0"/>
              <w:jc w:val="center"/>
              <w:rPr>
                <w:rFonts w:cs="Times New Roman"/>
              </w:rPr>
            </w:pPr>
            <w:r>
              <w:rPr>
                <w:rFonts w:hint="eastAsia"/>
              </w:rPr>
              <w:t>供货内容及技术要求</w:t>
            </w:r>
          </w:p>
        </w:tc>
        <w:tc>
          <w:tcPr>
            <w:tcW w:w="7570" w:type="dxa"/>
            <w:tcBorders>
              <w:top w:val="single" w:color="auto" w:sz="4" w:space="0"/>
              <w:left w:val="single" w:color="auto" w:sz="4" w:space="0"/>
            </w:tcBorders>
            <w:vAlign w:val="center"/>
          </w:tcPr>
          <w:p>
            <w:pPr>
              <w:widowControl/>
              <w:ind w:firstLine="0" w:firstLineChars="0"/>
              <w:jc w:val="left"/>
              <w:rPr>
                <w:rFonts w:cs="Times New Roman"/>
              </w:rPr>
            </w:pPr>
            <w:r>
              <w:rPr>
                <w:rFonts w:hint="eastAsia"/>
              </w:rPr>
              <w:t>详见本章二项目要求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exact"/>
          <w:jc w:val="center"/>
        </w:trPr>
        <w:tc>
          <w:tcPr>
            <w:tcW w:w="2101" w:type="dxa"/>
            <w:tcBorders>
              <w:top w:val="single" w:color="auto" w:sz="4" w:space="0"/>
              <w:bottom w:val="single" w:color="auto" w:sz="4" w:space="0"/>
              <w:right w:val="single" w:color="auto" w:sz="4" w:space="0"/>
            </w:tcBorders>
            <w:vAlign w:val="center"/>
          </w:tcPr>
          <w:p>
            <w:pPr>
              <w:ind w:firstLine="0" w:firstLineChars="0"/>
              <w:jc w:val="center"/>
              <w:rPr>
                <w:rFonts w:cs="Times New Roman"/>
              </w:rPr>
            </w:pPr>
            <w:r>
              <w:rPr>
                <w:rFonts w:hint="eastAsia"/>
              </w:rPr>
              <w:t>质量标准</w:t>
            </w:r>
          </w:p>
        </w:tc>
        <w:tc>
          <w:tcPr>
            <w:tcW w:w="7570" w:type="dxa"/>
            <w:tcBorders>
              <w:top w:val="single" w:color="auto" w:sz="4" w:space="0"/>
              <w:left w:val="single" w:color="auto" w:sz="4" w:space="0"/>
              <w:bottom w:val="single" w:color="auto" w:sz="4" w:space="0"/>
            </w:tcBorders>
            <w:vAlign w:val="center"/>
          </w:tcPr>
          <w:p>
            <w:pPr>
              <w:widowControl/>
              <w:ind w:firstLine="0" w:firstLineChars="0"/>
              <w:jc w:val="left"/>
              <w:rPr>
                <w:rFonts w:cs="Times New Roman"/>
              </w:rPr>
            </w:pPr>
            <w:r>
              <w:rPr>
                <w:rFonts w:hint="eastAsia"/>
              </w:rPr>
              <w:t>达到国家现行质量验收规范标准的合格要求</w:t>
            </w:r>
          </w:p>
        </w:tc>
      </w:tr>
    </w:tbl>
    <w:p>
      <w:pPr>
        <w:pStyle w:val="3"/>
        <w:rPr>
          <w:rFonts w:cs="Times New Roman"/>
        </w:rPr>
      </w:pPr>
      <w:bookmarkStart w:id="36" w:name="_Toc3428"/>
      <w:bookmarkStart w:id="37" w:name="_Toc298856060"/>
      <w:r>
        <w:rPr>
          <w:rFonts w:hint="eastAsia" w:cs="黑体"/>
        </w:rPr>
        <w:t>四、商务要求表</w:t>
      </w:r>
      <w:bookmarkEnd w:id="36"/>
      <w:bookmarkEnd w:id="37"/>
    </w:p>
    <w:tbl>
      <w:tblPr>
        <w:tblStyle w:val="33"/>
        <w:tblW w:w="955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11"/>
        <w:gridCol w:w="744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5" w:hRule="exact"/>
          <w:jc w:val="center"/>
        </w:trPr>
        <w:tc>
          <w:tcPr>
            <w:tcW w:w="2111" w:type="dxa"/>
            <w:tcBorders>
              <w:top w:val="single" w:color="auto" w:sz="4" w:space="0"/>
              <w:bottom w:val="single" w:color="auto" w:sz="4" w:space="0"/>
              <w:right w:val="single" w:color="auto" w:sz="4" w:space="0"/>
            </w:tcBorders>
            <w:vAlign w:val="center"/>
          </w:tcPr>
          <w:p>
            <w:pPr>
              <w:ind w:firstLine="0" w:firstLineChars="0"/>
              <w:jc w:val="center"/>
              <w:rPr>
                <w:rFonts w:cs="Times New Roman"/>
              </w:rPr>
            </w:pPr>
            <w:r>
              <w:rPr>
                <w:rFonts w:hint="eastAsia"/>
              </w:rPr>
              <w:t>工期要求</w:t>
            </w:r>
          </w:p>
        </w:tc>
        <w:tc>
          <w:tcPr>
            <w:tcW w:w="7448" w:type="dxa"/>
            <w:tcBorders>
              <w:top w:val="single" w:color="auto" w:sz="4" w:space="0"/>
              <w:left w:val="single" w:color="auto" w:sz="4" w:space="0"/>
              <w:bottom w:val="single" w:color="auto" w:sz="4" w:space="0"/>
            </w:tcBorders>
            <w:vAlign w:val="center"/>
          </w:tcPr>
          <w:p>
            <w:pPr>
              <w:ind w:firstLine="0" w:firstLineChars="0"/>
              <w:jc w:val="left"/>
              <w:rPr>
                <w:rFonts w:cs="Times New Roman"/>
              </w:rPr>
            </w:pPr>
            <w:r>
              <w:rPr>
                <w:rFonts w:hint="eastAsia"/>
              </w:rPr>
              <w:t>本项目电梯分批交货及安装，装配式主体结构和设备供货时间30日，施工工期30日。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60" w:hRule="exact"/>
          <w:jc w:val="center"/>
        </w:trPr>
        <w:tc>
          <w:tcPr>
            <w:tcW w:w="2111" w:type="dxa"/>
            <w:tcBorders>
              <w:top w:val="single" w:color="auto" w:sz="4" w:space="0"/>
              <w:bottom w:val="single" w:color="auto" w:sz="4" w:space="0"/>
              <w:right w:val="single" w:color="auto" w:sz="4" w:space="0"/>
            </w:tcBorders>
            <w:vAlign w:val="center"/>
          </w:tcPr>
          <w:p>
            <w:pPr>
              <w:ind w:firstLine="0" w:firstLineChars="0"/>
              <w:jc w:val="center"/>
              <w:rPr>
                <w:rFonts w:cs="Times New Roman"/>
              </w:rPr>
            </w:pPr>
            <w:r>
              <w:rPr>
                <w:rFonts w:hint="eastAsia"/>
              </w:rPr>
              <w:t>付款办法</w:t>
            </w:r>
          </w:p>
        </w:tc>
        <w:tc>
          <w:tcPr>
            <w:tcW w:w="7448" w:type="dxa"/>
            <w:tcBorders>
              <w:top w:val="single" w:color="auto" w:sz="4" w:space="0"/>
              <w:left w:val="single" w:color="auto" w:sz="4" w:space="0"/>
              <w:bottom w:val="single" w:color="auto" w:sz="4" w:space="0"/>
            </w:tcBorders>
            <w:vAlign w:val="center"/>
          </w:tcPr>
          <w:p>
            <w:pPr>
              <w:ind w:firstLine="0" w:firstLineChars="0"/>
              <w:jc w:val="left"/>
              <w:rPr>
                <w:rFonts w:hint="eastAsia" w:ascii="Calibri" w:hAnsi="Calibri"/>
                <w:b/>
                <w:szCs w:val="21"/>
              </w:rPr>
            </w:pPr>
            <w:r>
              <w:rPr>
                <w:rFonts w:hint="eastAsia" w:ascii="Calibri" w:hAnsi="Calibri"/>
                <w:b/>
                <w:szCs w:val="21"/>
              </w:rPr>
              <w:t>付款方式：</w:t>
            </w:r>
          </w:p>
          <w:p>
            <w:pPr>
              <w:ind w:firstLine="0" w:firstLineChars="0"/>
              <w:jc w:val="left"/>
              <w:rPr>
                <w:rFonts w:hint="eastAsia" w:ascii="Calibri" w:hAnsi="Calibri"/>
                <w:b/>
                <w:szCs w:val="21"/>
              </w:rPr>
            </w:pPr>
            <w:r>
              <w:rPr>
                <w:rFonts w:hint="eastAsia" w:ascii="Calibri" w:hAnsi="Calibri"/>
                <w:b/>
                <w:szCs w:val="21"/>
              </w:rPr>
              <w:t>1、本项目电梯须分批次进行供货及安装，履约保证金为接到采购人供货通知之日起10天内，应提交相应电梯数额的5%作为履约保证金。（履约担保的形式：提供担保机构出具的保函）；</w:t>
            </w:r>
          </w:p>
          <w:p>
            <w:pPr>
              <w:ind w:firstLine="0" w:firstLineChars="0"/>
              <w:jc w:val="left"/>
              <w:rPr>
                <w:rFonts w:hint="eastAsia" w:ascii="Calibri" w:hAnsi="Calibri"/>
                <w:b/>
                <w:szCs w:val="21"/>
              </w:rPr>
            </w:pPr>
            <w:r>
              <w:rPr>
                <w:rFonts w:hint="eastAsia" w:ascii="Calibri" w:hAnsi="Calibri"/>
                <w:b/>
                <w:szCs w:val="21"/>
              </w:rPr>
              <w:t>2、合同签订后5个工作日内支付本批次电梯价款（含安装、土建以及内装饰费用）的30%；</w:t>
            </w:r>
          </w:p>
          <w:p>
            <w:pPr>
              <w:ind w:firstLine="0" w:firstLineChars="0"/>
              <w:jc w:val="left"/>
              <w:rPr>
                <w:rFonts w:hint="eastAsia" w:ascii="Calibri" w:hAnsi="Calibri"/>
                <w:b/>
                <w:szCs w:val="21"/>
              </w:rPr>
            </w:pPr>
            <w:r>
              <w:rPr>
                <w:rFonts w:hint="eastAsia" w:ascii="Calibri" w:hAnsi="Calibri"/>
                <w:b/>
                <w:szCs w:val="21"/>
              </w:rPr>
              <w:t>3、整体装配式设备到达项目所在地5个工作日内支付至本批次电梯价款（含安装、土建以及内装饰费用）的50%；</w:t>
            </w:r>
          </w:p>
          <w:p>
            <w:pPr>
              <w:ind w:firstLine="0" w:firstLineChars="0"/>
              <w:jc w:val="left"/>
              <w:rPr>
                <w:rFonts w:hint="eastAsia" w:ascii="Calibri" w:hAnsi="Calibri"/>
                <w:b/>
                <w:szCs w:val="21"/>
              </w:rPr>
            </w:pPr>
            <w:r>
              <w:rPr>
                <w:rFonts w:hint="eastAsia" w:ascii="Calibri" w:hAnsi="Calibri"/>
                <w:b/>
                <w:szCs w:val="21"/>
              </w:rPr>
              <w:t>4、整体装配式设备通过当地质量技术监督部门验收、移交社区或物业后5个工作日内支付至本批次电梯价款（含安装、土建以及内装饰费用）的80%；</w:t>
            </w:r>
          </w:p>
          <w:p>
            <w:pPr>
              <w:ind w:firstLine="0" w:firstLineChars="0"/>
              <w:jc w:val="left"/>
              <w:rPr>
                <w:rFonts w:hint="eastAsia" w:ascii="Calibri" w:hAnsi="Calibri"/>
                <w:b/>
                <w:szCs w:val="21"/>
              </w:rPr>
            </w:pPr>
            <w:r>
              <w:rPr>
                <w:rFonts w:hint="eastAsia" w:ascii="Calibri" w:hAnsi="Calibri"/>
                <w:b/>
                <w:szCs w:val="21"/>
              </w:rPr>
              <w:t>5、按开工批次，每批次经审计后支付至本批次电梯价款（含安装、土建以及内装饰费用）的97.5%，最长不超过验收合格后的3个月；剩余合同价2.5%的作为质量保证金待质保期满后无质量问题一次性付清。</w:t>
            </w:r>
          </w:p>
          <w:p>
            <w:pPr>
              <w:ind w:firstLine="0" w:firstLineChars="0"/>
              <w:jc w:val="left"/>
              <w:rPr>
                <w:rFonts w:cs="Times New Roman"/>
              </w:rPr>
            </w:pPr>
            <w:r>
              <w:rPr>
                <w:rFonts w:hint="eastAsia" w:ascii="Calibri" w:hAnsi="Calibri"/>
                <w:b/>
                <w:szCs w:val="21"/>
              </w:rPr>
              <w:t>6、每次支付上述款项需卖方应出具符合发票管理制度的发票，若卖方不提供或不能提供发票买方有权拒付，由此产生的一切责任由卖方承担。</w:t>
            </w:r>
          </w:p>
        </w:tc>
      </w:tr>
    </w:tbl>
    <w:p>
      <w:pPr>
        <w:pStyle w:val="3"/>
        <w:rPr>
          <w:rFonts w:cs="Times New Roman"/>
        </w:rPr>
      </w:pPr>
      <w:bookmarkStart w:id="38" w:name="_Toc21138"/>
      <w:bookmarkStart w:id="39" w:name="_Toc298856061"/>
      <w:r>
        <w:rPr>
          <w:rFonts w:hint="eastAsia" w:cs="黑体"/>
        </w:rPr>
        <w:t>五、投标人的资信要求表</w:t>
      </w:r>
      <w:bookmarkEnd w:id="38"/>
      <w:bookmarkEnd w:id="39"/>
    </w:p>
    <w:tbl>
      <w:tblPr>
        <w:tblStyle w:val="33"/>
        <w:tblW w:w="975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23"/>
        <w:gridCol w:w="743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3" w:hRule="exact"/>
          <w:jc w:val="center"/>
        </w:trPr>
        <w:tc>
          <w:tcPr>
            <w:tcW w:w="2323" w:type="dxa"/>
            <w:tcBorders>
              <w:top w:val="single" w:color="auto" w:sz="4" w:space="0"/>
              <w:bottom w:val="single" w:color="auto" w:sz="4" w:space="0"/>
              <w:right w:val="single" w:color="auto" w:sz="4" w:space="0"/>
            </w:tcBorders>
            <w:vAlign w:val="center"/>
          </w:tcPr>
          <w:p>
            <w:pPr>
              <w:ind w:firstLine="0" w:firstLineChars="0"/>
              <w:jc w:val="center"/>
              <w:rPr>
                <w:rFonts w:cs="Times New Roman"/>
                <w:highlight w:val="green"/>
              </w:rPr>
            </w:pPr>
            <w:r>
              <w:rPr>
                <w:rFonts w:hint="eastAsia"/>
              </w:rPr>
              <w:t>资格及能力要求</w:t>
            </w:r>
          </w:p>
        </w:tc>
        <w:tc>
          <w:tcPr>
            <w:tcW w:w="7433" w:type="dxa"/>
            <w:tcBorders>
              <w:top w:val="single" w:color="auto" w:sz="4" w:space="0"/>
              <w:left w:val="single" w:color="auto" w:sz="4" w:space="0"/>
              <w:bottom w:val="single" w:color="auto" w:sz="4" w:space="0"/>
            </w:tcBorders>
            <w:vAlign w:val="center"/>
          </w:tcPr>
          <w:p>
            <w:pPr>
              <w:ind w:firstLine="480"/>
            </w:pPr>
            <w:r>
              <w:rPr>
                <w:rFonts w:hint="eastAsia"/>
              </w:rPr>
              <w:t>符合《中华人民共和国政府采购法》第二十二条规定，生产商或供应商参加政府采购活动应当具备的条件。</w:t>
            </w:r>
          </w:p>
          <w:p>
            <w:pPr>
              <w:ind w:firstLine="240" w:firstLineChars="100"/>
            </w:pPr>
            <w:r>
              <w:rPr>
                <w:rFonts w:hint="eastAsia"/>
              </w:rPr>
              <w:t>特定资格条件要求：</w:t>
            </w:r>
          </w:p>
          <w:p>
            <w:pPr>
              <w:ind w:firstLine="0" w:firstLineChars="0"/>
            </w:pPr>
            <w:r>
              <w:rPr>
                <w:rFonts w:hint="eastAsia"/>
                <w:kern w:val="0"/>
              </w:rPr>
              <w:t>（1）</w:t>
            </w:r>
            <w:r>
              <w:rPr>
                <w:rFonts w:hint="eastAsia"/>
              </w:rPr>
              <w:t>未被“信用中国”（www.creditchina.gov.cn）、中国政府采购网（www.ccgp.gov.cn）列入失信被执行人、重大税收违法案件当事人名单、政府采购严重违法失信行为记录名单。</w:t>
            </w:r>
          </w:p>
          <w:p>
            <w:pPr>
              <w:ind w:firstLine="240" w:firstLineChars="100"/>
            </w:pPr>
            <w:r>
              <w:rPr>
                <w:rFonts w:hint="eastAsia"/>
                <w:kern w:val="0"/>
              </w:rPr>
              <w:t>（2）</w:t>
            </w:r>
            <w:r>
              <w:rPr>
                <w:rFonts w:hint="eastAsia"/>
              </w:rPr>
              <w:t>投标人须为电梯制造商或制造商授权的代理商，电梯制造商必须具有《中华人民共和国特种设备制造许可证（电梯）》乘客电梯 A 级资质和《中华人民共和国特种设备安装改造维修许可证(电梯)》A级资质（须提供资质证书复印件加盖公章）；电梯代理商需具有中华人民共和国特种设备安装改造维修许可证(电梯)》乘客电梯B级或以上资质。</w:t>
            </w:r>
          </w:p>
        </w:tc>
      </w:tr>
    </w:tbl>
    <w:p>
      <w:pPr>
        <w:pStyle w:val="2"/>
        <w:numPr>
          <w:ilvl w:val="0"/>
          <w:numId w:val="3"/>
        </w:numPr>
        <w:ind w:left="0" w:firstLine="0" w:firstLineChars="0"/>
      </w:pPr>
      <w:bookmarkStart w:id="40" w:name="_Toc24667"/>
      <w:r>
        <w:br w:type="page"/>
      </w:r>
      <w:r>
        <w:t xml:space="preserve">  </w:t>
      </w:r>
      <w:bookmarkStart w:id="41" w:name="_Toc8615"/>
      <w:r>
        <w:rPr>
          <w:rFonts w:hint="eastAsia" w:cs="黑体"/>
        </w:rPr>
        <w:t>投标人须知</w:t>
      </w:r>
      <w:bookmarkEnd w:id="40"/>
      <w:bookmarkEnd w:id="41"/>
    </w:p>
    <w:p>
      <w:pPr>
        <w:pStyle w:val="3"/>
        <w:numPr>
          <w:ilvl w:val="0"/>
          <w:numId w:val="10"/>
        </w:numPr>
        <w:ind w:firstLine="0"/>
        <w:rPr>
          <w:rFonts w:cs="Times New Roman"/>
        </w:rPr>
      </w:pPr>
      <w:bookmarkStart w:id="42" w:name="_Toc10724"/>
      <w:bookmarkStart w:id="43" w:name="_Toc7737"/>
      <w:bookmarkStart w:id="44" w:name="_Toc23583"/>
      <w:bookmarkStart w:id="45" w:name="_Toc2097"/>
      <w:bookmarkStart w:id="46" w:name="_Toc22652"/>
      <w:r>
        <w:rPr>
          <w:rFonts w:hint="eastAsia" w:cs="黑体"/>
        </w:rPr>
        <w:t>前附表</w:t>
      </w:r>
      <w:bookmarkEnd w:id="42"/>
      <w:bookmarkEnd w:id="43"/>
      <w:bookmarkEnd w:id="44"/>
      <w:bookmarkEnd w:id="45"/>
      <w:bookmarkEnd w:id="46"/>
    </w:p>
    <w:tbl>
      <w:tblPr>
        <w:tblStyle w:val="33"/>
        <w:tblW w:w="928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4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869" w:type="dxa"/>
            <w:tcBorders>
              <w:top w:val="single" w:color="auto" w:sz="4" w:space="0"/>
              <w:bottom w:val="single" w:color="auto" w:sz="4" w:space="0"/>
              <w:right w:val="single" w:color="auto" w:sz="4" w:space="0"/>
            </w:tcBorders>
            <w:vAlign w:val="center"/>
          </w:tcPr>
          <w:p>
            <w:pPr>
              <w:snapToGrid w:val="0"/>
              <w:ind w:firstLine="0" w:firstLineChars="0"/>
              <w:jc w:val="center"/>
              <w:rPr>
                <w:rFonts w:cs="Times New Roman"/>
              </w:rPr>
            </w:pPr>
            <w:r>
              <w:rPr>
                <w:rFonts w:hint="eastAsia"/>
              </w:rPr>
              <w:t>序号</w:t>
            </w:r>
          </w:p>
        </w:tc>
        <w:tc>
          <w:tcPr>
            <w:tcW w:w="8419" w:type="dxa"/>
            <w:tcBorders>
              <w:top w:val="single" w:color="auto" w:sz="4" w:space="0"/>
              <w:left w:val="single" w:color="auto" w:sz="4" w:space="0"/>
              <w:bottom w:val="single" w:color="auto" w:sz="4" w:space="0"/>
            </w:tcBorders>
            <w:vAlign w:val="center"/>
          </w:tcPr>
          <w:p>
            <w:pPr>
              <w:snapToGrid w:val="0"/>
              <w:ind w:firstLine="480"/>
              <w:jc w:val="center"/>
              <w:rPr>
                <w:rFonts w:cs="Times New Roman"/>
              </w:rPr>
            </w:pPr>
            <w:r>
              <w:rPr>
                <w:rFonts w:hint="eastAsia"/>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3" w:hRule="atLeast"/>
          <w:jc w:val="center"/>
        </w:trPr>
        <w:tc>
          <w:tcPr>
            <w:tcW w:w="869" w:type="dxa"/>
            <w:tcBorders>
              <w:top w:val="single" w:color="auto" w:sz="4" w:space="0"/>
              <w:bottom w:val="single" w:color="auto" w:sz="4" w:space="0"/>
              <w:right w:val="single" w:color="auto" w:sz="4" w:space="0"/>
            </w:tcBorders>
            <w:vAlign w:val="center"/>
          </w:tcPr>
          <w:p>
            <w:pPr>
              <w:snapToGrid w:val="0"/>
              <w:spacing w:line="410" w:lineRule="exact"/>
              <w:ind w:firstLine="0" w:firstLineChars="0"/>
              <w:jc w:val="center"/>
            </w:pPr>
            <w:r>
              <w:t>1</w:t>
            </w:r>
          </w:p>
        </w:tc>
        <w:tc>
          <w:tcPr>
            <w:tcW w:w="8419" w:type="dxa"/>
            <w:tcBorders>
              <w:top w:val="single" w:color="auto" w:sz="4" w:space="0"/>
              <w:left w:val="single" w:color="auto" w:sz="4" w:space="0"/>
              <w:bottom w:val="single" w:color="auto" w:sz="4" w:space="0"/>
            </w:tcBorders>
            <w:vAlign w:val="center"/>
          </w:tcPr>
          <w:p>
            <w:pPr>
              <w:snapToGrid w:val="0"/>
              <w:spacing w:line="410" w:lineRule="exact"/>
              <w:ind w:firstLine="0" w:firstLineChars="0"/>
              <w:rPr>
                <w:rFonts w:cs="Times New Roman"/>
                <w:color w:val="FF0000"/>
              </w:rPr>
            </w:pPr>
            <w:r>
              <w:rPr>
                <w:rFonts w:hint="eastAsia"/>
              </w:rPr>
              <w:t>项目名称：杭州市滨江区春波小区整体装配式既有住宅加装电梯工程（二期）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869" w:type="dxa"/>
            <w:tcBorders>
              <w:top w:val="single" w:color="auto" w:sz="4" w:space="0"/>
              <w:bottom w:val="single" w:color="auto" w:sz="4" w:space="0"/>
              <w:right w:val="single" w:color="auto" w:sz="4" w:space="0"/>
            </w:tcBorders>
            <w:vAlign w:val="center"/>
          </w:tcPr>
          <w:p>
            <w:pPr>
              <w:snapToGrid w:val="0"/>
              <w:spacing w:line="410" w:lineRule="exact"/>
              <w:ind w:firstLine="0" w:firstLineChars="0"/>
              <w:jc w:val="center"/>
            </w:pPr>
            <w:r>
              <w:t>2</w:t>
            </w:r>
          </w:p>
        </w:tc>
        <w:tc>
          <w:tcPr>
            <w:tcW w:w="8419" w:type="dxa"/>
            <w:tcBorders>
              <w:top w:val="single" w:color="auto" w:sz="4" w:space="0"/>
              <w:left w:val="single" w:color="auto" w:sz="4" w:space="0"/>
              <w:bottom w:val="single" w:color="auto" w:sz="4" w:space="0"/>
            </w:tcBorders>
            <w:vAlign w:val="center"/>
          </w:tcPr>
          <w:p>
            <w:pPr>
              <w:snapToGrid w:val="0"/>
              <w:spacing w:line="410" w:lineRule="exact"/>
              <w:ind w:firstLine="0" w:firstLineChars="0"/>
              <w:rPr>
                <w:rFonts w:cs="Times New Roman"/>
              </w:rPr>
            </w:pPr>
            <w:r>
              <w:rPr>
                <w:rFonts w:hint="eastAsia"/>
              </w:rPr>
              <w:t>采购数量及单位：见第二章《招标需求》附件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32" w:hRule="atLeast"/>
          <w:jc w:val="center"/>
        </w:trPr>
        <w:tc>
          <w:tcPr>
            <w:tcW w:w="869" w:type="dxa"/>
            <w:tcBorders>
              <w:top w:val="single" w:color="auto" w:sz="4" w:space="0"/>
              <w:bottom w:val="single" w:color="auto" w:sz="4" w:space="0"/>
              <w:right w:val="single" w:color="auto" w:sz="4" w:space="0"/>
            </w:tcBorders>
            <w:vAlign w:val="center"/>
          </w:tcPr>
          <w:p>
            <w:pPr>
              <w:snapToGrid w:val="0"/>
              <w:spacing w:line="410" w:lineRule="exact"/>
              <w:ind w:firstLine="0" w:firstLineChars="0"/>
              <w:jc w:val="center"/>
            </w:pPr>
            <w:r>
              <w:t>3</w:t>
            </w:r>
          </w:p>
        </w:tc>
        <w:tc>
          <w:tcPr>
            <w:tcW w:w="8419" w:type="dxa"/>
            <w:tcBorders>
              <w:top w:val="single" w:color="auto" w:sz="4" w:space="0"/>
              <w:left w:val="single" w:color="auto" w:sz="4" w:space="0"/>
              <w:bottom w:val="single" w:color="auto" w:sz="4" w:space="0"/>
            </w:tcBorders>
            <w:vAlign w:val="center"/>
          </w:tcPr>
          <w:p>
            <w:pPr>
              <w:snapToGrid w:val="0"/>
              <w:spacing w:line="410" w:lineRule="exact"/>
              <w:ind w:firstLine="480"/>
              <w:rPr>
                <w:rFonts w:cs="Times New Roman"/>
                <w:b/>
                <w:bCs/>
              </w:rPr>
            </w:pPr>
            <w:r>
              <w:rPr>
                <w:rFonts w:hint="eastAsia"/>
              </w:rPr>
              <w:t>投标报价及费用：</w:t>
            </w:r>
            <w:r>
              <w:t>1</w:t>
            </w:r>
            <w:r>
              <w:rPr>
                <w:rFonts w:hint="eastAsia"/>
              </w:rPr>
              <w:t>、本项目投标应以人民币报价；</w:t>
            </w:r>
            <w:r>
              <w:t>2</w:t>
            </w:r>
            <w:r>
              <w:rPr>
                <w:rFonts w:hint="eastAsia"/>
              </w:rPr>
              <w:t>、不论投标结果如何，投标人均应自行承担所有与投标有关的全部费用；</w:t>
            </w:r>
            <w:r>
              <w:t>3</w:t>
            </w:r>
            <w:r>
              <w:rPr>
                <w:rFonts w:hint="eastAsia"/>
              </w:rPr>
              <w:t>、本项目招标代理服务费按国家发展计划委员会文件“计价格［</w:t>
            </w:r>
            <w:r>
              <w:t>2002</w:t>
            </w:r>
            <w:r>
              <w:rPr>
                <w:rFonts w:hint="eastAsia"/>
              </w:rPr>
              <w:t>］</w:t>
            </w:r>
            <w:r>
              <w:t>1980</w:t>
            </w:r>
            <w:r>
              <w:rPr>
                <w:rFonts w:hint="eastAsia"/>
              </w:rPr>
              <w:t>号”货物类收费标准八折计取，该项费用由中标单位在收到中标通知书的同时支付（具体金额以实际安装电梯数量为准）。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12" w:hRule="atLeast"/>
          <w:jc w:val="center"/>
        </w:trPr>
        <w:tc>
          <w:tcPr>
            <w:tcW w:w="869" w:type="dxa"/>
            <w:tcBorders>
              <w:top w:val="single" w:color="auto" w:sz="4" w:space="0"/>
              <w:bottom w:val="single" w:color="auto" w:sz="4" w:space="0"/>
              <w:right w:val="single" w:color="auto" w:sz="4" w:space="0"/>
            </w:tcBorders>
            <w:vAlign w:val="center"/>
          </w:tcPr>
          <w:p>
            <w:pPr>
              <w:snapToGrid w:val="0"/>
              <w:spacing w:line="410" w:lineRule="exact"/>
              <w:ind w:firstLine="0" w:firstLineChars="0"/>
              <w:jc w:val="center"/>
            </w:pPr>
            <w:r>
              <w:rPr>
                <w:rFonts w:hint="eastAsia"/>
              </w:rPr>
              <w:t>4</w:t>
            </w:r>
          </w:p>
        </w:tc>
        <w:tc>
          <w:tcPr>
            <w:tcW w:w="8419" w:type="dxa"/>
            <w:tcBorders>
              <w:top w:val="single" w:color="auto" w:sz="4" w:space="0"/>
              <w:left w:val="single" w:color="auto" w:sz="4" w:space="0"/>
              <w:bottom w:val="single" w:color="auto" w:sz="4" w:space="0"/>
            </w:tcBorders>
            <w:vAlign w:val="center"/>
          </w:tcPr>
          <w:p>
            <w:pPr>
              <w:snapToGrid w:val="0"/>
              <w:spacing w:line="410" w:lineRule="exact"/>
              <w:ind w:firstLine="480"/>
              <w:rPr>
                <w:rFonts w:cs="Times New Roman"/>
              </w:rPr>
            </w:pPr>
            <w:r>
              <w:rPr>
                <w:rFonts w:hint="eastAsia"/>
              </w:rPr>
              <w:t>现场踏勘：投标人自行前往现场踏勘，踏勘现场所发生的费用由投标人自己承担；但投标人及其人员不得因此使采购人及其人员承担有关的责任和蒙受损失。投标人并应对由此次踏勘现场而造成的死亡、人身伤害、财产损失、损害以及任何其它损失、损害和引起的费用和开支承担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869" w:type="dxa"/>
            <w:tcBorders>
              <w:top w:val="single" w:color="auto" w:sz="4" w:space="0"/>
              <w:bottom w:val="single" w:color="auto" w:sz="4" w:space="0"/>
              <w:right w:val="single" w:color="auto" w:sz="4" w:space="0"/>
            </w:tcBorders>
            <w:vAlign w:val="center"/>
          </w:tcPr>
          <w:p>
            <w:pPr>
              <w:snapToGrid w:val="0"/>
              <w:spacing w:line="410" w:lineRule="exact"/>
              <w:ind w:firstLine="0" w:firstLineChars="0"/>
              <w:jc w:val="center"/>
            </w:pPr>
            <w:r>
              <w:rPr>
                <w:rFonts w:hint="eastAsia"/>
              </w:rPr>
              <w:t>5</w:t>
            </w:r>
          </w:p>
        </w:tc>
        <w:tc>
          <w:tcPr>
            <w:tcW w:w="8419" w:type="dxa"/>
            <w:tcBorders>
              <w:top w:val="single" w:color="auto" w:sz="4" w:space="0"/>
              <w:left w:val="single" w:color="auto" w:sz="4" w:space="0"/>
              <w:bottom w:val="single" w:color="auto" w:sz="4" w:space="0"/>
            </w:tcBorders>
            <w:vAlign w:val="center"/>
          </w:tcPr>
          <w:p>
            <w:pPr>
              <w:snapToGrid w:val="0"/>
              <w:spacing w:line="410" w:lineRule="exact"/>
              <w:ind w:firstLine="480"/>
              <w:rPr>
                <w:rFonts w:cs="Times New Roman"/>
              </w:rPr>
            </w:pPr>
            <w:r>
              <w:rPr>
                <w:rFonts w:hint="eastAsia"/>
              </w:rPr>
              <w:t>演示时间及地点：无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8" w:hRule="atLeast"/>
          <w:jc w:val="center"/>
        </w:trPr>
        <w:tc>
          <w:tcPr>
            <w:tcW w:w="869" w:type="dxa"/>
            <w:tcBorders>
              <w:top w:val="single" w:color="auto" w:sz="4" w:space="0"/>
              <w:bottom w:val="single" w:color="auto" w:sz="4" w:space="0"/>
              <w:right w:val="single" w:color="auto" w:sz="4" w:space="0"/>
            </w:tcBorders>
            <w:vAlign w:val="center"/>
          </w:tcPr>
          <w:p>
            <w:pPr>
              <w:snapToGrid w:val="0"/>
              <w:spacing w:line="410" w:lineRule="exact"/>
              <w:ind w:firstLine="0" w:firstLineChars="0"/>
              <w:jc w:val="center"/>
            </w:pPr>
            <w:r>
              <w:rPr>
                <w:rFonts w:hint="eastAsia"/>
              </w:rPr>
              <w:t>6</w:t>
            </w:r>
          </w:p>
        </w:tc>
        <w:tc>
          <w:tcPr>
            <w:tcW w:w="8419" w:type="dxa"/>
            <w:tcBorders>
              <w:top w:val="single" w:color="auto" w:sz="4" w:space="0"/>
              <w:left w:val="single" w:color="auto" w:sz="4" w:space="0"/>
              <w:bottom w:val="single" w:color="auto" w:sz="4" w:space="0"/>
            </w:tcBorders>
            <w:vAlign w:val="center"/>
          </w:tcPr>
          <w:p>
            <w:pPr>
              <w:spacing w:line="410" w:lineRule="exact"/>
              <w:ind w:firstLine="480"/>
              <w:rPr>
                <w:rFonts w:cs="Times New Roman"/>
              </w:rPr>
            </w:pPr>
            <w:r>
              <w:rPr>
                <w:rFonts w:hint="eastAsia"/>
              </w:rPr>
              <w:t>答疑回复：投标人如认为采购文件表述不清晰、存在歧视性、排他性或者其他违法内容的，应当于2020年</w:t>
            </w:r>
            <w:r>
              <w:rPr>
                <w:rFonts w:hint="eastAsia"/>
                <w:lang w:val="en-US" w:eastAsia="zh-CN"/>
              </w:rPr>
              <w:t>3</w:t>
            </w:r>
            <w:r>
              <w:rPr>
                <w:rFonts w:hint="eastAsia"/>
              </w:rPr>
              <w:t>月</w:t>
            </w:r>
            <w:r>
              <w:rPr>
                <w:rFonts w:hint="eastAsia"/>
                <w:lang w:val="en-US" w:eastAsia="zh-CN"/>
              </w:rPr>
              <w:t>23</w:t>
            </w:r>
            <w:r>
              <w:rPr>
                <w:rFonts w:hint="eastAsia"/>
              </w:rPr>
              <w:t>日前，以传真形式提交需答疑的文件至招标中介机构，同时将电子文件发送于以下邮箱：</w:t>
            </w:r>
            <w:r>
              <w:rPr>
                <w:rFonts w:hint="eastAsia"/>
                <w:lang w:val="en-US" w:eastAsia="zh-CN"/>
              </w:rPr>
              <w:t>262374829@qq.com</w:t>
            </w:r>
            <w:r>
              <w:rPr>
                <w:rFonts w:hint="eastAsia"/>
              </w:rPr>
              <w:t>；投标人应按规定的时间提交对采购文件任何部分有异议的文件，否则视为对采购文件任何部分无异议。采购人不组织集中答疑，对投标人的疑问的回复将于投标截止日期</w:t>
            </w:r>
            <w:r>
              <w:t>5</w:t>
            </w:r>
            <w:r>
              <w:rPr>
                <w:rFonts w:hint="eastAsia"/>
              </w:rPr>
              <w:t>天前书面通知所有已报名的投标人。</w:t>
            </w:r>
          </w:p>
          <w:p>
            <w:pPr>
              <w:snapToGrid w:val="0"/>
              <w:spacing w:line="410" w:lineRule="exact"/>
              <w:ind w:firstLine="480"/>
              <w:rPr>
                <w:rFonts w:cs="Times New Roman"/>
              </w:rPr>
            </w:pPr>
            <w:r>
              <w:rPr>
                <w:rFonts w:hint="eastAsia"/>
              </w:rPr>
              <w:t>招标文件澄清与修改：</w:t>
            </w:r>
          </w:p>
          <w:p>
            <w:pPr>
              <w:snapToGrid w:val="0"/>
              <w:spacing w:line="410" w:lineRule="exact"/>
              <w:ind w:firstLine="480"/>
              <w:rPr>
                <w:rFonts w:cs="Times New Roman"/>
              </w:rPr>
            </w:pPr>
            <w:r>
              <w:rPr>
                <w:rFonts w:hint="eastAsia"/>
              </w:rPr>
              <w:t>采购人或者采购代理机构可以对已发出的招标文件、资格预审文件、投标邀请书进行必要的澄清或者修改，但不得改变采购标的和资格条件。澄清或者修改应当在原公告发布媒体上发布澄清公告。澄清或者修改的内容为招标文件、资格预审文件、投标邀请书的组成部分。</w:t>
            </w:r>
          </w:p>
          <w:p>
            <w:pPr>
              <w:snapToGrid w:val="0"/>
              <w:spacing w:line="410" w:lineRule="exact"/>
              <w:ind w:firstLine="480"/>
              <w:rPr>
                <w:rFonts w:cs="Times New Roman"/>
              </w:rPr>
            </w:pPr>
            <w:r>
              <w:rPr>
                <w:rFonts w:hint="eastAsia"/>
              </w:rPr>
              <w:t>澄清或者修改的内容可能影响投标文件编制的，采购人或者采购代理机构应当在投标截止时间至少</w:t>
            </w:r>
            <w:r>
              <w:t>15</w:t>
            </w:r>
            <w:r>
              <w:rPr>
                <w:rFonts w:hint="eastAsia"/>
              </w:rPr>
              <w:t>日前，以书面形式通知所有获取招标文件的潜在投标人；不足</w:t>
            </w:r>
            <w:r>
              <w:t>15</w:t>
            </w:r>
            <w:r>
              <w:rPr>
                <w:rFonts w:hint="eastAsia"/>
              </w:rPr>
              <w:t>日的，采购人或者采购代理机构应当顺延提交投标文件的截止时间。澄清或者修改的内容可能影响资格预审申请文件编制的，采购人或者采购代理机构应当在提交资格预审申请文件截止时间至少</w:t>
            </w:r>
            <w:r>
              <w:t>3</w:t>
            </w:r>
            <w:r>
              <w:rPr>
                <w:rFonts w:hint="eastAsia"/>
              </w:rPr>
              <w:t>日前，以书面形式通知所有获取资格预审文件的潜在投标人；不足</w:t>
            </w:r>
            <w:r>
              <w:t>3</w:t>
            </w:r>
            <w:r>
              <w:rPr>
                <w:rFonts w:hint="eastAsia"/>
              </w:rPr>
              <w:t>日的，采购人或者采购代理机构应当顺延提交资格预审申请文件的截止时间。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869" w:type="dxa"/>
            <w:tcBorders>
              <w:top w:val="single" w:color="auto" w:sz="4" w:space="0"/>
              <w:bottom w:val="single" w:color="auto" w:sz="4" w:space="0"/>
              <w:right w:val="single" w:color="auto" w:sz="4" w:space="0"/>
            </w:tcBorders>
            <w:vAlign w:val="center"/>
          </w:tcPr>
          <w:p>
            <w:pPr>
              <w:snapToGrid w:val="0"/>
              <w:spacing w:line="410" w:lineRule="exact"/>
              <w:ind w:firstLine="0" w:firstLineChars="0"/>
              <w:jc w:val="center"/>
            </w:pPr>
            <w:r>
              <w:rPr>
                <w:rFonts w:hint="eastAsia"/>
              </w:rPr>
              <w:t>7</w:t>
            </w:r>
          </w:p>
        </w:tc>
        <w:tc>
          <w:tcPr>
            <w:tcW w:w="8419" w:type="dxa"/>
            <w:tcBorders>
              <w:top w:val="single" w:color="auto" w:sz="4" w:space="0"/>
              <w:left w:val="single" w:color="auto" w:sz="4" w:space="0"/>
              <w:bottom w:val="single" w:color="auto" w:sz="4" w:space="0"/>
            </w:tcBorders>
            <w:vAlign w:val="center"/>
          </w:tcPr>
          <w:p>
            <w:pPr>
              <w:snapToGrid w:val="0"/>
              <w:spacing w:line="410" w:lineRule="exact"/>
              <w:ind w:firstLine="480"/>
            </w:pPr>
            <w:r>
              <w:rPr>
                <w:rFonts w:hint="eastAsia"/>
              </w:rPr>
              <w:t>投标文件组成：报价文件（含开标一览表）、技术文件、资信文件，正本</w:t>
            </w:r>
            <w:r>
              <w:t xml:space="preserve"> 1 </w:t>
            </w:r>
            <w:r>
              <w:rPr>
                <w:rFonts w:hint="eastAsia"/>
              </w:rPr>
              <w:t>份，副本</w:t>
            </w:r>
            <w:r>
              <w:rPr>
                <w:rFonts w:hint="eastAsia"/>
                <w:lang w:val="en-US" w:eastAsia="zh-CN"/>
              </w:rPr>
              <w:t>4</w:t>
            </w:r>
            <w:r>
              <w:rPr>
                <w:rFonts w:hint="eastAsia"/>
              </w:rPr>
              <w:t>份。</w:t>
            </w:r>
            <w: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9" w:type="dxa"/>
            <w:tcBorders>
              <w:top w:val="single" w:color="auto" w:sz="4" w:space="0"/>
              <w:bottom w:val="single" w:color="auto" w:sz="4" w:space="0"/>
              <w:right w:val="single" w:color="auto" w:sz="4" w:space="0"/>
            </w:tcBorders>
            <w:vAlign w:val="center"/>
          </w:tcPr>
          <w:p>
            <w:pPr>
              <w:snapToGrid w:val="0"/>
              <w:spacing w:line="410" w:lineRule="exact"/>
              <w:ind w:firstLine="0" w:firstLineChars="0"/>
              <w:jc w:val="center"/>
            </w:pPr>
            <w:r>
              <w:rPr>
                <w:rFonts w:hint="eastAsia"/>
              </w:rPr>
              <w:t>8</w:t>
            </w:r>
          </w:p>
        </w:tc>
        <w:tc>
          <w:tcPr>
            <w:tcW w:w="8419" w:type="dxa"/>
            <w:tcBorders>
              <w:top w:val="single" w:color="auto" w:sz="4" w:space="0"/>
              <w:left w:val="single" w:color="auto" w:sz="4" w:space="0"/>
              <w:bottom w:val="single" w:color="auto" w:sz="4" w:space="0"/>
            </w:tcBorders>
            <w:vAlign w:val="center"/>
          </w:tcPr>
          <w:p>
            <w:pPr>
              <w:snapToGrid w:val="0"/>
              <w:spacing w:line="410" w:lineRule="exact"/>
              <w:ind w:firstLine="480"/>
              <w:rPr>
                <w:rFonts w:cs="Times New Roman"/>
                <w:kern w:val="0"/>
              </w:rPr>
            </w:pPr>
            <w:r>
              <w:rPr>
                <w:rFonts w:hint="eastAsia"/>
              </w:rPr>
              <w:t>投标截止时间</w:t>
            </w:r>
            <w:r>
              <w:rPr>
                <w:rFonts w:hint="eastAsia"/>
                <w:color w:val="000000"/>
              </w:rPr>
              <w:t>：</w:t>
            </w:r>
            <w:r>
              <w:rPr>
                <w:rFonts w:hint="eastAsia"/>
              </w:rPr>
              <w:t>2020年</w:t>
            </w:r>
            <w:r>
              <w:rPr>
                <w:rFonts w:hint="eastAsia"/>
                <w:lang w:val="en-US" w:eastAsia="zh-CN"/>
              </w:rPr>
              <w:t>4</w:t>
            </w:r>
            <w:r>
              <w:rPr>
                <w:rFonts w:hint="eastAsia"/>
              </w:rPr>
              <w:t>月</w:t>
            </w:r>
            <w:r>
              <w:rPr>
                <w:rFonts w:hint="eastAsia"/>
                <w:lang w:val="en-US" w:eastAsia="zh-CN"/>
              </w:rPr>
              <w:t>2</w:t>
            </w:r>
            <w:r>
              <w:rPr>
                <w:rFonts w:hint="eastAsia"/>
              </w:rPr>
              <w:t>日</w:t>
            </w:r>
            <w:r>
              <w:rPr>
                <w:rFonts w:hint="eastAsia"/>
                <w:lang w:val="en-US" w:eastAsia="zh-CN"/>
              </w:rPr>
              <w:t>9</w:t>
            </w:r>
            <w:r>
              <w:rPr>
                <w:rFonts w:hint="eastAsia"/>
              </w:rPr>
              <w:t>时</w:t>
            </w:r>
            <w:r>
              <w:rPr>
                <w:rFonts w:hint="eastAsia"/>
                <w:lang w:val="en-US" w:eastAsia="zh-CN"/>
              </w:rPr>
              <w:t>30</w:t>
            </w:r>
            <w:r>
              <w:rPr>
                <w:rFonts w:hint="eastAsia"/>
              </w:rPr>
              <w:t>分</w:t>
            </w:r>
            <w:r>
              <w:rPr>
                <w:rFonts w:hint="eastAsia"/>
                <w:color w:val="000000"/>
                <w:kern w:val="0"/>
              </w:rPr>
              <w:t>止</w:t>
            </w:r>
          </w:p>
          <w:p>
            <w:pPr>
              <w:snapToGrid w:val="0"/>
              <w:spacing w:line="410" w:lineRule="exact"/>
              <w:ind w:firstLine="480"/>
              <w:rPr>
                <w:rFonts w:hint="eastAsia" w:eastAsia="宋体" w:cs="Times New Roman"/>
                <w:kern w:val="0"/>
                <w:lang w:eastAsia="zh-CN"/>
              </w:rPr>
            </w:pPr>
            <w:r>
              <w:rPr>
                <w:rFonts w:hint="eastAsia"/>
              </w:rPr>
              <w:t>地点：</w:t>
            </w:r>
            <w:r>
              <w:rPr>
                <w:rFonts w:hint="eastAsia"/>
                <w:lang w:eastAsia="zh-CN"/>
              </w:rPr>
              <w:t>杭州市滨江区六和路中控大厦E幢18楼1807室开标室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9" w:type="dxa"/>
            <w:tcBorders>
              <w:top w:val="single" w:color="auto" w:sz="4" w:space="0"/>
              <w:bottom w:val="single" w:color="auto" w:sz="4" w:space="0"/>
              <w:right w:val="single" w:color="auto" w:sz="4" w:space="0"/>
            </w:tcBorders>
            <w:vAlign w:val="center"/>
          </w:tcPr>
          <w:p>
            <w:pPr>
              <w:snapToGrid w:val="0"/>
              <w:spacing w:line="410" w:lineRule="exact"/>
              <w:ind w:firstLine="0" w:firstLineChars="0"/>
              <w:jc w:val="center"/>
            </w:pPr>
            <w:r>
              <w:rPr>
                <w:rFonts w:hint="eastAsia"/>
              </w:rPr>
              <w:t>9</w:t>
            </w:r>
          </w:p>
        </w:tc>
        <w:tc>
          <w:tcPr>
            <w:tcW w:w="8419" w:type="dxa"/>
            <w:tcBorders>
              <w:top w:val="single" w:color="auto" w:sz="4" w:space="0"/>
              <w:left w:val="single" w:color="auto" w:sz="4" w:space="0"/>
              <w:bottom w:val="single" w:color="auto" w:sz="4" w:space="0"/>
            </w:tcBorders>
            <w:vAlign w:val="center"/>
          </w:tcPr>
          <w:p>
            <w:pPr>
              <w:snapToGrid w:val="0"/>
              <w:spacing w:line="410" w:lineRule="exact"/>
              <w:ind w:firstLine="480"/>
              <w:rPr>
                <w:rFonts w:cs="Times New Roman"/>
                <w:color w:val="000000"/>
                <w:kern w:val="0"/>
              </w:rPr>
            </w:pPr>
            <w:r>
              <w:rPr>
                <w:rFonts w:hint="eastAsia"/>
                <w:color w:val="000000"/>
              </w:rPr>
              <w:t>开标时间：</w:t>
            </w:r>
            <w:r>
              <w:rPr>
                <w:rFonts w:hint="eastAsia"/>
              </w:rPr>
              <w:t>2020年</w:t>
            </w:r>
            <w:r>
              <w:rPr>
                <w:rFonts w:hint="eastAsia"/>
                <w:lang w:val="en-US" w:eastAsia="zh-CN"/>
              </w:rPr>
              <w:t>4</w:t>
            </w:r>
            <w:r>
              <w:rPr>
                <w:rFonts w:hint="eastAsia"/>
              </w:rPr>
              <w:t>月</w:t>
            </w:r>
            <w:r>
              <w:rPr>
                <w:rFonts w:hint="eastAsia"/>
                <w:lang w:val="en-US" w:eastAsia="zh-CN"/>
              </w:rPr>
              <w:t>2</w:t>
            </w:r>
            <w:r>
              <w:rPr>
                <w:rFonts w:hint="eastAsia"/>
              </w:rPr>
              <w:t>日</w:t>
            </w:r>
            <w:r>
              <w:rPr>
                <w:rFonts w:hint="eastAsia"/>
                <w:lang w:val="en-US" w:eastAsia="zh-CN"/>
              </w:rPr>
              <w:t>9</w:t>
            </w:r>
            <w:r>
              <w:rPr>
                <w:rFonts w:hint="eastAsia"/>
              </w:rPr>
              <w:t>时</w:t>
            </w:r>
            <w:r>
              <w:rPr>
                <w:rFonts w:hint="eastAsia"/>
                <w:lang w:val="en-US" w:eastAsia="zh-CN"/>
              </w:rPr>
              <w:t>30</w:t>
            </w:r>
            <w:r>
              <w:rPr>
                <w:rFonts w:hint="eastAsia"/>
              </w:rPr>
              <w:t>分</w:t>
            </w:r>
          </w:p>
          <w:p>
            <w:pPr>
              <w:snapToGrid w:val="0"/>
              <w:spacing w:line="410" w:lineRule="exact"/>
              <w:ind w:firstLine="480"/>
              <w:rPr>
                <w:rFonts w:hint="eastAsia" w:eastAsia="宋体" w:cs="Times New Roman"/>
                <w:kern w:val="0"/>
                <w:lang w:eastAsia="zh-CN"/>
              </w:rPr>
            </w:pPr>
            <w:r>
              <w:rPr>
                <w:rFonts w:hint="eastAsia"/>
              </w:rPr>
              <w:t>地点：</w:t>
            </w:r>
            <w:r>
              <w:rPr>
                <w:rFonts w:hint="eastAsia"/>
                <w:lang w:eastAsia="zh-CN"/>
              </w:rPr>
              <w:t>杭州市滨江区六和路中控大厦E幢18楼1807室开标室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8" w:hRule="atLeast"/>
          <w:jc w:val="center"/>
        </w:trPr>
        <w:tc>
          <w:tcPr>
            <w:tcW w:w="869" w:type="dxa"/>
            <w:tcBorders>
              <w:top w:val="single" w:color="auto" w:sz="4" w:space="0"/>
              <w:bottom w:val="single" w:color="auto" w:sz="4" w:space="0"/>
              <w:right w:val="single" w:color="auto" w:sz="4" w:space="0"/>
            </w:tcBorders>
            <w:vAlign w:val="center"/>
          </w:tcPr>
          <w:p>
            <w:pPr>
              <w:snapToGrid w:val="0"/>
              <w:spacing w:line="410" w:lineRule="exact"/>
              <w:ind w:firstLine="0" w:firstLineChars="0"/>
              <w:jc w:val="center"/>
            </w:pPr>
            <w:r>
              <w:t>1</w:t>
            </w:r>
            <w:r>
              <w:rPr>
                <w:rFonts w:hint="eastAsia"/>
              </w:rPr>
              <w:t>0</w:t>
            </w:r>
          </w:p>
        </w:tc>
        <w:tc>
          <w:tcPr>
            <w:tcW w:w="8419" w:type="dxa"/>
            <w:tcBorders>
              <w:top w:val="single" w:color="auto" w:sz="4" w:space="0"/>
              <w:left w:val="single" w:color="auto" w:sz="4" w:space="0"/>
              <w:bottom w:val="single" w:color="auto" w:sz="4" w:space="0"/>
            </w:tcBorders>
            <w:vAlign w:val="center"/>
          </w:tcPr>
          <w:p>
            <w:pPr>
              <w:snapToGrid w:val="0"/>
              <w:spacing w:line="410" w:lineRule="exact"/>
              <w:ind w:firstLine="480"/>
              <w:rPr>
                <w:rFonts w:cs="Times New Roman"/>
              </w:rPr>
            </w:pPr>
            <w:r>
              <w:rPr>
                <w:rFonts w:hint="eastAsia"/>
              </w:rPr>
              <w:t>评标办法及评分标准：</w:t>
            </w:r>
            <w:r>
              <w:rPr>
                <w:rFonts w:hint="eastAsia"/>
                <w:b/>
                <w:bCs/>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1" w:hRule="atLeast"/>
          <w:jc w:val="center"/>
        </w:trPr>
        <w:tc>
          <w:tcPr>
            <w:tcW w:w="869" w:type="dxa"/>
            <w:tcBorders>
              <w:top w:val="single" w:color="auto" w:sz="4" w:space="0"/>
              <w:bottom w:val="single" w:color="auto" w:sz="4" w:space="0"/>
              <w:right w:val="single" w:color="auto" w:sz="4" w:space="0"/>
            </w:tcBorders>
            <w:vAlign w:val="center"/>
          </w:tcPr>
          <w:p>
            <w:pPr>
              <w:snapToGrid w:val="0"/>
              <w:spacing w:line="410" w:lineRule="exact"/>
              <w:ind w:firstLine="0" w:firstLineChars="0"/>
              <w:jc w:val="center"/>
            </w:pPr>
            <w:r>
              <w:t>1</w:t>
            </w:r>
            <w:r>
              <w:rPr>
                <w:rFonts w:hint="eastAsia"/>
              </w:rPr>
              <w:t>1</w:t>
            </w:r>
          </w:p>
        </w:tc>
        <w:tc>
          <w:tcPr>
            <w:tcW w:w="8419" w:type="dxa"/>
            <w:tcBorders>
              <w:top w:val="single" w:color="auto" w:sz="4" w:space="0"/>
              <w:left w:val="single" w:color="auto" w:sz="4" w:space="0"/>
              <w:bottom w:val="single" w:color="auto" w:sz="4" w:space="0"/>
            </w:tcBorders>
            <w:vAlign w:val="center"/>
          </w:tcPr>
          <w:p>
            <w:pPr>
              <w:snapToGrid w:val="0"/>
              <w:spacing w:line="410" w:lineRule="exact"/>
              <w:ind w:firstLine="480"/>
              <w:rPr>
                <w:rFonts w:cs="Times New Roman"/>
              </w:rPr>
            </w:pPr>
            <w:r>
              <w:rPr>
                <w:rFonts w:hint="eastAsia"/>
              </w:rPr>
              <w:t>中标公告及中标通知书：评标结束后</w:t>
            </w:r>
            <w:r>
              <w:t>5</w:t>
            </w:r>
            <w:r>
              <w:rPr>
                <w:rFonts w:hint="eastAsia"/>
              </w:rPr>
              <w:t>个工作日内，中标公告发布于上述媒体；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jc w:val="center"/>
        </w:trPr>
        <w:tc>
          <w:tcPr>
            <w:tcW w:w="869" w:type="dxa"/>
            <w:tcBorders>
              <w:top w:val="single" w:color="auto" w:sz="4" w:space="0"/>
              <w:bottom w:val="single" w:color="auto" w:sz="4" w:space="0"/>
              <w:right w:val="single" w:color="auto" w:sz="4" w:space="0"/>
            </w:tcBorders>
            <w:vAlign w:val="center"/>
          </w:tcPr>
          <w:p>
            <w:pPr>
              <w:snapToGrid w:val="0"/>
              <w:spacing w:line="410" w:lineRule="exact"/>
              <w:ind w:firstLine="0" w:firstLineChars="0"/>
              <w:jc w:val="center"/>
            </w:pPr>
            <w:r>
              <w:t>1</w:t>
            </w:r>
            <w:r>
              <w:rPr>
                <w:rFonts w:hint="eastAsia"/>
              </w:rPr>
              <w:t>2</w:t>
            </w:r>
          </w:p>
        </w:tc>
        <w:tc>
          <w:tcPr>
            <w:tcW w:w="8419" w:type="dxa"/>
            <w:tcBorders>
              <w:top w:val="single" w:color="auto" w:sz="4" w:space="0"/>
              <w:left w:val="single" w:color="auto" w:sz="4" w:space="0"/>
              <w:bottom w:val="single" w:color="auto" w:sz="4" w:space="0"/>
            </w:tcBorders>
            <w:vAlign w:val="center"/>
          </w:tcPr>
          <w:p>
            <w:pPr>
              <w:snapToGrid w:val="0"/>
              <w:spacing w:line="410" w:lineRule="exact"/>
              <w:ind w:firstLine="0" w:firstLineChars="0"/>
              <w:rPr>
                <w:rFonts w:cs="Times New Roman"/>
              </w:rPr>
            </w:pPr>
            <w:r>
              <w:t xml:space="preserve">    </w:t>
            </w:r>
            <w:r>
              <w:rPr>
                <w:rFonts w:hint="eastAsia"/>
              </w:rPr>
              <w:t>签订合同时间：中标通知书发出后</w:t>
            </w:r>
            <w:r>
              <w:t>7</w:t>
            </w:r>
            <w:r>
              <w:rPr>
                <w:rFonts w:hint="eastAsia"/>
              </w:rPr>
              <w:t>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24" w:hRule="atLeast"/>
          <w:jc w:val="center"/>
        </w:trPr>
        <w:tc>
          <w:tcPr>
            <w:tcW w:w="869" w:type="dxa"/>
            <w:tcBorders>
              <w:top w:val="single" w:color="auto" w:sz="4" w:space="0"/>
              <w:bottom w:val="single" w:color="auto" w:sz="4" w:space="0"/>
              <w:right w:val="single" w:color="auto" w:sz="4" w:space="0"/>
            </w:tcBorders>
            <w:vAlign w:val="center"/>
          </w:tcPr>
          <w:p>
            <w:pPr>
              <w:snapToGrid w:val="0"/>
              <w:spacing w:line="410" w:lineRule="exact"/>
              <w:ind w:firstLine="0" w:firstLineChars="0"/>
              <w:jc w:val="center"/>
            </w:pPr>
            <w:r>
              <w:t>1</w:t>
            </w:r>
            <w:r>
              <w:rPr>
                <w:rFonts w:hint="eastAsia"/>
              </w:rPr>
              <w:t>3</w:t>
            </w:r>
          </w:p>
        </w:tc>
        <w:tc>
          <w:tcPr>
            <w:tcW w:w="8419" w:type="dxa"/>
            <w:tcBorders>
              <w:top w:val="single" w:color="auto" w:sz="4" w:space="0"/>
              <w:left w:val="single" w:color="auto" w:sz="4" w:space="0"/>
              <w:bottom w:val="single" w:color="auto" w:sz="4" w:space="0"/>
            </w:tcBorders>
            <w:vAlign w:val="center"/>
          </w:tcPr>
          <w:p>
            <w:pPr>
              <w:snapToGrid w:val="0"/>
              <w:spacing w:line="410" w:lineRule="exact"/>
              <w:ind w:firstLine="480"/>
              <w:rPr>
                <w:rFonts w:cs="Times New Roman"/>
              </w:rPr>
            </w:pPr>
            <w:r>
              <w:rPr>
                <w:rFonts w:hint="eastAsia"/>
              </w:rPr>
              <w:t>履约保证金的收取及退还</w:t>
            </w:r>
            <w:r>
              <w:t>:</w:t>
            </w:r>
            <w:r>
              <w:rPr>
                <w:rFonts w:hint="eastAsia"/>
              </w:rPr>
              <w:t xml:space="preserve"> 本项目电梯须分批次进行供货及安装，履约保证金均为接到采购人供货通知之日起10天内提交相应电梯数额的5%作为履约保证金。（履约担保的形式：供应担保机构出具的保函），履约保证金在合同履行完毕且无质量问题后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9" w:type="dxa"/>
            <w:tcBorders>
              <w:top w:val="single" w:color="auto" w:sz="4" w:space="0"/>
              <w:bottom w:val="single" w:color="auto" w:sz="4" w:space="0"/>
              <w:right w:val="single" w:color="auto" w:sz="4" w:space="0"/>
            </w:tcBorders>
            <w:vAlign w:val="center"/>
          </w:tcPr>
          <w:p>
            <w:pPr>
              <w:snapToGrid w:val="0"/>
              <w:spacing w:line="410" w:lineRule="exact"/>
              <w:ind w:firstLine="0" w:firstLineChars="0"/>
              <w:jc w:val="center"/>
            </w:pPr>
            <w:r>
              <w:t>1</w:t>
            </w:r>
            <w:r>
              <w:rPr>
                <w:rFonts w:hint="eastAsia"/>
              </w:rPr>
              <w:t>4</w:t>
            </w:r>
          </w:p>
        </w:tc>
        <w:tc>
          <w:tcPr>
            <w:tcW w:w="8419" w:type="dxa"/>
            <w:tcBorders>
              <w:top w:val="single" w:color="auto" w:sz="4" w:space="0"/>
              <w:left w:val="single" w:color="auto" w:sz="4" w:space="0"/>
              <w:bottom w:val="single" w:color="auto" w:sz="4" w:space="0"/>
            </w:tcBorders>
            <w:vAlign w:val="center"/>
          </w:tcPr>
          <w:p>
            <w:pPr>
              <w:snapToGrid w:val="0"/>
              <w:spacing w:line="410" w:lineRule="exact"/>
              <w:ind w:firstLine="480"/>
              <w:rPr>
                <w:rFonts w:cs="Times New Roman"/>
              </w:rPr>
            </w:pPr>
            <w:r>
              <w:rPr>
                <w:rFonts w:hint="eastAsia"/>
              </w:rPr>
              <w:t>采购资金来源：主体财政资金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9" w:type="dxa"/>
            <w:tcBorders>
              <w:top w:val="single" w:color="auto" w:sz="4" w:space="0"/>
              <w:bottom w:val="single" w:color="auto" w:sz="4" w:space="0"/>
              <w:right w:val="single" w:color="auto" w:sz="4" w:space="0"/>
            </w:tcBorders>
            <w:vAlign w:val="center"/>
          </w:tcPr>
          <w:p>
            <w:pPr>
              <w:snapToGrid w:val="0"/>
              <w:spacing w:line="410" w:lineRule="exact"/>
              <w:ind w:firstLine="0" w:firstLineChars="0"/>
              <w:jc w:val="center"/>
            </w:pPr>
            <w:r>
              <w:t>1</w:t>
            </w:r>
            <w:r>
              <w:rPr>
                <w:rFonts w:hint="eastAsia"/>
              </w:rPr>
              <w:t>5</w:t>
            </w:r>
          </w:p>
        </w:tc>
        <w:tc>
          <w:tcPr>
            <w:tcW w:w="8419" w:type="dxa"/>
            <w:tcBorders>
              <w:top w:val="single" w:color="auto" w:sz="4" w:space="0"/>
              <w:left w:val="single" w:color="auto" w:sz="4" w:space="0"/>
              <w:bottom w:val="single" w:color="auto" w:sz="4" w:space="0"/>
            </w:tcBorders>
            <w:vAlign w:val="center"/>
          </w:tcPr>
          <w:p>
            <w:pPr>
              <w:snapToGrid w:val="0"/>
              <w:spacing w:line="410" w:lineRule="exact"/>
              <w:ind w:firstLine="480"/>
              <w:rPr>
                <w:rFonts w:cs="Times New Roman"/>
              </w:rPr>
            </w:pPr>
            <w:r>
              <w:rPr>
                <w:rFonts w:hint="eastAsia"/>
              </w:rPr>
              <w:t>投标文件有效期：</w:t>
            </w:r>
            <w:r>
              <w:rPr>
                <w:u w:val="single"/>
              </w:rPr>
              <w:t>90</w:t>
            </w:r>
            <w:r>
              <w:rPr>
                <w:rFonts w:hint="eastAsia"/>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9" w:type="dxa"/>
            <w:tcBorders>
              <w:top w:val="single" w:color="auto" w:sz="4" w:space="0"/>
              <w:bottom w:val="single" w:color="auto" w:sz="4" w:space="0"/>
              <w:right w:val="single" w:color="auto" w:sz="4" w:space="0"/>
            </w:tcBorders>
            <w:vAlign w:val="center"/>
          </w:tcPr>
          <w:p>
            <w:pPr>
              <w:snapToGrid w:val="0"/>
              <w:spacing w:line="410" w:lineRule="exact"/>
              <w:ind w:firstLine="0" w:firstLineChars="0"/>
              <w:jc w:val="center"/>
            </w:pPr>
            <w:r>
              <w:t>1</w:t>
            </w:r>
            <w:r>
              <w:rPr>
                <w:rFonts w:hint="eastAsia"/>
              </w:rPr>
              <w:t>6</w:t>
            </w:r>
          </w:p>
        </w:tc>
        <w:tc>
          <w:tcPr>
            <w:tcW w:w="8419" w:type="dxa"/>
            <w:tcBorders>
              <w:top w:val="single" w:color="auto" w:sz="4" w:space="0"/>
              <w:left w:val="single" w:color="auto" w:sz="4" w:space="0"/>
              <w:bottom w:val="single" w:color="auto" w:sz="4" w:space="0"/>
            </w:tcBorders>
            <w:vAlign w:val="center"/>
          </w:tcPr>
          <w:p>
            <w:pPr>
              <w:snapToGrid w:val="0"/>
              <w:spacing w:line="410" w:lineRule="exact"/>
              <w:ind w:firstLine="480"/>
              <w:rPr>
                <w:rFonts w:cs="Times New Roman"/>
              </w:rPr>
            </w:pPr>
            <w:r>
              <w:rPr>
                <w:rFonts w:hint="eastAsia"/>
              </w:rPr>
              <w:t>解释：本采购文件的解释权属于采购人和采购代理机构。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95" w:hRule="atLeast"/>
          <w:jc w:val="center"/>
        </w:trPr>
        <w:tc>
          <w:tcPr>
            <w:tcW w:w="869" w:type="dxa"/>
            <w:tcBorders>
              <w:top w:val="single" w:color="auto" w:sz="4" w:space="0"/>
              <w:bottom w:val="single" w:color="auto" w:sz="4" w:space="0"/>
              <w:right w:val="single" w:color="auto" w:sz="4" w:space="0"/>
            </w:tcBorders>
            <w:vAlign w:val="center"/>
          </w:tcPr>
          <w:p>
            <w:pPr>
              <w:snapToGrid w:val="0"/>
              <w:spacing w:line="410" w:lineRule="exact"/>
              <w:ind w:firstLine="0" w:firstLineChars="0"/>
              <w:jc w:val="center"/>
            </w:pPr>
            <w:r>
              <w:rPr>
                <w:rFonts w:hint="eastAsia"/>
              </w:rPr>
              <w:t>17</w:t>
            </w:r>
          </w:p>
        </w:tc>
        <w:tc>
          <w:tcPr>
            <w:tcW w:w="8419" w:type="dxa"/>
            <w:tcBorders>
              <w:top w:val="single" w:color="auto" w:sz="4" w:space="0"/>
              <w:left w:val="single" w:color="auto" w:sz="4" w:space="0"/>
              <w:bottom w:val="single" w:color="auto" w:sz="4" w:space="0"/>
            </w:tcBorders>
            <w:vAlign w:val="center"/>
          </w:tcPr>
          <w:p>
            <w:pPr>
              <w:widowControl/>
              <w:ind w:firstLine="482"/>
              <w:jc w:val="left"/>
              <w:rPr>
                <w:rFonts w:cs="Times New Roman"/>
                <w:b/>
                <w:bCs/>
              </w:rPr>
            </w:pPr>
            <w:r>
              <w:rPr>
                <w:rFonts w:hint="eastAsia"/>
                <w:b/>
                <w:bCs/>
                <w:color w:val="FF0000"/>
              </w:rPr>
              <w:t>本项目最高限价为转角连廊电梯</w:t>
            </w:r>
            <w:r>
              <w:rPr>
                <w:rFonts w:hint="eastAsia"/>
                <w:b/>
                <w:bCs/>
                <w:color w:val="FF0000"/>
                <w:lang w:val="en-US" w:eastAsia="zh-CN"/>
              </w:rPr>
              <w:t>65.11</w:t>
            </w:r>
            <w:r>
              <w:rPr>
                <w:rFonts w:hint="eastAsia"/>
                <w:b/>
                <w:bCs/>
                <w:color w:val="FF0000"/>
              </w:rPr>
              <w:t>万元/台，直连廊电梯</w:t>
            </w:r>
            <w:r>
              <w:rPr>
                <w:rFonts w:hint="eastAsia"/>
                <w:b/>
                <w:bCs/>
                <w:color w:val="FF0000"/>
                <w:lang w:val="en-US" w:eastAsia="zh-CN"/>
              </w:rPr>
              <w:t>56.42</w:t>
            </w:r>
            <w:r>
              <w:rPr>
                <w:rFonts w:hint="eastAsia"/>
                <w:b/>
                <w:bCs/>
                <w:color w:val="FF0000"/>
              </w:rPr>
              <w:t>万元/台，超过此限价作无效标处理。</w:t>
            </w:r>
          </w:p>
        </w:tc>
      </w:tr>
    </w:tbl>
    <w:p>
      <w:pPr>
        <w:snapToGrid w:val="0"/>
        <w:ind w:firstLine="480"/>
        <w:rPr>
          <w:rFonts w:cs="Times New Roman"/>
        </w:rPr>
      </w:pPr>
    </w:p>
    <w:p>
      <w:pPr>
        <w:pStyle w:val="3"/>
        <w:numPr>
          <w:ilvl w:val="0"/>
          <w:numId w:val="10"/>
        </w:numPr>
        <w:ind w:firstLine="0"/>
        <w:rPr>
          <w:rFonts w:cs="Times New Roman"/>
        </w:rPr>
      </w:pPr>
      <w:bookmarkStart w:id="47" w:name="_Toc2457"/>
      <w:bookmarkStart w:id="48" w:name="_Toc9225"/>
      <w:bookmarkStart w:id="49" w:name="_Toc2038"/>
      <w:r>
        <w:rPr>
          <w:rFonts w:hint="eastAsia" w:cs="黑体"/>
        </w:rPr>
        <w:t>总</w:t>
      </w:r>
      <w:r>
        <w:t xml:space="preserve">  </w:t>
      </w:r>
      <w:r>
        <w:rPr>
          <w:rFonts w:hint="eastAsia" w:cs="黑体"/>
        </w:rPr>
        <w:t>则</w:t>
      </w:r>
      <w:bookmarkEnd w:id="47"/>
      <w:bookmarkEnd w:id="48"/>
      <w:bookmarkEnd w:id="49"/>
    </w:p>
    <w:p>
      <w:pPr>
        <w:pStyle w:val="4"/>
        <w:rPr>
          <w:sz w:val="24"/>
          <w:szCs w:val="24"/>
        </w:rPr>
      </w:pPr>
      <w:bookmarkStart w:id="50" w:name="_Toc8321"/>
      <w:bookmarkStart w:id="51" w:name="_Toc26195"/>
      <w:bookmarkStart w:id="52" w:name="_Toc31732"/>
      <w:r>
        <w:rPr>
          <w:rFonts w:hint="eastAsia" w:cs="宋体"/>
          <w:sz w:val="24"/>
          <w:szCs w:val="24"/>
        </w:rPr>
        <w:t>（一）适用范围</w:t>
      </w:r>
      <w:bookmarkEnd w:id="50"/>
      <w:bookmarkEnd w:id="51"/>
      <w:bookmarkEnd w:id="52"/>
      <w:r>
        <w:rPr>
          <w:sz w:val="24"/>
          <w:szCs w:val="24"/>
        </w:rPr>
        <w:t>:</w:t>
      </w:r>
    </w:p>
    <w:p>
      <w:pPr>
        <w:snapToGrid w:val="0"/>
        <w:ind w:firstLine="480"/>
        <w:jc w:val="left"/>
        <w:rPr>
          <w:rFonts w:cs="Times New Roman"/>
        </w:rPr>
      </w:pPr>
      <w:r>
        <w:rPr>
          <w:rFonts w:hint="eastAsia"/>
        </w:rPr>
        <w:t>本采购文件适用于杭州市滨江区春波小区整体装配式既有住宅加装电梯工程的招标、投标、评标、定标、验收、合同履约、付款等行为（法律、法规另有规定的，从其规定）。</w:t>
      </w:r>
    </w:p>
    <w:p>
      <w:pPr>
        <w:pStyle w:val="4"/>
        <w:rPr>
          <w:sz w:val="24"/>
          <w:szCs w:val="24"/>
        </w:rPr>
      </w:pPr>
      <w:bookmarkStart w:id="53" w:name="_Toc26074"/>
      <w:bookmarkStart w:id="54" w:name="_Toc1228"/>
      <w:bookmarkStart w:id="55" w:name="_Toc23636"/>
      <w:r>
        <w:rPr>
          <w:rFonts w:hint="eastAsia" w:cs="宋体"/>
          <w:sz w:val="24"/>
          <w:szCs w:val="24"/>
        </w:rPr>
        <w:t>（二）定义</w:t>
      </w:r>
      <w:bookmarkEnd w:id="53"/>
      <w:bookmarkEnd w:id="54"/>
      <w:bookmarkEnd w:id="55"/>
      <w:r>
        <w:rPr>
          <w:sz w:val="24"/>
          <w:szCs w:val="24"/>
        </w:rPr>
        <w:t>:</w:t>
      </w:r>
    </w:p>
    <w:p>
      <w:pPr>
        <w:ind w:firstLine="480"/>
        <w:rPr>
          <w:rFonts w:cs="Times New Roman"/>
        </w:rPr>
      </w:pPr>
      <w:r>
        <w:t>1</w:t>
      </w:r>
      <w:r>
        <w:rPr>
          <w:rFonts w:hint="eastAsia"/>
        </w:rPr>
        <w:t>、“采购人”系指组织本次招标采购单位。</w:t>
      </w:r>
    </w:p>
    <w:p>
      <w:pPr>
        <w:ind w:firstLine="480"/>
        <w:rPr>
          <w:rFonts w:cs="Times New Roman"/>
        </w:rPr>
      </w:pPr>
      <w:r>
        <w:t>2</w:t>
      </w:r>
      <w:r>
        <w:rPr>
          <w:rFonts w:hint="eastAsia"/>
        </w:rPr>
        <w:t>、“投标人”系指向招标方提交投标文件的单位或个人。</w:t>
      </w:r>
    </w:p>
    <w:p>
      <w:pPr>
        <w:ind w:firstLine="480"/>
        <w:rPr>
          <w:rFonts w:cs="Times New Roman"/>
        </w:rPr>
      </w:pPr>
      <w:r>
        <w:t>3</w:t>
      </w:r>
      <w:r>
        <w:rPr>
          <w:rFonts w:hint="eastAsia"/>
        </w:rPr>
        <w:t>、“项目”系指投标人按采购文件规定向采购人提供的服务。</w:t>
      </w:r>
    </w:p>
    <w:p>
      <w:pPr>
        <w:ind w:firstLine="480"/>
        <w:rPr>
          <w:rFonts w:cs="Times New Roman"/>
        </w:rPr>
      </w:pPr>
      <w:r>
        <w:t>4</w:t>
      </w:r>
      <w:r>
        <w:rPr>
          <w:rFonts w:hint="eastAsia"/>
        </w:rPr>
        <w:t>、“书面形式”包括信函、传真、电报等。</w:t>
      </w:r>
    </w:p>
    <w:p>
      <w:pPr>
        <w:ind w:firstLine="480"/>
        <w:rPr>
          <w:rFonts w:cs="Times New Roman"/>
        </w:rPr>
      </w:pPr>
      <w:r>
        <w:t>5</w:t>
      </w:r>
      <w:r>
        <w:rPr>
          <w:rFonts w:hint="eastAsia"/>
        </w:rPr>
        <w:t>、“▲”系指实质性要求条款。</w:t>
      </w:r>
    </w:p>
    <w:p>
      <w:pPr>
        <w:pStyle w:val="4"/>
        <w:rPr>
          <w:sz w:val="24"/>
          <w:szCs w:val="24"/>
        </w:rPr>
      </w:pPr>
      <w:bookmarkStart w:id="56" w:name="_Toc134"/>
      <w:bookmarkStart w:id="57" w:name="_Toc29082"/>
      <w:bookmarkStart w:id="58" w:name="_Toc25031"/>
      <w:r>
        <w:rPr>
          <w:rFonts w:hint="eastAsia" w:cs="宋体"/>
          <w:sz w:val="24"/>
          <w:szCs w:val="24"/>
        </w:rPr>
        <w:t>（三）招标方式</w:t>
      </w:r>
      <w:bookmarkEnd w:id="56"/>
      <w:bookmarkEnd w:id="57"/>
      <w:bookmarkEnd w:id="58"/>
      <w:r>
        <w:rPr>
          <w:sz w:val="24"/>
          <w:szCs w:val="24"/>
        </w:rPr>
        <w:t>:</w:t>
      </w:r>
    </w:p>
    <w:p>
      <w:pPr>
        <w:ind w:firstLine="480"/>
        <w:rPr>
          <w:rFonts w:cs="Times New Roman"/>
        </w:rPr>
      </w:pPr>
      <w:r>
        <w:rPr>
          <w:rFonts w:hint="eastAsia"/>
        </w:rPr>
        <w:t>本次招标采用公开招标方式进行。</w:t>
      </w:r>
    </w:p>
    <w:p>
      <w:pPr>
        <w:pStyle w:val="4"/>
        <w:rPr>
          <w:sz w:val="24"/>
          <w:szCs w:val="24"/>
        </w:rPr>
      </w:pPr>
      <w:bookmarkStart w:id="59" w:name="_Toc26004"/>
      <w:bookmarkStart w:id="60" w:name="_Toc12920"/>
      <w:bookmarkStart w:id="61" w:name="_Toc8279"/>
      <w:r>
        <w:rPr>
          <w:rFonts w:hint="eastAsia" w:cs="宋体"/>
          <w:sz w:val="24"/>
          <w:szCs w:val="24"/>
        </w:rPr>
        <w:t>（四）投标委托</w:t>
      </w:r>
      <w:bookmarkEnd w:id="59"/>
      <w:bookmarkEnd w:id="60"/>
      <w:bookmarkEnd w:id="61"/>
      <w:r>
        <w:rPr>
          <w:sz w:val="24"/>
          <w:szCs w:val="24"/>
        </w:rPr>
        <w:t>:</w:t>
      </w:r>
    </w:p>
    <w:p>
      <w:pPr>
        <w:ind w:firstLine="480"/>
        <w:rPr>
          <w:rFonts w:cs="Times New Roman"/>
        </w:rPr>
      </w:pPr>
      <w:r>
        <w:rPr>
          <w:rFonts w:hint="eastAsia"/>
        </w:rPr>
        <w:t>投标人代表须携带有效身份证件。如投标人代表不是法定代表人，须有法定代表人出具的授权委托书（正本用原件，副本用复印件，格式见第六章）。</w:t>
      </w:r>
    </w:p>
    <w:p>
      <w:pPr>
        <w:pStyle w:val="4"/>
        <w:rPr>
          <w:sz w:val="24"/>
          <w:szCs w:val="24"/>
        </w:rPr>
      </w:pPr>
      <w:bookmarkStart w:id="62" w:name="_Toc2846"/>
      <w:bookmarkStart w:id="63" w:name="_Toc17949"/>
      <w:bookmarkStart w:id="64" w:name="_Toc4213"/>
      <w:r>
        <w:rPr>
          <w:rFonts w:hint="eastAsia" w:cs="宋体"/>
          <w:sz w:val="24"/>
          <w:szCs w:val="24"/>
        </w:rPr>
        <w:t>（五）投标费用</w:t>
      </w:r>
      <w:bookmarkEnd w:id="62"/>
      <w:bookmarkEnd w:id="63"/>
      <w:bookmarkEnd w:id="64"/>
      <w:r>
        <w:rPr>
          <w:sz w:val="24"/>
          <w:szCs w:val="24"/>
        </w:rPr>
        <w:t>:</w:t>
      </w:r>
    </w:p>
    <w:p>
      <w:pPr>
        <w:snapToGrid w:val="0"/>
        <w:ind w:firstLine="480"/>
        <w:jc w:val="left"/>
        <w:rPr>
          <w:rFonts w:cs="Times New Roman"/>
        </w:rPr>
      </w:pPr>
      <w:r>
        <w:rPr>
          <w:rFonts w:hint="eastAsia"/>
        </w:rPr>
        <w:t>不论投标结果如何，投标人均应自行承担所有与投标有关的全部费用（采购文件有相反规定除外）。</w:t>
      </w:r>
    </w:p>
    <w:p>
      <w:pPr>
        <w:pStyle w:val="4"/>
        <w:rPr>
          <w:sz w:val="24"/>
          <w:szCs w:val="24"/>
        </w:rPr>
      </w:pPr>
      <w:bookmarkStart w:id="65" w:name="_Toc24002"/>
      <w:bookmarkStart w:id="66" w:name="_Toc12660"/>
      <w:bookmarkStart w:id="67" w:name="_Toc10399"/>
      <w:r>
        <w:rPr>
          <w:rFonts w:hint="eastAsia" w:cs="宋体"/>
          <w:sz w:val="24"/>
          <w:szCs w:val="24"/>
        </w:rPr>
        <w:t>（六）联合体投标</w:t>
      </w:r>
      <w:bookmarkEnd w:id="65"/>
      <w:bookmarkEnd w:id="66"/>
      <w:bookmarkEnd w:id="67"/>
      <w:r>
        <w:rPr>
          <w:sz w:val="24"/>
          <w:szCs w:val="24"/>
        </w:rPr>
        <w:t>:</w:t>
      </w:r>
    </w:p>
    <w:p>
      <w:pPr>
        <w:snapToGrid w:val="0"/>
        <w:ind w:firstLine="470" w:firstLineChars="196"/>
        <w:rPr>
          <w:rFonts w:cs="Times New Roman"/>
        </w:rPr>
      </w:pPr>
      <w:r>
        <w:rPr>
          <w:rFonts w:hint="eastAsia"/>
        </w:rPr>
        <w:t>本工程拒绝联合体投标。</w:t>
      </w:r>
    </w:p>
    <w:p>
      <w:pPr>
        <w:pStyle w:val="4"/>
        <w:rPr>
          <w:sz w:val="24"/>
          <w:szCs w:val="24"/>
        </w:rPr>
      </w:pPr>
      <w:bookmarkStart w:id="68" w:name="_Toc1310"/>
      <w:bookmarkStart w:id="69" w:name="_Toc23797"/>
      <w:bookmarkStart w:id="70" w:name="_Toc6722"/>
      <w:r>
        <w:rPr>
          <w:rFonts w:hint="eastAsia" w:cs="宋体"/>
          <w:sz w:val="24"/>
          <w:szCs w:val="24"/>
        </w:rPr>
        <w:t>（七）转包与分包</w:t>
      </w:r>
      <w:bookmarkEnd w:id="68"/>
      <w:bookmarkEnd w:id="69"/>
      <w:bookmarkEnd w:id="70"/>
      <w:r>
        <w:rPr>
          <w:sz w:val="24"/>
          <w:szCs w:val="24"/>
        </w:rPr>
        <w:t>:</w:t>
      </w:r>
    </w:p>
    <w:p>
      <w:pPr>
        <w:snapToGrid w:val="0"/>
        <w:ind w:firstLine="470" w:firstLineChars="196"/>
        <w:rPr>
          <w:rFonts w:cs="Times New Roman"/>
          <w:kern w:val="0"/>
        </w:rPr>
      </w:pPr>
      <w:r>
        <w:rPr>
          <w:rFonts w:hint="eastAsia"/>
          <w:kern w:val="0"/>
        </w:rPr>
        <w:t>本项目不允许转包，经采购人同意后非主体部分可分包。</w:t>
      </w:r>
    </w:p>
    <w:p>
      <w:pPr>
        <w:pStyle w:val="4"/>
        <w:rPr>
          <w:sz w:val="24"/>
          <w:szCs w:val="24"/>
        </w:rPr>
      </w:pPr>
      <w:bookmarkStart w:id="71" w:name="_Toc13265"/>
      <w:bookmarkStart w:id="72" w:name="_Toc26787"/>
      <w:bookmarkStart w:id="73" w:name="_Toc18026"/>
      <w:r>
        <w:rPr>
          <w:rFonts w:hint="eastAsia" w:cs="宋体"/>
          <w:sz w:val="24"/>
          <w:szCs w:val="24"/>
        </w:rPr>
        <w:t>（八）特别说明：</w:t>
      </w:r>
      <w:bookmarkEnd w:id="71"/>
      <w:bookmarkEnd w:id="72"/>
      <w:bookmarkEnd w:id="73"/>
    </w:p>
    <w:p>
      <w:pPr>
        <w:ind w:firstLine="480"/>
        <w:rPr>
          <w:rFonts w:cs="Times New Roman"/>
        </w:rPr>
      </w:pPr>
      <w:r>
        <w:rPr>
          <w:rFonts w:hint="eastAsia"/>
        </w:rPr>
        <w:t>▲</w:t>
      </w:r>
      <w:r>
        <w:t>1</w:t>
      </w:r>
      <w:r>
        <w:rPr>
          <w:rFonts w:hint="eastAsia"/>
        </w:rPr>
        <w:t>、投标人投标所使用的资格、信誉、荣誉、业绩与企业认证必须为本法人所拥有。投标人投标所使用的采购项目实施人员必须为本法人正式员工。</w:t>
      </w:r>
    </w:p>
    <w:p>
      <w:pPr>
        <w:ind w:firstLine="480"/>
        <w:rPr>
          <w:rFonts w:cs="Times New Roman"/>
        </w:rPr>
      </w:pPr>
      <w:r>
        <w:rPr>
          <w:rFonts w:hint="eastAsia"/>
        </w:rPr>
        <w:t>▲</w:t>
      </w:r>
      <w:r>
        <w:t>2</w:t>
      </w:r>
      <w:r>
        <w:rPr>
          <w:rFonts w:hint="eastAsia"/>
        </w:rPr>
        <w:t>、投标人应仔细阅读采购文件的所有内容，按照采购文件的要求提交投标文件，并对所提供的全部资料的真实性承担法律责任。</w:t>
      </w:r>
    </w:p>
    <w:p>
      <w:pPr>
        <w:ind w:firstLine="480"/>
        <w:rPr>
          <w:rFonts w:cs="Times New Roman"/>
        </w:rPr>
      </w:pPr>
      <w:r>
        <w:rPr>
          <w:rFonts w:hint="eastAsia"/>
        </w:rPr>
        <w:t>▲</w:t>
      </w:r>
      <w:r>
        <w:t>3</w:t>
      </w:r>
      <w:r>
        <w:rPr>
          <w:rFonts w:hint="eastAsia"/>
        </w:rPr>
        <w:t>、投标人在投标活动中提供任何虚假材料</w:t>
      </w:r>
      <w:r>
        <w:t>,</w:t>
      </w:r>
      <w:r>
        <w:rPr>
          <w:rFonts w:hint="eastAsia"/>
        </w:rPr>
        <w:t>其投标无效，并报监管部门查处；中标后发现的</w:t>
      </w:r>
      <w:r>
        <w:t>,</w:t>
      </w:r>
      <w:r>
        <w:rPr>
          <w:rFonts w:hint="eastAsia"/>
        </w:rPr>
        <w:t>中标人须依照《中华人民共和国消费者权益保护法》第</w:t>
      </w:r>
      <w:r>
        <w:t>49</w:t>
      </w:r>
      <w:r>
        <w:rPr>
          <w:rFonts w:hint="eastAsia"/>
        </w:rPr>
        <w:t>条之规定双倍赔偿采购人，且民事赔偿并不免除违法投标人的行政与刑事责任。</w:t>
      </w:r>
    </w:p>
    <w:p>
      <w:pPr>
        <w:pStyle w:val="4"/>
        <w:rPr>
          <w:sz w:val="24"/>
          <w:szCs w:val="24"/>
        </w:rPr>
      </w:pPr>
      <w:bookmarkStart w:id="74" w:name="_Toc19187"/>
      <w:bookmarkStart w:id="75" w:name="_Toc28776"/>
      <w:bookmarkStart w:id="76" w:name="_Toc32081"/>
      <w:r>
        <w:rPr>
          <w:rFonts w:hint="eastAsia" w:cs="宋体"/>
          <w:sz w:val="24"/>
          <w:szCs w:val="24"/>
        </w:rPr>
        <w:t>（九）质疑和投诉</w:t>
      </w:r>
      <w:bookmarkEnd w:id="74"/>
      <w:bookmarkEnd w:id="75"/>
      <w:bookmarkEnd w:id="76"/>
      <w:r>
        <w:rPr>
          <w:sz w:val="24"/>
          <w:szCs w:val="24"/>
        </w:rPr>
        <w:t>:</w:t>
      </w:r>
    </w:p>
    <w:p>
      <w:pPr>
        <w:ind w:firstLine="480"/>
        <w:rPr>
          <w:rFonts w:cs="Times New Roman"/>
        </w:rPr>
      </w:pPr>
      <w:r>
        <w:rPr>
          <w:rFonts w:hint="eastAsia"/>
        </w:rPr>
        <w:t>根据《中华人民共和国政府采购法》、《中华人民共和国政府采购法实施条例》、《政府采购质疑和投诉办法》(财政部令第94号)、《财政部关于加强政府采购供应商投诉受理审查工作的通知》(财库〔2007〕1号)和《浙江省政府采购供应商质疑处理办法》（浙财采监[2012]18号）的规定，政府采购供应商可以依法提起质疑和投诉。</w:t>
      </w:r>
    </w:p>
    <w:p>
      <w:pPr>
        <w:ind w:firstLine="480"/>
      </w:pPr>
      <w:r>
        <w:t>1</w:t>
      </w:r>
      <w:r>
        <w:rPr>
          <w:rFonts w:hint="eastAsia"/>
        </w:rPr>
        <w:t>、供应商询问</w:t>
      </w:r>
      <w:r>
        <w:t>:</w:t>
      </w:r>
    </w:p>
    <w:p>
      <w:pPr>
        <w:ind w:firstLine="480"/>
        <w:rPr>
          <w:rFonts w:cs="Times New Roman"/>
        </w:rPr>
      </w:pPr>
      <w:r>
        <w:rPr>
          <w:rFonts w:hint="eastAsia"/>
        </w:rPr>
        <w:t>供应商对政府采购活动事项有疑问的，可以向采购机构提出询问，采购机构应当在三个工作日内作出答复，但答复的内容不得涉及商业秘密。</w:t>
      </w:r>
    </w:p>
    <w:p>
      <w:pPr>
        <w:ind w:firstLine="480"/>
      </w:pPr>
      <w:r>
        <w:t>2</w:t>
      </w:r>
      <w:r>
        <w:rPr>
          <w:rFonts w:hint="eastAsia"/>
        </w:rPr>
        <w:t>、供应商质疑</w:t>
      </w:r>
      <w:r>
        <w:t>:</w:t>
      </w:r>
    </w:p>
    <w:p>
      <w:pPr>
        <w:ind w:firstLine="480"/>
        <w:rPr>
          <w:rFonts w:cs="Times New Roman"/>
        </w:rPr>
      </w:pPr>
      <w:r>
        <w:rPr>
          <w:rFonts w:hint="eastAsia"/>
        </w:rPr>
        <w:t>（</w:t>
      </w:r>
      <w:r>
        <w:t>1</w:t>
      </w:r>
      <w:r>
        <w:rPr>
          <w:rFonts w:hint="eastAsia"/>
        </w:rPr>
        <w:t>）供应商认为招标文件、采购过程和中标、成交结果使自己的权益受到损害的，可以在知道或者应知其权益受到损害之日起七个工作日内，以书面形式向采购机构提出质疑。</w:t>
      </w:r>
    </w:p>
    <w:p>
      <w:pPr>
        <w:ind w:firstLine="480"/>
        <w:rPr>
          <w:rFonts w:cs="Times New Roman"/>
        </w:rPr>
      </w:pPr>
      <w:r>
        <w:rPr>
          <w:rFonts w:hint="eastAsia"/>
        </w:rPr>
        <w:t>（</w:t>
      </w:r>
      <w:r>
        <w:t>2</w:t>
      </w:r>
      <w:r>
        <w:rPr>
          <w:rFonts w:hint="eastAsia"/>
        </w:rPr>
        <w:t>）供应商如认为招标公告信息使自身的合法权益受到损害的，应于自招标公告发布之日起七个工作内以书面形式向采购机构提出质疑。</w:t>
      </w:r>
    </w:p>
    <w:p>
      <w:pPr>
        <w:ind w:firstLine="480"/>
        <w:rPr>
          <w:rFonts w:cs="Times New Roman"/>
        </w:rPr>
      </w:pPr>
      <w:r>
        <w:rPr>
          <w:rFonts w:hint="eastAsia"/>
        </w:rPr>
        <w:t>（</w:t>
      </w:r>
      <w:r>
        <w:t>3</w:t>
      </w:r>
      <w:r>
        <w:rPr>
          <w:rFonts w:hint="eastAsia"/>
        </w:rPr>
        <w:t>）供应商如认为招标文件使自身的合法权益受到损害的，应于自获取招标文件之日起七个工作内以书面形式向采购机构提出质疑（招标文件领取截止时间之后获取的，应于自招标文件领取截止时间之日起七个工作日内以书面形式向采购机构提出）。</w:t>
      </w:r>
    </w:p>
    <w:p>
      <w:pPr>
        <w:ind w:firstLine="480"/>
        <w:rPr>
          <w:rFonts w:cs="Times New Roman"/>
        </w:rPr>
      </w:pPr>
      <w:r>
        <w:rPr>
          <w:rFonts w:hint="eastAsia"/>
        </w:rPr>
        <w:t>（</w:t>
      </w:r>
      <w:r>
        <w:t>4</w:t>
      </w:r>
      <w:r>
        <w:rPr>
          <w:rFonts w:hint="eastAsia"/>
        </w:rPr>
        <w:t>）供应商如认为采购过程和中标结果使自身的合法权益受到损害的，应于自预中标结果公告之日起七个工作日内以书面形式向采购机构提出质疑。</w:t>
      </w:r>
    </w:p>
    <w:p>
      <w:pPr>
        <w:ind w:firstLine="480"/>
        <w:rPr>
          <w:rFonts w:cs="Times New Roman"/>
        </w:rPr>
      </w:pPr>
      <w:r>
        <w:rPr>
          <w:rFonts w:hint="eastAsia"/>
        </w:rPr>
        <w:t>（</w:t>
      </w:r>
      <w:r>
        <w:t>5</w:t>
      </w:r>
      <w:r>
        <w:rPr>
          <w:rFonts w:hint="eastAsia"/>
        </w:rPr>
        <w:t>）供应商提交的质疑书需一式三份，由法定代表人签字（或盖章）并加盖单位公章。质疑书至少应包括下列主要内容：</w:t>
      </w:r>
    </w:p>
    <w:p>
      <w:pPr>
        <w:ind w:firstLine="480"/>
        <w:rPr>
          <w:rFonts w:cs="Times New Roman"/>
        </w:rPr>
      </w:pPr>
      <w:r>
        <w:rPr>
          <w:rFonts w:hint="eastAsia"/>
        </w:rPr>
        <w:t>①</w:t>
      </w:r>
      <w:r>
        <w:t xml:space="preserve"> </w:t>
      </w:r>
      <w:r>
        <w:rPr>
          <w:rFonts w:hint="eastAsia"/>
        </w:rPr>
        <w:t>质疑人的名称、地址、邮政编码、联系人、联系电话，以及被质疑人名称及联系方式；</w:t>
      </w:r>
    </w:p>
    <w:p>
      <w:pPr>
        <w:ind w:firstLine="480"/>
        <w:rPr>
          <w:rFonts w:cs="Times New Roman"/>
        </w:rPr>
      </w:pPr>
      <w:r>
        <w:rPr>
          <w:rFonts w:hint="eastAsia"/>
        </w:rPr>
        <w:t>②</w:t>
      </w:r>
      <w:r>
        <w:t xml:space="preserve"> </w:t>
      </w:r>
      <w:r>
        <w:rPr>
          <w:rFonts w:hint="eastAsia"/>
        </w:rPr>
        <w:t>被质疑采购项目名称、编号及采购内容；</w:t>
      </w:r>
    </w:p>
    <w:p>
      <w:pPr>
        <w:ind w:firstLine="480"/>
        <w:rPr>
          <w:rFonts w:cs="Times New Roman"/>
        </w:rPr>
      </w:pPr>
      <w:r>
        <w:rPr>
          <w:rFonts w:hint="eastAsia"/>
        </w:rPr>
        <w:t>③</w:t>
      </w:r>
      <w:r>
        <w:t xml:space="preserve"> </w:t>
      </w:r>
      <w:r>
        <w:rPr>
          <w:rFonts w:hint="eastAsia"/>
        </w:rPr>
        <w:t>具体的质疑事项及事实依据；</w:t>
      </w:r>
    </w:p>
    <w:p>
      <w:pPr>
        <w:ind w:firstLine="480"/>
        <w:rPr>
          <w:rFonts w:cs="Times New Roman"/>
        </w:rPr>
      </w:pPr>
      <w:r>
        <w:rPr>
          <w:rFonts w:hint="eastAsia"/>
        </w:rPr>
        <w:t>④</w:t>
      </w:r>
      <w:r>
        <w:t xml:space="preserve"> </w:t>
      </w:r>
      <w:r>
        <w:rPr>
          <w:rFonts w:hint="eastAsia"/>
        </w:rPr>
        <w:t>认为自己合法权益受到损害或可能受到损害的相关证据材料；</w:t>
      </w:r>
    </w:p>
    <w:p>
      <w:pPr>
        <w:ind w:firstLine="480"/>
        <w:rPr>
          <w:rFonts w:cs="Times New Roman"/>
        </w:rPr>
      </w:pPr>
      <w:r>
        <w:rPr>
          <w:rFonts w:hint="eastAsia"/>
        </w:rPr>
        <w:t>⑤</w:t>
      </w:r>
      <w:r>
        <w:t xml:space="preserve"> </w:t>
      </w:r>
      <w:r>
        <w:rPr>
          <w:rFonts w:hint="eastAsia"/>
        </w:rPr>
        <w:t>提出质疑的日期。</w:t>
      </w:r>
    </w:p>
    <w:p>
      <w:pPr>
        <w:ind w:firstLine="480"/>
        <w:rPr>
          <w:rFonts w:cs="Times New Roman"/>
        </w:rPr>
      </w:pPr>
      <w:r>
        <w:rPr>
          <w:rFonts w:hint="eastAsia"/>
        </w:rPr>
        <w:t>（</w:t>
      </w:r>
      <w:r>
        <w:t>6</w:t>
      </w:r>
      <w:r>
        <w:rPr>
          <w:rFonts w:hint="eastAsia"/>
        </w:rPr>
        <w:t>）采购机构应当在收到供应商的书面质疑后七个工作日内作出答复，并以书面形式通知质疑供应商和其他与质疑处理结果有利害关系的政府采购当事人，但答复的内容不得涉及商业秘密。</w:t>
      </w:r>
    </w:p>
    <w:p>
      <w:pPr>
        <w:ind w:firstLine="480"/>
      </w:pPr>
      <w:r>
        <w:t>3</w:t>
      </w:r>
      <w:r>
        <w:rPr>
          <w:rFonts w:hint="eastAsia"/>
        </w:rPr>
        <w:t>、供应商投诉</w:t>
      </w:r>
      <w:r>
        <w:t>:</w:t>
      </w:r>
    </w:p>
    <w:p>
      <w:pPr>
        <w:ind w:firstLine="480"/>
        <w:rPr>
          <w:rFonts w:cs="Times New Roman"/>
        </w:rPr>
      </w:pPr>
      <w:r>
        <w:rPr>
          <w:rFonts w:hint="eastAsia"/>
        </w:rPr>
        <w:t>①</w:t>
      </w:r>
      <w:r>
        <w:t xml:space="preserve"> </w:t>
      </w:r>
      <w:r>
        <w:rPr>
          <w:rFonts w:hint="eastAsia"/>
        </w:rPr>
        <w:t>质疑供应商对采购机构的答复不满意或者采购机构未在规定的时间内作出答复的，可以在答复期满后十五个工作日内向同级政府采购监督管理部门提出投诉。</w:t>
      </w:r>
    </w:p>
    <w:p>
      <w:pPr>
        <w:ind w:firstLine="480"/>
        <w:rPr>
          <w:rFonts w:cs="Times New Roman"/>
        </w:rPr>
      </w:pPr>
      <w:r>
        <w:rPr>
          <w:rFonts w:hint="eastAsia"/>
        </w:rPr>
        <w:t>②</w:t>
      </w:r>
      <w:r>
        <w:t xml:space="preserve"> </w:t>
      </w:r>
      <w:r>
        <w:rPr>
          <w:rFonts w:hint="eastAsia"/>
        </w:rPr>
        <w:t>财政部门经审查，有投诉人不是参加投诉项目政府采购活动的当事人、被投诉人为采购人或采购代理机构之外的当事人、所有投诉事项未经过质疑、所有投诉事项超过投诉有效期、以具有法律效力的文书送达之外方式提出的投诉等情形之一的，应当认定为无效投诉，不予受理，并及时书面告知投诉人不予受理的理由。</w:t>
      </w:r>
    </w:p>
    <w:p>
      <w:pPr>
        <w:pStyle w:val="8"/>
        <w:ind w:firstLine="434" w:firstLineChars="181"/>
        <w:rPr>
          <w:rFonts w:hint="eastAsia"/>
        </w:rPr>
      </w:pPr>
      <w:r>
        <w:rPr>
          <w:rFonts w:hint="eastAsia"/>
        </w:rPr>
        <w:t>质疑受理地点：</w:t>
      </w:r>
      <w:r>
        <w:rPr>
          <w:rFonts w:hint="eastAsia"/>
          <w:lang w:eastAsia="zh-CN"/>
        </w:rPr>
        <w:t>浙江五洲工程项目管理有限</w:t>
      </w:r>
      <w:r>
        <w:rPr>
          <w:rFonts w:hint="eastAsia"/>
        </w:rPr>
        <w:t>公司</w:t>
      </w:r>
    </w:p>
    <w:p>
      <w:pPr>
        <w:pStyle w:val="8"/>
        <w:ind w:firstLine="434" w:firstLineChars="181"/>
      </w:pPr>
      <w:r>
        <w:rPr>
          <w:rFonts w:hint="eastAsia"/>
        </w:rPr>
        <w:t>（地址：杭州市滨江区六和路中控大厦E幢18楼1807室）；</w:t>
      </w:r>
    </w:p>
    <w:p>
      <w:pPr>
        <w:pStyle w:val="8"/>
        <w:rPr>
          <w:rFonts w:cs="Times New Roman"/>
        </w:rPr>
      </w:pPr>
      <w:r>
        <w:rPr>
          <w:rFonts w:hint="eastAsia"/>
        </w:rPr>
        <w:t>联系人：</w:t>
      </w:r>
      <w:r>
        <w:rPr>
          <w:rFonts w:hint="eastAsia"/>
          <w:u w:val="single"/>
          <w:lang w:eastAsia="zh-CN"/>
        </w:rPr>
        <w:t>徐辉</w:t>
      </w:r>
      <w:r>
        <w:rPr>
          <w:rFonts w:hint="eastAsia"/>
        </w:rPr>
        <w:t>；联系电话：</w:t>
      </w:r>
      <w:r>
        <w:rPr>
          <w:rFonts w:hint="eastAsia"/>
          <w:u w:val="single"/>
          <w:lang w:val="en-US" w:eastAsia="zh-CN"/>
        </w:rPr>
        <w:t>13666634227</w:t>
      </w:r>
      <w:r>
        <w:rPr>
          <w:rFonts w:hint="eastAsia"/>
          <w:u w:val="single"/>
        </w:rPr>
        <w:t xml:space="preserve"> </w:t>
      </w:r>
      <w:r>
        <w:rPr>
          <w:rFonts w:hint="eastAsia"/>
        </w:rPr>
        <w:t>。</w:t>
      </w:r>
    </w:p>
    <w:p>
      <w:pPr>
        <w:tabs>
          <w:tab w:val="left" w:pos="1260"/>
        </w:tabs>
        <w:spacing w:line="460" w:lineRule="exact"/>
        <w:ind w:firstLine="480"/>
      </w:pPr>
      <w:r>
        <w:rPr>
          <w:rFonts w:hint="eastAsia"/>
        </w:rPr>
        <w:t>投诉受理地点：杭州市滨江区财政局；联系电话：</w:t>
      </w:r>
      <w:r>
        <w:rPr>
          <w:rFonts w:hint="eastAsia" w:ascii="宋体" w:hAnsi="宋体" w:eastAsia="宋体" w:cs="宋体"/>
          <w:kern w:val="2"/>
          <w:sz w:val="24"/>
          <w:szCs w:val="24"/>
          <w:u w:val="single"/>
          <w:lang w:val="en-US" w:eastAsia="zh-CN" w:bidi="ar-SA"/>
        </w:rPr>
        <w:t xml:space="preserve">0571－87760023 </w:t>
      </w:r>
      <w:r>
        <w:rPr>
          <w:rFonts w:hint="eastAsia"/>
        </w:rPr>
        <w:t>。</w:t>
      </w:r>
    </w:p>
    <w:p>
      <w:pPr>
        <w:tabs>
          <w:tab w:val="left" w:pos="1260"/>
        </w:tabs>
        <w:spacing w:line="460" w:lineRule="exact"/>
        <w:ind w:firstLine="480"/>
      </w:pPr>
    </w:p>
    <w:p>
      <w:pPr>
        <w:tabs>
          <w:tab w:val="left" w:pos="1260"/>
        </w:tabs>
        <w:spacing w:line="460" w:lineRule="exact"/>
        <w:ind w:firstLine="480"/>
      </w:pPr>
    </w:p>
    <w:p>
      <w:pPr>
        <w:tabs>
          <w:tab w:val="left" w:pos="1260"/>
        </w:tabs>
        <w:spacing w:line="460" w:lineRule="exact"/>
        <w:ind w:firstLine="480"/>
      </w:pPr>
    </w:p>
    <w:p>
      <w:pPr>
        <w:tabs>
          <w:tab w:val="left" w:pos="1260"/>
        </w:tabs>
        <w:spacing w:line="460" w:lineRule="exact"/>
        <w:ind w:firstLine="480"/>
      </w:pPr>
    </w:p>
    <w:p>
      <w:pPr>
        <w:tabs>
          <w:tab w:val="left" w:pos="1260"/>
        </w:tabs>
        <w:spacing w:line="460" w:lineRule="exact"/>
        <w:ind w:left="0" w:leftChars="0" w:firstLine="0" w:firstLineChars="0"/>
      </w:pPr>
    </w:p>
    <w:p>
      <w:pPr>
        <w:pStyle w:val="3"/>
        <w:numPr>
          <w:ilvl w:val="0"/>
          <w:numId w:val="10"/>
        </w:numPr>
        <w:ind w:firstLine="0"/>
      </w:pPr>
      <w:bookmarkStart w:id="77" w:name="_Toc12040"/>
      <w:bookmarkStart w:id="78" w:name="_Toc120"/>
      <w:bookmarkStart w:id="79" w:name="_Toc32013"/>
      <w:r>
        <w:rPr>
          <w:rFonts w:hint="eastAsia" w:cs="黑体"/>
        </w:rPr>
        <w:t>采购文件</w:t>
      </w:r>
      <w:bookmarkEnd w:id="77"/>
      <w:bookmarkEnd w:id="78"/>
      <w:bookmarkEnd w:id="79"/>
    </w:p>
    <w:p>
      <w:pPr>
        <w:pStyle w:val="4"/>
        <w:rPr>
          <w:sz w:val="24"/>
          <w:szCs w:val="24"/>
        </w:rPr>
      </w:pPr>
      <w:bookmarkStart w:id="80" w:name="_Toc6621"/>
      <w:bookmarkStart w:id="81" w:name="_Toc31110"/>
      <w:bookmarkStart w:id="82" w:name="_Toc28756"/>
      <w:r>
        <w:rPr>
          <w:rFonts w:hint="eastAsia" w:cs="宋体"/>
          <w:sz w:val="24"/>
          <w:szCs w:val="24"/>
        </w:rPr>
        <w:t>（一）采购文件的构成。本采购文件由以下部份组成：</w:t>
      </w:r>
      <w:bookmarkEnd w:id="80"/>
      <w:bookmarkEnd w:id="81"/>
      <w:bookmarkEnd w:id="82"/>
    </w:p>
    <w:p>
      <w:pPr>
        <w:ind w:firstLine="480"/>
        <w:rPr>
          <w:rFonts w:cs="Times New Roman"/>
        </w:rPr>
      </w:pPr>
      <w:r>
        <w:t>1</w:t>
      </w:r>
      <w:r>
        <w:rPr>
          <w:rFonts w:hint="eastAsia"/>
        </w:rPr>
        <w:t>、公开招标采购公告</w:t>
      </w:r>
    </w:p>
    <w:p>
      <w:pPr>
        <w:ind w:firstLine="480"/>
        <w:rPr>
          <w:rFonts w:cs="Times New Roman"/>
        </w:rPr>
      </w:pPr>
      <w:r>
        <w:t>2</w:t>
      </w:r>
      <w:r>
        <w:rPr>
          <w:rFonts w:hint="eastAsia"/>
        </w:rPr>
        <w:t>、招标需求</w:t>
      </w:r>
    </w:p>
    <w:p>
      <w:pPr>
        <w:ind w:firstLine="480"/>
        <w:rPr>
          <w:rFonts w:cs="Times New Roman"/>
        </w:rPr>
      </w:pPr>
      <w:r>
        <w:t>3</w:t>
      </w:r>
      <w:r>
        <w:rPr>
          <w:rFonts w:hint="eastAsia"/>
        </w:rPr>
        <w:t>、投标人须知</w:t>
      </w:r>
    </w:p>
    <w:p>
      <w:pPr>
        <w:ind w:firstLine="480"/>
        <w:rPr>
          <w:rFonts w:cs="Times New Roman"/>
        </w:rPr>
      </w:pPr>
      <w:r>
        <w:t>4</w:t>
      </w:r>
      <w:r>
        <w:rPr>
          <w:rFonts w:hint="eastAsia"/>
        </w:rPr>
        <w:t>、评标办法及标准</w:t>
      </w:r>
    </w:p>
    <w:p>
      <w:pPr>
        <w:ind w:firstLine="480"/>
        <w:rPr>
          <w:rFonts w:cs="Times New Roman"/>
        </w:rPr>
      </w:pPr>
      <w:r>
        <w:t>5</w:t>
      </w:r>
      <w:r>
        <w:rPr>
          <w:rFonts w:hint="eastAsia"/>
        </w:rPr>
        <w:t>、合同主要条款</w:t>
      </w:r>
    </w:p>
    <w:p>
      <w:pPr>
        <w:ind w:firstLine="480"/>
        <w:rPr>
          <w:rFonts w:cs="Times New Roman"/>
        </w:rPr>
      </w:pPr>
      <w:r>
        <w:t>6</w:t>
      </w:r>
      <w:r>
        <w:rPr>
          <w:rFonts w:hint="eastAsia"/>
        </w:rPr>
        <w:t>、投标文件格式</w:t>
      </w:r>
    </w:p>
    <w:p>
      <w:pPr>
        <w:ind w:firstLine="480"/>
        <w:rPr>
          <w:rFonts w:cs="Times New Roman"/>
        </w:rPr>
      </w:pPr>
      <w:r>
        <w:t>7</w:t>
      </w:r>
      <w:r>
        <w:rPr>
          <w:rFonts w:hint="eastAsia"/>
        </w:rPr>
        <w:t>、本项目采购文件的澄清、答复、修改、补充的内容</w:t>
      </w:r>
    </w:p>
    <w:p>
      <w:pPr>
        <w:pStyle w:val="4"/>
        <w:rPr>
          <w:sz w:val="24"/>
          <w:szCs w:val="24"/>
        </w:rPr>
      </w:pPr>
      <w:bookmarkStart w:id="83" w:name="_Toc21986"/>
      <w:bookmarkStart w:id="84" w:name="_Toc626"/>
      <w:bookmarkStart w:id="85" w:name="_Toc29179"/>
      <w:r>
        <w:rPr>
          <w:rFonts w:hint="eastAsia" w:cs="宋体"/>
          <w:sz w:val="24"/>
          <w:szCs w:val="24"/>
        </w:rPr>
        <w:t>（二）投标人的风险</w:t>
      </w:r>
      <w:bookmarkEnd w:id="83"/>
      <w:bookmarkEnd w:id="84"/>
      <w:bookmarkEnd w:id="85"/>
      <w:r>
        <w:rPr>
          <w:sz w:val="24"/>
          <w:szCs w:val="24"/>
        </w:rPr>
        <w:t>:</w:t>
      </w:r>
    </w:p>
    <w:p>
      <w:pPr>
        <w:ind w:firstLine="480"/>
        <w:rPr>
          <w:rFonts w:cs="Times New Roman"/>
        </w:rPr>
      </w:pPr>
      <w:r>
        <w:rPr>
          <w:rFonts w:hint="eastAsia"/>
        </w:rPr>
        <w:t>投标人没有按照采购文件要求提供全部资料，或者投标人没有对采购文件在各方面作出实质性响应是投标人的风险，并可能导致其投标被拒绝。</w:t>
      </w:r>
    </w:p>
    <w:p>
      <w:pPr>
        <w:pStyle w:val="4"/>
        <w:rPr>
          <w:sz w:val="24"/>
          <w:szCs w:val="24"/>
        </w:rPr>
      </w:pPr>
      <w:bookmarkStart w:id="86" w:name="_Toc6763"/>
      <w:bookmarkStart w:id="87" w:name="_Toc20423"/>
      <w:bookmarkStart w:id="88" w:name="_Toc7121"/>
      <w:r>
        <w:rPr>
          <w:rFonts w:hint="eastAsia" w:cs="宋体"/>
          <w:sz w:val="24"/>
          <w:szCs w:val="24"/>
        </w:rPr>
        <w:t>（三）采购文件的澄清与修改</w:t>
      </w:r>
      <w:bookmarkEnd w:id="86"/>
      <w:bookmarkEnd w:id="87"/>
      <w:bookmarkEnd w:id="88"/>
      <w:r>
        <w:rPr>
          <w:sz w:val="24"/>
          <w:szCs w:val="24"/>
        </w:rPr>
        <w:t xml:space="preserve"> :</w:t>
      </w:r>
    </w:p>
    <w:p>
      <w:pPr>
        <w:ind w:firstLine="480"/>
        <w:rPr>
          <w:rFonts w:cs="Times New Roman"/>
        </w:rPr>
      </w:pPr>
      <w:bookmarkStart w:id="89" w:name="_Toc17557"/>
      <w:bookmarkStart w:id="90" w:name="_Toc32103"/>
      <w:bookmarkStart w:id="91" w:name="_Toc28535"/>
      <w:bookmarkStart w:id="92" w:name="_Toc5472"/>
      <w:r>
        <w:t>1</w:t>
      </w:r>
      <w:r>
        <w:rPr>
          <w:rFonts w:hint="eastAsia"/>
        </w:rPr>
        <w:t>、投标人应认真阅读本采购文件，发现其中有误或有不合理要求的，投标人必须在采购文件要求提交投标文件截止时间七日前以书面形式要求招标采购单位澄清。采购代理机构对已发出的采购文件进行必要澄清、答复、修改或补充的，应当在采购文件要求提交投标文件截止时间五日前，在财政部门指定的政府采购信息发布媒体上发布更正公告，并以书面形式通知所有采购文件收受人。</w:t>
      </w:r>
      <w:bookmarkEnd w:id="89"/>
      <w:bookmarkEnd w:id="90"/>
      <w:bookmarkEnd w:id="91"/>
      <w:bookmarkEnd w:id="92"/>
    </w:p>
    <w:p>
      <w:pPr>
        <w:ind w:firstLine="480"/>
        <w:rPr>
          <w:rFonts w:cs="Times New Roman"/>
        </w:rPr>
      </w:pPr>
      <w:bookmarkStart w:id="93" w:name="_Toc29037"/>
      <w:bookmarkStart w:id="94" w:name="_Toc4508"/>
      <w:bookmarkStart w:id="95" w:name="_Toc8973"/>
      <w:bookmarkStart w:id="96" w:name="_Toc1043"/>
      <w:r>
        <w:t>2</w:t>
      </w:r>
      <w:r>
        <w:rPr>
          <w:rFonts w:hint="eastAsia"/>
        </w:rPr>
        <w:t>、采购代理机构必须以书面形式答复投标人要求澄清的问题，并将不包含问题来源的答复书面通知所有购买采购文件的投标人；除书面答复以外的其他澄清方式及澄清内容均无效。</w:t>
      </w:r>
      <w:bookmarkEnd w:id="93"/>
      <w:bookmarkEnd w:id="94"/>
      <w:bookmarkEnd w:id="95"/>
      <w:bookmarkEnd w:id="96"/>
    </w:p>
    <w:p>
      <w:pPr>
        <w:ind w:firstLine="480"/>
        <w:rPr>
          <w:rFonts w:cs="Times New Roman"/>
        </w:rPr>
      </w:pPr>
      <w:bookmarkStart w:id="97" w:name="_Toc20504"/>
      <w:bookmarkStart w:id="98" w:name="_Toc24587"/>
      <w:bookmarkStart w:id="99" w:name="_Toc14671"/>
      <w:bookmarkStart w:id="100" w:name="_Toc9202"/>
      <w:r>
        <w:t>3</w:t>
      </w:r>
      <w:r>
        <w:rPr>
          <w:rFonts w:hint="eastAsia"/>
        </w:rPr>
        <w:t>、采购文件澄清、答复、修改、补充的内容为采购文件的组成部分。当采购文件与采购文件的答复、澄清、修改、补充通知就同一内容的表述不一致时，以最后发出的书面文件为准。</w:t>
      </w:r>
      <w:bookmarkEnd w:id="97"/>
      <w:bookmarkEnd w:id="98"/>
      <w:bookmarkEnd w:id="99"/>
      <w:bookmarkEnd w:id="100"/>
    </w:p>
    <w:p>
      <w:pPr>
        <w:ind w:firstLine="480"/>
        <w:rPr>
          <w:rFonts w:cs="Times New Roman"/>
        </w:rPr>
      </w:pPr>
      <w:bookmarkStart w:id="101" w:name="_Toc27390"/>
      <w:bookmarkStart w:id="102" w:name="_Toc27582"/>
      <w:bookmarkStart w:id="103" w:name="_Toc4613"/>
      <w:bookmarkStart w:id="104" w:name="_Toc19840"/>
      <w:r>
        <w:t>4</w:t>
      </w:r>
      <w:r>
        <w:rPr>
          <w:rFonts w:hint="eastAsia"/>
        </w:rPr>
        <w:t>、采购文件的澄清、答复、修改或补充都应该通过本代理机构以法定形式发布，采购人非通过本机构，不得擅自澄清、答复、修改或补充采购文件。</w:t>
      </w:r>
      <w:bookmarkEnd w:id="101"/>
      <w:bookmarkEnd w:id="102"/>
      <w:bookmarkEnd w:id="103"/>
      <w:bookmarkEnd w:id="104"/>
    </w:p>
    <w:p>
      <w:pPr>
        <w:pStyle w:val="3"/>
        <w:numPr>
          <w:ilvl w:val="0"/>
          <w:numId w:val="10"/>
        </w:numPr>
        <w:rPr>
          <w:rFonts w:cs="Times New Roman"/>
        </w:rPr>
      </w:pPr>
      <w:bookmarkStart w:id="105" w:name="_Toc12454"/>
      <w:bookmarkStart w:id="106" w:name="_Toc21737"/>
      <w:r>
        <w:rPr>
          <w:rFonts w:hint="eastAsia" w:cs="黑体"/>
        </w:rPr>
        <w:t>投标文件的编制</w:t>
      </w:r>
      <w:bookmarkEnd w:id="105"/>
      <w:bookmarkEnd w:id="106"/>
    </w:p>
    <w:p>
      <w:pPr>
        <w:pStyle w:val="4"/>
        <w:rPr>
          <w:sz w:val="24"/>
          <w:szCs w:val="24"/>
        </w:rPr>
      </w:pPr>
      <w:r>
        <w:rPr>
          <w:rFonts w:hint="eastAsia" w:cs="宋体"/>
          <w:sz w:val="24"/>
          <w:szCs w:val="24"/>
        </w:rPr>
        <w:t>（一）投标文件的组成</w:t>
      </w:r>
      <w:bookmarkEnd w:id="20"/>
      <w:bookmarkEnd w:id="21"/>
      <w:bookmarkEnd w:id="22"/>
      <w:r>
        <w:rPr>
          <w:sz w:val="24"/>
          <w:szCs w:val="24"/>
        </w:rPr>
        <w:t>:</w:t>
      </w:r>
    </w:p>
    <w:p>
      <w:pPr>
        <w:ind w:firstLine="480"/>
        <w:rPr>
          <w:rFonts w:cs="Times New Roman"/>
        </w:rPr>
      </w:pPr>
      <w:r>
        <w:rPr>
          <w:rFonts w:hint="eastAsia"/>
        </w:rPr>
        <w:t>投标文件由投标报价文件、资信文件、技术文件以及开标一览表四部份组成。以下列出的为投标文件的详细组成部分，请投标单位按照以下要求制作投标文件，格式请严格依照本采购文件中第六章要求。</w:t>
      </w:r>
    </w:p>
    <w:p>
      <w:pPr>
        <w:ind w:firstLine="482"/>
        <w:rPr>
          <w:b/>
          <w:bCs/>
        </w:rPr>
      </w:pPr>
      <w:r>
        <w:rPr>
          <w:b/>
          <w:bCs/>
        </w:rPr>
        <w:t>1</w:t>
      </w:r>
      <w:r>
        <w:rPr>
          <w:rFonts w:hint="eastAsia"/>
          <w:b/>
          <w:bCs/>
        </w:rPr>
        <w:t>、投标报价文件</w:t>
      </w:r>
      <w:r>
        <w:rPr>
          <w:b/>
          <w:bCs/>
        </w:rPr>
        <w:t>:</w:t>
      </w:r>
    </w:p>
    <w:p>
      <w:pPr>
        <w:snapToGrid w:val="0"/>
        <w:ind w:firstLine="480"/>
        <w:rPr>
          <w:snapToGrid w:val="0"/>
        </w:rPr>
      </w:pPr>
      <w:r>
        <w:rPr>
          <w:rFonts w:hint="eastAsia"/>
          <w:snapToGrid w:val="0"/>
        </w:rPr>
        <w:t>1）投标函（详见格式）</w:t>
      </w:r>
    </w:p>
    <w:p>
      <w:pPr>
        <w:snapToGrid w:val="0"/>
        <w:ind w:firstLine="480"/>
        <w:rPr>
          <w:b/>
          <w:bCs/>
        </w:rPr>
      </w:pPr>
      <w:r>
        <w:rPr>
          <w:rFonts w:hint="eastAsia"/>
          <w:snapToGrid w:val="0"/>
        </w:rPr>
        <w:t>2）</w:t>
      </w:r>
      <w:r>
        <w:rPr>
          <w:rFonts w:hint="eastAsia"/>
          <w:snapToGrid w:val="0"/>
          <w:color w:val="000000"/>
        </w:rPr>
        <w:t>法定代表人委托书（详见格式）</w:t>
      </w:r>
    </w:p>
    <w:p>
      <w:pPr>
        <w:tabs>
          <w:tab w:val="left" w:pos="420"/>
        </w:tabs>
        <w:adjustRightInd w:val="0"/>
        <w:snapToGrid w:val="0"/>
        <w:ind w:firstLine="480"/>
        <w:jc w:val="left"/>
        <w:rPr>
          <w:snapToGrid w:val="0"/>
        </w:rPr>
      </w:pPr>
      <w:r>
        <w:rPr>
          <w:rFonts w:hint="eastAsia"/>
          <w:snapToGrid w:val="0"/>
          <w:color w:val="000000"/>
        </w:rPr>
        <w:t>3）投标报价表（详见格式）</w:t>
      </w:r>
    </w:p>
    <w:p>
      <w:pPr>
        <w:tabs>
          <w:tab w:val="left" w:pos="420"/>
        </w:tabs>
        <w:adjustRightInd w:val="0"/>
        <w:snapToGrid w:val="0"/>
        <w:ind w:firstLine="480"/>
        <w:jc w:val="left"/>
        <w:rPr>
          <w:snapToGrid w:val="0"/>
        </w:rPr>
      </w:pPr>
      <w:r>
        <w:rPr>
          <w:rFonts w:hint="eastAsia"/>
          <w:snapToGrid w:val="0"/>
          <w:color w:val="000000"/>
        </w:rPr>
        <w:t>4）投标材料设备单价分析表</w:t>
      </w:r>
    </w:p>
    <w:p>
      <w:pPr>
        <w:tabs>
          <w:tab w:val="left" w:pos="420"/>
        </w:tabs>
        <w:adjustRightInd w:val="0"/>
        <w:snapToGrid w:val="0"/>
        <w:ind w:firstLine="480"/>
        <w:jc w:val="left"/>
        <w:rPr>
          <w:snapToGrid w:val="0"/>
          <w:color w:val="000000"/>
        </w:rPr>
      </w:pPr>
      <w:r>
        <w:rPr>
          <w:rFonts w:hint="eastAsia"/>
          <w:snapToGrid w:val="0"/>
          <w:color w:val="000000"/>
        </w:rPr>
        <w:t>5）商务偏离表（如不填写，招标人将视为完全响应招标文件的有关要求）</w:t>
      </w:r>
    </w:p>
    <w:p>
      <w:pPr>
        <w:tabs>
          <w:tab w:val="left" w:pos="420"/>
        </w:tabs>
        <w:adjustRightInd w:val="0"/>
        <w:snapToGrid w:val="0"/>
        <w:ind w:firstLine="480"/>
        <w:jc w:val="left"/>
        <w:rPr>
          <w:snapToGrid w:val="0"/>
        </w:rPr>
      </w:pPr>
      <w:r>
        <w:rPr>
          <w:rFonts w:hint="eastAsia"/>
          <w:snapToGrid w:val="0"/>
          <w:color w:val="000000"/>
        </w:rPr>
        <w:t>6）维修保养费用报价表</w:t>
      </w:r>
    </w:p>
    <w:p>
      <w:pPr>
        <w:ind w:firstLine="482"/>
        <w:rPr>
          <w:b/>
          <w:bCs/>
        </w:rPr>
      </w:pPr>
      <w:r>
        <w:rPr>
          <w:b/>
          <w:bCs/>
        </w:rPr>
        <w:t>2</w:t>
      </w:r>
      <w:r>
        <w:rPr>
          <w:rFonts w:hint="eastAsia"/>
          <w:b/>
          <w:bCs/>
        </w:rPr>
        <w:t>、资信文件</w:t>
      </w:r>
      <w:r>
        <w:rPr>
          <w:b/>
          <w:bCs/>
        </w:rPr>
        <w:t>:</w:t>
      </w:r>
    </w:p>
    <w:p>
      <w:pPr>
        <w:tabs>
          <w:tab w:val="left" w:pos="840"/>
        </w:tabs>
        <w:adjustRightInd w:val="0"/>
        <w:snapToGrid w:val="0"/>
        <w:ind w:firstLine="480"/>
        <w:jc w:val="left"/>
        <w:rPr>
          <w:snapToGrid w:val="0"/>
        </w:rPr>
      </w:pPr>
      <w:r>
        <w:rPr>
          <w:rFonts w:hint="eastAsia"/>
          <w:snapToGrid w:val="0"/>
        </w:rPr>
        <w:t>1）制造商营业执照（复印件）</w:t>
      </w:r>
    </w:p>
    <w:p>
      <w:pPr>
        <w:tabs>
          <w:tab w:val="left" w:pos="840"/>
        </w:tabs>
        <w:adjustRightInd w:val="0"/>
        <w:snapToGrid w:val="0"/>
        <w:ind w:firstLine="480"/>
        <w:jc w:val="left"/>
        <w:rPr>
          <w:snapToGrid w:val="0"/>
        </w:rPr>
      </w:pPr>
      <w:r>
        <w:rPr>
          <w:rFonts w:hint="eastAsia"/>
          <w:snapToGrid w:val="0"/>
        </w:rPr>
        <w:t>2）生产制造许可证（复印件）</w:t>
      </w:r>
    </w:p>
    <w:p>
      <w:pPr>
        <w:tabs>
          <w:tab w:val="left" w:pos="840"/>
        </w:tabs>
        <w:adjustRightInd w:val="0"/>
        <w:snapToGrid w:val="0"/>
        <w:ind w:firstLine="480"/>
        <w:jc w:val="left"/>
        <w:rPr>
          <w:snapToGrid w:val="0"/>
        </w:rPr>
      </w:pPr>
      <w:r>
        <w:rPr>
          <w:rFonts w:hint="eastAsia"/>
          <w:snapToGrid w:val="0"/>
        </w:rPr>
        <w:t>3）安装、维保资质文件（复印件）</w:t>
      </w:r>
    </w:p>
    <w:p>
      <w:pPr>
        <w:tabs>
          <w:tab w:val="left" w:pos="840"/>
        </w:tabs>
        <w:adjustRightInd w:val="0"/>
        <w:snapToGrid w:val="0"/>
        <w:ind w:firstLine="480"/>
        <w:jc w:val="left"/>
        <w:rPr>
          <w:snapToGrid w:val="0"/>
        </w:rPr>
      </w:pPr>
      <w:r>
        <w:rPr>
          <w:rFonts w:hint="eastAsia"/>
          <w:snapToGrid w:val="0"/>
        </w:rPr>
        <w:t>4）制造商的质量管理和质量保证体系认证证书（复印件）</w:t>
      </w:r>
    </w:p>
    <w:p>
      <w:pPr>
        <w:tabs>
          <w:tab w:val="left" w:pos="840"/>
        </w:tabs>
        <w:adjustRightInd w:val="0"/>
        <w:snapToGrid w:val="0"/>
        <w:ind w:firstLine="480"/>
        <w:jc w:val="left"/>
        <w:rPr>
          <w:snapToGrid w:val="0"/>
        </w:rPr>
      </w:pPr>
      <w:r>
        <w:rPr>
          <w:rFonts w:hint="eastAsia"/>
          <w:snapToGrid w:val="0"/>
        </w:rPr>
        <w:t>5）产品质量认证证书（包括合格认证或安全认证）（复印件）</w:t>
      </w:r>
    </w:p>
    <w:p>
      <w:pPr>
        <w:tabs>
          <w:tab w:val="left" w:pos="840"/>
        </w:tabs>
        <w:adjustRightInd w:val="0"/>
        <w:snapToGrid w:val="0"/>
        <w:ind w:firstLine="480"/>
        <w:jc w:val="left"/>
        <w:rPr>
          <w:snapToGrid w:val="0"/>
        </w:rPr>
      </w:pPr>
      <w:r>
        <w:rPr>
          <w:rFonts w:hint="eastAsia"/>
          <w:snapToGrid w:val="0"/>
        </w:rPr>
        <w:t>6）投标人资信等级证明（复印件）</w:t>
      </w:r>
    </w:p>
    <w:p>
      <w:pPr>
        <w:tabs>
          <w:tab w:val="left" w:pos="840"/>
        </w:tabs>
        <w:adjustRightInd w:val="0"/>
        <w:snapToGrid w:val="0"/>
        <w:ind w:firstLine="480"/>
        <w:jc w:val="left"/>
        <w:rPr>
          <w:snapToGrid w:val="0"/>
        </w:rPr>
      </w:pPr>
      <w:r>
        <w:rPr>
          <w:rFonts w:hint="eastAsia"/>
          <w:snapToGrid w:val="0"/>
        </w:rPr>
        <w:t>7）产品鉴定证书（复印件）</w:t>
      </w:r>
    </w:p>
    <w:p>
      <w:pPr>
        <w:tabs>
          <w:tab w:val="left" w:pos="840"/>
        </w:tabs>
        <w:adjustRightInd w:val="0"/>
        <w:snapToGrid w:val="0"/>
        <w:ind w:firstLine="480"/>
        <w:jc w:val="left"/>
        <w:rPr>
          <w:snapToGrid w:val="0"/>
        </w:rPr>
      </w:pPr>
      <w:r>
        <w:rPr>
          <w:rFonts w:hint="eastAsia"/>
          <w:snapToGrid w:val="0"/>
        </w:rPr>
        <w:t xml:space="preserve">8）投标人情况表 </w:t>
      </w:r>
    </w:p>
    <w:p>
      <w:pPr>
        <w:tabs>
          <w:tab w:val="left" w:pos="840"/>
          <w:tab w:val="left" w:pos="1260"/>
        </w:tabs>
        <w:adjustRightInd w:val="0"/>
        <w:snapToGrid w:val="0"/>
        <w:ind w:firstLine="480"/>
        <w:jc w:val="left"/>
        <w:rPr>
          <w:snapToGrid w:val="0"/>
        </w:rPr>
      </w:pPr>
      <w:r>
        <w:rPr>
          <w:rFonts w:hint="eastAsia"/>
          <w:snapToGrid w:val="0"/>
        </w:rPr>
        <w:t>9）投标时必须提供：制造商出具的针对本项目的授权书（详见格式）</w:t>
      </w:r>
    </w:p>
    <w:p>
      <w:pPr>
        <w:tabs>
          <w:tab w:val="left" w:pos="840"/>
        </w:tabs>
        <w:adjustRightInd w:val="0"/>
        <w:snapToGrid w:val="0"/>
        <w:ind w:firstLine="480"/>
        <w:jc w:val="left"/>
        <w:rPr>
          <w:snapToGrid w:val="0"/>
        </w:rPr>
      </w:pPr>
      <w:r>
        <w:rPr>
          <w:rFonts w:hint="eastAsia"/>
          <w:snapToGrid w:val="0"/>
        </w:rPr>
        <w:t>10）制造商资格声明（详见格式）</w:t>
      </w:r>
    </w:p>
    <w:p>
      <w:pPr>
        <w:tabs>
          <w:tab w:val="left" w:pos="840"/>
        </w:tabs>
        <w:adjustRightInd w:val="0"/>
        <w:snapToGrid w:val="0"/>
        <w:ind w:firstLine="480"/>
        <w:jc w:val="left"/>
        <w:rPr>
          <w:snapToGrid w:val="0"/>
        </w:rPr>
      </w:pPr>
      <w:r>
        <w:rPr>
          <w:rFonts w:hint="eastAsia"/>
          <w:snapToGrid w:val="0"/>
        </w:rPr>
        <w:t>11）投标的电梯产品业绩及售后服务</w:t>
      </w:r>
      <w:r>
        <w:rPr>
          <w:rFonts w:hint="eastAsia" w:cs="Arial"/>
          <w:color w:val="000000"/>
        </w:rPr>
        <w:t>反馈</w:t>
      </w:r>
      <w:r>
        <w:rPr>
          <w:rFonts w:hint="eastAsia"/>
          <w:snapToGrid w:val="0"/>
        </w:rPr>
        <w:t>情况</w:t>
      </w:r>
    </w:p>
    <w:p>
      <w:pPr>
        <w:ind w:firstLine="480"/>
        <w:rPr>
          <w:snapToGrid w:val="0"/>
        </w:rPr>
      </w:pPr>
      <w:r>
        <w:rPr>
          <w:rFonts w:hint="eastAsia"/>
          <w:snapToGrid w:val="0"/>
        </w:rPr>
        <w:t>12）投标人认为需要提供的文件和资料</w:t>
      </w:r>
    </w:p>
    <w:p>
      <w:pPr>
        <w:ind w:firstLine="482"/>
        <w:rPr>
          <w:b/>
          <w:bCs/>
        </w:rPr>
      </w:pPr>
      <w:r>
        <w:rPr>
          <w:b/>
          <w:bCs/>
        </w:rPr>
        <w:t>3</w:t>
      </w:r>
      <w:r>
        <w:rPr>
          <w:rFonts w:hint="eastAsia"/>
          <w:b/>
          <w:bCs/>
        </w:rPr>
        <w:t>、技术文件</w:t>
      </w:r>
      <w:r>
        <w:rPr>
          <w:b/>
          <w:bCs/>
        </w:rPr>
        <w:t>:</w:t>
      </w:r>
    </w:p>
    <w:p>
      <w:pPr>
        <w:snapToGrid w:val="0"/>
        <w:ind w:firstLine="480"/>
      </w:pPr>
      <w:bookmarkStart w:id="107" w:name="_Toc9129"/>
      <w:bookmarkStart w:id="108" w:name="_Toc29156"/>
      <w:bookmarkStart w:id="109" w:name="_Toc12131"/>
      <w:r>
        <w:rPr>
          <w:rFonts w:hint="eastAsia"/>
        </w:rPr>
        <w:t>1）作为投标文件的一部分，投标人需提供下列文件，这些文件可以是资料、图表或说明。</w:t>
      </w:r>
    </w:p>
    <w:p>
      <w:pPr>
        <w:snapToGrid w:val="0"/>
        <w:ind w:firstLine="480"/>
      </w:pPr>
      <w:r>
        <w:rPr>
          <w:rFonts w:hint="eastAsia"/>
        </w:rPr>
        <w:t>2）</w:t>
      </w:r>
      <w:r>
        <w:rPr>
          <w:rFonts w:hint="eastAsia"/>
          <w:snapToGrid w:val="0"/>
        </w:rPr>
        <w:t>投标产品技术规格书（不允许仅提供样本）及所投梯型的产品样本一份</w:t>
      </w:r>
    </w:p>
    <w:p>
      <w:pPr>
        <w:snapToGrid w:val="0"/>
        <w:ind w:firstLine="480"/>
      </w:pPr>
      <w:r>
        <w:rPr>
          <w:rFonts w:hint="eastAsia"/>
        </w:rPr>
        <w:t>3）</w:t>
      </w:r>
      <w:r>
        <w:rPr>
          <w:rFonts w:hint="eastAsia"/>
          <w:snapToGrid w:val="0"/>
          <w:color w:val="000000"/>
        </w:rPr>
        <w:t>产品的主要技术、结构、性能、特点和质量水平的详细描述</w:t>
      </w:r>
    </w:p>
    <w:p>
      <w:pPr>
        <w:tabs>
          <w:tab w:val="left" w:pos="630"/>
        </w:tabs>
        <w:adjustRightInd w:val="0"/>
        <w:snapToGrid w:val="0"/>
        <w:ind w:firstLine="480"/>
        <w:jc w:val="left"/>
        <w:rPr>
          <w:snapToGrid w:val="0"/>
          <w:color w:val="000000"/>
        </w:rPr>
      </w:pPr>
      <w:r>
        <w:rPr>
          <w:rFonts w:hint="eastAsia"/>
          <w:snapToGrid w:val="0"/>
          <w:color w:val="000000"/>
        </w:rPr>
        <w:t>4）技术规格性能响应表（详见格式）</w:t>
      </w:r>
    </w:p>
    <w:p>
      <w:pPr>
        <w:tabs>
          <w:tab w:val="left" w:pos="630"/>
        </w:tabs>
        <w:adjustRightInd w:val="0"/>
        <w:snapToGrid w:val="0"/>
        <w:ind w:firstLine="480"/>
        <w:jc w:val="left"/>
        <w:rPr>
          <w:snapToGrid w:val="0"/>
          <w:color w:val="000000"/>
        </w:rPr>
      </w:pPr>
      <w:r>
        <w:rPr>
          <w:rFonts w:hint="eastAsia"/>
          <w:snapToGrid w:val="0"/>
          <w:color w:val="000000"/>
        </w:rPr>
        <w:t>5）电梯主要部件清单（详见格式）</w:t>
      </w:r>
    </w:p>
    <w:p>
      <w:pPr>
        <w:tabs>
          <w:tab w:val="left" w:pos="630"/>
        </w:tabs>
        <w:adjustRightInd w:val="0"/>
        <w:snapToGrid w:val="0"/>
        <w:ind w:firstLine="480"/>
        <w:jc w:val="left"/>
        <w:rPr>
          <w:snapToGrid w:val="0"/>
          <w:color w:val="000000"/>
        </w:rPr>
      </w:pPr>
      <w:r>
        <w:rPr>
          <w:rFonts w:hint="eastAsia"/>
        </w:rPr>
        <w:t>6）</w:t>
      </w:r>
      <w:r>
        <w:rPr>
          <w:rFonts w:hint="eastAsia"/>
          <w:snapToGrid w:val="0"/>
          <w:color w:val="000000"/>
        </w:rPr>
        <w:t>电梯主要部件产地、规格说明表（详见格式）</w:t>
      </w:r>
    </w:p>
    <w:p>
      <w:pPr>
        <w:tabs>
          <w:tab w:val="left" w:pos="630"/>
        </w:tabs>
        <w:adjustRightInd w:val="0"/>
        <w:snapToGrid w:val="0"/>
        <w:ind w:firstLine="480"/>
        <w:jc w:val="left"/>
        <w:rPr>
          <w:snapToGrid w:val="0"/>
          <w:color w:val="000000"/>
        </w:rPr>
      </w:pPr>
      <w:r>
        <w:rPr>
          <w:rFonts w:hint="eastAsia"/>
        </w:rPr>
        <w:t>7）</w:t>
      </w:r>
      <w:r>
        <w:rPr>
          <w:rFonts w:hint="eastAsia"/>
          <w:snapToGrid w:val="0"/>
          <w:color w:val="000000"/>
        </w:rPr>
        <w:t>技术规格性能少量偏离及建议表（详见格式）</w:t>
      </w:r>
    </w:p>
    <w:p>
      <w:pPr>
        <w:tabs>
          <w:tab w:val="left" w:pos="630"/>
        </w:tabs>
        <w:adjustRightInd w:val="0"/>
        <w:snapToGrid w:val="0"/>
        <w:ind w:firstLine="480"/>
        <w:jc w:val="left"/>
        <w:rPr>
          <w:snapToGrid w:val="0"/>
          <w:color w:val="000000"/>
        </w:rPr>
      </w:pPr>
      <w:r>
        <w:rPr>
          <w:rFonts w:hint="eastAsia"/>
        </w:rPr>
        <w:t>8）</w:t>
      </w:r>
      <w:r>
        <w:rPr>
          <w:rFonts w:hint="eastAsia"/>
          <w:snapToGrid w:val="0"/>
          <w:color w:val="000000"/>
        </w:rPr>
        <w:t>随机特殊工具和备品备件清单及价格</w:t>
      </w:r>
    </w:p>
    <w:p>
      <w:pPr>
        <w:tabs>
          <w:tab w:val="left" w:pos="630"/>
        </w:tabs>
        <w:adjustRightInd w:val="0"/>
        <w:snapToGrid w:val="0"/>
        <w:ind w:firstLine="480"/>
        <w:jc w:val="left"/>
        <w:rPr>
          <w:snapToGrid w:val="0"/>
          <w:color w:val="000000"/>
        </w:rPr>
      </w:pPr>
      <w:r>
        <w:rPr>
          <w:rFonts w:hint="eastAsia"/>
        </w:rPr>
        <w:t>9）</w:t>
      </w:r>
      <w:r>
        <w:rPr>
          <w:rFonts w:hint="eastAsia"/>
          <w:snapToGrid w:val="0"/>
          <w:color w:val="000000"/>
        </w:rPr>
        <w:t>专用工具清单及价格</w:t>
      </w:r>
      <w:r>
        <w:rPr>
          <w:rFonts w:hint="eastAsia"/>
          <w:color w:val="000000"/>
        </w:rPr>
        <w:t>（包括特殊检测工具）</w:t>
      </w:r>
      <w:r>
        <w:rPr>
          <w:rFonts w:hint="eastAsia"/>
          <w:snapToGrid w:val="0"/>
          <w:color w:val="000000"/>
        </w:rPr>
        <w:t>（详见格式）</w:t>
      </w:r>
    </w:p>
    <w:p>
      <w:pPr>
        <w:tabs>
          <w:tab w:val="left" w:pos="630"/>
        </w:tabs>
        <w:adjustRightInd w:val="0"/>
        <w:snapToGrid w:val="0"/>
        <w:ind w:firstLine="480"/>
        <w:jc w:val="left"/>
        <w:rPr>
          <w:snapToGrid w:val="0"/>
        </w:rPr>
      </w:pPr>
      <w:r>
        <w:rPr>
          <w:rFonts w:hint="eastAsia"/>
        </w:rPr>
        <w:t>10）</w:t>
      </w:r>
      <w:r>
        <w:rPr>
          <w:rFonts w:hint="eastAsia"/>
          <w:snapToGrid w:val="0"/>
        </w:rPr>
        <w:t>质保期外供业主选择的配套零部件及价格表（详见格式）</w:t>
      </w:r>
    </w:p>
    <w:p>
      <w:pPr>
        <w:tabs>
          <w:tab w:val="left" w:pos="630"/>
        </w:tabs>
        <w:adjustRightInd w:val="0"/>
        <w:snapToGrid w:val="0"/>
        <w:ind w:firstLine="480"/>
        <w:jc w:val="left"/>
        <w:rPr>
          <w:snapToGrid w:val="0"/>
        </w:rPr>
      </w:pPr>
      <w:r>
        <w:rPr>
          <w:rFonts w:hint="eastAsia"/>
        </w:rPr>
        <w:t>11）</w:t>
      </w:r>
      <w:r>
        <w:rPr>
          <w:rFonts w:hint="eastAsia"/>
          <w:snapToGrid w:val="0"/>
        </w:rPr>
        <w:t xml:space="preserve">电梯技术数据及售后服务保证 </w:t>
      </w:r>
    </w:p>
    <w:p>
      <w:pPr>
        <w:tabs>
          <w:tab w:val="left" w:pos="630"/>
        </w:tabs>
        <w:adjustRightInd w:val="0"/>
        <w:snapToGrid w:val="0"/>
        <w:ind w:firstLine="480"/>
        <w:jc w:val="left"/>
        <w:rPr>
          <w:snapToGrid w:val="0"/>
        </w:rPr>
      </w:pPr>
      <w:r>
        <w:rPr>
          <w:rFonts w:hint="eastAsia"/>
        </w:rPr>
        <w:t>12）</w:t>
      </w:r>
      <w:r>
        <w:rPr>
          <w:rFonts w:hint="eastAsia"/>
          <w:snapToGrid w:val="0"/>
        </w:rPr>
        <w:t>产品制造、安装、验收标准</w:t>
      </w:r>
    </w:p>
    <w:p>
      <w:pPr>
        <w:tabs>
          <w:tab w:val="left" w:pos="630"/>
        </w:tabs>
        <w:adjustRightInd w:val="0"/>
        <w:snapToGrid w:val="0"/>
        <w:ind w:firstLine="480"/>
        <w:jc w:val="left"/>
        <w:rPr>
          <w:snapToGrid w:val="0"/>
        </w:rPr>
      </w:pPr>
      <w:r>
        <w:rPr>
          <w:rFonts w:hint="eastAsia"/>
        </w:rPr>
        <w:t>13）</w:t>
      </w:r>
      <w:r>
        <w:rPr>
          <w:rFonts w:hint="eastAsia"/>
          <w:snapToGrid w:val="0"/>
        </w:rPr>
        <w:t>驻项目现场工程技术、管理人员表</w:t>
      </w:r>
    </w:p>
    <w:p>
      <w:pPr>
        <w:tabs>
          <w:tab w:val="left" w:pos="630"/>
        </w:tabs>
        <w:adjustRightInd w:val="0"/>
        <w:snapToGrid w:val="0"/>
        <w:ind w:firstLine="480"/>
        <w:jc w:val="left"/>
        <w:rPr>
          <w:snapToGrid w:val="0"/>
        </w:rPr>
      </w:pPr>
      <w:r>
        <w:rPr>
          <w:rFonts w:hint="eastAsia"/>
        </w:rPr>
        <w:t>14）</w:t>
      </w:r>
      <w:r>
        <w:rPr>
          <w:rFonts w:cs="Arial"/>
        </w:rPr>
        <w:t>安装方案</w:t>
      </w:r>
      <w:r>
        <w:rPr>
          <w:rFonts w:hint="eastAsia" w:cs="Arial"/>
        </w:rPr>
        <w:t xml:space="preserve"> </w:t>
      </w:r>
    </w:p>
    <w:p>
      <w:pPr>
        <w:tabs>
          <w:tab w:val="left" w:pos="630"/>
        </w:tabs>
        <w:adjustRightInd w:val="0"/>
        <w:snapToGrid w:val="0"/>
        <w:ind w:firstLine="480"/>
        <w:jc w:val="left"/>
        <w:rPr>
          <w:snapToGrid w:val="0"/>
        </w:rPr>
      </w:pPr>
      <w:r>
        <w:rPr>
          <w:rFonts w:hint="eastAsia"/>
        </w:rPr>
        <w:t>15）产品的技术服务和售后服务的内容、措施、承诺，包括在</w:t>
      </w:r>
      <w:r>
        <w:rPr>
          <w:rFonts w:hint="eastAsia"/>
          <w:color w:val="000000"/>
        </w:rPr>
        <w:t>当地</w:t>
      </w:r>
      <w:r>
        <w:rPr>
          <w:rFonts w:hint="eastAsia"/>
        </w:rPr>
        <w:t>长期售后服务机构的详细介绍，资质资格、技术力量、成立时间和相关证明资料。</w:t>
      </w:r>
    </w:p>
    <w:p>
      <w:pPr>
        <w:tabs>
          <w:tab w:val="left" w:pos="630"/>
        </w:tabs>
        <w:adjustRightInd w:val="0"/>
        <w:snapToGrid w:val="0"/>
        <w:ind w:firstLine="480"/>
        <w:jc w:val="left"/>
        <w:rPr>
          <w:snapToGrid w:val="0"/>
        </w:rPr>
      </w:pPr>
      <w:r>
        <w:rPr>
          <w:rFonts w:hint="eastAsia"/>
        </w:rPr>
        <w:t>16）</w:t>
      </w:r>
      <w:r>
        <w:rPr>
          <w:rFonts w:hint="eastAsia"/>
          <w:snapToGrid w:val="0"/>
        </w:rPr>
        <w:t>投标人应列明在其总报价前提下，要求招标人具备的现场条件和承担的有关工作内容</w:t>
      </w:r>
    </w:p>
    <w:p>
      <w:pPr>
        <w:tabs>
          <w:tab w:val="left" w:pos="630"/>
        </w:tabs>
        <w:adjustRightInd w:val="0"/>
        <w:snapToGrid w:val="0"/>
        <w:ind w:firstLine="480"/>
        <w:jc w:val="left"/>
        <w:rPr>
          <w:snapToGrid w:val="0"/>
        </w:rPr>
      </w:pPr>
      <w:r>
        <w:rPr>
          <w:rFonts w:hint="eastAsia"/>
        </w:rPr>
        <w:t>17）</w:t>
      </w:r>
      <w:r>
        <w:rPr>
          <w:rFonts w:hint="eastAsia"/>
          <w:snapToGrid w:val="0"/>
        </w:rPr>
        <w:t>投标人认为需要提供的文件和资料</w:t>
      </w:r>
    </w:p>
    <w:p>
      <w:pPr>
        <w:adjustRightInd w:val="0"/>
        <w:snapToGrid w:val="0"/>
        <w:ind w:firstLine="482"/>
        <w:textAlignment w:val="bottom"/>
        <w:rPr>
          <w:b/>
          <w:bCs/>
          <w:color w:val="000000"/>
        </w:rPr>
      </w:pPr>
      <w:r>
        <w:rPr>
          <w:rFonts w:hint="eastAsia"/>
          <w:b/>
          <w:bCs/>
          <w:color w:val="000000"/>
        </w:rPr>
        <w:t>以上所需的各种证书、证件、证明、执照若系复印件，须在复印件上盖上有效公章。投标人需对所提供资料的真实性承担责任，如发现有虚假的否决其投标。</w:t>
      </w:r>
    </w:p>
    <w:p>
      <w:pPr>
        <w:pStyle w:val="4"/>
        <w:rPr>
          <w:sz w:val="24"/>
          <w:szCs w:val="24"/>
        </w:rPr>
      </w:pPr>
      <w:r>
        <w:rPr>
          <w:rFonts w:hint="eastAsia" w:cs="宋体"/>
          <w:sz w:val="24"/>
          <w:szCs w:val="24"/>
        </w:rPr>
        <w:t>（二）投标文件的语言及计量</w:t>
      </w:r>
      <w:bookmarkEnd w:id="107"/>
      <w:bookmarkEnd w:id="108"/>
      <w:bookmarkEnd w:id="109"/>
      <w:r>
        <w:rPr>
          <w:sz w:val="24"/>
          <w:szCs w:val="24"/>
        </w:rPr>
        <w:t>:</w:t>
      </w:r>
    </w:p>
    <w:p>
      <w:pPr>
        <w:ind w:firstLine="480"/>
        <w:rPr>
          <w:rFonts w:cs="Times New Roman"/>
        </w:rPr>
      </w:pPr>
      <w:r>
        <w:rPr>
          <w:rFonts w:hint="eastAsia"/>
        </w:rPr>
        <w:t>▲</w:t>
      </w:r>
      <w:r>
        <w:t>1</w:t>
      </w:r>
      <w:r>
        <w:rPr>
          <w:rFonts w:hint="eastAsia"/>
        </w:rPr>
        <w:t>、投标文件以及投标方与招标方就有关投标事宜的所有来往函电，均应以中文汉语书写。除签名、盖章、专用名称等特殊情形外，以中文汉语以外的文字表述的投标文件视同未提供。</w:t>
      </w:r>
    </w:p>
    <w:p>
      <w:pPr>
        <w:ind w:firstLine="480"/>
        <w:rPr>
          <w:rFonts w:cs="Times New Roman"/>
        </w:rPr>
      </w:pPr>
      <w:bookmarkStart w:id="110" w:name="_Toc20733"/>
      <w:bookmarkStart w:id="111" w:name="_Toc19918"/>
      <w:bookmarkStart w:id="112" w:name="_Toc206"/>
      <w:r>
        <w:rPr>
          <w:rFonts w:hint="eastAsia"/>
        </w:rPr>
        <w:t>▲</w:t>
      </w:r>
      <w:r>
        <w:t>2</w:t>
      </w:r>
      <w:r>
        <w:rPr>
          <w:rFonts w:hint="eastAsia"/>
        </w:rPr>
        <w:t>、投标计量单位，采购文件已有明确规定的，使用采购文件规定的计量单位；采购文件没有规定的，应采用中华人民共和国法定计量单位（货币单位：人民币元），否则视同未响应。</w:t>
      </w:r>
      <w:bookmarkEnd w:id="110"/>
      <w:bookmarkEnd w:id="111"/>
      <w:bookmarkEnd w:id="112"/>
    </w:p>
    <w:p>
      <w:pPr>
        <w:pStyle w:val="4"/>
        <w:rPr>
          <w:sz w:val="24"/>
          <w:szCs w:val="24"/>
        </w:rPr>
      </w:pPr>
      <w:bookmarkStart w:id="113" w:name="_Toc7701"/>
      <w:bookmarkStart w:id="114" w:name="_Toc32517"/>
      <w:bookmarkStart w:id="115" w:name="_Toc25615"/>
      <w:r>
        <w:rPr>
          <w:rFonts w:hint="eastAsia" w:cs="宋体"/>
          <w:sz w:val="24"/>
          <w:szCs w:val="24"/>
        </w:rPr>
        <w:t>（三）投标报价</w:t>
      </w:r>
      <w:bookmarkEnd w:id="113"/>
      <w:bookmarkEnd w:id="114"/>
      <w:bookmarkEnd w:id="115"/>
      <w:r>
        <w:rPr>
          <w:sz w:val="24"/>
          <w:szCs w:val="24"/>
        </w:rPr>
        <w:t>:</w:t>
      </w:r>
    </w:p>
    <w:p>
      <w:pPr>
        <w:ind w:firstLine="480"/>
        <w:rPr>
          <w:rFonts w:cs="Times New Roman"/>
        </w:rPr>
      </w:pPr>
      <w:r>
        <w:t>1</w:t>
      </w:r>
      <w:r>
        <w:rPr>
          <w:rFonts w:hint="eastAsia"/>
        </w:rPr>
        <w:t>、投标报价应按采购文件中相关附表格式填写。</w:t>
      </w:r>
    </w:p>
    <w:p>
      <w:pPr>
        <w:ind w:firstLine="0" w:firstLineChars="0"/>
        <w:rPr>
          <w:rFonts w:cs="Times New Roman"/>
          <w:color w:val="000000"/>
        </w:rPr>
      </w:pPr>
      <w:r>
        <w:t xml:space="preserve"> </w:t>
      </w:r>
      <w:r>
        <w:rPr>
          <w:b/>
          <w:bCs/>
        </w:rPr>
        <w:t xml:space="preserve"> </w:t>
      </w:r>
      <w:r>
        <w:rPr>
          <w:rFonts w:hint="eastAsia"/>
          <w:b/>
          <w:bCs/>
        </w:rPr>
        <w:t>▲</w:t>
      </w:r>
      <w:r>
        <w:rPr>
          <w:b/>
          <w:bCs/>
        </w:rPr>
        <w:t>2</w:t>
      </w:r>
      <w:r>
        <w:rPr>
          <w:rFonts w:hint="eastAsia"/>
          <w:b/>
          <w:bCs/>
        </w:rPr>
        <w:t>、</w:t>
      </w:r>
      <w:r>
        <w:rPr>
          <w:rFonts w:hint="eastAsia"/>
        </w:rPr>
        <w:t>投标总报价为提供并完成本次招标所有材料设备的设计、制造、运输、装卸、现场就位安装（组装）、调试、试运行合格直至验收合格、技术培训及售后服务等方面所需的所有工作和服务的全部费用，为交钥匙项目。</w:t>
      </w:r>
    </w:p>
    <w:p>
      <w:pPr>
        <w:snapToGrid w:val="0"/>
        <w:ind w:firstLine="240" w:firstLineChars="100"/>
      </w:pPr>
      <w:r>
        <w:rPr>
          <w:rFonts w:hint="eastAsia"/>
        </w:rPr>
        <w:t>▲</w:t>
      </w:r>
      <w:r>
        <w:t>3</w:t>
      </w:r>
      <w:r>
        <w:rPr>
          <w:rFonts w:hint="eastAsia"/>
        </w:rPr>
        <w:t>、投标人的报价不仅应包括招标文件提供的技术条款等资料所标明的，还应包括任何未明确标出的，但全套系统安装后保证正常安全运行所不可缺少的配件及附件的全部费用。其中全部设备材料应说明名称、型号、数量、单价、总价、产地、厂商等。投标人按要求应列入而未列入设备材料清单的设备及材料，均认为已含在其设备材料清单中。</w:t>
      </w:r>
    </w:p>
    <w:p>
      <w:pPr>
        <w:snapToGrid w:val="0"/>
        <w:ind w:firstLine="240" w:firstLineChars="100"/>
      </w:pPr>
      <w:r>
        <w:rPr>
          <w:rFonts w:hint="eastAsia"/>
        </w:rPr>
        <w:t>▲4、允许投标人在满足招标文件提出的技术要求的前提下，在投标价格不增加且能扩大使用功能的前提下，可提出合理化建议，做出其优越性、先进性等详细说明。</w:t>
      </w:r>
    </w:p>
    <w:p>
      <w:pPr>
        <w:snapToGrid w:val="0"/>
        <w:ind w:firstLine="240" w:firstLineChars="100"/>
      </w:pPr>
      <w:r>
        <w:rPr>
          <w:rFonts w:hint="eastAsia"/>
        </w:rPr>
        <w:t>▲5、设备安装</w:t>
      </w:r>
    </w:p>
    <w:p>
      <w:pPr>
        <w:snapToGrid w:val="0"/>
        <w:ind w:firstLine="480"/>
      </w:pPr>
      <w:r>
        <w:rPr>
          <w:rFonts w:hint="eastAsia"/>
        </w:rPr>
        <w:t>1）投标人需按招标人的要求和认可负责设备安装、调试及试运行，安装为交钥匙工程，招标人提供安装所需的水电条件并指定本工程设备在项目现场的具体存放场地位置（存放场地的设备堆放、安全保管和看守工作均由投标人自行解决），设备装卸、安装时所需的水电费、土建重新开孔扩孔费、仓储费、保管费、辅工辅料、井道永久照明、施工安全护栏、吊装搬运费、土建塞缝填实（包括敲墙以及砌筑工程）费用、地面开挖、开挖复原（修复）费用、技术监督部门验收费用以及电梯交钥匙工程中可能涉及的其它一切费用全部包括在投标报价内。若投标书中未作详细说明，均属投标人优惠不计。</w:t>
      </w:r>
    </w:p>
    <w:p>
      <w:pPr>
        <w:snapToGrid w:val="0"/>
        <w:ind w:firstLine="480"/>
      </w:pPr>
      <w:r>
        <w:rPr>
          <w:rFonts w:hint="eastAsia"/>
        </w:rPr>
        <w:t>2）投标人应现场踏勘具体情况，如现场开挖、管线迁移及开挖复原（修复）等，由投标人根据图纸及现场踏勘情况将所有费用考虑在报价中，中标后不作调整。</w:t>
      </w:r>
    </w:p>
    <w:p>
      <w:pPr>
        <w:snapToGrid w:val="0"/>
        <w:ind w:firstLine="480"/>
      </w:pPr>
      <w:r>
        <w:rPr>
          <w:rFonts w:hint="eastAsia"/>
        </w:rPr>
        <w:t>3）投标人对安装、调试、试运行等负责，直至通过当地质量技术监督局验收合格并签发合格证书及通过当地有关部门的综合验收后，并移交招标人或招标人确定的物业公司，验收费用包括在投标总价中。</w:t>
      </w:r>
    </w:p>
    <w:p>
      <w:pPr>
        <w:snapToGrid w:val="0"/>
        <w:ind w:firstLine="480"/>
      </w:pPr>
      <w:r>
        <w:rPr>
          <w:rFonts w:hint="eastAsia"/>
        </w:rPr>
        <w:t>4）设备安装通过当地质量技术监督局验收合格并签发合格证书及通过当地有关部门的综合验收合格，移交招标人或招标人确定的物业公司使用以前的设备保护及费用由投标人负责。</w:t>
      </w:r>
    </w:p>
    <w:p>
      <w:pPr>
        <w:snapToGrid w:val="0"/>
        <w:ind w:firstLine="480"/>
      </w:pPr>
      <w:r>
        <w:rPr>
          <w:rFonts w:hint="eastAsia"/>
        </w:rPr>
        <w:t>5）在进入完工装修之前，所有不需要特殊装修并且是暴露的钢制件应在表面进行除锈防腐处理，若是非暴露的零件、部件、机器等，按规定在制造时进行除锈、防腐蚀处理。</w:t>
      </w:r>
    </w:p>
    <w:p>
      <w:pPr>
        <w:snapToGrid w:val="0"/>
        <w:ind w:firstLine="240" w:firstLineChars="100"/>
        <w:rPr>
          <w:rFonts w:cs="Times New Roman"/>
        </w:rPr>
      </w:pPr>
      <w:r>
        <w:rPr>
          <w:rFonts w:hint="eastAsia"/>
        </w:rPr>
        <w:t>▲6、招标人要求分类报价是为了方便评标，但在任何情况下不限制招标人以其认为最合适的条款签订合同的权力。</w:t>
      </w:r>
    </w:p>
    <w:p>
      <w:pPr>
        <w:pStyle w:val="4"/>
        <w:rPr>
          <w:sz w:val="24"/>
          <w:szCs w:val="24"/>
        </w:rPr>
      </w:pPr>
      <w:bookmarkStart w:id="116" w:name="_Toc8593"/>
      <w:bookmarkStart w:id="117" w:name="_Toc9053"/>
      <w:bookmarkStart w:id="118" w:name="_Toc18684"/>
      <w:r>
        <w:rPr>
          <w:rFonts w:hint="eastAsia" w:cs="宋体"/>
          <w:sz w:val="24"/>
          <w:szCs w:val="24"/>
        </w:rPr>
        <w:t>（四）投标文件的有效期</w:t>
      </w:r>
      <w:bookmarkEnd w:id="116"/>
      <w:bookmarkEnd w:id="117"/>
      <w:bookmarkEnd w:id="118"/>
      <w:r>
        <w:rPr>
          <w:sz w:val="24"/>
          <w:szCs w:val="24"/>
        </w:rPr>
        <w:t>:</w:t>
      </w:r>
    </w:p>
    <w:p>
      <w:pPr>
        <w:ind w:firstLine="0" w:firstLineChars="0"/>
        <w:rPr>
          <w:rFonts w:cs="Times New Roman"/>
        </w:rPr>
      </w:pPr>
      <w:r>
        <w:t xml:space="preserve">  </w:t>
      </w:r>
      <w:r>
        <w:rPr>
          <w:rFonts w:hint="eastAsia"/>
        </w:rPr>
        <w:t>▲</w:t>
      </w:r>
      <w:r>
        <w:t>1</w:t>
      </w:r>
      <w:r>
        <w:rPr>
          <w:rFonts w:hint="eastAsia"/>
        </w:rPr>
        <w:t>、自投标截止日起</w:t>
      </w:r>
      <w:r>
        <w:t xml:space="preserve"> 90</w:t>
      </w:r>
      <w:r>
        <w:rPr>
          <w:rFonts w:hint="eastAsia"/>
        </w:rPr>
        <w:t>天投标文件应保持有效。有效期不足的投标文件将被拒绝。</w:t>
      </w:r>
    </w:p>
    <w:p>
      <w:pPr>
        <w:ind w:firstLine="480"/>
        <w:rPr>
          <w:rFonts w:cs="Times New Roman"/>
        </w:rPr>
      </w:pPr>
      <w:r>
        <w:t>2</w:t>
      </w:r>
      <w:r>
        <w:rPr>
          <w:rFonts w:hint="eastAsia"/>
        </w:rPr>
        <w:t>、在特殊情况下，采购人可与投标人协商延长投标书的有效期，这种要求和答复均以书面形式进行。</w:t>
      </w:r>
    </w:p>
    <w:p>
      <w:pPr>
        <w:ind w:firstLine="480"/>
      </w:pPr>
      <w:bookmarkStart w:id="119" w:name="_Toc1823"/>
      <w:bookmarkStart w:id="120" w:name="_Toc2032"/>
      <w:bookmarkStart w:id="121" w:name="_Toc16097"/>
      <w:bookmarkStart w:id="122" w:name="_Toc29205"/>
      <w:r>
        <w:t>3</w:t>
      </w:r>
      <w:r>
        <w:rPr>
          <w:rFonts w:hint="eastAsia"/>
        </w:rPr>
        <w:t>、投标人可拒绝接受延期要求。投标人如同意延长有效期的，但不能修改投标文件。</w:t>
      </w:r>
      <w:bookmarkEnd w:id="119"/>
      <w:bookmarkEnd w:id="120"/>
      <w:bookmarkEnd w:id="121"/>
      <w:bookmarkEnd w:id="122"/>
      <w:r>
        <w:t xml:space="preserve"> </w:t>
      </w:r>
    </w:p>
    <w:p>
      <w:pPr>
        <w:ind w:firstLine="480"/>
        <w:rPr>
          <w:rFonts w:cs="Times New Roman"/>
        </w:rPr>
      </w:pPr>
      <w:bookmarkStart w:id="123" w:name="_Toc4495"/>
      <w:bookmarkStart w:id="124" w:name="_Toc12026"/>
      <w:bookmarkStart w:id="125" w:name="_Toc16185"/>
      <w:bookmarkStart w:id="126" w:name="_Toc9054"/>
      <w:r>
        <w:t>4</w:t>
      </w:r>
      <w:r>
        <w:rPr>
          <w:rFonts w:hint="eastAsia"/>
        </w:rPr>
        <w:t>、中标人的投标文件自开标之日起至合同履行完毕止均应保持有效。</w:t>
      </w:r>
      <w:bookmarkEnd w:id="123"/>
      <w:bookmarkEnd w:id="124"/>
      <w:bookmarkEnd w:id="125"/>
      <w:bookmarkEnd w:id="126"/>
    </w:p>
    <w:p>
      <w:pPr>
        <w:pStyle w:val="4"/>
        <w:rPr>
          <w:sz w:val="24"/>
          <w:szCs w:val="24"/>
        </w:rPr>
      </w:pPr>
      <w:bookmarkStart w:id="127" w:name="_Toc29236"/>
      <w:bookmarkStart w:id="128" w:name="_Toc11580"/>
      <w:bookmarkStart w:id="129" w:name="_Toc7898"/>
      <w:r>
        <w:rPr>
          <w:rFonts w:hint="eastAsia" w:cs="宋体"/>
          <w:sz w:val="24"/>
          <w:szCs w:val="24"/>
        </w:rPr>
        <w:t>（五）</w:t>
      </w:r>
      <w:bookmarkEnd w:id="127"/>
      <w:bookmarkEnd w:id="128"/>
      <w:bookmarkEnd w:id="129"/>
      <w:bookmarkStart w:id="130" w:name="_Toc30492"/>
      <w:bookmarkStart w:id="131" w:name="_Toc1521"/>
      <w:bookmarkStart w:id="132" w:name="_Toc3107"/>
      <w:r>
        <w:rPr>
          <w:rFonts w:hint="eastAsia" w:cs="宋体"/>
          <w:sz w:val="24"/>
          <w:szCs w:val="24"/>
        </w:rPr>
        <w:t>投标文件的签署和份数</w:t>
      </w:r>
      <w:bookmarkEnd w:id="130"/>
      <w:bookmarkEnd w:id="131"/>
      <w:bookmarkEnd w:id="132"/>
      <w:r>
        <w:rPr>
          <w:sz w:val="24"/>
          <w:szCs w:val="24"/>
        </w:rPr>
        <w:t>:</w:t>
      </w:r>
    </w:p>
    <w:p>
      <w:pPr>
        <w:ind w:firstLine="480"/>
        <w:rPr>
          <w:rFonts w:cs="Times New Roman"/>
        </w:rPr>
      </w:pPr>
      <w:r>
        <w:t>1</w:t>
      </w:r>
      <w:r>
        <w:rPr>
          <w:rFonts w:hint="eastAsia"/>
        </w:rPr>
        <w:t>、投标人应按本采购文件规定的格式和顺序编制、装订投标文件并标注页码，投标文件内容不完整、编排混乱导致投标文件被误读、漏读或者查找不到相关内容的，是投标人的责任。</w:t>
      </w:r>
    </w:p>
    <w:p>
      <w:pPr>
        <w:ind w:firstLine="480"/>
        <w:rPr>
          <w:rFonts w:cs="Times New Roman"/>
        </w:rPr>
      </w:pPr>
      <w:r>
        <w:t>2</w:t>
      </w:r>
      <w:r>
        <w:rPr>
          <w:rFonts w:hint="eastAsia"/>
        </w:rPr>
        <w:t>、投标人应按投标报价文件、资信文件、技术文件的顺序，正本各壹份，副本各</w:t>
      </w:r>
      <w:r>
        <w:rPr>
          <w:rFonts w:hint="eastAsia"/>
          <w:lang w:eastAsia="zh-CN"/>
        </w:rPr>
        <w:t>肆</w:t>
      </w:r>
      <w:r>
        <w:rPr>
          <w:rFonts w:hint="eastAsia"/>
        </w:rPr>
        <w:t>份分别编制并单独装订成册，投标文件的封面应注明“正本”、“副本”字样。活页装订的投标文件将被拒绝。</w:t>
      </w:r>
    </w:p>
    <w:p>
      <w:pPr>
        <w:ind w:firstLine="480"/>
        <w:rPr>
          <w:rFonts w:cs="Times New Roman"/>
        </w:rPr>
      </w:pPr>
      <w:r>
        <w:t>3</w:t>
      </w:r>
      <w:r>
        <w:rPr>
          <w:rFonts w:hint="eastAsia"/>
        </w:rPr>
        <w:t>、投标文件的正本需打印或用不褪色的墨水填写，投标文件正本除本《投标人须知》中规定的可提供复印件外均须提供原件。副本为正本的复印件，正副本不一致时，以正本为准。</w:t>
      </w:r>
    </w:p>
    <w:p>
      <w:pPr>
        <w:ind w:firstLine="480"/>
        <w:rPr>
          <w:rFonts w:cs="Times New Roman"/>
        </w:rPr>
      </w:pPr>
      <w:r>
        <w:t>4</w:t>
      </w:r>
      <w:r>
        <w:rPr>
          <w:rFonts w:hint="eastAsia"/>
        </w:rPr>
        <w:t>、投标文件须由投标人在规定位置盖章并由法定代表人或法定代表人的授权委托人签署，投标人应写全称。</w:t>
      </w:r>
    </w:p>
    <w:p>
      <w:pPr>
        <w:ind w:firstLine="480"/>
        <w:rPr>
          <w:rFonts w:cs="Times New Roman"/>
        </w:rPr>
      </w:pPr>
      <w:r>
        <w:t>5</w:t>
      </w:r>
      <w:r>
        <w:rPr>
          <w:rFonts w:hint="eastAsia"/>
        </w:rPr>
        <w:t>、投标文件不得涂改，若有修改错漏处，须加盖单位公章或者法定代表人或授权委托人签字或盖章。投标文件因字迹潦草或表达不清所引起的后果由投标人负责。</w:t>
      </w:r>
    </w:p>
    <w:p>
      <w:pPr>
        <w:pStyle w:val="4"/>
        <w:rPr>
          <w:sz w:val="24"/>
          <w:szCs w:val="24"/>
        </w:rPr>
      </w:pPr>
      <w:bookmarkStart w:id="133" w:name="_Toc16332"/>
      <w:bookmarkStart w:id="134" w:name="_Toc14551"/>
      <w:bookmarkStart w:id="135" w:name="_Toc15223"/>
      <w:r>
        <w:rPr>
          <w:rFonts w:hint="eastAsia" w:cs="宋体"/>
          <w:sz w:val="24"/>
          <w:szCs w:val="24"/>
        </w:rPr>
        <w:t>（六）投标文件的包装、递交、修改和撤回</w:t>
      </w:r>
      <w:bookmarkEnd w:id="133"/>
      <w:bookmarkEnd w:id="134"/>
      <w:bookmarkEnd w:id="135"/>
      <w:r>
        <w:rPr>
          <w:sz w:val="24"/>
          <w:szCs w:val="24"/>
        </w:rPr>
        <w:t>:</w:t>
      </w:r>
    </w:p>
    <w:p>
      <w:pPr>
        <w:ind w:firstLine="480"/>
        <w:rPr>
          <w:rFonts w:cs="Times New Roman"/>
        </w:rPr>
      </w:pPr>
      <w:r>
        <w:t>1</w:t>
      </w:r>
      <w:r>
        <w:rPr>
          <w:rFonts w:hint="eastAsia"/>
        </w:rPr>
        <w:t>、</w:t>
      </w:r>
      <w:r>
        <w:rPr>
          <w:rFonts w:hint="eastAsia"/>
          <w:b/>
          <w:bCs/>
        </w:rPr>
        <w:t>投标人应按投标报价文件、资信文件、技术文件三部分密封封装投标文件，其中《开标一览表》（格式见第六章）应单独用小信封密封。</w:t>
      </w:r>
      <w:r>
        <w:rPr>
          <w:rFonts w:hint="eastAsia"/>
        </w:rPr>
        <w:t>投标文件的包装封面上应注明投标人名称、投标人地址、投标文件名称（资信文件、技术文件、报价文件、开标一览表等）、投标项目名称、项目编号及“</w:t>
      </w:r>
      <w:r>
        <w:rPr>
          <w:rFonts w:hint="eastAsia"/>
          <w:b/>
          <w:bCs/>
        </w:rPr>
        <w:t>开标时启封</w:t>
      </w:r>
      <w:r>
        <w:rPr>
          <w:rFonts w:hint="eastAsia"/>
        </w:rPr>
        <w:t>”字样，并加盖投标人公章。</w:t>
      </w:r>
    </w:p>
    <w:p>
      <w:pPr>
        <w:ind w:firstLine="480"/>
        <w:rPr>
          <w:rFonts w:cs="Times New Roman"/>
        </w:rPr>
      </w:pPr>
      <w:r>
        <w:t>2</w:t>
      </w:r>
      <w:r>
        <w:rPr>
          <w:rFonts w:hint="eastAsia"/>
        </w:rPr>
        <w:t>、未按规定密封或标记的投标文件将被拒绝，由此造成投标文件被误投或提前拆封的风险由投标人承担。</w:t>
      </w:r>
    </w:p>
    <w:p>
      <w:pPr>
        <w:ind w:firstLine="480"/>
        <w:rPr>
          <w:rFonts w:cs="Times New Roman"/>
        </w:rPr>
      </w:pPr>
      <w:r>
        <w:t>3</w:t>
      </w:r>
      <w:r>
        <w:rPr>
          <w:rFonts w:hint="eastAsia"/>
        </w:rPr>
        <w:t>、投标人在投标截止时间之前，可以对已提交的投标文件进行修改或撤回，并书面通知招标采购单位；投标截止时间后，投标人不得撤回、修改投标文件。修改后重新递交的投标文件应当按本采购文件的要求签署、盖章和密封。</w:t>
      </w:r>
    </w:p>
    <w:p>
      <w:pPr>
        <w:pStyle w:val="4"/>
        <w:rPr>
          <w:sz w:val="24"/>
          <w:szCs w:val="24"/>
        </w:rPr>
      </w:pPr>
      <w:bookmarkStart w:id="136" w:name="_Toc22965"/>
      <w:bookmarkStart w:id="137" w:name="_Toc3250"/>
      <w:bookmarkStart w:id="138" w:name="_Toc28085"/>
      <w:r>
        <w:rPr>
          <w:rFonts w:hint="eastAsia" w:cs="宋体"/>
          <w:sz w:val="24"/>
          <w:szCs w:val="24"/>
        </w:rPr>
        <w:t>（七）投标无效的情形</w:t>
      </w:r>
      <w:bookmarkEnd w:id="136"/>
      <w:bookmarkEnd w:id="137"/>
      <w:bookmarkEnd w:id="138"/>
      <w:r>
        <w:rPr>
          <w:sz w:val="24"/>
          <w:szCs w:val="24"/>
        </w:rPr>
        <w:t>:</w:t>
      </w:r>
    </w:p>
    <w:p>
      <w:pPr>
        <w:ind w:firstLine="480"/>
        <w:rPr>
          <w:rFonts w:cs="Times New Roman"/>
        </w:rPr>
      </w:pPr>
      <w:r>
        <w:rPr>
          <w:rFonts w:hint="eastAsia"/>
        </w:rPr>
        <w:t>实质上没有响应采购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pPr>
        <w:ind w:firstLine="482"/>
        <w:rPr>
          <w:rFonts w:cs="Times New Roman"/>
          <w:b/>
          <w:bCs/>
        </w:rPr>
      </w:pPr>
      <w:r>
        <w:rPr>
          <w:b/>
          <w:bCs/>
        </w:rPr>
        <w:t>1</w:t>
      </w:r>
      <w:r>
        <w:rPr>
          <w:rFonts w:hint="eastAsia"/>
          <w:b/>
          <w:bCs/>
        </w:rPr>
        <w:t>、在符合性审查和商务评审时，如发现下列情形之一的，投标文件将被视为无效：</w:t>
      </w:r>
    </w:p>
    <w:p>
      <w:pPr>
        <w:ind w:firstLine="480"/>
        <w:rPr>
          <w:rFonts w:cs="Times New Roman"/>
        </w:rPr>
      </w:pPr>
      <w:r>
        <w:rPr>
          <w:rFonts w:hint="eastAsia"/>
        </w:rPr>
        <w:t>（</w:t>
      </w:r>
      <w:r>
        <w:t>1</w:t>
      </w:r>
      <w:r>
        <w:rPr>
          <w:rFonts w:hint="eastAsia"/>
        </w:rPr>
        <w:t>）资格证明文件不全的，或者不符合采购文件标明的资格要求的；</w:t>
      </w:r>
    </w:p>
    <w:p>
      <w:pPr>
        <w:ind w:firstLine="480"/>
        <w:rPr>
          <w:rFonts w:cs="Times New Roman"/>
        </w:rPr>
      </w:pPr>
      <w:r>
        <w:rPr>
          <w:rFonts w:hint="eastAsia"/>
        </w:rPr>
        <w:t>（</w:t>
      </w:r>
      <w:r>
        <w:t>2</w:t>
      </w:r>
      <w:r>
        <w:rPr>
          <w:rFonts w:hint="eastAsia"/>
        </w:rPr>
        <w:t>）法定代表人授权委托书、投标声明书无法定代表人签字及盖公章</w:t>
      </w:r>
      <w:r>
        <w:t>,</w:t>
      </w:r>
      <w:r>
        <w:rPr>
          <w:rFonts w:hint="eastAsia"/>
        </w:rPr>
        <w:t>未提供法定代表人授权委托书或者填写项目不齐全的；</w:t>
      </w:r>
    </w:p>
    <w:p>
      <w:pPr>
        <w:ind w:firstLine="480"/>
        <w:rPr>
          <w:rFonts w:cs="Times New Roman"/>
        </w:rPr>
      </w:pPr>
      <w:r>
        <w:rPr>
          <w:rFonts w:hint="eastAsia"/>
        </w:rPr>
        <w:t>（</w:t>
      </w:r>
      <w:r>
        <w:t>3</w:t>
      </w:r>
      <w:r>
        <w:rPr>
          <w:rFonts w:hint="eastAsia"/>
        </w:rPr>
        <w:t>）投标代表人未能出具身份证明或与法定代表人授权委托人身份不符的；</w:t>
      </w:r>
    </w:p>
    <w:p>
      <w:pPr>
        <w:ind w:firstLine="480"/>
        <w:rPr>
          <w:rFonts w:cs="Times New Roman"/>
        </w:rPr>
      </w:pPr>
      <w:r>
        <w:rPr>
          <w:rFonts w:hint="eastAsia"/>
        </w:rPr>
        <w:t>（</w:t>
      </w:r>
      <w:r>
        <w:t>4</w:t>
      </w:r>
      <w:r>
        <w:rPr>
          <w:rFonts w:hint="eastAsia"/>
        </w:rPr>
        <w:t>）投标文件格式不规范、项目不齐全或者内容虚假的；</w:t>
      </w:r>
    </w:p>
    <w:p>
      <w:pPr>
        <w:ind w:firstLine="480"/>
        <w:rPr>
          <w:rFonts w:cs="Times New Roman"/>
        </w:rPr>
      </w:pPr>
      <w:r>
        <w:rPr>
          <w:rFonts w:hint="eastAsia"/>
        </w:rPr>
        <w:t>（</w:t>
      </w:r>
      <w:r>
        <w:t>5</w:t>
      </w:r>
      <w:r>
        <w:rPr>
          <w:rFonts w:hint="eastAsia"/>
        </w:rPr>
        <w:t>）投标文件的实质性内容未使用中文表述、意思表述不明确、前后矛盾或者使用计量单位不符合采购文件要求的（经评标委员会认定并允许其当场更正的笔误除外）；</w:t>
      </w:r>
    </w:p>
    <w:p>
      <w:pPr>
        <w:ind w:firstLine="480"/>
        <w:rPr>
          <w:rFonts w:cs="Times New Roman"/>
        </w:rPr>
      </w:pPr>
      <w:r>
        <w:rPr>
          <w:rFonts w:hint="eastAsia"/>
        </w:rPr>
        <w:t>（</w:t>
      </w:r>
      <w:r>
        <w:t>6</w:t>
      </w:r>
      <w:r>
        <w:rPr>
          <w:rFonts w:hint="eastAsia"/>
        </w:rPr>
        <w:t>）投标有效期不能满足采购文件要求的；</w:t>
      </w:r>
    </w:p>
    <w:p>
      <w:pPr>
        <w:ind w:firstLine="480"/>
        <w:rPr>
          <w:rFonts w:cs="Times New Roman"/>
        </w:rPr>
      </w:pPr>
      <w:r>
        <w:rPr>
          <w:rFonts w:hint="eastAsia"/>
        </w:rPr>
        <w:t>（</w:t>
      </w:r>
      <w:r>
        <w:t>7</w:t>
      </w:r>
      <w:r>
        <w:rPr>
          <w:rFonts w:hint="eastAsia"/>
        </w:rPr>
        <w:t>）未响应采购文件实质性要求或者投标文件有招标人不能接受的附加条件的；</w:t>
      </w:r>
    </w:p>
    <w:p>
      <w:pPr>
        <w:ind w:firstLine="480"/>
        <w:rPr>
          <w:rFonts w:cs="Times New Roman"/>
        </w:rPr>
      </w:pPr>
      <w:r>
        <w:rPr>
          <w:rFonts w:hint="eastAsia"/>
        </w:rPr>
        <w:t>（</w:t>
      </w:r>
      <w:r>
        <w:t>8</w:t>
      </w:r>
      <w:r>
        <w:rPr>
          <w:rFonts w:hint="eastAsia"/>
        </w:rPr>
        <w:t>）所提供的各种证书、资料已过有效期的和存在其它失效的情形。</w:t>
      </w:r>
    </w:p>
    <w:p>
      <w:pPr>
        <w:ind w:firstLine="482"/>
        <w:rPr>
          <w:rFonts w:cs="Times New Roman"/>
          <w:b/>
          <w:bCs/>
        </w:rPr>
      </w:pPr>
      <w:r>
        <w:rPr>
          <w:b/>
          <w:bCs/>
        </w:rPr>
        <w:t>2</w:t>
      </w:r>
      <w:r>
        <w:rPr>
          <w:rFonts w:hint="eastAsia"/>
          <w:b/>
          <w:bCs/>
        </w:rPr>
        <w:t>、在技术评审时，如发现下列情形之一的，投标文件将被视为无效：</w:t>
      </w:r>
    </w:p>
    <w:p>
      <w:pPr>
        <w:ind w:firstLine="480"/>
        <w:rPr>
          <w:rFonts w:cs="Times New Roman"/>
        </w:rPr>
      </w:pPr>
      <w:r>
        <w:rPr>
          <w:rFonts w:hint="eastAsia"/>
        </w:rPr>
        <w:t>（</w:t>
      </w:r>
      <w:r>
        <w:t>1</w:t>
      </w:r>
      <w:r>
        <w:rPr>
          <w:rFonts w:hint="eastAsia"/>
        </w:rPr>
        <w:t>）未提供或未如实提供投标所须配置的技术参数，或者投标文件标明的响应或偏离与事实不符或虚假投标的；</w:t>
      </w:r>
    </w:p>
    <w:p>
      <w:pPr>
        <w:ind w:firstLine="480"/>
        <w:rPr>
          <w:rFonts w:cs="Times New Roman"/>
        </w:rPr>
      </w:pPr>
      <w:r>
        <w:rPr>
          <w:rFonts w:hint="eastAsia"/>
        </w:rPr>
        <w:t>（</w:t>
      </w:r>
      <w:r>
        <w:t>2</w:t>
      </w:r>
      <w:r>
        <w:rPr>
          <w:rFonts w:hint="eastAsia"/>
        </w:rPr>
        <w:t>）明显不符合采购文件要求的设备、人员配置、质量标准，或者与采购文件中标▲的技术指标、主要功能项目发生实质性偏离的；</w:t>
      </w:r>
    </w:p>
    <w:p>
      <w:pPr>
        <w:ind w:firstLine="480"/>
        <w:rPr>
          <w:rFonts w:cs="Times New Roman"/>
        </w:rPr>
      </w:pPr>
      <w:r>
        <w:rPr>
          <w:rFonts w:hint="eastAsia"/>
        </w:rPr>
        <w:t>（</w:t>
      </w:r>
      <w:r>
        <w:t>3</w:t>
      </w:r>
      <w:r>
        <w:rPr>
          <w:rFonts w:hint="eastAsia"/>
        </w:rPr>
        <w:t>）投标技术方案不明确，存在一个或一个以上备选（替代）投标方案的；</w:t>
      </w:r>
    </w:p>
    <w:p>
      <w:pPr>
        <w:ind w:firstLine="480"/>
        <w:rPr>
          <w:rFonts w:cs="Times New Roman"/>
        </w:rPr>
      </w:pPr>
      <w:r>
        <w:rPr>
          <w:rFonts w:hint="eastAsia"/>
        </w:rPr>
        <w:t>（</w:t>
      </w:r>
      <w:r>
        <w:t>4</w:t>
      </w:r>
      <w:r>
        <w:rPr>
          <w:rFonts w:hint="eastAsia"/>
        </w:rPr>
        <w:t>）与其他参加本次投标供应商的投标文件（技术文件）的文字表述内容相同连续</w:t>
      </w:r>
      <w:r>
        <w:t>20</w:t>
      </w:r>
      <w:r>
        <w:rPr>
          <w:rFonts w:hint="eastAsia"/>
        </w:rPr>
        <w:t>行以上或者差错相同</w:t>
      </w:r>
      <w:r>
        <w:t>2</w:t>
      </w:r>
      <w:r>
        <w:rPr>
          <w:rFonts w:hint="eastAsia"/>
        </w:rPr>
        <w:t>处以上的。</w:t>
      </w:r>
    </w:p>
    <w:p>
      <w:pPr>
        <w:ind w:firstLine="482"/>
        <w:rPr>
          <w:rFonts w:cs="Times New Roman"/>
          <w:b/>
          <w:bCs/>
        </w:rPr>
      </w:pPr>
      <w:r>
        <w:rPr>
          <w:b/>
          <w:bCs/>
        </w:rPr>
        <w:t>3</w:t>
      </w:r>
      <w:r>
        <w:rPr>
          <w:rFonts w:hint="eastAsia"/>
          <w:b/>
          <w:bCs/>
        </w:rPr>
        <w:t>、在报价评审时，如发现下列情形之一的，投标文件将被视为无效：</w:t>
      </w:r>
    </w:p>
    <w:p>
      <w:pPr>
        <w:ind w:firstLine="480"/>
        <w:rPr>
          <w:rFonts w:cs="Times New Roman"/>
        </w:rPr>
      </w:pPr>
      <w:r>
        <w:rPr>
          <w:rFonts w:hint="eastAsia"/>
        </w:rPr>
        <w:t>（</w:t>
      </w:r>
      <w:r>
        <w:t>1</w:t>
      </w:r>
      <w:r>
        <w:rPr>
          <w:rFonts w:hint="eastAsia"/>
        </w:rPr>
        <w:t>）未采用人民币报价或者未按照采购文件标明的币种报价的；</w:t>
      </w:r>
    </w:p>
    <w:p>
      <w:pPr>
        <w:ind w:firstLine="480"/>
        <w:rPr>
          <w:rFonts w:cs="Times New Roman"/>
        </w:rPr>
      </w:pPr>
      <w:r>
        <w:rPr>
          <w:rFonts w:hint="eastAsia"/>
        </w:rPr>
        <w:t>（</w:t>
      </w:r>
      <w:r>
        <w:t>2</w:t>
      </w:r>
      <w:r>
        <w:rPr>
          <w:rFonts w:hint="eastAsia"/>
        </w:rPr>
        <w:t>）投标报价具有选择性的；</w:t>
      </w:r>
    </w:p>
    <w:p>
      <w:pPr>
        <w:ind w:firstLine="480"/>
      </w:pPr>
      <w:r>
        <w:rPr>
          <w:rFonts w:hint="eastAsia"/>
        </w:rPr>
        <w:t>（</w:t>
      </w:r>
      <w:r>
        <w:t>3</w:t>
      </w:r>
      <w:r>
        <w:rPr>
          <w:rFonts w:hint="eastAsia"/>
        </w:rPr>
        <w:t>）报价超出最高限价或投标报价存在明显低于成本不合理的。</w:t>
      </w:r>
      <w:r>
        <w:rPr>
          <w:color w:val="FF0000"/>
        </w:rPr>
        <w:t xml:space="preserve"> </w:t>
      </w:r>
      <w:r>
        <w:t xml:space="preserve">                                                                                                     </w:t>
      </w:r>
    </w:p>
    <w:p>
      <w:pPr>
        <w:ind w:firstLine="482"/>
        <w:rPr>
          <w:rFonts w:cs="Times New Roman"/>
          <w:b/>
          <w:bCs/>
        </w:rPr>
      </w:pPr>
      <w:r>
        <w:rPr>
          <w:b/>
          <w:bCs/>
        </w:rPr>
        <w:t>4</w:t>
      </w:r>
      <w:r>
        <w:rPr>
          <w:rFonts w:hint="eastAsia"/>
          <w:b/>
          <w:bCs/>
        </w:rPr>
        <w:t>、被拒绝的投标文件为无效。</w:t>
      </w:r>
    </w:p>
    <w:p>
      <w:pPr>
        <w:pStyle w:val="3"/>
        <w:numPr>
          <w:ilvl w:val="0"/>
          <w:numId w:val="10"/>
        </w:numPr>
        <w:rPr>
          <w:rFonts w:cs="Times New Roman"/>
        </w:rPr>
      </w:pPr>
      <w:bookmarkStart w:id="139" w:name="_Toc27029"/>
      <w:bookmarkStart w:id="140" w:name="_Toc8925"/>
      <w:r>
        <w:rPr>
          <w:rFonts w:hint="eastAsia" w:cs="黑体"/>
        </w:rPr>
        <w:t>开标</w:t>
      </w:r>
      <w:bookmarkEnd w:id="139"/>
      <w:bookmarkEnd w:id="140"/>
    </w:p>
    <w:p>
      <w:pPr>
        <w:pStyle w:val="4"/>
        <w:rPr>
          <w:sz w:val="24"/>
          <w:szCs w:val="24"/>
        </w:rPr>
      </w:pPr>
      <w:bookmarkStart w:id="141" w:name="_Toc25852"/>
      <w:bookmarkStart w:id="142" w:name="_Toc14491"/>
      <w:bookmarkStart w:id="143" w:name="_Toc7897"/>
      <w:r>
        <w:rPr>
          <w:rFonts w:hint="eastAsia" w:cs="宋体"/>
          <w:sz w:val="24"/>
          <w:szCs w:val="24"/>
        </w:rPr>
        <w:t>（一）开标准备</w:t>
      </w:r>
      <w:bookmarkEnd w:id="141"/>
      <w:bookmarkEnd w:id="142"/>
      <w:bookmarkEnd w:id="143"/>
      <w:r>
        <w:rPr>
          <w:sz w:val="24"/>
          <w:szCs w:val="24"/>
        </w:rPr>
        <w:t>:</w:t>
      </w:r>
    </w:p>
    <w:p>
      <w:pPr>
        <w:ind w:firstLine="480"/>
        <w:rPr>
          <w:rFonts w:cs="Times New Roman"/>
        </w:rPr>
      </w:pPr>
      <w:r>
        <w:rPr>
          <w:rFonts w:hint="eastAsia"/>
        </w:rPr>
        <w:t>采购代理机构将在规定的时间和地点进行开标，投标人的法定代表人或其授权代表应参加开标会并签到。投标人的法定代表人或其授权代表未按时签到的，视同放弃开标监督权利、认可开标结果。</w:t>
      </w:r>
    </w:p>
    <w:p>
      <w:pPr>
        <w:pStyle w:val="4"/>
        <w:rPr>
          <w:sz w:val="24"/>
          <w:szCs w:val="24"/>
        </w:rPr>
      </w:pPr>
      <w:bookmarkStart w:id="144" w:name="_Toc462"/>
      <w:bookmarkStart w:id="145" w:name="_Toc29721"/>
      <w:bookmarkStart w:id="146" w:name="_Toc5938"/>
      <w:r>
        <w:rPr>
          <w:rFonts w:hint="eastAsia" w:cs="宋体"/>
          <w:sz w:val="24"/>
          <w:szCs w:val="24"/>
        </w:rPr>
        <w:t>（二）</w:t>
      </w:r>
      <w:r>
        <w:rPr>
          <w:sz w:val="24"/>
          <w:szCs w:val="24"/>
        </w:rPr>
        <w:t xml:space="preserve"> </w:t>
      </w:r>
      <w:r>
        <w:rPr>
          <w:rFonts w:hint="eastAsia" w:cs="宋体"/>
          <w:sz w:val="24"/>
          <w:szCs w:val="24"/>
        </w:rPr>
        <w:t>开标程序：</w:t>
      </w:r>
      <w:bookmarkEnd w:id="144"/>
      <w:bookmarkEnd w:id="145"/>
      <w:bookmarkEnd w:id="146"/>
    </w:p>
    <w:p>
      <w:pPr>
        <w:pStyle w:val="4"/>
        <w:spacing w:line="240" w:lineRule="auto"/>
        <w:ind w:firstLine="480" w:firstLineChars="200"/>
        <w:rPr>
          <w:rFonts w:ascii="宋体"/>
          <w:b w:val="0"/>
          <w:bCs w:val="0"/>
          <w:kern w:val="2"/>
          <w:sz w:val="24"/>
          <w:szCs w:val="24"/>
        </w:rPr>
      </w:pPr>
      <w:r>
        <w:rPr>
          <w:rFonts w:hint="eastAsia" w:ascii="宋体" w:hAnsi="宋体" w:cs="宋体"/>
          <w:b w:val="0"/>
          <w:bCs w:val="0"/>
          <w:kern w:val="2"/>
          <w:sz w:val="24"/>
          <w:szCs w:val="24"/>
        </w:rPr>
        <w:t>（</w:t>
      </w:r>
      <w:r>
        <w:rPr>
          <w:rFonts w:ascii="宋体" w:hAnsi="宋体" w:cs="宋体"/>
          <w:b w:val="0"/>
          <w:bCs w:val="0"/>
          <w:kern w:val="2"/>
          <w:sz w:val="24"/>
          <w:szCs w:val="24"/>
        </w:rPr>
        <w:t>1</w:t>
      </w:r>
      <w:r>
        <w:rPr>
          <w:rFonts w:hint="eastAsia" w:ascii="宋体" w:hAnsi="宋体" w:cs="宋体"/>
          <w:b w:val="0"/>
          <w:bCs w:val="0"/>
          <w:kern w:val="2"/>
          <w:sz w:val="24"/>
          <w:szCs w:val="24"/>
        </w:rPr>
        <w:t>）开标大会由招标代理机构主持，介绍项目和参加开标会的人员情况，宣布开标纪律；</w:t>
      </w:r>
    </w:p>
    <w:p>
      <w:pPr>
        <w:pStyle w:val="4"/>
        <w:spacing w:line="240" w:lineRule="auto"/>
        <w:ind w:firstLine="480" w:firstLineChars="200"/>
        <w:rPr>
          <w:rFonts w:ascii="宋体"/>
          <w:b w:val="0"/>
          <w:bCs w:val="0"/>
          <w:kern w:val="2"/>
          <w:sz w:val="24"/>
          <w:szCs w:val="24"/>
        </w:rPr>
      </w:pPr>
      <w:r>
        <w:rPr>
          <w:rFonts w:hint="eastAsia" w:ascii="宋体" w:hAnsi="宋体" w:cs="宋体"/>
          <w:b w:val="0"/>
          <w:bCs w:val="0"/>
          <w:kern w:val="2"/>
          <w:sz w:val="24"/>
          <w:szCs w:val="24"/>
        </w:rPr>
        <w:t>（</w:t>
      </w:r>
      <w:r>
        <w:rPr>
          <w:rFonts w:ascii="宋体" w:hAnsi="宋体" w:cs="宋体"/>
          <w:b w:val="0"/>
          <w:bCs w:val="0"/>
          <w:kern w:val="2"/>
          <w:sz w:val="24"/>
          <w:szCs w:val="24"/>
        </w:rPr>
        <w:t>2</w:t>
      </w:r>
      <w:r>
        <w:rPr>
          <w:rFonts w:hint="eastAsia" w:ascii="宋体" w:hAnsi="宋体" w:cs="宋体"/>
          <w:b w:val="0"/>
          <w:bCs w:val="0"/>
          <w:kern w:val="2"/>
          <w:sz w:val="24"/>
          <w:szCs w:val="24"/>
        </w:rPr>
        <w:t>）宣读投标截止时间前投标人名单；</w:t>
      </w:r>
    </w:p>
    <w:p>
      <w:pPr>
        <w:pStyle w:val="4"/>
        <w:spacing w:line="240" w:lineRule="auto"/>
        <w:ind w:firstLine="480" w:firstLineChars="200"/>
        <w:rPr>
          <w:rFonts w:ascii="宋体"/>
          <w:b w:val="0"/>
          <w:bCs w:val="0"/>
          <w:kern w:val="2"/>
          <w:sz w:val="24"/>
          <w:szCs w:val="24"/>
        </w:rPr>
      </w:pPr>
      <w:r>
        <w:rPr>
          <w:rFonts w:hint="eastAsia" w:ascii="宋体" w:hAnsi="宋体" w:cs="宋体"/>
          <w:b w:val="0"/>
          <w:bCs w:val="0"/>
          <w:kern w:val="2"/>
          <w:sz w:val="24"/>
          <w:szCs w:val="24"/>
        </w:rPr>
        <w:t>（</w:t>
      </w:r>
      <w:r>
        <w:rPr>
          <w:rFonts w:ascii="宋体" w:hAnsi="宋体" w:cs="宋体"/>
          <w:b w:val="0"/>
          <w:bCs w:val="0"/>
          <w:kern w:val="2"/>
          <w:sz w:val="24"/>
          <w:szCs w:val="24"/>
        </w:rPr>
        <w:t>3</w:t>
      </w:r>
      <w:r>
        <w:rPr>
          <w:rFonts w:hint="eastAsia" w:ascii="宋体" w:hAnsi="宋体" w:cs="宋体"/>
          <w:b w:val="0"/>
          <w:bCs w:val="0"/>
          <w:kern w:val="2"/>
          <w:sz w:val="24"/>
          <w:szCs w:val="24"/>
        </w:rPr>
        <w:t>）由采购人或采购监管机构查验投标代表的身份；</w:t>
      </w:r>
    </w:p>
    <w:p>
      <w:pPr>
        <w:pStyle w:val="14"/>
        <w:snapToGrid w:val="0"/>
        <w:ind w:left="0" w:leftChars="0" w:firstLine="480"/>
        <w:rPr>
          <w:rFonts w:cs="Times New Roman"/>
        </w:rPr>
      </w:pPr>
      <w:r>
        <w:rPr>
          <w:rFonts w:hint="eastAsia"/>
        </w:rPr>
        <w:t>（</w:t>
      </w:r>
      <w:r>
        <w:t>4</w:t>
      </w:r>
      <w:r>
        <w:rPr>
          <w:rFonts w:hint="eastAsia"/>
        </w:rPr>
        <w:t>）本项目分两阶段开标，具体如下：</w:t>
      </w:r>
    </w:p>
    <w:p>
      <w:pPr>
        <w:pStyle w:val="14"/>
        <w:snapToGrid w:val="0"/>
        <w:ind w:left="0" w:leftChars="0" w:firstLine="480"/>
        <w:rPr>
          <w:rFonts w:cs="Times New Roman"/>
        </w:rPr>
      </w:pPr>
      <w:r>
        <w:rPr>
          <w:rFonts w:hint="eastAsia"/>
        </w:rPr>
        <w:t>第一阶段：开标时，由投标人代表检查各投标文件的密封情况，确认无误后，工作人员当众拆封资信及其他、技术文件外包装，清点正、副本数量；投标文件如有不符合要求的，当场退还投标人，并由投标人代表签字确认，无故拒绝或不签字确认的视同默认。开标时按各投标人提交投标文件时间的先后顺序，以后到先开的方式进行。本阶段拆封标书后直接将符合招标文件要求的资信、技术文件送评标审评审，不进行公开唱标。</w:t>
      </w:r>
    </w:p>
    <w:p>
      <w:pPr>
        <w:pStyle w:val="14"/>
        <w:snapToGrid w:val="0"/>
        <w:ind w:left="0" w:leftChars="0" w:firstLine="480"/>
        <w:rPr>
          <w:rFonts w:cs="Times New Roman"/>
        </w:rPr>
      </w:pPr>
      <w:r>
        <w:rPr>
          <w:rFonts w:hint="eastAsia"/>
        </w:rPr>
        <w:t>第二阶段：资信、技术文件评审结束后，开启报价文件和开标一览表。</w:t>
      </w:r>
    </w:p>
    <w:p>
      <w:pPr>
        <w:pStyle w:val="14"/>
        <w:snapToGrid w:val="0"/>
        <w:ind w:left="0" w:leftChars="0" w:firstLine="480"/>
        <w:rPr>
          <w:rFonts w:cs="Times New Roman"/>
        </w:rPr>
      </w:pPr>
      <w:r>
        <w:rPr>
          <w:rFonts w:hint="eastAsia"/>
        </w:rPr>
        <w:t>第一阶段评审过程中作无效标处理的投标人不再进入第二阶段开标，其报价文件直接退还投标人。</w:t>
      </w:r>
    </w:p>
    <w:p>
      <w:pPr>
        <w:pStyle w:val="14"/>
        <w:snapToGrid w:val="0"/>
        <w:ind w:left="0" w:leftChars="0" w:firstLine="480"/>
        <w:rPr>
          <w:rFonts w:cs="Times New Roman"/>
        </w:rPr>
      </w:pPr>
      <w:r>
        <w:rPr>
          <w:rFonts w:hint="eastAsia"/>
        </w:rPr>
        <w:t>第二阶段开标程序：首先公布各投标单位的资信、技术得分情况；再由投标人代表检查报价文件和开标一览表的密封情况。确认无误后，工作人员当众拆封报价文件，并清点报价文件正、副本数量，符合招标文件要求的进行开标、唱标；不符合要求的当场退还投标人，并由投标人代表签字确认，无故拒绝或不签字确认的视同默认。开标时按各投标人提交投标文件时间的先后顺序，以后到先开的方式进行。</w:t>
      </w:r>
    </w:p>
    <w:p>
      <w:pPr>
        <w:pStyle w:val="14"/>
        <w:snapToGrid w:val="0"/>
        <w:ind w:left="0" w:leftChars="0" w:firstLine="480"/>
        <w:rPr>
          <w:rFonts w:cs="Times New Roman"/>
        </w:rPr>
      </w:pPr>
      <w:r>
        <w:rPr>
          <w:rFonts w:hint="eastAsia"/>
        </w:rPr>
        <w:t>由唱标人宣读《开标一览表》中的投标人名称及在其投标文件中承诺的投标报价以及招标代理机构认为有必要宣读的其他内容；</w:t>
      </w:r>
    </w:p>
    <w:p>
      <w:pPr>
        <w:pStyle w:val="14"/>
        <w:snapToGrid w:val="0"/>
        <w:ind w:left="0" w:leftChars="0" w:firstLine="480"/>
        <w:rPr>
          <w:rFonts w:cs="Times New Roman"/>
        </w:rPr>
      </w:pPr>
      <w:r>
        <w:rPr>
          <w:rFonts w:hint="eastAsia"/>
        </w:rPr>
        <w:t>招标代理机构制作开标记录表，投标人代表对开标记录表进行当场校核后签字确认；并同时由记录人、监督人当场签字确认。投标人代表未签字确认的，视同默认开标结果，不影响评标过程。</w:t>
      </w:r>
    </w:p>
    <w:p>
      <w:pPr>
        <w:ind w:firstLine="480"/>
      </w:pPr>
      <w:r>
        <w:rPr>
          <w:rFonts w:hint="eastAsia"/>
        </w:rPr>
        <w:t>（</w:t>
      </w:r>
      <w:r>
        <w:t>5</w:t>
      </w:r>
      <w:r>
        <w:rPr>
          <w:rFonts w:hint="eastAsia"/>
        </w:rPr>
        <w:t>）采购代理机构对开标过程进行记录，以存档备查。</w:t>
      </w:r>
      <w:r>
        <w:t xml:space="preserve">   </w:t>
      </w:r>
    </w:p>
    <w:p>
      <w:pPr>
        <w:pStyle w:val="3"/>
        <w:numPr>
          <w:ilvl w:val="0"/>
          <w:numId w:val="10"/>
        </w:numPr>
        <w:rPr>
          <w:rFonts w:cs="Times New Roman"/>
        </w:rPr>
      </w:pPr>
      <w:bookmarkStart w:id="147" w:name="_Toc12777"/>
      <w:bookmarkStart w:id="148" w:name="_Toc1941"/>
      <w:r>
        <w:rPr>
          <w:rFonts w:hint="eastAsia" w:cs="黑体"/>
        </w:rPr>
        <w:t>评标</w:t>
      </w:r>
      <w:bookmarkEnd w:id="147"/>
      <w:bookmarkEnd w:id="148"/>
    </w:p>
    <w:p>
      <w:pPr>
        <w:pStyle w:val="4"/>
        <w:rPr>
          <w:sz w:val="24"/>
          <w:szCs w:val="24"/>
        </w:rPr>
      </w:pPr>
      <w:bookmarkStart w:id="149" w:name="_Toc12787"/>
      <w:bookmarkStart w:id="150" w:name="_Toc8954"/>
      <w:bookmarkStart w:id="151" w:name="_Toc23895"/>
      <w:r>
        <w:rPr>
          <w:rFonts w:hint="eastAsia" w:cs="宋体"/>
          <w:sz w:val="24"/>
          <w:szCs w:val="24"/>
        </w:rPr>
        <w:t>（一）组建评标委员会</w:t>
      </w:r>
      <w:bookmarkEnd w:id="149"/>
      <w:bookmarkEnd w:id="150"/>
      <w:bookmarkEnd w:id="151"/>
      <w:r>
        <w:rPr>
          <w:sz w:val="24"/>
          <w:szCs w:val="24"/>
        </w:rPr>
        <w:t>:</w:t>
      </w:r>
    </w:p>
    <w:p>
      <w:pPr>
        <w:ind w:firstLine="480"/>
        <w:rPr>
          <w:rFonts w:cs="Times New Roman"/>
        </w:rPr>
      </w:pPr>
      <w:r>
        <w:rPr>
          <w:rFonts w:hint="eastAsia"/>
        </w:rPr>
        <w:t>本项目评标委员会由政府采购评审专家组成。</w:t>
      </w:r>
    </w:p>
    <w:p>
      <w:pPr>
        <w:pStyle w:val="4"/>
        <w:rPr>
          <w:sz w:val="24"/>
          <w:szCs w:val="24"/>
        </w:rPr>
      </w:pPr>
      <w:bookmarkStart w:id="152" w:name="_Toc29816"/>
      <w:bookmarkStart w:id="153" w:name="_Toc18160"/>
      <w:bookmarkStart w:id="154" w:name="_Toc28405"/>
      <w:r>
        <w:rPr>
          <w:rFonts w:hint="eastAsia" w:cs="宋体"/>
          <w:sz w:val="24"/>
          <w:szCs w:val="24"/>
        </w:rPr>
        <w:t>（二）评标的方式</w:t>
      </w:r>
      <w:bookmarkEnd w:id="152"/>
      <w:bookmarkEnd w:id="153"/>
      <w:bookmarkEnd w:id="154"/>
      <w:r>
        <w:rPr>
          <w:sz w:val="24"/>
          <w:szCs w:val="24"/>
        </w:rPr>
        <w:t>:</w:t>
      </w:r>
    </w:p>
    <w:p>
      <w:pPr>
        <w:ind w:firstLine="480"/>
        <w:rPr>
          <w:rFonts w:cs="Times New Roman"/>
        </w:rPr>
      </w:pPr>
      <w:r>
        <w:rPr>
          <w:rFonts w:hint="eastAsia"/>
        </w:rPr>
        <w:t>本项目采用不公开方式评标，评标的依据为采购文件和投标文件。</w:t>
      </w:r>
    </w:p>
    <w:p>
      <w:pPr>
        <w:pStyle w:val="4"/>
        <w:rPr>
          <w:sz w:val="24"/>
          <w:szCs w:val="24"/>
        </w:rPr>
      </w:pPr>
      <w:bookmarkStart w:id="155" w:name="_Toc7950"/>
      <w:bookmarkStart w:id="156" w:name="_Toc7930"/>
      <w:bookmarkStart w:id="157" w:name="_Toc14205"/>
      <w:r>
        <w:rPr>
          <w:rFonts w:hint="eastAsia" w:cs="宋体"/>
          <w:sz w:val="24"/>
          <w:szCs w:val="24"/>
        </w:rPr>
        <w:t>（三）评标程序</w:t>
      </w:r>
      <w:bookmarkEnd w:id="155"/>
      <w:bookmarkEnd w:id="156"/>
      <w:bookmarkEnd w:id="157"/>
      <w:r>
        <w:rPr>
          <w:sz w:val="24"/>
          <w:szCs w:val="24"/>
        </w:rPr>
        <w:t>:</w:t>
      </w:r>
    </w:p>
    <w:p>
      <w:pPr>
        <w:ind w:firstLine="480"/>
      </w:pPr>
      <w:r>
        <w:t>1</w:t>
      </w:r>
      <w:r>
        <w:rPr>
          <w:rFonts w:hint="eastAsia"/>
        </w:rPr>
        <w:t>、形式审查</w:t>
      </w:r>
      <w:r>
        <w:t>:</w:t>
      </w:r>
    </w:p>
    <w:p>
      <w:pPr>
        <w:ind w:firstLine="480"/>
        <w:rPr>
          <w:rFonts w:cs="Times New Roman"/>
        </w:rPr>
      </w:pPr>
      <w:r>
        <w:rPr>
          <w:rFonts w:hint="eastAsia"/>
        </w:rPr>
        <w:t>采购人代表和代理机构工作人员协助评标委员会对投标人的资格和投标文件的完整性、合法性等进行审查。</w:t>
      </w:r>
    </w:p>
    <w:p>
      <w:pPr>
        <w:ind w:firstLine="480"/>
      </w:pPr>
      <w:r>
        <w:t>2</w:t>
      </w:r>
      <w:r>
        <w:rPr>
          <w:rFonts w:hint="eastAsia"/>
        </w:rPr>
        <w:t>、实质审查与比较</w:t>
      </w:r>
      <w:r>
        <w:t>:</w:t>
      </w:r>
    </w:p>
    <w:p>
      <w:pPr>
        <w:ind w:firstLine="480"/>
        <w:rPr>
          <w:rFonts w:cs="Times New Roman"/>
        </w:rPr>
      </w:pPr>
      <w:r>
        <w:rPr>
          <w:rFonts w:hint="eastAsia"/>
        </w:rPr>
        <w:t>（</w:t>
      </w:r>
      <w:r>
        <w:t>1</w:t>
      </w:r>
      <w:r>
        <w:rPr>
          <w:rFonts w:hint="eastAsia"/>
        </w:rPr>
        <w:t>）评标委员会审查投标文件的实质性内容是否符合采购文件的实质性要求。</w:t>
      </w:r>
    </w:p>
    <w:p>
      <w:pPr>
        <w:ind w:firstLine="480"/>
        <w:rPr>
          <w:rFonts w:cs="Times New Roman"/>
        </w:rPr>
      </w:pPr>
      <w:r>
        <w:rPr>
          <w:rFonts w:hint="eastAsia"/>
        </w:rPr>
        <w:t>（</w:t>
      </w:r>
      <w:r>
        <w:t>2</w:t>
      </w:r>
      <w:r>
        <w:rPr>
          <w:rFonts w:hint="eastAsia"/>
        </w:rPr>
        <w:t>）评标委员会将根据投标人的投标文件进行审查、核对</w:t>
      </w:r>
      <w:r>
        <w:t>,</w:t>
      </w:r>
      <w:r>
        <w:rPr>
          <w:rFonts w:hint="eastAsia"/>
        </w:rPr>
        <w:t>如有疑问</w:t>
      </w:r>
      <w:r>
        <w:t>,</w:t>
      </w:r>
      <w:r>
        <w:rPr>
          <w:rFonts w:hint="eastAsia"/>
        </w:rPr>
        <w:t>将对投标人进行询标</w:t>
      </w:r>
      <w:r>
        <w:t>,</w:t>
      </w:r>
      <w:r>
        <w:rPr>
          <w:rFonts w:hint="eastAsia"/>
        </w:rPr>
        <w:t>投标人要向评标委员会澄清有关问题</w:t>
      </w:r>
      <w:r>
        <w:t>,</w:t>
      </w:r>
      <w:r>
        <w:rPr>
          <w:rFonts w:hint="eastAsia"/>
        </w:rPr>
        <w:t>并最终以书面形式进行答复。投标人代表未到场或者拒绝澄清或者澄清的内容改变了投标文件的实质性内容的，评标委员会有权对该投标文件作出不利于投标人的评判。</w:t>
      </w:r>
    </w:p>
    <w:p>
      <w:pPr>
        <w:ind w:firstLine="480"/>
        <w:rPr>
          <w:rFonts w:cs="Times New Roman"/>
        </w:rPr>
      </w:pPr>
      <w:r>
        <w:rPr>
          <w:rFonts w:hint="eastAsia"/>
        </w:rPr>
        <w:t>（</w:t>
      </w:r>
      <w:r>
        <w:t>3</w:t>
      </w:r>
      <w:r>
        <w:rPr>
          <w:rFonts w:hint="eastAsia"/>
        </w:rPr>
        <w:t>）技术分为所有评标委员会成员独立评分结果汇总的算术平均分，计算公式为：技术分</w:t>
      </w:r>
      <w:r>
        <w:t>=</w:t>
      </w:r>
      <w:r>
        <w:rPr>
          <w:rFonts w:hint="eastAsia"/>
        </w:rPr>
        <w:t>评标委员会所有成员评分合计数</w:t>
      </w:r>
      <w:r>
        <w:t>/</w:t>
      </w:r>
      <w:r>
        <w:rPr>
          <w:rFonts w:hint="eastAsia"/>
        </w:rPr>
        <w:t>评标委员会组成人员数，由指定专人进行计算复核。</w:t>
      </w:r>
    </w:p>
    <w:p>
      <w:pPr>
        <w:ind w:firstLine="480"/>
        <w:rPr>
          <w:rFonts w:cs="Times New Roman"/>
        </w:rPr>
      </w:pPr>
      <w:r>
        <w:rPr>
          <w:rFonts w:hint="eastAsia"/>
        </w:rPr>
        <w:t>（</w:t>
      </w:r>
      <w:r>
        <w:t>4</w:t>
      </w:r>
      <w:r>
        <w:rPr>
          <w:rFonts w:hint="eastAsia"/>
        </w:rPr>
        <w:t>）代理机构工作人员协助评标委员会根据本项目的评分标准计算各投标人的商务报价得分。</w:t>
      </w:r>
    </w:p>
    <w:p>
      <w:pPr>
        <w:ind w:firstLine="480"/>
        <w:rPr>
          <w:rFonts w:cs="Times New Roman"/>
        </w:rPr>
      </w:pPr>
      <w:r>
        <w:rPr>
          <w:rFonts w:hint="eastAsia"/>
        </w:rPr>
        <w:t>（</w:t>
      </w:r>
      <w:r>
        <w:t>5</w:t>
      </w:r>
      <w:r>
        <w:rPr>
          <w:rFonts w:hint="eastAsia"/>
        </w:rPr>
        <w:t>）评标委员会完成评标后</w:t>
      </w:r>
      <w:r>
        <w:t>,</w:t>
      </w:r>
      <w:r>
        <w:rPr>
          <w:rFonts w:hint="eastAsia"/>
        </w:rPr>
        <w:t>评委对各部分得分汇总</w:t>
      </w:r>
      <w:r>
        <w:t>,</w:t>
      </w:r>
      <w:r>
        <w:rPr>
          <w:rFonts w:hint="eastAsia"/>
        </w:rPr>
        <w:t>计算出本项目最终得分。评标委员会按评标原则推荐中标候选人同时起草评标报告。</w:t>
      </w:r>
    </w:p>
    <w:p>
      <w:pPr>
        <w:pStyle w:val="4"/>
        <w:rPr>
          <w:sz w:val="24"/>
          <w:szCs w:val="24"/>
        </w:rPr>
      </w:pPr>
      <w:bookmarkStart w:id="158" w:name="_Toc21960"/>
      <w:bookmarkStart w:id="159" w:name="_Toc31756"/>
      <w:bookmarkStart w:id="160" w:name="_Toc31341"/>
      <w:r>
        <w:rPr>
          <w:rFonts w:hint="eastAsia" w:cs="宋体"/>
          <w:sz w:val="24"/>
          <w:szCs w:val="24"/>
        </w:rPr>
        <w:t>（四）澄清问题的形式</w:t>
      </w:r>
      <w:bookmarkEnd w:id="158"/>
      <w:bookmarkEnd w:id="159"/>
      <w:bookmarkEnd w:id="160"/>
      <w:r>
        <w:rPr>
          <w:sz w:val="24"/>
          <w:szCs w:val="24"/>
        </w:rPr>
        <w:t>:</w:t>
      </w:r>
    </w:p>
    <w:p>
      <w:pPr>
        <w:ind w:firstLine="480"/>
        <w:rPr>
          <w:rFonts w:cs="Times New Roman"/>
        </w:rPr>
      </w:pPr>
      <w:r>
        <w:rPr>
          <w:rFonts w:hint="eastAsia"/>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pPr>
        <w:pStyle w:val="4"/>
        <w:rPr>
          <w:sz w:val="24"/>
          <w:szCs w:val="24"/>
        </w:rPr>
      </w:pPr>
      <w:bookmarkStart w:id="161" w:name="_Toc4885"/>
      <w:bookmarkStart w:id="162" w:name="_Toc2613"/>
      <w:bookmarkStart w:id="163" w:name="_Toc19060"/>
      <w:r>
        <w:rPr>
          <w:rFonts w:hint="eastAsia" w:cs="宋体"/>
          <w:sz w:val="24"/>
          <w:szCs w:val="24"/>
        </w:rPr>
        <w:t>（五）错误修正</w:t>
      </w:r>
      <w:bookmarkEnd w:id="161"/>
      <w:bookmarkEnd w:id="162"/>
      <w:bookmarkEnd w:id="163"/>
      <w:r>
        <w:rPr>
          <w:sz w:val="24"/>
          <w:szCs w:val="24"/>
        </w:rPr>
        <w:t>:</w:t>
      </w:r>
    </w:p>
    <w:p>
      <w:pPr>
        <w:ind w:firstLine="480"/>
        <w:rPr>
          <w:rFonts w:cs="Times New Roman"/>
        </w:rPr>
      </w:pPr>
      <w:r>
        <w:rPr>
          <w:rFonts w:hint="eastAsia"/>
        </w:rPr>
        <w:t>投标文件如果出现计算或表达上的错误，修正错误的原则如下：</w:t>
      </w:r>
    </w:p>
    <w:p>
      <w:pPr>
        <w:ind w:firstLine="480"/>
        <w:rPr>
          <w:rFonts w:cs="Times New Roman"/>
        </w:rPr>
      </w:pPr>
      <w:r>
        <w:t>1</w:t>
      </w:r>
      <w:r>
        <w:rPr>
          <w:rFonts w:hint="eastAsia"/>
        </w:rPr>
        <w:t>、投标文件内描述报价和开标一览表不一致的，以开标一览表金额为准；</w:t>
      </w:r>
    </w:p>
    <w:p>
      <w:pPr>
        <w:ind w:firstLine="480"/>
        <w:rPr>
          <w:rFonts w:cs="Times New Roman"/>
        </w:rPr>
      </w:pPr>
      <w:r>
        <w:t>2</w:t>
      </w:r>
      <w:r>
        <w:rPr>
          <w:rFonts w:hint="eastAsia"/>
        </w:rPr>
        <w:t>、对不同文字文本投标文件的解释发生异议的，以中文文本为准。</w:t>
      </w:r>
    </w:p>
    <w:p>
      <w:pPr>
        <w:ind w:firstLine="480"/>
        <w:rPr>
          <w:rFonts w:cs="Times New Roman"/>
        </w:rPr>
      </w:pPr>
      <w:r>
        <w:rPr>
          <w:rFonts w:hint="eastAsia"/>
        </w:rPr>
        <w:t>按上述修正错误的原则及方法调整或修正投标文件的投标报价，投标人同意并签字确认后，调整后的投标报价对投标人具有约束作用。如果投标人不接受修正后的报价，则其投标将作为无效投标处理。</w:t>
      </w:r>
    </w:p>
    <w:p>
      <w:pPr>
        <w:pStyle w:val="4"/>
        <w:rPr>
          <w:sz w:val="24"/>
          <w:szCs w:val="24"/>
        </w:rPr>
      </w:pPr>
      <w:bookmarkStart w:id="164" w:name="_Toc12494"/>
      <w:bookmarkStart w:id="165" w:name="_Toc26609"/>
      <w:bookmarkStart w:id="166" w:name="_Toc1167"/>
      <w:r>
        <w:rPr>
          <w:rFonts w:hint="eastAsia" w:cs="宋体"/>
          <w:sz w:val="24"/>
          <w:szCs w:val="24"/>
        </w:rPr>
        <w:t>（六）评标原则和评标办法</w:t>
      </w:r>
      <w:bookmarkEnd w:id="164"/>
      <w:bookmarkEnd w:id="165"/>
      <w:bookmarkEnd w:id="166"/>
      <w:r>
        <w:rPr>
          <w:sz w:val="24"/>
          <w:szCs w:val="24"/>
        </w:rPr>
        <w:t>:</w:t>
      </w:r>
    </w:p>
    <w:p>
      <w:pPr>
        <w:ind w:firstLine="480"/>
        <w:rPr>
          <w:rFonts w:cs="Times New Roman"/>
        </w:rPr>
      </w:pPr>
      <w:r>
        <w:t>1</w:t>
      </w:r>
      <w:r>
        <w:rPr>
          <w:rFonts w:hint="eastAsia"/>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ind w:firstLine="480"/>
        <w:rPr>
          <w:rFonts w:cs="Times New Roman"/>
        </w:rPr>
      </w:pPr>
      <w:r>
        <w:t>2</w:t>
      </w:r>
      <w:r>
        <w:rPr>
          <w:rFonts w:hint="eastAsia"/>
        </w:rPr>
        <w:t>、评标办法。本项目评标办法是综合评分法，具体评标内容及评分标准等详见《第四章：评标办法及评分标准》。</w:t>
      </w:r>
    </w:p>
    <w:p>
      <w:pPr>
        <w:pStyle w:val="4"/>
        <w:rPr>
          <w:sz w:val="24"/>
          <w:szCs w:val="24"/>
        </w:rPr>
      </w:pPr>
      <w:bookmarkStart w:id="167" w:name="_Toc17974"/>
      <w:bookmarkStart w:id="168" w:name="_Toc28555"/>
      <w:bookmarkStart w:id="169" w:name="_Toc14751"/>
      <w:r>
        <w:rPr>
          <w:rFonts w:hint="eastAsia" w:cs="宋体"/>
          <w:sz w:val="24"/>
          <w:szCs w:val="24"/>
        </w:rPr>
        <w:t>（七）评标过程的监控</w:t>
      </w:r>
      <w:bookmarkEnd w:id="167"/>
      <w:bookmarkEnd w:id="168"/>
      <w:bookmarkEnd w:id="169"/>
      <w:r>
        <w:rPr>
          <w:sz w:val="24"/>
          <w:szCs w:val="24"/>
        </w:rPr>
        <w:t>:</w:t>
      </w:r>
    </w:p>
    <w:p>
      <w:pPr>
        <w:ind w:firstLine="480"/>
        <w:rPr>
          <w:rFonts w:cs="Times New Roman"/>
        </w:rPr>
      </w:pPr>
      <w:r>
        <w:rPr>
          <w:rFonts w:hint="eastAsia"/>
        </w:rPr>
        <w:t>本项目评标过程实行全程录音、录像监控，投标人在评标过程中所进行的试图影响评标结果的不公正活动，可能导致其投标被拒绝。</w:t>
      </w:r>
    </w:p>
    <w:p>
      <w:pPr>
        <w:pStyle w:val="3"/>
        <w:numPr>
          <w:ilvl w:val="0"/>
          <w:numId w:val="10"/>
        </w:numPr>
        <w:rPr>
          <w:rFonts w:cs="Times New Roman"/>
        </w:rPr>
      </w:pPr>
      <w:bookmarkStart w:id="170" w:name="_Toc16424"/>
      <w:bookmarkStart w:id="171" w:name="_Toc2684"/>
      <w:r>
        <w:rPr>
          <w:rFonts w:hint="eastAsia" w:cs="黑体"/>
        </w:rPr>
        <w:t>定标</w:t>
      </w:r>
      <w:bookmarkEnd w:id="170"/>
      <w:bookmarkEnd w:id="171"/>
    </w:p>
    <w:p>
      <w:pPr>
        <w:ind w:firstLine="480"/>
        <w:rPr>
          <w:rFonts w:cs="Times New Roman"/>
        </w:rPr>
      </w:pPr>
      <w:bookmarkStart w:id="172" w:name="_Toc13589"/>
      <w:bookmarkStart w:id="173" w:name="_Toc222"/>
      <w:bookmarkStart w:id="174" w:name="_Toc14635"/>
      <w:r>
        <w:rPr>
          <w:rFonts w:hint="eastAsia"/>
        </w:rPr>
        <w:t>本项目由采购人（或采购人事先授权评标委员会）确定中标人。</w:t>
      </w:r>
      <w:bookmarkEnd w:id="172"/>
      <w:bookmarkEnd w:id="173"/>
      <w:bookmarkEnd w:id="174"/>
    </w:p>
    <w:p>
      <w:pPr>
        <w:ind w:firstLine="480"/>
        <w:rPr>
          <w:rFonts w:cs="Times New Roman"/>
        </w:rPr>
      </w:pPr>
      <w:r>
        <w:t>1</w:t>
      </w:r>
      <w:r>
        <w:rPr>
          <w:rFonts w:hint="eastAsia"/>
        </w:rPr>
        <w:t>、采购代理机构在评标结束后</w:t>
      </w:r>
      <w:r>
        <w:t>2</w:t>
      </w:r>
      <w:r>
        <w:rPr>
          <w:rFonts w:hint="eastAsia"/>
        </w:rPr>
        <w:t>个工作日内将评标报告交采购人确认。</w:t>
      </w:r>
    </w:p>
    <w:p>
      <w:pPr>
        <w:ind w:firstLine="480"/>
        <w:rPr>
          <w:rFonts w:cs="Times New Roman"/>
        </w:rPr>
      </w:pPr>
      <w:r>
        <w:t>2</w:t>
      </w:r>
      <w:r>
        <w:rPr>
          <w:rFonts w:hint="eastAsia"/>
        </w:rPr>
        <w:t>、投标人对评标结果无异议的，采购人应在收到评标报告后</w:t>
      </w:r>
      <w:r>
        <w:t>5</w:t>
      </w:r>
      <w:r>
        <w:rPr>
          <w:rFonts w:hint="eastAsia"/>
        </w:rPr>
        <w:t>个工作日内对评标结果进行确认。如有投标人对评标结果提出质疑的，采购人可在质疑处理完毕后确定中标人。</w:t>
      </w:r>
    </w:p>
    <w:p>
      <w:pPr>
        <w:ind w:firstLine="480"/>
        <w:rPr>
          <w:rFonts w:cs="Times New Roman"/>
        </w:rPr>
      </w:pPr>
      <w:r>
        <w:t>3</w:t>
      </w:r>
      <w:r>
        <w:rPr>
          <w:rFonts w:hint="eastAsia"/>
        </w:rPr>
        <w:t>、采购人依法确定中标人后</w:t>
      </w:r>
      <w:r>
        <w:t>2</w:t>
      </w:r>
      <w:r>
        <w:rPr>
          <w:rFonts w:hint="eastAsia"/>
        </w:rPr>
        <w:t>个工作日内，采购代理机构以书面形式发出《中标通知书》</w:t>
      </w:r>
      <w:r>
        <w:t>,</w:t>
      </w:r>
      <w:r>
        <w:rPr>
          <w:rFonts w:hint="eastAsia"/>
        </w:rPr>
        <w:t>并同时在相关网站上发布中标公告。</w:t>
      </w:r>
    </w:p>
    <w:p>
      <w:pPr>
        <w:pStyle w:val="3"/>
        <w:numPr>
          <w:ilvl w:val="0"/>
          <w:numId w:val="10"/>
        </w:numPr>
        <w:rPr>
          <w:rFonts w:cs="Times New Roman"/>
        </w:rPr>
      </w:pPr>
      <w:bookmarkStart w:id="175" w:name="_Toc13561"/>
      <w:bookmarkStart w:id="176" w:name="_Toc15138"/>
      <w:bookmarkStart w:id="177" w:name="_Toc25708"/>
      <w:bookmarkStart w:id="178" w:name="_Toc10991"/>
      <w:r>
        <w:rPr>
          <w:rFonts w:hint="eastAsia" w:cs="黑体"/>
        </w:rPr>
        <w:t>合同授予</w:t>
      </w:r>
      <w:bookmarkEnd w:id="175"/>
      <w:bookmarkEnd w:id="176"/>
      <w:bookmarkEnd w:id="177"/>
      <w:bookmarkEnd w:id="178"/>
    </w:p>
    <w:p>
      <w:pPr>
        <w:pStyle w:val="4"/>
        <w:rPr>
          <w:sz w:val="24"/>
          <w:szCs w:val="24"/>
        </w:rPr>
      </w:pPr>
      <w:bookmarkStart w:id="179" w:name="_Toc9968"/>
      <w:bookmarkStart w:id="180" w:name="_Toc863"/>
      <w:bookmarkStart w:id="181" w:name="_Toc20781"/>
      <w:r>
        <w:rPr>
          <w:rFonts w:hint="eastAsia" w:cs="宋体"/>
          <w:sz w:val="24"/>
          <w:szCs w:val="24"/>
        </w:rPr>
        <w:t>（一）签订合同</w:t>
      </w:r>
      <w:bookmarkEnd w:id="179"/>
      <w:bookmarkEnd w:id="180"/>
      <w:bookmarkEnd w:id="181"/>
      <w:r>
        <w:rPr>
          <w:rFonts w:hint="eastAsia" w:cs="宋体"/>
          <w:sz w:val="24"/>
          <w:szCs w:val="24"/>
        </w:rPr>
        <w:t>：</w:t>
      </w:r>
    </w:p>
    <w:p>
      <w:pPr>
        <w:ind w:firstLine="480"/>
        <w:rPr>
          <w:rFonts w:cs="Times New Roman"/>
        </w:rPr>
      </w:pPr>
      <w:r>
        <w:t>1</w:t>
      </w:r>
      <w:r>
        <w:rPr>
          <w:rFonts w:hint="eastAsia"/>
        </w:rPr>
        <w:t>、采购人与中标人应当在《中标通知书》发出之日起</w:t>
      </w:r>
      <w:r>
        <w:t>7</w:t>
      </w:r>
      <w:r>
        <w:rPr>
          <w:rFonts w:hint="eastAsia"/>
        </w:rPr>
        <w:t>日内签订政府采购合同。同时，采购代理机构对合同内容进行审查，如发现与采购结果和投标承诺内容不一致的，应予以纠正。</w:t>
      </w:r>
    </w:p>
    <w:p>
      <w:pPr>
        <w:ind w:firstLine="480"/>
        <w:rPr>
          <w:rFonts w:cs="Times New Roman"/>
        </w:rPr>
      </w:pPr>
      <w:r>
        <w:t>2</w:t>
      </w:r>
      <w:r>
        <w:rPr>
          <w:rFonts w:hint="eastAsia"/>
        </w:rPr>
        <w:t>、中标人拖延、拒签合同的</w:t>
      </w:r>
      <w:r>
        <w:t>,</w:t>
      </w:r>
      <w:r>
        <w:rPr>
          <w:rFonts w:hint="eastAsia"/>
        </w:rPr>
        <w:t>将被取消中标资格。</w:t>
      </w:r>
    </w:p>
    <w:p>
      <w:pPr>
        <w:pStyle w:val="4"/>
        <w:rPr>
          <w:sz w:val="24"/>
          <w:szCs w:val="24"/>
        </w:rPr>
      </w:pPr>
      <w:bookmarkStart w:id="182" w:name="_Toc22816"/>
      <w:bookmarkStart w:id="183" w:name="_Toc30185"/>
      <w:bookmarkStart w:id="184" w:name="_Toc27162"/>
      <w:r>
        <w:rPr>
          <w:rFonts w:hint="eastAsia" w:cs="宋体"/>
          <w:sz w:val="24"/>
          <w:szCs w:val="24"/>
        </w:rPr>
        <w:t>（二）履约保证金</w:t>
      </w:r>
      <w:bookmarkEnd w:id="182"/>
      <w:bookmarkEnd w:id="183"/>
      <w:bookmarkEnd w:id="184"/>
      <w:r>
        <w:rPr>
          <w:rFonts w:hint="eastAsia" w:cs="宋体"/>
          <w:sz w:val="24"/>
          <w:szCs w:val="24"/>
        </w:rPr>
        <w:t>：</w:t>
      </w:r>
    </w:p>
    <w:p>
      <w:pPr>
        <w:ind w:firstLine="480"/>
        <w:rPr>
          <w:rFonts w:cs="Times New Roman"/>
        </w:rPr>
      </w:pPr>
      <w:r>
        <w:t>1</w:t>
      </w:r>
      <w:r>
        <w:rPr>
          <w:rFonts w:hint="eastAsia"/>
        </w:rPr>
        <w:t>、中标通知书发出后</w:t>
      </w:r>
      <w:r>
        <w:t>10</w:t>
      </w:r>
      <w:r>
        <w:rPr>
          <w:rFonts w:hint="eastAsia"/>
        </w:rPr>
        <w:t>天内，签订合同前，中标人应按采购文件确定的履约保证金的金额，向采购人交纳履约保证金，否则，采购人有权取消其中标资格。</w:t>
      </w:r>
    </w:p>
    <w:p>
      <w:pPr>
        <w:ind w:firstLine="480"/>
        <w:rPr>
          <w:rFonts w:cs="Times New Roman"/>
        </w:rPr>
      </w:pPr>
      <w:r>
        <w:t>2</w:t>
      </w:r>
      <w:r>
        <w:rPr>
          <w:rFonts w:hint="eastAsia"/>
        </w:rPr>
        <w:t>、签订合同后，如中标人不按双方合同约定履约，则没收其全部履约保证金，履约保证金不足以赔偿损失的，按实际损失赔偿。</w:t>
      </w:r>
    </w:p>
    <w:p>
      <w:pPr>
        <w:ind w:firstLine="480"/>
        <w:rPr>
          <w:rFonts w:cs="Times New Roman"/>
        </w:rPr>
      </w:pPr>
      <w:r>
        <w:t>3</w:t>
      </w:r>
      <w:r>
        <w:rPr>
          <w:rFonts w:hint="eastAsia"/>
        </w:rPr>
        <w:t>、履约保证金在合同履行完毕后退还。</w:t>
      </w:r>
    </w:p>
    <w:p>
      <w:pPr>
        <w:ind w:firstLine="480"/>
        <w:rPr>
          <w:rFonts w:cs="Times New Roman"/>
        </w:rPr>
      </w:pPr>
    </w:p>
    <w:p>
      <w:pPr>
        <w:ind w:firstLine="480"/>
        <w:rPr>
          <w:rFonts w:cs="Times New Roman"/>
        </w:rPr>
      </w:pPr>
    </w:p>
    <w:p>
      <w:pPr>
        <w:ind w:firstLine="480"/>
        <w:rPr>
          <w:rFonts w:cs="Times New Roman"/>
        </w:rPr>
      </w:pPr>
    </w:p>
    <w:p>
      <w:pPr>
        <w:ind w:firstLine="480"/>
        <w:rPr>
          <w:rFonts w:cs="Times New Roman"/>
        </w:rPr>
      </w:pPr>
    </w:p>
    <w:p>
      <w:pPr>
        <w:ind w:firstLine="480"/>
        <w:rPr>
          <w:rFonts w:cs="Times New Roman"/>
        </w:rPr>
      </w:pPr>
    </w:p>
    <w:p>
      <w:pPr>
        <w:ind w:firstLine="480"/>
        <w:rPr>
          <w:rFonts w:cs="Times New Roman"/>
        </w:rPr>
      </w:pPr>
    </w:p>
    <w:p>
      <w:pPr>
        <w:ind w:firstLine="480"/>
        <w:rPr>
          <w:rFonts w:cs="Times New Roman"/>
        </w:rPr>
      </w:pPr>
    </w:p>
    <w:p>
      <w:pPr>
        <w:ind w:firstLine="480"/>
        <w:rPr>
          <w:rFonts w:cs="Times New Roman"/>
        </w:rPr>
      </w:pPr>
    </w:p>
    <w:p>
      <w:pPr>
        <w:ind w:firstLine="480"/>
        <w:rPr>
          <w:rFonts w:cs="Times New Roman"/>
        </w:rPr>
      </w:pPr>
    </w:p>
    <w:p>
      <w:pPr>
        <w:ind w:firstLine="480"/>
        <w:rPr>
          <w:rFonts w:cs="Times New Roman"/>
        </w:rPr>
      </w:pPr>
    </w:p>
    <w:p>
      <w:pPr>
        <w:ind w:firstLine="480"/>
        <w:rPr>
          <w:rFonts w:cs="Times New Roman"/>
        </w:rPr>
      </w:pPr>
    </w:p>
    <w:p>
      <w:pPr>
        <w:ind w:firstLine="480"/>
        <w:rPr>
          <w:rFonts w:cs="Times New Roman"/>
        </w:rPr>
      </w:pPr>
    </w:p>
    <w:p>
      <w:pPr>
        <w:ind w:firstLine="480"/>
        <w:rPr>
          <w:rFonts w:cs="Times New Roman"/>
        </w:rPr>
      </w:pPr>
    </w:p>
    <w:p>
      <w:pPr>
        <w:ind w:firstLine="480"/>
        <w:rPr>
          <w:rFonts w:cs="Times New Roman"/>
        </w:rPr>
      </w:pPr>
    </w:p>
    <w:p>
      <w:pPr>
        <w:ind w:firstLine="480"/>
        <w:rPr>
          <w:rFonts w:cs="Times New Roman"/>
        </w:rPr>
      </w:pPr>
    </w:p>
    <w:p>
      <w:pPr>
        <w:ind w:firstLine="480"/>
        <w:rPr>
          <w:rFonts w:cs="Times New Roman"/>
        </w:rPr>
      </w:pPr>
    </w:p>
    <w:p>
      <w:pPr>
        <w:ind w:firstLine="480"/>
        <w:rPr>
          <w:rFonts w:cs="Times New Roman"/>
        </w:rPr>
      </w:pPr>
    </w:p>
    <w:p>
      <w:pPr>
        <w:ind w:firstLine="480"/>
        <w:rPr>
          <w:rFonts w:cs="Times New Roman"/>
        </w:rPr>
      </w:pPr>
    </w:p>
    <w:p>
      <w:pPr>
        <w:ind w:firstLine="480"/>
        <w:rPr>
          <w:rFonts w:cs="Times New Roman"/>
        </w:rPr>
      </w:pPr>
    </w:p>
    <w:p>
      <w:pPr>
        <w:ind w:firstLine="480"/>
        <w:rPr>
          <w:rFonts w:cs="Times New Roman"/>
        </w:rPr>
      </w:pPr>
    </w:p>
    <w:p>
      <w:pPr>
        <w:pStyle w:val="2"/>
        <w:numPr>
          <w:ilvl w:val="0"/>
          <w:numId w:val="3"/>
        </w:numPr>
        <w:ind w:left="0" w:firstLine="0" w:firstLineChars="0"/>
      </w:pPr>
      <w:r>
        <w:t xml:space="preserve">  </w:t>
      </w:r>
      <w:bookmarkStart w:id="185" w:name="_Toc4872"/>
      <w:r>
        <w:rPr>
          <w:rFonts w:hint="eastAsia" w:cs="黑体"/>
        </w:rPr>
        <w:t>评标办法及评分标准</w:t>
      </w:r>
      <w:bookmarkEnd w:id="185"/>
    </w:p>
    <w:p>
      <w:pPr>
        <w:adjustRightInd w:val="0"/>
        <w:ind w:firstLine="480" w:firstLineChars="0"/>
        <w:rPr>
          <w:rFonts w:ascii="仿宋" w:hAnsi="仿宋" w:eastAsia="仿宋" w:cs="Times New Roman"/>
          <w:color w:val="000000"/>
        </w:rPr>
      </w:pPr>
      <w:bookmarkStart w:id="186" w:name="_Toc14817"/>
      <w:r>
        <w:rPr>
          <w:rFonts w:hint="eastAsia" w:ascii="仿宋" w:hAnsi="仿宋" w:eastAsia="仿宋" w:cs="Times New Roman"/>
          <w:color w:val="000000"/>
        </w:rPr>
        <w:t>为公正、公平、科学地选择中标人，根据《中华人民共和国政府采购法》等有关法律法规的规定，并结合本项目的实际，制定本办法。</w:t>
      </w:r>
    </w:p>
    <w:p>
      <w:pPr>
        <w:pStyle w:val="3"/>
        <w:numPr>
          <w:ilvl w:val="0"/>
          <w:numId w:val="11"/>
        </w:numPr>
        <w:rPr>
          <w:rFonts w:cs="Times New Roman"/>
        </w:rPr>
      </w:pPr>
      <w:bookmarkStart w:id="187" w:name="_Toc28578"/>
      <w:r>
        <w:rPr>
          <w:rFonts w:hint="eastAsia" w:cs="黑体"/>
        </w:rPr>
        <w:t>总则</w:t>
      </w:r>
      <w:bookmarkEnd w:id="186"/>
      <w:bookmarkEnd w:id="187"/>
    </w:p>
    <w:p>
      <w:pPr>
        <w:ind w:firstLine="482"/>
        <w:rPr>
          <w:rFonts w:cs="Times New Roman"/>
          <w:b/>
          <w:bCs/>
        </w:rPr>
      </w:pPr>
      <w:r>
        <w:rPr>
          <w:rFonts w:hint="eastAsia"/>
          <w:b/>
          <w:bCs/>
        </w:rPr>
        <w:t>本项目评标采用综合评分法，总分为100分，其中价格分30分、技术分</w:t>
      </w:r>
      <w:r>
        <w:rPr>
          <w:rFonts w:hint="eastAsia"/>
          <w:b/>
          <w:bCs/>
          <w:lang w:val="en-US" w:eastAsia="zh-CN"/>
        </w:rPr>
        <w:t>45</w:t>
      </w:r>
      <w:r>
        <w:rPr>
          <w:rFonts w:hint="eastAsia"/>
          <w:b/>
          <w:bCs/>
        </w:rPr>
        <w:t>分、资信分</w:t>
      </w:r>
      <w:r>
        <w:rPr>
          <w:rFonts w:hint="eastAsia"/>
          <w:b/>
          <w:bCs/>
          <w:lang w:val="en-US" w:eastAsia="zh-CN"/>
        </w:rPr>
        <w:t>25</w:t>
      </w:r>
      <w:r>
        <w:rPr>
          <w:rFonts w:hint="eastAsia"/>
          <w:b/>
          <w:bCs/>
        </w:rPr>
        <w:t>分，共三部分。合格投标人的评标得分为各项目汇总得分，中标候选资格按评标综合得分由高到低顺序排列，综合得分相同的，按投标报价由低到高顺序排列；综合得分且投标报价相同的，按技术得分由高到低顺序排列。综合得分排名第一的投标人为中标候选人</w:t>
      </w:r>
      <w:r>
        <w:rPr>
          <w:b/>
          <w:bCs/>
        </w:rPr>
        <w:t xml:space="preserve">, </w:t>
      </w:r>
      <w:r>
        <w:rPr>
          <w:rFonts w:hint="eastAsia"/>
          <w:b/>
          <w:bCs/>
        </w:rPr>
        <w:t>综合得分排名第二的投标人为候补中标候选人……其他投标人中标候选资格依此类推。评分过程中采用四舍五入法，并保留小数</w:t>
      </w:r>
      <w:r>
        <w:rPr>
          <w:b/>
          <w:bCs/>
        </w:rPr>
        <w:t>2</w:t>
      </w:r>
      <w:r>
        <w:rPr>
          <w:rFonts w:hint="eastAsia"/>
          <w:b/>
          <w:bCs/>
        </w:rPr>
        <w:t>位。</w:t>
      </w:r>
    </w:p>
    <w:p>
      <w:pPr>
        <w:ind w:firstLine="482"/>
        <w:rPr>
          <w:rFonts w:cs="Times New Roman"/>
          <w:b/>
          <w:bCs/>
        </w:rPr>
      </w:pPr>
      <w:r>
        <w:rPr>
          <w:rFonts w:hint="eastAsia"/>
          <w:b/>
          <w:bCs/>
        </w:rPr>
        <w:t>投标人评标综合得分</w:t>
      </w:r>
      <w:r>
        <w:rPr>
          <w:b/>
          <w:bCs/>
        </w:rPr>
        <w:t>=</w:t>
      </w:r>
      <w:r>
        <w:rPr>
          <w:rFonts w:hint="eastAsia"/>
          <w:b/>
          <w:bCs/>
        </w:rPr>
        <w:t>价格分</w:t>
      </w:r>
      <w:r>
        <w:rPr>
          <w:b/>
          <w:bCs/>
        </w:rPr>
        <w:t>+</w:t>
      </w:r>
      <w:r>
        <w:rPr>
          <w:rFonts w:hint="eastAsia"/>
          <w:b/>
          <w:bCs/>
        </w:rPr>
        <w:t>技术分</w:t>
      </w:r>
      <w:r>
        <w:rPr>
          <w:b/>
          <w:bCs/>
        </w:rPr>
        <w:t>+</w:t>
      </w:r>
      <w:r>
        <w:rPr>
          <w:rFonts w:hint="eastAsia"/>
          <w:b/>
          <w:bCs/>
        </w:rPr>
        <w:t>资信及其他分</w:t>
      </w:r>
    </w:p>
    <w:p>
      <w:pPr>
        <w:pStyle w:val="3"/>
        <w:numPr>
          <w:ilvl w:val="0"/>
          <w:numId w:val="12"/>
        </w:numPr>
        <w:rPr>
          <w:rFonts w:cs="Times New Roman"/>
        </w:rPr>
      </w:pPr>
      <w:bookmarkStart w:id="188" w:name="_Toc12432"/>
      <w:r>
        <w:rPr>
          <w:rFonts w:hint="eastAsia" w:cs="黑体"/>
        </w:rPr>
        <w:t>评标内容及标准</w:t>
      </w:r>
      <w:bookmarkEnd w:id="188"/>
    </w:p>
    <w:p>
      <w:pPr>
        <w:pStyle w:val="4"/>
        <w:rPr>
          <w:rFonts w:ascii="宋体"/>
          <w:sz w:val="24"/>
          <w:szCs w:val="24"/>
        </w:rPr>
      </w:pPr>
      <w:r>
        <w:rPr>
          <w:rFonts w:hint="eastAsia" w:ascii="宋体" w:hAnsi="宋体" w:cs="宋体"/>
          <w:sz w:val="24"/>
          <w:szCs w:val="24"/>
        </w:rPr>
        <w:t>（一）价格分（3</w:t>
      </w:r>
      <w:r>
        <w:rPr>
          <w:rFonts w:ascii="宋体" w:hAnsi="宋体" w:cs="宋体"/>
          <w:sz w:val="24"/>
          <w:szCs w:val="24"/>
        </w:rPr>
        <w:t>0</w:t>
      </w:r>
      <w:r>
        <w:rPr>
          <w:rFonts w:hint="eastAsia" w:ascii="宋体" w:hAnsi="宋体" w:cs="宋体"/>
          <w:sz w:val="24"/>
          <w:szCs w:val="24"/>
        </w:rPr>
        <w:t>分）：</w:t>
      </w:r>
    </w:p>
    <w:p>
      <w:pPr>
        <w:ind w:firstLine="480"/>
        <w:rPr>
          <w:szCs w:val="21"/>
        </w:rPr>
      </w:pPr>
      <w:r>
        <w:rPr>
          <w:rFonts w:hint="eastAsia"/>
          <w:szCs w:val="21"/>
        </w:rPr>
        <w:t>1、价格分采用低价优先法计算，即满足采购文件要求且投标价格最低的投标报价为评标基准价，其他投标人的价格分按照下列公式计算（价格分保留2位小数）：</w:t>
      </w:r>
    </w:p>
    <w:p>
      <w:pPr>
        <w:ind w:firstLine="480"/>
        <w:rPr>
          <w:szCs w:val="21"/>
        </w:rPr>
      </w:pPr>
      <w:r>
        <w:rPr>
          <w:rFonts w:hint="eastAsia"/>
          <w:szCs w:val="21"/>
        </w:rPr>
        <w:t>价格分=（评标基准价/投标报价）×30%×100</w:t>
      </w:r>
    </w:p>
    <w:p>
      <w:pPr>
        <w:pStyle w:val="4"/>
        <w:rPr>
          <w:rFonts w:ascii="宋体"/>
          <w:color w:val="auto"/>
          <w:sz w:val="24"/>
          <w:szCs w:val="24"/>
        </w:rPr>
      </w:pPr>
      <w:r>
        <w:rPr>
          <w:rFonts w:hint="eastAsia" w:ascii="宋体" w:hAnsi="宋体" w:cs="宋体"/>
          <w:color w:val="auto"/>
          <w:sz w:val="24"/>
          <w:szCs w:val="24"/>
        </w:rPr>
        <w:t>（二）技术分（</w:t>
      </w:r>
      <w:r>
        <w:rPr>
          <w:rFonts w:hint="eastAsia" w:ascii="宋体" w:hAnsi="宋体" w:cs="宋体"/>
          <w:color w:val="auto"/>
          <w:sz w:val="24"/>
          <w:szCs w:val="24"/>
          <w:lang w:val="en-US" w:eastAsia="zh-CN"/>
        </w:rPr>
        <w:t>45</w:t>
      </w:r>
      <w:r>
        <w:rPr>
          <w:rFonts w:hint="eastAsia" w:ascii="宋体" w:hAnsi="宋体" w:cs="宋体"/>
          <w:color w:val="auto"/>
          <w:sz w:val="24"/>
          <w:szCs w:val="24"/>
        </w:rPr>
        <w:t>分）：</w:t>
      </w:r>
    </w:p>
    <w:tbl>
      <w:tblPr>
        <w:tblStyle w:val="33"/>
        <w:tblW w:w="10067" w:type="dxa"/>
        <w:tblInd w:w="-4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591"/>
        <w:gridCol w:w="659"/>
        <w:gridCol w:w="6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088"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b/>
                <w:color w:val="auto"/>
                <w:kern w:val="0"/>
                <w:sz w:val="21"/>
                <w:szCs w:val="21"/>
              </w:rPr>
            </w:pPr>
            <w:r>
              <w:rPr>
                <w:rFonts w:hint="eastAsia"/>
                <w:b/>
                <w:color w:val="auto"/>
                <w:kern w:val="0"/>
                <w:sz w:val="21"/>
                <w:szCs w:val="21"/>
              </w:rPr>
              <w:t>类别</w:t>
            </w:r>
          </w:p>
        </w:tc>
        <w:tc>
          <w:tcPr>
            <w:tcW w:w="1591"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b/>
                <w:color w:val="auto"/>
                <w:kern w:val="0"/>
                <w:sz w:val="21"/>
                <w:szCs w:val="21"/>
              </w:rPr>
            </w:pPr>
            <w:r>
              <w:rPr>
                <w:rFonts w:hint="eastAsia"/>
                <w:b/>
                <w:color w:val="auto"/>
                <w:kern w:val="0"/>
                <w:sz w:val="21"/>
                <w:szCs w:val="21"/>
              </w:rPr>
              <w:t>评标项目</w:t>
            </w:r>
          </w:p>
        </w:tc>
        <w:tc>
          <w:tcPr>
            <w:tcW w:w="659"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rPr>
                <w:b/>
                <w:color w:val="auto"/>
                <w:kern w:val="0"/>
                <w:sz w:val="21"/>
                <w:szCs w:val="21"/>
              </w:rPr>
            </w:pPr>
            <w:r>
              <w:rPr>
                <w:rFonts w:hint="eastAsia"/>
                <w:b/>
                <w:color w:val="auto"/>
                <w:kern w:val="0"/>
                <w:sz w:val="21"/>
                <w:szCs w:val="21"/>
              </w:rPr>
              <w:t>分值</w:t>
            </w:r>
          </w:p>
        </w:tc>
        <w:tc>
          <w:tcPr>
            <w:tcW w:w="6729" w:type="dxa"/>
            <w:tcBorders>
              <w:top w:val="single" w:color="auto" w:sz="4" w:space="0"/>
              <w:left w:val="single" w:color="auto" w:sz="4" w:space="0"/>
              <w:bottom w:val="single" w:color="auto" w:sz="4" w:space="0"/>
              <w:right w:val="single" w:color="auto" w:sz="4" w:space="0"/>
            </w:tcBorders>
            <w:vAlign w:val="center"/>
          </w:tcPr>
          <w:p>
            <w:pPr>
              <w:widowControl/>
              <w:ind w:firstLine="422"/>
              <w:jc w:val="center"/>
              <w:rPr>
                <w:b/>
                <w:color w:val="auto"/>
                <w:kern w:val="0"/>
                <w:sz w:val="21"/>
                <w:szCs w:val="21"/>
              </w:rPr>
            </w:pPr>
            <w:r>
              <w:rPr>
                <w:rFonts w:hint="eastAsia"/>
                <w:b/>
                <w:color w:val="auto"/>
                <w:kern w:val="0"/>
                <w:sz w:val="21"/>
                <w:szCs w:val="21"/>
              </w:rPr>
              <w:t>评分基本规则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3" w:hRule="atLeast"/>
        </w:trPr>
        <w:tc>
          <w:tcPr>
            <w:tcW w:w="1088" w:type="dxa"/>
            <w:vMerge w:val="restart"/>
            <w:tcBorders>
              <w:left w:val="single" w:color="auto" w:sz="4" w:space="0"/>
              <w:right w:val="single" w:color="auto" w:sz="4" w:space="0"/>
            </w:tcBorders>
            <w:vAlign w:val="center"/>
          </w:tcPr>
          <w:p>
            <w:pPr>
              <w:widowControl/>
              <w:spacing w:line="240" w:lineRule="auto"/>
              <w:ind w:firstLine="0" w:firstLineChars="0"/>
              <w:jc w:val="center"/>
              <w:rPr>
                <w:bCs/>
                <w:color w:val="auto"/>
                <w:kern w:val="0"/>
                <w:sz w:val="21"/>
                <w:szCs w:val="21"/>
              </w:rPr>
            </w:pPr>
            <w:r>
              <w:rPr>
                <w:rFonts w:hint="eastAsia"/>
                <w:bCs/>
                <w:color w:val="auto"/>
                <w:kern w:val="0"/>
                <w:sz w:val="21"/>
                <w:szCs w:val="21"/>
              </w:rPr>
              <w:t>技术部分</w:t>
            </w:r>
          </w:p>
          <w:p>
            <w:pPr>
              <w:widowControl/>
              <w:spacing w:line="240" w:lineRule="auto"/>
              <w:ind w:firstLine="0" w:firstLineChars="0"/>
              <w:jc w:val="center"/>
              <w:rPr>
                <w:bCs/>
                <w:color w:val="auto"/>
                <w:kern w:val="0"/>
                <w:sz w:val="21"/>
                <w:szCs w:val="21"/>
              </w:rPr>
            </w:pPr>
            <w:r>
              <w:rPr>
                <w:rFonts w:hint="eastAsia"/>
                <w:bCs/>
                <w:color w:val="auto"/>
                <w:kern w:val="0"/>
                <w:sz w:val="21"/>
                <w:szCs w:val="21"/>
                <w:lang w:val="en-US" w:eastAsia="zh-CN"/>
              </w:rPr>
              <w:t>45</w:t>
            </w:r>
            <w:r>
              <w:rPr>
                <w:rFonts w:hint="eastAsia"/>
                <w:bCs/>
                <w:color w:val="auto"/>
                <w:kern w:val="0"/>
                <w:sz w:val="21"/>
                <w:szCs w:val="21"/>
              </w:rPr>
              <w:t>分</w:t>
            </w:r>
          </w:p>
        </w:tc>
        <w:tc>
          <w:tcPr>
            <w:tcW w:w="1591"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bCs/>
                <w:color w:val="auto"/>
                <w:kern w:val="0"/>
                <w:sz w:val="21"/>
                <w:szCs w:val="21"/>
              </w:rPr>
            </w:pPr>
            <w:r>
              <w:rPr>
                <w:rFonts w:hint="eastAsia"/>
                <w:bCs/>
                <w:color w:val="auto"/>
                <w:kern w:val="0"/>
                <w:sz w:val="21"/>
                <w:szCs w:val="21"/>
              </w:rPr>
              <w:t>装配式结构级别</w:t>
            </w:r>
          </w:p>
        </w:tc>
        <w:tc>
          <w:tcPr>
            <w:tcW w:w="6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bCs/>
                <w:color w:val="auto"/>
                <w:kern w:val="0"/>
                <w:sz w:val="21"/>
                <w:szCs w:val="21"/>
              </w:rPr>
            </w:pPr>
            <w:r>
              <w:rPr>
                <w:rFonts w:hint="eastAsia"/>
                <w:bCs/>
                <w:color w:val="auto"/>
                <w:kern w:val="0"/>
                <w:sz w:val="21"/>
                <w:szCs w:val="21"/>
                <w:lang w:val="en-US" w:eastAsia="zh-CN"/>
              </w:rPr>
              <w:t>5</w:t>
            </w:r>
            <w:r>
              <w:rPr>
                <w:rFonts w:hint="eastAsia"/>
                <w:bCs/>
                <w:color w:val="auto"/>
                <w:kern w:val="0"/>
                <w:sz w:val="21"/>
                <w:szCs w:val="21"/>
              </w:rPr>
              <w:t>分</w:t>
            </w:r>
          </w:p>
        </w:tc>
        <w:tc>
          <w:tcPr>
            <w:tcW w:w="6729"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bCs/>
                <w:color w:val="auto"/>
                <w:kern w:val="0"/>
                <w:sz w:val="21"/>
                <w:szCs w:val="21"/>
              </w:rPr>
            </w:pPr>
            <w:r>
              <w:rPr>
                <w:rFonts w:hint="eastAsia"/>
                <w:bCs/>
                <w:color w:val="auto"/>
                <w:kern w:val="0"/>
                <w:sz w:val="21"/>
                <w:szCs w:val="21"/>
              </w:rPr>
              <w:t>根据整体式装配情况进行划分：</w:t>
            </w:r>
          </w:p>
          <w:p>
            <w:pPr>
              <w:widowControl/>
              <w:numPr>
                <w:ilvl w:val="0"/>
                <w:numId w:val="13"/>
              </w:numPr>
              <w:spacing w:line="240" w:lineRule="auto"/>
              <w:ind w:firstLine="0" w:firstLineChars="0"/>
              <w:rPr>
                <w:rFonts w:ascii="Calibri" w:hAnsi="Calibri"/>
                <w:color w:val="auto"/>
                <w:spacing w:val="-20"/>
                <w:sz w:val="21"/>
                <w:szCs w:val="21"/>
              </w:rPr>
            </w:pPr>
            <w:r>
              <w:rPr>
                <w:rFonts w:hint="eastAsia"/>
                <w:bCs/>
                <w:color w:val="auto"/>
                <w:kern w:val="0"/>
                <w:sz w:val="21"/>
                <w:szCs w:val="21"/>
              </w:rPr>
              <w:t>采用预制式基坑、整体装配式钢结构和幕墙、预制式电梯的装配方式得</w:t>
            </w:r>
            <w:r>
              <w:rPr>
                <w:rFonts w:hint="eastAsia"/>
                <w:bCs/>
                <w:color w:val="auto"/>
                <w:kern w:val="0"/>
                <w:sz w:val="21"/>
                <w:szCs w:val="21"/>
                <w:lang w:val="en-US" w:eastAsia="zh-CN"/>
              </w:rPr>
              <w:t>5</w:t>
            </w:r>
            <w:r>
              <w:rPr>
                <w:rFonts w:hint="eastAsia"/>
                <w:bCs/>
                <w:color w:val="auto"/>
                <w:kern w:val="0"/>
                <w:sz w:val="21"/>
                <w:szCs w:val="21"/>
              </w:rPr>
              <w:t>分；</w:t>
            </w:r>
          </w:p>
          <w:p>
            <w:pPr>
              <w:widowControl/>
              <w:numPr>
                <w:ilvl w:val="0"/>
                <w:numId w:val="13"/>
              </w:numPr>
              <w:spacing w:line="240" w:lineRule="auto"/>
              <w:ind w:firstLine="0" w:firstLineChars="0"/>
              <w:rPr>
                <w:rFonts w:ascii="Calibri" w:hAnsi="Calibri"/>
                <w:color w:val="auto"/>
                <w:spacing w:val="-20"/>
                <w:sz w:val="21"/>
                <w:szCs w:val="21"/>
              </w:rPr>
            </w:pPr>
            <w:r>
              <w:rPr>
                <w:rFonts w:hint="eastAsia"/>
                <w:bCs/>
                <w:color w:val="auto"/>
                <w:kern w:val="0"/>
                <w:sz w:val="21"/>
                <w:szCs w:val="21"/>
              </w:rPr>
              <w:t>采用整体装配式钢结构和幕墙、预制式电梯的装配方式得</w:t>
            </w:r>
            <w:r>
              <w:rPr>
                <w:rFonts w:hint="eastAsia"/>
                <w:bCs/>
                <w:color w:val="auto"/>
                <w:kern w:val="0"/>
                <w:sz w:val="21"/>
                <w:szCs w:val="21"/>
                <w:lang w:val="en-US" w:eastAsia="zh-CN"/>
              </w:rPr>
              <w:t>3</w:t>
            </w:r>
            <w:r>
              <w:rPr>
                <w:rFonts w:hint="eastAsia"/>
                <w:bCs/>
                <w:color w:val="auto"/>
                <w:kern w:val="0"/>
                <w:sz w:val="21"/>
                <w:szCs w:val="21"/>
              </w:rPr>
              <w:t>分；</w:t>
            </w:r>
          </w:p>
          <w:p>
            <w:pPr>
              <w:widowControl/>
              <w:numPr>
                <w:ilvl w:val="0"/>
                <w:numId w:val="13"/>
              </w:numPr>
              <w:spacing w:line="240" w:lineRule="auto"/>
              <w:ind w:firstLine="0" w:firstLineChars="0"/>
              <w:rPr>
                <w:rFonts w:ascii="Calibri" w:hAnsi="Calibri"/>
                <w:color w:val="auto"/>
                <w:spacing w:val="-20"/>
                <w:sz w:val="21"/>
                <w:szCs w:val="21"/>
              </w:rPr>
            </w:pPr>
            <w:r>
              <w:rPr>
                <w:rFonts w:hint="eastAsia"/>
                <w:bCs/>
                <w:color w:val="auto"/>
                <w:kern w:val="0"/>
                <w:sz w:val="21"/>
                <w:szCs w:val="21"/>
              </w:rPr>
              <w:t>采用只有整体式钢结构框架的装配方式得1分；</w:t>
            </w:r>
          </w:p>
          <w:p>
            <w:pPr>
              <w:widowControl/>
              <w:numPr>
                <w:ilvl w:val="0"/>
                <w:numId w:val="13"/>
              </w:numPr>
              <w:spacing w:line="240" w:lineRule="auto"/>
              <w:ind w:firstLine="0" w:firstLineChars="0"/>
              <w:rPr>
                <w:rFonts w:ascii="Calibri" w:hAnsi="Calibri"/>
                <w:color w:val="auto"/>
                <w:spacing w:val="-20"/>
                <w:sz w:val="21"/>
                <w:szCs w:val="21"/>
              </w:rPr>
            </w:pPr>
            <w:r>
              <w:rPr>
                <w:rFonts w:hint="eastAsia" w:ascii="Calibri" w:hAnsi="Calibri"/>
                <w:color w:val="auto"/>
                <w:spacing w:val="-20"/>
                <w:sz w:val="21"/>
                <w:szCs w:val="21"/>
              </w:rPr>
              <w:t>其它不得分。</w:t>
            </w:r>
          </w:p>
          <w:p>
            <w:pPr>
              <w:widowControl/>
              <w:spacing w:line="240" w:lineRule="auto"/>
              <w:ind w:firstLine="0" w:firstLineChars="0"/>
              <w:rPr>
                <w:rFonts w:ascii="Calibri" w:hAnsi="Calibri"/>
                <w:color w:val="auto"/>
                <w:spacing w:val="-20"/>
                <w:sz w:val="21"/>
                <w:szCs w:val="21"/>
              </w:rPr>
            </w:pPr>
            <w:r>
              <w:rPr>
                <w:rFonts w:hint="eastAsia"/>
                <w:bCs/>
                <w:color w:val="auto"/>
                <w:kern w:val="0"/>
                <w:sz w:val="21"/>
                <w:szCs w:val="21"/>
              </w:rPr>
              <w:t>注：需提供整体装配式技术说明和产品</w:t>
            </w:r>
            <w:r>
              <w:rPr>
                <w:rFonts w:hint="eastAsia"/>
                <w:bCs/>
                <w:color w:val="auto"/>
                <w:kern w:val="0"/>
                <w:sz w:val="21"/>
                <w:szCs w:val="21"/>
                <w:lang w:val="en-US" w:eastAsia="zh-CN"/>
              </w:rPr>
              <w:t>装配效果图和</w:t>
            </w:r>
            <w:r>
              <w:rPr>
                <w:rFonts w:hint="eastAsia"/>
                <w:bCs/>
                <w:color w:val="auto"/>
                <w:kern w:val="0"/>
                <w:sz w:val="21"/>
                <w:szCs w:val="21"/>
              </w:rPr>
              <w:t>实样图。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1088" w:type="dxa"/>
            <w:vMerge w:val="continue"/>
            <w:tcBorders>
              <w:left w:val="single" w:color="auto" w:sz="4" w:space="0"/>
              <w:right w:val="single" w:color="auto" w:sz="4" w:space="0"/>
            </w:tcBorders>
            <w:vAlign w:val="center"/>
          </w:tcPr>
          <w:p>
            <w:pPr>
              <w:widowControl/>
              <w:spacing w:line="240" w:lineRule="auto"/>
              <w:jc w:val="center"/>
              <w:rPr>
                <w:bCs/>
                <w:color w:val="auto"/>
                <w:kern w:val="0"/>
                <w:sz w:val="21"/>
                <w:szCs w:val="21"/>
              </w:rPr>
            </w:pPr>
          </w:p>
        </w:tc>
        <w:tc>
          <w:tcPr>
            <w:tcW w:w="1591"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bCs/>
                <w:color w:val="auto"/>
                <w:kern w:val="0"/>
                <w:sz w:val="21"/>
                <w:szCs w:val="21"/>
              </w:rPr>
            </w:pPr>
            <w:r>
              <w:rPr>
                <w:rFonts w:hint="eastAsia"/>
                <w:bCs/>
                <w:color w:val="auto"/>
                <w:kern w:val="0"/>
                <w:sz w:val="21"/>
                <w:szCs w:val="21"/>
              </w:rPr>
              <w:t>曳引系统</w:t>
            </w:r>
          </w:p>
        </w:tc>
        <w:tc>
          <w:tcPr>
            <w:tcW w:w="6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bCs/>
                <w:color w:val="auto"/>
                <w:kern w:val="0"/>
                <w:sz w:val="21"/>
                <w:szCs w:val="21"/>
              </w:rPr>
            </w:pPr>
            <w:r>
              <w:rPr>
                <w:rFonts w:hint="eastAsia"/>
                <w:bCs/>
                <w:color w:val="auto"/>
                <w:kern w:val="0"/>
                <w:sz w:val="21"/>
                <w:szCs w:val="21"/>
                <w:lang w:val="en-US" w:eastAsia="zh-CN"/>
              </w:rPr>
              <w:t>4</w:t>
            </w:r>
            <w:r>
              <w:rPr>
                <w:rFonts w:hint="eastAsia"/>
                <w:bCs/>
                <w:color w:val="auto"/>
                <w:kern w:val="0"/>
                <w:sz w:val="21"/>
                <w:szCs w:val="21"/>
              </w:rPr>
              <w:t>分</w:t>
            </w:r>
          </w:p>
        </w:tc>
        <w:tc>
          <w:tcPr>
            <w:tcW w:w="6729"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bCs/>
                <w:color w:val="auto"/>
                <w:kern w:val="0"/>
                <w:sz w:val="21"/>
                <w:szCs w:val="21"/>
              </w:rPr>
            </w:pPr>
            <w:r>
              <w:rPr>
                <w:rFonts w:hint="eastAsia"/>
                <w:bCs/>
                <w:color w:val="auto"/>
                <w:kern w:val="0"/>
                <w:sz w:val="21"/>
                <w:szCs w:val="21"/>
              </w:rPr>
              <w:t>曳引机：根据曳引机的配置情况酌情打分，根据各电梯品牌曳引机及其主要部件的档次、先进性及可靠性等综合打分,优的得</w:t>
            </w:r>
            <w:r>
              <w:rPr>
                <w:rFonts w:hint="eastAsia"/>
                <w:bCs/>
                <w:color w:val="auto"/>
                <w:kern w:val="0"/>
                <w:sz w:val="21"/>
                <w:szCs w:val="21"/>
                <w:lang w:val="en-US" w:eastAsia="zh-CN"/>
              </w:rPr>
              <w:t>4</w:t>
            </w:r>
            <w:r>
              <w:rPr>
                <w:rFonts w:hint="eastAsia"/>
                <w:bCs/>
                <w:color w:val="auto"/>
                <w:kern w:val="0"/>
                <w:sz w:val="21"/>
                <w:szCs w:val="21"/>
              </w:rPr>
              <w:t>分，良好的得</w:t>
            </w:r>
            <w:r>
              <w:rPr>
                <w:rFonts w:hint="eastAsia"/>
                <w:bCs/>
                <w:color w:val="auto"/>
                <w:kern w:val="0"/>
                <w:sz w:val="21"/>
                <w:szCs w:val="21"/>
                <w:lang w:val="en-US" w:eastAsia="zh-CN"/>
              </w:rPr>
              <w:t>3</w:t>
            </w:r>
            <w:r>
              <w:rPr>
                <w:rFonts w:hint="eastAsia"/>
                <w:bCs/>
                <w:color w:val="auto"/>
                <w:kern w:val="0"/>
                <w:sz w:val="21"/>
                <w:szCs w:val="21"/>
              </w:rPr>
              <w:t>分，其他得</w:t>
            </w:r>
            <w:r>
              <w:rPr>
                <w:rFonts w:hint="eastAsia"/>
                <w:bCs/>
                <w:color w:val="auto"/>
                <w:kern w:val="0"/>
                <w:sz w:val="21"/>
                <w:szCs w:val="21"/>
                <w:lang w:val="en-US" w:eastAsia="zh-CN"/>
              </w:rPr>
              <w:t>2</w:t>
            </w:r>
            <w:r>
              <w:rPr>
                <w:rFonts w:hint="eastAsia"/>
                <w:bCs/>
                <w:color w:val="auto"/>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1088" w:type="dxa"/>
            <w:vMerge w:val="continue"/>
            <w:tcBorders>
              <w:left w:val="single" w:color="auto" w:sz="4" w:space="0"/>
              <w:right w:val="single" w:color="auto" w:sz="4" w:space="0"/>
            </w:tcBorders>
            <w:vAlign w:val="center"/>
          </w:tcPr>
          <w:p>
            <w:pPr>
              <w:widowControl/>
              <w:spacing w:line="240" w:lineRule="auto"/>
              <w:jc w:val="center"/>
              <w:rPr>
                <w:bCs/>
                <w:color w:val="auto"/>
                <w:kern w:val="0"/>
                <w:sz w:val="21"/>
                <w:szCs w:val="21"/>
              </w:rPr>
            </w:pPr>
          </w:p>
        </w:tc>
        <w:tc>
          <w:tcPr>
            <w:tcW w:w="1591"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bCs/>
                <w:color w:val="auto"/>
                <w:kern w:val="0"/>
                <w:sz w:val="21"/>
                <w:szCs w:val="21"/>
              </w:rPr>
            </w:pPr>
            <w:r>
              <w:rPr>
                <w:rFonts w:hint="eastAsia"/>
                <w:bCs/>
                <w:color w:val="auto"/>
                <w:kern w:val="0"/>
                <w:sz w:val="21"/>
                <w:szCs w:val="21"/>
              </w:rPr>
              <w:t>控制系统</w:t>
            </w:r>
          </w:p>
        </w:tc>
        <w:tc>
          <w:tcPr>
            <w:tcW w:w="6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bCs/>
                <w:color w:val="auto"/>
                <w:kern w:val="0"/>
                <w:sz w:val="21"/>
                <w:szCs w:val="21"/>
              </w:rPr>
            </w:pPr>
            <w:r>
              <w:rPr>
                <w:rFonts w:hint="eastAsia"/>
                <w:bCs/>
                <w:color w:val="auto"/>
                <w:kern w:val="0"/>
                <w:sz w:val="21"/>
                <w:szCs w:val="21"/>
                <w:lang w:val="en-US" w:eastAsia="zh-CN"/>
              </w:rPr>
              <w:t>4</w:t>
            </w:r>
            <w:r>
              <w:rPr>
                <w:rFonts w:hint="eastAsia"/>
                <w:bCs/>
                <w:color w:val="auto"/>
                <w:kern w:val="0"/>
                <w:sz w:val="21"/>
                <w:szCs w:val="21"/>
              </w:rPr>
              <w:t>分</w:t>
            </w:r>
          </w:p>
        </w:tc>
        <w:tc>
          <w:tcPr>
            <w:tcW w:w="6729"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bCs/>
                <w:color w:val="auto"/>
                <w:kern w:val="0"/>
                <w:sz w:val="21"/>
                <w:szCs w:val="21"/>
              </w:rPr>
            </w:pPr>
            <w:r>
              <w:rPr>
                <w:rFonts w:hint="eastAsia"/>
                <w:bCs/>
                <w:color w:val="auto"/>
                <w:kern w:val="0"/>
                <w:sz w:val="21"/>
                <w:szCs w:val="21"/>
              </w:rPr>
              <w:t>控制柜：根据电脑主板、变频器、主接触器等主要部件的先进性及可靠性等综合打分,优的得</w:t>
            </w:r>
            <w:r>
              <w:rPr>
                <w:rFonts w:hint="eastAsia"/>
                <w:bCs/>
                <w:color w:val="auto"/>
                <w:kern w:val="0"/>
                <w:sz w:val="21"/>
                <w:szCs w:val="21"/>
                <w:lang w:val="en-US" w:eastAsia="zh-CN"/>
              </w:rPr>
              <w:t>4</w:t>
            </w:r>
            <w:r>
              <w:rPr>
                <w:rFonts w:hint="eastAsia"/>
                <w:bCs/>
                <w:color w:val="auto"/>
                <w:kern w:val="0"/>
                <w:sz w:val="21"/>
                <w:szCs w:val="21"/>
              </w:rPr>
              <w:t>分，良好的得</w:t>
            </w:r>
            <w:r>
              <w:rPr>
                <w:rFonts w:hint="eastAsia"/>
                <w:bCs/>
                <w:color w:val="auto"/>
                <w:kern w:val="0"/>
                <w:sz w:val="21"/>
                <w:szCs w:val="21"/>
                <w:lang w:val="en-US" w:eastAsia="zh-CN"/>
              </w:rPr>
              <w:t>3</w:t>
            </w:r>
            <w:r>
              <w:rPr>
                <w:rFonts w:hint="eastAsia"/>
                <w:bCs/>
                <w:color w:val="auto"/>
                <w:kern w:val="0"/>
                <w:sz w:val="21"/>
                <w:szCs w:val="21"/>
              </w:rPr>
              <w:t>分，其他得</w:t>
            </w:r>
            <w:r>
              <w:rPr>
                <w:rFonts w:hint="eastAsia"/>
                <w:bCs/>
                <w:color w:val="auto"/>
                <w:kern w:val="0"/>
                <w:sz w:val="21"/>
                <w:szCs w:val="21"/>
                <w:lang w:val="en-US" w:eastAsia="zh-CN"/>
              </w:rPr>
              <w:t>2</w:t>
            </w:r>
            <w:r>
              <w:rPr>
                <w:rFonts w:hint="eastAsia"/>
                <w:bCs/>
                <w:color w:val="auto"/>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88" w:type="dxa"/>
            <w:vMerge w:val="continue"/>
            <w:tcBorders>
              <w:left w:val="single" w:color="auto" w:sz="4" w:space="0"/>
              <w:right w:val="single" w:color="auto" w:sz="4" w:space="0"/>
            </w:tcBorders>
            <w:vAlign w:val="center"/>
          </w:tcPr>
          <w:p>
            <w:pPr>
              <w:widowControl/>
              <w:spacing w:line="240" w:lineRule="auto"/>
              <w:jc w:val="center"/>
              <w:rPr>
                <w:bCs/>
                <w:color w:val="auto"/>
                <w:kern w:val="0"/>
                <w:sz w:val="21"/>
                <w:szCs w:val="21"/>
              </w:rPr>
            </w:pPr>
          </w:p>
        </w:tc>
        <w:tc>
          <w:tcPr>
            <w:tcW w:w="1591"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bCs/>
                <w:color w:val="auto"/>
                <w:kern w:val="0"/>
                <w:sz w:val="21"/>
                <w:szCs w:val="21"/>
              </w:rPr>
            </w:pPr>
            <w:r>
              <w:rPr>
                <w:rFonts w:hint="eastAsia"/>
                <w:bCs/>
                <w:color w:val="auto"/>
                <w:kern w:val="0"/>
                <w:sz w:val="21"/>
                <w:szCs w:val="21"/>
              </w:rPr>
              <w:t>门机系统</w:t>
            </w:r>
          </w:p>
        </w:tc>
        <w:tc>
          <w:tcPr>
            <w:tcW w:w="6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bCs/>
                <w:color w:val="auto"/>
                <w:kern w:val="0"/>
                <w:sz w:val="21"/>
                <w:szCs w:val="21"/>
              </w:rPr>
            </w:pPr>
            <w:r>
              <w:rPr>
                <w:rFonts w:hint="eastAsia"/>
                <w:bCs/>
                <w:color w:val="auto"/>
                <w:kern w:val="0"/>
                <w:sz w:val="21"/>
                <w:szCs w:val="21"/>
              </w:rPr>
              <w:t>3分</w:t>
            </w:r>
          </w:p>
        </w:tc>
        <w:tc>
          <w:tcPr>
            <w:tcW w:w="6729"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bCs/>
                <w:color w:val="auto"/>
                <w:kern w:val="0"/>
                <w:sz w:val="21"/>
                <w:szCs w:val="21"/>
              </w:rPr>
            </w:pPr>
            <w:r>
              <w:rPr>
                <w:rFonts w:hint="eastAsia"/>
                <w:bCs/>
                <w:color w:val="auto"/>
                <w:kern w:val="0"/>
                <w:sz w:val="21"/>
                <w:szCs w:val="21"/>
              </w:rPr>
              <w:t>门机及门保护装置：根据门机控制系统、电机等主要部件的先进性及可靠性等综合打分,优的得3分，良好的得2分，其他得0-1分。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088" w:type="dxa"/>
            <w:vMerge w:val="continue"/>
            <w:tcBorders>
              <w:left w:val="single" w:color="auto" w:sz="4" w:space="0"/>
              <w:right w:val="single" w:color="auto" w:sz="4" w:space="0"/>
            </w:tcBorders>
            <w:vAlign w:val="center"/>
          </w:tcPr>
          <w:p>
            <w:pPr>
              <w:widowControl/>
              <w:spacing w:line="240" w:lineRule="auto"/>
              <w:jc w:val="center"/>
              <w:rPr>
                <w:bCs/>
                <w:color w:val="auto"/>
                <w:kern w:val="0"/>
                <w:sz w:val="21"/>
                <w:szCs w:val="21"/>
              </w:rPr>
            </w:pPr>
          </w:p>
        </w:tc>
        <w:tc>
          <w:tcPr>
            <w:tcW w:w="1591"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bCs/>
                <w:color w:val="auto"/>
                <w:kern w:val="0"/>
                <w:sz w:val="21"/>
                <w:szCs w:val="21"/>
              </w:rPr>
            </w:pPr>
            <w:r>
              <w:rPr>
                <w:rFonts w:hint="eastAsia"/>
                <w:bCs/>
                <w:color w:val="auto"/>
                <w:kern w:val="0"/>
                <w:sz w:val="21"/>
                <w:szCs w:val="21"/>
              </w:rPr>
              <w:t>光幕</w:t>
            </w:r>
          </w:p>
        </w:tc>
        <w:tc>
          <w:tcPr>
            <w:tcW w:w="6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bCs/>
                <w:color w:val="auto"/>
                <w:kern w:val="0"/>
                <w:sz w:val="21"/>
                <w:szCs w:val="21"/>
              </w:rPr>
            </w:pPr>
            <w:r>
              <w:rPr>
                <w:rFonts w:hint="eastAsia"/>
                <w:bCs/>
                <w:color w:val="auto"/>
                <w:kern w:val="0"/>
                <w:sz w:val="21"/>
                <w:szCs w:val="21"/>
              </w:rPr>
              <w:t>3分</w:t>
            </w:r>
          </w:p>
        </w:tc>
        <w:tc>
          <w:tcPr>
            <w:tcW w:w="6729"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bCs/>
                <w:color w:val="auto"/>
                <w:kern w:val="0"/>
                <w:sz w:val="21"/>
                <w:szCs w:val="21"/>
              </w:rPr>
            </w:pPr>
            <w:r>
              <w:rPr>
                <w:rFonts w:hint="eastAsia"/>
                <w:bCs/>
                <w:color w:val="auto"/>
                <w:kern w:val="0"/>
                <w:sz w:val="21"/>
                <w:szCs w:val="21"/>
              </w:rPr>
              <w:t>电梯门光幕的先进性及可靠性等综合打分,优的得3分，良好的得2分，其他得0-1分。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1088" w:type="dxa"/>
            <w:vMerge w:val="continue"/>
            <w:tcBorders>
              <w:left w:val="single" w:color="auto" w:sz="4" w:space="0"/>
              <w:right w:val="single" w:color="auto" w:sz="4" w:space="0"/>
            </w:tcBorders>
            <w:vAlign w:val="center"/>
          </w:tcPr>
          <w:p>
            <w:pPr>
              <w:widowControl/>
              <w:spacing w:line="240" w:lineRule="auto"/>
              <w:jc w:val="center"/>
              <w:rPr>
                <w:bCs/>
                <w:color w:val="auto"/>
                <w:kern w:val="0"/>
                <w:sz w:val="21"/>
                <w:szCs w:val="21"/>
              </w:rPr>
            </w:pPr>
          </w:p>
        </w:tc>
        <w:tc>
          <w:tcPr>
            <w:tcW w:w="1591"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bCs/>
                <w:color w:val="auto"/>
                <w:kern w:val="0"/>
                <w:sz w:val="21"/>
                <w:szCs w:val="21"/>
              </w:rPr>
            </w:pPr>
            <w:r>
              <w:rPr>
                <w:rFonts w:hint="eastAsia"/>
                <w:bCs/>
                <w:color w:val="auto"/>
                <w:kern w:val="0"/>
                <w:sz w:val="21"/>
                <w:szCs w:val="21"/>
              </w:rPr>
              <w:t>安全保护系统</w:t>
            </w:r>
          </w:p>
        </w:tc>
        <w:tc>
          <w:tcPr>
            <w:tcW w:w="6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bCs/>
                <w:color w:val="auto"/>
                <w:kern w:val="0"/>
                <w:sz w:val="21"/>
                <w:szCs w:val="21"/>
              </w:rPr>
            </w:pPr>
            <w:r>
              <w:rPr>
                <w:rFonts w:hint="eastAsia"/>
                <w:bCs/>
                <w:color w:val="auto"/>
                <w:kern w:val="0"/>
                <w:sz w:val="21"/>
                <w:szCs w:val="21"/>
              </w:rPr>
              <w:t>3分</w:t>
            </w:r>
          </w:p>
        </w:tc>
        <w:tc>
          <w:tcPr>
            <w:tcW w:w="6729"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bCs/>
                <w:color w:val="auto"/>
                <w:kern w:val="0"/>
                <w:sz w:val="21"/>
                <w:szCs w:val="21"/>
              </w:rPr>
            </w:pPr>
            <w:r>
              <w:rPr>
                <w:rFonts w:hint="eastAsia"/>
                <w:bCs/>
                <w:color w:val="auto"/>
                <w:kern w:val="0"/>
                <w:sz w:val="21"/>
                <w:szCs w:val="21"/>
              </w:rPr>
              <w:t>根据安全钳、限速器、缓冲器的形式、配置和先进性情况酌情打分,优的得3分，良好的得2分，其他得0-1分。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trPr>
        <w:tc>
          <w:tcPr>
            <w:tcW w:w="1088" w:type="dxa"/>
            <w:vMerge w:val="continue"/>
            <w:tcBorders>
              <w:left w:val="single" w:color="auto" w:sz="4" w:space="0"/>
              <w:right w:val="single" w:color="auto" w:sz="4" w:space="0"/>
            </w:tcBorders>
            <w:vAlign w:val="center"/>
          </w:tcPr>
          <w:p>
            <w:pPr>
              <w:widowControl/>
              <w:spacing w:line="240" w:lineRule="auto"/>
              <w:jc w:val="center"/>
              <w:rPr>
                <w:bCs/>
                <w:color w:val="auto"/>
                <w:kern w:val="0"/>
                <w:sz w:val="21"/>
                <w:szCs w:val="21"/>
              </w:rPr>
            </w:pPr>
          </w:p>
        </w:tc>
        <w:tc>
          <w:tcPr>
            <w:tcW w:w="1591"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bCs/>
                <w:color w:val="auto"/>
                <w:kern w:val="0"/>
                <w:sz w:val="21"/>
                <w:szCs w:val="21"/>
              </w:rPr>
            </w:pPr>
            <w:r>
              <w:rPr>
                <w:rFonts w:hint="eastAsia"/>
                <w:bCs/>
                <w:color w:val="auto"/>
                <w:kern w:val="0"/>
                <w:sz w:val="21"/>
                <w:szCs w:val="21"/>
              </w:rPr>
              <w:t>功能指标情况</w:t>
            </w:r>
          </w:p>
        </w:tc>
        <w:tc>
          <w:tcPr>
            <w:tcW w:w="6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bCs/>
                <w:color w:val="auto"/>
                <w:kern w:val="0"/>
                <w:sz w:val="21"/>
                <w:szCs w:val="21"/>
              </w:rPr>
            </w:pPr>
            <w:r>
              <w:rPr>
                <w:rFonts w:hint="eastAsia"/>
                <w:bCs/>
                <w:color w:val="auto"/>
                <w:kern w:val="0"/>
                <w:sz w:val="21"/>
                <w:szCs w:val="21"/>
              </w:rPr>
              <w:t>3分</w:t>
            </w:r>
          </w:p>
        </w:tc>
        <w:tc>
          <w:tcPr>
            <w:tcW w:w="6729"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bCs/>
                <w:color w:val="auto"/>
                <w:kern w:val="0"/>
                <w:sz w:val="21"/>
                <w:szCs w:val="21"/>
              </w:rPr>
            </w:pPr>
            <w:r>
              <w:rPr>
                <w:rFonts w:hint="eastAsia"/>
                <w:bCs/>
                <w:color w:val="auto"/>
                <w:kern w:val="0"/>
                <w:sz w:val="21"/>
                <w:szCs w:val="21"/>
              </w:rPr>
              <w:t>根据功能指标情况（如轿厢内和层厅外显示方式及档次、适合电梯人性化设计细节、消防功能、超重提示、警铃等）先进性及可靠性等酌情打分,优的得</w:t>
            </w:r>
            <w:r>
              <w:rPr>
                <w:rFonts w:hint="eastAsia"/>
                <w:bCs/>
                <w:color w:val="auto"/>
                <w:kern w:val="0"/>
                <w:sz w:val="21"/>
                <w:szCs w:val="21"/>
                <w:lang w:val="en-US" w:eastAsia="zh-CN"/>
              </w:rPr>
              <w:t>3</w:t>
            </w:r>
            <w:r>
              <w:rPr>
                <w:rFonts w:hint="eastAsia"/>
                <w:bCs/>
                <w:color w:val="auto"/>
                <w:kern w:val="0"/>
                <w:sz w:val="21"/>
                <w:szCs w:val="21"/>
              </w:rPr>
              <w:t>分，良好的得2分，其他得0-1分。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088" w:type="dxa"/>
            <w:vMerge w:val="continue"/>
            <w:tcBorders>
              <w:left w:val="single" w:color="auto" w:sz="4" w:space="0"/>
              <w:right w:val="single" w:color="auto" w:sz="4" w:space="0"/>
            </w:tcBorders>
            <w:vAlign w:val="center"/>
          </w:tcPr>
          <w:p>
            <w:pPr>
              <w:widowControl/>
              <w:spacing w:line="240" w:lineRule="auto"/>
              <w:jc w:val="center"/>
              <w:rPr>
                <w:bCs/>
                <w:color w:val="auto"/>
                <w:kern w:val="0"/>
                <w:sz w:val="21"/>
                <w:szCs w:val="21"/>
              </w:rPr>
            </w:pPr>
          </w:p>
        </w:tc>
        <w:tc>
          <w:tcPr>
            <w:tcW w:w="1591"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rFonts w:hint="eastAsia" w:ascii="宋体" w:hAnsi="宋体" w:eastAsia="宋体" w:cs="宋体"/>
                <w:bCs/>
                <w:color w:val="auto"/>
                <w:kern w:val="0"/>
                <w:sz w:val="21"/>
                <w:szCs w:val="21"/>
                <w:lang w:val="en-US" w:eastAsia="zh-CN" w:bidi="ar-SA"/>
              </w:rPr>
            </w:pPr>
            <w:r>
              <w:rPr>
                <w:rFonts w:hint="eastAsia"/>
                <w:bCs/>
                <w:color w:val="auto"/>
                <w:kern w:val="0"/>
                <w:sz w:val="21"/>
                <w:szCs w:val="21"/>
              </w:rPr>
              <w:t>供货/施工周期</w:t>
            </w:r>
          </w:p>
        </w:tc>
        <w:tc>
          <w:tcPr>
            <w:tcW w:w="6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rFonts w:hint="eastAsia" w:ascii="宋体" w:hAnsi="宋体" w:eastAsia="宋体" w:cs="宋体"/>
                <w:bCs/>
                <w:color w:val="auto"/>
                <w:kern w:val="0"/>
                <w:sz w:val="21"/>
                <w:szCs w:val="21"/>
                <w:lang w:val="en-US" w:eastAsia="zh-CN" w:bidi="ar-SA"/>
              </w:rPr>
            </w:pPr>
            <w:r>
              <w:rPr>
                <w:rFonts w:hint="eastAsia"/>
                <w:bCs/>
                <w:color w:val="auto"/>
                <w:kern w:val="0"/>
                <w:sz w:val="21"/>
                <w:szCs w:val="21"/>
              </w:rPr>
              <w:t>3分</w:t>
            </w:r>
          </w:p>
        </w:tc>
        <w:tc>
          <w:tcPr>
            <w:tcW w:w="6729"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bCs/>
                <w:color w:val="auto"/>
                <w:kern w:val="0"/>
                <w:sz w:val="21"/>
                <w:szCs w:val="21"/>
              </w:rPr>
            </w:pPr>
            <w:r>
              <w:rPr>
                <w:rFonts w:hint="eastAsia"/>
                <w:bCs/>
                <w:color w:val="auto"/>
                <w:kern w:val="0"/>
                <w:sz w:val="21"/>
                <w:szCs w:val="21"/>
              </w:rPr>
              <w:t>1、装配式主体结构和设备供货时间3</w:t>
            </w:r>
            <w:r>
              <w:rPr>
                <w:rFonts w:hint="eastAsia"/>
                <w:bCs/>
                <w:color w:val="auto"/>
                <w:kern w:val="0"/>
                <w:sz w:val="21"/>
                <w:szCs w:val="21"/>
                <w:lang w:val="en-US" w:eastAsia="zh-CN"/>
              </w:rPr>
              <w:t>0</w:t>
            </w:r>
            <w:r>
              <w:rPr>
                <w:rFonts w:hint="eastAsia"/>
                <w:bCs/>
                <w:color w:val="auto"/>
                <w:kern w:val="0"/>
                <w:sz w:val="21"/>
                <w:szCs w:val="21"/>
              </w:rPr>
              <w:t>日内，施工工期15日内并通过验收取得合格证的得3分；</w:t>
            </w:r>
          </w:p>
          <w:p>
            <w:pPr>
              <w:widowControl/>
              <w:spacing w:line="240" w:lineRule="auto"/>
              <w:ind w:firstLine="0" w:firstLineChars="0"/>
              <w:rPr>
                <w:bCs/>
                <w:color w:val="auto"/>
                <w:kern w:val="0"/>
                <w:sz w:val="21"/>
                <w:szCs w:val="21"/>
              </w:rPr>
            </w:pPr>
            <w:r>
              <w:rPr>
                <w:rFonts w:hint="eastAsia"/>
                <w:bCs/>
                <w:color w:val="auto"/>
                <w:kern w:val="0"/>
                <w:sz w:val="21"/>
                <w:szCs w:val="21"/>
              </w:rPr>
              <w:t>2、装配式主体结构和设备供货时间30日内，施工工期20日内并通过验收取得合格证的的得2分；</w:t>
            </w:r>
          </w:p>
          <w:p>
            <w:pPr>
              <w:widowControl/>
              <w:spacing w:line="240" w:lineRule="auto"/>
              <w:ind w:firstLine="0" w:firstLineChars="0"/>
              <w:rPr>
                <w:bCs/>
                <w:color w:val="auto"/>
                <w:kern w:val="0"/>
                <w:sz w:val="21"/>
                <w:szCs w:val="21"/>
              </w:rPr>
            </w:pPr>
            <w:r>
              <w:rPr>
                <w:rFonts w:hint="eastAsia"/>
                <w:bCs/>
                <w:color w:val="auto"/>
                <w:kern w:val="0"/>
                <w:sz w:val="21"/>
                <w:szCs w:val="21"/>
              </w:rPr>
              <w:t>3、装配式主体结构和设备供货时间3</w:t>
            </w:r>
            <w:r>
              <w:rPr>
                <w:rFonts w:hint="eastAsia"/>
                <w:bCs/>
                <w:color w:val="auto"/>
                <w:kern w:val="0"/>
                <w:sz w:val="21"/>
                <w:szCs w:val="21"/>
                <w:lang w:val="en-US" w:eastAsia="zh-CN"/>
              </w:rPr>
              <w:t>0</w:t>
            </w:r>
            <w:r>
              <w:rPr>
                <w:rFonts w:hint="eastAsia"/>
                <w:bCs/>
                <w:color w:val="auto"/>
                <w:kern w:val="0"/>
                <w:sz w:val="21"/>
                <w:szCs w:val="21"/>
              </w:rPr>
              <w:t>日内，施工工期25日内并通过验收取得合格证的的得1分；</w:t>
            </w:r>
          </w:p>
          <w:p>
            <w:pPr>
              <w:widowControl/>
              <w:spacing w:line="240" w:lineRule="auto"/>
              <w:ind w:firstLine="0" w:firstLineChars="0"/>
              <w:rPr>
                <w:rFonts w:hint="eastAsia"/>
                <w:bCs/>
                <w:color w:val="auto"/>
                <w:kern w:val="0"/>
                <w:sz w:val="21"/>
                <w:szCs w:val="21"/>
              </w:rPr>
            </w:pPr>
            <w:r>
              <w:rPr>
                <w:rFonts w:hint="eastAsia"/>
                <w:bCs/>
                <w:color w:val="auto"/>
                <w:kern w:val="0"/>
                <w:sz w:val="21"/>
                <w:szCs w:val="21"/>
              </w:rPr>
              <w:t>4、其余不得分。</w:t>
            </w:r>
          </w:p>
          <w:p>
            <w:pPr>
              <w:widowControl/>
              <w:spacing w:line="240" w:lineRule="auto"/>
              <w:ind w:firstLine="0" w:firstLineChars="0"/>
              <w:rPr>
                <w:rFonts w:hint="eastAsia" w:ascii="宋体" w:hAnsi="宋体" w:eastAsia="宋体" w:cs="宋体"/>
                <w:bCs/>
                <w:color w:val="auto"/>
                <w:kern w:val="0"/>
                <w:sz w:val="21"/>
                <w:szCs w:val="21"/>
                <w:lang w:val="en-US" w:eastAsia="zh-CN" w:bidi="ar-SA"/>
              </w:rPr>
            </w:pPr>
            <w:r>
              <w:rPr>
                <w:rFonts w:hint="eastAsia"/>
                <w:bCs/>
                <w:color w:val="auto"/>
                <w:kern w:val="0"/>
                <w:sz w:val="21"/>
                <w:szCs w:val="21"/>
                <w:lang w:val="en-US" w:eastAsia="zh-CN"/>
              </w:rPr>
              <w:t>注：提供满足施工要求的单台装配式电梯施工周期表。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8" w:type="dxa"/>
            <w:vMerge w:val="continue"/>
            <w:tcBorders>
              <w:left w:val="single" w:color="auto" w:sz="4" w:space="0"/>
              <w:right w:val="single" w:color="auto" w:sz="4" w:space="0"/>
            </w:tcBorders>
            <w:vAlign w:val="center"/>
          </w:tcPr>
          <w:p>
            <w:pPr>
              <w:widowControl/>
              <w:spacing w:line="240" w:lineRule="auto"/>
              <w:jc w:val="center"/>
              <w:rPr>
                <w:bCs/>
                <w:color w:val="auto"/>
                <w:kern w:val="0"/>
                <w:sz w:val="21"/>
                <w:szCs w:val="21"/>
              </w:rPr>
            </w:pPr>
          </w:p>
        </w:tc>
        <w:tc>
          <w:tcPr>
            <w:tcW w:w="15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color w:val="auto"/>
                <w:kern w:val="0"/>
                <w:sz w:val="21"/>
                <w:szCs w:val="21"/>
              </w:rPr>
            </w:pPr>
            <w:r>
              <w:rPr>
                <w:rFonts w:hint="eastAsia"/>
                <w:bCs/>
                <w:color w:val="auto"/>
                <w:kern w:val="0"/>
                <w:sz w:val="21"/>
                <w:szCs w:val="21"/>
              </w:rPr>
              <w:t>产品的质保期</w:t>
            </w:r>
          </w:p>
        </w:tc>
        <w:tc>
          <w:tcPr>
            <w:tcW w:w="6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color w:val="auto"/>
                <w:kern w:val="0"/>
                <w:sz w:val="21"/>
                <w:szCs w:val="21"/>
              </w:rPr>
            </w:pPr>
            <w:r>
              <w:rPr>
                <w:rFonts w:hint="eastAsia"/>
                <w:color w:val="auto"/>
                <w:sz w:val="21"/>
                <w:szCs w:val="21"/>
              </w:rPr>
              <w:t>5分</w:t>
            </w:r>
          </w:p>
        </w:tc>
        <w:tc>
          <w:tcPr>
            <w:tcW w:w="67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color w:val="auto"/>
                <w:sz w:val="21"/>
                <w:szCs w:val="21"/>
              </w:rPr>
            </w:pPr>
            <w:r>
              <w:rPr>
                <w:rFonts w:hint="eastAsia"/>
                <w:color w:val="auto"/>
                <w:sz w:val="21"/>
                <w:szCs w:val="21"/>
              </w:rPr>
              <w:t>1、质量保证期在招标要求基础上每增加6个月得1分，最多得2分。</w:t>
            </w:r>
          </w:p>
          <w:p>
            <w:pPr>
              <w:spacing w:line="240" w:lineRule="auto"/>
              <w:ind w:firstLine="0" w:firstLineChars="0"/>
              <w:rPr>
                <w:color w:val="auto"/>
                <w:sz w:val="21"/>
                <w:szCs w:val="21"/>
              </w:rPr>
            </w:pPr>
            <w:r>
              <w:rPr>
                <w:rFonts w:hint="eastAsia"/>
                <w:color w:val="auto"/>
                <w:sz w:val="21"/>
                <w:szCs w:val="21"/>
              </w:rPr>
              <w:t>2、根据钢带或钢丝绳的质量保证期进行评分：</w:t>
            </w:r>
          </w:p>
          <w:p>
            <w:pPr>
              <w:spacing w:line="240" w:lineRule="auto"/>
              <w:ind w:firstLine="0" w:firstLineChars="0"/>
              <w:rPr>
                <w:color w:val="auto"/>
                <w:sz w:val="21"/>
                <w:szCs w:val="21"/>
              </w:rPr>
            </w:pPr>
            <w:r>
              <w:rPr>
                <w:rFonts w:hint="eastAsia"/>
                <w:color w:val="auto"/>
                <w:sz w:val="21"/>
                <w:szCs w:val="21"/>
              </w:rPr>
              <w:t>1）提供钢带或钢丝绳的质量保证期</w:t>
            </w:r>
            <w:r>
              <w:rPr>
                <w:rFonts w:hint="eastAsia"/>
                <w:bCs/>
                <w:color w:val="auto"/>
                <w:kern w:val="0"/>
                <w:sz w:val="21"/>
                <w:szCs w:val="21"/>
              </w:rPr>
              <w:t>≥</w:t>
            </w:r>
            <w:r>
              <w:rPr>
                <w:rFonts w:hint="eastAsia"/>
                <w:color w:val="auto"/>
                <w:sz w:val="21"/>
                <w:szCs w:val="21"/>
              </w:rPr>
              <w:t>15年，得3分；</w:t>
            </w:r>
          </w:p>
          <w:p>
            <w:pPr>
              <w:spacing w:line="240" w:lineRule="auto"/>
              <w:ind w:firstLine="0" w:firstLineChars="0"/>
              <w:rPr>
                <w:color w:val="auto"/>
                <w:sz w:val="21"/>
                <w:szCs w:val="21"/>
              </w:rPr>
            </w:pPr>
            <w:r>
              <w:rPr>
                <w:rFonts w:hint="eastAsia"/>
                <w:color w:val="auto"/>
                <w:sz w:val="21"/>
                <w:szCs w:val="21"/>
              </w:rPr>
              <w:t>2）提供15年＞钢带或钢丝绳质量保证期</w:t>
            </w:r>
            <w:r>
              <w:rPr>
                <w:rFonts w:hint="eastAsia"/>
                <w:bCs/>
                <w:color w:val="auto"/>
                <w:kern w:val="0"/>
                <w:sz w:val="21"/>
                <w:szCs w:val="21"/>
              </w:rPr>
              <w:t>≥10</w:t>
            </w:r>
            <w:r>
              <w:rPr>
                <w:rFonts w:hint="eastAsia"/>
                <w:color w:val="auto"/>
                <w:sz w:val="21"/>
                <w:szCs w:val="21"/>
              </w:rPr>
              <w:t>年，得2分；</w:t>
            </w:r>
          </w:p>
          <w:p>
            <w:pPr>
              <w:spacing w:line="240" w:lineRule="auto"/>
              <w:ind w:firstLine="0" w:firstLineChars="0"/>
              <w:rPr>
                <w:color w:val="auto"/>
                <w:sz w:val="21"/>
                <w:szCs w:val="21"/>
              </w:rPr>
            </w:pPr>
            <w:r>
              <w:rPr>
                <w:rFonts w:hint="eastAsia"/>
                <w:color w:val="auto"/>
                <w:sz w:val="21"/>
                <w:szCs w:val="21"/>
              </w:rPr>
              <w:t>3）提供10年＞钢带或钢丝绳质量保证期</w:t>
            </w:r>
            <w:r>
              <w:rPr>
                <w:rFonts w:hint="eastAsia"/>
                <w:bCs/>
                <w:color w:val="auto"/>
                <w:kern w:val="0"/>
                <w:sz w:val="21"/>
                <w:szCs w:val="21"/>
              </w:rPr>
              <w:t>≥5</w:t>
            </w:r>
            <w:r>
              <w:rPr>
                <w:rFonts w:hint="eastAsia"/>
                <w:color w:val="auto"/>
                <w:sz w:val="21"/>
                <w:szCs w:val="21"/>
              </w:rPr>
              <w:t>年，得1分；</w:t>
            </w:r>
          </w:p>
          <w:p>
            <w:pPr>
              <w:spacing w:line="240" w:lineRule="auto"/>
              <w:ind w:firstLine="0" w:firstLineChars="0"/>
              <w:rPr>
                <w:bCs/>
                <w:color w:val="auto"/>
                <w:kern w:val="0"/>
                <w:sz w:val="21"/>
                <w:szCs w:val="21"/>
              </w:rPr>
            </w:pPr>
            <w:r>
              <w:rPr>
                <w:rFonts w:hint="eastAsia"/>
                <w:color w:val="auto"/>
                <w:sz w:val="21"/>
                <w:szCs w:val="21"/>
              </w:rPr>
              <w:t>4）提供5年＞钢带或钢丝绳质量保证期，不得分；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1088" w:type="dxa"/>
            <w:vMerge w:val="continue"/>
            <w:tcBorders>
              <w:left w:val="single" w:color="auto" w:sz="4" w:space="0"/>
              <w:right w:val="single" w:color="auto" w:sz="4" w:space="0"/>
            </w:tcBorders>
            <w:vAlign w:val="center"/>
          </w:tcPr>
          <w:p>
            <w:pPr>
              <w:widowControl/>
              <w:spacing w:line="240" w:lineRule="auto"/>
              <w:jc w:val="center"/>
              <w:rPr>
                <w:bCs/>
                <w:color w:val="auto"/>
                <w:kern w:val="0"/>
                <w:sz w:val="21"/>
                <w:szCs w:val="21"/>
              </w:rPr>
            </w:pPr>
          </w:p>
        </w:tc>
        <w:tc>
          <w:tcPr>
            <w:tcW w:w="1591"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int="eastAsia" w:ascii="宋体" w:hAnsi="宋体" w:eastAsia="宋体" w:cs="宋体"/>
                <w:bCs/>
                <w:color w:val="auto"/>
                <w:kern w:val="0"/>
                <w:sz w:val="21"/>
                <w:szCs w:val="21"/>
                <w:lang w:val="en-US" w:eastAsia="zh-CN" w:bidi="ar-SA"/>
              </w:rPr>
            </w:pPr>
            <w:r>
              <w:rPr>
                <w:rFonts w:hint="eastAsia"/>
                <w:bCs/>
                <w:color w:val="auto"/>
                <w:kern w:val="0"/>
                <w:sz w:val="21"/>
                <w:szCs w:val="21"/>
              </w:rPr>
              <w:t>电梯制造商备品备件供应情况</w:t>
            </w:r>
          </w:p>
        </w:tc>
        <w:tc>
          <w:tcPr>
            <w:tcW w:w="6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rFonts w:hint="eastAsia" w:ascii="宋体" w:hAnsi="宋体" w:eastAsia="宋体" w:cs="宋体"/>
                <w:bCs/>
                <w:color w:val="auto"/>
                <w:kern w:val="0"/>
                <w:sz w:val="21"/>
                <w:szCs w:val="21"/>
                <w:lang w:val="en-US" w:eastAsia="zh-CN" w:bidi="ar-SA"/>
              </w:rPr>
            </w:pPr>
            <w:r>
              <w:rPr>
                <w:rFonts w:hint="eastAsia"/>
                <w:bCs/>
                <w:color w:val="auto"/>
                <w:kern w:val="0"/>
                <w:sz w:val="21"/>
                <w:szCs w:val="21"/>
              </w:rPr>
              <w:t>3分</w:t>
            </w:r>
          </w:p>
        </w:tc>
        <w:tc>
          <w:tcPr>
            <w:tcW w:w="6729"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240" w:lineRule="auto"/>
              <w:rPr>
                <w:rFonts w:hint="eastAsia"/>
                <w:bCs/>
                <w:color w:val="auto"/>
                <w:kern w:val="0"/>
                <w:sz w:val="21"/>
                <w:szCs w:val="21"/>
              </w:rPr>
            </w:pPr>
            <w:r>
              <w:rPr>
                <w:rFonts w:hint="eastAsia"/>
                <w:bCs/>
                <w:color w:val="auto"/>
                <w:kern w:val="0"/>
                <w:sz w:val="21"/>
                <w:szCs w:val="21"/>
              </w:rPr>
              <w:t>在杭州地区设有备品备件仓库</w:t>
            </w:r>
            <w:r>
              <w:rPr>
                <w:rFonts w:hint="eastAsia"/>
                <w:bCs/>
                <w:color w:val="auto"/>
                <w:kern w:val="0"/>
                <w:sz w:val="21"/>
                <w:szCs w:val="21"/>
                <w:lang w:val="en-US" w:eastAsia="zh-CN"/>
              </w:rPr>
              <w:t>的面积</w:t>
            </w:r>
            <w:r>
              <w:rPr>
                <w:rFonts w:hint="eastAsia" w:ascii="宋体" w:hAnsi="宋体" w:eastAsia="宋体" w:cs="宋体"/>
                <w:bCs/>
                <w:color w:val="auto"/>
                <w:kern w:val="0"/>
                <w:sz w:val="21"/>
                <w:szCs w:val="21"/>
                <w:lang w:val="en-US" w:eastAsia="zh-CN"/>
              </w:rPr>
              <w:t>≧</w:t>
            </w:r>
            <w:r>
              <w:rPr>
                <w:rFonts w:hint="eastAsia"/>
                <w:bCs/>
                <w:color w:val="auto"/>
                <w:kern w:val="0"/>
                <w:sz w:val="21"/>
                <w:szCs w:val="21"/>
              </w:rPr>
              <w:t>1500平方米的得3分</w:t>
            </w:r>
            <w:r>
              <w:rPr>
                <w:rFonts w:hint="eastAsia"/>
                <w:bCs/>
                <w:color w:val="auto"/>
                <w:kern w:val="0"/>
                <w:sz w:val="21"/>
                <w:szCs w:val="21"/>
                <w:lang w:val="en-US" w:eastAsia="zh-CN"/>
              </w:rPr>
              <w:t>,</w:t>
            </w:r>
            <w:r>
              <w:rPr>
                <w:rFonts w:hint="eastAsia"/>
                <w:bCs/>
                <w:color w:val="auto"/>
                <w:kern w:val="0"/>
                <w:sz w:val="21"/>
                <w:szCs w:val="21"/>
              </w:rPr>
              <w:t>1000-1500平方米的得2分</w:t>
            </w:r>
            <w:r>
              <w:rPr>
                <w:rFonts w:hint="eastAsia"/>
                <w:bCs/>
                <w:color w:val="auto"/>
                <w:kern w:val="0"/>
                <w:sz w:val="21"/>
                <w:szCs w:val="21"/>
                <w:lang w:val="en-US" w:eastAsia="zh-CN"/>
              </w:rPr>
              <w:t>,</w:t>
            </w:r>
            <w:r>
              <w:rPr>
                <w:rFonts w:hint="eastAsia"/>
                <w:bCs/>
                <w:color w:val="auto"/>
                <w:kern w:val="0"/>
                <w:sz w:val="21"/>
                <w:szCs w:val="21"/>
              </w:rPr>
              <w:t>＜1000平方米的得1分</w:t>
            </w:r>
            <w:r>
              <w:rPr>
                <w:rFonts w:hint="eastAsia"/>
                <w:bCs/>
                <w:color w:val="auto"/>
                <w:kern w:val="0"/>
                <w:sz w:val="21"/>
                <w:szCs w:val="21"/>
                <w:lang w:val="en-US" w:eastAsia="zh-CN"/>
              </w:rPr>
              <w:t>,</w:t>
            </w:r>
            <w:r>
              <w:rPr>
                <w:rFonts w:hint="eastAsia"/>
                <w:bCs/>
                <w:color w:val="auto"/>
                <w:kern w:val="0"/>
                <w:sz w:val="21"/>
                <w:szCs w:val="21"/>
              </w:rPr>
              <w:t>其它不得分</w:t>
            </w:r>
          </w:p>
          <w:p>
            <w:pPr>
              <w:widowControl/>
              <w:numPr>
                <w:ilvl w:val="0"/>
                <w:numId w:val="0"/>
              </w:numPr>
              <w:spacing w:line="240" w:lineRule="auto"/>
              <w:rPr>
                <w:rFonts w:hint="eastAsia" w:ascii="宋体" w:hAnsi="宋体" w:eastAsia="宋体" w:cs="宋体"/>
                <w:bCs/>
                <w:color w:val="auto"/>
                <w:kern w:val="0"/>
                <w:sz w:val="21"/>
                <w:szCs w:val="21"/>
                <w:lang w:val="en-US" w:eastAsia="zh-CN" w:bidi="ar-SA"/>
              </w:rPr>
            </w:pPr>
            <w:r>
              <w:rPr>
                <w:rFonts w:hint="eastAsia"/>
                <w:bCs/>
                <w:color w:val="auto"/>
                <w:kern w:val="0"/>
                <w:sz w:val="21"/>
                <w:szCs w:val="21"/>
                <w:lang w:val="en-US" w:eastAsia="zh-CN"/>
              </w:rPr>
              <w:t>注：</w:t>
            </w:r>
            <w:r>
              <w:rPr>
                <w:rFonts w:hint="eastAsia"/>
                <w:bCs/>
                <w:color w:val="auto"/>
                <w:kern w:val="0"/>
                <w:sz w:val="21"/>
                <w:szCs w:val="21"/>
              </w:rPr>
              <w:t>以房产证或经当地房管部门备案的租赁合同为准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088" w:type="dxa"/>
            <w:vMerge w:val="continue"/>
            <w:tcBorders>
              <w:left w:val="single" w:color="auto" w:sz="4" w:space="0"/>
              <w:right w:val="single" w:color="auto" w:sz="4" w:space="0"/>
            </w:tcBorders>
            <w:vAlign w:val="center"/>
          </w:tcPr>
          <w:p>
            <w:pPr>
              <w:widowControl/>
              <w:spacing w:line="240" w:lineRule="auto"/>
              <w:jc w:val="center"/>
              <w:rPr>
                <w:bCs/>
                <w:color w:val="auto"/>
                <w:kern w:val="0"/>
                <w:sz w:val="21"/>
                <w:szCs w:val="21"/>
              </w:rPr>
            </w:pPr>
          </w:p>
        </w:tc>
        <w:tc>
          <w:tcPr>
            <w:tcW w:w="15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hint="eastAsia" w:ascii="宋体" w:hAnsi="宋体" w:eastAsia="宋体" w:cs="宋体"/>
                <w:bCs/>
                <w:color w:val="auto"/>
                <w:kern w:val="0"/>
                <w:sz w:val="21"/>
                <w:szCs w:val="21"/>
                <w:lang w:val="en-US" w:eastAsia="zh-CN" w:bidi="ar-SA"/>
              </w:rPr>
            </w:pPr>
            <w:r>
              <w:rPr>
                <w:rFonts w:hint="eastAsia"/>
                <w:bCs/>
                <w:color w:val="auto"/>
                <w:kern w:val="0"/>
                <w:sz w:val="21"/>
                <w:szCs w:val="21"/>
              </w:rPr>
              <w:t>技术实施能力</w:t>
            </w:r>
          </w:p>
        </w:tc>
        <w:tc>
          <w:tcPr>
            <w:tcW w:w="6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hint="eastAsia" w:ascii="宋体" w:hAnsi="宋体" w:eastAsia="宋体" w:cs="宋体"/>
                <w:color w:val="auto"/>
                <w:kern w:val="2"/>
                <w:sz w:val="21"/>
                <w:szCs w:val="21"/>
                <w:lang w:val="en-US" w:eastAsia="zh-CN" w:bidi="ar-SA"/>
              </w:rPr>
            </w:pPr>
            <w:r>
              <w:rPr>
                <w:rFonts w:hint="eastAsia"/>
                <w:color w:val="auto"/>
                <w:sz w:val="21"/>
                <w:szCs w:val="21"/>
              </w:rPr>
              <w:t>1分</w:t>
            </w:r>
          </w:p>
        </w:tc>
        <w:tc>
          <w:tcPr>
            <w:tcW w:w="67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color w:val="auto"/>
                <w:sz w:val="21"/>
                <w:szCs w:val="21"/>
              </w:rPr>
            </w:pPr>
            <w:r>
              <w:rPr>
                <w:rFonts w:hint="eastAsia"/>
                <w:color w:val="auto"/>
                <w:sz w:val="21"/>
                <w:szCs w:val="21"/>
              </w:rPr>
              <w:t>因基坑开挖条件的不确定性，提供浅基坑电梯解决方案的得1分，其它不得分。</w:t>
            </w:r>
          </w:p>
          <w:p>
            <w:pPr>
              <w:spacing w:line="240" w:lineRule="auto"/>
              <w:ind w:firstLine="0" w:firstLineChars="0"/>
              <w:rPr>
                <w:rFonts w:hint="eastAsia" w:ascii="宋体" w:hAnsi="宋体" w:eastAsia="宋体" w:cs="宋体"/>
                <w:color w:val="auto"/>
                <w:kern w:val="2"/>
                <w:sz w:val="21"/>
                <w:szCs w:val="21"/>
                <w:lang w:val="en-US" w:eastAsia="zh-CN" w:bidi="ar-SA"/>
              </w:rPr>
            </w:pPr>
            <w:r>
              <w:rPr>
                <w:rFonts w:hint="eastAsia"/>
                <w:color w:val="auto"/>
                <w:sz w:val="21"/>
                <w:szCs w:val="21"/>
              </w:rPr>
              <w:t>注：提供浅基坑电梯型式试验报告。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1088" w:type="dxa"/>
            <w:vMerge w:val="continue"/>
            <w:tcBorders>
              <w:left w:val="single" w:color="auto" w:sz="4" w:space="0"/>
              <w:right w:val="single" w:color="auto" w:sz="4" w:space="0"/>
            </w:tcBorders>
            <w:vAlign w:val="center"/>
          </w:tcPr>
          <w:p>
            <w:pPr>
              <w:widowControl/>
              <w:spacing w:line="240" w:lineRule="auto"/>
              <w:jc w:val="center"/>
              <w:rPr>
                <w:bCs/>
                <w:color w:val="auto"/>
                <w:kern w:val="0"/>
                <w:sz w:val="21"/>
                <w:szCs w:val="21"/>
              </w:rPr>
            </w:pPr>
          </w:p>
        </w:tc>
        <w:tc>
          <w:tcPr>
            <w:tcW w:w="1591" w:type="dxa"/>
            <w:tcBorders>
              <w:top w:val="single" w:color="auto" w:sz="4" w:space="0"/>
              <w:left w:val="single" w:color="auto" w:sz="4" w:space="0"/>
              <w:right w:val="single" w:color="auto" w:sz="4" w:space="0"/>
            </w:tcBorders>
            <w:vAlign w:val="center"/>
          </w:tcPr>
          <w:p>
            <w:pPr>
              <w:widowControl/>
              <w:spacing w:line="240" w:lineRule="auto"/>
              <w:ind w:firstLine="0" w:firstLineChars="0"/>
              <w:jc w:val="center"/>
              <w:rPr>
                <w:bCs/>
                <w:color w:val="auto"/>
                <w:kern w:val="0"/>
                <w:sz w:val="21"/>
                <w:szCs w:val="21"/>
              </w:rPr>
            </w:pPr>
            <w:r>
              <w:rPr>
                <w:rFonts w:hint="eastAsia"/>
                <w:bCs/>
                <w:color w:val="auto"/>
                <w:kern w:val="0"/>
                <w:sz w:val="21"/>
                <w:szCs w:val="21"/>
              </w:rPr>
              <w:t>技术偏离情况</w:t>
            </w:r>
          </w:p>
        </w:tc>
        <w:tc>
          <w:tcPr>
            <w:tcW w:w="659" w:type="dxa"/>
            <w:tcBorders>
              <w:top w:val="single" w:color="auto" w:sz="4" w:space="0"/>
              <w:left w:val="single" w:color="auto" w:sz="4" w:space="0"/>
              <w:right w:val="single" w:color="auto" w:sz="4" w:space="0"/>
            </w:tcBorders>
            <w:vAlign w:val="center"/>
          </w:tcPr>
          <w:p>
            <w:pPr>
              <w:widowControl/>
              <w:spacing w:line="240" w:lineRule="auto"/>
              <w:ind w:firstLine="0" w:firstLineChars="0"/>
              <w:rPr>
                <w:color w:val="auto"/>
                <w:sz w:val="21"/>
                <w:szCs w:val="21"/>
              </w:rPr>
            </w:pPr>
            <w:r>
              <w:rPr>
                <w:rFonts w:hint="eastAsia"/>
                <w:bCs/>
                <w:color w:val="auto"/>
                <w:kern w:val="0"/>
                <w:sz w:val="21"/>
                <w:szCs w:val="21"/>
                <w:lang w:val="en-US" w:eastAsia="zh-CN"/>
              </w:rPr>
              <w:t>8</w:t>
            </w:r>
            <w:r>
              <w:rPr>
                <w:rFonts w:hint="eastAsia"/>
                <w:bCs/>
                <w:color w:val="auto"/>
                <w:kern w:val="0"/>
                <w:sz w:val="21"/>
                <w:szCs w:val="21"/>
              </w:rPr>
              <w:t>分</w:t>
            </w:r>
          </w:p>
        </w:tc>
        <w:tc>
          <w:tcPr>
            <w:tcW w:w="6729"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color w:val="auto"/>
                <w:sz w:val="21"/>
                <w:szCs w:val="21"/>
              </w:rPr>
            </w:pPr>
            <w:r>
              <w:rPr>
                <w:rFonts w:hint="eastAsia"/>
                <w:bCs/>
                <w:color w:val="auto"/>
                <w:kern w:val="0"/>
                <w:sz w:val="21"/>
                <w:szCs w:val="21"/>
              </w:rPr>
              <w:t>技术指标完全满足招标文件要求的得8分,投标文件的技术指标低于招标需求（负偏离）的或未做出明确响应的每项扣2分，其余一般指标低于招标需求（负偏离）的或未做出明确响应的，每项扣1分。</w:t>
            </w:r>
          </w:p>
        </w:tc>
      </w:tr>
    </w:tbl>
    <w:p>
      <w:pPr>
        <w:pStyle w:val="4"/>
        <w:rPr>
          <w:rFonts w:ascii="宋体" w:hAnsi="宋体"/>
          <w:color w:val="auto"/>
          <w:szCs w:val="21"/>
        </w:rPr>
      </w:pPr>
      <w:r>
        <w:rPr>
          <w:rFonts w:hint="eastAsia" w:ascii="宋体" w:hAnsi="宋体"/>
          <w:color w:val="auto"/>
          <w:szCs w:val="21"/>
        </w:rPr>
        <w:t>注：以上所需的各种证书、证件、证明、执照若系复印件，须在复印件上盖上有效公章，如发现上述证明材料弄虚作假，则该证明材料无效，一旦中标则取消中标资格，同时移交相关监督部门处罚。</w:t>
      </w:r>
    </w:p>
    <w:p>
      <w:pPr>
        <w:pStyle w:val="4"/>
        <w:rPr>
          <w:rFonts w:ascii="宋体"/>
          <w:color w:val="auto"/>
          <w:sz w:val="24"/>
          <w:szCs w:val="24"/>
        </w:rPr>
      </w:pPr>
      <w:r>
        <w:rPr>
          <w:rFonts w:hint="eastAsia" w:ascii="宋体" w:hAnsi="宋体" w:cs="宋体"/>
          <w:color w:val="auto"/>
          <w:sz w:val="24"/>
          <w:szCs w:val="24"/>
        </w:rPr>
        <w:t>（三）资信分（</w:t>
      </w:r>
      <w:r>
        <w:rPr>
          <w:rFonts w:hint="eastAsia" w:ascii="宋体" w:hAnsi="宋体" w:cs="宋体"/>
          <w:color w:val="auto"/>
          <w:sz w:val="24"/>
          <w:szCs w:val="24"/>
          <w:lang w:val="en-US" w:eastAsia="zh-CN"/>
        </w:rPr>
        <w:t>25</w:t>
      </w:r>
      <w:r>
        <w:rPr>
          <w:rFonts w:hint="eastAsia" w:ascii="宋体" w:hAnsi="宋体" w:cs="宋体"/>
          <w:color w:val="auto"/>
          <w:sz w:val="24"/>
          <w:szCs w:val="24"/>
        </w:rPr>
        <w:t>分）：</w:t>
      </w:r>
    </w:p>
    <w:tbl>
      <w:tblPr>
        <w:tblStyle w:val="33"/>
        <w:tblW w:w="10275" w:type="dxa"/>
        <w:tblInd w:w="-4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1"/>
        <w:gridCol w:w="1548"/>
        <w:gridCol w:w="702"/>
        <w:gridCol w:w="6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071"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rPr>
                <w:b/>
                <w:color w:val="auto"/>
                <w:kern w:val="0"/>
              </w:rPr>
            </w:pPr>
            <w:r>
              <w:rPr>
                <w:rFonts w:hint="eastAsia"/>
                <w:b/>
                <w:color w:val="auto"/>
                <w:kern w:val="0"/>
              </w:rPr>
              <w:t>类别</w:t>
            </w:r>
          </w:p>
        </w:tc>
        <w:tc>
          <w:tcPr>
            <w:tcW w:w="1548"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rPr>
                <w:b/>
                <w:color w:val="auto"/>
                <w:kern w:val="0"/>
              </w:rPr>
            </w:pPr>
            <w:r>
              <w:rPr>
                <w:rFonts w:hint="eastAsia"/>
                <w:b/>
                <w:color w:val="auto"/>
                <w:kern w:val="0"/>
              </w:rPr>
              <w:t>评标项目</w:t>
            </w:r>
          </w:p>
        </w:tc>
        <w:tc>
          <w:tcPr>
            <w:tcW w:w="702"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rPr>
                <w:b/>
                <w:color w:val="auto"/>
                <w:kern w:val="0"/>
              </w:rPr>
            </w:pPr>
            <w:r>
              <w:rPr>
                <w:rFonts w:hint="eastAsia"/>
                <w:b/>
                <w:color w:val="auto"/>
                <w:kern w:val="0"/>
              </w:rPr>
              <w:t>分值</w:t>
            </w:r>
          </w:p>
        </w:tc>
        <w:tc>
          <w:tcPr>
            <w:tcW w:w="6954" w:type="dxa"/>
            <w:tcBorders>
              <w:top w:val="single" w:color="auto" w:sz="4" w:space="0"/>
              <w:left w:val="single" w:color="auto" w:sz="4" w:space="0"/>
              <w:bottom w:val="single" w:color="auto" w:sz="4" w:space="0"/>
              <w:right w:val="single" w:color="auto" w:sz="4" w:space="0"/>
            </w:tcBorders>
            <w:vAlign w:val="center"/>
          </w:tcPr>
          <w:p>
            <w:pPr>
              <w:widowControl/>
              <w:ind w:firstLine="482"/>
              <w:jc w:val="center"/>
              <w:rPr>
                <w:b/>
                <w:color w:val="auto"/>
                <w:kern w:val="0"/>
              </w:rPr>
            </w:pPr>
            <w:r>
              <w:rPr>
                <w:rFonts w:hint="eastAsia"/>
                <w:b/>
                <w:color w:val="auto"/>
                <w:kern w:val="0"/>
              </w:rPr>
              <w:t>评分基本规则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1071" w:type="dxa"/>
            <w:vMerge w:val="restart"/>
            <w:tcBorders>
              <w:left w:val="single" w:color="auto" w:sz="4" w:space="0"/>
              <w:right w:val="single" w:color="auto" w:sz="4" w:space="0"/>
            </w:tcBorders>
            <w:vAlign w:val="center"/>
          </w:tcPr>
          <w:p>
            <w:pPr>
              <w:widowControl/>
              <w:jc w:val="center"/>
              <w:rPr>
                <w:bCs/>
                <w:color w:val="auto"/>
                <w:kern w:val="0"/>
                <w:sz w:val="21"/>
                <w:szCs w:val="21"/>
              </w:rPr>
            </w:pPr>
          </w:p>
        </w:tc>
        <w:tc>
          <w:tcPr>
            <w:tcW w:w="1548" w:type="dxa"/>
            <w:tcBorders>
              <w:top w:val="single" w:color="auto" w:sz="4" w:space="0"/>
              <w:left w:val="single" w:color="auto" w:sz="4" w:space="0"/>
              <w:right w:val="single" w:color="auto" w:sz="4" w:space="0"/>
            </w:tcBorders>
            <w:vAlign w:val="center"/>
          </w:tcPr>
          <w:p>
            <w:pPr>
              <w:widowControl/>
              <w:snapToGrid w:val="0"/>
              <w:spacing w:line="240" w:lineRule="auto"/>
              <w:ind w:firstLine="0" w:firstLineChars="0"/>
              <w:rPr>
                <w:bCs/>
                <w:color w:val="auto"/>
                <w:kern w:val="0"/>
                <w:sz w:val="21"/>
                <w:szCs w:val="21"/>
              </w:rPr>
            </w:pPr>
            <w:r>
              <w:rPr>
                <w:rFonts w:hint="eastAsia"/>
                <w:bCs/>
                <w:color w:val="auto"/>
                <w:kern w:val="0"/>
                <w:sz w:val="21"/>
                <w:szCs w:val="21"/>
              </w:rPr>
              <w:t>项目组人员配置</w:t>
            </w:r>
          </w:p>
        </w:tc>
        <w:tc>
          <w:tcPr>
            <w:tcW w:w="702" w:type="dxa"/>
            <w:tcBorders>
              <w:top w:val="single" w:color="auto" w:sz="4" w:space="0"/>
              <w:left w:val="single" w:color="auto" w:sz="4" w:space="0"/>
              <w:right w:val="single" w:color="auto" w:sz="4" w:space="0"/>
            </w:tcBorders>
            <w:vAlign w:val="center"/>
          </w:tcPr>
          <w:p>
            <w:pPr>
              <w:widowControl/>
              <w:snapToGrid w:val="0"/>
              <w:spacing w:line="240" w:lineRule="auto"/>
              <w:ind w:firstLine="0" w:firstLineChars="0"/>
              <w:rPr>
                <w:bCs/>
                <w:color w:val="auto"/>
                <w:kern w:val="0"/>
                <w:sz w:val="21"/>
                <w:szCs w:val="21"/>
              </w:rPr>
            </w:pPr>
            <w:r>
              <w:rPr>
                <w:rFonts w:hint="eastAsia"/>
                <w:bCs/>
                <w:color w:val="auto"/>
                <w:kern w:val="0"/>
                <w:sz w:val="21"/>
                <w:szCs w:val="21"/>
                <w:lang w:val="en-US" w:eastAsia="zh-CN"/>
              </w:rPr>
              <w:t>3</w:t>
            </w:r>
            <w:r>
              <w:rPr>
                <w:rFonts w:hint="eastAsia"/>
                <w:bCs/>
                <w:color w:val="auto"/>
                <w:kern w:val="0"/>
                <w:sz w:val="21"/>
                <w:szCs w:val="21"/>
              </w:rPr>
              <w:t>分</w:t>
            </w:r>
          </w:p>
        </w:tc>
        <w:tc>
          <w:tcPr>
            <w:tcW w:w="6954"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bCs/>
                <w:color w:val="auto"/>
                <w:kern w:val="0"/>
                <w:sz w:val="21"/>
                <w:szCs w:val="21"/>
              </w:rPr>
            </w:pPr>
            <w:r>
              <w:rPr>
                <w:rFonts w:hint="eastAsia"/>
                <w:bCs/>
                <w:color w:val="auto"/>
                <w:kern w:val="0"/>
                <w:sz w:val="21"/>
                <w:szCs w:val="21"/>
              </w:rPr>
              <w:t>根据项目组人员的能力、资历、业绩，人员的数量等进行评分：</w:t>
            </w:r>
          </w:p>
          <w:p>
            <w:pPr>
              <w:widowControl/>
              <w:spacing w:line="240" w:lineRule="auto"/>
              <w:ind w:firstLine="0" w:firstLineChars="0"/>
              <w:rPr>
                <w:bCs/>
                <w:color w:val="auto"/>
                <w:kern w:val="0"/>
                <w:sz w:val="21"/>
                <w:szCs w:val="21"/>
              </w:rPr>
            </w:pPr>
            <w:r>
              <w:rPr>
                <w:rFonts w:hint="eastAsia"/>
                <w:bCs/>
                <w:color w:val="auto"/>
                <w:kern w:val="0"/>
                <w:sz w:val="21"/>
                <w:szCs w:val="21"/>
              </w:rPr>
              <w:t>1）建筑专业</w:t>
            </w:r>
            <w:r>
              <w:rPr>
                <w:rFonts w:hint="eastAsia"/>
                <w:bCs/>
                <w:color w:val="auto"/>
                <w:kern w:val="0"/>
                <w:sz w:val="21"/>
                <w:szCs w:val="21"/>
                <w:lang w:val="en-US" w:eastAsia="zh-CN"/>
              </w:rPr>
              <w:t>和</w:t>
            </w:r>
            <w:r>
              <w:rPr>
                <w:rFonts w:hint="eastAsia"/>
                <w:bCs/>
                <w:color w:val="auto"/>
                <w:kern w:val="0"/>
                <w:sz w:val="21"/>
                <w:szCs w:val="21"/>
              </w:rPr>
              <w:t>机电专业二级建造师</w:t>
            </w:r>
            <w:r>
              <w:rPr>
                <w:rFonts w:hint="eastAsia"/>
                <w:bCs/>
                <w:color w:val="auto"/>
                <w:kern w:val="0"/>
                <w:sz w:val="21"/>
                <w:szCs w:val="21"/>
                <w:lang w:val="en-US" w:eastAsia="zh-CN"/>
              </w:rPr>
              <w:t>两类人员都是项目组成员</w:t>
            </w:r>
            <w:r>
              <w:rPr>
                <w:rFonts w:hint="eastAsia"/>
                <w:bCs/>
                <w:color w:val="auto"/>
                <w:kern w:val="0"/>
                <w:sz w:val="21"/>
                <w:szCs w:val="21"/>
                <w:lang w:eastAsia="zh-CN"/>
              </w:rPr>
              <w:t>，</w:t>
            </w:r>
            <w:r>
              <w:rPr>
                <w:rFonts w:hint="eastAsia"/>
                <w:bCs/>
                <w:color w:val="auto"/>
                <w:kern w:val="0"/>
                <w:sz w:val="21"/>
                <w:szCs w:val="21"/>
              </w:rPr>
              <w:t>得</w:t>
            </w:r>
            <w:r>
              <w:rPr>
                <w:rFonts w:hint="eastAsia"/>
                <w:bCs/>
                <w:color w:val="auto"/>
                <w:kern w:val="0"/>
                <w:sz w:val="21"/>
                <w:szCs w:val="21"/>
                <w:lang w:val="en-US" w:eastAsia="zh-CN"/>
              </w:rPr>
              <w:t>3</w:t>
            </w:r>
            <w:r>
              <w:rPr>
                <w:rFonts w:hint="eastAsia"/>
                <w:bCs/>
                <w:color w:val="auto"/>
                <w:kern w:val="0"/>
                <w:sz w:val="21"/>
                <w:szCs w:val="21"/>
              </w:rPr>
              <w:t>分；</w:t>
            </w:r>
          </w:p>
          <w:p>
            <w:pPr>
              <w:widowControl/>
              <w:spacing w:line="240" w:lineRule="auto"/>
              <w:ind w:firstLine="0" w:firstLineChars="0"/>
              <w:rPr>
                <w:bCs/>
                <w:color w:val="auto"/>
                <w:kern w:val="0"/>
                <w:sz w:val="21"/>
                <w:szCs w:val="21"/>
              </w:rPr>
            </w:pPr>
            <w:r>
              <w:rPr>
                <w:rFonts w:hint="eastAsia"/>
                <w:bCs/>
                <w:color w:val="auto"/>
                <w:kern w:val="0"/>
                <w:sz w:val="21"/>
                <w:szCs w:val="21"/>
              </w:rPr>
              <w:t>2）建筑专业</w:t>
            </w:r>
            <w:r>
              <w:rPr>
                <w:rFonts w:hint="eastAsia"/>
                <w:bCs/>
                <w:color w:val="auto"/>
                <w:kern w:val="0"/>
                <w:sz w:val="21"/>
                <w:szCs w:val="21"/>
                <w:lang w:val="en-US" w:eastAsia="zh-CN"/>
              </w:rPr>
              <w:t>或机电专业</w:t>
            </w:r>
            <w:r>
              <w:rPr>
                <w:rFonts w:hint="eastAsia"/>
                <w:bCs/>
                <w:color w:val="auto"/>
                <w:kern w:val="0"/>
                <w:sz w:val="21"/>
                <w:szCs w:val="21"/>
              </w:rPr>
              <w:t>二级建造师</w:t>
            </w:r>
            <w:r>
              <w:rPr>
                <w:rFonts w:hint="eastAsia"/>
                <w:bCs/>
                <w:color w:val="auto"/>
                <w:kern w:val="0"/>
                <w:sz w:val="21"/>
                <w:szCs w:val="21"/>
                <w:lang w:val="en-US" w:eastAsia="zh-CN"/>
              </w:rPr>
              <w:t>只有一类人员是项目组成员，</w:t>
            </w:r>
            <w:r>
              <w:rPr>
                <w:rFonts w:hint="eastAsia"/>
                <w:bCs/>
                <w:color w:val="auto"/>
                <w:kern w:val="0"/>
                <w:sz w:val="21"/>
                <w:szCs w:val="21"/>
              </w:rPr>
              <w:t>得</w:t>
            </w:r>
            <w:r>
              <w:rPr>
                <w:rFonts w:hint="eastAsia"/>
                <w:bCs/>
                <w:color w:val="auto"/>
                <w:kern w:val="0"/>
                <w:sz w:val="21"/>
                <w:szCs w:val="21"/>
                <w:lang w:val="en-US" w:eastAsia="zh-CN"/>
              </w:rPr>
              <w:t>1</w:t>
            </w:r>
            <w:r>
              <w:rPr>
                <w:rFonts w:hint="eastAsia"/>
                <w:bCs/>
                <w:color w:val="auto"/>
                <w:kern w:val="0"/>
                <w:sz w:val="21"/>
                <w:szCs w:val="21"/>
              </w:rPr>
              <w:t>分；</w:t>
            </w:r>
          </w:p>
          <w:p>
            <w:pPr>
              <w:widowControl/>
              <w:spacing w:line="240" w:lineRule="auto"/>
              <w:ind w:firstLine="0" w:firstLineChars="0"/>
              <w:rPr>
                <w:rFonts w:hint="default" w:eastAsia="宋体"/>
                <w:bCs/>
                <w:color w:val="auto"/>
                <w:kern w:val="0"/>
                <w:sz w:val="21"/>
                <w:szCs w:val="21"/>
                <w:lang w:val="en-US" w:eastAsia="zh-CN"/>
              </w:rPr>
            </w:pPr>
            <w:r>
              <w:rPr>
                <w:rFonts w:hint="eastAsia"/>
                <w:bCs/>
                <w:color w:val="auto"/>
                <w:kern w:val="0"/>
                <w:sz w:val="21"/>
                <w:szCs w:val="21"/>
              </w:rPr>
              <w:t>3）</w:t>
            </w:r>
            <w:r>
              <w:rPr>
                <w:rFonts w:hint="eastAsia"/>
                <w:bCs/>
                <w:color w:val="auto"/>
                <w:kern w:val="0"/>
                <w:sz w:val="21"/>
                <w:szCs w:val="21"/>
                <w:lang w:val="en-US" w:eastAsia="zh-CN"/>
              </w:rPr>
              <w:t>其它不得分。</w:t>
            </w:r>
          </w:p>
          <w:p>
            <w:pPr>
              <w:widowControl/>
              <w:spacing w:line="240" w:lineRule="auto"/>
              <w:ind w:firstLine="0" w:firstLineChars="0"/>
              <w:rPr>
                <w:b/>
                <w:color w:val="auto"/>
                <w:kern w:val="0"/>
                <w:sz w:val="21"/>
                <w:szCs w:val="21"/>
              </w:rPr>
            </w:pPr>
            <w:r>
              <w:rPr>
                <w:rFonts w:hint="eastAsia"/>
                <w:bCs/>
                <w:color w:val="auto"/>
                <w:kern w:val="0"/>
                <w:sz w:val="21"/>
                <w:szCs w:val="21"/>
              </w:rPr>
              <w:t>注：需提供</w:t>
            </w:r>
            <w:r>
              <w:rPr>
                <w:rFonts w:hint="eastAsia"/>
                <w:bCs/>
                <w:color w:val="auto"/>
                <w:kern w:val="0"/>
                <w:sz w:val="21"/>
                <w:szCs w:val="21"/>
                <w:lang w:val="en-US" w:eastAsia="zh-CN"/>
              </w:rPr>
              <w:t>人员与投标人名称一致的</w:t>
            </w:r>
            <w:r>
              <w:rPr>
                <w:rFonts w:hint="eastAsia"/>
                <w:bCs/>
                <w:color w:val="auto"/>
                <w:kern w:val="0"/>
                <w:sz w:val="21"/>
                <w:szCs w:val="21"/>
              </w:rPr>
              <w:t>最近</w:t>
            </w:r>
            <w:r>
              <w:rPr>
                <w:rFonts w:hint="eastAsia"/>
                <w:bCs/>
                <w:color w:val="auto"/>
                <w:kern w:val="0"/>
                <w:sz w:val="21"/>
                <w:szCs w:val="21"/>
                <w:lang w:val="en-US" w:eastAsia="zh-CN"/>
              </w:rPr>
              <w:t>3个</w:t>
            </w:r>
            <w:r>
              <w:rPr>
                <w:rFonts w:hint="eastAsia"/>
                <w:bCs/>
                <w:color w:val="auto"/>
                <w:kern w:val="0"/>
                <w:sz w:val="21"/>
                <w:szCs w:val="21"/>
              </w:rPr>
              <w:t>月的在职社保证明。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1" w:type="dxa"/>
            <w:vMerge w:val="continue"/>
            <w:tcBorders>
              <w:left w:val="single" w:color="auto" w:sz="4" w:space="0"/>
              <w:right w:val="single" w:color="auto" w:sz="4" w:space="0"/>
            </w:tcBorders>
            <w:vAlign w:val="center"/>
          </w:tcPr>
          <w:p>
            <w:pPr>
              <w:widowControl/>
              <w:jc w:val="center"/>
              <w:rPr>
                <w:bCs/>
                <w:color w:val="auto"/>
                <w:kern w:val="0"/>
                <w:sz w:val="21"/>
                <w:szCs w:val="21"/>
              </w:rPr>
            </w:pPr>
          </w:p>
        </w:tc>
        <w:tc>
          <w:tcPr>
            <w:tcW w:w="154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bCs/>
                <w:color w:val="auto"/>
                <w:kern w:val="0"/>
                <w:sz w:val="21"/>
                <w:szCs w:val="21"/>
              </w:rPr>
            </w:pPr>
            <w:r>
              <w:rPr>
                <w:rFonts w:hint="eastAsia"/>
                <w:bCs/>
                <w:color w:val="auto"/>
                <w:kern w:val="0"/>
                <w:sz w:val="21"/>
                <w:szCs w:val="21"/>
              </w:rPr>
              <w:t>电梯制造商的制造能力</w:t>
            </w:r>
          </w:p>
        </w:tc>
        <w:tc>
          <w:tcPr>
            <w:tcW w:w="70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bCs/>
                <w:color w:val="auto"/>
                <w:kern w:val="0"/>
                <w:sz w:val="21"/>
                <w:szCs w:val="21"/>
              </w:rPr>
            </w:pPr>
            <w:r>
              <w:rPr>
                <w:rFonts w:hint="eastAsia"/>
                <w:bCs/>
                <w:color w:val="auto"/>
                <w:kern w:val="0"/>
                <w:sz w:val="21"/>
                <w:szCs w:val="21"/>
              </w:rPr>
              <w:t>3分</w:t>
            </w:r>
          </w:p>
        </w:tc>
        <w:tc>
          <w:tcPr>
            <w:tcW w:w="6954"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rFonts w:hint="eastAsia"/>
                <w:bCs/>
                <w:color w:val="auto"/>
                <w:kern w:val="0"/>
                <w:sz w:val="21"/>
                <w:szCs w:val="21"/>
              </w:rPr>
            </w:pPr>
            <w:r>
              <w:rPr>
                <w:rFonts w:hint="eastAsia"/>
                <w:bCs/>
                <w:color w:val="auto"/>
                <w:kern w:val="0"/>
                <w:sz w:val="21"/>
                <w:szCs w:val="21"/>
              </w:rPr>
              <w:t>1、曳引式客梯最高速度V＞7m/s的得3分；</w:t>
            </w:r>
          </w:p>
          <w:p>
            <w:pPr>
              <w:widowControl/>
              <w:spacing w:line="240" w:lineRule="auto"/>
              <w:ind w:firstLine="0" w:firstLineChars="0"/>
              <w:rPr>
                <w:rFonts w:hint="eastAsia"/>
                <w:bCs/>
                <w:color w:val="auto"/>
                <w:kern w:val="0"/>
                <w:sz w:val="21"/>
                <w:szCs w:val="21"/>
              </w:rPr>
            </w:pPr>
            <w:r>
              <w:rPr>
                <w:rFonts w:hint="eastAsia"/>
                <w:bCs/>
                <w:color w:val="auto"/>
                <w:kern w:val="0"/>
                <w:sz w:val="21"/>
                <w:szCs w:val="21"/>
              </w:rPr>
              <w:t>2、7m/s≥曳引式客梯最高速度&gt;5m/s的得2分；</w:t>
            </w:r>
          </w:p>
          <w:p>
            <w:pPr>
              <w:widowControl/>
              <w:spacing w:line="240" w:lineRule="auto"/>
              <w:ind w:firstLine="0" w:firstLineChars="0"/>
              <w:rPr>
                <w:rFonts w:hint="eastAsia"/>
                <w:bCs/>
                <w:color w:val="auto"/>
                <w:kern w:val="0"/>
                <w:sz w:val="21"/>
                <w:szCs w:val="21"/>
              </w:rPr>
            </w:pPr>
            <w:r>
              <w:rPr>
                <w:rFonts w:hint="eastAsia"/>
                <w:bCs/>
                <w:color w:val="auto"/>
                <w:kern w:val="0"/>
                <w:sz w:val="21"/>
                <w:szCs w:val="21"/>
              </w:rPr>
              <w:t>3、5m/s≥曳引式客梯最高速度&gt;3m/s的得1分；</w:t>
            </w:r>
          </w:p>
          <w:p>
            <w:pPr>
              <w:widowControl/>
              <w:spacing w:line="240" w:lineRule="auto"/>
              <w:ind w:firstLine="0" w:firstLineChars="0"/>
              <w:rPr>
                <w:rFonts w:hint="eastAsia"/>
                <w:bCs/>
                <w:color w:val="auto"/>
                <w:kern w:val="0"/>
                <w:sz w:val="21"/>
                <w:szCs w:val="21"/>
              </w:rPr>
            </w:pPr>
            <w:r>
              <w:rPr>
                <w:rFonts w:hint="eastAsia"/>
                <w:bCs/>
                <w:color w:val="auto"/>
                <w:kern w:val="0"/>
                <w:sz w:val="21"/>
                <w:szCs w:val="21"/>
              </w:rPr>
              <w:t>4、3m/s≥曳引式客梯最高速度的不得分。</w:t>
            </w:r>
          </w:p>
          <w:p>
            <w:pPr>
              <w:widowControl/>
              <w:spacing w:line="240" w:lineRule="auto"/>
              <w:ind w:firstLine="0" w:firstLineChars="0"/>
              <w:rPr>
                <w:bCs/>
                <w:color w:val="auto"/>
                <w:kern w:val="0"/>
                <w:sz w:val="21"/>
                <w:szCs w:val="21"/>
              </w:rPr>
            </w:pPr>
            <w:r>
              <w:rPr>
                <w:rFonts w:hint="eastAsia"/>
                <w:bCs/>
                <w:color w:val="auto"/>
                <w:kern w:val="0"/>
                <w:sz w:val="21"/>
                <w:szCs w:val="21"/>
              </w:rPr>
              <w:t>注：需提供资质盖章扫描件或影印件。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071" w:type="dxa"/>
            <w:vMerge w:val="continue"/>
            <w:tcBorders>
              <w:left w:val="single" w:color="auto" w:sz="4" w:space="0"/>
              <w:right w:val="single" w:color="auto" w:sz="4" w:space="0"/>
            </w:tcBorders>
            <w:vAlign w:val="center"/>
          </w:tcPr>
          <w:p>
            <w:pPr>
              <w:widowControl/>
              <w:jc w:val="center"/>
              <w:rPr>
                <w:bCs/>
                <w:color w:val="auto"/>
                <w:kern w:val="0"/>
                <w:sz w:val="21"/>
                <w:szCs w:val="21"/>
              </w:rPr>
            </w:pPr>
          </w:p>
        </w:tc>
        <w:tc>
          <w:tcPr>
            <w:tcW w:w="154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bCs/>
                <w:color w:val="auto"/>
                <w:kern w:val="0"/>
                <w:sz w:val="21"/>
                <w:szCs w:val="21"/>
              </w:rPr>
            </w:pPr>
            <w:r>
              <w:rPr>
                <w:rFonts w:hint="eastAsia"/>
                <w:bCs/>
                <w:color w:val="auto"/>
                <w:kern w:val="0"/>
                <w:sz w:val="21"/>
                <w:szCs w:val="21"/>
              </w:rPr>
              <w:t>电梯制造商服务能力</w:t>
            </w:r>
          </w:p>
        </w:tc>
        <w:tc>
          <w:tcPr>
            <w:tcW w:w="70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bCs/>
                <w:color w:val="auto"/>
                <w:kern w:val="0"/>
                <w:sz w:val="21"/>
                <w:szCs w:val="21"/>
              </w:rPr>
            </w:pPr>
            <w:r>
              <w:rPr>
                <w:rFonts w:hint="eastAsia"/>
                <w:color w:val="auto"/>
                <w:sz w:val="21"/>
                <w:szCs w:val="21"/>
              </w:rPr>
              <w:t>3分</w:t>
            </w:r>
          </w:p>
        </w:tc>
        <w:tc>
          <w:tcPr>
            <w:tcW w:w="695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color w:val="auto"/>
                <w:sz w:val="21"/>
                <w:szCs w:val="21"/>
              </w:rPr>
            </w:pPr>
            <w:r>
              <w:rPr>
                <w:rFonts w:hint="eastAsia"/>
                <w:color w:val="auto"/>
                <w:sz w:val="21"/>
                <w:szCs w:val="21"/>
              </w:rPr>
              <w:t>根据提供维保服务的电梯制造商服务能力进行评分：</w:t>
            </w:r>
          </w:p>
          <w:p>
            <w:pPr>
              <w:numPr>
                <w:ilvl w:val="0"/>
                <w:numId w:val="14"/>
              </w:numPr>
              <w:spacing w:line="240" w:lineRule="auto"/>
              <w:ind w:firstLine="0" w:firstLineChars="0"/>
              <w:rPr>
                <w:color w:val="auto"/>
                <w:sz w:val="21"/>
                <w:szCs w:val="21"/>
              </w:rPr>
            </w:pPr>
            <w:r>
              <w:rPr>
                <w:rFonts w:hint="eastAsia"/>
                <w:color w:val="auto"/>
                <w:sz w:val="21"/>
                <w:szCs w:val="21"/>
              </w:rPr>
              <w:t>制造厂商在2016年、2017年、2018年连续三年在维保单位评定中被评为五星级维保单位得3分；</w:t>
            </w:r>
          </w:p>
          <w:p>
            <w:pPr>
              <w:numPr>
                <w:ilvl w:val="0"/>
                <w:numId w:val="14"/>
              </w:numPr>
              <w:spacing w:line="240" w:lineRule="auto"/>
              <w:ind w:firstLine="0" w:firstLineChars="0"/>
              <w:rPr>
                <w:color w:val="auto"/>
                <w:sz w:val="21"/>
                <w:szCs w:val="21"/>
              </w:rPr>
            </w:pPr>
            <w:r>
              <w:rPr>
                <w:rFonts w:hint="eastAsia"/>
                <w:color w:val="auto"/>
                <w:sz w:val="21"/>
                <w:szCs w:val="21"/>
              </w:rPr>
              <w:t>制造厂商在2016年、2017年、2018年三年中2次在维保单位评定中被评为五星级维保单位得2分；</w:t>
            </w:r>
          </w:p>
          <w:p>
            <w:pPr>
              <w:numPr>
                <w:ilvl w:val="0"/>
                <w:numId w:val="14"/>
              </w:numPr>
              <w:spacing w:line="240" w:lineRule="auto"/>
              <w:ind w:firstLine="0" w:firstLineChars="0"/>
              <w:rPr>
                <w:color w:val="auto"/>
                <w:sz w:val="21"/>
                <w:szCs w:val="21"/>
              </w:rPr>
            </w:pPr>
            <w:r>
              <w:rPr>
                <w:rFonts w:hint="eastAsia"/>
                <w:color w:val="auto"/>
                <w:sz w:val="21"/>
                <w:szCs w:val="21"/>
              </w:rPr>
              <w:t>制造厂商在2016年、2017年、2018年三年中1次在维保单位评定中被评为五星级维保单位得1分；</w:t>
            </w:r>
          </w:p>
          <w:p>
            <w:pPr>
              <w:spacing w:line="240" w:lineRule="auto"/>
              <w:ind w:firstLine="0" w:firstLineChars="0"/>
              <w:rPr>
                <w:bCs/>
                <w:color w:val="auto"/>
                <w:kern w:val="0"/>
                <w:sz w:val="21"/>
                <w:szCs w:val="21"/>
                <w:highlight w:val="yellow"/>
              </w:rPr>
            </w:pPr>
            <w:r>
              <w:rPr>
                <w:rFonts w:hint="eastAsia"/>
                <w:color w:val="auto"/>
                <w:sz w:val="21"/>
                <w:szCs w:val="21"/>
              </w:rPr>
              <w:t>4）其余不得分。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3" w:hRule="atLeast"/>
        </w:trPr>
        <w:tc>
          <w:tcPr>
            <w:tcW w:w="1071" w:type="dxa"/>
            <w:vMerge w:val="continue"/>
            <w:tcBorders>
              <w:left w:val="single" w:color="auto" w:sz="4" w:space="0"/>
              <w:right w:val="single" w:color="auto" w:sz="4" w:space="0"/>
            </w:tcBorders>
            <w:vAlign w:val="center"/>
          </w:tcPr>
          <w:p>
            <w:pPr>
              <w:widowControl/>
              <w:jc w:val="center"/>
              <w:rPr>
                <w:bCs/>
                <w:color w:val="auto"/>
                <w:kern w:val="0"/>
                <w:sz w:val="21"/>
                <w:szCs w:val="21"/>
              </w:rPr>
            </w:pPr>
          </w:p>
        </w:tc>
        <w:tc>
          <w:tcPr>
            <w:tcW w:w="154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bCs/>
                <w:color w:val="auto"/>
                <w:kern w:val="0"/>
                <w:sz w:val="21"/>
                <w:szCs w:val="21"/>
              </w:rPr>
            </w:pPr>
            <w:r>
              <w:rPr>
                <w:rFonts w:hint="eastAsia"/>
                <w:bCs/>
                <w:color w:val="auto"/>
                <w:kern w:val="0"/>
                <w:sz w:val="21"/>
                <w:szCs w:val="21"/>
              </w:rPr>
              <w:t>投标产品制造商的信用等级证明</w:t>
            </w:r>
          </w:p>
        </w:tc>
        <w:tc>
          <w:tcPr>
            <w:tcW w:w="70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bCs/>
                <w:color w:val="auto"/>
                <w:kern w:val="0"/>
                <w:sz w:val="21"/>
                <w:szCs w:val="21"/>
              </w:rPr>
            </w:pPr>
            <w:r>
              <w:rPr>
                <w:rFonts w:hint="eastAsia"/>
                <w:bCs/>
                <w:color w:val="auto"/>
                <w:kern w:val="0"/>
                <w:sz w:val="21"/>
                <w:szCs w:val="21"/>
              </w:rPr>
              <w:t>3分</w:t>
            </w:r>
          </w:p>
        </w:tc>
        <w:tc>
          <w:tcPr>
            <w:tcW w:w="6954"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bCs/>
                <w:color w:val="auto"/>
                <w:kern w:val="0"/>
                <w:sz w:val="21"/>
                <w:szCs w:val="21"/>
              </w:rPr>
            </w:pPr>
            <w:r>
              <w:rPr>
                <w:rFonts w:hint="eastAsia"/>
                <w:bCs/>
                <w:color w:val="auto"/>
                <w:kern w:val="0"/>
                <w:sz w:val="21"/>
                <w:szCs w:val="21"/>
              </w:rPr>
              <w:t>1）投标产品制造商信用等级为AAA得3分；</w:t>
            </w:r>
          </w:p>
          <w:p>
            <w:pPr>
              <w:widowControl/>
              <w:spacing w:line="240" w:lineRule="auto"/>
              <w:ind w:firstLine="0" w:firstLineChars="0"/>
              <w:rPr>
                <w:bCs/>
                <w:color w:val="auto"/>
                <w:kern w:val="0"/>
                <w:sz w:val="21"/>
                <w:szCs w:val="21"/>
              </w:rPr>
            </w:pPr>
            <w:r>
              <w:rPr>
                <w:rFonts w:hint="eastAsia"/>
                <w:bCs/>
                <w:color w:val="auto"/>
                <w:kern w:val="0"/>
                <w:sz w:val="21"/>
                <w:szCs w:val="21"/>
              </w:rPr>
              <w:t>2）投标产品制造商信用等级为AA得2分；</w:t>
            </w:r>
          </w:p>
          <w:p>
            <w:pPr>
              <w:widowControl/>
              <w:spacing w:line="240" w:lineRule="auto"/>
              <w:ind w:firstLine="0" w:firstLineChars="0"/>
              <w:rPr>
                <w:bCs/>
                <w:color w:val="auto"/>
                <w:kern w:val="0"/>
                <w:sz w:val="21"/>
                <w:szCs w:val="21"/>
              </w:rPr>
            </w:pPr>
            <w:r>
              <w:rPr>
                <w:rFonts w:hint="eastAsia"/>
                <w:bCs/>
                <w:color w:val="auto"/>
                <w:kern w:val="0"/>
                <w:sz w:val="21"/>
                <w:szCs w:val="21"/>
              </w:rPr>
              <w:t>3）投标产品制造商信用等级为A得1分；</w:t>
            </w:r>
          </w:p>
          <w:p>
            <w:pPr>
              <w:widowControl/>
              <w:spacing w:line="240" w:lineRule="auto"/>
              <w:ind w:firstLine="0" w:firstLineChars="0"/>
              <w:rPr>
                <w:bCs/>
                <w:color w:val="auto"/>
                <w:kern w:val="0"/>
                <w:sz w:val="21"/>
                <w:szCs w:val="21"/>
              </w:rPr>
            </w:pPr>
            <w:r>
              <w:rPr>
                <w:rFonts w:hint="eastAsia"/>
                <w:bCs/>
                <w:color w:val="auto"/>
                <w:kern w:val="0"/>
                <w:sz w:val="21"/>
                <w:szCs w:val="21"/>
              </w:rPr>
              <w:t>4）其它不得分。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71" w:type="dxa"/>
            <w:vMerge w:val="continue"/>
            <w:tcBorders>
              <w:left w:val="single" w:color="auto" w:sz="4" w:space="0"/>
              <w:right w:val="single" w:color="auto" w:sz="4" w:space="0"/>
            </w:tcBorders>
            <w:vAlign w:val="center"/>
          </w:tcPr>
          <w:p>
            <w:pPr>
              <w:widowControl/>
              <w:jc w:val="center"/>
              <w:rPr>
                <w:bCs/>
                <w:color w:val="auto"/>
                <w:kern w:val="0"/>
                <w:sz w:val="21"/>
                <w:szCs w:val="21"/>
              </w:rPr>
            </w:pPr>
          </w:p>
        </w:tc>
        <w:tc>
          <w:tcPr>
            <w:tcW w:w="154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rFonts w:hint="eastAsia" w:ascii="宋体" w:hAnsi="宋体" w:eastAsia="宋体" w:cs="宋体"/>
                <w:bCs/>
                <w:color w:val="auto"/>
                <w:kern w:val="0"/>
                <w:sz w:val="21"/>
                <w:szCs w:val="21"/>
                <w:lang w:val="en-US" w:eastAsia="zh-CN" w:bidi="ar-SA"/>
              </w:rPr>
            </w:pPr>
            <w:r>
              <w:rPr>
                <w:rFonts w:hint="eastAsia"/>
                <w:bCs/>
                <w:color w:val="auto"/>
                <w:kern w:val="0"/>
                <w:sz w:val="21"/>
                <w:szCs w:val="21"/>
              </w:rPr>
              <w:t>投标人诚信情况</w:t>
            </w:r>
          </w:p>
        </w:tc>
        <w:tc>
          <w:tcPr>
            <w:tcW w:w="70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rFonts w:hint="eastAsia" w:ascii="宋体" w:hAnsi="宋体" w:eastAsia="宋体" w:cs="宋体"/>
                <w:bCs/>
                <w:color w:val="auto"/>
                <w:kern w:val="0"/>
                <w:sz w:val="21"/>
                <w:szCs w:val="21"/>
                <w:lang w:val="en-US" w:eastAsia="zh-CN" w:bidi="ar-SA"/>
              </w:rPr>
            </w:pPr>
            <w:r>
              <w:rPr>
                <w:rFonts w:hint="eastAsia"/>
                <w:bCs/>
                <w:color w:val="auto"/>
                <w:kern w:val="0"/>
                <w:sz w:val="21"/>
                <w:szCs w:val="21"/>
              </w:rPr>
              <w:t>3分</w:t>
            </w:r>
          </w:p>
        </w:tc>
        <w:tc>
          <w:tcPr>
            <w:tcW w:w="6954"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bCs/>
                <w:color w:val="auto"/>
                <w:kern w:val="0"/>
                <w:sz w:val="21"/>
                <w:szCs w:val="21"/>
              </w:rPr>
            </w:pPr>
            <w:r>
              <w:rPr>
                <w:rFonts w:hint="eastAsia"/>
                <w:bCs/>
                <w:color w:val="auto"/>
                <w:kern w:val="0"/>
                <w:sz w:val="21"/>
                <w:szCs w:val="21"/>
              </w:rPr>
              <w:t>根据国家信用网投标人企业信用情况进行评分;无任何违法违规企业得3分，其它不得分。</w:t>
            </w:r>
          </w:p>
          <w:p>
            <w:pPr>
              <w:widowControl/>
              <w:spacing w:line="240" w:lineRule="auto"/>
              <w:ind w:firstLine="0" w:firstLineChars="0"/>
              <w:rPr>
                <w:rFonts w:hint="eastAsia" w:ascii="宋体" w:hAnsi="宋体" w:eastAsia="宋体" w:cs="宋体"/>
                <w:bCs/>
                <w:color w:val="auto"/>
                <w:kern w:val="0"/>
                <w:sz w:val="21"/>
                <w:szCs w:val="21"/>
                <w:lang w:val="en-US" w:eastAsia="zh-CN" w:bidi="ar-SA"/>
              </w:rPr>
            </w:pPr>
            <w:r>
              <w:rPr>
                <w:rFonts w:hint="eastAsia"/>
                <w:b/>
                <w:color w:val="auto"/>
                <w:kern w:val="0"/>
                <w:sz w:val="21"/>
                <w:szCs w:val="21"/>
              </w:rPr>
              <w:t>注：需提供国家企业信用公示系统http://www.gsxt.gov.cn/的企业信用下载文件。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1071" w:type="dxa"/>
            <w:vMerge w:val="continue"/>
            <w:tcBorders>
              <w:left w:val="single" w:color="auto" w:sz="4" w:space="0"/>
              <w:right w:val="single" w:color="auto" w:sz="4" w:space="0"/>
            </w:tcBorders>
            <w:vAlign w:val="center"/>
          </w:tcPr>
          <w:p>
            <w:pPr>
              <w:widowControl/>
              <w:jc w:val="center"/>
              <w:rPr>
                <w:bCs/>
                <w:color w:val="auto"/>
                <w:kern w:val="0"/>
                <w:sz w:val="21"/>
                <w:szCs w:val="21"/>
              </w:rPr>
            </w:pPr>
          </w:p>
        </w:tc>
        <w:tc>
          <w:tcPr>
            <w:tcW w:w="154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bCs/>
                <w:color w:val="auto"/>
                <w:kern w:val="0"/>
                <w:sz w:val="21"/>
                <w:szCs w:val="21"/>
              </w:rPr>
            </w:pPr>
            <w:r>
              <w:rPr>
                <w:rFonts w:hint="eastAsia"/>
                <w:bCs/>
                <w:color w:val="auto"/>
                <w:kern w:val="0"/>
                <w:sz w:val="21"/>
                <w:szCs w:val="21"/>
              </w:rPr>
              <w:t>投标产品制造商的管理体系认证（以证书为准）</w:t>
            </w:r>
          </w:p>
        </w:tc>
        <w:tc>
          <w:tcPr>
            <w:tcW w:w="70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bCs/>
                <w:color w:val="auto"/>
                <w:kern w:val="0"/>
                <w:sz w:val="21"/>
                <w:szCs w:val="21"/>
              </w:rPr>
            </w:pPr>
            <w:r>
              <w:rPr>
                <w:rFonts w:hint="eastAsia"/>
                <w:bCs/>
                <w:color w:val="auto"/>
                <w:kern w:val="0"/>
                <w:sz w:val="21"/>
                <w:szCs w:val="21"/>
              </w:rPr>
              <w:t>3分</w:t>
            </w:r>
          </w:p>
        </w:tc>
        <w:tc>
          <w:tcPr>
            <w:tcW w:w="6954"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bCs/>
                <w:color w:val="auto"/>
                <w:kern w:val="0"/>
                <w:sz w:val="21"/>
                <w:szCs w:val="21"/>
              </w:rPr>
            </w:pPr>
            <w:r>
              <w:rPr>
                <w:rFonts w:hint="eastAsia"/>
                <w:bCs/>
                <w:color w:val="auto"/>
                <w:kern w:val="0"/>
                <w:sz w:val="21"/>
                <w:szCs w:val="21"/>
              </w:rPr>
              <w:t>制造商具有质量管理体系认证证书的得1分、环境管理体系认证证书的得1分、职业健康与安全管理体系认证证书的得1分，其余不得分。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1071" w:type="dxa"/>
            <w:vMerge w:val="continue"/>
            <w:tcBorders>
              <w:left w:val="single" w:color="auto" w:sz="4" w:space="0"/>
              <w:right w:val="single" w:color="auto" w:sz="4" w:space="0"/>
            </w:tcBorders>
            <w:vAlign w:val="center"/>
          </w:tcPr>
          <w:p>
            <w:pPr>
              <w:widowControl/>
              <w:jc w:val="center"/>
              <w:rPr>
                <w:bCs/>
                <w:color w:val="auto"/>
                <w:kern w:val="0"/>
                <w:sz w:val="21"/>
                <w:szCs w:val="21"/>
              </w:rPr>
            </w:pPr>
          </w:p>
        </w:tc>
        <w:tc>
          <w:tcPr>
            <w:tcW w:w="154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bCs/>
                <w:color w:val="auto"/>
                <w:kern w:val="0"/>
                <w:sz w:val="21"/>
                <w:szCs w:val="21"/>
              </w:rPr>
            </w:pPr>
            <w:r>
              <w:rPr>
                <w:rFonts w:hint="eastAsia"/>
                <w:bCs/>
                <w:color w:val="auto"/>
                <w:kern w:val="0"/>
                <w:sz w:val="21"/>
                <w:szCs w:val="21"/>
              </w:rPr>
              <w:t>投标人业绩证明</w:t>
            </w:r>
          </w:p>
        </w:tc>
        <w:tc>
          <w:tcPr>
            <w:tcW w:w="70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bCs/>
                <w:color w:val="auto"/>
                <w:kern w:val="0"/>
                <w:sz w:val="21"/>
                <w:szCs w:val="21"/>
              </w:rPr>
            </w:pPr>
            <w:r>
              <w:rPr>
                <w:rFonts w:hint="eastAsia"/>
                <w:bCs/>
                <w:color w:val="auto"/>
                <w:kern w:val="0"/>
                <w:sz w:val="21"/>
                <w:szCs w:val="21"/>
              </w:rPr>
              <w:t>5分</w:t>
            </w:r>
          </w:p>
        </w:tc>
        <w:tc>
          <w:tcPr>
            <w:tcW w:w="6954"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bCs/>
                <w:color w:val="auto"/>
                <w:kern w:val="0"/>
                <w:sz w:val="21"/>
                <w:szCs w:val="21"/>
                <w:highlight w:val="yellow"/>
              </w:rPr>
            </w:pPr>
            <w:r>
              <w:rPr>
                <w:rFonts w:hint="eastAsia"/>
                <w:bCs/>
                <w:color w:val="auto"/>
                <w:kern w:val="0"/>
                <w:sz w:val="21"/>
                <w:szCs w:val="21"/>
              </w:rPr>
              <w:t>投标人2018年至今的≧3台整体装配式加装电梯项目业绩，每个得1分，每个业绩得1分，最高5分。</w:t>
            </w:r>
            <w:r>
              <w:rPr>
                <w:rFonts w:hint="eastAsia"/>
                <w:b/>
                <w:bCs/>
                <w:color w:val="auto"/>
                <w:sz w:val="21"/>
                <w:szCs w:val="21"/>
              </w:rPr>
              <w:t>注：提供业绩的合同和电梯验收合格证复印件。（原件备查）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1071" w:type="dxa"/>
            <w:vMerge w:val="continue"/>
            <w:tcBorders>
              <w:left w:val="single" w:color="auto" w:sz="4" w:space="0"/>
              <w:right w:val="single" w:color="auto" w:sz="4" w:space="0"/>
            </w:tcBorders>
            <w:vAlign w:val="center"/>
          </w:tcPr>
          <w:p>
            <w:pPr>
              <w:widowControl/>
              <w:jc w:val="center"/>
              <w:rPr>
                <w:bCs/>
                <w:color w:val="auto"/>
                <w:kern w:val="0"/>
                <w:sz w:val="21"/>
                <w:szCs w:val="21"/>
              </w:rPr>
            </w:pPr>
          </w:p>
        </w:tc>
        <w:tc>
          <w:tcPr>
            <w:tcW w:w="1548" w:type="dxa"/>
            <w:tcBorders>
              <w:top w:val="single" w:color="auto" w:sz="4" w:space="0"/>
              <w:left w:val="single" w:color="auto" w:sz="4" w:space="0"/>
              <w:right w:val="single" w:color="auto" w:sz="4" w:space="0"/>
            </w:tcBorders>
            <w:vAlign w:val="center"/>
          </w:tcPr>
          <w:p>
            <w:pPr>
              <w:widowControl/>
              <w:spacing w:line="240" w:lineRule="auto"/>
              <w:ind w:firstLine="0" w:firstLineChars="0"/>
              <w:rPr>
                <w:bCs/>
                <w:color w:val="auto"/>
                <w:kern w:val="0"/>
                <w:sz w:val="21"/>
                <w:szCs w:val="21"/>
              </w:rPr>
            </w:pPr>
            <w:r>
              <w:rPr>
                <w:rFonts w:hint="eastAsia"/>
                <w:bCs/>
                <w:color w:val="auto"/>
                <w:kern w:val="0"/>
                <w:sz w:val="21"/>
                <w:szCs w:val="21"/>
              </w:rPr>
              <w:t>投标文件制作质量</w:t>
            </w:r>
          </w:p>
        </w:tc>
        <w:tc>
          <w:tcPr>
            <w:tcW w:w="702" w:type="dxa"/>
            <w:tcBorders>
              <w:top w:val="single" w:color="auto" w:sz="4" w:space="0"/>
              <w:left w:val="single" w:color="auto" w:sz="4" w:space="0"/>
              <w:right w:val="single" w:color="auto" w:sz="4" w:space="0"/>
            </w:tcBorders>
            <w:vAlign w:val="center"/>
          </w:tcPr>
          <w:p>
            <w:pPr>
              <w:widowControl/>
              <w:spacing w:line="240" w:lineRule="auto"/>
              <w:ind w:firstLine="0" w:firstLineChars="0"/>
              <w:rPr>
                <w:bCs/>
                <w:color w:val="auto"/>
                <w:kern w:val="0"/>
                <w:sz w:val="21"/>
                <w:szCs w:val="21"/>
              </w:rPr>
            </w:pPr>
            <w:r>
              <w:rPr>
                <w:rFonts w:hint="eastAsia"/>
                <w:bCs/>
                <w:color w:val="auto"/>
                <w:kern w:val="0"/>
                <w:sz w:val="21"/>
                <w:szCs w:val="21"/>
                <w:lang w:val="en-US" w:eastAsia="zh-CN"/>
              </w:rPr>
              <w:t>2</w:t>
            </w:r>
            <w:r>
              <w:rPr>
                <w:rFonts w:hint="eastAsia"/>
                <w:bCs/>
                <w:color w:val="auto"/>
                <w:kern w:val="0"/>
                <w:sz w:val="21"/>
                <w:szCs w:val="21"/>
              </w:rPr>
              <w:t>分</w:t>
            </w:r>
          </w:p>
        </w:tc>
        <w:tc>
          <w:tcPr>
            <w:tcW w:w="6954" w:type="dxa"/>
            <w:tcBorders>
              <w:top w:val="single" w:color="auto" w:sz="4" w:space="0"/>
              <w:left w:val="single" w:color="auto" w:sz="4" w:space="0"/>
              <w:right w:val="single" w:color="auto" w:sz="4" w:space="0"/>
            </w:tcBorders>
            <w:vAlign w:val="center"/>
          </w:tcPr>
          <w:p>
            <w:pPr>
              <w:widowControl/>
              <w:spacing w:line="240" w:lineRule="auto"/>
              <w:ind w:firstLine="0" w:firstLineChars="0"/>
              <w:rPr>
                <w:bCs/>
                <w:color w:val="auto"/>
                <w:kern w:val="0"/>
                <w:sz w:val="21"/>
                <w:szCs w:val="21"/>
              </w:rPr>
            </w:pPr>
            <w:r>
              <w:rPr>
                <w:rFonts w:hint="eastAsia"/>
                <w:bCs/>
                <w:color w:val="auto"/>
                <w:kern w:val="0"/>
                <w:sz w:val="21"/>
                <w:szCs w:val="21"/>
              </w:rPr>
              <w:t>投标文件编制完整，格式规范、装订整齐、符合招标文件要求的，得</w:t>
            </w:r>
            <w:r>
              <w:rPr>
                <w:rFonts w:hint="eastAsia"/>
                <w:bCs/>
                <w:color w:val="auto"/>
                <w:kern w:val="0"/>
                <w:sz w:val="21"/>
                <w:szCs w:val="21"/>
                <w:lang w:val="en-US" w:eastAsia="zh-CN"/>
              </w:rPr>
              <w:t>2</w:t>
            </w:r>
            <w:r>
              <w:rPr>
                <w:rFonts w:hint="eastAsia"/>
                <w:bCs/>
                <w:color w:val="auto"/>
                <w:kern w:val="0"/>
                <w:sz w:val="21"/>
                <w:szCs w:val="21"/>
              </w:rPr>
              <w:t>分；投标文件</w:t>
            </w:r>
            <w:r>
              <w:rPr>
                <w:rFonts w:hint="eastAsia"/>
                <w:bCs/>
                <w:color w:val="auto"/>
                <w:kern w:val="0"/>
                <w:sz w:val="21"/>
                <w:szCs w:val="21"/>
                <w:lang w:val="en-US" w:eastAsia="zh-CN"/>
              </w:rPr>
              <w:t>中</w:t>
            </w:r>
            <w:r>
              <w:rPr>
                <w:rFonts w:hint="eastAsia"/>
                <w:bCs/>
                <w:color w:val="auto"/>
                <w:kern w:val="0"/>
                <w:sz w:val="21"/>
                <w:szCs w:val="21"/>
              </w:rPr>
              <w:t>有关内容前后矛盾、与招标文件要求不一致或通过询标等程序进行澄清的投标文件</w:t>
            </w:r>
            <w:r>
              <w:rPr>
                <w:rFonts w:hint="eastAsia"/>
                <w:bCs/>
                <w:color w:val="auto"/>
                <w:kern w:val="0"/>
                <w:sz w:val="21"/>
                <w:szCs w:val="21"/>
                <w:lang w:val="en-US" w:eastAsia="zh-CN"/>
              </w:rPr>
              <w:t>每项扣1分，扣完为止</w:t>
            </w:r>
            <w:r>
              <w:rPr>
                <w:rFonts w:hint="eastAsia"/>
                <w:bCs/>
                <w:color w:val="auto"/>
                <w:kern w:val="0"/>
                <w:sz w:val="21"/>
                <w:szCs w:val="21"/>
              </w:rPr>
              <w:t>。</w:t>
            </w:r>
          </w:p>
        </w:tc>
      </w:tr>
    </w:tbl>
    <w:p>
      <w:pPr>
        <w:widowControl/>
        <w:ind w:firstLine="482"/>
        <w:jc w:val="left"/>
        <w:rPr>
          <w:rFonts w:cs="Times New Roman"/>
          <w:b/>
          <w:bCs/>
        </w:rPr>
      </w:pPr>
      <w:r>
        <w:rPr>
          <w:rFonts w:hint="eastAsia"/>
          <w:b/>
          <w:bCs/>
          <w:lang w:val="zh-CN"/>
        </w:rPr>
        <w:t>评标委员会对照综合评分细则和投标文件充分讨论后，按照少数服从多数的原则，集体统一评分。</w:t>
      </w:r>
      <w:r>
        <w:rPr>
          <w:rFonts w:hint="eastAsia"/>
          <w:b/>
          <w:bCs/>
        </w:rPr>
        <w:t>投标人应提供有关证明文件及资料</w:t>
      </w:r>
      <w:r>
        <w:rPr>
          <w:b/>
          <w:bCs/>
        </w:rPr>
        <w:t>,</w:t>
      </w:r>
      <w:r>
        <w:rPr>
          <w:rFonts w:hint="eastAsia"/>
          <w:b/>
          <w:bCs/>
        </w:rPr>
        <w:t>未提供的不得分。如专家须现场审核原件的，投标人须在</w:t>
      </w:r>
      <w:r>
        <w:rPr>
          <w:b/>
          <w:bCs/>
        </w:rPr>
        <w:t>20</w:t>
      </w:r>
      <w:r>
        <w:rPr>
          <w:rFonts w:hint="eastAsia"/>
          <w:b/>
          <w:bCs/>
        </w:rPr>
        <w:t>分钟内提供，如无法提供则视为无效。</w:t>
      </w:r>
    </w:p>
    <w:p>
      <w:pPr>
        <w:widowControl/>
        <w:ind w:firstLine="480"/>
        <w:jc w:val="left"/>
        <w:rPr>
          <w:rFonts w:cs="Times New Roman"/>
          <w:color w:val="000000"/>
        </w:rPr>
      </w:pPr>
      <w:r>
        <w:rPr>
          <w:rFonts w:hint="eastAsia"/>
          <w:color w:val="000000"/>
        </w:rPr>
        <w:t>技术分为所有评标委员会成员独立评分结果汇总的算术平均分，计算公式为：技术分</w:t>
      </w:r>
      <w:r>
        <w:rPr>
          <w:color w:val="000000"/>
        </w:rPr>
        <w:t>=</w:t>
      </w:r>
      <w:r>
        <w:rPr>
          <w:rFonts w:hint="eastAsia"/>
          <w:color w:val="000000"/>
        </w:rPr>
        <w:t>评标委员会所有成员评分合计数</w:t>
      </w:r>
      <w:r>
        <w:rPr>
          <w:color w:val="000000"/>
        </w:rPr>
        <w:t>/</w:t>
      </w:r>
      <w:r>
        <w:rPr>
          <w:rFonts w:hint="eastAsia"/>
          <w:color w:val="000000"/>
        </w:rPr>
        <w:t>评标委员会组成人员数，由指定专人进行计算复核。</w:t>
      </w:r>
    </w:p>
    <w:p>
      <w:pPr>
        <w:widowControl/>
        <w:ind w:firstLine="480"/>
        <w:jc w:val="left"/>
        <w:rPr>
          <w:color w:val="000000"/>
        </w:rPr>
      </w:pPr>
      <w:r>
        <w:rPr>
          <w:rFonts w:hint="eastAsia"/>
          <w:color w:val="000000"/>
        </w:rPr>
        <w:t>报价分、资信分由评标委员会成员统一打分。</w:t>
      </w:r>
    </w:p>
    <w:p>
      <w:pPr>
        <w:widowControl/>
        <w:ind w:firstLine="480"/>
        <w:jc w:val="left"/>
        <w:rPr>
          <w:color w:val="000000"/>
        </w:rPr>
      </w:pPr>
    </w:p>
    <w:p>
      <w:pPr>
        <w:widowControl/>
        <w:ind w:firstLine="480"/>
        <w:jc w:val="left"/>
        <w:rPr>
          <w:color w:val="000000"/>
        </w:rPr>
      </w:pPr>
    </w:p>
    <w:p>
      <w:pPr>
        <w:widowControl/>
        <w:ind w:firstLine="480"/>
        <w:jc w:val="left"/>
        <w:rPr>
          <w:color w:val="000000"/>
        </w:rPr>
      </w:pPr>
    </w:p>
    <w:p>
      <w:pPr>
        <w:widowControl/>
        <w:ind w:firstLine="480"/>
        <w:jc w:val="left"/>
        <w:rPr>
          <w:color w:val="000000"/>
        </w:rPr>
      </w:pPr>
    </w:p>
    <w:p>
      <w:pPr>
        <w:widowControl/>
        <w:ind w:firstLine="480"/>
        <w:jc w:val="left"/>
        <w:rPr>
          <w:color w:val="000000"/>
        </w:rPr>
      </w:pPr>
    </w:p>
    <w:p>
      <w:pPr>
        <w:widowControl/>
        <w:spacing w:line="240" w:lineRule="auto"/>
        <w:ind w:firstLine="0" w:firstLineChars="0"/>
        <w:jc w:val="left"/>
        <w:rPr>
          <w:color w:val="000000"/>
        </w:rPr>
      </w:pPr>
      <w:r>
        <w:rPr>
          <w:color w:val="000000"/>
        </w:rPr>
        <w:br w:type="page"/>
      </w:r>
    </w:p>
    <w:p>
      <w:pPr>
        <w:pStyle w:val="2"/>
        <w:ind w:firstLine="0" w:firstLineChars="0"/>
      </w:pPr>
      <w:bookmarkStart w:id="189" w:name="_Toc26947"/>
      <w:r>
        <w:rPr>
          <w:rFonts w:hint="eastAsia" w:ascii="黑体" w:cs="黑体"/>
        </w:rPr>
        <w:t>第五章</w:t>
      </w:r>
      <w:r>
        <w:t xml:space="preserve">  </w:t>
      </w:r>
      <w:bookmarkStart w:id="190" w:name="_Toc298856081"/>
      <w:r>
        <w:rPr>
          <w:rFonts w:hint="eastAsia" w:cs="黑体"/>
        </w:rPr>
        <w:t>合同主要条款</w:t>
      </w:r>
      <w:bookmarkEnd w:id="189"/>
      <w:bookmarkEnd w:id="190"/>
    </w:p>
    <w:p>
      <w:pPr>
        <w:spacing w:line="440" w:lineRule="exact"/>
        <w:ind w:firstLine="482"/>
        <w:jc w:val="center"/>
        <w:rPr>
          <w:rFonts w:ascii="Calibri" w:hAnsi="Calibri"/>
          <w:bCs/>
        </w:rPr>
      </w:pPr>
      <w:r>
        <w:rPr>
          <w:rFonts w:hint="eastAsia"/>
          <w:b/>
          <w:bCs/>
        </w:rPr>
        <w:t> </w:t>
      </w:r>
      <w:r>
        <w:rPr>
          <w:rFonts w:hint="eastAsia" w:ascii="Calibri" w:hAnsi="Calibri"/>
          <w:bCs/>
        </w:rPr>
        <w:t>合同主要条款前附表</w:t>
      </w:r>
    </w:p>
    <w:tbl>
      <w:tblPr>
        <w:tblStyle w:val="33"/>
        <w:tblW w:w="94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235"/>
        <w:gridCol w:w="7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68" w:type="dxa"/>
            <w:vAlign w:val="center"/>
          </w:tcPr>
          <w:p>
            <w:pPr>
              <w:spacing w:line="440" w:lineRule="exact"/>
              <w:ind w:firstLine="480"/>
              <w:jc w:val="center"/>
              <w:rPr>
                <w:rFonts w:ascii="Calibri" w:hAnsi="Calibri"/>
              </w:rPr>
            </w:pPr>
            <w:r>
              <w:rPr>
                <w:rFonts w:hint="eastAsia" w:ascii="Calibri" w:hAnsi="Calibri"/>
              </w:rPr>
              <w:t>项号</w:t>
            </w:r>
          </w:p>
        </w:tc>
        <w:tc>
          <w:tcPr>
            <w:tcW w:w="1235" w:type="dxa"/>
            <w:vAlign w:val="center"/>
          </w:tcPr>
          <w:p>
            <w:pPr>
              <w:spacing w:line="440" w:lineRule="exact"/>
              <w:ind w:firstLine="480"/>
              <w:jc w:val="center"/>
              <w:rPr>
                <w:rFonts w:ascii="Calibri" w:hAnsi="Calibri"/>
              </w:rPr>
            </w:pPr>
            <w:r>
              <w:rPr>
                <w:rFonts w:hint="eastAsia" w:ascii="Calibri" w:hAnsi="Calibri"/>
              </w:rPr>
              <w:t>条款号</w:t>
            </w:r>
          </w:p>
        </w:tc>
        <w:tc>
          <w:tcPr>
            <w:tcW w:w="7364" w:type="dxa"/>
            <w:vAlign w:val="center"/>
          </w:tcPr>
          <w:p>
            <w:pPr>
              <w:spacing w:line="440" w:lineRule="exact"/>
              <w:ind w:firstLine="480"/>
              <w:jc w:val="center"/>
              <w:rPr>
                <w:rFonts w:ascii="Calibri" w:hAnsi="Calibri"/>
              </w:rPr>
            </w:pPr>
            <w:r>
              <w:rPr>
                <w:rFonts w:hint="eastAsia" w:ascii="Calibri" w:hAnsi="Calibri"/>
              </w:rPr>
              <w:t>编</w:t>
            </w:r>
            <w:r>
              <w:rPr>
                <w:rFonts w:ascii="Calibri" w:hAnsi="Calibri"/>
              </w:rPr>
              <w:t xml:space="preserve">   </w:t>
            </w:r>
            <w:r>
              <w:rPr>
                <w:rFonts w:hint="eastAsia" w:ascii="Calibri" w:hAnsi="Calibri"/>
              </w:rPr>
              <w:t>列</w:t>
            </w:r>
            <w:r>
              <w:rPr>
                <w:rFonts w:ascii="Calibri" w:hAnsi="Calibri"/>
              </w:rPr>
              <w:t xml:space="preserve">   </w:t>
            </w:r>
            <w:r>
              <w:rPr>
                <w:rFonts w:hint="eastAsia" w:ascii="Calibri" w:hAnsi="Calibri"/>
              </w:rPr>
              <w:t>内</w:t>
            </w:r>
            <w:r>
              <w:rPr>
                <w:rFonts w:ascii="Calibri" w:hAnsi="Calibri"/>
              </w:rPr>
              <w:t xml:space="preserve">   </w:t>
            </w:r>
            <w:r>
              <w:rPr>
                <w:rFonts w:hint="eastAsia" w:ascii="Calibri" w:hAnsi="Calibri"/>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jc w:val="center"/>
        </w:trPr>
        <w:tc>
          <w:tcPr>
            <w:tcW w:w="868" w:type="dxa"/>
            <w:vAlign w:val="center"/>
          </w:tcPr>
          <w:p>
            <w:pPr>
              <w:spacing w:line="440" w:lineRule="exact"/>
              <w:ind w:firstLine="480"/>
              <w:jc w:val="center"/>
              <w:rPr>
                <w:rFonts w:ascii="Calibri" w:hAnsi="Calibri"/>
              </w:rPr>
            </w:pPr>
            <w:r>
              <w:rPr>
                <w:rFonts w:ascii="Calibri" w:hAnsi="Calibri"/>
              </w:rPr>
              <w:t>1</w:t>
            </w:r>
          </w:p>
        </w:tc>
        <w:tc>
          <w:tcPr>
            <w:tcW w:w="1235" w:type="dxa"/>
            <w:vAlign w:val="center"/>
          </w:tcPr>
          <w:p>
            <w:pPr>
              <w:spacing w:line="440" w:lineRule="exact"/>
              <w:ind w:firstLine="480"/>
              <w:jc w:val="center"/>
              <w:rPr>
                <w:rFonts w:ascii="Calibri" w:hAnsi="Calibri"/>
              </w:rPr>
            </w:pPr>
          </w:p>
        </w:tc>
        <w:tc>
          <w:tcPr>
            <w:tcW w:w="7364" w:type="dxa"/>
            <w:vAlign w:val="center"/>
          </w:tcPr>
          <w:p>
            <w:pPr>
              <w:shd w:val="clear" w:color="auto" w:fill="FFFFFF"/>
              <w:ind w:firstLine="0" w:firstLineChars="0"/>
              <w:rPr>
                <w:rFonts w:ascii="Calibri" w:hAnsi="Calibri"/>
              </w:rPr>
            </w:pPr>
            <w:r>
              <w:rPr>
                <w:rFonts w:hint="eastAsia" w:ascii="Calibri" w:hAnsi="Calibri"/>
              </w:rPr>
              <w:t>随机技术资料：卖方免费提供设备安装图、供货清单、产品合格证及使用说明书一式六套。外购件的产品合格证及使用说明书一式三份。技术资料交付进度详见第三、四章。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868" w:type="dxa"/>
            <w:vAlign w:val="center"/>
          </w:tcPr>
          <w:p>
            <w:pPr>
              <w:spacing w:line="440" w:lineRule="exact"/>
              <w:ind w:firstLine="480"/>
              <w:jc w:val="center"/>
              <w:rPr>
                <w:rFonts w:ascii="Calibri" w:hAnsi="Calibri"/>
              </w:rPr>
            </w:pPr>
            <w:r>
              <w:rPr>
                <w:rFonts w:ascii="Calibri" w:hAnsi="Calibri"/>
              </w:rPr>
              <w:t>2</w:t>
            </w:r>
          </w:p>
        </w:tc>
        <w:tc>
          <w:tcPr>
            <w:tcW w:w="1235" w:type="dxa"/>
            <w:vAlign w:val="center"/>
          </w:tcPr>
          <w:p>
            <w:pPr>
              <w:spacing w:line="440" w:lineRule="exact"/>
              <w:ind w:firstLine="480"/>
              <w:jc w:val="center"/>
              <w:rPr>
                <w:rFonts w:ascii="Calibri" w:hAnsi="Calibri"/>
              </w:rPr>
            </w:pPr>
          </w:p>
        </w:tc>
        <w:tc>
          <w:tcPr>
            <w:tcW w:w="7364" w:type="dxa"/>
            <w:vAlign w:val="center"/>
          </w:tcPr>
          <w:p>
            <w:pPr>
              <w:spacing w:line="440" w:lineRule="exact"/>
              <w:ind w:firstLine="0" w:firstLineChars="0"/>
              <w:rPr>
                <w:rFonts w:ascii="Calibri" w:hAnsi="Calibri"/>
              </w:rPr>
            </w:pPr>
            <w:r>
              <w:rPr>
                <w:rFonts w:hint="eastAsia" w:ascii="Calibri" w:hAnsi="Calibri"/>
              </w:rPr>
              <w:t>通过当地质量技术监督局验收合格并签发合格证书及通过当地有关部门的综合验收后，移交建设单位确定的物业公司之日起</w:t>
            </w:r>
            <w:r>
              <w:rPr>
                <w:rFonts w:hint="eastAsia" w:ascii="Calibri" w:hAnsi="Calibri"/>
                <w:b/>
                <w:bCs/>
              </w:rPr>
              <w:t>24</w:t>
            </w:r>
            <w:r>
              <w:rPr>
                <w:rFonts w:hint="eastAsia" w:ascii="Calibri" w:hAnsi="Calibri"/>
              </w:rPr>
              <w:t>个月为质保期，质保期内由于设计、制造和安装的质量问题由卖方免费维修或更换。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4" w:hRule="atLeast"/>
          <w:jc w:val="center"/>
        </w:trPr>
        <w:tc>
          <w:tcPr>
            <w:tcW w:w="868" w:type="dxa"/>
            <w:vAlign w:val="center"/>
          </w:tcPr>
          <w:p>
            <w:pPr>
              <w:spacing w:line="440" w:lineRule="exact"/>
              <w:ind w:firstLine="480"/>
              <w:jc w:val="center"/>
              <w:rPr>
                <w:rFonts w:ascii="Calibri" w:hAnsi="Calibri"/>
              </w:rPr>
            </w:pPr>
            <w:r>
              <w:rPr>
                <w:rFonts w:ascii="Calibri" w:hAnsi="Calibri"/>
              </w:rPr>
              <w:t>3</w:t>
            </w:r>
          </w:p>
        </w:tc>
        <w:tc>
          <w:tcPr>
            <w:tcW w:w="1235" w:type="dxa"/>
            <w:vAlign w:val="center"/>
          </w:tcPr>
          <w:p>
            <w:pPr>
              <w:spacing w:line="440" w:lineRule="exact"/>
              <w:ind w:firstLine="480"/>
              <w:jc w:val="center"/>
              <w:rPr>
                <w:rFonts w:ascii="Calibri" w:hAnsi="Calibri"/>
              </w:rPr>
            </w:pPr>
          </w:p>
        </w:tc>
        <w:tc>
          <w:tcPr>
            <w:tcW w:w="7364" w:type="dxa"/>
            <w:vAlign w:val="center"/>
          </w:tcPr>
          <w:p>
            <w:pPr>
              <w:widowControl/>
              <w:shd w:val="clear" w:color="auto" w:fill="FFFFFF"/>
              <w:spacing w:line="440" w:lineRule="exact"/>
              <w:ind w:firstLine="0" w:firstLineChars="0"/>
              <w:jc w:val="left"/>
              <w:rPr>
                <w:b/>
                <w:bCs/>
              </w:rPr>
            </w:pPr>
            <w:r>
              <w:rPr>
                <w:b/>
                <w:bCs/>
                <w:kern w:val="0"/>
                <w:szCs w:val="20"/>
              </w:rPr>
              <w:t>付款</w:t>
            </w:r>
            <w:r>
              <w:rPr>
                <w:rFonts w:hint="eastAsia"/>
                <w:b/>
                <w:bCs/>
                <w:kern w:val="0"/>
                <w:szCs w:val="20"/>
              </w:rPr>
              <w:t>进度</w:t>
            </w:r>
            <w:r>
              <w:rPr>
                <w:rFonts w:hint="eastAsia"/>
                <w:b/>
                <w:bCs/>
              </w:rPr>
              <w:t>：</w:t>
            </w:r>
          </w:p>
          <w:p>
            <w:pPr>
              <w:spacing w:line="440" w:lineRule="exact"/>
              <w:ind w:firstLine="0" w:firstLineChars="0"/>
              <w:rPr>
                <w:rFonts w:ascii="Calibri" w:hAnsi="Calibri"/>
                <w:bCs/>
                <w:kern w:val="24"/>
                <w:szCs w:val="20"/>
              </w:rPr>
            </w:pPr>
            <w:r>
              <w:rPr>
                <w:rFonts w:hint="eastAsia" w:ascii="Calibri" w:hAnsi="Calibri"/>
                <w:kern w:val="24"/>
              </w:rPr>
              <w:t>与合同部分对应（</w:t>
            </w:r>
            <w:r>
              <w:rPr>
                <w:rFonts w:hint="eastAsia" w:ascii="Calibri" w:hAnsi="Calibri"/>
                <w:b/>
                <w:bCs/>
              </w:rPr>
              <w:t>※</w:t>
            </w:r>
            <w:r>
              <w:rPr>
                <w:rFonts w:hint="eastAsia" w:ascii="Calibri" w:hAnsi="Calibri"/>
                <w:b/>
                <w:bCs/>
                <w:kern w:val="24"/>
              </w:rPr>
              <w:t>不得偏离，否则其投标将被视作无效</w:t>
            </w:r>
            <w:r>
              <w:rPr>
                <w:rFonts w:hint="eastAsia" w:ascii="Calibri" w:hAnsi="Calibri"/>
                <w:bCs/>
                <w:kern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868" w:type="dxa"/>
            <w:vAlign w:val="center"/>
          </w:tcPr>
          <w:p>
            <w:pPr>
              <w:spacing w:line="440" w:lineRule="exact"/>
              <w:ind w:firstLine="480"/>
              <w:jc w:val="center"/>
              <w:rPr>
                <w:rFonts w:ascii="Calibri" w:hAnsi="Calibri"/>
              </w:rPr>
            </w:pPr>
            <w:r>
              <w:rPr>
                <w:rFonts w:ascii="Calibri" w:hAnsi="Calibri"/>
              </w:rPr>
              <w:t>4</w:t>
            </w:r>
          </w:p>
        </w:tc>
        <w:tc>
          <w:tcPr>
            <w:tcW w:w="1235" w:type="dxa"/>
            <w:vAlign w:val="center"/>
          </w:tcPr>
          <w:p>
            <w:pPr>
              <w:spacing w:line="440" w:lineRule="exact"/>
              <w:ind w:firstLine="480"/>
              <w:jc w:val="center"/>
              <w:rPr>
                <w:rFonts w:ascii="Calibri" w:hAnsi="Calibri"/>
              </w:rPr>
            </w:pPr>
          </w:p>
        </w:tc>
        <w:tc>
          <w:tcPr>
            <w:tcW w:w="7364" w:type="dxa"/>
            <w:vAlign w:val="center"/>
          </w:tcPr>
          <w:p>
            <w:pPr>
              <w:spacing w:line="440" w:lineRule="exact"/>
              <w:ind w:firstLine="0" w:firstLineChars="0"/>
              <w:rPr>
                <w:rFonts w:ascii="Calibri" w:hAnsi="Calibri"/>
              </w:rPr>
            </w:pPr>
            <w:r>
              <w:rPr>
                <w:rFonts w:hint="eastAsia" w:ascii="Calibri" w:hAnsi="Calibri"/>
              </w:rPr>
              <w:t>违约责任：除不可抗力外，如卖方不按期交货，每延期一天，按合同总额</w:t>
            </w:r>
            <w:r>
              <w:rPr>
                <w:rFonts w:ascii="Calibri" w:hAnsi="Calibri"/>
              </w:rPr>
              <w:t>2‰</w:t>
            </w:r>
            <w:r>
              <w:rPr>
                <w:rFonts w:hint="eastAsia" w:ascii="Calibri" w:hAnsi="Calibri"/>
              </w:rPr>
              <w:t>支付违约金。</w:t>
            </w:r>
          </w:p>
        </w:tc>
      </w:tr>
    </w:tbl>
    <w:p>
      <w:pPr>
        <w:spacing w:line="440" w:lineRule="exact"/>
        <w:ind w:firstLine="480"/>
        <w:rPr>
          <w:rFonts w:hAnsi="Calibri"/>
          <w:kern w:val="0"/>
        </w:rPr>
      </w:pPr>
      <w:r>
        <w:rPr>
          <w:rFonts w:hint="eastAsia" w:hAnsi="Calibri"/>
          <w:kern w:val="0"/>
        </w:rPr>
        <w:t>注：如合同主要条款与本前附表有矛盾的，以本前附表为准。</w:t>
      </w:r>
    </w:p>
    <w:p>
      <w:pPr>
        <w:spacing w:line="440" w:lineRule="exact"/>
        <w:ind w:firstLine="480"/>
        <w:jc w:val="center"/>
        <w:rPr>
          <w:rFonts w:ascii="Calibri" w:hAnsi="Calibri"/>
          <w:b/>
          <w:bCs/>
          <w:sz w:val="32"/>
        </w:rPr>
      </w:pPr>
      <w:r>
        <w:rPr>
          <w:rFonts w:hAnsi="Calibri"/>
          <w:kern w:val="0"/>
        </w:rPr>
        <w:br w:type="page"/>
      </w:r>
      <w:r>
        <w:rPr>
          <w:rFonts w:hint="eastAsia" w:ascii="Calibri" w:hAnsi="Calibri"/>
          <w:b/>
          <w:sz w:val="30"/>
          <w:szCs w:val="28"/>
        </w:rPr>
        <w:t>（一）</w:t>
      </w:r>
      <w:r>
        <w:rPr>
          <w:rFonts w:ascii="Calibri" w:hAnsi="Calibri"/>
          <w:b/>
          <w:sz w:val="30"/>
          <w:szCs w:val="28"/>
        </w:rPr>
        <w:t>电梯</w:t>
      </w:r>
      <w:r>
        <w:rPr>
          <w:rFonts w:ascii="Calibri" w:hAnsi="Calibri"/>
          <w:b/>
          <w:sz w:val="30"/>
        </w:rPr>
        <w:t>采购</w:t>
      </w:r>
      <w:r>
        <w:rPr>
          <w:rFonts w:hint="eastAsia" w:ascii="Calibri" w:hAnsi="Calibri"/>
          <w:b/>
          <w:sz w:val="30"/>
        </w:rPr>
        <w:t>及安装</w:t>
      </w:r>
      <w:r>
        <w:rPr>
          <w:rFonts w:ascii="Calibri" w:hAnsi="Calibri"/>
          <w:b/>
          <w:sz w:val="30"/>
        </w:rPr>
        <w:t>合同主要条款</w:t>
      </w:r>
    </w:p>
    <w:p>
      <w:pPr>
        <w:ind w:firstLine="480"/>
        <w:rPr>
          <w:rFonts w:ascii="Calibri" w:hAnsi="Calibri"/>
        </w:rPr>
      </w:pPr>
    </w:p>
    <w:p>
      <w:pPr>
        <w:ind w:firstLine="480"/>
        <w:rPr>
          <w:rFonts w:ascii="Calibri" w:hAnsi="Calibri"/>
        </w:rPr>
      </w:pPr>
      <w:r>
        <w:rPr>
          <w:rFonts w:hint="eastAsia" w:ascii="Calibri" w:hAnsi="Calibri"/>
        </w:rPr>
        <w:t>买方名称：</w:t>
      </w:r>
      <w:r>
        <w:rPr>
          <w:rFonts w:hint="eastAsia" w:ascii="Calibri" w:hAnsi="Calibri"/>
          <w:u w:val="single"/>
        </w:rPr>
        <w:t xml:space="preserve">                                   </w:t>
      </w:r>
      <w:r>
        <w:rPr>
          <w:rFonts w:hint="eastAsia" w:ascii="Calibri" w:hAnsi="Calibri"/>
        </w:rPr>
        <w:t xml:space="preserve"> （以下简称买方）</w:t>
      </w:r>
    </w:p>
    <w:p>
      <w:pPr>
        <w:ind w:firstLine="480"/>
        <w:rPr>
          <w:rFonts w:ascii="Calibri" w:hAnsi="Calibri"/>
        </w:rPr>
      </w:pPr>
      <w:r>
        <w:rPr>
          <w:rFonts w:hint="eastAsia" w:ascii="Calibri" w:hAnsi="Calibri"/>
        </w:rPr>
        <w:t>卖方名称：</w:t>
      </w:r>
      <w:r>
        <w:rPr>
          <w:rFonts w:hint="eastAsia" w:ascii="Calibri" w:hAnsi="Calibri"/>
          <w:u w:val="single"/>
        </w:rPr>
        <w:t xml:space="preserve">                                   </w:t>
      </w:r>
      <w:r>
        <w:rPr>
          <w:rFonts w:hint="eastAsia" w:ascii="Calibri" w:hAnsi="Calibri"/>
        </w:rPr>
        <w:t xml:space="preserve"> （以下简称卖方）</w:t>
      </w:r>
    </w:p>
    <w:p>
      <w:pPr>
        <w:ind w:firstLine="480"/>
        <w:rPr>
          <w:rFonts w:ascii="Calibri" w:hAnsi="Calibri"/>
        </w:rPr>
      </w:pPr>
      <w:r>
        <w:rPr>
          <w:rFonts w:hint="eastAsia" w:ascii="Calibri" w:hAnsi="Calibri"/>
        </w:rPr>
        <w:t>设备安装地点：</w:t>
      </w:r>
    </w:p>
    <w:p>
      <w:pPr>
        <w:ind w:firstLine="480"/>
        <w:rPr>
          <w:rFonts w:ascii="Calibri" w:hAnsi="Calibri"/>
        </w:rPr>
      </w:pPr>
      <w:r>
        <w:rPr>
          <w:rFonts w:hint="eastAsia" w:ascii="Calibri" w:hAnsi="Calibri"/>
        </w:rPr>
        <w:t>签约地点：</w:t>
      </w:r>
    </w:p>
    <w:p>
      <w:pPr>
        <w:ind w:firstLine="480"/>
        <w:rPr>
          <w:rFonts w:ascii="Calibri" w:hAnsi="Calibri"/>
        </w:rPr>
      </w:pPr>
      <w:r>
        <w:rPr>
          <w:rFonts w:hint="eastAsia" w:ascii="Calibri" w:hAnsi="Calibri"/>
        </w:rPr>
        <w:t>根据《中华人民共和国合同法》，双方本着公平、诚实和信用的原则，共同确定以下条款。</w:t>
      </w:r>
    </w:p>
    <w:p>
      <w:pPr>
        <w:ind w:firstLine="360" w:firstLineChars="150"/>
        <w:rPr>
          <w:rFonts w:ascii="Calibri" w:hAnsi="Calibri"/>
        </w:rPr>
      </w:pPr>
      <w:r>
        <w:rPr>
          <w:rFonts w:hint="eastAsia" w:ascii="Calibri" w:hAnsi="Calibri"/>
        </w:rPr>
        <w:t>合同生效</w:t>
      </w:r>
    </w:p>
    <w:p>
      <w:pPr>
        <w:ind w:firstLine="480"/>
        <w:rPr>
          <w:rFonts w:ascii="Calibri" w:hAnsi="Calibri"/>
        </w:rPr>
      </w:pPr>
      <w:r>
        <w:rPr>
          <w:rFonts w:hint="eastAsia" w:ascii="Calibri" w:hAnsi="Calibri"/>
        </w:rPr>
        <w:t>本合同经双方签字并盖章后生效。</w:t>
      </w:r>
    </w:p>
    <w:p>
      <w:pPr>
        <w:ind w:firstLine="360" w:firstLineChars="150"/>
        <w:rPr>
          <w:rFonts w:ascii="Calibri" w:hAnsi="Calibri"/>
        </w:rPr>
      </w:pPr>
      <w:r>
        <w:rPr>
          <w:rFonts w:hint="eastAsia" w:ascii="Calibri" w:hAnsi="Calibri"/>
        </w:rPr>
        <w:t>合同总价和电梯型号、数量（详见电梯规格表）</w:t>
      </w:r>
    </w:p>
    <w:p>
      <w:pPr>
        <w:ind w:firstLine="480"/>
        <w:rPr>
          <w:rFonts w:ascii="Calibri" w:hAnsi="Calibri"/>
        </w:rPr>
      </w:pPr>
      <w:r>
        <w:rPr>
          <w:rFonts w:hint="eastAsia" w:ascii="Calibri" w:hAnsi="Calibri"/>
        </w:rPr>
        <w:t>本合同总台数为：</w:t>
      </w:r>
      <w:r>
        <w:rPr>
          <w:rFonts w:hint="eastAsia" w:ascii="Calibri" w:hAnsi="Calibri"/>
          <w:u w:val="single"/>
        </w:rPr>
        <w:t xml:space="preserve">       </w:t>
      </w:r>
      <w:r>
        <w:rPr>
          <w:rFonts w:hint="eastAsia" w:ascii="Calibri" w:hAnsi="Calibri"/>
        </w:rPr>
        <w:t>台</w:t>
      </w:r>
    </w:p>
    <w:p>
      <w:pPr>
        <w:ind w:firstLine="480"/>
        <w:rPr>
          <w:rFonts w:ascii="Calibri" w:hAnsi="Calibri"/>
        </w:rPr>
      </w:pPr>
      <w:r>
        <w:rPr>
          <w:rFonts w:hint="eastAsia" w:ascii="Calibri" w:hAnsi="Calibri"/>
        </w:rPr>
        <w:t>本合同总价为：</w:t>
      </w:r>
      <w:r>
        <w:rPr>
          <w:rFonts w:hint="eastAsia" w:ascii="Calibri" w:hAnsi="Calibri"/>
          <w:u w:val="single"/>
        </w:rPr>
        <w:t xml:space="preserve">               </w:t>
      </w:r>
      <w:r>
        <w:rPr>
          <w:rFonts w:hint="eastAsia" w:ascii="Calibri" w:hAnsi="Calibri"/>
        </w:rPr>
        <w:t xml:space="preserve">（人民币）大写 </w:t>
      </w:r>
      <w:r>
        <w:rPr>
          <w:rFonts w:hint="eastAsia" w:ascii="Calibri" w:hAnsi="Calibri"/>
          <w:u w:val="single"/>
        </w:rPr>
        <w:t xml:space="preserve">           </w:t>
      </w:r>
      <w:r>
        <w:rPr>
          <w:rFonts w:hint="eastAsia" w:ascii="Calibri" w:hAnsi="Calibri"/>
        </w:rPr>
        <w:t>万元整</w:t>
      </w:r>
    </w:p>
    <w:p>
      <w:pPr>
        <w:ind w:firstLine="480"/>
        <w:rPr>
          <w:rFonts w:ascii="Calibri" w:hAnsi="Calibri"/>
        </w:rPr>
      </w:pPr>
      <w:r>
        <w:rPr>
          <w:rFonts w:hint="eastAsia" w:ascii="Calibri" w:hAnsi="Calibri"/>
        </w:rPr>
        <w:t>本合同总价包括设备供货和安装所需的零星土建，现场开挖后涉及到电力、水务、燃气、华数、电信、移动、联通等单位的管线需要配合相关单位综合管线迁移，涉及其它管线的需自行完成管线迁移，同时完成上述所涉及的开挖及开挖复原（修复）工作地面开挖、雨污水管线迁移、开挖复原（修复）和配合管线单位迁移，整体装配式主体结构及电梯设备、安装、调试、装饰、试运行、设备供货、运输、卸货吊装、质监部门验收、质保期内的维修保养项目及年检费等。电梯安装时对原有构筑物的改动需完成修复及复原等（完成招标文件所附电梯设备内容及有关技术条款中所描述的一切要求所需费用）。</w:t>
      </w:r>
    </w:p>
    <w:p>
      <w:pPr>
        <w:ind w:firstLine="480"/>
        <w:rPr>
          <w:rFonts w:ascii="Calibri" w:hAnsi="Calibri"/>
        </w:rPr>
      </w:pPr>
      <w:r>
        <w:rPr>
          <w:rFonts w:hint="eastAsia" w:ascii="Calibri" w:hAnsi="Calibri"/>
        </w:rPr>
        <w:t>第一部分：设备条款</w:t>
      </w:r>
    </w:p>
    <w:p>
      <w:pPr>
        <w:ind w:firstLine="480"/>
        <w:rPr>
          <w:rFonts w:ascii="Calibri" w:hAnsi="Calibri"/>
        </w:rPr>
      </w:pPr>
      <w:r>
        <w:rPr>
          <w:rFonts w:hint="eastAsia" w:ascii="Calibri" w:hAnsi="Calibri"/>
        </w:rPr>
        <w:t>一、基本条款</w:t>
      </w:r>
    </w:p>
    <w:p>
      <w:pPr>
        <w:numPr>
          <w:ilvl w:val="0"/>
          <w:numId w:val="15"/>
        </w:numPr>
        <w:spacing w:line="440" w:lineRule="exact"/>
        <w:ind w:firstLine="480"/>
      </w:pPr>
      <w:r>
        <w:rPr>
          <w:rFonts w:hint="eastAsia"/>
        </w:rPr>
        <w:t>买、卖双方应将招标文件、投标文件及评标委员会确认的设备技术要求、质量标准、数量和交货日期等做为本条款的基础。</w:t>
      </w:r>
    </w:p>
    <w:p>
      <w:pPr>
        <w:numPr>
          <w:ilvl w:val="0"/>
          <w:numId w:val="15"/>
        </w:numPr>
        <w:spacing w:line="440" w:lineRule="exact"/>
        <w:ind w:firstLine="480"/>
      </w:pPr>
      <w:r>
        <w:rPr>
          <w:rFonts w:hint="eastAsia"/>
        </w:rPr>
        <w:t>若技术规范中无相应说明，则以国家有关部门最新颁布的相应标准及规范为准。</w:t>
      </w:r>
    </w:p>
    <w:p>
      <w:pPr>
        <w:ind w:firstLine="480"/>
        <w:rPr>
          <w:rFonts w:ascii="Calibri" w:hAnsi="Calibri"/>
        </w:rPr>
      </w:pPr>
      <w:r>
        <w:rPr>
          <w:rFonts w:hint="eastAsia" w:ascii="Calibri" w:hAnsi="Calibri"/>
        </w:rPr>
        <w:t>二、技术资料</w:t>
      </w:r>
    </w:p>
    <w:p>
      <w:pPr>
        <w:numPr>
          <w:ilvl w:val="0"/>
          <w:numId w:val="16"/>
        </w:numPr>
        <w:spacing w:line="440" w:lineRule="exact"/>
        <w:ind w:firstLine="480"/>
      </w:pPr>
      <w:r>
        <w:rPr>
          <w:rFonts w:hint="eastAsia"/>
        </w:rPr>
        <w:t>合同生效后10天内，卖方向买方提供正式的布置图及有关说明。</w:t>
      </w:r>
    </w:p>
    <w:p>
      <w:pPr>
        <w:numPr>
          <w:ilvl w:val="0"/>
          <w:numId w:val="16"/>
        </w:numPr>
        <w:spacing w:line="440" w:lineRule="exact"/>
        <w:ind w:firstLine="480"/>
      </w:pPr>
      <w:r>
        <w:rPr>
          <w:rFonts w:hint="eastAsia"/>
        </w:rPr>
        <w:t>合同生效后60天之内，卖方应将每台设备和仪器的中文技术资料一套，如目录索引、图纸、技术说明书、操作手册、使用指南、维修指南或服务手册和示意图寄给买方。</w:t>
      </w:r>
    </w:p>
    <w:p>
      <w:pPr>
        <w:numPr>
          <w:ilvl w:val="0"/>
          <w:numId w:val="16"/>
        </w:numPr>
        <w:spacing w:line="440" w:lineRule="exact"/>
        <w:ind w:firstLine="480"/>
      </w:pPr>
      <w:r>
        <w:rPr>
          <w:rFonts w:hint="eastAsia"/>
        </w:rPr>
        <w:t>另外一套完整的上述资料应包装好随同每批货物一起发运。</w:t>
      </w:r>
    </w:p>
    <w:p>
      <w:pPr>
        <w:numPr>
          <w:ilvl w:val="0"/>
          <w:numId w:val="16"/>
        </w:numPr>
        <w:spacing w:line="440" w:lineRule="exact"/>
        <w:ind w:firstLine="480"/>
      </w:pPr>
      <w:r>
        <w:rPr>
          <w:rFonts w:hint="eastAsia"/>
        </w:rPr>
        <w:t>如果卖方提供的技术资料不完整或在运输过程中丢失，卖方将在收到买方通知后3天内将这些资料免费寄给买方。</w:t>
      </w:r>
    </w:p>
    <w:p>
      <w:pPr>
        <w:numPr>
          <w:ilvl w:val="0"/>
          <w:numId w:val="16"/>
        </w:numPr>
        <w:spacing w:line="440" w:lineRule="exact"/>
        <w:ind w:firstLine="480"/>
      </w:pPr>
      <w:r>
        <w:rPr>
          <w:rFonts w:hint="eastAsia"/>
        </w:rPr>
        <w:t>设备交货时卖方向买方提供下列技术资料、图纸和文件：</w:t>
      </w:r>
    </w:p>
    <w:p>
      <w:pPr>
        <w:widowControl/>
        <w:numPr>
          <w:ilvl w:val="1"/>
          <w:numId w:val="16"/>
        </w:numPr>
        <w:shd w:val="clear" w:color="auto" w:fill="FFFFFF"/>
        <w:tabs>
          <w:tab w:val="left" w:pos="2940"/>
        </w:tabs>
        <w:spacing w:line="440" w:lineRule="exact"/>
        <w:ind w:firstLine="480"/>
        <w:jc w:val="left"/>
        <w:rPr>
          <w:kern w:val="0"/>
          <w:szCs w:val="20"/>
        </w:rPr>
      </w:pPr>
      <w:r>
        <w:rPr>
          <w:rFonts w:hint="eastAsia"/>
          <w:kern w:val="0"/>
          <w:szCs w:val="20"/>
        </w:rPr>
        <w:t>产品合格证或质量检验证书；</w:t>
      </w:r>
    </w:p>
    <w:p>
      <w:pPr>
        <w:widowControl/>
        <w:numPr>
          <w:ilvl w:val="1"/>
          <w:numId w:val="16"/>
        </w:numPr>
        <w:shd w:val="clear" w:color="auto" w:fill="FFFFFF"/>
        <w:tabs>
          <w:tab w:val="left" w:pos="2940"/>
        </w:tabs>
        <w:spacing w:line="440" w:lineRule="exact"/>
        <w:ind w:firstLine="480"/>
        <w:jc w:val="left"/>
        <w:rPr>
          <w:kern w:val="0"/>
          <w:szCs w:val="20"/>
        </w:rPr>
      </w:pPr>
      <w:r>
        <w:rPr>
          <w:rFonts w:hint="eastAsia"/>
          <w:kern w:val="0"/>
          <w:szCs w:val="20"/>
        </w:rPr>
        <w:t>电梯的设备安装图、电气和仪表系统原理图、接线图；</w:t>
      </w:r>
    </w:p>
    <w:p>
      <w:pPr>
        <w:widowControl/>
        <w:numPr>
          <w:ilvl w:val="1"/>
          <w:numId w:val="16"/>
        </w:numPr>
        <w:shd w:val="clear" w:color="auto" w:fill="FFFFFF"/>
        <w:tabs>
          <w:tab w:val="left" w:pos="2940"/>
        </w:tabs>
        <w:spacing w:line="440" w:lineRule="exact"/>
        <w:ind w:firstLine="480"/>
        <w:jc w:val="left"/>
        <w:rPr>
          <w:kern w:val="0"/>
          <w:szCs w:val="20"/>
        </w:rPr>
      </w:pPr>
      <w:r>
        <w:rPr>
          <w:rFonts w:hint="eastAsia"/>
          <w:kern w:val="0"/>
          <w:szCs w:val="20"/>
        </w:rPr>
        <w:t>电梯安装、使用、维护说明书或有关手册；</w:t>
      </w:r>
    </w:p>
    <w:p>
      <w:pPr>
        <w:widowControl/>
        <w:numPr>
          <w:ilvl w:val="1"/>
          <w:numId w:val="16"/>
        </w:numPr>
        <w:shd w:val="clear" w:color="auto" w:fill="FFFFFF"/>
        <w:tabs>
          <w:tab w:val="left" w:pos="2940"/>
        </w:tabs>
        <w:spacing w:line="440" w:lineRule="exact"/>
        <w:ind w:firstLine="480"/>
        <w:jc w:val="left"/>
        <w:rPr>
          <w:kern w:val="0"/>
          <w:szCs w:val="20"/>
        </w:rPr>
      </w:pPr>
      <w:r>
        <w:rPr>
          <w:rFonts w:hint="eastAsia"/>
          <w:kern w:val="0"/>
          <w:szCs w:val="20"/>
        </w:rPr>
        <w:t>易损件清单；</w:t>
      </w:r>
    </w:p>
    <w:p>
      <w:pPr>
        <w:widowControl/>
        <w:numPr>
          <w:ilvl w:val="1"/>
          <w:numId w:val="16"/>
        </w:numPr>
        <w:shd w:val="clear" w:color="auto" w:fill="FFFFFF"/>
        <w:tabs>
          <w:tab w:val="left" w:pos="2940"/>
        </w:tabs>
        <w:spacing w:line="440" w:lineRule="exact"/>
        <w:ind w:firstLine="480"/>
        <w:jc w:val="left"/>
        <w:rPr>
          <w:kern w:val="0"/>
          <w:szCs w:val="20"/>
        </w:rPr>
      </w:pPr>
      <w:r>
        <w:rPr>
          <w:rFonts w:hint="eastAsia"/>
          <w:kern w:val="0"/>
          <w:szCs w:val="20"/>
        </w:rPr>
        <w:t>备品备件和专用工具清单；</w:t>
      </w:r>
    </w:p>
    <w:p>
      <w:pPr>
        <w:widowControl/>
        <w:numPr>
          <w:ilvl w:val="1"/>
          <w:numId w:val="16"/>
        </w:numPr>
        <w:shd w:val="clear" w:color="auto" w:fill="FFFFFF"/>
        <w:spacing w:line="440" w:lineRule="exact"/>
        <w:ind w:firstLine="480"/>
        <w:jc w:val="left"/>
        <w:rPr>
          <w:kern w:val="0"/>
          <w:szCs w:val="20"/>
        </w:rPr>
      </w:pPr>
      <w:r>
        <w:rPr>
          <w:rFonts w:hint="eastAsia"/>
          <w:kern w:val="0"/>
          <w:szCs w:val="20"/>
        </w:rPr>
        <w:t>卖方认为有必要提供的其他文件和技术资料。</w:t>
      </w:r>
    </w:p>
    <w:p>
      <w:pPr>
        <w:ind w:firstLine="480"/>
        <w:rPr>
          <w:rFonts w:ascii="Calibri" w:hAnsi="Calibri"/>
        </w:rPr>
      </w:pPr>
      <w:r>
        <w:rPr>
          <w:rFonts w:hint="eastAsia" w:ascii="Calibri" w:hAnsi="Calibri"/>
        </w:rPr>
        <w:t>三、专利权</w:t>
      </w:r>
    </w:p>
    <w:p>
      <w:pPr>
        <w:spacing w:line="440" w:lineRule="exact"/>
        <w:ind w:firstLine="480"/>
      </w:pPr>
      <w:r>
        <w:rPr>
          <w:rFonts w:hint="eastAsia"/>
        </w:rPr>
        <w:t>卖方应保护买方在使用该货物或其任何一部分时不受第三方提出侵犯专利权、商标权或工业设计权的指控。如果任何第三方提出侵权指控，卖方须与第三方交涉并承担可能发生的一切法律责任和费用。</w:t>
      </w:r>
    </w:p>
    <w:p>
      <w:pPr>
        <w:ind w:firstLine="480"/>
        <w:rPr>
          <w:rFonts w:ascii="Calibri" w:hAnsi="Calibri"/>
        </w:rPr>
      </w:pPr>
      <w:r>
        <w:rPr>
          <w:rFonts w:hint="eastAsia" w:ascii="Calibri" w:hAnsi="Calibri"/>
        </w:rPr>
        <w:t>四、交货地点</w:t>
      </w:r>
    </w:p>
    <w:p>
      <w:pPr>
        <w:ind w:firstLine="480"/>
        <w:rPr>
          <w:rFonts w:ascii="Calibri" w:hAnsi="Calibri"/>
        </w:rPr>
      </w:pPr>
    </w:p>
    <w:p>
      <w:pPr>
        <w:ind w:firstLine="480"/>
        <w:rPr>
          <w:rFonts w:ascii="Calibri" w:hAnsi="Calibri"/>
        </w:rPr>
      </w:pPr>
      <w:r>
        <w:rPr>
          <w:rFonts w:hint="eastAsia" w:ascii="Calibri" w:hAnsi="Calibri"/>
        </w:rPr>
        <w:t>五、设备发运、包装及运输</w:t>
      </w:r>
    </w:p>
    <w:p>
      <w:pPr>
        <w:numPr>
          <w:ilvl w:val="0"/>
          <w:numId w:val="17"/>
        </w:numPr>
        <w:spacing w:line="440" w:lineRule="exact"/>
        <w:ind w:firstLine="480"/>
      </w:pPr>
      <w:r>
        <w:rPr>
          <w:rFonts w:hint="eastAsia"/>
        </w:rPr>
        <w:t>在卖方已通知买方货物已备妥待运输后24小时之内，卖方将合同号、设备名称、数量、件数、每件包装箱的尺码、毛重及对货物的卸车、贮存和特殊要求等用电报或传真通知买方。</w:t>
      </w:r>
    </w:p>
    <w:p>
      <w:pPr>
        <w:numPr>
          <w:ilvl w:val="0"/>
          <w:numId w:val="17"/>
        </w:numPr>
        <w:spacing w:line="440" w:lineRule="exact"/>
        <w:ind w:firstLine="480"/>
      </w:pPr>
      <w:r>
        <w:rPr>
          <w:rFonts w:hint="eastAsia"/>
        </w:rPr>
        <w:t>除合同另有规定外，卖方提供的全部货物，均应采用国家或专业标准保护措施进行包装，使包装适宜于远距离运输、防潮、防震、防锈和防粗暴装卸，确保货物安全无损运抵现场。设备在移交买方确定的物业公司之前因包装不善造成的锈蚀、破损、丢失等均由卖方承担责任。</w:t>
      </w:r>
    </w:p>
    <w:p>
      <w:pPr>
        <w:numPr>
          <w:ilvl w:val="0"/>
          <w:numId w:val="17"/>
        </w:numPr>
        <w:spacing w:line="440" w:lineRule="exact"/>
        <w:ind w:firstLine="480"/>
      </w:pPr>
      <w:r>
        <w:rPr>
          <w:rFonts w:hint="eastAsia"/>
        </w:rPr>
        <w:t>卖方保证货物在装卸、运输中发生损坏或短缺后，在15日内给予调换和补齐缺件，不管其造成的原因如何，也不以办理索赔为由而拖延。</w:t>
      </w:r>
    </w:p>
    <w:p>
      <w:pPr>
        <w:numPr>
          <w:ilvl w:val="0"/>
          <w:numId w:val="17"/>
        </w:numPr>
        <w:spacing w:line="440" w:lineRule="exact"/>
        <w:ind w:firstLine="480"/>
      </w:pPr>
      <w:r>
        <w:rPr>
          <w:rFonts w:hint="eastAsia"/>
        </w:rPr>
        <w:t>装运标志</w:t>
      </w:r>
    </w:p>
    <w:p>
      <w:pPr>
        <w:spacing w:line="440" w:lineRule="exact"/>
        <w:ind w:left="480" w:hanging="480" w:hangingChars="200"/>
      </w:pPr>
      <w:r>
        <w:rPr>
          <w:rFonts w:hint="eastAsia"/>
        </w:rPr>
        <w:t>4.1包装箱外面应用不褪色的油漆，按规定打上清晰的包装标志。对无包装的设备应系有金属标签。对重量超过2吨以上的货物，应标明重心点和吊装点所在位置，卖方应在每件包装箱上，明显地标注下列标记：</w:t>
      </w:r>
    </w:p>
    <w:p>
      <w:pPr>
        <w:spacing w:line="440" w:lineRule="exact"/>
        <w:ind w:firstLine="504" w:firstLineChars="210"/>
      </w:pPr>
      <w:r>
        <w:rPr>
          <w:rFonts w:hint="eastAsia"/>
        </w:rPr>
        <w:t>(1) 收货人</w:t>
      </w:r>
    </w:p>
    <w:p>
      <w:pPr>
        <w:spacing w:line="440" w:lineRule="exact"/>
        <w:ind w:firstLine="480"/>
      </w:pPr>
      <w:r>
        <w:rPr>
          <w:rFonts w:hint="eastAsia"/>
        </w:rPr>
        <w:t>(2) 产品名称</w:t>
      </w:r>
    </w:p>
    <w:p>
      <w:pPr>
        <w:spacing w:line="440" w:lineRule="exact"/>
        <w:ind w:firstLine="480"/>
      </w:pPr>
      <w:r>
        <w:rPr>
          <w:rFonts w:hint="eastAsia"/>
        </w:rPr>
        <w:t>(3) 合同号</w:t>
      </w:r>
    </w:p>
    <w:p>
      <w:pPr>
        <w:spacing w:line="440" w:lineRule="exact"/>
        <w:ind w:firstLine="480"/>
      </w:pPr>
      <w:r>
        <w:rPr>
          <w:rFonts w:hint="eastAsia"/>
        </w:rPr>
        <w:t>(4) 品目号和箱号</w:t>
      </w:r>
    </w:p>
    <w:p>
      <w:pPr>
        <w:spacing w:line="440" w:lineRule="exact"/>
        <w:ind w:firstLine="480"/>
      </w:pPr>
      <w:r>
        <w:rPr>
          <w:rFonts w:hint="eastAsia"/>
        </w:rPr>
        <w:t>(5) 到达站或到货地点</w:t>
      </w:r>
    </w:p>
    <w:p>
      <w:pPr>
        <w:spacing w:line="440" w:lineRule="exact"/>
        <w:ind w:firstLine="480"/>
      </w:pPr>
      <w:r>
        <w:rPr>
          <w:rFonts w:hint="eastAsia"/>
        </w:rPr>
        <w:t>(6) 外形尺寸(长×宽×高)，以厘米计。</w:t>
      </w:r>
    </w:p>
    <w:p>
      <w:pPr>
        <w:spacing w:line="440" w:lineRule="exact"/>
        <w:ind w:firstLine="480"/>
      </w:pPr>
      <w:r>
        <w:rPr>
          <w:rFonts w:hint="eastAsia"/>
        </w:rPr>
        <w:t>4.2 不包装的金属结构件应将唛头标签系牢在结构件上．</w:t>
      </w:r>
    </w:p>
    <w:p>
      <w:pPr>
        <w:spacing w:line="440" w:lineRule="exact"/>
        <w:ind w:left="480" w:hanging="480" w:hangingChars="200"/>
      </w:pPr>
      <w:r>
        <w:rPr>
          <w:rFonts w:hint="eastAsia"/>
        </w:rPr>
        <w:t>4.3 卖方应根据设备特点，在包装箱上标明“小心轻放”、“请勿倒置”、“防潮”等字样和吊装标记。</w:t>
      </w:r>
    </w:p>
    <w:p>
      <w:pPr>
        <w:spacing w:line="440" w:lineRule="exact"/>
        <w:ind w:firstLine="480"/>
      </w:pPr>
      <w:r>
        <w:rPr>
          <w:rFonts w:hint="eastAsia"/>
        </w:rPr>
        <w:t>4.4 每件包装箱内应附一份详细装箱单和质量合格证。</w:t>
      </w:r>
    </w:p>
    <w:p>
      <w:pPr>
        <w:ind w:firstLine="480"/>
        <w:rPr>
          <w:rFonts w:ascii="Calibri" w:hAnsi="Calibri"/>
        </w:rPr>
      </w:pPr>
      <w:r>
        <w:rPr>
          <w:rFonts w:hint="eastAsia" w:ascii="Calibri" w:hAnsi="Calibri"/>
        </w:rPr>
        <w:t xml:space="preserve">六、交货期及交货方式 </w:t>
      </w:r>
    </w:p>
    <w:p>
      <w:pPr>
        <w:numPr>
          <w:ilvl w:val="0"/>
          <w:numId w:val="18"/>
        </w:numPr>
        <w:spacing w:line="440" w:lineRule="exact"/>
        <w:ind w:firstLine="482"/>
        <w:rPr>
          <w:b/>
        </w:rPr>
      </w:pPr>
      <w:r>
        <w:rPr>
          <w:rFonts w:hint="eastAsia"/>
          <w:b/>
        </w:rPr>
        <w:t>分批交货及安装，</w:t>
      </w:r>
      <w:r>
        <w:rPr>
          <w:rFonts w:hint="eastAsia"/>
          <w:highlight w:val="none"/>
        </w:rPr>
        <w:t>装配式主体结构和设备供货时间  日，施工工期  日。</w:t>
      </w:r>
    </w:p>
    <w:p>
      <w:pPr>
        <w:numPr>
          <w:ilvl w:val="0"/>
          <w:numId w:val="18"/>
        </w:numPr>
        <w:spacing w:line="440" w:lineRule="exact"/>
        <w:ind w:firstLine="482"/>
      </w:pPr>
      <w:r>
        <w:rPr>
          <w:rFonts w:hint="eastAsia"/>
          <w:b/>
        </w:rPr>
        <w:t>交货方式为交钥匙工程</w:t>
      </w:r>
      <w:r>
        <w:rPr>
          <w:rFonts w:hint="eastAsia"/>
        </w:rPr>
        <w:t>，总价为交付使用价格，即包括设备供货和安装所需的零星土建，现场开挖后涉及到电力、水务、燃气、华数、电信、移动、联通等单位的管线需要配合相关单位综合管线迁移，涉及其它管线的需自行完成管线迁移，同时完成上述所涉及的开挖及开挖复原（修复）工作地面开挖、开挖复原（修复）和配合管线单位迁移，整体装配式主体结构及电梯设备、安装、调试、装饰、试运行、设备供货、运输、卸货吊装、质监部门验收、质保期内的维修保养项目及年检费等。电梯安装时对原有构筑物的改动需完成修复及复原等。政策性文件规定及合同包含的所有风险、责任等各项全部费用（完成招标文件所附电梯设备内容及有关技术条款中所描述的一切要求所需费用）。</w:t>
      </w:r>
    </w:p>
    <w:p>
      <w:pPr>
        <w:ind w:firstLine="480"/>
        <w:rPr>
          <w:rFonts w:ascii="Calibri" w:hAnsi="Calibri"/>
        </w:rPr>
      </w:pPr>
      <w:r>
        <w:rPr>
          <w:rFonts w:hint="eastAsia" w:ascii="Calibri" w:hAnsi="Calibri"/>
        </w:rPr>
        <w:t>七、合同的转让和分包</w:t>
      </w:r>
    </w:p>
    <w:p>
      <w:pPr>
        <w:widowControl/>
        <w:shd w:val="clear" w:color="auto" w:fill="FFFFFF"/>
        <w:spacing w:line="440" w:lineRule="exact"/>
        <w:ind w:firstLine="480"/>
        <w:jc w:val="left"/>
        <w:rPr>
          <w:kern w:val="0"/>
        </w:rPr>
      </w:pPr>
      <w:r>
        <w:rPr>
          <w:rFonts w:hint="eastAsia"/>
          <w:kern w:val="0"/>
        </w:rPr>
        <w:t>1、未经买方书面同意，卖方不得将合同产品的制造、安装工作转包给第三方。</w:t>
      </w:r>
    </w:p>
    <w:p>
      <w:pPr>
        <w:widowControl/>
        <w:shd w:val="clear" w:color="auto" w:fill="FFFFFF"/>
        <w:spacing w:line="440" w:lineRule="exact"/>
        <w:ind w:firstLine="480"/>
        <w:jc w:val="left"/>
        <w:rPr>
          <w:kern w:val="0"/>
        </w:rPr>
      </w:pPr>
      <w:r>
        <w:rPr>
          <w:rFonts w:hint="eastAsia"/>
          <w:kern w:val="0"/>
        </w:rPr>
        <w:t>2、卖方在投标文件中说明外购和自制的零部件不得扩散到其它厂生产。</w:t>
      </w:r>
    </w:p>
    <w:p>
      <w:pPr>
        <w:widowControl/>
        <w:shd w:val="clear" w:color="auto" w:fill="FFFFFF"/>
        <w:spacing w:line="440" w:lineRule="exact"/>
        <w:ind w:firstLine="480"/>
        <w:jc w:val="left"/>
        <w:rPr>
          <w:kern w:val="0"/>
        </w:rPr>
      </w:pPr>
      <w:r>
        <w:rPr>
          <w:rFonts w:hint="eastAsia"/>
          <w:kern w:val="0"/>
        </w:rPr>
        <w:t>3、虽然卖方在投标文件中对外购的零部件作了说明且得到买方认可，但卖方仍应对这些零部件的质量和技术性能负全部责任。</w:t>
      </w:r>
    </w:p>
    <w:p>
      <w:pPr>
        <w:ind w:firstLine="480"/>
        <w:rPr>
          <w:rFonts w:ascii="Calibri" w:hAnsi="Calibri"/>
        </w:rPr>
      </w:pPr>
      <w:r>
        <w:rPr>
          <w:rFonts w:hint="eastAsia" w:ascii="Calibri" w:hAnsi="Calibri"/>
        </w:rPr>
        <w:t>八、安装</w:t>
      </w:r>
    </w:p>
    <w:p>
      <w:pPr>
        <w:widowControl/>
        <w:shd w:val="clear" w:color="auto" w:fill="FFFFFF"/>
        <w:spacing w:line="440" w:lineRule="exact"/>
        <w:ind w:firstLine="480"/>
        <w:jc w:val="left"/>
        <w:rPr>
          <w:kern w:val="0"/>
        </w:rPr>
      </w:pPr>
      <w:r>
        <w:rPr>
          <w:rFonts w:hint="eastAsia"/>
          <w:kern w:val="0"/>
        </w:rPr>
        <w:t>未经买方书面同意，卖方不得更换安装队伍，否则安装费不予支付。</w:t>
      </w:r>
    </w:p>
    <w:p>
      <w:pPr>
        <w:ind w:firstLine="480"/>
        <w:rPr>
          <w:rFonts w:ascii="Calibri" w:hAnsi="Calibri"/>
        </w:rPr>
      </w:pPr>
      <w:r>
        <w:rPr>
          <w:rFonts w:hint="eastAsia" w:ascii="Calibri" w:hAnsi="Calibri"/>
        </w:rPr>
        <w:t>九、质量、技术标准</w:t>
      </w:r>
    </w:p>
    <w:p>
      <w:pPr>
        <w:widowControl/>
        <w:shd w:val="clear" w:color="auto" w:fill="FFFFFF"/>
        <w:spacing w:line="440" w:lineRule="exact"/>
        <w:ind w:firstLine="480"/>
        <w:jc w:val="left"/>
        <w:rPr>
          <w:kern w:val="0"/>
        </w:rPr>
      </w:pPr>
      <w:r>
        <w:rPr>
          <w:rFonts w:hint="eastAsia"/>
          <w:kern w:val="0"/>
        </w:rPr>
        <w:t>产品的质量、技术标准按招标文件和投标文件。</w:t>
      </w:r>
    </w:p>
    <w:p>
      <w:pPr>
        <w:ind w:firstLine="480"/>
        <w:rPr>
          <w:rFonts w:ascii="Calibri" w:hAnsi="Calibri"/>
        </w:rPr>
      </w:pPr>
      <w:r>
        <w:rPr>
          <w:rFonts w:hint="eastAsia" w:ascii="Calibri" w:hAnsi="Calibri"/>
        </w:rPr>
        <w:t>十、质量保证</w:t>
      </w:r>
    </w:p>
    <w:p>
      <w:pPr>
        <w:widowControl/>
        <w:shd w:val="clear" w:color="auto" w:fill="FFFFFF"/>
        <w:spacing w:line="440" w:lineRule="exact"/>
        <w:ind w:firstLine="480"/>
        <w:jc w:val="left"/>
        <w:rPr>
          <w:kern w:val="0"/>
        </w:rPr>
      </w:pPr>
      <w:r>
        <w:rPr>
          <w:rFonts w:hint="eastAsia"/>
          <w:kern w:val="0"/>
        </w:rPr>
        <w:t>1、卖方应按合同规定的设备性能、质量标准向买方提供未经使用的全新设备。</w:t>
      </w:r>
    </w:p>
    <w:p>
      <w:pPr>
        <w:widowControl/>
        <w:shd w:val="clear" w:color="auto" w:fill="FFFFFF"/>
        <w:spacing w:line="440" w:lineRule="exact"/>
        <w:ind w:left="372" w:hanging="372" w:hangingChars="155"/>
        <w:jc w:val="left"/>
        <w:rPr>
          <w:kern w:val="0"/>
        </w:rPr>
      </w:pPr>
      <w:r>
        <w:rPr>
          <w:rFonts w:hint="eastAsia"/>
          <w:kern w:val="0"/>
        </w:rPr>
        <w:t>2、买方有权提出在货物制造过程中派人到制造厂进行监造，卖方有义务为买方监造人员提供方便。</w:t>
      </w:r>
    </w:p>
    <w:p>
      <w:pPr>
        <w:widowControl/>
        <w:shd w:val="clear" w:color="auto" w:fill="FFFFFF"/>
        <w:spacing w:line="440" w:lineRule="exact"/>
        <w:ind w:left="343" w:hanging="343" w:hangingChars="143"/>
        <w:jc w:val="left"/>
        <w:rPr>
          <w:kern w:val="0"/>
        </w:rPr>
      </w:pPr>
      <w:r>
        <w:rPr>
          <w:rFonts w:hint="eastAsia"/>
          <w:kern w:val="0"/>
        </w:rPr>
        <w:t>3、卖方保证按IS09000系列标准(如果已经执行)或相应的质量管理和质量保证体系，对所供设备的设计、采购、制造、检验、涂装、包装、安装、调试等各个环节进行严格的质量管理和质量控制。</w:t>
      </w:r>
    </w:p>
    <w:p>
      <w:pPr>
        <w:widowControl/>
        <w:shd w:val="clear" w:color="auto" w:fill="FFFFFF"/>
        <w:spacing w:line="440" w:lineRule="exact"/>
        <w:ind w:left="358" w:hanging="357" w:hangingChars="149"/>
        <w:jc w:val="left"/>
        <w:rPr>
          <w:kern w:val="0"/>
        </w:rPr>
      </w:pPr>
      <w:r>
        <w:rPr>
          <w:rFonts w:hint="eastAsia"/>
          <w:kern w:val="0"/>
        </w:rPr>
        <w:t>4、卖方保证所提供的设备在正确安装、正常使用和维护保养的情况下，具有使买方满意的使用性能和使用寿命。</w:t>
      </w:r>
    </w:p>
    <w:p>
      <w:pPr>
        <w:widowControl/>
        <w:shd w:val="clear" w:color="auto" w:fill="FFFFFF"/>
        <w:spacing w:line="440" w:lineRule="exact"/>
        <w:ind w:left="360" w:hanging="360" w:hangingChars="143"/>
        <w:jc w:val="left"/>
        <w:rPr>
          <w:kern w:val="0"/>
          <w:szCs w:val="20"/>
        </w:rPr>
      </w:pPr>
      <w:r>
        <w:rPr>
          <w:rFonts w:hint="eastAsia"/>
          <w:spacing w:val="6"/>
          <w:kern w:val="24"/>
        </w:rPr>
        <w:t>5、</w:t>
      </w:r>
      <w:r>
        <w:rPr>
          <w:rFonts w:hint="eastAsia"/>
          <w:kern w:val="0"/>
          <w:szCs w:val="20"/>
        </w:rPr>
        <w:t>卖方提供设备的质量保证期为现场安装完毕，</w:t>
      </w:r>
      <w:r>
        <w:rPr>
          <w:rFonts w:hint="eastAsia"/>
          <w:b/>
          <w:kern w:val="0"/>
          <w:szCs w:val="20"/>
        </w:rPr>
        <w:t>通过当地质量技术监督局验收合格并签发合格证书及通过当地有关部门的综合验收后，移交招标人或招标人确定的物业公司之日起24个月内</w:t>
      </w:r>
      <w:r>
        <w:rPr>
          <w:rFonts w:hint="eastAsia"/>
          <w:kern w:val="0"/>
          <w:szCs w:val="20"/>
        </w:rPr>
        <w:t>。在质保期内因设备本身的质量问题发生故障，卖方应负责免费修理和更换零部件。对达不到使用要求者，经双方协商，可按以下办法处理：</w:t>
      </w:r>
    </w:p>
    <w:p>
      <w:pPr>
        <w:widowControl/>
        <w:shd w:val="clear" w:color="auto" w:fill="FFFFFF"/>
        <w:spacing w:line="440" w:lineRule="exact"/>
        <w:ind w:left="1104" w:leftChars="260" w:hanging="480" w:hangingChars="200"/>
        <w:jc w:val="left"/>
        <w:rPr>
          <w:kern w:val="0"/>
        </w:rPr>
      </w:pPr>
      <w:r>
        <w:rPr>
          <w:rFonts w:hint="eastAsia"/>
          <w:kern w:val="0"/>
        </w:rPr>
        <w:t>(1) 退货处理：卖方应退还买方支付的设备款，同时应承担该设备的直接费用(运输、保险、检验、安装调试、设备款利息及银行手续费等)。</w:t>
      </w:r>
    </w:p>
    <w:p>
      <w:pPr>
        <w:widowControl/>
        <w:shd w:val="clear" w:color="auto" w:fill="FFFFFF"/>
        <w:spacing w:line="440" w:lineRule="exact"/>
        <w:ind w:firstLine="480"/>
        <w:jc w:val="left"/>
        <w:rPr>
          <w:kern w:val="0"/>
        </w:rPr>
      </w:pPr>
      <w:r>
        <w:rPr>
          <w:rFonts w:hint="eastAsia"/>
          <w:kern w:val="0"/>
        </w:rPr>
        <w:t>(2) 更换设备：由卖方承担所发生的直接费用。</w:t>
      </w:r>
    </w:p>
    <w:p>
      <w:pPr>
        <w:widowControl/>
        <w:shd w:val="clear" w:color="auto" w:fill="FFFFFF"/>
        <w:spacing w:line="440" w:lineRule="exact"/>
        <w:ind w:left="343" w:hanging="343" w:hangingChars="143"/>
        <w:jc w:val="left"/>
        <w:rPr>
          <w:kern w:val="0"/>
        </w:rPr>
      </w:pPr>
      <w:r>
        <w:rPr>
          <w:rFonts w:hint="eastAsia"/>
          <w:kern w:val="0"/>
        </w:rPr>
        <w:t>6、在设备安装调试阶段，卖方应及时派出现场服务人员，处理现场发生的有关质量技术问题，免费派人安装调试。安装人员应具有相应的资质证书，买方有权验证有关资质证书。</w:t>
      </w:r>
    </w:p>
    <w:p>
      <w:pPr>
        <w:widowControl/>
        <w:shd w:val="clear" w:color="auto" w:fill="FFFFFF"/>
        <w:spacing w:line="440" w:lineRule="exact"/>
        <w:ind w:left="329" w:hanging="328" w:hangingChars="137"/>
        <w:jc w:val="left"/>
        <w:rPr>
          <w:kern w:val="0"/>
        </w:rPr>
      </w:pPr>
      <w:r>
        <w:rPr>
          <w:rFonts w:hint="eastAsia"/>
          <w:kern w:val="0"/>
        </w:rPr>
        <w:t>7、在使用过程中如发生质量问题，卖方必须在接到买方通知后1小时内到达买方现场，并按照招标文件要求及投标承诺，提供不间断的服务直到质量问题得到解决。</w:t>
      </w:r>
    </w:p>
    <w:p>
      <w:pPr>
        <w:ind w:firstLine="480"/>
        <w:rPr>
          <w:rFonts w:ascii="Calibri" w:hAnsi="Calibri"/>
        </w:rPr>
      </w:pPr>
      <w:r>
        <w:rPr>
          <w:rFonts w:hint="eastAsia" w:ascii="Calibri" w:hAnsi="Calibri"/>
        </w:rPr>
        <w:t>十一、验收</w:t>
      </w:r>
    </w:p>
    <w:p>
      <w:pPr>
        <w:widowControl/>
        <w:shd w:val="clear" w:color="auto" w:fill="FFFFFF"/>
        <w:spacing w:line="440" w:lineRule="exact"/>
        <w:ind w:firstLine="0" w:firstLineChars="0"/>
        <w:jc w:val="left"/>
        <w:rPr>
          <w:kern w:val="0"/>
        </w:rPr>
      </w:pPr>
      <w:r>
        <w:rPr>
          <w:rFonts w:hint="eastAsia"/>
          <w:kern w:val="0"/>
        </w:rPr>
        <w:t xml:space="preserve">1、设备到达现场后，卖方应派人参与买方的开箱检验工作。 </w:t>
      </w:r>
    </w:p>
    <w:p>
      <w:pPr>
        <w:widowControl/>
        <w:shd w:val="clear" w:color="auto" w:fill="FFFFFF"/>
        <w:spacing w:line="440" w:lineRule="exact"/>
        <w:ind w:left="358" w:hanging="357" w:hangingChars="149"/>
        <w:jc w:val="left"/>
        <w:rPr>
          <w:kern w:val="0"/>
        </w:rPr>
      </w:pPr>
      <w:r>
        <w:rPr>
          <w:rFonts w:hint="eastAsia"/>
          <w:kern w:val="0"/>
        </w:rPr>
        <w:t>2、卖方交货前应按合同规定的检验方法，作出全面检测。其记录附在质量证明书内。但有关质量、规格、性能、数量或重量的检验不应视为最终检验。卖方检验的结果和详细要求应在质量说明书中加以说明。</w:t>
      </w:r>
    </w:p>
    <w:p>
      <w:pPr>
        <w:widowControl/>
        <w:shd w:val="clear" w:color="auto" w:fill="FFFFFF"/>
        <w:spacing w:line="440" w:lineRule="exact"/>
        <w:ind w:left="372" w:hanging="372" w:hangingChars="155"/>
        <w:jc w:val="left"/>
        <w:rPr>
          <w:kern w:val="0"/>
        </w:rPr>
      </w:pPr>
      <w:r>
        <w:rPr>
          <w:rFonts w:hint="eastAsia"/>
          <w:kern w:val="0"/>
        </w:rPr>
        <w:t>3、系统的安装、调试结束后，经过一个月的试运转考核无故障，并经有关部门的检验合格后，买卖双方共同签署验收合格证书。</w:t>
      </w:r>
    </w:p>
    <w:p>
      <w:pPr>
        <w:widowControl/>
        <w:shd w:val="clear" w:color="auto" w:fill="FFFFFF"/>
        <w:spacing w:line="440" w:lineRule="exact"/>
        <w:ind w:left="343" w:hanging="343" w:hangingChars="143"/>
        <w:jc w:val="left"/>
        <w:rPr>
          <w:kern w:val="0"/>
        </w:rPr>
      </w:pPr>
      <w:r>
        <w:rPr>
          <w:rFonts w:hint="eastAsia"/>
          <w:kern w:val="0"/>
        </w:rPr>
        <w:t>4、其中的进口部件不论何时（验收时或日后维修时）发现不符投标文件中的型号规格，卖方将承担违约责任。</w:t>
      </w:r>
    </w:p>
    <w:p>
      <w:pPr>
        <w:ind w:firstLine="480"/>
        <w:rPr>
          <w:rFonts w:ascii="Calibri" w:hAnsi="Calibri"/>
        </w:rPr>
      </w:pPr>
      <w:r>
        <w:rPr>
          <w:rFonts w:hint="eastAsia" w:ascii="Calibri" w:hAnsi="Calibri"/>
        </w:rPr>
        <w:t>十二、售后服务承诺</w:t>
      </w:r>
    </w:p>
    <w:p>
      <w:pPr>
        <w:widowControl/>
        <w:shd w:val="clear" w:color="auto" w:fill="FFFFFF"/>
        <w:spacing w:line="440" w:lineRule="exact"/>
        <w:ind w:firstLine="480"/>
        <w:jc w:val="left"/>
        <w:rPr>
          <w:kern w:val="0"/>
        </w:rPr>
      </w:pPr>
      <w:r>
        <w:rPr>
          <w:rFonts w:hint="eastAsia"/>
          <w:kern w:val="0"/>
        </w:rPr>
        <w:t>无论在质量保证期内还是保证期满后，一旦电梯发生故障，而买方无法自行排除时，在收到买方通知后，卖方应在1小时内派人前往买方现场处理并及时提供备品备件，按照招标文件要求及投标承诺，提供不间断的服务直到质量问题得到解决，质保期内备品备件免费更换。</w:t>
      </w:r>
    </w:p>
    <w:p>
      <w:pPr>
        <w:ind w:firstLine="480"/>
        <w:rPr>
          <w:rFonts w:ascii="Calibri" w:hAnsi="Calibri"/>
        </w:rPr>
      </w:pPr>
      <w:r>
        <w:rPr>
          <w:rFonts w:hint="eastAsia" w:ascii="Calibri" w:hAnsi="Calibri"/>
        </w:rPr>
        <w:t>十三、违约责任</w:t>
      </w:r>
    </w:p>
    <w:p>
      <w:pPr>
        <w:widowControl/>
        <w:shd w:val="clear" w:color="auto" w:fill="FFFFFF"/>
        <w:spacing w:line="440" w:lineRule="exact"/>
        <w:ind w:left="343" w:hanging="343" w:hangingChars="143"/>
        <w:jc w:val="left"/>
        <w:rPr>
          <w:kern w:val="0"/>
        </w:rPr>
      </w:pPr>
      <w:r>
        <w:rPr>
          <w:rFonts w:hint="eastAsia"/>
          <w:kern w:val="0"/>
        </w:rPr>
        <w:t>1、凡设备在开箱检验、安装调试、设备试运转过程中发现的设备质量问题，由卖方负责处理，实行包换、包退、直至产品符合质量要求。或在买方同意的前提下，降价处理。卖方承担调换、退货发生的一切费用和买方的直接经济损失。</w:t>
      </w:r>
    </w:p>
    <w:p>
      <w:pPr>
        <w:ind w:firstLine="480"/>
        <w:rPr>
          <w:rFonts w:ascii="Calibri" w:hAnsi="Calibri"/>
        </w:rPr>
      </w:pPr>
      <w:r>
        <w:rPr>
          <w:rFonts w:hint="eastAsia" w:ascii="Calibri" w:hAnsi="Calibri"/>
        </w:rPr>
        <w:t>十四、违约赔偿</w:t>
      </w:r>
    </w:p>
    <w:p>
      <w:pPr>
        <w:widowControl/>
        <w:shd w:val="clear" w:color="auto" w:fill="FFFFFF"/>
        <w:spacing w:line="440" w:lineRule="exact"/>
        <w:ind w:firstLine="480"/>
        <w:jc w:val="left"/>
        <w:rPr>
          <w:kern w:val="0"/>
          <w:szCs w:val="20"/>
        </w:rPr>
      </w:pPr>
      <w:r>
        <w:rPr>
          <w:rFonts w:hint="eastAsia"/>
          <w:kern w:val="0"/>
          <w:szCs w:val="20"/>
        </w:rPr>
        <w:t>除不可抗力外以，如卖方发生不能按期交货或提供服务，买方发生中途退货等情况，应及时以书面形式通知对方。买卖双方应本着友好的态度进行协商，妥善解决。如协商无效，按下列规定计算并支付违约金。</w:t>
      </w:r>
    </w:p>
    <w:p>
      <w:pPr>
        <w:widowControl/>
        <w:shd w:val="clear" w:color="auto" w:fill="FFFFFF"/>
        <w:spacing w:before="156" w:beforeLines="50" w:after="156" w:afterLines="50" w:line="440" w:lineRule="exact"/>
        <w:ind w:firstLine="0" w:firstLineChars="0"/>
        <w:jc w:val="left"/>
        <w:rPr>
          <w:b/>
          <w:bCs/>
          <w:color w:val="FF0000"/>
          <w:kern w:val="0"/>
        </w:rPr>
      </w:pPr>
      <w:r>
        <w:rPr>
          <w:rFonts w:hint="eastAsia"/>
          <w:b/>
          <w:bCs/>
          <w:color w:val="FF0000"/>
          <w:kern w:val="0"/>
        </w:rPr>
        <w:t>1、逾期交货：</w:t>
      </w:r>
    </w:p>
    <w:p>
      <w:pPr>
        <w:widowControl/>
        <w:shd w:val="clear" w:color="auto" w:fill="FFFFFF"/>
        <w:spacing w:line="440" w:lineRule="exact"/>
        <w:ind w:firstLine="480"/>
        <w:jc w:val="left"/>
        <w:rPr>
          <w:kern w:val="0"/>
          <w:szCs w:val="20"/>
        </w:rPr>
      </w:pPr>
      <w:r>
        <w:rPr>
          <w:rFonts w:hint="eastAsia"/>
          <w:kern w:val="0"/>
          <w:szCs w:val="20"/>
        </w:rPr>
        <w:t>卖方逾期交货，按逾期交货部分总价计算向买方赔偿违约金，每逾期一天，罚款2‰。但整机中的零部件逾期交货，按整机逾期交货计算罚金。</w:t>
      </w:r>
    </w:p>
    <w:p>
      <w:pPr>
        <w:widowControl/>
        <w:shd w:val="clear" w:color="auto" w:fill="FFFFFF"/>
        <w:spacing w:before="156" w:beforeLines="50" w:after="156" w:afterLines="50" w:line="440" w:lineRule="exact"/>
        <w:ind w:firstLine="0" w:firstLineChars="0"/>
        <w:jc w:val="left"/>
        <w:rPr>
          <w:b/>
          <w:bCs/>
          <w:kern w:val="0"/>
        </w:rPr>
      </w:pPr>
      <w:r>
        <w:rPr>
          <w:rFonts w:hint="eastAsia"/>
          <w:b/>
          <w:bCs/>
          <w:kern w:val="0"/>
        </w:rPr>
        <w:t>2、卖方不能交货或买方中途退货：</w:t>
      </w:r>
    </w:p>
    <w:p>
      <w:pPr>
        <w:widowControl/>
        <w:shd w:val="clear" w:color="auto" w:fill="FFFFFF"/>
        <w:spacing w:line="440" w:lineRule="exact"/>
        <w:ind w:firstLine="400" w:firstLineChars="167"/>
        <w:jc w:val="left"/>
        <w:rPr>
          <w:kern w:val="0"/>
        </w:rPr>
      </w:pPr>
      <w:r>
        <w:rPr>
          <w:rFonts w:hint="eastAsia"/>
          <w:kern w:val="0"/>
        </w:rPr>
        <w:t>卖方不能交货，应向买方偿付违约金。通用设备按不能交货部分货款价值的10％；专用设备按不能交货部分的30％。同时履约保证金不予退还。</w:t>
      </w:r>
    </w:p>
    <w:p>
      <w:pPr>
        <w:widowControl/>
        <w:shd w:val="clear" w:color="auto" w:fill="FFFFFF"/>
        <w:spacing w:line="440" w:lineRule="exact"/>
        <w:ind w:firstLine="400" w:firstLineChars="167"/>
        <w:jc w:val="left"/>
        <w:rPr>
          <w:kern w:val="0"/>
        </w:rPr>
      </w:pPr>
      <w:r>
        <w:rPr>
          <w:rFonts w:hint="eastAsia"/>
          <w:kern w:val="0"/>
        </w:rPr>
        <w:t>买方中途退货，应向卖方偿付违约金。违约金的计算方法与卖方违约相同。</w:t>
      </w:r>
    </w:p>
    <w:p>
      <w:pPr>
        <w:widowControl/>
        <w:shd w:val="clear" w:color="auto" w:fill="FFFFFF"/>
        <w:spacing w:line="440" w:lineRule="exact"/>
        <w:ind w:firstLine="0" w:firstLineChars="0"/>
        <w:jc w:val="left"/>
        <w:rPr>
          <w:kern w:val="0"/>
        </w:rPr>
      </w:pPr>
      <w:r>
        <w:rPr>
          <w:rFonts w:hint="eastAsia"/>
          <w:kern w:val="0"/>
        </w:rPr>
        <w:t>3、逾期交货的违约赔偿最高限额为迟交货合同总价的5％，如违约金达到量高限额时卖方仍不能交货，买方有权终止合同。</w:t>
      </w:r>
    </w:p>
    <w:p>
      <w:pPr>
        <w:widowControl/>
        <w:shd w:val="clear" w:color="auto" w:fill="FFFFFF"/>
        <w:spacing w:line="440" w:lineRule="exact"/>
        <w:ind w:firstLine="0" w:firstLineChars="0"/>
        <w:jc w:val="left"/>
        <w:rPr>
          <w:kern w:val="0"/>
        </w:rPr>
      </w:pPr>
      <w:r>
        <w:rPr>
          <w:rFonts w:hint="eastAsia"/>
          <w:kern w:val="0"/>
        </w:rPr>
        <w:t>4、如卖方未能履行合同规定的任何一项义务，买方均有权从履约保证金中得到补偿。</w:t>
      </w:r>
    </w:p>
    <w:p>
      <w:pPr>
        <w:ind w:firstLine="480"/>
        <w:rPr>
          <w:rFonts w:ascii="Calibri" w:hAnsi="Calibri"/>
        </w:rPr>
      </w:pPr>
      <w:r>
        <w:rPr>
          <w:rFonts w:hint="eastAsia" w:ascii="Calibri" w:hAnsi="Calibri"/>
        </w:rPr>
        <w:t>十五、违约中止合同</w:t>
      </w:r>
    </w:p>
    <w:p>
      <w:pPr>
        <w:widowControl/>
        <w:shd w:val="clear" w:color="auto" w:fill="FFFFFF"/>
        <w:spacing w:line="440" w:lineRule="exact"/>
        <w:ind w:firstLine="0" w:firstLineChars="0"/>
        <w:jc w:val="left"/>
        <w:rPr>
          <w:kern w:val="0"/>
        </w:rPr>
      </w:pPr>
      <w:r>
        <w:rPr>
          <w:rFonts w:hint="eastAsia"/>
          <w:kern w:val="0"/>
        </w:rPr>
        <w:t>1、买方在卖方存在如下违约情况时，有权考虑并提出终止全部或部分合同。</w:t>
      </w:r>
    </w:p>
    <w:p>
      <w:pPr>
        <w:widowControl/>
        <w:shd w:val="clear" w:color="auto" w:fill="FFFFFF"/>
        <w:spacing w:line="440" w:lineRule="exact"/>
        <w:ind w:firstLine="271" w:firstLineChars="113"/>
        <w:jc w:val="left"/>
        <w:rPr>
          <w:kern w:val="0"/>
        </w:rPr>
      </w:pPr>
      <w:r>
        <w:rPr>
          <w:rFonts w:hint="eastAsia"/>
          <w:kern w:val="0"/>
        </w:rPr>
        <w:t>(1) 卖方未能在合同规定期限或买方同意延长的期限内交付全部或部分设备。</w:t>
      </w:r>
    </w:p>
    <w:p>
      <w:pPr>
        <w:widowControl/>
        <w:shd w:val="clear" w:color="auto" w:fill="FFFFFF"/>
        <w:spacing w:line="440" w:lineRule="exact"/>
        <w:ind w:firstLine="271" w:firstLineChars="113"/>
        <w:jc w:val="left"/>
        <w:rPr>
          <w:kern w:val="0"/>
        </w:rPr>
      </w:pPr>
      <w:r>
        <w:rPr>
          <w:rFonts w:hint="eastAsia"/>
          <w:kern w:val="0"/>
        </w:rPr>
        <w:t>(2) 卖方未能履行合同规定的其他义务。</w:t>
      </w:r>
    </w:p>
    <w:p>
      <w:pPr>
        <w:widowControl/>
        <w:shd w:val="clear" w:color="auto" w:fill="FFFFFF"/>
        <w:spacing w:line="440" w:lineRule="exact"/>
        <w:ind w:firstLine="271" w:firstLineChars="113"/>
        <w:jc w:val="left"/>
        <w:rPr>
          <w:kern w:val="0"/>
        </w:rPr>
      </w:pPr>
      <w:r>
        <w:rPr>
          <w:rFonts w:hint="eastAsia"/>
          <w:kern w:val="0"/>
        </w:rPr>
        <w:t>(3) 在发生上述情况后，卖方收到买方的违约通知后30天内未能纠正其过失。</w:t>
      </w:r>
    </w:p>
    <w:p>
      <w:pPr>
        <w:widowControl/>
        <w:shd w:val="clear" w:color="auto" w:fill="FFFFFF"/>
        <w:spacing w:line="440" w:lineRule="exact"/>
        <w:ind w:firstLine="0" w:firstLineChars="0"/>
        <w:jc w:val="left"/>
        <w:rPr>
          <w:kern w:val="0"/>
        </w:rPr>
      </w:pPr>
      <w:r>
        <w:rPr>
          <w:rFonts w:hint="eastAsia"/>
          <w:kern w:val="0"/>
        </w:rPr>
        <w:t>2、卖方应继续执行合同中未中止部分。</w:t>
      </w:r>
    </w:p>
    <w:p>
      <w:pPr>
        <w:widowControl/>
        <w:shd w:val="clear" w:color="auto" w:fill="FFFFFF"/>
        <w:spacing w:line="440" w:lineRule="exact"/>
        <w:ind w:firstLine="0" w:firstLineChars="0"/>
        <w:jc w:val="left"/>
        <w:rPr>
          <w:kern w:val="0"/>
        </w:rPr>
      </w:pPr>
      <w:r>
        <w:rPr>
          <w:rFonts w:hint="eastAsia"/>
          <w:kern w:val="0"/>
        </w:rPr>
        <w:t>3、在买方提出终止部分合同的情况下，并不解除卖方未能在合同规定期限或买方同意延长的期限内交付全部或部分设备的产品质量责任。</w:t>
      </w:r>
    </w:p>
    <w:p>
      <w:pPr>
        <w:ind w:firstLine="482"/>
        <w:rPr>
          <w:rFonts w:ascii="Calibri" w:hAnsi="Calibri"/>
          <w:b/>
        </w:rPr>
      </w:pPr>
      <w:r>
        <w:rPr>
          <w:rFonts w:hint="eastAsia" w:ascii="Calibri" w:hAnsi="Calibri"/>
          <w:b/>
        </w:rPr>
        <w:t>第二部分：安装条款</w:t>
      </w:r>
    </w:p>
    <w:p>
      <w:pPr>
        <w:numPr>
          <w:ilvl w:val="0"/>
          <w:numId w:val="19"/>
        </w:numPr>
        <w:ind w:firstLine="480"/>
        <w:rPr>
          <w:rFonts w:ascii="Calibri" w:hAnsi="Calibri"/>
        </w:rPr>
      </w:pPr>
      <w:r>
        <w:rPr>
          <w:rFonts w:hint="eastAsia" w:ascii="Calibri" w:hAnsi="Calibri"/>
        </w:rPr>
        <w:t>土建要求</w:t>
      </w:r>
    </w:p>
    <w:p>
      <w:pPr>
        <w:ind w:firstLine="480"/>
        <w:rPr>
          <w:rFonts w:ascii="Calibri" w:hAnsi="Calibri"/>
        </w:rPr>
      </w:pPr>
      <w:r>
        <w:rPr>
          <w:rFonts w:hint="eastAsia" w:ascii="Calibri" w:hAnsi="Calibri"/>
        </w:rPr>
        <w:t>买方的建筑土建必须符合甲乙双方确认的图纸，以及相应的建筑工程质量要求。由于</w:t>
      </w:r>
      <w:r>
        <w:rPr>
          <w:rFonts w:hint="eastAsia"/>
          <w:szCs w:val="21"/>
        </w:rPr>
        <w:t>本项目涉及到墙面开洞，如</w:t>
      </w:r>
      <w:r>
        <w:rPr>
          <w:rFonts w:hint="eastAsia" w:ascii="Calibri" w:hAnsi="Calibri"/>
        </w:rPr>
        <w:t>发现不符合上述规定要求的，均由卖方负责。</w:t>
      </w:r>
    </w:p>
    <w:p>
      <w:pPr>
        <w:numPr>
          <w:ilvl w:val="0"/>
          <w:numId w:val="19"/>
        </w:numPr>
        <w:ind w:firstLine="480"/>
        <w:rPr>
          <w:rFonts w:ascii="Calibri" w:hAnsi="Calibri"/>
        </w:rPr>
      </w:pPr>
      <w:r>
        <w:rPr>
          <w:rFonts w:hint="eastAsia" w:ascii="Calibri" w:hAnsi="Calibri"/>
        </w:rPr>
        <w:t>安装资格保证</w:t>
      </w:r>
    </w:p>
    <w:p>
      <w:pPr>
        <w:ind w:firstLine="480"/>
        <w:rPr>
          <w:rFonts w:ascii="Calibri" w:hAnsi="Calibri"/>
        </w:rPr>
      </w:pPr>
      <w:r>
        <w:rPr>
          <w:rFonts w:hint="eastAsia" w:ascii="Calibri" w:hAnsi="Calibri"/>
        </w:rPr>
        <w:t>按照国务院《特种设备安全监察条例》（第373号令）规定，本合同所设计的产品由获得国家电梯安装</w:t>
      </w:r>
      <w:r>
        <w:rPr>
          <w:rFonts w:hint="eastAsia" w:ascii="Calibri" w:hAnsi="Calibri"/>
          <w:u w:val="single"/>
        </w:rPr>
        <w:t xml:space="preserve">     </w:t>
      </w:r>
      <w:r>
        <w:rPr>
          <w:rFonts w:hint="eastAsia" w:ascii="Calibri" w:hAnsi="Calibri"/>
        </w:rPr>
        <w:t>级资质以及机电安装资质的安装单位实施安装。</w:t>
      </w:r>
    </w:p>
    <w:p>
      <w:pPr>
        <w:numPr>
          <w:ilvl w:val="0"/>
          <w:numId w:val="19"/>
        </w:numPr>
        <w:ind w:firstLine="480"/>
        <w:rPr>
          <w:rFonts w:ascii="Calibri" w:hAnsi="Calibri"/>
        </w:rPr>
      </w:pPr>
      <w:r>
        <w:rPr>
          <w:rFonts w:hint="eastAsia" w:ascii="Calibri" w:hAnsi="Calibri"/>
        </w:rPr>
        <w:t>安装施工方式</w:t>
      </w:r>
    </w:p>
    <w:p>
      <w:pPr>
        <w:ind w:firstLine="480"/>
        <w:rPr>
          <w:rFonts w:ascii="Calibri" w:hAnsi="Calibri"/>
        </w:rPr>
      </w:pPr>
      <w:r>
        <w:rPr>
          <w:rFonts w:hint="eastAsia" w:ascii="Calibri" w:hAnsi="Calibri"/>
        </w:rPr>
        <w:t>安装施工方式见本合同附件一：《产品安装责任》</w:t>
      </w:r>
    </w:p>
    <w:p>
      <w:pPr>
        <w:numPr>
          <w:ilvl w:val="0"/>
          <w:numId w:val="19"/>
        </w:numPr>
        <w:ind w:firstLine="480"/>
        <w:rPr>
          <w:rFonts w:ascii="Calibri" w:hAnsi="Calibri"/>
        </w:rPr>
      </w:pPr>
      <w:r>
        <w:rPr>
          <w:rFonts w:hint="eastAsia" w:ascii="Calibri" w:hAnsi="Calibri"/>
        </w:rPr>
        <w:t>安装实施前的约定</w:t>
      </w:r>
    </w:p>
    <w:p>
      <w:pPr>
        <w:ind w:firstLine="480"/>
        <w:rPr>
          <w:rFonts w:ascii="Calibri" w:hAnsi="Calibri"/>
        </w:rPr>
      </w:pPr>
      <w:r>
        <w:rPr>
          <w:rFonts w:hint="eastAsia" w:ascii="Calibri" w:hAnsi="Calibri"/>
        </w:rPr>
        <w:t>于   年   月   日前货到工地，   月   日前调试，   年   月   日安装调试完毕。</w:t>
      </w:r>
    </w:p>
    <w:p>
      <w:pPr>
        <w:ind w:firstLine="480"/>
        <w:rPr>
          <w:rFonts w:ascii="Calibri" w:hAnsi="Calibri"/>
        </w:rPr>
      </w:pPr>
      <w:r>
        <w:rPr>
          <w:rFonts w:hint="eastAsia" w:ascii="Calibri" w:hAnsi="Calibri"/>
        </w:rPr>
        <w:t>五、安装验收</w:t>
      </w:r>
    </w:p>
    <w:p>
      <w:pPr>
        <w:ind w:firstLine="480"/>
        <w:rPr>
          <w:rFonts w:ascii="Calibri" w:hAnsi="Calibri"/>
        </w:rPr>
      </w:pPr>
      <w:r>
        <w:rPr>
          <w:rFonts w:hint="eastAsia" w:ascii="Calibri" w:hAnsi="Calibri"/>
        </w:rPr>
        <w:t>1、安装完毕，卖方按国家有关的验收标准进行产品的质量验收，并向买方出具《产品质量合格证书》、《电梯验收报告》和《客户资料》。</w:t>
      </w:r>
    </w:p>
    <w:p>
      <w:pPr>
        <w:ind w:firstLine="480"/>
        <w:rPr>
          <w:rFonts w:ascii="Calibri" w:hAnsi="Calibri"/>
        </w:rPr>
      </w:pPr>
      <w:r>
        <w:rPr>
          <w:rFonts w:hint="eastAsia" w:ascii="Calibri" w:hAnsi="Calibri"/>
        </w:rPr>
        <w:t>2、卖方质量验收结束后，卖方在三个工作日向当地质量技术监督局申报使用许可验收。验收中如有涉及卖方责任的整改项目，卖方需整改合格后方可办理产品竣工移交手续。</w:t>
      </w:r>
    </w:p>
    <w:p>
      <w:pPr>
        <w:ind w:firstLine="480"/>
        <w:rPr>
          <w:rFonts w:ascii="Calibri" w:hAnsi="Calibri"/>
        </w:rPr>
      </w:pPr>
      <w:r>
        <w:rPr>
          <w:rFonts w:hint="eastAsia" w:ascii="Calibri" w:hAnsi="Calibri"/>
        </w:rPr>
        <w:t>六、本合同中的电梯产品按GB7588-2003《电梯制造与安装安全》标准安装。</w:t>
      </w:r>
    </w:p>
    <w:p>
      <w:pPr>
        <w:ind w:firstLine="480"/>
        <w:rPr>
          <w:rFonts w:ascii="Calibri" w:hAnsi="Calibri"/>
        </w:rPr>
      </w:pPr>
      <w:r>
        <w:rPr>
          <w:rFonts w:hint="eastAsia" w:ascii="Calibri" w:hAnsi="Calibri"/>
        </w:rPr>
        <w:t>七、质保期的服务</w:t>
      </w:r>
    </w:p>
    <w:p>
      <w:pPr>
        <w:ind w:firstLine="480"/>
        <w:rPr>
          <w:rFonts w:ascii="Calibri" w:hAnsi="Calibri"/>
        </w:rPr>
      </w:pPr>
      <w:r>
        <w:rPr>
          <w:rFonts w:hint="eastAsia" w:ascii="Calibri" w:hAnsi="Calibri"/>
        </w:rPr>
        <w:t>1、</w:t>
      </w:r>
      <w:r>
        <w:rPr>
          <w:rFonts w:hint="eastAsia" w:ascii="Calibri" w:hAnsi="Calibri"/>
          <w:b/>
        </w:rPr>
        <w:t>通过当地质量技术监督局验收合格并签发合格证书及通过当地有关部门的综合验收后，移交建设单位确定的物业公司之日起</w:t>
      </w:r>
      <w:r>
        <w:rPr>
          <w:rFonts w:hint="eastAsia" w:ascii="Calibri" w:hAnsi="Calibri"/>
          <w:b/>
          <w:lang w:val="en-US" w:eastAsia="zh-CN"/>
        </w:rPr>
        <w:t>24</w:t>
      </w:r>
      <w:r>
        <w:rPr>
          <w:rFonts w:hint="eastAsia" w:ascii="Calibri" w:hAnsi="Calibri"/>
          <w:b/>
        </w:rPr>
        <w:t>个月</w:t>
      </w:r>
      <w:r>
        <w:rPr>
          <w:rFonts w:ascii="Calibri" w:hAnsi="Calibri"/>
          <w:b/>
        </w:rPr>
        <w:t>为</w:t>
      </w:r>
      <w:r>
        <w:rPr>
          <w:rFonts w:hint="eastAsia" w:ascii="Calibri" w:hAnsi="Calibri"/>
          <w:b/>
        </w:rPr>
        <w:t>质保期</w:t>
      </w:r>
      <w:r>
        <w:rPr>
          <w:rFonts w:ascii="Calibri" w:hAnsi="Calibri"/>
          <w:b/>
        </w:rPr>
        <w:t>。</w:t>
      </w:r>
      <w:r>
        <w:rPr>
          <w:rFonts w:hint="eastAsia" w:ascii="Calibri" w:hAnsi="Calibri"/>
        </w:rPr>
        <w:t>质保期内由于设计、制造和安装的质量问题由卖方免费维修或更换。</w:t>
      </w:r>
    </w:p>
    <w:p>
      <w:pPr>
        <w:ind w:firstLine="480"/>
        <w:rPr>
          <w:rFonts w:ascii="Calibri" w:hAnsi="Calibri"/>
        </w:rPr>
      </w:pPr>
      <w:r>
        <w:rPr>
          <w:rFonts w:hint="eastAsia" w:ascii="Calibri" w:hAnsi="Calibri"/>
        </w:rPr>
        <w:t>2、</w:t>
      </w:r>
      <w:r>
        <w:rPr>
          <w:rFonts w:hint="eastAsia" w:ascii="Calibri" w:hAnsi="Calibri"/>
          <w:color w:val="000000"/>
        </w:rPr>
        <w:t>在质保期内，卖方将每月对电梯作二次维护保养和质量跟踪回访服务，并承担电梯年检工作和所有费用。</w:t>
      </w:r>
    </w:p>
    <w:p>
      <w:pPr>
        <w:ind w:firstLine="480"/>
        <w:rPr>
          <w:rFonts w:ascii="Calibri" w:hAnsi="Calibri"/>
        </w:rPr>
      </w:pPr>
      <w:r>
        <w:rPr>
          <w:rFonts w:hint="eastAsia" w:ascii="Calibri" w:hAnsi="Calibri"/>
        </w:rPr>
        <w:t>3、由于买方或使用单位管理、使用不当及不可抗力等造成电梯故障均不属于保修范围，卖方提供有偿服务。</w:t>
      </w:r>
    </w:p>
    <w:p>
      <w:pPr>
        <w:ind w:firstLine="480"/>
        <w:rPr>
          <w:rFonts w:ascii="Calibri" w:hAnsi="Calibri"/>
        </w:rPr>
      </w:pPr>
      <w:r>
        <w:rPr>
          <w:rFonts w:hint="eastAsia" w:ascii="Calibri" w:hAnsi="Calibri"/>
        </w:rPr>
        <w:t>八、违约责任</w:t>
      </w:r>
    </w:p>
    <w:p>
      <w:pPr>
        <w:numPr>
          <w:ilvl w:val="0"/>
          <w:numId w:val="20"/>
        </w:numPr>
        <w:ind w:firstLine="480"/>
        <w:rPr>
          <w:rFonts w:ascii="Calibri" w:hAnsi="Calibri"/>
        </w:rPr>
      </w:pPr>
      <w:r>
        <w:rPr>
          <w:rFonts w:hint="eastAsia" w:ascii="Calibri" w:hAnsi="Calibri"/>
        </w:rPr>
        <w:t>合同生效后，双方应严格履行。任何违反合同规定致使安装不能进行的，都必须向对方支付安装费总额30%的违约金，作为对违约方的惩罚及对守约反复蒙受的所有直接、间接损失或损害的补偿。</w:t>
      </w:r>
    </w:p>
    <w:p>
      <w:pPr>
        <w:numPr>
          <w:ilvl w:val="0"/>
          <w:numId w:val="20"/>
        </w:numPr>
        <w:ind w:firstLine="480"/>
        <w:rPr>
          <w:rFonts w:ascii="Calibri" w:hAnsi="Calibri"/>
        </w:rPr>
      </w:pPr>
      <w:r>
        <w:rPr>
          <w:rFonts w:hint="eastAsia" w:ascii="Calibri" w:hAnsi="Calibri"/>
        </w:rPr>
        <w:t>卖方未按约定安装移交期完成产品的安装调试，按已收到安装费每天万分之四的比例向买方支付工程延误违约金；买方未按规定的时间和金额支付安装费的，按未付款金额每天万分之四的比例向卖方支付逾期付款违约金。上述工程延误(逾期付款)违约金应是违约方对此类违约应付的唯一损害赔偿费，对该损害赔偿费的支付不影响违约方按照合同规定应继续履行的义务。</w:t>
      </w:r>
    </w:p>
    <w:p>
      <w:pPr>
        <w:ind w:firstLine="480"/>
        <w:rPr>
          <w:rFonts w:ascii="Calibri" w:hAnsi="Calibri"/>
        </w:rPr>
      </w:pPr>
      <w:r>
        <w:rPr>
          <w:rFonts w:hint="eastAsia" w:ascii="Calibri" w:hAnsi="Calibri"/>
        </w:rPr>
        <w:t>九、其它</w:t>
      </w:r>
    </w:p>
    <w:p>
      <w:pPr>
        <w:numPr>
          <w:ilvl w:val="0"/>
          <w:numId w:val="21"/>
        </w:numPr>
        <w:ind w:firstLine="480"/>
        <w:rPr>
          <w:rFonts w:ascii="Calibri" w:hAnsi="Calibri"/>
        </w:rPr>
      </w:pPr>
      <w:r>
        <w:rPr>
          <w:rFonts w:hint="eastAsia" w:ascii="Calibri" w:hAnsi="Calibri"/>
        </w:rPr>
        <w:t>买方如要求变更预约开工安装日期，应提前30天书面通知卖方。</w:t>
      </w:r>
    </w:p>
    <w:p>
      <w:pPr>
        <w:numPr>
          <w:ilvl w:val="0"/>
          <w:numId w:val="21"/>
        </w:numPr>
        <w:ind w:firstLine="480"/>
        <w:rPr>
          <w:rFonts w:ascii="Calibri" w:hAnsi="Calibri"/>
        </w:rPr>
      </w:pPr>
      <w:r>
        <w:rPr>
          <w:rFonts w:hint="eastAsia" w:ascii="Calibri" w:hAnsi="Calibri"/>
        </w:rPr>
        <w:t>为维护买方、卖方的共同利益，保证产品的安全，在1）电梯机房地坪土建未完工，墙面未粉刷，可防盗的机房门、窗未安装；2）电梯安装施工用电未落实；卖方有权提出产品延迟发货的要求。</w:t>
      </w:r>
    </w:p>
    <w:p>
      <w:pPr>
        <w:numPr>
          <w:ilvl w:val="0"/>
          <w:numId w:val="21"/>
        </w:numPr>
        <w:ind w:firstLine="480"/>
        <w:rPr>
          <w:rFonts w:ascii="Calibri" w:hAnsi="Calibri"/>
        </w:rPr>
      </w:pPr>
      <w:r>
        <w:rPr>
          <w:rFonts w:hint="eastAsia" w:ascii="Calibri" w:hAnsi="Calibri"/>
        </w:rPr>
        <w:t>本合同生效后，需要对原合同条款作变更的，双方应另签订《产品安装合同变更协议》，经双方法人委托人签字、盖章后生效。</w:t>
      </w:r>
    </w:p>
    <w:p>
      <w:pPr>
        <w:numPr>
          <w:ilvl w:val="0"/>
          <w:numId w:val="21"/>
        </w:numPr>
        <w:ind w:firstLine="480"/>
        <w:rPr>
          <w:rFonts w:ascii="Calibri" w:hAnsi="Calibri"/>
        </w:rPr>
      </w:pPr>
      <w:r>
        <w:rPr>
          <w:rFonts w:hint="eastAsia" w:ascii="Calibri" w:hAnsi="Calibri"/>
        </w:rPr>
        <w:t>《产品安装责任》、《安装联系单》和《产品安装合同变更协议》等其它与本 合同有关的协议为本合同之附件，属本合同不可分割的部件，具有同等效力。</w:t>
      </w:r>
    </w:p>
    <w:p>
      <w:pPr>
        <w:numPr>
          <w:ilvl w:val="0"/>
          <w:numId w:val="21"/>
        </w:numPr>
        <w:ind w:firstLine="480"/>
        <w:rPr>
          <w:rFonts w:ascii="Calibri" w:hAnsi="Calibri"/>
        </w:rPr>
      </w:pPr>
      <w:r>
        <w:rPr>
          <w:rFonts w:hint="eastAsia" w:ascii="Calibri" w:hAnsi="Calibri"/>
        </w:rPr>
        <w:t>在安装及使用过程中发生安全事故，由政府主管部门介入并做出事故鉴定结论，或在政府主管部门不介入之时由双方共同委托有能力的第三方权威监测机构作鉴定。双方的安全责任及法律责任根据鉴定结论而定。若由于卖方自身原因引起的一切安全责任事故，由卖方自行承担。</w:t>
      </w:r>
    </w:p>
    <w:p>
      <w:pPr>
        <w:numPr>
          <w:ilvl w:val="0"/>
          <w:numId w:val="21"/>
        </w:numPr>
        <w:ind w:firstLine="480"/>
        <w:rPr>
          <w:rFonts w:ascii="Calibri" w:hAnsi="Calibri"/>
          <w:bCs/>
          <w:u w:val="single"/>
        </w:rPr>
      </w:pPr>
      <w:r>
        <w:rPr>
          <w:rFonts w:hint="eastAsia" w:ascii="Calibri" w:hAnsi="Calibri"/>
        </w:rPr>
        <w:t>卖方应积极配合总包单位的创杯、标化工地等要求。如由于卖方原因影响创杯、达标，由卖方</w:t>
      </w:r>
      <w:r>
        <w:rPr>
          <w:rFonts w:hint="eastAsia" w:ascii="Arial" w:cs="Arial"/>
          <w:szCs w:val="21"/>
        </w:rPr>
        <w:t>承担相应责任。</w:t>
      </w:r>
    </w:p>
    <w:p>
      <w:pPr>
        <w:ind w:firstLine="482"/>
        <w:rPr>
          <w:rFonts w:ascii="Calibri" w:hAnsi="Calibri"/>
          <w:b/>
          <w:bCs/>
        </w:rPr>
      </w:pPr>
      <w:r>
        <w:rPr>
          <w:rFonts w:hint="eastAsia" w:ascii="Calibri" w:hAnsi="Calibri"/>
          <w:b/>
          <w:bCs/>
        </w:rPr>
        <w:t>第三部分：</w:t>
      </w:r>
    </w:p>
    <w:p>
      <w:pPr>
        <w:ind w:firstLine="482"/>
        <w:rPr>
          <w:rFonts w:hint="eastAsia" w:ascii="Calibri" w:hAnsi="Calibri"/>
          <w:b/>
          <w:color w:val="auto"/>
          <w:szCs w:val="21"/>
          <w:highlight w:val="none"/>
        </w:rPr>
      </w:pPr>
      <w:r>
        <w:rPr>
          <w:rFonts w:hint="eastAsia" w:ascii="Calibri" w:hAnsi="Calibri"/>
          <w:b/>
          <w:color w:val="auto"/>
          <w:szCs w:val="21"/>
          <w:highlight w:val="none"/>
        </w:rPr>
        <w:t>付款方式：</w:t>
      </w:r>
    </w:p>
    <w:p>
      <w:pPr>
        <w:ind w:firstLine="482"/>
        <w:rPr>
          <w:rFonts w:hint="eastAsia" w:ascii="Calibri" w:hAnsi="Calibri"/>
          <w:b/>
          <w:color w:val="auto"/>
          <w:szCs w:val="21"/>
          <w:highlight w:val="none"/>
        </w:rPr>
      </w:pPr>
      <w:r>
        <w:rPr>
          <w:rFonts w:hint="eastAsia" w:ascii="Calibri" w:hAnsi="Calibri"/>
          <w:b/>
          <w:color w:val="auto"/>
          <w:szCs w:val="21"/>
          <w:highlight w:val="none"/>
        </w:rPr>
        <w:t>1、本项目电梯须分批次进行供货及安装，履约保证金为接到采购人供货通知之日起10天内，应提交相应电梯数额的5%作为履约保证金。（履约担保的形式：提供担保机构出具的保函）；</w:t>
      </w:r>
    </w:p>
    <w:p>
      <w:pPr>
        <w:ind w:firstLine="482"/>
        <w:rPr>
          <w:rFonts w:hint="eastAsia" w:ascii="Calibri" w:hAnsi="Calibri"/>
          <w:b/>
          <w:color w:val="auto"/>
          <w:szCs w:val="21"/>
          <w:highlight w:val="none"/>
        </w:rPr>
      </w:pPr>
      <w:r>
        <w:rPr>
          <w:rFonts w:hint="eastAsia" w:ascii="Calibri" w:hAnsi="Calibri"/>
          <w:b/>
          <w:color w:val="auto"/>
          <w:szCs w:val="21"/>
          <w:highlight w:val="none"/>
        </w:rPr>
        <w:t>2、合同签订后5个工作日内支付本批次电梯价款（含安装、土建以及内装饰费用）的30%；</w:t>
      </w:r>
    </w:p>
    <w:p>
      <w:pPr>
        <w:ind w:firstLine="482"/>
        <w:rPr>
          <w:rFonts w:hint="eastAsia" w:ascii="Calibri" w:hAnsi="Calibri"/>
          <w:b/>
          <w:color w:val="auto"/>
          <w:szCs w:val="21"/>
          <w:highlight w:val="none"/>
        </w:rPr>
      </w:pPr>
      <w:r>
        <w:rPr>
          <w:rFonts w:hint="eastAsia" w:ascii="Calibri" w:hAnsi="Calibri"/>
          <w:b/>
          <w:color w:val="auto"/>
          <w:szCs w:val="21"/>
          <w:highlight w:val="none"/>
        </w:rPr>
        <w:t>3、整体装配式设备到达项目所在地5个工作日内支付至本批次电梯价款（含安装、土建以及内装饰费用）的50%；</w:t>
      </w:r>
    </w:p>
    <w:p>
      <w:pPr>
        <w:ind w:firstLine="482"/>
        <w:rPr>
          <w:rFonts w:hint="eastAsia" w:ascii="Calibri" w:hAnsi="Calibri"/>
          <w:b/>
          <w:color w:val="auto"/>
          <w:szCs w:val="21"/>
          <w:highlight w:val="none"/>
        </w:rPr>
      </w:pPr>
      <w:r>
        <w:rPr>
          <w:rFonts w:hint="eastAsia" w:ascii="Calibri" w:hAnsi="Calibri"/>
          <w:b/>
          <w:color w:val="auto"/>
          <w:szCs w:val="21"/>
          <w:highlight w:val="none"/>
        </w:rPr>
        <w:t>4、整体装配式设备通过当地质量技术监督部门验收、移交社区或物业后5个工作日内支付至本批次电梯价款（含安装、土建以及内装饰费用）的80%；</w:t>
      </w:r>
    </w:p>
    <w:p>
      <w:pPr>
        <w:ind w:firstLine="482"/>
        <w:rPr>
          <w:rFonts w:hint="eastAsia" w:ascii="Calibri" w:hAnsi="Calibri"/>
          <w:b/>
          <w:color w:val="auto"/>
          <w:szCs w:val="21"/>
          <w:highlight w:val="none"/>
        </w:rPr>
      </w:pPr>
      <w:r>
        <w:rPr>
          <w:rFonts w:hint="eastAsia" w:ascii="Calibri" w:hAnsi="Calibri"/>
          <w:b/>
          <w:color w:val="auto"/>
          <w:szCs w:val="21"/>
          <w:highlight w:val="none"/>
        </w:rPr>
        <w:t>5、按开工批次，每批次经审计后支付至本批次电梯价款（含安装、土建以及内装饰费用）的97.5%，最长不超过验收合格后的3个月；剩余合同价2.5%的作为质量保证金待质保期满后无质量问题一次性付清。</w:t>
      </w:r>
    </w:p>
    <w:p>
      <w:pPr>
        <w:ind w:firstLine="482"/>
        <w:rPr>
          <w:rFonts w:ascii="Calibri" w:hAnsi="Calibri"/>
          <w:b/>
          <w:color w:val="auto"/>
          <w:szCs w:val="21"/>
          <w:highlight w:val="none"/>
        </w:rPr>
      </w:pPr>
      <w:r>
        <w:rPr>
          <w:rFonts w:hint="eastAsia" w:ascii="Calibri" w:hAnsi="Calibri"/>
          <w:b/>
          <w:color w:val="auto"/>
          <w:szCs w:val="21"/>
          <w:highlight w:val="none"/>
        </w:rPr>
        <w:t>6、每次支付上述款项需卖方应出具符合发票管理制度的发票，若卖方不提供或不能提供发票买方有权拒付，由此产生的一切责任由卖方承担。</w:t>
      </w:r>
    </w:p>
    <w:p>
      <w:pPr>
        <w:ind w:firstLine="482"/>
        <w:rPr>
          <w:rFonts w:ascii="Calibri" w:hAnsi="Calibri"/>
          <w:b/>
          <w:bCs/>
        </w:rPr>
      </w:pPr>
      <w:r>
        <w:rPr>
          <w:rFonts w:hint="eastAsia" w:ascii="Calibri" w:hAnsi="Calibri"/>
          <w:b/>
          <w:bCs/>
        </w:rPr>
        <w:t>第四部分：</w:t>
      </w:r>
      <w:r>
        <w:rPr>
          <w:rFonts w:hint="eastAsia" w:ascii="Calibri" w:hAnsi="Calibri"/>
          <w:b/>
          <w:szCs w:val="21"/>
        </w:rPr>
        <w:t>另行约定条款</w:t>
      </w:r>
    </w:p>
    <w:p>
      <w:pPr>
        <w:ind w:firstLine="480"/>
        <w:rPr>
          <w:rFonts w:ascii="Calibri" w:hAnsi="Calibri"/>
        </w:rPr>
      </w:pPr>
      <w:r>
        <w:rPr>
          <w:rFonts w:hint="eastAsia" w:ascii="Calibri" w:hAnsi="Calibri"/>
        </w:rPr>
        <w:t>一、不可抗力事件处理</w:t>
      </w:r>
    </w:p>
    <w:p>
      <w:pPr>
        <w:ind w:firstLine="480"/>
        <w:rPr>
          <w:rFonts w:ascii="Calibri" w:hAnsi="Calibri"/>
        </w:rPr>
      </w:pPr>
      <w:r>
        <w:rPr>
          <w:rFonts w:hint="eastAsia" w:ascii="Calibri" w:hAnsi="Calibri"/>
        </w:rPr>
        <w:t>1、在执行合同期限内，任何一方因不可抗力事件所致不能履行合同，则合同履行期可延长，延长期与不可抗力影响期相同。</w:t>
      </w:r>
    </w:p>
    <w:p>
      <w:pPr>
        <w:widowControl/>
        <w:shd w:val="clear" w:color="auto" w:fill="FFFFFF"/>
        <w:spacing w:line="440" w:lineRule="exact"/>
        <w:ind w:firstLine="480"/>
        <w:jc w:val="left"/>
      </w:pPr>
      <w:r>
        <w:rPr>
          <w:rFonts w:hint="eastAsia"/>
        </w:rPr>
        <w:t>2、不可抗力事件发生后，应立即通知对方，并寄送有关权威机构出具的证明。</w:t>
      </w:r>
    </w:p>
    <w:p>
      <w:pPr>
        <w:widowControl/>
        <w:shd w:val="clear" w:color="auto" w:fill="FFFFFF"/>
        <w:spacing w:line="440" w:lineRule="exact"/>
        <w:ind w:firstLine="480"/>
        <w:jc w:val="left"/>
      </w:pPr>
      <w:r>
        <w:rPr>
          <w:rFonts w:hint="eastAsia"/>
        </w:rPr>
        <w:t>3、不可抗力事件发生二十天以上，双方应通过友好协商，确定是否继续履行合同。</w:t>
      </w:r>
    </w:p>
    <w:p>
      <w:pPr>
        <w:ind w:firstLine="480"/>
        <w:rPr>
          <w:rFonts w:ascii="Calibri" w:hAnsi="Calibri"/>
        </w:rPr>
      </w:pPr>
      <w:r>
        <w:rPr>
          <w:rFonts w:hint="eastAsia" w:ascii="Calibri" w:hAnsi="Calibri"/>
        </w:rPr>
        <w:t>二、仲裁</w:t>
      </w:r>
    </w:p>
    <w:p>
      <w:pPr>
        <w:widowControl/>
        <w:shd w:val="clear" w:color="auto" w:fill="FFFFFF"/>
        <w:spacing w:line="440" w:lineRule="exact"/>
        <w:ind w:left="337" w:hanging="337" w:hangingChars="143"/>
        <w:jc w:val="left"/>
        <w:rPr>
          <w:spacing w:val="-2"/>
          <w:kern w:val="0"/>
        </w:rPr>
      </w:pPr>
      <w:r>
        <w:rPr>
          <w:rFonts w:hint="eastAsia"/>
          <w:spacing w:val="-2"/>
          <w:kern w:val="0"/>
        </w:rPr>
        <w:t>1、双方在执行合同中所发生的一切争议，应通过协商解决。如协商不成，应向买方法定地址所在工商行政管理部门提交仲裁，也可直接向买方法定地址所在人民法院起诉。</w:t>
      </w:r>
    </w:p>
    <w:p>
      <w:pPr>
        <w:widowControl/>
        <w:shd w:val="clear" w:color="auto" w:fill="FFFFFF"/>
        <w:spacing w:line="440" w:lineRule="exact"/>
        <w:ind w:firstLine="480"/>
        <w:jc w:val="left"/>
        <w:rPr>
          <w:kern w:val="0"/>
        </w:rPr>
      </w:pPr>
      <w:r>
        <w:rPr>
          <w:rFonts w:hint="eastAsia"/>
          <w:kern w:val="0"/>
        </w:rPr>
        <w:t>2、在仲裁期间，除正在进行仲裁的部份外，本合同其他部份应继续执行．</w:t>
      </w:r>
    </w:p>
    <w:p>
      <w:pPr>
        <w:widowControl/>
        <w:shd w:val="clear" w:color="auto" w:fill="FFFFFF"/>
        <w:spacing w:line="440" w:lineRule="exact"/>
        <w:ind w:firstLine="480"/>
        <w:jc w:val="left"/>
        <w:rPr>
          <w:kern w:val="0"/>
        </w:rPr>
      </w:pPr>
      <w:r>
        <w:rPr>
          <w:rFonts w:hint="eastAsia"/>
          <w:kern w:val="0"/>
        </w:rPr>
        <w:t>3、仲裁费用除仲裁机构另行有裁决外，由败诉方承担。</w:t>
      </w:r>
    </w:p>
    <w:p>
      <w:pPr>
        <w:ind w:firstLine="480"/>
        <w:rPr>
          <w:rFonts w:ascii="Calibri" w:hAnsi="Calibri"/>
        </w:rPr>
      </w:pPr>
      <w:r>
        <w:rPr>
          <w:rFonts w:hint="eastAsia" w:ascii="Calibri" w:hAnsi="Calibri"/>
        </w:rPr>
        <w:t>三、合同生效及其他</w:t>
      </w:r>
    </w:p>
    <w:p>
      <w:pPr>
        <w:widowControl/>
        <w:shd w:val="clear" w:color="auto" w:fill="FFFFFF"/>
        <w:spacing w:line="440" w:lineRule="exact"/>
        <w:ind w:firstLine="480"/>
        <w:jc w:val="left"/>
        <w:rPr>
          <w:kern w:val="0"/>
        </w:rPr>
      </w:pPr>
      <w:r>
        <w:rPr>
          <w:rFonts w:hint="eastAsia"/>
          <w:kern w:val="0"/>
        </w:rPr>
        <w:t xml:space="preserve">1、合同经双方签字并加盖公章后生效。 </w:t>
      </w:r>
    </w:p>
    <w:p>
      <w:pPr>
        <w:widowControl/>
        <w:shd w:val="clear" w:color="auto" w:fill="FFFFFF"/>
        <w:spacing w:line="440" w:lineRule="exact"/>
        <w:ind w:firstLine="480"/>
        <w:jc w:val="left"/>
        <w:rPr>
          <w:kern w:val="0"/>
        </w:rPr>
      </w:pPr>
      <w:r>
        <w:rPr>
          <w:rFonts w:hint="eastAsia"/>
          <w:kern w:val="0"/>
        </w:rPr>
        <w:t>2、合同签定地点：合同执行地。</w:t>
      </w:r>
    </w:p>
    <w:p>
      <w:pPr>
        <w:widowControl/>
        <w:shd w:val="clear" w:color="auto" w:fill="FFFFFF"/>
        <w:spacing w:line="440" w:lineRule="exact"/>
        <w:ind w:left="343" w:hanging="343" w:hangingChars="143"/>
        <w:jc w:val="left"/>
        <w:rPr>
          <w:kern w:val="0"/>
        </w:rPr>
      </w:pPr>
      <w:r>
        <w:rPr>
          <w:rFonts w:hint="eastAsia"/>
          <w:kern w:val="0"/>
        </w:rPr>
        <w:t>3、合同执行中，如需修改或补充合同内容，经协商，双方应签署书面修改或补充协议。该协议将作为合同不可分割的一部分。</w:t>
      </w:r>
    </w:p>
    <w:p>
      <w:pPr>
        <w:ind w:firstLine="480"/>
        <w:rPr>
          <w:rFonts w:ascii="Calibri" w:hAnsi="Calibri"/>
        </w:rPr>
      </w:pPr>
      <w:r>
        <w:rPr>
          <w:rFonts w:hint="eastAsia" w:ascii="Calibri" w:hAnsi="Calibri"/>
        </w:rPr>
        <w:t>四、合同的修改</w:t>
      </w:r>
    </w:p>
    <w:p>
      <w:pPr>
        <w:widowControl/>
        <w:shd w:val="clear" w:color="auto" w:fill="FFFFFF"/>
        <w:spacing w:line="440" w:lineRule="exact"/>
        <w:ind w:left="358" w:hanging="357" w:hangingChars="149"/>
        <w:jc w:val="left"/>
        <w:rPr>
          <w:kern w:val="0"/>
        </w:rPr>
      </w:pPr>
      <w:r>
        <w:rPr>
          <w:rFonts w:hint="eastAsia"/>
          <w:kern w:val="0"/>
        </w:rPr>
        <w:t>1、买卖双方的任何一方对合同内容提出修改，均应以书面形式通知对方，并达成由双方签署的合同修改书。</w:t>
      </w:r>
    </w:p>
    <w:p>
      <w:pPr>
        <w:widowControl/>
        <w:shd w:val="clear" w:color="auto" w:fill="FFFFFF"/>
        <w:spacing w:line="440" w:lineRule="exact"/>
        <w:ind w:left="343" w:hanging="343" w:hangingChars="143"/>
        <w:jc w:val="left"/>
        <w:rPr>
          <w:kern w:val="0"/>
        </w:rPr>
      </w:pPr>
      <w:r>
        <w:rPr>
          <w:rFonts w:hint="eastAsia"/>
          <w:kern w:val="0"/>
        </w:rPr>
        <w:t>2、除非买方对设备的型号、规格和涉及价格因素的技术参数和配套件提出修改，卖方不得对价格提出任何修改要求。</w:t>
      </w:r>
    </w:p>
    <w:p>
      <w:pPr>
        <w:ind w:firstLine="480"/>
        <w:rPr>
          <w:rFonts w:ascii="Calibri" w:hAnsi="Calibri"/>
        </w:rPr>
      </w:pPr>
      <w:r>
        <w:rPr>
          <w:rFonts w:hint="eastAsia" w:ascii="Calibri" w:hAnsi="Calibri"/>
        </w:rPr>
        <w:t>五、通知</w:t>
      </w:r>
    </w:p>
    <w:p>
      <w:pPr>
        <w:widowControl/>
        <w:shd w:val="clear" w:color="auto" w:fill="FFFFFF"/>
        <w:spacing w:line="440" w:lineRule="exact"/>
        <w:ind w:firstLine="480"/>
        <w:jc w:val="left"/>
        <w:rPr>
          <w:kern w:val="0"/>
        </w:rPr>
      </w:pPr>
      <w:r>
        <w:rPr>
          <w:rFonts w:hint="eastAsia"/>
          <w:kern w:val="0"/>
        </w:rPr>
        <w:t>本合同任何一方给另一方的通知，都应以书面或电传/传真/电报的形式发送，而另一方应以书面形式确认并发送到对方明确的地址。</w:t>
      </w:r>
    </w:p>
    <w:p>
      <w:pPr>
        <w:ind w:firstLine="480"/>
        <w:rPr>
          <w:rFonts w:ascii="Calibri" w:hAnsi="Calibri"/>
        </w:rPr>
      </w:pPr>
      <w:r>
        <w:rPr>
          <w:rFonts w:hint="eastAsia" w:ascii="Calibri" w:hAnsi="Calibri"/>
        </w:rPr>
        <w:t>六、其他</w:t>
      </w:r>
    </w:p>
    <w:p>
      <w:pPr>
        <w:ind w:firstLine="480"/>
        <w:rPr>
          <w:rFonts w:ascii="Calibri" w:hAnsi="Calibri"/>
        </w:rPr>
      </w:pPr>
      <w:r>
        <w:rPr>
          <w:rFonts w:hint="eastAsia" w:ascii="Calibri" w:hAnsi="Calibri"/>
        </w:rPr>
        <w:t>1、双方约定：由卖方承担向当地政府主管部门申请使用许可验收的相关费用。</w:t>
      </w:r>
    </w:p>
    <w:p>
      <w:pPr>
        <w:ind w:firstLine="480"/>
        <w:rPr>
          <w:rFonts w:ascii="Calibri" w:hAnsi="Calibri"/>
        </w:rPr>
      </w:pPr>
      <w:r>
        <w:rPr>
          <w:rFonts w:hint="eastAsia" w:ascii="Calibri" w:hAnsi="Calibri"/>
        </w:rPr>
        <w:t>2、（1）投标文件；（2）补充招标文件和招标文件；（3）国务院（特种设备安全监察条例）第373号令。</w:t>
      </w:r>
    </w:p>
    <w:p>
      <w:pPr>
        <w:widowControl/>
        <w:shd w:val="clear" w:color="auto" w:fill="FFFFFF"/>
        <w:spacing w:line="440" w:lineRule="exact"/>
        <w:ind w:firstLine="480"/>
        <w:jc w:val="left"/>
        <w:rPr>
          <w:kern w:val="0"/>
        </w:rPr>
      </w:pPr>
      <w:r>
        <w:rPr>
          <w:rFonts w:hint="eastAsia"/>
          <w:kern w:val="0"/>
        </w:rPr>
        <w:t>3、卖方必须具有相应的电梯安装安全认可证。</w:t>
      </w:r>
    </w:p>
    <w:p>
      <w:pPr>
        <w:widowControl/>
        <w:shd w:val="clear" w:color="auto" w:fill="FFFFFF"/>
        <w:spacing w:line="440" w:lineRule="exact"/>
        <w:ind w:firstLine="480"/>
        <w:jc w:val="left"/>
        <w:rPr>
          <w:kern w:val="0"/>
        </w:rPr>
      </w:pPr>
      <w:r>
        <w:rPr>
          <w:rFonts w:hint="eastAsia"/>
          <w:kern w:val="0"/>
        </w:rPr>
        <w:t>4、电梯的安装、调试结束后，卖方应向买方提供整机性能测试报告的副本。</w:t>
      </w:r>
    </w:p>
    <w:p>
      <w:pPr>
        <w:widowControl/>
        <w:shd w:val="clear" w:color="auto" w:fill="FFFFFF"/>
        <w:spacing w:line="440" w:lineRule="exact"/>
        <w:ind w:firstLine="480"/>
        <w:jc w:val="left"/>
        <w:rPr>
          <w:kern w:val="0"/>
        </w:rPr>
      </w:pPr>
      <w:r>
        <w:rPr>
          <w:rFonts w:hint="eastAsia"/>
          <w:kern w:val="0"/>
        </w:rPr>
        <w:t>5、电梯的安装、调试工作直到电梯通过最终验收合格后被认为工作结束。</w:t>
      </w:r>
    </w:p>
    <w:p>
      <w:pPr>
        <w:widowControl/>
        <w:shd w:val="clear" w:color="auto" w:fill="FFFFFF"/>
        <w:spacing w:line="440" w:lineRule="exact"/>
        <w:ind w:firstLine="480"/>
        <w:jc w:val="left"/>
        <w:rPr>
          <w:kern w:val="0"/>
        </w:rPr>
      </w:pPr>
      <w:r>
        <w:rPr>
          <w:rFonts w:hint="eastAsia"/>
          <w:kern w:val="0"/>
        </w:rPr>
        <w:t>6、卖方在工程结算中应加强管理，具体滨江区有关文件执行。</w:t>
      </w:r>
    </w:p>
    <w:p>
      <w:pPr>
        <w:widowControl/>
        <w:shd w:val="clear" w:color="auto" w:fill="FFFFFF"/>
        <w:spacing w:line="440" w:lineRule="exact"/>
        <w:ind w:left="372" w:hanging="372" w:hangingChars="155"/>
        <w:jc w:val="left"/>
        <w:rPr>
          <w:spacing w:val="-2"/>
          <w:kern w:val="0"/>
        </w:rPr>
      </w:pPr>
      <w:r>
        <w:rPr>
          <w:rFonts w:hint="eastAsia"/>
          <w:kern w:val="0"/>
          <w:szCs w:val="20"/>
        </w:rPr>
        <w:t>7、</w:t>
      </w:r>
      <w:r>
        <w:rPr>
          <w:rFonts w:hint="eastAsia"/>
          <w:spacing w:val="-2"/>
          <w:kern w:val="0"/>
        </w:rPr>
        <w:t>投标文件、补充文件及询标答疑纪要作为本合同的附件，与本合同具有同等法律效力。</w:t>
      </w:r>
    </w:p>
    <w:p>
      <w:pPr>
        <w:widowControl/>
        <w:shd w:val="clear" w:color="auto" w:fill="FFFFFF"/>
        <w:spacing w:line="440" w:lineRule="exact"/>
        <w:ind w:left="358" w:hanging="357" w:hangingChars="149"/>
        <w:jc w:val="left"/>
        <w:rPr>
          <w:b/>
          <w:bCs/>
          <w:kern w:val="0"/>
        </w:rPr>
      </w:pPr>
      <w:r>
        <w:rPr>
          <w:rFonts w:hint="eastAsia"/>
          <w:kern w:val="0"/>
        </w:rPr>
        <w:t>8、本合同一式八份，正本二份，双方各执一份，副本六份，双方各执三份</w:t>
      </w:r>
      <w:r>
        <w:rPr>
          <w:rFonts w:hint="eastAsia"/>
          <w:b/>
          <w:bCs/>
          <w:kern w:val="0"/>
        </w:rPr>
        <w:t>，</w:t>
      </w:r>
      <w:r>
        <w:rPr>
          <w:rFonts w:hint="eastAsia"/>
          <w:kern w:val="0"/>
        </w:rPr>
        <w:t>双方签字盖章后生效，违约及其处罚按经济合同法及本合同有关条款执行。以上协议未尽之处，双方协商解决。</w:t>
      </w:r>
    </w:p>
    <w:p>
      <w:pPr>
        <w:ind w:firstLine="480"/>
        <w:rPr>
          <w:rFonts w:ascii="Calibri" w:hAnsi="Calibri"/>
        </w:rPr>
      </w:pPr>
    </w:p>
    <w:p>
      <w:pPr>
        <w:ind w:firstLine="480"/>
        <w:rPr>
          <w:rFonts w:ascii="Calibri" w:hAnsi="Calibri"/>
        </w:rPr>
      </w:pPr>
    </w:p>
    <w:p>
      <w:pPr>
        <w:ind w:firstLine="480"/>
        <w:rPr>
          <w:rFonts w:ascii="Calibri" w:hAnsi="Calibri"/>
        </w:rPr>
      </w:pPr>
      <w:r>
        <w:rPr>
          <w:rFonts w:hint="eastAsia" w:ascii="Calibri" w:hAnsi="Calibri"/>
        </w:rPr>
        <w:t>买方名称：                             卖方名称：</w:t>
      </w:r>
    </w:p>
    <w:p>
      <w:pPr>
        <w:ind w:firstLine="480"/>
        <w:rPr>
          <w:rFonts w:ascii="Calibri" w:hAnsi="Calibri"/>
        </w:rPr>
      </w:pPr>
      <w:r>
        <w:rPr>
          <w:rFonts w:hint="eastAsia" w:ascii="Calibri" w:hAnsi="Calibri"/>
        </w:rPr>
        <w:t>地址：                                 地址：</w:t>
      </w:r>
    </w:p>
    <w:p>
      <w:pPr>
        <w:ind w:firstLine="480"/>
        <w:rPr>
          <w:rFonts w:ascii="Calibri" w:hAnsi="Calibri"/>
        </w:rPr>
      </w:pPr>
      <w:r>
        <w:rPr>
          <w:rFonts w:hint="eastAsia" w:ascii="Calibri" w:hAnsi="Calibri"/>
        </w:rPr>
        <w:t>电话：                                 电话：</w:t>
      </w:r>
    </w:p>
    <w:p>
      <w:pPr>
        <w:ind w:firstLine="480"/>
        <w:rPr>
          <w:rFonts w:ascii="Calibri" w:hAnsi="Calibri"/>
        </w:rPr>
      </w:pPr>
      <w:r>
        <w:rPr>
          <w:rFonts w:hint="eastAsia" w:ascii="Calibri" w:hAnsi="Calibri"/>
        </w:rPr>
        <w:t>传真：                                 传真：</w:t>
      </w:r>
    </w:p>
    <w:p>
      <w:pPr>
        <w:ind w:firstLine="480"/>
        <w:rPr>
          <w:rFonts w:ascii="Calibri" w:hAnsi="Calibri"/>
        </w:rPr>
      </w:pPr>
      <w:r>
        <w:rPr>
          <w:rFonts w:hint="eastAsia" w:ascii="Calibri" w:hAnsi="Calibri"/>
        </w:rPr>
        <w:t>邮编：                                 邮编：</w:t>
      </w:r>
    </w:p>
    <w:p>
      <w:pPr>
        <w:ind w:firstLine="480"/>
        <w:rPr>
          <w:rFonts w:ascii="Calibri" w:hAnsi="Calibri"/>
        </w:rPr>
      </w:pPr>
      <w:r>
        <w:rPr>
          <w:rFonts w:hint="eastAsia" w:ascii="Calibri" w:hAnsi="Calibri"/>
        </w:rPr>
        <w:t>开户银行：                             开户银行：</w:t>
      </w:r>
    </w:p>
    <w:p>
      <w:pPr>
        <w:ind w:firstLine="480"/>
        <w:rPr>
          <w:rFonts w:ascii="Calibri" w:hAnsi="Calibri"/>
        </w:rPr>
      </w:pPr>
      <w:r>
        <w:rPr>
          <w:rFonts w:hint="eastAsia" w:ascii="Calibri" w:hAnsi="Calibri"/>
        </w:rPr>
        <w:t>银行帐号：                             银行帐号：</w:t>
      </w:r>
    </w:p>
    <w:p>
      <w:pPr>
        <w:ind w:firstLine="480"/>
        <w:rPr>
          <w:rFonts w:ascii="Calibri" w:hAnsi="Calibri"/>
        </w:rPr>
      </w:pPr>
    </w:p>
    <w:p>
      <w:pPr>
        <w:ind w:firstLine="480"/>
        <w:rPr>
          <w:rFonts w:ascii="Calibri" w:hAnsi="Calibri"/>
        </w:rPr>
      </w:pPr>
      <w:r>
        <w:rPr>
          <w:rFonts w:hint="eastAsia" w:ascii="Calibri" w:hAnsi="Calibri"/>
        </w:rPr>
        <w:t>买方盖章：                             卖方盖章：</w:t>
      </w:r>
    </w:p>
    <w:p>
      <w:pPr>
        <w:ind w:firstLine="480"/>
        <w:rPr>
          <w:rFonts w:ascii="Calibri" w:hAnsi="Calibri"/>
        </w:rPr>
      </w:pPr>
    </w:p>
    <w:p>
      <w:pPr>
        <w:ind w:firstLine="480"/>
        <w:rPr>
          <w:rFonts w:ascii="Calibri" w:hAnsi="Calibri"/>
        </w:rPr>
      </w:pPr>
      <w:r>
        <w:rPr>
          <w:rFonts w:hint="eastAsia" w:ascii="Calibri" w:hAnsi="Calibri"/>
        </w:rPr>
        <w:t>买方法定代表或授权代表人签字：         卖方法定代表或授权代表人签字：</w:t>
      </w:r>
    </w:p>
    <w:p>
      <w:pPr>
        <w:ind w:firstLine="480"/>
        <w:rPr>
          <w:rFonts w:ascii="Calibri" w:hAnsi="Calibri"/>
        </w:rPr>
      </w:pPr>
    </w:p>
    <w:p>
      <w:pPr>
        <w:widowControl/>
        <w:shd w:val="clear" w:color="auto" w:fill="FFFFFF"/>
        <w:spacing w:line="440" w:lineRule="exact"/>
        <w:ind w:left="312" w:leftChars="130" w:firstLine="120" w:firstLineChars="50"/>
        <w:jc w:val="left"/>
        <w:rPr>
          <w:kern w:val="0"/>
        </w:rPr>
      </w:pPr>
      <w:r>
        <w:rPr>
          <w:rFonts w:hint="eastAsia"/>
          <w:kern w:val="0"/>
          <w:szCs w:val="20"/>
        </w:rPr>
        <w:t>签订日期（年/月/日）：                  签订日期（年/月/日）：</w:t>
      </w:r>
    </w:p>
    <w:p>
      <w:pPr>
        <w:adjustRightInd w:val="0"/>
        <w:snapToGrid w:val="0"/>
        <w:ind w:firstLine="480"/>
        <w:jc w:val="center"/>
        <w:sectPr>
          <w:footerReference r:id="rId13" w:type="first"/>
          <w:footerReference r:id="rId12" w:type="default"/>
          <w:pgSz w:w="11907" w:h="16840"/>
          <w:pgMar w:top="1400" w:right="1287" w:bottom="1247" w:left="1440" w:header="851" w:footer="992" w:gutter="0"/>
          <w:cols w:space="720" w:num="1"/>
          <w:titlePg/>
          <w:docGrid w:type="lines" w:linePitch="312" w:charSpace="0"/>
        </w:sectPr>
      </w:pPr>
    </w:p>
    <w:p>
      <w:pPr>
        <w:pStyle w:val="2"/>
        <w:ind w:firstLine="0" w:firstLineChars="0"/>
      </w:pPr>
      <w:bookmarkStart w:id="191" w:name="_Toc3494"/>
      <w:r>
        <w:rPr>
          <w:rStyle w:val="41"/>
          <w:rFonts w:hint="eastAsia" w:cs="黑体"/>
          <w:b w:val="0"/>
          <w:bCs w:val="0"/>
          <w:sz w:val="32"/>
          <w:szCs w:val="32"/>
        </w:rPr>
        <w:t>第六章　</w:t>
      </w:r>
      <w:r>
        <w:rPr>
          <w:rFonts w:hint="eastAsia" w:cs="黑体"/>
        </w:rPr>
        <w:t>投标文件格式</w:t>
      </w:r>
      <w:bookmarkEnd w:id="191"/>
    </w:p>
    <w:p>
      <w:pPr>
        <w:spacing w:line="440" w:lineRule="exact"/>
        <w:ind w:firstLine="643"/>
        <w:jc w:val="center"/>
        <w:rPr>
          <w:b/>
          <w:kern w:val="0"/>
          <w:sz w:val="32"/>
          <w:szCs w:val="32"/>
        </w:rPr>
      </w:pPr>
      <w:bookmarkStart w:id="192" w:name="_Toc339872473"/>
      <w:bookmarkStart w:id="193" w:name="_Toc328381297"/>
      <w:bookmarkStart w:id="194" w:name="_Toc349721557"/>
      <w:bookmarkStart w:id="195" w:name="_Toc303256686"/>
      <w:bookmarkStart w:id="196" w:name="_Toc350327368"/>
      <w:r>
        <w:rPr>
          <w:rFonts w:hint="eastAsia"/>
          <w:b/>
          <w:kern w:val="0"/>
          <w:sz w:val="32"/>
          <w:szCs w:val="32"/>
        </w:rPr>
        <w:t>一、开 标 一 览 表</w:t>
      </w:r>
      <w:bookmarkEnd w:id="192"/>
      <w:bookmarkEnd w:id="193"/>
      <w:bookmarkEnd w:id="194"/>
      <w:bookmarkEnd w:id="195"/>
      <w:bookmarkEnd w:id="196"/>
    </w:p>
    <w:p>
      <w:pPr>
        <w:autoSpaceDE w:val="0"/>
        <w:autoSpaceDN w:val="0"/>
        <w:adjustRightInd w:val="0"/>
        <w:spacing w:line="440" w:lineRule="exact"/>
        <w:ind w:firstLine="482"/>
        <w:rPr>
          <w:b/>
          <w:kern w:val="0"/>
        </w:rPr>
      </w:pPr>
      <w:r>
        <w:rPr>
          <w:rFonts w:hint="eastAsia"/>
          <w:b/>
          <w:kern w:val="0"/>
        </w:rPr>
        <w:t xml:space="preserve">项目编号： </w:t>
      </w:r>
    </w:p>
    <w:tbl>
      <w:tblPr>
        <w:tblStyle w:val="33"/>
        <w:tblW w:w="934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672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10" w:hRule="atLeast"/>
          <w:jc w:val="center"/>
        </w:trPr>
        <w:tc>
          <w:tcPr>
            <w:tcW w:w="2628" w:type="dxa"/>
            <w:tcBorders>
              <w:top w:val="single" w:color="auto" w:sz="4" w:space="0"/>
            </w:tcBorders>
            <w:vAlign w:val="center"/>
          </w:tcPr>
          <w:p>
            <w:pPr>
              <w:autoSpaceDE w:val="0"/>
              <w:autoSpaceDN w:val="0"/>
              <w:adjustRightInd w:val="0"/>
              <w:spacing w:line="440" w:lineRule="exact"/>
              <w:ind w:firstLine="482"/>
              <w:jc w:val="center"/>
              <w:rPr>
                <w:b/>
                <w:kern w:val="0"/>
              </w:rPr>
            </w:pPr>
            <w:r>
              <w:rPr>
                <w:rFonts w:hint="eastAsia"/>
                <w:b/>
                <w:kern w:val="0"/>
              </w:rPr>
              <w:t>本项目投标总报价</w:t>
            </w:r>
          </w:p>
        </w:tc>
        <w:tc>
          <w:tcPr>
            <w:tcW w:w="6720" w:type="dxa"/>
            <w:tcBorders>
              <w:top w:val="single" w:color="auto" w:sz="4" w:space="0"/>
            </w:tcBorders>
            <w:vAlign w:val="center"/>
          </w:tcPr>
          <w:p>
            <w:pPr>
              <w:autoSpaceDE w:val="0"/>
              <w:autoSpaceDN w:val="0"/>
              <w:adjustRightInd w:val="0"/>
              <w:spacing w:line="440" w:lineRule="exact"/>
              <w:ind w:firstLine="482"/>
              <w:rPr>
                <w:b/>
                <w:kern w:val="0"/>
              </w:rPr>
            </w:pPr>
          </w:p>
          <w:p>
            <w:pPr>
              <w:autoSpaceDE w:val="0"/>
              <w:autoSpaceDN w:val="0"/>
              <w:adjustRightInd w:val="0"/>
              <w:spacing w:line="440" w:lineRule="exact"/>
              <w:ind w:firstLine="482"/>
              <w:jc w:val="left"/>
              <w:rPr>
                <w:b/>
                <w:kern w:val="0"/>
              </w:rPr>
            </w:pPr>
            <w:r>
              <w:rPr>
                <w:rFonts w:hint="eastAsia"/>
                <w:b/>
                <w:kern w:val="0"/>
              </w:rPr>
              <w:t>大写：</w:t>
            </w:r>
            <w:r>
              <w:rPr>
                <w:b/>
              </w:rPr>
              <w:t>人民币</w:t>
            </w:r>
            <w:r>
              <w:rPr>
                <w:rFonts w:hint="eastAsia"/>
                <w:b/>
              </w:rPr>
              <w:t xml:space="preserve">              </w:t>
            </w:r>
            <w:r>
              <w:rPr>
                <w:b/>
              </w:rPr>
              <w:t>元整</w:t>
            </w:r>
          </w:p>
          <w:p>
            <w:pPr>
              <w:autoSpaceDE w:val="0"/>
              <w:autoSpaceDN w:val="0"/>
              <w:adjustRightInd w:val="0"/>
              <w:spacing w:line="440" w:lineRule="exact"/>
              <w:ind w:firstLine="482"/>
              <w:jc w:val="left"/>
              <w:rPr>
                <w:b/>
                <w:kern w:val="0"/>
              </w:rPr>
            </w:pPr>
          </w:p>
          <w:p>
            <w:pPr>
              <w:autoSpaceDE w:val="0"/>
              <w:autoSpaceDN w:val="0"/>
              <w:adjustRightInd w:val="0"/>
              <w:spacing w:line="440" w:lineRule="exact"/>
              <w:ind w:firstLine="482"/>
              <w:jc w:val="left"/>
              <w:rPr>
                <w:b/>
                <w:kern w:val="0"/>
              </w:rPr>
            </w:pPr>
            <w:r>
              <w:rPr>
                <w:rFonts w:hint="eastAsia"/>
                <w:b/>
                <w:kern w:val="0"/>
              </w:rPr>
              <w:t>小写：</w:t>
            </w:r>
            <w:r>
              <w:rPr>
                <w:b/>
              </w:rPr>
              <w:t>￥</w:t>
            </w:r>
          </w:p>
          <w:p>
            <w:pPr>
              <w:autoSpaceDE w:val="0"/>
              <w:autoSpaceDN w:val="0"/>
              <w:adjustRightInd w:val="0"/>
              <w:spacing w:line="440" w:lineRule="exact"/>
              <w:ind w:firstLine="482"/>
              <w:jc w:val="left"/>
              <w:rPr>
                <w:b/>
                <w:kern w:val="0"/>
              </w:rPr>
            </w:pPr>
          </w:p>
        </w:tc>
      </w:tr>
    </w:tbl>
    <w:p>
      <w:pPr>
        <w:autoSpaceDE w:val="0"/>
        <w:autoSpaceDN w:val="0"/>
        <w:adjustRightInd w:val="0"/>
        <w:spacing w:line="440" w:lineRule="exact"/>
        <w:ind w:firstLine="480"/>
        <w:rPr>
          <w:kern w:val="0"/>
        </w:rPr>
      </w:pPr>
      <w:r>
        <w:rPr>
          <w:rFonts w:hint="eastAsia"/>
          <w:kern w:val="0"/>
        </w:rPr>
        <w:t>备注：大写总价与小写总价不一致，以大写总价为准；</w:t>
      </w:r>
    </w:p>
    <w:p>
      <w:pPr>
        <w:autoSpaceDE w:val="0"/>
        <w:autoSpaceDN w:val="0"/>
        <w:adjustRightInd w:val="0"/>
        <w:spacing w:line="440" w:lineRule="exact"/>
        <w:ind w:firstLine="482"/>
        <w:rPr>
          <w:b/>
          <w:kern w:val="0"/>
        </w:rPr>
      </w:pPr>
    </w:p>
    <w:p>
      <w:pPr>
        <w:autoSpaceDE w:val="0"/>
        <w:autoSpaceDN w:val="0"/>
        <w:adjustRightInd w:val="0"/>
        <w:spacing w:line="440" w:lineRule="exact"/>
        <w:ind w:firstLine="482"/>
        <w:rPr>
          <w:b/>
          <w:kern w:val="0"/>
        </w:rPr>
      </w:pPr>
    </w:p>
    <w:p>
      <w:pPr>
        <w:wordWrap w:val="0"/>
        <w:autoSpaceDE w:val="0"/>
        <w:autoSpaceDN w:val="0"/>
        <w:adjustRightInd w:val="0"/>
        <w:spacing w:line="440" w:lineRule="exact"/>
        <w:ind w:firstLine="480"/>
        <w:jc w:val="right"/>
        <w:rPr>
          <w:rFonts w:cs="仿宋_GB2312"/>
          <w:kern w:val="0"/>
          <w:lang w:val="zh-CN"/>
        </w:rPr>
      </w:pPr>
      <w:r>
        <w:rPr>
          <w:rFonts w:hint="eastAsia" w:cs="仿宋_GB2312"/>
          <w:kern w:val="0"/>
          <w:lang w:val="zh-CN"/>
        </w:rPr>
        <w:t xml:space="preserve">                                            投标人（公章）：     </w:t>
      </w:r>
    </w:p>
    <w:p>
      <w:pPr>
        <w:wordWrap w:val="0"/>
        <w:autoSpaceDE w:val="0"/>
        <w:autoSpaceDN w:val="0"/>
        <w:adjustRightInd w:val="0"/>
        <w:spacing w:line="440" w:lineRule="exact"/>
        <w:ind w:firstLine="480"/>
        <w:jc w:val="right"/>
        <w:rPr>
          <w:rFonts w:cs="仿宋_GB2312"/>
          <w:kern w:val="0"/>
          <w:lang w:val="zh-CN"/>
        </w:rPr>
      </w:pPr>
      <w:r>
        <w:rPr>
          <w:rFonts w:hint="eastAsia" w:cs="仿宋_GB2312"/>
          <w:kern w:val="0"/>
          <w:lang w:val="zh-CN"/>
        </w:rPr>
        <w:t xml:space="preserve">                                   法定代表人或授权代表（签字）：     </w:t>
      </w:r>
    </w:p>
    <w:p>
      <w:pPr>
        <w:wordWrap w:val="0"/>
        <w:autoSpaceDE w:val="0"/>
        <w:autoSpaceDN w:val="0"/>
        <w:adjustRightInd w:val="0"/>
        <w:spacing w:line="440" w:lineRule="exact"/>
        <w:ind w:firstLine="480"/>
        <w:jc w:val="right"/>
        <w:rPr>
          <w:rFonts w:cs="仿宋_GB2312"/>
          <w:kern w:val="0"/>
          <w:lang w:val="zh-CN"/>
        </w:rPr>
      </w:pPr>
      <w:r>
        <w:rPr>
          <w:rFonts w:hint="eastAsia" w:cs="仿宋_GB2312"/>
          <w:kern w:val="0"/>
          <w:lang w:val="zh-CN"/>
        </w:rPr>
        <w:t xml:space="preserve"> 日期：</w:t>
      </w:r>
      <w:r>
        <w:rPr>
          <w:rFonts w:cs="仿宋_GB2312"/>
          <w:kern w:val="0"/>
          <w:lang w:val="zh-CN"/>
        </w:rPr>
        <w:t>20</w:t>
      </w:r>
      <w:r>
        <w:rPr>
          <w:rFonts w:hint="eastAsia" w:cs="仿宋_GB2312"/>
          <w:kern w:val="0"/>
          <w:lang w:val="zh-CN"/>
        </w:rPr>
        <w:t xml:space="preserve">  年</w:t>
      </w:r>
      <w:r>
        <w:rPr>
          <w:rFonts w:cs="仿宋_GB2312"/>
          <w:kern w:val="0"/>
          <w:lang w:val="zh-CN"/>
        </w:rPr>
        <w:t xml:space="preserve">  </w:t>
      </w:r>
      <w:r>
        <w:rPr>
          <w:rFonts w:hint="eastAsia" w:cs="仿宋_GB2312"/>
          <w:kern w:val="0"/>
          <w:lang w:val="zh-CN"/>
        </w:rPr>
        <w:t>月</w:t>
      </w:r>
      <w:r>
        <w:rPr>
          <w:rFonts w:cs="仿宋_GB2312"/>
          <w:kern w:val="0"/>
          <w:lang w:val="zh-CN"/>
        </w:rPr>
        <w:t xml:space="preserve">   </w:t>
      </w:r>
      <w:r>
        <w:rPr>
          <w:rFonts w:hint="eastAsia" w:cs="仿宋_GB2312"/>
          <w:kern w:val="0"/>
          <w:lang w:val="zh-CN"/>
        </w:rPr>
        <w:t xml:space="preserve">日      </w:t>
      </w:r>
    </w:p>
    <w:p>
      <w:pPr>
        <w:ind w:firstLine="480"/>
        <w:jc w:val="center"/>
        <w:rPr>
          <w:b/>
          <w:kern w:val="0"/>
          <w:sz w:val="32"/>
          <w:szCs w:val="32"/>
        </w:rPr>
      </w:pPr>
      <w:r>
        <w:rPr>
          <w:rFonts w:cs="仿宋_GB2312"/>
          <w:kern w:val="0"/>
          <w:lang w:val="zh-CN"/>
        </w:rPr>
        <w:br w:type="page"/>
      </w:r>
      <w:r>
        <w:rPr>
          <w:rFonts w:hint="eastAsia"/>
          <w:b/>
          <w:kern w:val="0"/>
          <w:sz w:val="32"/>
          <w:szCs w:val="32"/>
        </w:rPr>
        <w:t>二、分项报价表</w:t>
      </w:r>
    </w:p>
    <w:p>
      <w:pPr>
        <w:autoSpaceDE w:val="0"/>
        <w:autoSpaceDN w:val="0"/>
        <w:adjustRightInd w:val="0"/>
        <w:ind w:firstLine="482"/>
        <w:rPr>
          <w:b/>
          <w:kern w:val="0"/>
        </w:rPr>
      </w:pPr>
      <w:r>
        <w:rPr>
          <w:rFonts w:hint="eastAsia"/>
          <w:b/>
          <w:kern w:val="0"/>
        </w:rPr>
        <w:t xml:space="preserve">项目编号： </w:t>
      </w:r>
    </w:p>
    <w:tbl>
      <w:tblPr>
        <w:tblStyle w:val="33"/>
        <w:tblpPr w:leftFromText="180" w:rightFromText="180" w:vertAnchor="page" w:horzAnchor="page" w:tblpX="1380" w:tblpY="2540"/>
        <w:tblW w:w="92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3448"/>
        <w:gridCol w:w="910"/>
        <w:gridCol w:w="1742"/>
        <w:gridCol w:w="2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52" w:type="dxa"/>
          </w:tcPr>
          <w:p>
            <w:pPr>
              <w:ind w:firstLine="0" w:firstLineChars="0"/>
              <w:jc w:val="center"/>
            </w:pPr>
            <w:r>
              <w:rPr>
                <w:rFonts w:hint="eastAsia"/>
              </w:rPr>
              <w:t>序号</w:t>
            </w:r>
          </w:p>
        </w:tc>
        <w:tc>
          <w:tcPr>
            <w:tcW w:w="3448" w:type="dxa"/>
            <w:vAlign w:val="center"/>
          </w:tcPr>
          <w:p>
            <w:pPr>
              <w:ind w:firstLine="0" w:firstLineChars="0"/>
              <w:jc w:val="center"/>
            </w:pPr>
            <w:r>
              <w:rPr>
                <w:rFonts w:hint="eastAsia"/>
              </w:rPr>
              <w:t>费用名称</w:t>
            </w:r>
          </w:p>
        </w:tc>
        <w:tc>
          <w:tcPr>
            <w:tcW w:w="910" w:type="dxa"/>
            <w:vAlign w:val="center"/>
          </w:tcPr>
          <w:p>
            <w:pPr>
              <w:ind w:firstLine="0" w:firstLineChars="0"/>
              <w:jc w:val="center"/>
            </w:pPr>
            <w:r>
              <w:rPr>
                <w:rFonts w:hint="eastAsia"/>
              </w:rPr>
              <w:t>数量</w:t>
            </w:r>
          </w:p>
        </w:tc>
        <w:tc>
          <w:tcPr>
            <w:tcW w:w="1742" w:type="dxa"/>
            <w:vAlign w:val="center"/>
          </w:tcPr>
          <w:p>
            <w:pPr>
              <w:ind w:firstLine="0" w:firstLineChars="0"/>
              <w:jc w:val="center"/>
            </w:pPr>
            <w:r>
              <w:rPr>
                <w:rFonts w:hint="eastAsia"/>
              </w:rPr>
              <w:t>单价</w:t>
            </w:r>
          </w:p>
        </w:tc>
        <w:tc>
          <w:tcPr>
            <w:tcW w:w="2276" w:type="dxa"/>
            <w:vAlign w:val="center"/>
          </w:tcPr>
          <w:p>
            <w:pPr>
              <w:ind w:firstLine="0" w:firstLineChars="0"/>
              <w:jc w:val="center"/>
            </w:pPr>
            <w:r>
              <w:rPr>
                <w:rFonts w:hint="eastAsia"/>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52" w:type="dxa"/>
            <w:vAlign w:val="center"/>
          </w:tcPr>
          <w:p>
            <w:pPr>
              <w:ind w:firstLine="0" w:firstLineChars="0"/>
              <w:jc w:val="center"/>
            </w:pPr>
            <w:r>
              <w:rPr>
                <w:rFonts w:hint="eastAsia"/>
              </w:rPr>
              <w:t>一</w:t>
            </w:r>
          </w:p>
        </w:tc>
        <w:tc>
          <w:tcPr>
            <w:tcW w:w="3448" w:type="dxa"/>
            <w:vAlign w:val="center"/>
          </w:tcPr>
          <w:p>
            <w:pPr>
              <w:ind w:firstLine="0" w:firstLineChars="0"/>
            </w:pPr>
            <w:r>
              <w:rPr>
                <w:rFonts w:hint="eastAsia"/>
              </w:rPr>
              <w:t>设备费</w:t>
            </w:r>
          </w:p>
        </w:tc>
        <w:tc>
          <w:tcPr>
            <w:tcW w:w="910" w:type="dxa"/>
            <w:tcBorders>
              <w:tl2br w:val="single" w:color="auto" w:sz="4" w:space="0"/>
            </w:tcBorders>
            <w:vAlign w:val="center"/>
          </w:tcPr>
          <w:p>
            <w:pPr>
              <w:ind w:firstLine="480"/>
              <w:jc w:val="center"/>
            </w:pPr>
          </w:p>
        </w:tc>
        <w:tc>
          <w:tcPr>
            <w:tcW w:w="1742" w:type="dxa"/>
            <w:tcBorders>
              <w:tl2br w:val="single" w:color="auto" w:sz="4" w:space="0"/>
            </w:tcBorders>
            <w:vAlign w:val="center"/>
          </w:tcPr>
          <w:p>
            <w:pPr>
              <w:ind w:firstLine="480"/>
              <w:jc w:val="center"/>
            </w:pPr>
          </w:p>
        </w:tc>
        <w:tc>
          <w:tcPr>
            <w:tcW w:w="2276" w:type="dxa"/>
            <w:tcBorders>
              <w:tl2br w:val="single" w:color="auto" w:sz="4" w:space="0"/>
            </w:tcBorders>
            <w:vAlign w:val="center"/>
          </w:tcPr>
          <w:p>
            <w:pPr>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52" w:type="dxa"/>
            <w:vAlign w:val="center"/>
          </w:tcPr>
          <w:p>
            <w:pPr>
              <w:ind w:firstLine="480"/>
              <w:jc w:val="center"/>
            </w:pPr>
          </w:p>
        </w:tc>
        <w:tc>
          <w:tcPr>
            <w:tcW w:w="3448" w:type="dxa"/>
            <w:vAlign w:val="center"/>
          </w:tcPr>
          <w:p>
            <w:pPr>
              <w:ind w:firstLine="480"/>
              <w:jc w:val="center"/>
            </w:pPr>
          </w:p>
        </w:tc>
        <w:tc>
          <w:tcPr>
            <w:tcW w:w="910" w:type="dxa"/>
            <w:vAlign w:val="center"/>
          </w:tcPr>
          <w:p>
            <w:pPr>
              <w:ind w:firstLine="480"/>
              <w:jc w:val="center"/>
            </w:pPr>
          </w:p>
        </w:tc>
        <w:tc>
          <w:tcPr>
            <w:tcW w:w="1742" w:type="dxa"/>
            <w:vAlign w:val="center"/>
          </w:tcPr>
          <w:p>
            <w:pPr>
              <w:ind w:firstLine="480"/>
              <w:jc w:val="center"/>
            </w:pPr>
          </w:p>
        </w:tc>
        <w:tc>
          <w:tcPr>
            <w:tcW w:w="2276" w:type="dxa"/>
            <w:vAlign w:val="center"/>
          </w:tcPr>
          <w:p>
            <w:pPr>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52" w:type="dxa"/>
            <w:vAlign w:val="center"/>
          </w:tcPr>
          <w:p>
            <w:pPr>
              <w:ind w:firstLine="480"/>
              <w:jc w:val="center"/>
            </w:pPr>
          </w:p>
        </w:tc>
        <w:tc>
          <w:tcPr>
            <w:tcW w:w="3448" w:type="dxa"/>
            <w:vAlign w:val="center"/>
          </w:tcPr>
          <w:p>
            <w:pPr>
              <w:ind w:firstLine="480"/>
              <w:jc w:val="center"/>
            </w:pPr>
          </w:p>
        </w:tc>
        <w:tc>
          <w:tcPr>
            <w:tcW w:w="910" w:type="dxa"/>
            <w:vAlign w:val="center"/>
          </w:tcPr>
          <w:p>
            <w:pPr>
              <w:ind w:firstLine="480"/>
              <w:jc w:val="center"/>
            </w:pPr>
          </w:p>
        </w:tc>
        <w:tc>
          <w:tcPr>
            <w:tcW w:w="1742" w:type="dxa"/>
            <w:vAlign w:val="center"/>
          </w:tcPr>
          <w:p>
            <w:pPr>
              <w:ind w:firstLine="480"/>
              <w:jc w:val="center"/>
            </w:pPr>
          </w:p>
        </w:tc>
        <w:tc>
          <w:tcPr>
            <w:tcW w:w="2276" w:type="dxa"/>
            <w:vAlign w:val="center"/>
          </w:tcPr>
          <w:p>
            <w:pPr>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52" w:type="dxa"/>
            <w:vAlign w:val="center"/>
          </w:tcPr>
          <w:p>
            <w:pPr>
              <w:ind w:firstLine="0" w:firstLineChars="0"/>
              <w:jc w:val="center"/>
            </w:pPr>
            <w:r>
              <w:rPr>
                <w:rFonts w:hint="eastAsia"/>
              </w:rPr>
              <w:t>二</w:t>
            </w:r>
          </w:p>
        </w:tc>
        <w:tc>
          <w:tcPr>
            <w:tcW w:w="3448" w:type="dxa"/>
            <w:vAlign w:val="center"/>
          </w:tcPr>
          <w:p>
            <w:pPr>
              <w:ind w:firstLine="0" w:firstLineChars="0"/>
            </w:pPr>
            <w:r>
              <w:rPr>
                <w:rFonts w:hint="eastAsia"/>
              </w:rPr>
              <w:t>安装费</w:t>
            </w:r>
          </w:p>
        </w:tc>
        <w:tc>
          <w:tcPr>
            <w:tcW w:w="910" w:type="dxa"/>
            <w:tcBorders>
              <w:tl2br w:val="single" w:color="auto" w:sz="4" w:space="0"/>
            </w:tcBorders>
            <w:vAlign w:val="center"/>
          </w:tcPr>
          <w:p>
            <w:pPr>
              <w:ind w:firstLine="480"/>
              <w:jc w:val="center"/>
            </w:pPr>
          </w:p>
        </w:tc>
        <w:tc>
          <w:tcPr>
            <w:tcW w:w="1742" w:type="dxa"/>
            <w:tcBorders>
              <w:tl2br w:val="single" w:color="auto" w:sz="4" w:space="0"/>
            </w:tcBorders>
            <w:vAlign w:val="center"/>
          </w:tcPr>
          <w:p>
            <w:pPr>
              <w:ind w:firstLine="480"/>
              <w:jc w:val="center"/>
            </w:pPr>
          </w:p>
        </w:tc>
        <w:tc>
          <w:tcPr>
            <w:tcW w:w="2276" w:type="dxa"/>
            <w:tcBorders>
              <w:tl2br w:val="single" w:color="auto" w:sz="4" w:space="0"/>
            </w:tcBorders>
            <w:vAlign w:val="center"/>
          </w:tcPr>
          <w:p>
            <w:pPr>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52" w:type="dxa"/>
            <w:vAlign w:val="center"/>
          </w:tcPr>
          <w:p>
            <w:pPr>
              <w:ind w:firstLine="480"/>
              <w:jc w:val="center"/>
            </w:pPr>
          </w:p>
        </w:tc>
        <w:tc>
          <w:tcPr>
            <w:tcW w:w="3448" w:type="dxa"/>
            <w:vAlign w:val="center"/>
          </w:tcPr>
          <w:p>
            <w:pPr>
              <w:ind w:firstLine="480"/>
              <w:jc w:val="center"/>
            </w:pPr>
          </w:p>
        </w:tc>
        <w:tc>
          <w:tcPr>
            <w:tcW w:w="910" w:type="dxa"/>
            <w:vAlign w:val="center"/>
          </w:tcPr>
          <w:p>
            <w:pPr>
              <w:ind w:firstLine="480"/>
              <w:jc w:val="center"/>
            </w:pPr>
          </w:p>
        </w:tc>
        <w:tc>
          <w:tcPr>
            <w:tcW w:w="1742" w:type="dxa"/>
            <w:vAlign w:val="center"/>
          </w:tcPr>
          <w:p>
            <w:pPr>
              <w:ind w:firstLine="480"/>
              <w:jc w:val="center"/>
            </w:pPr>
          </w:p>
        </w:tc>
        <w:tc>
          <w:tcPr>
            <w:tcW w:w="2276" w:type="dxa"/>
            <w:vAlign w:val="center"/>
          </w:tcPr>
          <w:p>
            <w:pPr>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52" w:type="dxa"/>
            <w:vAlign w:val="center"/>
          </w:tcPr>
          <w:p>
            <w:pPr>
              <w:ind w:firstLine="480"/>
              <w:jc w:val="center"/>
            </w:pPr>
          </w:p>
        </w:tc>
        <w:tc>
          <w:tcPr>
            <w:tcW w:w="3448" w:type="dxa"/>
            <w:vAlign w:val="center"/>
          </w:tcPr>
          <w:p>
            <w:pPr>
              <w:ind w:firstLine="480"/>
              <w:jc w:val="center"/>
            </w:pPr>
          </w:p>
        </w:tc>
        <w:tc>
          <w:tcPr>
            <w:tcW w:w="910" w:type="dxa"/>
            <w:vAlign w:val="center"/>
          </w:tcPr>
          <w:p>
            <w:pPr>
              <w:ind w:firstLine="480"/>
              <w:jc w:val="center"/>
            </w:pPr>
          </w:p>
        </w:tc>
        <w:tc>
          <w:tcPr>
            <w:tcW w:w="1742" w:type="dxa"/>
            <w:vAlign w:val="center"/>
          </w:tcPr>
          <w:p>
            <w:pPr>
              <w:ind w:firstLine="480"/>
              <w:jc w:val="center"/>
            </w:pPr>
          </w:p>
        </w:tc>
        <w:tc>
          <w:tcPr>
            <w:tcW w:w="2276" w:type="dxa"/>
            <w:vAlign w:val="center"/>
          </w:tcPr>
          <w:p>
            <w:pPr>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52" w:type="dxa"/>
            <w:vAlign w:val="center"/>
          </w:tcPr>
          <w:p>
            <w:pPr>
              <w:ind w:firstLine="0" w:firstLineChars="0"/>
              <w:jc w:val="center"/>
            </w:pPr>
            <w:r>
              <w:rPr>
                <w:rFonts w:hint="eastAsia"/>
              </w:rPr>
              <w:t>三</w:t>
            </w:r>
          </w:p>
        </w:tc>
        <w:tc>
          <w:tcPr>
            <w:tcW w:w="3448" w:type="dxa"/>
            <w:vAlign w:val="center"/>
          </w:tcPr>
          <w:p>
            <w:pPr>
              <w:ind w:firstLine="0" w:firstLineChars="0"/>
            </w:pPr>
            <w:r>
              <w:rPr>
                <w:rFonts w:hint="eastAsia"/>
              </w:rPr>
              <w:t>其他费用</w:t>
            </w:r>
          </w:p>
        </w:tc>
        <w:tc>
          <w:tcPr>
            <w:tcW w:w="910" w:type="dxa"/>
            <w:tcBorders>
              <w:bottom w:val="single" w:color="auto" w:sz="4" w:space="0"/>
              <w:tl2br w:val="single" w:color="auto" w:sz="4" w:space="0"/>
            </w:tcBorders>
            <w:vAlign w:val="center"/>
          </w:tcPr>
          <w:p>
            <w:pPr>
              <w:ind w:firstLine="480"/>
              <w:jc w:val="center"/>
            </w:pPr>
          </w:p>
        </w:tc>
        <w:tc>
          <w:tcPr>
            <w:tcW w:w="1742" w:type="dxa"/>
            <w:tcBorders>
              <w:bottom w:val="single" w:color="auto" w:sz="4" w:space="0"/>
              <w:tl2br w:val="single" w:color="auto" w:sz="4" w:space="0"/>
            </w:tcBorders>
            <w:vAlign w:val="center"/>
          </w:tcPr>
          <w:p>
            <w:pPr>
              <w:ind w:firstLine="480"/>
              <w:jc w:val="center"/>
            </w:pPr>
          </w:p>
        </w:tc>
        <w:tc>
          <w:tcPr>
            <w:tcW w:w="2276" w:type="dxa"/>
            <w:vAlign w:val="center"/>
          </w:tcPr>
          <w:p>
            <w:pPr>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52" w:type="dxa"/>
            <w:vAlign w:val="center"/>
          </w:tcPr>
          <w:p>
            <w:pPr>
              <w:ind w:firstLine="480"/>
              <w:jc w:val="center"/>
            </w:pPr>
          </w:p>
        </w:tc>
        <w:tc>
          <w:tcPr>
            <w:tcW w:w="3448" w:type="dxa"/>
            <w:vAlign w:val="center"/>
          </w:tcPr>
          <w:p>
            <w:pPr>
              <w:ind w:firstLine="480"/>
              <w:jc w:val="center"/>
            </w:pPr>
          </w:p>
        </w:tc>
        <w:tc>
          <w:tcPr>
            <w:tcW w:w="910" w:type="dxa"/>
            <w:vAlign w:val="center"/>
          </w:tcPr>
          <w:p>
            <w:pPr>
              <w:ind w:firstLine="480"/>
              <w:jc w:val="center"/>
            </w:pPr>
          </w:p>
        </w:tc>
        <w:tc>
          <w:tcPr>
            <w:tcW w:w="1742" w:type="dxa"/>
            <w:vAlign w:val="center"/>
          </w:tcPr>
          <w:p>
            <w:pPr>
              <w:ind w:firstLine="480"/>
              <w:jc w:val="center"/>
            </w:pPr>
          </w:p>
        </w:tc>
        <w:tc>
          <w:tcPr>
            <w:tcW w:w="2276" w:type="dxa"/>
            <w:vAlign w:val="center"/>
          </w:tcPr>
          <w:p>
            <w:pPr>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852" w:type="dxa"/>
          </w:tcPr>
          <w:p>
            <w:pPr>
              <w:ind w:firstLine="480"/>
              <w:jc w:val="center"/>
            </w:pPr>
          </w:p>
        </w:tc>
        <w:tc>
          <w:tcPr>
            <w:tcW w:w="3448" w:type="dxa"/>
          </w:tcPr>
          <w:p>
            <w:pPr>
              <w:ind w:firstLine="0" w:firstLineChars="0"/>
            </w:pPr>
            <w:r>
              <w:rPr>
                <w:rFonts w:hint="eastAsia"/>
              </w:rPr>
              <w:t>合计投标总报价=一+二+三（大写加小写）:</w:t>
            </w:r>
          </w:p>
        </w:tc>
        <w:tc>
          <w:tcPr>
            <w:tcW w:w="4928" w:type="dxa"/>
            <w:gridSpan w:val="3"/>
          </w:tcPr>
          <w:p>
            <w:pPr>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852" w:type="dxa"/>
          </w:tcPr>
          <w:p>
            <w:pPr>
              <w:ind w:firstLine="480"/>
              <w:jc w:val="center"/>
            </w:pPr>
          </w:p>
        </w:tc>
        <w:tc>
          <w:tcPr>
            <w:tcW w:w="8376" w:type="dxa"/>
            <w:gridSpan w:val="4"/>
          </w:tcPr>
          <w:p>
            <w:pPr>
              <w:ind w:firstLine="0" w:firstLineChars="0"/>
            </w:pPr>
            <w:r>
              <w:rPr>
                <w:rFonts w:hint="eastAsia"/>
              </w:rPr>
              <w:t xml:space="preserve">我公司的投标货物（即电梯）品牌及型号为：       电梯的产地为 ：              </w:t>
            </w:r>
          </w:p>
        </w:tc>
      </w:tr>
    </w:tbl>
    <w:p>
      <w:pPr>
        <w:autoSpaceDE w:val="0"/>
        <w:autoSpaceDN w:val="0"/>
        <w:adjustRightInd w:val="0"/>
        <w:spacing w:line="320" w:lineRule="exact"/>
        <w:ind w:firstLine="480"/>
        <w:rPr>
          <w:kern w:val="0"/>
        </w:rPr>
      </w:pPr>
      <w:r>
        <w:rPr>
          <w:rFonts w:hint="eastAsia"/>
          <w:kern w:val="0"/>
        </w:rPr>
        <w:t>备注：</w:t>
      </w:r>
    </w:p>
    <w:p>
      <w:pPr>
        <w:numPr>
          <w:ilvl w:val="0"/>
          <w:numId w:val="22"/>
        </w:numPr>
        <w:adjustRightInd w:val="0"/>
        <w:snapToGrid w:val="0"/>
        <w:spacing w:line="320" w:lineRule="exact"/>
        <w:ind w:firstLine="480"/>
      </w:pPr>
      <w:r>
        <w:rPr>
          <w:rFonts w:hint="eastAsia"/>
        </w:rPr>
        <w:t>（1）</w:t>
      </w:r>
      <w:r>
        <w:rPr>
          <w:rFonts w:hint="eastAsia"/>
          <w:kern w:val="0"/>
        </w:rPr>
        <w:t>投标报价应包括</w:t>
      </w:r>
      <w:r>
        <w:rPr>
          <w:rFonts w:hint="eastAsia"/>
        </w:rPr>
        <w:t>设备供货和安装所需的零星土建，地面开挖、管线迁移、开挖及开挖复原（修复），整体装配式主体结构及电梯设备、安装、调试、装饰、试运行、电梯智能服务管家、设备供货、运输、卸货吊装、质监部门验收、质保期内的维修保养项目等（投标报价包含新梯验收费用及至少2年质保期内的年检费用，共计至少3次检验验收费用）、政策性文件规定及合同包含的所有风险、责任等各项全部费用。</w:t>
      </w:r>
    </w:p>
    <w:p>
      <w:pPr>
        <w:adjustRightInd w:val="0"/>
        <w:snapToGrid w:val="0"/>
        <w:spacing w:line="320" w:lineRule="exact"/>
        <w:ind w:firstLine="480"/>
      </w:pPr>
      <w:r>
        <w:rPr>
          <w:rFonts w:hint="eastAsia"/>
        </w:rPr>
        <w:t xml:space="preserve">   （2）投标报价应是唯一的，招标方将拒绝有选择的报价。</w:t>
      </w:r>
    </w:p>
    <w:p>
      <w:pPr>
        <w:autoSpaceDE w:val="0"/>
        <w:autoSpaceDN w:val="0"/>
        <w:adjustRightInd w:val="0"/>
        <w:spacing w:line="320" w:lineRule="exact"/>
        <w:ind w:firstLine="480"/>
        <w:rPr>
          <w:kern w:val="0"/>
        </w:rPr>
      </w:pPr>
      <w:r>
        <w:rPr>
          <w:rFonts w:hint="eastAsia"/>
          <w:kern w:val="0"/>
        </w:rPr>
        <w:t>2、针对本项目的需求清单一一对应填写一份“分项报价表”。此表在不改变格式内容时，可自行制作。</w:t>
      </w:r>
    </w:p>
    <w:p>
      <w:pPr>
        <w:autoSpaceDE w:val="0"/>
        <w:autoSpaceDN w:val="0"/>
        <w:adjustRightInd w:val="0"/>
        <w:spacing w:line="320" w:lineRule="exact"/>
        <w:ind w:firstLine="480"/>
        <w:rPr>
          <w:kern w:val="0"/>
        </w:rPr>
      </w:pPr>
      <w:r>
        <w:rPr>
          <w:rFonts w:hint="eastAsia"/>
          <w:kern w:val="0"/>
        </w:rPr>
        <w:t>3、分项报价表中合计总价应与开标一览表中的相应报价相一致，不一致时，以开标一览表报价为准。</w:t>
      </w:r>
    </w:p>
    <w:p>
      <w:pPr>
        <w:autoSpaceDE w:val="0"/>
        <w:autoSpaceDN w:val="0"/>
        <w:adjustRightInd w:val="0"/>
        <w:spacing w:line="320" w:lineRule="exact"/>
        <w:ind w:firstLine="480"/>
        <w:rPr>
          <w:kern w:val="0"/>
        </w:rPr>
      </w:pPr>
      <w:r>
        <w:rPr>
          <w:rFonts w:hint="eastAsia"/>
          <w:kern w:val="0"/>
        </w:rPr>
        <w:t>4、“分项报价表”为多页的，每页均需由投标人代表签字并加盖投标人公章。</w:t>
      </w:r>
    </w:p>
    <w:p>
      <w:pPr>
        <w:autoSpaceDE w:val="0"/>
        <w:autoSpaceDN w:val="0"/>
        <w:adjustRightInd w:val="0"/>
        <w:spacing w:line="320" w:lineRule="exact"/>
        <w:ind w:firstLine="480"/>
        <w:rPr>
          <w:kern w:val="0"/>
        </w:rPr>
      </w:pPr>
      <w:r>
        <w:rPr>
          <w:rFonts w:hint="eastAsia"/>
          <w:kern w:val="0"/>
        </w:rPr>
        <w:t>5、漏报的视同已包含在投标总价内。有重大缺项的将作无效标处理。</w:t>
      </w:r>
    </w:p>
    <w:p>
      <w:pPr>
        <w:wordWrap w:val="0"/>
        <w:autoSpaceDE w:val="0"/>
        <w:autoSpaceDN w:val="0"/>
        <w:adjustRightInd w:val="0"/>
        <w:spacing w:line="360" w:lineRule="exact"/>
        <w:ind w:firstLine="480"/>
        <w:jc w:val="right"/>
        <w:rPr>
          <w:rFonts w:cs="仿宋_GB2312"/>
          <w:kern w:val="0"/>
          <w:lang w:val="zh-CN"/>
        </w:rPr>
      </w:pPr>
      <w:r>
        <w:rPr>
          <w:rFonts w:hint="eastAsia"/>
          <w:kern w:val="0"/>
        </w:rPr>
        <w:t xml:space="preserve">                                 </w:t>
      </w:r>
      <w:r>
        <w:rPr>
          <w:rFonts w:hint="eastAsia" w:cs="仿宋_GB2312"/>
          <w:kern w:val="0"/>
          <w:lang w:val="zh-CN"/>
        </w:rPr>
        <w:t xml:space="preserve">             投标人（公章）：     </w:t>
      </w:r>
    </w:p>
    <w:p>
      <w:pPr>
        <w:wordWrap w:val="0"/>
        <w:autoSpaceDE w:val="0"/>
        <w:autoSpaceDN w:val="0"/>
        <w:adjustRightInd w:val="0"/>
        <w:spacing w:line="360" w:lineRule="exact"/>
        <w:ind w:firstLine="480"/>
        <w:jc w:val="right"/>
        <w:rPr>
          <w:rFonts w:cs="仿宋_GB2312"/>
          <w:kern w:val="0"/>
          <w:lang w:val="zh-CN"/>
        </w:rPr>
      </w:pPr>
      <w:r>
        <w:rPr>
          <w:rFonts w:hint="eastAsia" w:cs="仿宋_GB2312"/>
          <w:kern w:val="0"/>
          <w:lang w:val="zh-CN"/>
        </w:rPr>
        <w:t xml:space="preserve">                                   法定代表人或授权代表（签字）：     </w:t>
      </w:r>
    </w:p>
    <w:p>
      <w:pPr>
        <w:spacing w:line="360" w:lineRule="exact"/>
        <w:ind w:firstLine="480"/>
        <w:jc w:val="center"/>
        <w:rPr>
          <w:rFonts w:cs="仿宋_GB2312"/>
          <w:kern w:val="0"/>
          <w:lang w:val="zh-CN"/>
        </w:rPr>
      </w:pPr>
      <w:r>
        <w:rPr>
          <w:rFonts w:hint="eastAsia" w:cs="仿宋_GB2312"/>
          <w:kern w:val="0"/>
          <w:lang w:val="zh-CN"/>
        </w:rPr>
        <w:t xml:space="preserve">                                             日期：</w:t>
      </w:r>
      <w:r>
        <w:rPr>
          <w:rFonts w:cs="仿宋_GB2312"/>
          <w:kern w:val="0"/>
          <w:lang w:val="zh-CN"/>
        </w:rPr>
        <w:t>20</w:t>
      </w:r>
      <w:r>
        <w:rPr>
          <w:rFonts w:hint="eastAsia" w:cs="仿宋_GB2312"/>
          <w:kern w:val="0"/>
          <w:lang w:val="zh-CN"/>
        </w:rPr>
        <w:t xml:space="preserve">  年</w:t>
      </w:r>
      <w:r>
        <w:rPr>
          <w:rFonts w:cs="仿宋_GB2312"/>
          <w:kern w:val="0"/>
          <w:lang w:val="zh-CN"/>
        </w:rPr>
        <w:t xml:space="preserve">  </w:t>
      </w:r>
      <w:r>
        <w:rPr>
          <w:rFonts w:hint="eastAsia" w:cs="仿宋_GB2312"/>
          <w:kern w:val="0"/>
          <w:lang w:val="zh-CN"/>
        </w:rPr>
        <w:t>月</w:t>
      </w:r>
      <w:r>
        <w:rPr>
          <w:rFonts w:cs="仿宋_GB2312"/>
          <w:kern w:val="0"/>
          <w:lang w:val="zh-CN"/>
        </w:rPr>
        <w:t xml:space="preserve">   </w:t>
      </w:r>
      <w:r>
        <w:rPr>
          <w:rFonts w:hint="eastAsia" w:cs="仿宋_GB2312"/>
          <w:kern w:val="0"/>
          <w:lang w:val="zh-CN"/>
        </w:rPr>
        <w:t xml:space="preserve">日  </w:t>
      </w:r>
    </w:p>
    <w:p>
      <w:pPr>
        <w:wordWrap w:val="0"/>
        <w:autoSpaceDE w:val="0"/>
        <w:autoSpaceDN w:val="0"/>
        <w:adjustRightInd w:val="0"/>
        <w:spacing w:line="440" w:lineRule="exact"/>
        <w:ind w:firstLine="480"/>
        <w:jc w:val="right"/>
        <w:rPr>
          <w:rFonts w:cs="仿宋_GB2312"/>
          <w:kern w:val="0"/>
          <w:lang w:val="zh-CN"/>
        </w:rPr>
      </w:pPr>
      <w:r>
        <w:rPr>
          <w:rFonts w:hint="eastAsia" w:cs="仿宋_GB2312"/>
          <w:kern w:val="0"/>
          <w:lang w:val="zh-CN"/>
        </w:rPr>
        <w:t xml:space="preserve">  </w:t>
      </w:r>
    </w:p>
    <w:p>
      <w:pPr>
        <w:autoSpaceDE w:val="0"/>
        <w:autoSpaceDN w:val="0"/>
        <w:adjustRightInd w:val="0"/>
        <w:spacing w:line="440" w:lineRule="exact"/>
        <w:ind w:firstLine="643"/>
        <w:jc w:val="center"/>
        <w:rPr>
          <w:b/>
          <w:kern w:val="0"/>
          <w:sz w:val="32"/>
          <w:szCs w:val="32"/>
        </w:rPr>
      </w:pPr>
      <w:r>
        <w:rPr>
          <w:b/>
          <w:kern w:val="0"/>
          <w:sz w:val="32"/>
          <w:szCs w:val="32"/>
        </w:rPr>
        <w:br w:type="page"/>
      </w:r>
      <w:r>
        <w:rPr>
          <w:rFonts w:hint="eastAsia"/>
          <w:b/>
          <w:kern w:val="0"/>
          <w:sz w:val="32"/>
          <w:szCs w:val="32"/>
        </w:rPr>
        <w:t>三、评分对应表</w:t>
      </w:r>
    </w:p>
    <w:p>
      <w:pPr>
        <w:spacing w:line="440" w:lineRule="exact"/>
        <w:ind w:firstLine="361" w:firstLineChars="150"/>
        <w:jc w:val="left"/>
        <w:rPr>
          <w:b/>
          <w:kern w:val="0"/>
        </w:rPr>
      </w:pPr>
      <w:r>
        <w:rPr>
          <w:rFonts w:hint="eastAsia"/>
          <w:b/>
          <w:kern w:val="0"/>
        </w:rPr>
        <w:t xml:space="preserve">                                   </w:t>
      </w:r>
    </w:p>
    <w:p>
      <w:pPr>
        <w:autoSpaceDE w:val="0"/>
        <w:autoSpaceDN w:val="0"/>
        <w:adjustRightInd w:val="0"/>
        <w:spacing w:line="440" w:lineRule="exact"/>
        <w:ind w:firstLine="479" w:firstLineChars="199"/>
        <w:rPr>
          <w:b/>
          <w:kern w:val="0"/>
        </w:rPr>
      </w:pPr>
      <w:r>
        <w:rPr>
          <w:rFonts w:hint="eastAsia"/>
          <w:b/>
          <w:kern w:val="0"/>
        </w:rPr>
        <w:t xml:space="preserve">项目编号： </w:t>
      </w:r>
    </w:p>
    <w:tbl>
      <w:tblPr>
        <w:tblStyle w:val="33"/>
        <w:tblW w:w="82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27"/>
        <w:gridCol w:w="1318"/>
        <w:gridCol w:w="3124"/>
        <w:gridCol w:w="27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1127" w:type="dxa"/>
            <w:tcBorders>
              <w:top w:val="single" w:color="auto" w:sz="4" w:space="0"/>
              <w:left w:val="single" w:color="auto" w:sz="4" w:space="0"/>
              <w:bottom w:val="single" w:color="auto" w:sz="4" w:space="0"/>
              <w:right w:val="single" w:color="auto" w:sz="4" w:space="0"/>
            </w:tcBorders>
            <w:vAlign w:val="center"/>
          </w:tcPr>
          <w:p>
            <w:pPr>
              <w:snapToGrid w:val="0"/>
              <w:ind w:firstLine="480"/>
              <w:rPr>
                <w:color w:val="000000"/>
                <w:szCs w:val="21"/>
              </w:rPr>
            </w:pPr>
          </w:p>
        </w:tc>
        <w:tc>
          <w:tcPr>
            <w:tcW w:w="1318" w:type="dxa"/>
            <w:tcBorders>
              <w:top w:val="single" w:color="auto" w:sz="4" w:space="0"/>
              <w:left w:val="single" w:color="auto" w:sz="4" w:space="0"/>
              <w:bottom w:val="single" w:color="auto" w:sz="4" w:space="0"/>
              <w:right w:val="single" w:color="auto" w:sz="4" w:space="0"/>
            </w:tcBorders>
            <w:vAlign w:val="center"/>
          </w:tcPr>
          <w:p>
            <w:pPr>
              <w:snapToGrid w:val="0"/>
              <w:ind w:firstLine="480"/>
              <w:rPr>
                <w:color w:val="000000"/>
                <w:szCs w:val="21"/>
              </w:rPr>
            </w:pPr>
          </w:p>
        </w:tc>
        <w:tc>
          <w:tcPr>
            <w:tcW w:w="3124" w:type="dxa"/>
            <w:tcBorders>
              <w:top w:val="single" w:color="auto" w:sz="4" w:space="0"/>
              <w:left w:val="single" w:color="auto" w:sz="4" w:space="0"/>
              <w:bottom w:val="single" w:color="auto" w:sz="4" w:space="0"/>
              <w:right w:val="single" w:color="auto" w:sz="4" w:space="0"/>
            </w:tcBorders>
            <w:vAlign w:val="center"/>
          </w:tcPr>
          <w:p>
            <w:pPr>
              <w:snapToGrid w:val="0"/>
              <w:ind w:firstLine="480"/>
              <w:rPr>
                <w:color w:val="000000"/>
                <w:szCs w:val="21"/>
              </w:rPr>
            </w:pP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ind w:firstLine="480"/>
              <w:rPr>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1127" w:type="dxa"/>
            <w:tcBorders>
              <w:top w:val="single" w:color="auto" w:sz="4" w:space="0"/>
              <w:left w:val="single" w:color="auto" w:sz="4" w:space="0"/>
              <w:bottom w:val="single" w:color="auto" w:sz="4" w:space="0"/>
              <w:right w:val="single" w:color="auto" w:sz="4" w:space="0"/>
            </w:tcBorders>
            <w:vAlign w:val="center"/>
          </w:tcPr>
          <w:p>
            <w:pPr>
              <w:snapToGrid w:val="0"/>
              <w:ind w:firstLine="240" w:firstLineChars="100"/>
              <w:rPr>
                <w:color w:val="000000"/>
                <w:szCs w:val="21"/>
              </w:rPr>
            </w:pPr>
            <w:r>
              <w:rPr>
                <w:rFonts w:hint="eastAsia"/>
                <w:color w:val="000000"/>
                <w:szCs w:val="21"/>
              </w:rPr>
              <w:t>一</w:t>
            </w:r>
          </w:p>
        </w:tc>
        <w:tc>
          <w:tcPr>
            <w:tcW w:w="1318"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color w:val="000000"/>
                <w:szCs w:val="21"/>
              </w:rPr>
            </w:pPr>
            <w:r>
              <w:rPr>
                <w:rFonts w:hint="eastAsia"/>
                <w:color w:val="000000"/>
                <w:szCs w:val="21"/>
              </w:rPr>
              <w:t>技术分</w:t>
            </w:r>
          </w:p>
        </w:tc>
        <w:tc>
          <w:tcPr>
            <w:tcW w:w="3124" w:type="dxa"/>
            <w:tcBorders>
              <w:top w:val="single" w:color="auto" w:sz="4" w:space="0"/>
              <w:left w:val="single" w:color="auto" w:sz="4" w:space="0"/>
              <w:bottom w:val="single" w:color="auto" w:sz="4" w:space="0"/>
              <w:right w:val="single" w:color="auto" w:sz="4" w:space="0"/>
            </w:tcBorders>
            <w:vAlign w:val="center"/>
          </w:tcPr>
          <w:p>
            <w:pPr>
              <w:snapToGrid w:val="0"/>
              <w:ind w:firstLine="480"/>
              <w:jc w:val="center"/>
              <w:rPr>
                <w:color w:val="000000"/>
                <w:szCs w:val="21"/>
              </w:rPr>
            </w:pP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ind w:firstLine="480"/>
              <w:jc w:val="center"/>
              <w:rPr>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4" w:hRule="atLeast"/>
          <w:jc w:val="center"/>
        </w:trPr>
        <w:tc>
          <w:tcPr>
            <w:tcW w:w="1127" w:type="dxa"/>
            <w:tcBorders>
              <w:top w:val="single" w:color="auto" w:sz="4" w:space="0"/>
              <w:left w:val="single" w:color="auto" w:sz="4" w:space="0"/>
              <w:bottom w:val="single" w:color="auto" w:sz="4" w:space="0"/>
              <w:right w:val="single" w:color="auto" w:sz="4" w:space="0"/>
            </w:tcBorders>
            <w:vAlign w:val="center"/>
          </w:tcPr>
          <w:p>
            <w:pPr>
              <w:snapToGrid w:val="0"/>
              <w:ind w:firstLine="480"/>
              <w:jc w:val="center"/>
              <w:rPr>
                <w:color w:val="000000"/>
                <w:szCs w:val="21"/>
              </w:rPr>
            </w:pPr>
            <w:r>
              <w:rPr>
                <w:rFonts w:hint="eastAsia"/>
                <w:color w:val="000000"/>
                <w:szCs w:val="21"/>
              </w:rPr>
              <w:t>1</w:t>
            </w:r>
          </w:p>
        </w:tc>
        <w:tc>
          <w:tcPr>
            <w:tcW w:w="1318" w:type="dxa"/>
            <w:tcBorders>
              <w:top w:val="single" w:color="auto" w:sz="4" w:space="0"/>
              <w:left w:val="single" w:color="auto" w:sz="4" w:space="0"/>
              <w:bottom w:val="single" w:color="auto" w:sz="4" w:space="0"/>
              <w:right w:val="single" w:color="auto" w:sz="4" w:space="0"/>
            </w:tcBorders>
            <w:vAlign w:val="center"/>
          </w:tcPr>
          <w:p>
            <w:pPr>
              <w:snapToGrid w:val="0"/>
              <w:ind w:firstLine="480"/>
              <w:jc w:val="center"/>
              <w:rPr>
                <w:color w:val="000000"/>
                <w:szCs w:val="21"/>
              </w:rPr>
            </w:pPr>
          </w:p>
        </w:tc>
        <w:tc>
          <w:tcPr>
            <w:tcW w:w="3124" w:type="dxa"/>
            <w:tcBorders>
              <w:top w:val="single" w:color="auto" w:sz="4" w:space="0"/>
              <w:left w:val="single" w:color="auto" w:sz="4" w:space="0"/>
              <w:right w:val="single" w:color="auto" w:sz="4" w:space="0"/>
            </w:tcBorders>
            <w:vAlign w:val="center"/>
          </w:tcPr>
          <w:p>
            <w:pPr>
              <w:snapToGrid w:val="0"/>
              <w:ind w:firstLine="480"/>
              <w:jc w:val="center"/>
              <w:rPr>
                <w:color w:val="000000"/>
                <w:szCs w:val="21"/>
              </w:rPr>
            </w:pPr>
          </w:p>
        </w:tc>
        <w:tc>
          <w:tcPr>
            <w:tcW w:w="2700" w:type="dxa"/>
            <w:tcBorders>
              <w:top w:val="single" w:color="auto" w:sz="4" w:space="0"/>
              <w:left w:val="single" w:color="auto" w:sz="4" w:space="0"/>
              <w:right w:val="single" w:color="auto" w:sz="4" w:space="0"/>
            </w:tcBorders>
            <w:vAlign w:val="center"/>
          </w:tcPr>
          <w:p>
            <w:pPr>
              <w:snapToGrid w:val="0"/>
              <w:ind w:firstLine="0" w:firstLineChars="0"/>
              <w:rPr>
                <w:color w:val="000000"/>
                <w:szCs w:val="21"/>
              </w:rPr>
            </w:pPr>
            <w:r>
              <w:rPr>
                <w:rFonts w:hint="eastAsia"/>
                <w:color w:val="000000"/>
                <w:szCs w:val="21"/>
              </w:rPr>
              <w:t>详见技术文件第几页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46" w:hRule="atLeast"/>
          <w:jc w:val="center"/>
        </w:trPr>
        <w:tc>
          <w:tcPr>
            <w:tcW w:w="1127" w:type="dxa"/>
            <w:tcBorders>
              <w:top w:val="single" w:color="auto" w:sz="4" w:space="0"/>
              <w:left w:val="single" w:color="auto" w:sz="4" w:space="0"/>
              <w:bottom w:val="single" w:color="auto" w:sz="4" w:space="0"/>
              <w:right w:val="single" w:color="auto" w:sz="4" w:space="0"/>
            </w:tcBorders>
            <w:vAlign w:val="center"/>
          </w:tcPr>
          <w:p>
            <w:pPr>
              <w:snapToGrid w:val="0"/>
              <w:ind w:firstLine="480"/>
              <w:jc w:val="center"/>
              <w:rPr>
                <w:color w:val="000000"/>
                <w:szCs w:val="21"/>
              </w:rPr>
            </w:pPr>
            <w:r>
              <w:rPr>
                <w:rFonts w:hint="eastAsia"/>
                <w:color w:val="000000"/>
                <w:szCs w:val="21"/>
              </w:rPr>
              <w:t>2</w:t>
            </w:r>
          </w:p>
        </w:tc>
        <w:tc>
          <w:tcPr>
            <w:tcW w:w="1318" w:type="dxa"/>
            <w:tcBorders>
              <w:top w:val="single" w:color="auto" w:sz="4" w:space="0"/>
              <w:left w:val="single" w:color="auto" w:sz="4" w:space="0"/>
              <w:bottom w:val="single" w:color="auto" w:sz="4" w:space="0"/>
              <w:right w:val="single" w:color="auto" w:sz="4" w:space="0"/>
            </w:tcBorders>
            <w:vAlign w:val="center"/>
          </w:tcPr>
          <w:p>
            <w:pPr>
              <w:snapToGrid w:val="0"/>
              <w:ind w:firstLine="480"/>
              <w:jc w:val="center"/>
              <w:rPr>
                <w:color w:val="000000"/>
                <w:szCs w:val="21"/>
              </w:rPr>
            </w:pPr>
          </w:p>
        </w:tc>
        <w:tc>
          <w:tcPr>
            <w:tcW w:w="3124" w:type="dxa"/>
            <w:tcBorders>
              <w:top w:val="single" w:color="auto" w:sz="4" w:space="0"/>
              <w:left w:val="single" w:color="auto" w:sz="4" w:space="0"/>
              <w:right w:val="single" w:color="auto" w:sz="4" w:space="0"/>
            </w:tcBorders>
            <w:vAlign w:val="center"/>
          </w:tcPr>
          <w:p>
            <w:pPr>
              <w:snapToGrid w:val="0"/>
              <w:ind w:firstLine="480"/>
              <w:jc w:val="center"/>
              <w:rPr>
                <w:color w:val="000000"/>
                <w:szCs w:val="21"/>
              </w:rPr>
            </w:pPr>
          </w:p>
        </w:tc>
        <w:tc>
          <w:tcPr>
            <w:tcW w:w="2700" w:type="dxa"/>
            <w:tcBorders>
              <w:top w:val="single" w:color="auto" w:sz="4" w:space="0"/>
              <w:left w:val="single" w:color="auto" w:sz="4" w:space="0"/>
              <w:right w:val="single" w:color="auto" w:sz="4" w:space="0"/>
            </w:tcBorders>
            <w:vAlign w:val="center"/>
          </w:tcPr>
          <w:p>
            <w:pPr>
              <w:snapToGrid w:val="0"/>
              <w:ind w:firstLine="480"/>
              <w:jc w:val="cente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1127" w:type="dxa"/>
            <w:tcBorders>
              <w:left w:val="single" w:color="auto" w:sz="4" w:space="0"/>
              <w:bottom w:val="single" w:color="auto" w:sz="4" w:space="0"/>
              <w:right w:val="single" w:color="auto" w:sz="4" w:space="0"/>
            </w:tcBorders>
            <w:vAlign w:val="center"/>
          </w:tcPr>
          <w:p>
            <w:pPr>
              <w:snapToGrid w:val="0"/>
              <w:ind w:firstLine="0" w:firstLineChars="0"/>
              <w:rPr>
                <w:color w:val="000000"/>
                <w:szCs w:val="21"/>
              </w:rPr>
            </w:pPr>
            <w:r>
              <w:rPr>
                <w:rFonts w:hint="eastAsia"/>
                <w:color w:val="000000"/>
                <w:szCs w:val="21"/>
              </w:rPr>
              <w:t>…</w:t>
            </w:r>
          </w:p>
        </w:tc>
        <w:tc>
          <w:tcPr>
            <w:tcW w:w="1318" w:type="dxa"/>
            <w:tcBorders>
              <w:left w:val="single" w:color="auto" w:sz="4" w:space="0"/>
              <w:bottom w:val="single" w:color="auto" w:sz="4" w:space="0"/>
              <w:right w:val="single" w:color="auto" w:sz="4" w:space="0"/>
            </w:tcBorders>
            <w:vAlign w:val="center"/>
          </w:tcPr>
          <w:p>
            <w:pPr>
              <w:snapToGrid w:val="0"/>
              <w:ind w:firstLine="480"/>
              <w:jc w:val="center"/>
              <w:rPr>
                <w:color w:val="000000"/>
                <w:szCs w:val="21"/>
              </w:rPr>
            </w:pPr>
          </w:p>
        </w:tc>
        <w:tc>
          <w:tcPr>
            <w:tcW w:w="3124" w:type="dxa"/>
            <w:tcBorders>
              <w:top w:val="single" w:color="auto" w:sz="4" w:space="0"/>
              <w:left w:val="single" w:color="auto" w:sz="4" w:space="0"/>
              <w:bottom w:val="single" w:color="auto" w:sz="4" w:space="0"/>
              <w:right w:val="single" w:color="auto" w:sz="4" w:space="0"/>
            </w:tcBorders>
            <w:vAlign w:val="center"/>
          </w:tcPr>
          <w:p>
            <w:pPr>
              <w:snapToGrid w:val="0"/>
              <w:ind w:firstLine="480"/>
              <w:jc w:val="center"/>
              <w:rPr>
                <w:color w:val="000000"/>
                <w:szCs w:val="21"/>
              </w:rPr>
            </w:pP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ind w:firstLine="480"/>
              <w:jc w:val="center"/>
              <w:rPr>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1127" w:type="dxa"/>
            <w:tcBorders>
              <w:top w:val="single" w:color="auto" w:sz="4" w:space="0"/>
              <w:left w:val="single" w:color="auto" w:sz="4" w:space="0"/>
              <w:bottom w:val="single" w:color="auto" w:sz="4" w:space="0"/>
              <w:right w:val="single" w:color="auto" w:sz="4" w:space="0"/>
            </w:tcBorders>
            <w:vAlign w:val="center"/>
          </w:tcPr>
          <w:p>
            <w:pPr>
              <w:snapToGrid w:val="0"/>
              <w:ind w:firstLine="240" w:firstLineChars="100"/>
              <w:rPr>
                <w:color w:val="000000"/>
                <w:szCs w:val="21"/>
              </w:rPr>
            </w:pPr>
            <w:r>
              <w:rPr>
                <w:rFonts w:hint="eastAsia"/>
                <w:color w:val="000000"/>
                <w:szCs w:val="21"/>
              </w:rPr>
              <w:t>二</w:t>
            </w:r>
          </w:p>
        </w:tc>
        <w:tc>
          <w:tcPr>
            <w:tcW w:w="1318"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color w:val="000000"/>
                <w:szCs w:val="21"/>
              </w:rPr>
            </w:pPr>
            <w:r>
              <w:rPr>
                <w:rFonts w:hint="eastAsia"/>
                <w:color w:val="000000"/>
                <w:szCs w:val="21"/>
              </w:rPr>
              <w:t>商务分</w:t>
            </w:r>
          </w:p>
        </w:tc>
        <w:tc>
          <w:tcPr>
            <w:tcW w:w="3124" w:type="dxa"/>
            <w:tcBorders>
              <w:top w:val="single" w:color="auto" w:sz="4" w:space="0"/>
              <w:left w:val="single" w:color="auto" w:sz="4" w:space="0"/>
              <w:bottom w:val="single" w:color="auto" w:sz="4" w:space="0"/>
              <w:right w:val="single" w:color="auto" w:sz="4" w:space="0"/>
            </w:tcBorders>
            <w:vAlign w:val="center"/>
          </w:tcPr>
          <w:p>
            <w:pPr>
              <w:snapToGrid w:val="0"/>
              <w:ind w:firstLine="480"/>
              <w:jc w:val="center"/>
              <w:rPr>
                <w:color w:val="000000"/>
                <w:szCs w:val="21"/>
              </w:rPr>
            </w:pP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ind w:firstLine="480"/>
              <w:jc w:val="center"/>
              <w:rPr>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jc w:val="center"/>
        </w:trPr>
        <w:tc>
          <w:tcPr>
            <w:tcW w:w="1127" w:type="dxa"/>
            <w:tcBorders>
              <w:top w:val="single" w:color="auto" w:sz="4" w:space="0"/>
              <w:left w:val="single" w:color="auto" w:sz="4" w:space="0"/>
              <w:bottom w:val="single" w:color="auto" w:sz="4" w:space="0"/>
              <w:right w:val="single" w:color="auto" w:sz="4" w:space="0"/>
            </w:tcBorders>
            <w:vAlign w:val="center"/>
          </w:tcPr>
          <w:p>
            <w:pPr>
              <w:snapToGrid w:val="0"/>
              <w:ind w:firstLine="480"/>
              <w:jc w:val="center"/>
              <w:rPr>
                <w:color w:val="000000"/>
                <w:szCs w:val="21"/>
              </w:rPr>
            </w:pPr>
          </w:p>
        </w:tc>
        <w:tc>
          <w:tcPr>
            <w:tcW w:w="1318" w:type="dxa"/>
            <w:tcBorders>
              <w:top w:val="single" w:color="auto" w:sz="4" w:space="0"/>
              <w:left w:val="single" w:color="auto" w:sz="4" w:space="0"/>
              <w:bottom w:val="single" w:color="auto" w:sz="4" w:space="0"/>
              <w:right w:val="single" w:color="auto" w:sz="4" w:space="0"/>
            </w:tcBorders>
            <w:vAlign w:val="center"/>
          </w:tcPr>
          <w:p>
            <w:pPr>
              <w:snapToGrid w:val="0"/>
              <w:ind w:firstLine="480"/>
              <w:jc w:val="center"/>
              <w:rPr>
                <w:color w:val="000000"/>
                <w:szCs w:val="21"/>
              </w:rPr>
            </w:pPr>
          </w:p>
        </w:tc>
        <w:tc>
          <w:tcPr>
            <w:tcW w:w="3124" w:type="dxa"/>
            <w:tcBorders>
              <w:top w:val="single" w:color="auto" w:sz="4" w:space="0"/>
              <w:left w:val="single" w:color="auto" w:sz="4" w:space="0"/>
              <w:bottom w:val="single" w:color="auto" w:sz="4" w:space="0"/>
              <w:right w:val="single" w:color="auto" w:sz="4" w:space="0"/>
            </w:tcBorders>
            <w:vAlign w:val="center"/>
          </w:tcPr>
          <w:p>
            <w:pPr>
              <w:snapToGrid w:val="0"/>
              <w:ind w:firstLine="480"/>
              <w:jc w:val="center"/>
              <w:rPr>
                <w:color w:val="000000"/>
                <w:szCs w:val="21"/>
              </w:rPr>
            </w:pP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color w:val="000000"/>
                <w:szCs w:val="21"/>
              </w:rPr>
            </w:pPr>
            <w:r>
              <w:rPr>
                <w:rFonts w:hint="eastAsia"/>
                <w:color w:val="000000"/>
                <w:szCs w:val="21"/>
              </w:rPr>
              <w:t>详见商务文件第几页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1127" w:type="dxa"/>
            <w:tcBorders>
              <w:top w:val="single" w:color="auto" w:sz="4" w:space="0"/>
              <w:left w:val="single" w:color="auto" w:sz="4" w:space="0"/>
              <w:bottom w:val="single" w:color="auto" w:sz="4" w:space="0"/>
              <w:right w:val="single" w:color="auto" w:sz="4" w:space="0"/>
            </w:tcBorders>
            <w:vAlign w:val="center"/>
          </w:tcPr>
          <w:p>
            <w:pPr>
              <w:snapToGrid w:val="0"/>
              <w:ind w:firstLine="480"/>
              <w:jc w:val="center"/>
              <w:rPr>
                <w:color w:val="000000"/>
                <w:szCs w:val="21"/>
              </w:rPr>
            </w:pPr>
          </w:p>
        </w:tc>
        <w:tc>
          <w:tcPr>
            <w:tcW w:w="1318" w:type="dxa"/>
            <w:tcBorders>
              <w:top w:val="single" w:color="auto" w:sz="4" w:space="0"/>
              <w:left w:val="single" w:color="auto" w:sz="4" w:space="0"/>
              <w:bottom w:val="single" w:color="auto" w:sz="4" w:space="0"/>
              <w:right w:val="single" w:color="auto" w:sz="4" w:space="0"/>
            </w:tcBorders>
            <w:vAlign w:val="center"/>
          </w:tcPr>
          <w:p>
            <w:pPr>
              <w:snapToGrid w:val="0"/>
              <w:ind w:firstLine="480"/>
              <w:jc w:val="center"/>
              <w:rPr>
                <w:color w:val="000000"/>
                <w:szCs w:val="21"/>
              </w:rPr>
            </w:pPr>
          </w:p>
        </w:tc>
        <w:tc>
          <w:tcPr>
            <w:tcW w:w="3124" w:type="dxa"/>
            <w:tcBorders>
              <w:top w:val="single" w:color="auto" w:sz="4" w:space="0"/>
              <w:left w:val="single" w:color="auto" w:sz="4" w:space="0"/>
              <w:bottom w:val="single" w:color="auto" w:sz="4" w:space="0"/>
              <w:right w:val="single" w:color="auto" w:sz="4" w:space="0"/>
            </w:tcBorders>
            <w:vAlign w:val="center"/>
          </w:tcPr>
          <w:p>
            <w:pPr>
              <w:snapToGrid w:val="0"/>
              <w:ind w:firstLine="480"/>
              <w:jc w:val="center"/>
              <w:rPr>
                <w:color w:val="000000"/>
                <w:szCs w:val="21"/>
              </w:rPr>
            </w:pP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ind w:firstLine="480"/>
              <w:jc w:val="cente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1127" w:type="dxa"/>
            <w:tcBorders>
              <w:top w:val="single" w:color="auto" w:sz="4" w:space="0"/>
              <w:left w:val="single" w:color="auto" w:sz="4" w:space="0"/>
              <w:bottom w:val="single" w:color="auto" w:sz="4" w:space="0"/>
              <w:right w:val="single" w:color="auto" w:sz="4" w:space="0"/>
            </w:tcBorders>
            <w:vAlign w:val="center"/>
          </w:tcPr>
          <w:p>
            <w:pPr>
              <w:snapToGrid w:val="0"/>
              <w:ind w:firstLine="480"/>
              <w:jc w:val="center"/>
              <w:rPr>
                <w:color w:val="000000"/>
                <w:szCs w:val="21"/>
              </w:rPr>
            </w:pPr>
          </w:p>
        </w:tc>
        <w:tc>
          <w:tcPr>
            <w:tcW w:w="1318" w:type="dxa"/>
            <w:tcBorders>
              <w:top w:val="single" w:color="auto" w:sz="4" w:space="0"/>
              <w:left w:val="single" w:color="auto" w:sz="4" w:space="0"/>
              <w:bottom w:val="single" w:color="auto" w:sz="4" w:space="0"/>
              <w:right w:val="single" w:color="auto" w:sz="4" w:space="0"/>
            </w:tcBorders>
            <w:vAlign w:val="center"/>
          </w:tcPr>
          <w:p>
            <w:pPr>
              <w:snapToGrid w:val="0"/>
              <w:ind w:firstLine="480"/>
              <w:jc w:val="center"/>
              <w:rPr>
                <w:color w:val="000000"/>
                <w:szCs w:val="21"/>
              </w:rPr>
            </w:pPr>
          </w:p>
        </w:tc>
        <w:tc>
          <w:tcPr>
            <w:tcW w:w="3124" w:type="dxa"/>
            <w:tcBorders>
              <w:top w:val="single" w:color="auto" w:sz="4" w:space="0"/>
              <w:left w:val="single" w:color="auto" w:sz="4" w:space="0"/>
              <w:bottom w:val="single" w:color="auto" w:sz="4" w:space="0"/>
              <w:right w:val="single" w:color="auto" w:sz="4" w:space="0"/>
            </w:tcBorders>
            <w:vAlign w:val="center"/>
          </w:tcPr>
          <w:p>
            <w:pPr>
              <w:snapToGrid w:val="0"/>
              <w:ind w:firstLine="480"/>
              <w:jc w:val="center"/>
              <w:rPr>
                <w:color w:val="000000"/>
                <w:szCs w:val="21"/>
              </w:rPr>
            </w:pP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ind w:firstLine="480"/>
              <w:jc w:val="center"/>
              <w:rPr>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2" w:hRule="atLeast"/>
          <w:jc w:val="center"/>
        </w:trPr>
        <w:tc>
          <w:tcPr>
            <w:tcW w:w="1127" w:type="dxa"/>
            <w:tcBorders>
              <w:left w:val="single" w:color="auto" w:sz="4" w:space="0"/>
              <w:bottom w:val="single" w:color="auto" w:sz="4" w:space="0"/>
              <w:right w:val="single" w:color="auto" w:sz="4" w:space="0"/>
            </w:tcBorders>
            <w:vAlign w:val="center"/>
          </w:tcPr>
          <w:p>
            <w:pPr>
              <w:snapToGrid w:val="0"/>
              <w:ind w:firstLine="480"/>
              <w:jc w:val="center"/>
              <w:rPr>
                <w:color w:val="000000"/>
                <w:szCs w:val="21"/>
              </w:rPr>
            </w:pPr>
          </w:p>
        </w:tc>
        <w:tc>
          <w:tcPr>
            <w:tcW w:w="1318" w:type="dxa"/>
            <w:tcBorders>
              <w:left w:val="single" w:color="auto" w:sz="4" w:space="0"/>
              <w:bottom w:val="single" w:color="auto" w:sz="4" w:space="0"/>
              <w:right w:val="single" w:color="auto" w:sz="4" w:space="0"/>
            </w:tcBorders>
            <w:vAlign w:val="center"/>
          </w:tcPr>
          <w:p>
            <w:pPr>
              <w:snapToGrid w:val="0"/>
              <w:ind w:firstLine="480"/>
              <w:jc w:val="center"/>
              <w:rPr>
                <w:color w:val="000000"/>
                <w:szCs w:val="21"/>
              </w:rPr>
            </w:pPr>
          </w:p>
        </w:tc>
        <w:tc>
          <w:tcPr>
            <w:tcW w:w="3124" w:type="dxa"/>
            <w:tcBorders>
              <w:top w:val="single" w:color="auto" w:sz="4" w:space="0"/>
              <w:left w:val="single" w:color="auto" w:sz="4" w:space="0"/>
              <w:bottom w:val="single" w:color="auto" w:sz="4" w:space="0"/>
              <w:right w:val="single" w:color="auto" w:sz="4" w:space="0"/>
            </w:tcBorders>
            <w:vAlign w:val="center"/>
          </w:tcPr>
          <w:p>
            <w:pPr>
              <w:snapToGrid w:val="0"/>
              <w:ind w:firstLine="480"/>
              <w:jc w:val="center"/>
              <w:rPr>
                <w:color w:val="000000"/>
                <w:szCs w:val="21"/>
              </w:rPr>
            </w:pP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ind w:firstLine="480"/>
              <w:jc w:val="center"/>
              <w:rPr>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1127" w:type="dxa"/>
            <w:tcBorders>
              <w:left w:val="single" w:color="auto" w:sz="4" w:space="0"/>
              <w:bottom w:val="single" w:color="auto" w:sz="4" w:space="0"/>
              <w:right w:val="single" w:color="auto" w:sz="4" w:space="0"/>
            </w:tcBorders>
            <w:vAlign w:val="center"/>
          </w:tcPr>
          <w:p>
            <w:pPr>
              <w:snapToGrid w:val="0"/>
              <w:ind w:firstLine="480"/>
              <w:jc w:val="center"/>
              <w:rPr>
                <w:color w:val="000000"/>
                <w:szCs w:val="21"/>
              </w:rPr>
            </w:pPr>
          </w:p>
        </w:tc>
        <w:tc>
          <w:tcPr>
            <w:tcW w:w="1318" w:type="dxa"/>
            <w:tcBorders>
              <w:left w:val="single" w:color="auto" w:sz="4" w:space="0"/>
              <w:bottom w:val="single" w:color="auto" w:sz="4" w:space="0"/>
              <w:right w:val="single" w:color="auto" w:sz="4" w:space="0"/>
            </w:tcBorders>
            <w:vAlign w:val="center"/>
          </w:tcPr>
          <w:p>
            <w:pPr>
              <w:snapToGrid w:val="0"/>
              <w:ind w:firstLine="480"/>
              <w:jc w:val="center"/>
              <w:rPr>
                <w:color w:val="000000"/>
                <w:szCs w:val="21"/>
              </w:rPr>
            </w:pPr>
          </w:p>
        </w:tc>
        <w:tc>
          <w:tcPr>
            <w:tcW w:w="3124" w:type="dxa"/>
            <w:tcBorders>
              <w:top w:val="single" w:color="auto" w:sz="4" w:space="0"/>
              <w:left w:val="single" w:color="auto" w:sz="4" w:space="0"/>
              <w:bottom w:val="single" w:color="auto" w:sz="4" w:space="0"/>
              <w:right w:val="single" w:color="auto" w:sz="4" w:space="0"/>
            </w:tcBorders>
            <w:vAlign w:val="center"/>
          </w:tcPr>
          <w:p>
            <w:pPr>
              <w:snapToGrid w:val="0"/>
              <w:ind w:firstLine="480"/>
              <w:jc w:val="center"/>
              <w:rPr>
                <w:color w:val="000000"/>
                <w:szCs w:val="21"/>
              </w:rPr>
            </w:pP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ind w:firstLine="480"/>
              <w:jc w:val="center"/>
              <w:rPr>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1127" w:type="dxa"/>
            <w:tcBorders>
              <w:top w:val="single" w:color="auto" w:sz="4" w:space="0"/>
              <w:left w:val="single" w:color="auto" w:sz="4" w:space="0"/>
              <w:bottom w:val="single" w:color="auto" w:sz="4" w:space="0"/>
              <w:right w:val="single" w:color="auto" w:sz="4" w:space="0"/>
            </w:tcBorders>
            <w:vAlign w:val="center"/>
          </w:tcPr>
          <w:p>
            <w:pPr>
              <w:snapToGrid w:val="0"/>
              <w:ind w:firstLine="480"/>
              <w:jc w:val="center"/>
              <w:rPr>
                <w:color w:val="000000"/>
                <w:szCs w:val="21"/>
              </w:rPr>
            </w:pPr>
          </w:p>
        </w:tc>
        <w:tc>
          <w:tcPr>
            <w:tcW w:w="1318" w:type="dxa"/>
            <w:tcBorders>
              <w:top w:val="single" w:color="auto" w:sz="4" w:space="0"/>
              <w:left w:val="single" w:color="auto" w:sz="4" w:space="0"/>
              <w:bottom w:val="single" w:color="auto" w:sz="4" w:space="0"/>
              <w:right w:val="single" w:color="auto" w:sz="4" w:space="0"/>
            </w:tcBorders>
            <w:vAlign w:val="center"/>
          </w:tcPr>
          <w:p>
            <w:pPr>
              <w:snapToGrid w:val="0"/>
              <w:ind w:firstLine="480"/>
              <w:jc w:val="center"/>
              <w:rPr>
                <w:color w:val="000000"/>
                <w:szCs w:val="21"/>
              </w:rPr>
            </w:pPr>
          </w:p>
        </w:tc>
        <w:tc>
          <w:tcPr>
            <w:tcW w:w="3124" w:type="dxa"/>
            <w:tcBorders>
              <w:top w:val="single" w:color="auto" w:sz="4" w:space="0"/>
              <w:left w:val="single" w:color="auto" w:sz="4" w:space="0"/>
              <w:bottom w:val="single" w:color="auto" w:sz="4" w:space="0"/>
              <w:right w:val="single" w:color="auto" w:sz="4" w:space="0"/>
            </w:tcBorders>
            <w:vAlign w:val="center"/>
          </w:tcPr>
          <w:p>
            <w:pPr>
              <w:snapToGrid w:val="0"/>
              <w:ind w:firstLine="480"/>
              <w:jc w:val="center"/>
              <w:rPr>
                <w:color w:val="000000"/>
                <w:szCs w:val="21"/>
              </w:rPr>
            </w:pP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ind w:firstLine="480"/>
              <w:jc w:val="center"/>
              <w:rPr>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1127" w:type="dxa"/>
            <w:tcBorders>
              <w:top w:val="single" w:color="auto" w:sz="4" w:space="0"/>
              <w:left w:val="single" w:color="auto" w:sz="4" w:space="0"/>
              <w:bottom w:val="single" w:color="auto" w:sz="4" w:space="0"/>
              <w:right w:val="single" w:color="auto" w:sz="4" w:space="0"/>
            </w:tcBorders>
            <w:vAlign w:val="center"/>
          </w:tcPr>
          <w:p>
            <w:pPr>
              <w:snapToGrid w:val="0"/>
              <w:ind w:firstLine="480"/>
              <w:jc w:val="center"/>
              <w:rPr>
                <w:color w:val="000000"/>
                <w:szCs w:val="21"/>
              </w:rPr>
            </w:pPr>
          </w:p>
        </w:tc>
        <w:tc>
          <w:tcPr>
            <w:tcW w:w="1318" w:type="dxa"/>
            <w:tcBorders>
              <w:top w:val="single" w:color="auto" w:sz="4" w:space="0"/>
              <w:left w:val="single" w:color="auto" w:sz="4" w:space="0"/>
              <w:bottom w:val="single" w:color="auto" w:sz="4" w:space="0"/>
              <w:right w:val="single" w:color="auto" w:sz="4" w:space="0"/>
            </w:tcBorders>
            <w:vAlign w:val="center"/>
          </w:tcPr>
          <w:p>
            <w:pPr>
              <w:snapToGrid w:val="0"/>
              <w:ind w:firstLine="480"/>
              <w:jc w:val="center"/>
              <w:rPr>
                <w:color w:val="000000"/>
                <w:szCs w:val="21"/>
              </w:rPr>
            </w:pPr>
          </w:p>
        </w:tc>
        <w:tc>
          <w:tcPr>
            <w:tcW w:w="3124" w:type="dxa"/>
            <w:tcBorders>
              <w:top w:val="single" w:color="auto" w:sz="4" w:space="0"/>
              <w:left w:val="single" w:color="auto" w:sz="4" w:space="0"/>
              <w:bottom w:val="single" w:color="auto" w:sz="4" w:space="0"/>
              <w:right w:val="single" w:color="auto" w:sz="4" w:space="0"/>
            </w:tcBorders>
            <w:vAlign w:val="center"/>
          </w:tcPr>
          <w:p>
            <w:pPr>
              <w:snapToGrid w:val="0"/>
              <w:ind w:firstLine="480"/>
              <w:jc w:val="center"/>
              <w:rPr>
                <w:color w:val="000000"/>
                <w:szCs w:val="21"/>
              </w:rPr>
            </w:pPr>
          </w:p>
        </w:tc>
        <w:tc>
          <w:tcPr>
            <w:tcW w:w="2700" w:type="dxa"/>
            <w:tcBorders>
              <w:top w:val="single" w:color="auto" w:sz="4" w:space="0"/>
              <w:left w:val="single" w:color="auto" w:sz="4" w:space="0"/>
              <w:right w:val="single" w:color="auto" w:sz="4" w:space="0"/>
            </w:tcBorders>
            <w:vAlign w:val="center"/>
          </w:tcPr>
          <w:p>
            <w:pPr>
              <w:snapToGrid w:val="0"/>
              <w:ind w:firstLine="480"/>
              <w:jc w:val="center"/>
              <w:rPr>
                <w:color w:val="000000"/>
                <w:szCs w:val="21"/>
              </w:rPr>
            </w:pPr>
          </w:p>
        </w:tc>
      </w:tr>
    </w:tbl>
    <w:p>
      <w:pPr>
        <w:snapToGrid w:val="0"/>
        <w:spacing w:before="50" w:after="50"/>
        <w:ind w:firstLine="600" w:firstLineChars="250"/>
      </w:pPr>
      <w:r>
        <w:rPr>
          <w:rFonts w:hint="eastAsia"/>
        </w:rPr>
        <w:t>注：评分对应表主要用于作为专家评分的一个参考及查阅依据。</w:t>
      </w:r>
    </w:p>
    <w:p>
      <w:pPr>
        <w:snapToGrid w:val="0"/>
        <w:spacing w:before="50" w:after="50"/>
        <w:ind w:firstLine="480"/>
      </w:pPr>
    </w:p>
    <w:p>
      <w:pPr>
        <w:spacing w:line="440" w:lineRule="exact"/>
        <w:ind w:firstLine="643"/>
        <w:jc w:val="center"/>
        <w:rPr>
          <w:b/>
          <w:kern w:val="0"/>
          <w:sz w:val="32"/>
          <w:szCs w:val="32"/>
        </w:rPr>
      </w:pPr>
      <w:bookmarkStart w:id="197" w:name="_Toc297472062"/>
      <w:bookmarkStart w:id="198" w:name="_Toc297472829"/>
      <w:r>
        <w:rPr>
          <w:b/>
          <w:kern w:val="0"/>
          <w:sz w:val="32"/>
          <w:szCs w:val="32"/>
        </w:rPr>
        <w:br w:type="page"/>
      </w:r>
      <w:r>
        <w:rPr>
          <w:rFonts w:hint="eastAsia"/>
          <w:b/>
          <w:kern w:val="0"/>
          <w:sz w:val="32"/>
          <w:szCs w:val="32"/>
        </w:rPr>
        <w:t>四、</w:t>
      </w:r>
      <w:bookmarkEnd w:id="197"/>
      <w:bookmarkEnd w:id="198"/>
      <w:r>
        <w:rPr>
          <w:rFonts w:hint="eastAsia"/>
          <w:b/>
          <w:kern w:val="0"/>
          <w:sz w:val="32"/>
          <w:szCs w:val="32"/>
        </w:rPr>
        <w:t>所投产品具体配置表</w:t>
      </w:r>
    </w:p>
    <w:p>
      <w:pPr>
        <w:autoSpaceDE w:val="0"/>
        <w:autoSpaceDN w:val="0"/>
        <w:adjustRightInd w:val="0"/>
        <w:spacing w:line="440" w:lineRule="exact"/>
        <w:ind w:firstLine="643"/>
        <w:jc w:val="center"/>
        <w:rPr>
          <w:b/>
          <w:kern w:val="0"/>
          <w:sz w:val="32"/>
          <w:szCs w:val="32"/>
        </w:rPr>
      </w:pPr>
    </w:p>
    <w:p>
      <w:pPr>
        <w:autoSpaceDE w:val="0"/>
        <w:autoSpaceDN w:val="0"/>
        <w:adjustRightInd w:val="0"/>
        <w:spacing w:line="440" w:lineRule="exact"/>
        <w:ind w:firstLine="361" w:firstLineChars="150"/>
        <w:rPr>
          <w:b/>
          <w:kern w:val="0"/>
        </w:rPr>
      </w:pPr>
      <w:r>
        <w:rPr>
          <w:rFonts w:hint="eastAsia"/>
          <w:b/>
          <w:kern w:val="0"/>
        </w:rPr>
        <w:t xml:space="preserve">项目编号： </w:t>
      </w:r>
    </w:p>
    <w:tbl>
      <w:tblPr>
        <w:tblStyle w:val="33"/>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1621"/>
        <w:gridCol w:w="921"/>
        <w:gridCol w:w="1057"/>
        <w:gridCol w:w="16"/>
        <w:gridCol w:w="1244"/>
        <w:gridCol w:w="1672"/>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88" w:type="dxa"/>
            <w:vAlign w:val="center"/>
          </w:tcPr>
          <w:p>
            <w:pPr>
              <w:ind w:firstLine="0" w:firstLineChars="0"/>
              <w:rPr>
                <w:b/>
              </w:rPr>
            </w:pPr>
            <w:r>
              <w:rPr>
                <w:rFonts w:hint="eastAsia"/>
                <w:b/>
              </w:rPr>
              <w:t>序号</w:t>
            </w:r>
          </w:p>
        </w:tc>
        <w:tc>
          <w:tcPr>
            <w:tcW w:w="1621" w:type="dxa"/>
            <w:vAlign w:val="center"/>
          </w:tcPr>
          <w:p>
            <w:pPr>
              <w:ind w:firstLine="0" w:firstLineChars="0"/>
              <w:rPr>
                <w:b/>
              </w:rPr>
            </w:pPr>
            <w:r>
              <w:rPr>
                <w:rFonts w:hint="eastAsia"/>
                <w:b/>
              </w:rPr>
              <w:t>产品名称</w:t>
            </w:r>
          </w:p>
        </w:tc>
        <w:tc>
          <w:tcPr>
            <w:tcW w:w="921" w:type="dxa"/>
            <w:vAlign w:val="center"/>
          </w:tcPr>
          <w:p>
            <w:pPr>
              <w:autoSpaceDE w:val="0"/>
              <w:autoSpaceDN w:val="0"/>
              <w:adjustRightInd w:val="0"/>
              <w:ind w:firstLine="0" w:firstLineChars="0"/>
              <w:rPr>
                <w:b/>
              </w:rPr>
            </w:pPr>
            <w:r>
              <w:rPr>
                <w:rFonts w:hint="eastAsia"/>
                <w:b/>
              </w:rPr>
              <w:t>数量</w:t>
            </w:r>
          </w:p>
        </w:tc>
        <w:tc>
          <w:tcPr>
            <w:tcW w:w="1057" w:type="dxa"/>
            <w:vAlign w:val="center"/>
          </w:tcPr>
          <w:p>
            <w:pPr>
              <w:ind w:firstLine="0" w:firstLineChars="0"/>
              <w:rPr>
                <w:b/>
              </w:rPr>
            </w:pPr>
            <w:r>
              <w:rPr>
                <w:rFonts w:hint="eastAsia"/>
                <w:b/>
              </w:rPr>
              <w:t>品牌</w:t>
            </w:r>
          </w:p>
        </w:tc>
        <w:tc>
          <w:tcPr>
            <w:tcW w:w="1260" w:type="dxa"/>
            <w:gridSpan w:val="2"/>
            <w:vAlign w:val="center"/>
          </w:tcPr>
          <w:p>
            <w:pPr>
              <w:ind w:firstLine="0" w:firstLineChars="0"/>
              <w:rPr>
                <w:b/>
              </w:rPr>
            </w:pPr>
            <w:r>
              <w:rPr>
                <w:rFonts w:hint="eastAsia"/>
                <w:b/>
              </w:rPr>
              <w:t>规格型号</w:t>
            </w:r>
          </w:p>
        </w:tc>
        <w:tc>
          <w:tcPr>
            <w:tcW w:w="1672" w:type="dxa"/>
            <w:vAlign w:val="center"/>
          </w:tcPr>
          <w:p>
            <w:pPr>
              <w:ind w:firstLine="0" w:firstLineChars="0"/>
              <w:rPr>
                <w:b/>
              </w:rPr>
            </w:pPr>
            <w:r>
              <w:rPr>
                <w:rFonts w:hint="eastAsia"/>
                <w:b/>
              </w:rPr>
              <w:t>性能及指标</w:t>
            </w:r>
          </w:p>
        </w:tc>
        <w:tc>
          <w:tcPr>
            <w:tcW w:w="1365" w:type="dxa"/>
            <w:vAlign w:val="center"/>
          </w:tcPr>
          <w:p>
            <w:pPr>
              <w:ind w:firstLine="482"/>
              <w:rPr>
                <w:b/>
              </w:rPr>
            </w:pPr>
            <w:r>
              <w:rPr>
                <w:rFonts w:hint="eastAsia"/>
                <w:b/>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88" w:type="dxa"/>
            <w:vAlign w:val="center"/>
          </w:tcPr>
          <w:p>
            <w:pPr>
              <w:autoSpaceDE w:val="0"/>
              <w:autoSpaceDN w:val="0"/>
              <w:adjustRightInd w:val="0"/>
              <w:ind w:firstLine="480"/>
              <w:jc w:val="center"/>
            </w:pPr>
            <w:r>
              <w:rPr>
                <w:rFonts w:hint="eastAsia"/>
              </w:rPr>
              <w:t>1</w:t>
            </w:r>
          </w:p>
        </w:tc>
        <w:tc>
          <w:tcPr>
            <w:tcW w:w="1621" w:type="dxa"/>
            <w:vAlign w:val="center"/>
          </w:tcPr>
          <w:p>
            <w:pPr>
              <w:autoSpaceDE w:val="0"/>
              <w:autoSpaceDN w:val="0"/>
              <w:adjustRightInd w:val="0"/>
              <w:ind w:firstLine="480"/>
              <w:jc w:val="center"/>
            </w:pPr>
          </w:p>
        </w:tc>
        <w:tc>
          <w:tcPr>
            <w:tcW w:w="921" w:type="dxa"/>
            <w:vAlign w:val="center"/>
          </w:tcPr>
          <w:p>
            <w:pPr>
              <w:autoSpaceDE w:val="0"/>
              <w:autoSpaceDN w:val="0"/>
              <w:adjustRightInd w:val="0"/>
              <w:ind w:firstLine="480"/>
              <w:jc w:val="center"/>
            </w:pPr>
          </w:p>
        </w:tc>
        <w:tc>
          <w:tcPr>
            <w:tcW w:w="1073" w:type="dxa"/>
            <w:gridSpan w:val="2"/>
            <w:vAlign w:val="center"/>
          </w:tcPr>
          <w:p>
            <w:pPr>
              <w:ind w:firstLine="480"/>
              <w:jc w:val="center"/>
            </w:pPr>
          </w:p>
        </w:tc>
        <w:tc>
          <w:tcPr>
            <w:tcW w:w="1244" w:type="dxa"/>
            <w:vAlign w:val="center"/>
          </w:tcPr>
          <w:p>
            <w:pPr>
              <w:ind w:firstLine="480"/>
              <w:jc w:val="center"/>
            </w:pPr>
          </w:p>
        </w:tc>
        <w:tc>
          <w:tcPr>
            <w:tcW w:w="1672" w:type="dxa"/>
            <w:vAlign w:val="center"/>
          </w:tcPr>
          <w:p>
            <w:pPr>
              <w:ind w:firstLine="480"/>
              <w:jc w:val="center"/>
            </w:pPr>
          </w:p>
        </w:tc>
        <w:tc>
          <w:tcPr>
            <w:tcW w:w="1365" w:type="dxa"/>
            <w:vAlign w:val="center"/>
          </w:tcPr>
          <w:p>
            <w:pPr>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888" w:type="dxa"/>
            <w:vAlign w:val="center"/>
          </w:tcPr>
          <w:p>
            <w:pPr>
              <w:autoSpaceDE w:val="0"/>
              <w:autoSpaceDN w:val="0"/>
              <w:adjustRightInd w:val="0"/>
              <w:ind w:firstLine="480"/>
              <w:jc w:val="center"/>
            </w:pPr>
            <w:r>
              <w:rPr>
                <w:rFonts w:hint="eastAsia"/>
              </w:rPr>
              <w:t>2</w:t>
            </w:r>
          </w:p>
        </w:tc>
        <w:tc>
          <w:tcPr>
            <w:tcW w:w="1621" w:type="dxa"/>
            <w:vAlign w:val="center"/>
          </w:tcPr>
          <w:p>
            <w:pPr>
              <w:autoSpaceDE w:val="0"/>
              <w:autoSpaceDN w:val="0"/>
              <w:adjustRightInd w:val="0"/>
              <w:ind w:firstLine="480"/>
              <w:jc w:val="center"/>
            </w:pPr>
          </w:p>
        </w:tc>
        <w:tc>
          <w:tcPr>
            <w:tcW w:w="921" w:type="dxa"/>
            <w:vAlign w:val="center"/>
          </w:tcPr>
          <w:p>
            <w:pPr>
              <w:autoSpaceDE w:val="0"/>
              <w:autoSpaceDN w:val="0"/>
              <w:adjustRightInd w:val="0"/>
              <w:ind w:firstLine="480"/>
              <w:jc w:val="center"/>
            </w:pPr>
          </w:p>
        </w:tc>
        <w:tc>
          <w:tcPr>
            <w:tcW w:w="1073" w:type="dxa"/>
            <w:gridSpan w:val="2"/>
            <w:vAlign w:val="center"/>
          </w:tcPr>
          <w:p>
            <w:pPr>
              <w:ind w:firstLine="480"/>
              <w:jc w:val="center"/>
            </w:pPr>
          </w:p>
        </w:tc>
        <w:tc>
          <w:tcPr>
            <w:tcW w:w="1244" w:type="dxa"/>
            <w:vAlign w:val="center"/>
          </w:tcPr>
          <w:p>
            <w:pPr>
              <w:ind w:firstLine="480"/>
              <w:jc w:val="center"/>
            </w:pPr>
          </w:p>
        </w:tc>
        <w:tc>
          <w:tcPr>
            <w:tcW w:w="1672" w:type="dxa"/>
            <w:vAlign w:val="center"/>
          </w:tcPr>
          <w:p>
            <w:pPr>
              <w:ind w:firstLine="480"/>
              <w:jc w:val="center"/>
            </w:pPr>
          </w:p>
        </w:tc>
        <w:tc>
          <w:tcPr>
            <w:tcW w:w="1365" w:type="dxa"/>
            <w:vAlign w:val="center"/>
          </w:tcPr>
          <w:p>
            <w:pPr>
              <w:autoSpaceDE w:val="0"/>
              <w:autoSpaceDN w:val="0"/>
              <w:adjustRightInd w:val="0"/>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88" w:type="dxa"/>
            <w:vAlign w:val="center"/>
          </w:tcPr>
          <w:p>
            <w:pPr>
              <w:autoSpaceDE w:val="0"/>
              <w:autoSpaceDN w:val="0"/>
              <w:adjustRightInd w:val="0"/>
              <w:ind w:firstLine="480"/>
              <w:jc w:val="center"/>
            </w:pPr>
            <w:r>
              <w:rPr>
                <w:rFonts w:hint="eastAsia"/>
              </w:rPr>
              <w:t>3</w:t>
            </w:r>
          </w:p>
        </w:tc>
        <w:tc>
          <w:tcPr>
            <w:tcW w:w="1621" w:type="dxa"/>
            <w:vAlign w:val="center"/>
          </w:tcPr>
          <w:p>
            <w:pPr>
              <w:autoSpaceDE w:val="0"/>
              <w:autoSpaceDN w:val="0"/>
              <w:adjustRightInd w:val="0"/>
              <w:ind w:firstLine="480"/>
              <w:jc w:val="center"/>
            </w:pPr>
          </w:p>
        </w:tc>
        <w:tc>
          <w:tcPr>
            <w:tcW w:w="921" w:type="dxa"/>
            <w:vAlign w:val="center"/>
          </w:tcPr>
          <w:p>
            <w:pPr>
              <w:autoSpaceDE w:val="0"/>
              <w:autoSpaceDN w:val="0"/>
              <w:adjustRightInd w:val="0"/>
              <w:ind w:firstLine="480"/>
              <w:jc w:val="center"/>
            </w:pPr>
          </w:p>
        </w:tc>
        <w:tc>
          <w:tcPr>
            <w:tcW w:w="1073" w:type="dxa"/>
            <w:gridSpan w:val="2"/>
            <w:vAlign w:val="center"/>
          </w:tcPr>
          <w:p>
            <w:pPr>
              <w:ind w:firstLine="480"/>
              <w:jc w:val="center"/>
            </w:pPr>
          </w:p>
        </w:tc>
        <w:tc>
          <w:tcPr>
            <w:tcW w:w="1244" w:type="dxa"/>
            <w:vAlign w:val="center"/>
          </w:tcPr>
          <w:p>
            <w:pPr>
              <w:ind w:firstLine="480"/>
              <w:jc w:val="center"/>
            </w:pPr>
          </w:p>
        </w:tc>
        <w:tc>
          <w:tcPr>
            <w:tcW w:w="1672" w:type="dxa"/>
            <w:vAlign w:val="center"/>
          </w:tcPr>
          <w:p>
            <w:pPr>
              <w:ind w:firstLine="480"/>
              <w:jc w:val="center"/>
            </w:pPr>
          </w:p>
        </w:tc>
        <w:tc>
          <w:tcPr>
            <w:tcW w:w="1365" w:type="dxa"/>
            <w:vAlign w:val="center"/>
          </w:tcPr>
          <w:p>
            <w:pPr>
              <w:autoSpaceDE w:val="0"/>
              <w:autoSpaceDN w:val="0"/>
              <w:adjustRightInd w:val="0"/>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88" w:type="dxa"/>
            <w:vAlign w:val="center"/>
          </w:tcPr>
          <w:p>
            <w:pPr>
              <w:autoSpaceDE w:val="0"/>
              <w:autoSpaceDN w:val="0"/>
              <w:adjustRightInd w:val="0"/>
              <w:ind w:firstLine="480"/>
              <w:jc w:val="center"/>
            </w:pPr>
            <w:r>
              <w:rPr>
                <w:rFonts w:hint="eastAsia"/>
              </w:rPr>
              <w:t>4</w:t>
            </w:r>
          </w:p>
        </w:tc>
        <w:tc>
          <w:tcPr>
            <w:tcW w:w="1621" w:type="dxa"/>
            <w:vAlign w:val="center"/>
          </w:tcPr>
          <w:p>
            <w:pPr>
              <w:autoSpaceDE w:val="0"/>
              <w:autoSpaceDN w:val="0"/>
              <w:adjustRightInd w:val="0"/>
              <w:ind w:firstLine="480"/>
              <w:jc w:val="center"/>
            </w:pPr>
          </w:p>
        </w:tc>
        <w:tc>
          <w:tcPr>
            <w:tcW w:w="921" w:type="dxa"/>
            <w:vAlign w:val="center"/>
          </w:tcPr>
          <w:p>
            <w:pPr>
              <w:autoSpaceDE w:val="0"/>
              <w:autoSpaceDN w:val="0"/>
              <w:adjustRightInd w:val="0"/>
              <w:ind w:firstLine="480"/>
              <w:jc w:val="center"/>
            </w:pPr>
          </w:p>
        </w:tc>
        <w:tc>
          <w:tcPr>
            <w:tcW w:w="1073" w:type="dxa"/>
            <w:gridSpan w:val="2"/>
            <w:vAlign w:val="center"/>
          </w:tcPr>
          <w:p>
            <w:pPr>
              <w:ind w:firstLine="480"/>
              <w:jc w:val="center"/>
            </w:pPr>
          </w:p>
        </w:tc>
        <w:tc>
          <w:tcPr>
            <w:tcW w:w="1244" w:type="dxa"/>
            <w:vAlign w:val="center"/>
          </w:tcPr>
          <w:p>
            <w:pPr>
              <w:ind w:firstLine="480"/>
              <w:jc w:val="center"/>
            </w:pPr>
          </w:p>
        </w:tc>
        <w:tc>
          <w:tcPr>
            <w:tcW w:w="1672" w:type="dxa"/>
            <w:vAlign w:val="center"/>
          </w:tcPr>
          <w:p>
            <w:pPr>
              <w:ind w:firstLine="480"/>
              <w:jc w:val="center"/>
            </w:pPr>
          </w:p>
        </w:tc>
        <w:tc>
          <w:tcPr>
            <w:tcW w:w="1365" w:type="dxa"/>
            <w:vAlign w:val="center"/>
          </w:tcPr>
          <w:p>
            <w:pPr>
              <w:autoSpaceDE w:val="0"/>
              <w:autoSpaceDN w:val="0"/>
              <w:adjustRightInd w:val="0"/>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888" w:type="dxa"/>
            <w:vAlign w:val="center"/>
          </w:tcPr>
          <w:p>
            <w:pPr>
              <w:autoSpaceDE w:val="0"/>
              <w:autoSpaceDN w:val="0"/>
              <w:adjustRightInd w:val="0"/>
              <w:ind w:firstLine="480"/>
              <w:jc w:val="center"/>
            </w:pPr>
            <w:r>
              <w:rPr>
                <w:rFonts w:hint="eastAsia"/>
              </w:rPr>
              <w:t>…</w:t>
            </w:r>
          </w:p>
        </w:tc>
        <w:tc>
          <w:tcPr>
            <w:tcW w:w="1621" w:type="dxa"/>
            <w:vAlign w:val="center"/>
          </w:tcPr>
          <w:p>
            <w:pPr>
              <w:autoSpaceDE w:val="0"/>
              <w:autoSpaceDN w:val="0"/>
              <w:adjustRightInd w:val="0"/>
              <w:ind w:firstLine="480"/>
              <w:jc w:val="center"/>
            </w:pPr>
          </w:p>
        </w:tc>
        <w:tc>
          <w:tcPr>
            <w:tcW w:w="921" w:type="dxa"/>
            <w:vAlign w:val="center"/>
          </w:tcPr>
          <w:p>
            <w:pPr>
              <w:autoSpaceDE w:val="0"/>
              <w:autoSpaceDN w:val="0"/>
              <w:adjustRightInd w:val="0"/>
              <w:ind w:firstLine="480"/>
              <w:jc w:val="center"/>
            </w:pPr>
          </w:p>
        </w:tc>
        <w:tc>
          <w:tcPr>
            <w:tcW w:w="1073" w:type="dxa"/>
            <w:gridSpan w:val="2"/>
            <w:vAlign w:val="center"/>
          </w:tcPr>
          <w:p>
            <w:pPr>
              <w:ind w:firstLine="480"/>
              <w:jc w:val="center"/>
            </w:pPr>
          </w:p>
        </w:tc>
        <w:tc>
          <w:tcPr>
            <w:tcW w:w="1244" w:type="dxa"/>
            <w:vAlign w:val="center"/>
          </w:tcPr>
          <w:p>
            <w:pPr>
              <w:ind w:firstLine="480"/>
              <w:jc w:val="center"/>
            </w:pPr>
          </w:p>
        </w:tc>
        <w:tc>
          <w:tcPr>
            <w:tcW w:w="1672" w:type="dxa"/>
            <w:vAlign w:val="center"/>
          </w:tcPr>
          <w:p>
            <w:pPr>
              <w:ind w:firstLine="480"/>
              <w:jc w:val="center"/>
            </w:pPr>
          </w:p>
        </w:tc>
        <w:tc>
          <w:tcPr>
            <w:tcW w:w="1365" w:type="dxa"/>
            <w:vAlign w:val="center"/>
          </w:tcPr>
          <w:p>
            <w:pPr>
              <w:autoSpaceDE w:val="0"/>
              <w:autoSpaceDN w:val="0"/>
              <w:adjustRightInd w:val="0"/>
              <w:ind w:firstLine="480"/>
              <w:jc w:val="center"/>
            </w:pPr>
            <w:r>
              <w:rPr>
                <w:rFonts w:hint="eastAsia"/>
              </w:rPr>
              <w:t>…</w:t>
            </w:r>
          </w:p>
        </w:tc>
      </w:tr>
    </w:tbl>
    <w:p>
      <w:pPr>
        <w:autoSpaceDE w:val="0"/>
        <w:autoSpaceDN w:val="0"/>
        <w:adjustRightInd w:val="0"/>
        <w:spacing w:line="440" w:lineRule="exact"/>
        <w:ind w:firstLine="480"/>
        <w:rPr>
          <w:kern w:val="0"/>
        </w:rPr>
      </w:pPr>
      <w:r>
        <w:rPr>
          <w:rFonts w:hint="eastAsia"/>
          <w:kern w:val="0"/>
        </w:rPr>
        <w:t>备注：投标文件中必须明确主要产品的品牌、规格型号、性能指标等内容。</w:t>
      </w:r>
      <w:r>
        <w:rPr>
          <w:rFonts w:hint="eastAsia"/>
        </w:rPr>
        <w:t>可附投标产品介绍图文资料。</w:t>
      </w:r>
    </w:p>
    <w:p>
      <w:pPr>
        <w:spacing w:line="460" w:lineRule="exact"/>
        <w:ind w:firstLine="480"/>
      </w:pPr>
    </w:p>
    <w:p>
      <w:pPr>
        <w:wordWrap w:val="0"/>
        <w:autoSpaceDE w:val="0"/>
        <w:autoSpaceDN w:val="0"/>
        <w:adjustRightInd w:val="0"/>
        <w:spacing w:line="440" w:lineRule="exact"/>
        <w:ind w:firstLine="480"/>
        <w:jc w:val="right"/>
        <w:rPr>
          <w:rFonts w:cs="仿宋_GB2312"/>
          <w:kern w:val="0"/>
          <w:lang w:val="zh-CN"/>
        </w:rPr>
      </w:pPr>
      <w:r>
        <w:rPr>
          <w:rFonts w:hint="eastAsia" w:cs="仿宋_GB2312"/>
          <w:kern w:val="0"/>
          <w:lang w:val="zh-CN"/>
        </w:rPr>
        <w:t xml:space="preserve">          投标人（公章）：     </w:t>
      </w:r>
    </w:p>
    <w:p>
      <w:pPr>
        <w:wordWrap w:val="0"/>
        <w:autoSpaceDE w:val="0"/>
        <w:autoSpaceDN w:val="0"/>
        <w:adjustRightInd w:val="0"/>
        <w:spacing w:line="440" w:lineRule="exact"/>
        <w:ind w:firstLine="480"/>
        <w:jc w:val="right"/>
        <w:rPr>
          <w:rFonts w:cs="仿宋_GB2312"/>
          <w:kern w:val="0"/>
          <w:lang w:val="zh-CN"/>
        </w:rPr>
      </w:pPr>
      <w:r>
        <w:rPr>
          <w:rFonts w:hint="eastAsia" w:cs="仿宋_GB2312"/>
          <w:kern w:val="0"/>
          <w:lang w:val="zh-CN"/>
        </w:rPr>
        <w:t xml:space="preserve">                                   法定代表人或授权代表（签字）：     </w:t>
      </w:r>
    </w:p>
    <w:p>
      <w:pPr>
        <w:wordWrap w:val="0"/>
        <w:autoSpaceDE w:val="0"/>
        <w:autoSpaceDN w:val="0"/>
        <w:adjustRightInd w:val="0"/>
        <w:spacing w:line="440" w:lineRule="exact"/>
        <w:ind w:firstLine="480"/>
        <w:jc w:val="right"/>
        <w:rPr>
          <w:rFonts w:cs="仿宋_GB2312"/>
          <w:kern w:val="0"/>
          <w:lang w:val="zh-CN"/>
        </w:rPr>
      </w:pPr>
      <w:r>
        <w:rPr>
          <w:rFonts w:hint="eastAsia" w:cs="仿宋_GB2312"/>
          <w:kern w:val="0"/>
          <w:lang w:val="zh-CN"/>
        </w:rPr>
        <w:t xml:space="preserve"> 日期：</w:t>
      </w:r>
      <w:r>
        <w:rPr>
          <w:rFonts w:cs="仿宋_GB2312"/>
          <w:kern w:val="0"/>
          <w:lang w:val="zh-CN"/>
        </w:rPr>
        <w:t>20</w:t>
      </w:r>
      <w:r>
        <w:rPr>
          <w:rFonts w:hint="eastAsia" w:cs="仿宋_GB2312"/>
          <w:kern w:val="0"/>
          <w:lang w:val="zh-CN"/>
        </w:rPr>
        <w:t xml:space="preserve">  年</w:t>
      </w:r>
      <w:r>
        <w:rPr>
          <w:rFonts w:cs="仿宋_GB2312"/>
          <w:kern w:val="0"/>
          <w:lang w:val="zh-CN"/>
        </w:rPr>
        <w:t xml:space="preserve">  </w:t>
      </w:r>
      <w:r>
        <w:rPr>
          <w:rFonts w:hint="eastAsia" w:cs="仿宋_GB2312"/>
          <w:kern w:val="0"/>
          <w:lang w:val="zh-CN"/>
        </w:rPr>
        <w:t>月</w:t>
      </w:r>
      <w:r>
        <w:rPr>
          <w:rFonts w:cs="仿宋_GB2312"/>
          <w:kern w:val="0"/>
          <w:lang w:val="zh-CN"/>
        </w:rPr>
        <w:t xml:space="preserve">   </w:t>
      </w:r>
      <w:r>
        <w:rPr>
          <w:rFonts w:hint="eastAsia" w:cs="仿宋_GB2312"/>
          <w:kern w:val="0"/>
          <w:lang w:val="zh-CN"/>
        </w:rPr>
        <w:t xml:space="preserve">日      </w:t>
      </w:r>
    </w:p>
    <w:p>
      <w:pPr>
        <w:spacing w:line="440" w:lineRule="exact"/>
        <w:ind w:firstLine="482"/>
        <w:jc w:val="center"/>
        <w:rPr>
          <w:b/>
          <w:bCs/>
        </w:rPr>
      </w:pPr>
    </w:p>
    <w:p>
      <w:pPr>
        <w:spacing w:line="440" w:lineRule="exact"/>
        <w:ind w:firstLine="643"/>
        <w:jc w:val="center"/>
        <w:rPr>
          <w:b/>
          <w:kern w:val="0"/>
          <w:sz w:val="32"/>
          <w:szCs w:val="32"/>
        </w:rPr>
      </w:pPr>
      <w:r>
        <w:rPr>
          <w:b/>
          <w:kern w:val="0"/>
          <w:sz w:val="32"/>
          <w:szCs w:val="32"/>
        </w:rPr>
        <w:br w:type="page"/>
      </w:r>
      <w:r>
        <w:rPr>
          <w:rFonts w:hint="eastAsia"/>
          <w:b/>
          <w:kern w:val="0"/>
          <w:sz w:val="32"/>
          <w:szCs w:val="32"/>
        </w:rPr>
        <w:t>五、技术偏离表</w:t>
      </w:r>
    </w:p>
    <w:p>
      <w:pPr>
        <w:autoSpaceDE w:val="0"/>
        <w:autoSpaceDN w:val="0"/>
        <w:adjustRightInd w:val="0"/>
        <w:spacing w:line="440" w:lineRule="exact"/>
        <w:ind w:firstLine="643"/>
        <w:jc w:val="center"/>
        <w:rPr>
          <w:b/>
          <w:kern w:val="0"/>
          <w:sz w:val="32"/>
          <w:szCs w:val="32"/>
        </w:rPr>
      </w:pPr>
    </w:p>
    <w:p>
      <w:pPr>
        <w:autoSpaceDE w:val="0"/>
        <w:autoSpaceDN w:val="0"/>
        <w:adjustRightInd w:val="0"/>
        <w:spacing w:line="440" w:lineRule="exact"/>
        <w:ind w:firstLine="361" w:firstLineChars="150"/>
        <w:rPr>
          <w:b/>
          <w:kern w:val="0"/>
        </w:rPr>
      </w:pPr>
      <w:bookmarkStart w:id="199" w:name="_Toc297472830"/>
      <w:bookmarkStart w:id="200" w:name="_Toc297472063"/>
      <w:r>
        <w:rPr>
          <w:rFonts w:hint="eastAsia"/>
          <w:b/>
          <w:kern w:val="0"/>
        </w:rPr>
        <w:t xml:space="preserve">项目编号：  </w:t>
      </w:r>
    </w:p>
    <w:tbl>
      <w:tblPr>
        <w:tblStyle w:val="33"/>
        <w:tblW w:w="8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855"/>
        <w:gridCol w:w="1957"/>
        <w:gridCol w:w="1620"/>
        <w:gridCol w:w="2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878" w:type="dxa"/>
            <w:tcBorders>
              <w:bottom w:val="single" w:color="auto" w:sz="4" w:space="0"/>
            </w:tcBorders>
            <w:vAlign w:val="center"/>
          </w:tcPr>
          <w:p>
            <w:pPr>
              <w:ind w:firstLine="0" w:firstLineChars="0"/>
              <w:jc w:val="center"/>
              <w:rPr>
                <w:b/>
              </w:rPr>
            </w:pPr>
            <w:r>
              <w:rPr>
                <w:rFonts w:hint="eastAsia"/>
                <w:b/>
              </w:rPr>
              <w:t>序号</w:t>
            </w:r>
          </w:p>
        </w:tc>
        <w:tc>
          <w:tcPr>
            <w:tcW w:w="1855" w:type="dxa"/>
            <w:tcBorders>
              <w:bottom w:val="single" w:color="auto" w:sz="4" w:space="0"/>
            </w:tcBorders>
            <w:vAlign w:val="center"/>
          </w:tcPr>
          <w:p>
            <w:pPr>
              <w:ind w:firstLine="0" w:firstLineChars="0"/>
              <w:jc w:val="center"/>
              <w:rPr>
                <w:b/>
              </w:rPr>
            </w:pPr>
            <w:r>
              <w:rPr>
                <w:rFonts w:hint="eastAsia"/>
                <w:b/>
              </w:rPr>
              <w:t>内  容</w:t>
            </w:r>
          </w:p>
        </w:tc>
        <w:tc>
          <w:tcPr>
            <w:tcW w:w="1957" w:type="dxa"/>
            <w:tcBorders>
              <w:bottom w:val="single" w:color="auto" w:sz="4" w:space="0"/>
            </w:tcBorders>
            <w:vAlign w:val="center"/>
          </w:tcPr>
          <w:p>
            <w:pPr>
              <w:ind w:firstLine="0" w:firstLineChars="0"/>
              <w:jc w:val="center"/>
              <w:rPr>
                <w:b/>
              </w:rPr>
            </w:pPr>
            <w:r>
              <w:rPr>
                <w:rFonts w:hint="eastAsia"/>
                <w:b/>
              </w:rPr>
              <w:t>招标文件</w:t>
            </w:r>
          </w:p>
          <w:p>
            <w:pPr>
              <w:ind w:firstLine="0" w:firstLineChars="0"/>
              <w:jc w:val="center"/>
              <w:rPr>
                <w:b/>
              </w:rPr>
            </w:pPr>
            <w:r>
              <w:rPr>
                <w:rFonts w:hint="eastAsia"/>
                <w:b/>
              </w:rPr>
              <w:t>规范要求</w:t>
            </w:r>
          </w:p>
        </w:tc>
        <w:tc>
          <w:tcPr>
            <w:tcW w:w="1620" w:type="dxa"/>
            <w:tcBorders>
              <w:bottom w:val="single" w:color="auto" w:sz="4" w:space="0"/>
            </w:tcBorders>
            <w:vAlign w:val="center"/>
          </w:tcPr>
          <w:p>
            <w:pPr>
              <w:ind w:firstLine="0" w:firstLineChars="0"/>
              <w:jc w:val="center"/>
              <w:rPr>
                <w:b/>
              </w:rPr>
            </w:pPr>
            <w:r>
              <w:rPr>
                <w:rFonts w:hint="eastAsia"/>
                <w:b/>
              </w:rPr>
              <w:t>投标文件</w:t>
            </w:r>
          </w:p>
          <w:p>
            <w:pPr>
              <w:ind w:firstLine="0" w:firstLineChars="0"/>
              <w:jc w:val="center"/>
              <w:rPr>
                <w:b/>
              </w:rPr>
            </w:pPr>
            <w:r>
              <w:rPr>
                <w:rFonts w:hint="eastAsia"/>
                <w:b/>
              </w:rPr>
              <w:t>对应规范</w:t>
            </w:r>
          </w:p>
        </w:tc>
        <w:tc>
          <w:tcPr>
            <w:tcW w:w="2524" w:type="dxa"/>
            <w:tcBorders>
              <w:bottom w:val="single" w:color="auto" w:sz="4" w:space="0"/>
            </w:tcBorders>
            <w:vAlign w:val="center"/>
          </w:tcPr>
          <w:p>
            <w:pPr>
              <w:ind w:firstLine="0" w:firstLineChars="0"/>
              <w:jc w:val="center"/>
              <w:rPr>
                <w:b/>
              </w:rPr>
            </w:pPr>
            <w:r>
              <w:rPr>
                <w:rFonts w:hint="eastAsia"/>
                <w:b/>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tcPr>
          <w:p>
            <w:pPr>
              <w:ind w:firstLine="480"/>
              <w:jc w:val="center"/>
            </w:pPr>
          </w:p>
        </w:tc>
        <w:tc>
          <w:tcPr>
            <w:tcW w:w="1855" w:type="dxa"/>
          </w:tcPr>
          <w:p>
            <w:pPr>
              <w:ind w:firstLine="480"/>
            </w:pPr>
          </w:p>
        </w:tc>
        <w:tc>
          <w:tcPr>
            <w:tcW w:w="1957" w:type="dxa"/>
          </w:tcPr>
          <w:p>
            <w:pPr>
              <w:ind w:firstLine="480"/>
            </w:pPr>
          </w:p>
        </w:tc>
        <w:tc>
          <w:tcPr>
            <w:tcW w:w="1620" w:type="dxa"/>
          </w:tcPr>
          <w:p>
            <w:pPr>
              <w:ind w:firstLine="480"/>
            </w:pPr>
          </w:p>
        </w:tc>
        <w:tc>
          <w:tcPr>
            <w:tcW w:w="2524" w:type="dxa"/>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tcPr>
          <w:p>
            <w:pPr>
              <w:ind w:firstLine="480"/>
            </w:pPr>
          </w:p>
        </w:tc>
        <w:tc>
          <w:tcPr>
            <w:tcW w:w="1855" w:type="dxa"/>
          </w:tcPr>
          <w:p>
            <w:pPr>
              <w:ind w:firstLine="480"/>
            </w:pPr>
          </w:p>
        </w:tc>
        <w:tc>
          <w:tcPr>
            <w:tcW w:w="1957" w:type="dxa"/>
          </w:tcPr>
          <w:p>
            <w:pPr>
              <w:ind w:firstLine="480"/>
            </w:pPr>
          </w:p>
        </w:tc>
        <w:tc>
          <w:tcPr>
            <w:tcW w:w="1620" w:type="dxa"/>
          </w:tcPr>
          <w:p>
            <w:pPr>
              <w:ind w:firstLine="480"/>
            </w:pPr>
          </w:p>
        </w:tc>
        <w:tc>
          <w:tcPr>
            <w:tcW w:w="2524" w:type="dxa"/>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tcPr>
          <w:p>
            <w:pPr>
              <w:ind w:firstLine="480"/>
            </w:pPr>
          </w:p>
        </w:tc>
        <w:tc>
          <w:tcPr>
            <w:tcW w:w="1855" w:type="dxa"/>
          </w:tcPr>
          <w:p>
            <w:pPr>
              <w:ind w:firstLine="480"/>
            </w:pPr>
          </w:p>
        </w:tc>
        <w:tc>
          <w:tcPr>
            <w:tcW w:w="1957" w:type="dxa"/>
          </w:tcPr>
          <w:p>
            <w:pPr>
              <w:ind w:firstLine="480"/>
            </w:pPr>
          </w:p>
        </w:tc>
        <w:tc>
          <w:tcPr>
            <w:tcW w:w="1620" w:type="dxa"/>
          </w:tcPr>
          <w:p>
            <w:pPr>
              <w:ind w:firstLine="480"/>
            </w:pPr>
          </w:p>
        </w:tc>
        <w:tc>
          <w:tcPr>
            <w:tcW w:w="2524" w:type="dxa"/>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jc w:val="center"/>
        </w:trPr>
        <w:tc>
          <w:tcPr>
            <w:tcW w:w="878" w:type="dxa"/>
          </w:tcPr>
          <w:p>
            <w:pPr>
              <w:ind w:firstLine="480"/>
            </w:pPr>
          </w:p>
        </w:tc>
        <w:tc>
          <w:tcPr>
            <w:tcW w:w="1855" w:type="dxa"/>
          </w:tcPr>
          <w:p>
            <w:pPr>
              <w:ind w:firstLine="480"/>
            </w:pPr>
          </w:p>
        </w:tc>
        <w:tc>
          <w:tcPr>
            <w:tcW w:w="1957" w:type="dxa"/>
          </w:tcPr>
          <w:p>
            <w:pPr>
              <w:ind w:firstLine="480"/>
            </w:pPr>
          </w:p>
        </w:tc>
        <w:tc>
          <w:tcPr>
            <w:tcW w:w="1620" w:type="dxa"/>
          </w:tcPr>
          <w:p>
            <w:pPr>
              <w:ind w:firstLine="480"/>
            </w:pPr>
          </w:p>
        </w:tc>
        <w:tc>
          <w:tcPr>
            <w:tcW w:w="2524" w:type="dxa"/>
          </w:tcPr>
          <w:p>
            <w:pPr>
              <w:ind w:firstLine="480"/>
            </w:pPr>
          </w:p>
        </w:tc>
      </w:tr>
    </w:tbl>
    <w:p>
      <w:pPr>
        <w:autoSpaceDE w:val="0"/>
        <w:autoSpaceDN w:val="0"/>
        <w:adjustRightInd w:val="0"/>
        <w:spacing w:line="440" w:lineRule="exact"/>
        <w:ind w:firstLine="480"/>
        <w:rPr>
          <w:kern w:val="0"/>
        </w:rPr>
      </w:pPr>
      <w:r>
        <w:rPr>
          <w:rFonts w:hint="eastAsia"/>
          <w:kern w:val="0"/>
        </w:rPr>
        <w:t>备注：投标人应根据投标设备的性能指标、对照招标文件要求在“偏离情况”栏注明“正偏离”、“负偏离”或“无偏离”。</w:t>
      </w:r>
    </w:p>
    <w:p>
      <w:pPr>
        <w:wordWrap w:val="0"/>
        <w:autoSpaceDE w:val="0"/>
        <w:autoSpaceDN w:val="0"/>
        <w:adjustRightInd w:val="0"/>
        <w:spacing w:line="440" w:lineRule="exact"/>
        <w:ind w:firstLine="480"/>
        <w:jc w:val="right"/>
        <w:rPr>
          <w:rFonts w:cs="仿宋_GB2312"/>
          <w:kern w:val="0"/>
          <w:lang w:val="zh-CN"/>
        </w:rPr>
      </w:pPr>
      <w:r>
        <w:rPr>
          <w:rFonts w:hint="eastAsia" w:cs="仿宋_GB2312"/>
          <w:kern w:val="0"/>
          <w:lang w:val="zh-CN"/>
        </w:rPr>
        <w:t xml:space="preserve">         </w:t>
      </w:r>
    </w:p>
    <w:p>
      <w:pPr>
        <w:autoSpaceDE w:val="0"/>
        <w:autoSpaceDN w:val="0"/>
        <w:adjustRightInd w:val="0"/>
        <w:spacing w:line="440" w:lineRule="exact"/>
        <w:ind w:firstLine="480"/>
        <w:jc w:val="right"/>
        <w:rPr>
          <w:rFonts w:cs="仿宋_GB2312"/>
          <w:kern w:val="0"/>
          <w:lang w:val="zh-CN"/>
        </w:rPr>
      </w:pPr>
    </w:p>
    <w:p>
      <w:pPr>
        <w:wordWrap w:val="0"/>
        <w:autoSpaceDE w:val="0"/>
        <w:autoSpaceDN w:val="0"/>
        <w:adjustRightInd w:val="0"/>
        <w:spacing w:line="440" w:lineRule="exact"/>
        <w:ind w:firstLine="480"/>
        <w:jc w:val="right"/>
        <w:rPr>
          <w:rFonts w:cs="仿宋_GB2312"/>
          <w:kern w:val="0"/>
          <w:lang w:val="zh-CN"/>
        </w:rPr>
      </w:pPr>
      <w:r>
        <w:rPr>
          <w:rFonts w:hint="eastAsia" w:cs="仿宋_GB2312"/>
          <w:kern w:val="0"/>
          <w:lang w:val="zh-CN"/>
        </w:rPr>
        <w:t xml:space="preserve"> 投标人（公章）：     </w:t>
      </w:r>
    </w:p>
    <w:p>
      <w:pPr>
        <w:wordWrap w:val="0"/>
        <w:autoSpaceDE w:val="0"/>
        <w:autoSpaceDN w:val="0"/>
        <w:adjustRightInd w:val="0"/>
        <w:spacing w:line="440" w:lineRule="exact"/>
        <w:ind w:firstLine="480"/>
        <w:jc w:val="right"/>
        <w:rPr>
          <w:rFonts w:cs="仿宋_GB2312"/>
          <w:kern w:val="0"/>
          <w:lang w:val="zh-CN"/>
        </w:rPr>
      </w:pPr>
      <w:r>
        <w:rPr>
          <w:rFonts w:hint="eastAsia" w:cs="仿宋_GB2312"/>
          <w:kern w:val="0"/>
          <w:lang w:val="zh-CN"/>
        </w:rPr>
        <w:t xml:space="preserve">                                   法定代表人或授权代表（签字）：     </w:t>
      </w:r>
    </w:p>
    <w:p>
      <w:pPr>
        <w:autoSpaceDE w:val="0"/>
        <w:autoSpaceDN w:val="0"/>
        <w:adjustRightInd w:val="0"/>
        <w:spacing w:line="440" w:lineRule="exact"/>
        <w:ind w:firstLine="480"/>
        <w:jc w:val="center"/>
        <w:rPr>
          <w:rFonts w:cs="仿宋_GB2312"/>
          <w:kern w:val="0"/>
          <w:lang w:val="zh-CN"/>
        </w:rPr>
      </w:pPr>
      <w:r>
        <w:rPr>
          <w:rFonts w:hint="eastAsia" w:cs="仿宋_GB2312"/>
          <w:kern w:val="0"/>
          <w:lang w:val="zh-CN"/>
        </w:rPr>
        <w:t xml:space="preserve">                                          日期：</w:t>
      </w:r>
      <w:r>
        <w:rPr>
          <w:rFonts w:cs="仿宋_GB2312"/>
          <w:kern w:val="0"/>
          <w:lang w:val="zh-CN"/>
        </w:rPr>
        <w:t>20</w:t>
      </w:r>
      <w:r>
        <w:rPr>
          <w:rFonts w:hint="eastAsia" w:cs="仿宋_GB2312"/>
          <w:kern w:val="0"/>
          <w:lang w:val="zh-CN"/>
        </w:rPr>
        <w:t xml:space="preserve">  年</w:t>
      </w:r>
      <w:r>
        <w:rPr>
          <w:rFonts w:cs="仿宋_GB2312"/>
          <w:kern w:val="0"/>
          <w:lang w:val="zh-CN"/>
        </w:rPr>
        <w:t xml:space="preserve">  </w:t>
      </w:r>
      <w:r>
        <w:rPr>
          <w:rFonts w:hint="eastAsia" w:cs="仿宋_GB2312"/>
          <w:kern w:val="0"/>
          <w:lang w:val="zh-CN"/>
        </w:rPr>
        <w:t>月</w:t>
      </w:r>
      <w:r>
        <w:rPr>
          <w:rFonts w:cs="仿宋_GB2312"/>
          <w:kern w:val="0"/>
          <w:lang w:val="zh-CN"/>
        </w:rPr>
        <w:t xml:space="preserve">   </w:t>
      </w:r>
      <w:r>
        <w:rPr>
          <w:rFonts w:hint="eastAsia" w:cs="仿宋_GB2312"/>
          <w:kern w:val="0"/>
          <w:lang w:val="zh-CN"/>
        </w:rPr>
        <w:t xml:space="preserve">日   </w:t>
      </w:r>
    </w:p>
    <w:p>
      <w:pPr>
        <w:autoSpaceDE w:val="0"/>
        <w:autoSpaceDN w:val="0"/>
        <w:adjustRightInd w:val="0"/>
        <w:spacing w:line="440" w:lineRule="exact"/>
        <w:ind w:firstLine="480"/>
        <w:jc w:val="center"/>
        <w:rPr>
          <w:rFonts w:cs="仿宋_GB2312"/>
          <w:kern w:val="0"/>
          <w:lang w:val="zh-CN"/>
        </w:rPr>
      </w:pPr>
    </w:p>
    <w:p>
      <w:pPr>
        <w:autoSpaceDE w:val="0"/>
        <w:autoSpaceDN w:val="0"/>
        <w:adjustRightInd w:val="0"/>
        <w:spacing w:line="440" w:lineRule="exact"/>
        <w:ind w:firstLine="480"/>
        <w:jc w:val="center"/>
        <w:rPr>
          <w:rFonts w:cs="仿宋_GB2312"/>
          <w:kern w:val="0"/>
          <w:lang w:val="zh-CN"/>
        </w:rPr>
      </w:pPr>
    </w:p>
    <w:p>
      <w:pPr>
        <w:autoSpaceDE w:val="0"/>
        <w:autoSpaceDN w:val="0"/>
        <w:adjustRightInd w:val="0"/>
        <w:spacing w:line="440" w:lineRule="exact"/>
        <w:ind w:firstLine="480"/>
        <w:jc w:val="center"/>
        <w:rPr>
          <w:rFonts w:cs="仿宋_GB2312"/>
          <w:kern w:val="0"/>
          <w:lang w:val="zh-CN"/>
        </w:rPr>
      </w:pPr>
    </w:p>
    <w:p>
      <w:pPr>
        <w:autoSpaceDE w:val="0"/>
        <w:autoSpaceDN w:val="0"/>
        <w:adjustRightInd w:val="0"/>
        <w:spacing w:line="440" w:lineRule="exact"/>
        <w:ind w:firstLine="480"/>
        <w:jc w:val="center"/>
        <w:rPr>
          <w:rFonts w:cs="仿宋_GB2312"/>
          <w:kern w:val="0"/>
          <w:lang w:val="zh-CN"/>
        </w:rPr>
      </w:pPr>
    </w:p>
    <w:p>
      <w:pPr>
        <w:autoSpaceDE w:val="0"/>
        <w:autoSpaceDN w:val="0"/>
        <w:adjustRightInd w:val="0"/>
        <w:spacing w:line="440" w:lineRule="exact"/>
        <w:ind w:firstLine="480"/>
        <w:jc w:val="center"/>
        <w:rPr>
          <w:rFonts w:cs="仿宋_GB2312"/>
          <w:kern w:val="0"/>
          <w:lang w:val="zh-CN"/>
        </w:rPr>
      </w:pPr>
    </w:p>
    <w:p>
      <w:pPr>
        <w:autoSpaceDE w:val="0"/>
        <w:autoSpaceDN w:val="0"/>
        <w:adjustRightInd w:val="0"/>
        <w:spacing w:line="440" w:lineRule="exact"/>
        <w:ind w:firstLine="480"/>
        <w:jc w:val="center"/>
        <w:rPr>
          <w:rFonts w:cs="仿宋_GB2312"/>
          <w:kern w:val="0"/>
          <w:lang w:val="zh-CN"/>
        </w:rPr>
      </w:pPr>
    </w:p>
    <w:p>
      <w:pPr>
        <w:autoSpaceDE w:val="0"/>
        <w:autoSpaceDN w:val="0"/>
        <w:adjustRightInd w:val="0"/>
        <w:spacing w:line="440" w:lineRule="exact"/>
        <w:ind w:firstLine="480"/>
        <w:jc w:val="center"/>
        <w:rPr>
          <w:rFonts w:cs="仿宋_GB2312"/>
          <w:kern w:val="0"/>
          <w:lang w:val="zh-CN"/>
        </w:rPr>
      </w:pPr>
    </w:p>
    <w:p>
      <w:pPr>
        <w:autoSpaceDE w:val="0"/>
        <w:autoSpaceDN w:val="0"/>
        <w:adjustRightInd w:val="0"/>
        <w:spacing w:line="440" w:lineRule="exact"/>
        <w:ind w:firstLine="480"/>
        <w:jc w:val="center"/>
        <w:rPr>
          <w:rFonts w:cs="仿宋_GB2312"/>
          <w:kern w:val="0"/>
          <w:lang w:val="zh-CN"/>
        </w:rPr>
      </w:pPr>
    </w:p>
    <w:p>
      <w:pPr>
        <w:autoSpaceDE w:val="0"/>
        <w:autoSpaceDN w:val="0"/>
        <w:adjustRightInd w:val="0"/>
        <w:spacing w:line="440" w:lineRule="exact"/>
        <w:ind w:firstLine="480"/>
        <w:jc w:val="center"/>
        <w:rPr>
          <w:rFonts w:cs="仿宋_GB2312"/>
          <w:kern w:val="0"/>
          <w:lang w:val="zh-CN"/>
        </w:rPr>
      </w:pPr>
    </w:p>
    <w:p>
      <w:pPr>
        <w:autoSpaceDE w:val="0"/>
        <w:autoSpaceDN w:val="0"/>
        <w:adjustRightInd w:val="0"/>
        <w:spacing w:line="440" w:lineRule="exact"/>
        <w:ind w:firstLine="480"/>
        <w:jc w:val="center"/>
        <w:rPr>
          <w:rFonts w:cs="仿宋_GB2312"/>
          <w:kern w:val="0"/>
          <w:lang w:val="zh-CN"/>
        </w:rPr>
      </w:pPr>
    </w:p>
    <w:p>
      <w:pPr>
        <w:autoSpaceDE w:val="0"/>
        <w:autoSpaceDN w:val="0"/>
        <w:adjustRightInd w:val="0"/>
        <w:spacing w:line="440" w:lineRule="exact"/>
        <w:ind w:firstLine="480"/>
        <w:jc w:val="center"/>
        <w:rPr>
          <w:rFonts w:cs="仿宋_GB2312"/>
          <w:kern w:val="0"/>
          <w:lang w:val="zh-CN"/>
        </w:rPr>
      </w:pPr>
    </w:p>
    <w:p>
      <w:pPr>
        <w:autoSpaceDE w:val="0"/>
        <w:autoSpaceDN w:val="0"/>
        <w:adjustRightInd w:val="0"/>
        <w:spacing w:line="440" w:lineRule="exact"/>
        <w:ind w:firstLine="480"/>
        <w:jc w:val="center"/>
        <w:rPr>
          <w:rFonts w:cs="仿宋_GB2312"/>
          <w:kern w:val="0"/>
          <w:lang w:val="zh-CN"/>
        </w:rPr>
      </w:pPr>
    </w:p>
    <w:p>
      <w:pPr>
        <w:autoSpaceDE w:val="0"/>
        <w:autoSpaceDN w:val="0"/>
        <w:adjustRightInd w:val="0"/>
        <w:spacing w:line="440" w:lineRule="exact"/>
        <w:ind w:firstLine="480"/>
        <w:jc w:val="center"/>
        <w:rPr>
          <w:rFonts w:cs="仿宋_GB2312"/>
          <w:kern w:val="0"/>
          <w:lang w:val="zh-CN"/>
        </w:rPr>
      </w:pPr>
    </w:p>
    <w:p>
      <w:pPr>
        <w:autoSpaceDE w:val="0"/>
        <w:autoSpaceDN w:val="0"/>
        <w:adjustRightInd w:val="0"/>
        <w:spacing w:line="440" w:lineRule="exact"/>
        <w:ind w:firstLine="480"/>
        <w:jc w:val="center"/>
        <w:rPr>
          <w:rFonts w:cs="仿宋_GB2312"/>
          <w:kern w:val="0"/>
          <w:lang w:val="zh-CN"/>
        </w:rPr>
      </w:pPr>
    </w:p>
    <w:p>
      <w:pPr>
        <w:autoSpaceDE w:val="0"/>
        <w:autoSpaceDN w:val="0"/>
        <w:adjustRightInd w:val="0"/>
        <w:spacing w:line="440" w:lineRule="exact"/>
        <w:ind w:firstLine="480"/>
        <w:jc w:val="center"/>
        <w:rPr>
          <w:rFonts w:cs="仿宋_GB2312"/>
          <w:kern w:val="0"/>
          <w:lang w:val="zh-CN"/>
        </w:rPr>
      </w:pPr>
    </w:p>
    <w:p>
      <w:pPr>
        <w:autoSpaceDE w:val="0"/>
        <w:autoSpaceDN w:val="0"/>
        <w:adjustRightInd w:val="0"/>
        <w:spacing w:line="440" w:lineRule="exact"/>
        <w:ind w:firstLine="480"/>
        <w:jc w:val="center"/>
        <w:rPr>
          <w:rFonts w:cs="仿宋_GB2312"/>
          <w:kern w:val="0"/>
          <w:lang w:val="zh-CN"/>
        </w:rPr>
      </w:pPr>
    </w:p>
    <w:p>
      <w:pPr>
        <w:snapToGrid w:val="0"/>
        <w:spacing w:line="440" w:lineRule="exact"/>
        <w:ind w:firstLine="602"/>
        <w:jc w:val="center"/>
        <w:rPr>
          <w:b/>
          <w:bCs/>
          <w:sz w:val="30"/>
          <w:szCs w:val="30"/>
        </w:rPr>
      </w:pPr>
      <w:r>
        <w:rPr>
          <w:rFonts w:hint="eastAsia"/>
          <w:b/>
          <w:bCs/>
          <w:sz w:val="30"/>
          <w:szCs w:val="30"/>
        </w:rPr>
        <w:t>电梯主要部件清单</w:t>
      </w:r>
    </w:p>
    <w:p>
      <w:pPr>
        <w:snapToGrid w:val="0"/>
        <w:spacing w:line="440" w:lineRule="exact"/>
        <w:ind w:firstLine="181" w:firstLineChars="100"/>
        <w:jc w:val="left"/>
        <w:rPr>
          <w:rFonts w:ascii="Calibri" w:hAnsi="Calibri"/>
          <w:b/>
          <w:bCs/>
          <w:sz w:val="18"/>
          <w:szCs w:val="18"/>
          <w:u w:val="single"/>
        </w:rPr>
      </w:pPr>
      <w:r>
        <w:rPr>
          <w:rFonts w:hint="eastAsia" w:ascii="Calibri" w:hAnsi="Calibri"/>
          <w:b/>
          <w:bCs/>
          <w:sz w:val="18"/>
          <w:szCs w:val="18"/>
        </w:rPr>
        <w:t>电梯型号：速度：载重量停靠层站</w:t>
      </w:r>
    </w:p>
    <w:tbl>
      <w:tblPr>
        <w:tblStyle w:val="33"/>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2039"/>
        <w:gridCol w:w="842"/>
        <w:gridCol w:w="1186"/>
        <w:gridCol w:w="1752"/>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jc w:val="center"/>
        </w:trPr>
        <w:tc>
          <w:tcPr>
            <w:tcW w:w="2988" w:type="dxa"/>
            <w:gridSpan w:val="2"/>
          </w:tcPr>
          <w:p>
            <w:pPr>
              <w:ind w:firstLine="0" w:firstLineChars="0"/>
              <w:rPr>
                <w:b/>
              </w:rPr>
            </w:pPr>
            <w:r>
              <w:rPr>
                <w:rFonts w:hint="eastAsia"/>
                <w:b/>
              </w:rPr>
              <w:t>部件名称</w:t>
            </w:r>
          </w:p>
        </w:tc>
        <w:tc>
          <w:tcPr>
            <w:tcW w:w="842" w:type="dxa"/>
          </w:tcPr>
          <w:p>
            <w:pPr>
              <w:ind w:firstLine="0" w:firstLineChars="0"/>
              <w:rPr>
                <w:b/>
              </w:rPr>
            </w:pPr>
            <w:r>
              <w:rPr>
                <w:rFonts w:hint="eastAsia"/>
                <w:b/>
              </w:rPr>
              <w:t>产地</w:t>
            </w:r>
          </w:p>
        </w:tc>
        <w:tc>
          <w:tcPr>
            <w:tcW w:w="1186" w:type="dxa"/>
          </w:tcPr>
          <w:p>
            <w:pPr>
              <w:ind w:firstLine="0" w:firstLineChars="0"/>
              <w:rPr>
                <w:b/>
              </w:rPr>
            </w:pPr>
            <w:r>
              <w:rPr>
                <w:rFonts w:hint="eastAsia"/>
                <w:b/>
              </w:rPr>
              <w:t>生产厂商</w:t>
            </w:r>
          </w:p>
        </w:tc>
        <w:tc>
          <w:tcPr>
            <w:tcW w:w="1752" w:type="dxa"/>
          </w:tcPr>
          <w:p>
            <w:pPr>
              <w:ind w:firstLine="0" w:firstLineChars="0"/>
              <w:rPr>
                <w:b/>
              </w:rPr>
            </w:pPr>
            <w:r>
              <w:rPr>
                <w:rFonts w:hint="eastAsia"/>
                <w:b/>
              </w:rPr>
              <w:t>型号规格</w:t>
            </w:r>
          </w:p>
        </w:tc>
        <w:tc>
          <w:tcPr>
            <w:tcW w:w="1980" w:type="dxa"/>
          </w:tcPr>
          <w:p>
            <w:pPr>
              <w:ind w:firstLine="0" w:firstLineChars="0"/>
              <w:rPr>
                <w:b/>
              </w:rPr>
            </w:pPr>
            <w:r>
              <w:rPr>
                <w:rFonts w:hint="eastAsia"/>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jc w:val="center"/>
        </w:trPr>
        <w:tc>
          <w:tcPr>
            <w:tcW w:w="949" w:type="dxa"/>
            <w:vMerge w:val="restart"/>
          </w:tcPr>
          <w:p>
            <w:pPr>
              <w:ind w:firstLine="0" w:firstLineChars="0"/>
              <w:jc w:val="center"/>
              <w:rPr>
                <w:bCs/>
              </w:rPr>
            </w:pPr>
            <w:r>
              <w:rPr>
                <w:rFonts w:hint="eastAsia"/>
                <w:bCs/>
              </w:rPr>
              <w:t>曳引机</w:t>
            </w:r>
          </w:p>
        </w:tc>
        <w:tc>
          <w:tcPr>
            <w:tcW w:w="2039" w:type="dxa"/>
          </w:tcPr>
          <w:p>
            <w:pPr>
              <w:ind w:firstLine="0" w:firstLineChars="0"/>
              <w:jc w:val="center"/>
              <w:rPr>
                <w:bCs/>
              </w:rPr>
            </w:pPr>
            <w:r>
              <w:rPr>
                <w:rFonts w:hint="eastAsia"/>
                <w:bCs/>
              </w:rPr>
              <w:t>曳引机</w:t>
            </w:r>
          </w:p>
        </w:tc>
        <w:tc>
          <w:tcPr>
            <w:tcW w:w="842" w:type="dxa"/>
          </w:tcPr>
          <w:p>
            <w:pPr>
              <w:spacing w:line="440" w:lineRule="exact"/>
              <w:ind w:firstLine="480"/>
              <w:jc w:val="center"/>
              <w:rPr>
                <w:rFonts w:ascii="Calibri" w:hAnsi="Calibri"/>
              </w:rPr>
            </w:pPr>
          </w:p>
        </w:tc>
        <w:tc>
          <w:tcPr>
            <w:tcW w:w="1186" w:type="dxa"/>
          </w:tcPr>
          <w:p>
            <w:pPr>
              <w:spacing w:line="440" w:lineRule="exact"/>
              <w:ind w:firstLine="480"/>
              <w:jc w:val="center"/>
              <w:rPr>
                <w:rFonts w:ascii="Calibri" w:hAnsi="Calibri"/>
              </w:rPr>
            </w:pPr>
          </w:p>
        </w:tc>
        <w:tc>
          <w:tcPr>
            <w:tcW w:w="1752" w:type="dxa"/>
          </w:tcPr>
          <w:p>
            <w:pPr>
              <w:spacing w:line="440" w:lineRule="exact"/>
              <w:ind w:firstLine="480"/>
              <w:jc w:val="center"/>
              <w:rPr>
                <w:rFonts w:ascii="Calibri" w:hAnsi="Calibri"/>
              </w:rPr>
            </w:pPr>
          </w:p>
        </w:tc>
        <w:tc>
          <w:tcPr>
            <w:tcW w:w="1980" w:type="dxa"/>
          </w:tcPr>
          <w:p>
            <w:pPr>
              <w:spacing w:line="440" w:lineRule="exact"/>
              <w:ind w:firstLine="480"/>
              <w:jc w:val="cente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jc w:val="center"/>
        </w:trPr>
        <w:tc>
          <w:tcPr>
            <w:tcW w:w="949" w:type="dxa"/>
            <w:vMerge w:val="continue"/>
            <w:vAlign w:val="center"/>
          </w:tcPr>
          <w:p>
            <w:pPr>
              <w:ind w:firstLine="0" w:firstLineChars="0"/>
              <w:jc w:val="center"/>
              <w:rPr>
                <w:bCs/>
              </w:rPr>
            </w:pPr>
          </w:p>
        </w:tc>
        <w:tc>
          <w:tcPr>
            <w:tcW w:w="2039" w:type="dxa"/>
          </w:tcPr>
          <w:p>
            <w:pPr>
              <w:ind w:firstLine="0" w:firstLineChars="0"/>
              <w:jc w:val="center"/>
              <w:rPr>
                <w:bCs/>
              </w:rPr>
            </w:pPr>
            <w:r>
              <w:rPr>
                <w:rFonts w:hint="eastAsia"/>
                <w:bCs/>
              </w:rPr>
              <w:t>编码器</w:t>
            </w:r>
          </w:p>
        </w:tc>
        <w:tc>
          <w:tcPr>
            <w:tcW w:w="842" w:type="dxa"/>
          </w:tcPr>
          <w:p>
            <w:pPr>
              <w:spacing w:line="440" w:lineRule="exact"/>
              <w:ind w:firstLine="480"/>
              <w:jc w:val="center"/>
              <w:rPr>
                <w:rFonts w:ascii="Calibri" w:hAnsi="Calibri"/>
              </w:rPr>
            </w:pPr>
          </w:p>
        </w:tc>
        <w:tc>
          <w:tcPr>
            <w:tcW w:w="1186" w:type="dxa"/>
          </w:tcPr>
          <w:p>
            <w:pPr>
              <w:spacing w:line="440" w:lineRule="exact"/>
              <w:ind w:firstLine="480"/>
              <w:jc w:val="center"/>
              <w:rPr>
                <w:rFonts w:ascii="Calibri" w:hAnsi="Calibri"/>
              </w:rPr>
            </w:pPr>
          </w:p>
        </w:tc>
        <w:tc>
          <w:tcPr>
            <w:tcW w:w="1752" w:type="dxa"/>
          </w:tcPr>
          <w:p>
            <w:pPr>
              <w:spacing w:line="440" w:lineRule="exact"/>
              <w:ind w:firstLine="480"/>
              <w:jc w:val="center"/>
              <w:rPr>
                <w:rFonts w:ascii="Calibri" w:hAnsi="Calibri"/>
              </w:rPr>
            </w:pPr>
          </w:p>
        </w:tc>
        <w:tc>
          <w:tcPr>
            <w:tcW w:w="1980" w:type="dxa"/>
          </w:tcPr>
          <w:p>
            <w:pPr>
              <w:spacing w:line="440" w:lineRule="exact"/>
              <w:ind w:firstLine="480"/>
              <w:jc w:val="cente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949" w:type="dxa"/>
          </w:tcPr>
          <w:p>
            <w:pPr>
              <w:ind w:firstLine="0" w:firstLineChars="0"/>
              <w:jc w:val="center"/>
              <w:rPr>
                <w:bCs/>
              </w:rPr>
            </w:pPr>
            <w:r>
              <w:rPr>
                <w:rFonts w:hint="eastAsia"/>
                <w:bCs/>
              </w:rPr>
              <w:t>控制柜</w:t>
            </w:r>
          </w:p>
        </w:tc>
        <w:tc>
          <w:tcPr>
            <w:tcW w:w="2039" w:type="dxa"/>
          </w:tcPr>
          <w:p>
            <w:pPr>
              <w:ind w:firstLine="0" w:firstLineChars="0"/>
              <w:jc w:val="center"/>
              <w:rPr>
                <w:bCs/>
              </w:rPr>
            </w:pPr>
          </w:p>
        </w:tc>
        <w:tc>
          <w:tcPr>
            <w:tcW w:w="842" w:type="dxa"/>
          </w:tcPr>
          <w:p>
            <w:pPr>
              <w:spacing w:line="440" w:lineRule="exact"/>
              <w:ind w:firstLine="480"/>
              <w:jc w:val="center"/>
              <w:rPr>
                <w:rFonts w:ascii="Calibri" w:hAnsi="Calibri"/>
              </w:rPr>
            </w:pPr>
          </w:p>
        </w:tc>
        <w:tc>
          <w:tcPr>
            <w:tcW w:w="1186" w:type="dxa"/>
          </w:tcPr>
          <w:p>
            <w:pPr>
              <w:spacing w:line="440" w:lineRule="exact"/>
              <w:ind w:firstLine="480"/>
              <w:jc w:val="center"/>
              <w:rPr>
                <w:rFonts w:ascii="Calibri" w:hAnsi="Calibri"/>
              </w:rPr>
            </w:pPr>
          </w:p>
        </w:tc>
        <w:tc>
          <w:tcPr>
            <w:tcW w:w="1752" w:type="dxa"/>
          </w:tcPr>
          <w:p>
            <w:pPr>
              <w:spacing w:line="440" w:lineRule="exact"/>
              <w:ind w:firstLine="480"/>
              <w:jc w:val="center"/>
              <w:rPr>
                <w:rFonts w:ascii="Calibri" w:hAnsi="Calibri"/>
              </w:rPr>
            </w:pPr>
          </w:p>
        </w:tc>
        <w:tc>
          <w:tcPr>
            <w:tcW w:w="1980" w:type="dxa"/>
          </w:tcPr>
          <w:p>
            <w:pPr>
              <w:spacing w:line="440" w:lineRule="exact"/>
              <w:ind w:firstLine="480"/>
              <w:jc w:val="cente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jc w:val="center"/>
        </w:trPr>
        <w:tc>
          <w:tcPr>
            <w:tcW w:w="949" w:type="dxa"/>
            <w:vMerge w:val="restart"/>
          </w:tcPr>
          <w:p>
            <w:pPr>
              <w:ind w:firstLine="0" w:firstLineChars="0"/>
              <w:jc w:val="center"/>
              <w:rPr>
                <w:bCs/>
              </w:rPr>
            </w:pPr>
            <w:r>
              <w:rPr>
                <w:rFonts w:hint="eastAsia"/>
                <w:bCs/>
              </w:rPr>
              <w:t>控制柜</w:t>
            </w:r>
            <w:r>
              <w:rPr>
                <w:rFonts w:hint="eastAsia"/>
                <w:bCs/>
              </w:rPr>
              <w:br w:type="textWrapping"/>
            </w:r>
            <w:r>
              <w:rPr>
                <w:rFonts w:hint="eastAsia"/>
                <w:bCs/>
              </w:rPr>
              <w:t>（组装）</w:t>
            </w:r>
          </w:p>
        </w:tc>
        <w:tc>
          <w:tcPr>
            <w:tcW w:w="2039" w:type="dxa"/>
          </w:tcPr>
          <w:p>
            <w:pPr>
              <w:ind w:firstLine="0" w:firstLineChars="0"/>
              <w:jc w:val="center"/>
              <w:rPr>
                <w:bCs/>
              </w:rPr>
            </w:pPr>
            <w:r>
              <w:rPr>
                <w:rFonts w:hint="eastAsia"/>
                <w:bCs/>
              </w:rPr>
              <w:t>主板（注明字长）</w:t>
            </w:r>
          </w:p>
        </w:tc>
        <w:tc>
          <w:tcPr>
            <w:tcW w:w="842" w:type="dxa"/>
          </w:tcPr>
          <w:p>
            <w:pPr>
              <w:spacing w:line="440" w:lineRule="exact"/>
              <w:ind w:firstLine="480"/>
              <w:jc w:val="center"/>
              <w:rPr>
                <w:rFonts w:ascii="Calibri" w:hAnsi="Calibri"/>
              </w:rPr>
            </w:pPr>
          </w:p>
        </w:tc>
        <w:tc>
          <w:tcPr>
            <w:tcW w:w="1186" w:type="dxa"/>
          </w:tcPr>
          <w:p>
            <w:pPr>
              <w:spacing w:line="440" w:lineRule="exact"/>
              <w:ind w:firstLine="480"/>
              <w:jc w:val="center"/>
              <w:rPr>
                <w:rFonts w:ascii="Calibri" w:hAnsi="Calibri"/>
              </w:rPr>
            </w:pPr>
          </w:p>
        </w:tc>
        <w:tc>
          <w:tcPr>
            <w:tcW w:w="1752" w:type="dxa"/>
          </w:tcPr>
          <w:p>
            <w:pPr>
              <w:spacing w:line="440" w:lineRule="exact"/>
              <w:ind w:firstLine="480"/>
              <w:jc w:val="center"/>
              <w:rPr>
                <w:rFonts w:ascii="Calibri" w:hAnsi="Calibri"/>
              </w:rPr>
            </w:pPr>
          </w:p>
        </w:tc>
        <w:tc>
          <w:tcPr>
            <w:tcW w:w="1980" w:type="dxa"/>
          </w:tcPr>
          <w:p>
            <w:pPr>
              <w:spacing w:line="440" w:lineRule="exact"/>
              <w:ind w:firstLine="480"/>
              <w:jc w:val="cente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jc w:val="center"/>
        </w:trPr>
        <w:tc>
          <w:tcPr>
            <w:tcW w:w="949" w:type="dxa"/>
            <w:vMerge w:val="continue"/>
            <w:vAlign w:val="center"/>
          </w:tcPr>
          <w:p>
            <w:pPr>
              <w:ind w:firstLine="0" w:firstLineChars="0"/>
              <w:jc w:val="center"/>
              <w:rPr>
                <w:bCs/>
              </w:rPr>
            </w:pPr>
          </w:p>
        </w:tc>
        <w:tc>
          <w:tcPr>
            <w:tcW w:w="2039" w:type="dxa"/>
          </w:tcPr>
          <w:p>
            <w:pPr>
              <w:ind w:firstLine="0" w:firstLineChars="0"/>
              <w:jc w:val="center"/>
              <w:rPr>
                <w:bCs/>
              </w:rPr>
            </w:pPr>
            <w:r>
              <w:rPr>
                <w:rFonts w:hint="eastAsia"/>
                <w:bCs/>
              </w:rPr>
              <w:t>扩展电路板</w:t>
            </w:r>
          </w:p>
        </w:tc>
        <w:tc>
          <w:tcPr>
            <w:tcW w:w="842" w:type="dxa"/>
          </w:tcPr>
          <w:p>
            <w:pPr>
              <w:spacing w:line="440" w:lineRule="exact"/>
              <w:ind w:firstLine="480"/>
              <w:jc w:val="center"/>
              <w:rPr>
                <w:rFonts w:ascii="Calibri" w:hAnsi="Calibri"/>
              </w:rPr>
            </w:pPr>
          </w:p>
        </w:tc>
        <w:tc>
          <w:tcPr>
            <w:tcW w:w="1186" w:type="dxa"/>
          </w:tcPr>
          <w:p>
            <w:pPr>
              <w:spacing w:line="440" w:lineRule="exact"/>
              <w:ind w:firstLine="480"/>
              <w:jc w:val="center"/>
              <w:rPr>
                <w:rFonts w:ascii="Calibri" w:hAnsi="Calibri"/>
              </w:rPr>
            </w:pPr>
          </w:p>
        </w:tc>
        <w:tc>
          <w:tcPr>
            <w:tcW w:w="1752" w:type="dxa"/>
          </w:tcPr>
          <w:p>
            <w:pPr>
              <w:spacing w:line="440" w:lineRule="exact"/>
              <w:ind w:firstLine="480"/>
              <w:jc w:val="center"/>
              <w:rPr>
                <w:rFonts w:ascii="Calibri" w:hAnsi="Calibri"/>
              </w:rPr>
            </w:pPr>
          </w:p>
        </w:tc>
        <w:tc>
          <w:tcPr>
            <w:tcW w:w="1980" w:type="dxa"/>
          </w:tcPr>
          <w:p>
            <w:pPr>
              <w:spacing w:line="440" w:lineRule="exact"/>
              <w:ind w:firstLine="480"/>
              <w:jc w:val="cente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jc w:val="center"/>
        </w:trPr>
        <w:tc>
          <w:tcPr>
            <w:tcW w:w="949" w:type="dxa"/>
            <w:vMerge w:val="continue"/>
            <w:vAlign w:val="center"/>
          </w:tcPr>
          <w:p>
            <w:pPr>
              <w:ind w:firstLine="0" w:firstLineChars="0"/>
              <w:jc w:val="center"/>
              <w:rPr>
                <w:bCs/>
              </w:rPr>
            </w:pPr>
          </w:p>
        </w:tc>
        <w:tc>
          <w:tcPr>
            <w:tcW w:w="2039" w:type="dxa"/>
          </w:tcPr>
          <w:p>
            <w:pPr>
              <w:ind w:firstLine="0" w:firstLineChars="0"/>
              <w:jc w:val="center"/>
              <w:rPr>
                <w:bCs/>
              </w:rPr>
            </w:pPr>
            <w:r>
              <w:rPr>
                <w:rFonts w:hint="eastAsia"/>
                <w:bCs/>
              </w:rPr>
              <w:t>变压器</w:t>
            </w:r>
          </w:p>
        </w:tc>
        <w:tc>
          <w:tcPr>
            <w:tcW w:w="842" w:type="dxa"/>
          </w:tcPr>
          <w:p>
            <w:pPr>
              <w:spacing w:line="440" w:lineRule="exact"/>
              <w:ind w:firstLine="480"/>
              <w:jc w:val="center"/>
              <w:rPr>
                <w:rFonts w:ascii="Calibri" w:hAnsi="Calibri"/>
              </w:rPr>
            </w:pPr>
          </w:p>
        </w:tc>
        <w:tc>
          <w:tcPr>
            <w:tcW w:w="1186" w:type="dxa"/>
          </w:tcPr>
          <w:p>
            <w:pPr>
              <w:spacing w:line="440" w:lineRule="exact"/>
              <w:ind w:firstLine="480"/>
              <w:jc w:val="center"/>
              <w:rPr>
                <w:rFonts w:ascii="Calibri" w:hAnsi="Calibri"/>
              </w:rPr>
            </w:pPr>
          </w:p>
        </w:tc>
        <w:tc>
          <w:tcPr>
            <w:tcW w:w="1752" w:type="dxa"/>
          </w:tcPr>
          <w:p>
            <w:pPr>
              <w:spacing w:line="440" w:lineRule="exact"/>
              <w:ind w:firstLine="480"/>
              <w:jc w:val="center"/>
              <w:rPr>
                <w:rFonts w:ascii="Calibri" w:hAnsi="Calibri"/>
              </w:rPr>
            </w:pPr>
          </w:p>
        </w:tc>
        <w:tc>
          <w:tcPr>
            <w:tcW w:w="1980" w:type="dxa"/>
          </w:tcPr>
          <w:p>
            <w:pPr>
              <w:spacing w:line="440" w:lineRule="exact"/>
              <w:ind w:firstLine="480"/>
              <w:jc w:val="cente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jc w:val="center"/>
        </w:trPr>
        <w:tc>
          <w:tcPr>
            <w:tcW w:w="949" w:type="dxa"/>
            <w:vMerge w:val="continue"/>
            <w:vAlign w:val="center"/>
          </w:tcPr>
          <w:p>
            <w:pPr>
              <w:ind w:firstLine="0" w:firstLineChars="0"/>
              <w:jc w:val="center"/>
              <w:rPr>
                <w:bCs/>
              </w:rPr>
            </w:pPr>
          </w:p>
        </w:tc>
        <w:tc>
          <w:tcPr>
            <w:tcW w:w="2039" w:type="dxa"/>
          </w:tcPr>
          <w:p>
            <w:pPr>
              <w:ind w:firstLine="0" w:firstLineChars="0"/>
              <w:jc w:val="center"/>
              <w:rPr>
                <w:bCs/>
              </w:rPr>
            </w:pPr>
            <w:r>
              <w:rPr>
                <w:rFonts w:hint="eastAsia"/>
                <w:bCs/>
              </w:rPr>
              <w:t>主辅接触器</w:t>
            </w:r>
          </w:p>
        </w:tc>
        <w:tc>
          <w:tcPr>
            <w:tcW w:w="842" w:type="dxa"/>
          </w:tcPr>
          <w:p>
            <w:pPr>
              <w:spacing w:line="440" w:lineRule="exact"/>
              <w:ind w:firstLine="480"/>
              <w:jc w:val="center"/>
              <w:rPr>
                <w:rFonts w:ascii="Calibri" w:hAnsi="Calibri"/>
              </w:rPr>
            </w:pPr>
          </w:p>
        </w:tc>
        <w:tc>
          <w:tcPr>
            <w:tcW w:w="1186" w:type="dxa"/>
          </w:tcPr>
          <w:p>
            <w:pPr>
              <w:spacing w:line="440" w:lineRule="exact"/>
              <w:ind w:firstLine="480"/>
              <w:jc w:val="center"/>
              <w:rPr>
                <w:rFonts w:ascii="Calibri" w:hAnsi="Calibri"/>
              </w:rPr>
            </w:pPr>
          </w:p>
        </w:tc>
        <w:tc>
          <w:tcPr>
            <w:tcW w:w="1752" w:type="dxa"/>
          </w:tcPr>
          <w:p>
            <w:pPr>
              <w:spacing w:line="440" w:lineRule="exact"/>
              <w:ind w:firstLine="480"/>
              <w:jc w:val="center"/>
              <w:rPr>
                <w:rFonts w:ascii="Calibri" w:hAnsi="Calibri"/>
              </w:rPr>
            </w:pPr>
          </w:p>
        </w:tc>
        <w:tc>
          <w:tcPr>
            <w:tcW w:w="1980" w:type="dxa"/>
          </w:tcPr>
          <w:p>
            <w:pPr>
              <w:spacing w:line="440" w:lineRule="exact"/>
              <w:ind w:firstLine="480"/>
              <w:jc w:val="cente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jc w:val="center"/>
        </w:trPr>
        <w:tc>
          <w:tcPr>
            <w:tcW w:w="949" w:type="dxa"/>
            <w:vMerge w:val="continue"/>
            <w:vAlign w:val="center"/>
          </w:tcPr>
          <w:p>
            <w:pPr>
              <w:ind w:firstLine="0" w:firstLineChars="0"/>
              <w:jc w:val="center"/>
              <w:rPr>
                <w:bCs/>
              </w:rPr>
            </w:pPr>
          </w:p>
        </w:tc>
        <w:tc>
          <w:tcPr>
            <w:tcW w:w="2039" w:type="dxa"/>
          </w:tcPr>
          <w:p>
            <w:pPr>
              <w:ind w:firstLine="0" w:firstLineChars="0"/>
              <w:jc w:val="center"/>
              <w:rPr>
                <w:bCs/>
              </w:rPr>
            </w:pPr>
            <w:r>
              <w:rPr>
                <w:rFonts w:hint="eastAsia"/>
                <w:bCs/>
              </w:rPr>
              <w:t>空气开关</w:t>
            </w:r>
          </w:p>
        </w:tc>
        <w:tc>
          <w:tcPr>
            <w:tcW w:w="842" w:type="dxa"/>
          </w:tcPr>
          <w:p>
            <w:pPr>
              <w:spacing w:line="440" w:lineRule="exact"/>
              <w:ind w:firstLine="480"/>
              <w:jc w:val="center"/>
              <w:rPr>
                <w:rFonts w:ascii="Calibri" w:hAnsi="Calibri"/>
              </w:rPr>
            </w:pPr>
          </w:p>
        </w:tc>
        <w:tc>
          <w:tcPr>
            <w:tcW w:w="1186" w:type="dxa"/>
          </w:tcPr>
          <w:p>
            <w:pPr>
              <w:spacing w:line="440" w:lineRule="exact"/>
              <w:ind w:firstLine="480"/>
              <w:jc w:val="center"/>
              <w:rPr>
                <w:rFonts w:ascii="Calibri" w:hAnsi="Calibri"/>
              </w:rPr>
            </w:pPr>
          </w:p>
        </w:tc>
        <w:tc>
          <w:tcPr>
            <w:tcW w:w="1752" w:type="dxa"/>
          </w:tcPr>
          <w:p>
            <w:pPr>
              <w:spacing w:line="440" w:lineRule="exact"/>
              <w:ind w:firstLine="480"/>
              <w:jc w:val="center"/>
              <w:rPr>
                <w:rFonts w:ascii="Calibri" w:hAnsi="Calibri"/>
              </w:rPr>
            </w:pPr>
          </w:p>
        </w:tc>
        <w:tc>
          <w:tcPr>
            <w:tcW w:w="1980" w:type="dxa"/>
          </w:tcPr>
          <w:p>
            <w:pPr>
              <w:spacing w:line="440" w:lineRule="exact"/>
              <w:ind w:firstLine="480"/>
              <w:jc w:val="cente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jc w:val="center"/>
        </w:trPr>
        <w:tc>
          <w:tcPr>
            <w:tcW w:w="949" w:type="dxa"/>
            <w:vMerge w:val="continue"/>
            <w:vAlign w:val="center"/>
          </w:tcPr>
          <w:p>
            <w:pPr>
              <w:ind w:firstLine="0" w:firstLineChars="0"/>
              <w:jc w:val="center"/>
              <w:rPr>
                <w:bCs/>
              </w:rPr>
            </w:pPr>
          </w:p>
        </w:tc>
        <w:tc>
          <w:tcPr>
            <w:tcW w:w="2039" w:type="dxa"/>
          </w:tcPr>
          <w:p>
            <w:pPr>
              <w:ind w:firstLine="0" w:firstLineChars="0"/>
              <w:jc w:val="center"/>
              <w:rPr>
                <w:bCs/>
              </w:rPr>
            </w:pPr>
            <w:r>
              <w:rPr>
                <w:rFonts w:hint="eastAsia"/>
                <w:bCs/>
              </w:rPr>
              <w:t>继电器</w:t>
            </w:r>
          </w:p>
        </w:tc>
        <w:tc>
          <w:tcPr>
            <w:tcW w:w="842" w:type="dxa"/>
          </w:tcPr>
          <w:p>
            <w:pPr>
              <w:spacing w:line="440" w:lineRule="exact"/>
              <w:ind w:firstLine="480"/>
              <w:jc w:val="center"/>
              <w:rPr>
                <w:rFonts w:ascii="Calibri" w:hAnsi="Calibri"/>
              </w:rPr>
            </w:pPr>
          </w:p>
        </w:tc>
        <w:tc>
          <w:tcPr>
            <w:tcW w:w="1186" w:type="dxa"/>
          </w:tcPr>
          <w:p>
            <w:pPr>
              <w:spacing w:line="440" w:lineRule="exact"/>
              <w:ind w:firstLine="480"/>
              <w:jc w:val="center"/>
              <w:rPr>
                <w:rFonts w:ascii="Calibri" w:hAnsi="Calibri"/>
              </w:rPr>
            </w:pPr>
          </w:p>
        </w:tc>
        <w:tc>
          <w:tcPr>
            <w:tcW w:w="1752" w:type="dxa"/>
          </w:tcPr>
          <w:p>
            <w:pPr>
              <w:spacing w:line="440" w:lineRule="exact"/>
              <w:ind w:firstLine="480"/>
              <w:jc w:val="center"/>
              <w:rPr>
                <w:rFonts w:ascii="Calibri" w:hAnsi="Calibri"/>
              </w:rPr>
            </w:pPr>
          </w:p>
        </w:tc>
        <w:tc>
          <w:tcPr>
            <w:tcW w:w="1980" w:type="dxa"/>
          </w:tcPr>
          <w:p>
            <w:pPr>
              <w:spacing w:line="440" w:lineRule="exact"/>
              <w:ind w:firstLine="480"/>
              <w:jc w:val="cente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jc w:val="center"/>
        </w:trPr>
        <w:tc>
          <w:tcPr>
            <w:tcW w:w="949" w:type="dxa"/>
            <w:vMerge w:val="continue"/>
            <w:vAlign w:val="center"/>
          </w:tcPr>
          <w:p>
            <w:pPr>
              <w:ind w:firstLine="0" w:firstLineChars="0"/>
              <w:jc w:val="center"/>
              <w:rPr>
                <w:bCs/>
              </w:rPr>
            </w:pPr>
          </w:p>
        </w:tc>
        <w:tc>
          <w:tcPr>
            <w:tcW w:w="2039" w:type="dxa"/>
          </w:tcPr>
          <w:p>
            <w:pPr>
              <w:ind w:firstLine="0" w:firstLineChars="0"/>
              <w:jc w:val="center"/>
              <w:rPr>
                <w:bCs/>
              </w:rPr>
            </w:pPr>
            <w:r>
              <w:rPr>
                <w:rFonts w:hint="eastAsia"/>
                <w:bCs/>
              </w:rPr>
              <w:t>接线端、线槽、线夹、导线等</w:t>
            </w:r>
          </w:p>
        </w:tc>
        <w:tc>
          <w:tcPr>
            <w:tcW w:w="842" w:type="dxa"/>
          </w:tcPr>
          <w:p>
            <w:pPr>
              <w:spacing w:line="440" w:lineRule="exact"/>
              <w:ind w:firstLine="480"/>
              <w:jc w:val="center"/>
              <w:rPr>
                <w:rFonts w:ascii="Calibri" w:hAnsi="Calibri"/>
              </w:rPr>
            </w:pPr>
          </w:p>
        </w:tc>
        <w:tc>
          <w:tcPr>
            <w:tcW w:w="1186" w:type="dxa"/>
          </w:tcPr>
          <w:p>
            <w:pPr>
              <w:spacing w:line="440" w:lineRule="exact"/>
              <w:ind w:firstLine="480"/>
              <w:jc w:val="center"/>
              <w:rPr>
                <w:rFonts w:ascii="Calibri" w:hAnsi="Calibri"/>
              </w:rPr>
            </w:pPr>
          </w:p>
        </w:tc>
        <w:tc>
          <w:tcPr>
            <w:tcW w:w="1752" w:type="dxa"/>
          </w:tcPr>
          <w:p>
            <w:pPr>
              <w:spacing w:line="440" w:lineRule="exact"/>
              <w:ind w:firstLine="480"/>
              <w:jc w:val="center"/>
              <w:rPr>
                <w:rFonts w:ascii="Calibri" w:hAnsi="Calibri"/>
              </w:rPr>
            </w:pPr>
          </w:p>
        </w:tc>
        <w:tc>
          <w:tcPr>
            <w:tcW w:w="1980" w:type="dxa"/>
          </w:tcPr>
          <w:p>
            <w:pPr>
              <w:spacing w:line="440" w:lineRule="exact"/>
              <w:ind w:firstLine="480"/>
              <w:jc w:val="cente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jc w:val="center"/>
        </w:trPr>
        <w:tc>
          <w:tcPr>
            <w:tcW w:w="949" w:type="dxa"/>
            <w:vMerge w:val="restart"/>
          </w:tcPr>
          <w:p>
            <w:pPr>
              <w:ind w:firstLine="0" w:firstLineChars="0"/>
              <w:jc w:val="center"/>
              <w:rPr>
                <w:bCs/>
              </w:rPr>
            </w:pPr>
            <w:r>
              <w:rPr>
                <w:rFonts w:hint="eastAsia"/>
                <w:bCs/>
              </w:rPr>
              <w:t>变频器</w:t>
            </w:r>
          </w:p>
        </w:tc>
        <w:tc>
          <w:tcPr>
            <w:tcW w:w="2039" w:type="dxa"/>
          </w:tcPr>
          <w:p>
            <w:pPr>
              <w:ind w:firstLine="0" w:firstLineChars="0"/>
              <w:jc w:val="center"/>
              <w:rPr>
                <w:bCs/>
              </w:rPr>
            </w:pPr>
            <w:r>
              <w:rPr>
                <w:rFonts w:hint="eastAsia"/>
                <w:bCs/>
              </w:rPr>
              <w:t>变频器</w:t>
            </w:r>
          </w:p>
        </w:tc>
        <w:tc>
          <w:tcPr>
            <w:tcW w:w="842" w:type="dxa"/>
          </w:tcPr>
          <w:p>
            <w:pPr>
              <w:spacing w:line="440" w:lineRule="exact"/>
              <w:ind w:firstLine="480"/>
              <w:jc w:val="center"/>
              <w:rPr>
                <w:rFonts w:ascii="Calibri" w:hAnsi="Calibri"/>
              </w:rPr>
            </w:pPr>
          </w:p>
        </w:tc>
        <w:tc>
          <w:tcPr>
            <w:tcW w:w="1186" w:type="dxa"/>
          </w:tcPr>
          <w:p>
            <w:pPr>
              <w:spacing w:line="440" w:lineRule="exact"/>
              <w:ind w:firstLine="480"/>
              <w:jc w:val="center"/>
              <w:rPr>
                <w:rFonts w:ascii="Calibri" w:hAnsi="Calibri"/>
              </w:rPr>
            </w:pPr>
          </w:p>
        </w:tc>
        <w:tc>
          <w:tcPr>
            <w:tcW w:w="1752" w:type="dxa"/>
          </w:tcPr>
          <w:p>
            <w:pPr>
              <w:spacing w:line="440" w:lineRule="exact"/>
              <w:ind w:firstLine="480"/>
              <w:jc w:val="center"/>
              <w:rPr>
                <w:rFonts w:ascii="Calibri" w:hAnsi="Calibri"/>
              </w:rPr>
            </w:pPr>
          </w:p>
        </w:tc>
        <w:tc>
          <w:tcPr>
            <w:tcW w:w="1980" w:type="dxa"/>
          </w:tcPr>
          <w:p>
            <w:pPr>
              <w:spacing w:line="440" w:lineRule="exact"/>
              <w:ind w:firstLine="480"/>
              <w:jc w:val="cente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jc w:val="center"/>
        </w:trPr>
        <w:tc>
          <w:tcPr>
            <w:tcW w:w="949" w:type="dxa"/>
            <w:vMerge w:val="continue"/>
            <w:vAlign w:val="center"/>
          </w:tcPr>
          <w:p>
            <w:pPr>
              <w:ind w:firstLine="0" w:firstLineChars="0"/>
              <w:jc w:val="center"/>
              <w:rPr>
                <w:bCs/>
              </w:rPr>
            </w:pPr>
          </w:p>
        </w:tc>
        <w:tc>
          <w:tcPr>
            <w:tcW w:w="2039" w:type="dxa"/>
          </w:tcPr>
          <w:p>
            <w:pPr>
              <w:ind w:firstLine="0" w:firstLineChars="0"/>
              <w:jc w:val="center"/>
              <w:rPr>
                <w:bCs/>
              </w:rPr>
            </w:pPr>
            <w:r>
              <w:rPr>
                <w:rFonts w:hint="eastAsia"/>
                <w:bCs/>
              </w:rPr>
              <w:t>制动单元</w:t>
            </w:r>
          </w:p>
        </w:tc>
        <w:tc>
          <w:tcPr>
            <w:tcW w:w="842" w:type="dxa"/>
          </w:tcPr>
          <w:p>
            <w:pPr>
              <w:spacing w:line="440" w:lineRule="exact"/>
              <w:ind w:firstLine="480"/>
              <w:jc w:val="center"/>
              <w:rPr>
                <w:rFonts w:ascii="Calibri" w:hAnsi="Calibri"/>
              </w:rPr>
            </w:pPr>
          </w:p>
        </w:tc>
        <w:tc>
          <w:tcPr>
            <w:tcW w:w="1186" w:type="dxa"/>
          </w:tcPr>
          <w:p>
            <w:pPr>
              <w:spacing w:line="440" w:lineRule="exact"/>
              <w:ind w:firstLine="480"/>
              <w:jc w:val="center"/>
              <w:rPr>
                <w:rFonts w:ascii="Calibri" w:hAnsi="Calibri"/>
              </w:rPr>
            </w:pPr>
          </w:p>
        </w:tc>
        <w:tc>
          <w:tcPr>
            <w:tcW w:w="1752" w:type="dxa"/>
          </w:tcPr>
          <w:p>
            <w:pPr>
              <w:spacing w:line="440" w:lineRule="exact"/>
              <w:ind w:firstLine="480"/>
              <w:jc w:val="center"/>
              <w:rPr>
                <w:rFonts w:ascii="Calibri" w:hAnsi="Calibri"/>
              </w:rPr>
            </w:pPr>
          </w:p>
        </w:tc>
        <w:tc>
          <w:tcPr>
            <w:tcW w:w="1980" w:type="dxa"/>
          </w:tcPr>
          <w:p>
            <w:pPr>
              <w:spacing w:line="440" w:lineRule="exact"/>
              <w:ind w:firstLine="480"/>
              <w:jc w:val="cente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jc w:val="center"/>
        </w:trPr>
        <w:tc>
          <w:tcPr>
            <w:tcW w:w="949" w:type="dxa"/>
          </w:tcPr>
          <w:p>
            <w:pPr>
              <w:ind w:firstLine="0" w:firstLineChars="0"/>
              <w:jc w:val="center"/>
              <w:rPr>
                <w:bCs/>
              </w:rPr>
            </w:pPr>
            <w:r>
              <w:rPr>
                <w:rFonts w:hint="eastAsia"/>
                <w:bCs/>
              </w:rPr>
              <w:t>门机</w:t>
            </w:r>
          </w:p>
        </w:tc>
        <w:tc>
          <w:tcPr>
            <w:tcW w:w="2039" w:type="dxa"/>
          </w:tcPr>
          <w:p>
            <w:pPr>
              <w:ind w:firstLine="0" w:firstLineChars="0"/>
              <w:jc w:val="center"/>
              <w:rPr>
                <w:bCs/>
              </w:rPr>
            </w:pPr>
          </w:p>
        </w:tc>
        <w:tc>
          <w:tcPr>
            <w:tcW w:w="842" w:type="dxa"/>
          </w:tcPr>
          <w:p>
            <w:pPr>
              <w:spacing w:line="440" w:lineRule="exact"/>
              <w:ind w:firstLine="480"/>
              <w:jc w:val="center"/>
              <w:rPr>
                <w:rFonts w:ascii="Calibri" w:hAnsi="Calibri"/>
              </w:rPr>
            </w:pPr>
          </w:p>
        </w:tc>
        <w:tc>
          <w:tcPr>
            <w:tcW w:w="1186" w:type="dxa"/>
          </w:tcPr>
          <w:p>
            <w:pPr>
              <w:spacing w:line="440" w:lineRule="exact"/>
              <w:ind w:firstLine="480"/>
              <w:jc w:val="center"/>
              <w:rPr>
                <w:rFonts w:ascii="Calibri" w:hAnsi="Calibri"/>
              </w:rPr>
            </w:pPr>
          </w:p>
        </w:tc>
        <w:tc>
          <w:tcPr>
            <w:tcW w:w="1752" w:type="dxa"/>
          </w:tcPr>
          <w:p>
            <w:pPr>
              <w:spacing w:line="440" w:lineRule="exact"/>
              <w:ind w:firstLine="480"/>
              <w:jc w:val="center"/>
              <w:rPr>
                <w:rFonts w:ascii="Calibri" w:hAnsi="Calibri"/>
              </w:rPr>
            </w:pPr>
          </w:p>
        </w:tc>
        <w:tc>
          <w:tcPr>
            <w:tcW w:w="1980" w:type="dxa"/>
          </w:tcPr>
          <w:p>
            <w:pPr>
              <w:spacing w:line="440" w:lineRule="exact"/>
              <w:ind w:firstLine="480"/>
              <w:jc w:val="cente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 w:hRule="atLeast"/>
          <w:jc w:val="center"/>
        </w:trPr>
        <w:tc>
          <w:tcPr>
            <w:tcW w:w="949" w:type="dxa"/>
            <w:vMerge w:val="restart"/>
          </w:tcPr>
          <w:p>
            <w:pPr>
              <w:ind w:firstLine="0" w:firstLineChars="0"/>
              <w:jc w:val="center"/>
              <w:rPr>
                <w:bCs/>
              </w:rPr>
            </w:pPr>
            <w:r>
              <w:rPr>
                <w:rFonts w:hint="eastAsia"/>
                <w:bCs/>
              </w:rPr>
              <w:t>门机</w:t>
            </w:r>
            <w:r>
              <w:rPr>
                <w:rFonts w:hint="eastAsia"/>
                <w:bCs/>
              </w:rPr>
              <w:br w:type="textWrapping"/>
            </w:r>
            <w:r>
              <w:rPr>
                <w:rFonts w:hint="eastAsia"/>
                <w:bCs/>
              </w:rPr>
              <w:t>（组装）</w:t>
            </w:r>
          </w:p>
        </w:tc>
        <w:tc>
          <w:tcPr>
            <w:tcW w:w="2039" w:type="dxa"/>
          </w:tcPr>
          <w:p>
            <w:pPr>
              <w:ind w:firstLine="0" w:firstLineChars="0"/>
              <w:jc w:val="center"/>
              <w:rPr>
                <w:bCs/>
              </w:rPr>
            </w:pPr>
            <w:r>
              <w:rPr>
                <w:rFonts w:hint="eastAsia"/>
                <w:bCs/>
              </w:rPr>
              <w:t>门机变频器</w:t>
            </w:r>
          </w:p>
        </w:tc>
        <w:tc>
          <w:tcPr>
            <w:tcW w:w="842" w:type="dxa"/>
          </w:tcPr>
          <w:p>
            <w:pPr>
              <w:spacing w:line="440" w:lineRule="exact"/>
              <w:ind w:firstLine="480"/>
              <w:jc w:val="center"/>
              <w:rPr>
                <w:rFonts w:ascii="Calibri" w:hAnsi="Calibri"/>
              </w:rPr>
            </w:pPr>
          </w:p>
        </w:tc>
        <w:tc>
          <w:tcPr>
            <w:tcW w:w="1186" w:type="dxa"/>
          </w:tcPr>
          <w:p>
            <w:pPr>
              <w:spacing w:line="440" w:lineRule="exact"/>
              <w:ind w:firstLine="480"/>
              <w:jc w:val="center"/>
              <w:rPr>
                <w:rFonts w:ascii="Calibri" w:hAnsi="Calibri"/>
              </w:rPr>
            </w:pPr>
          </w:p>
        </w:tc>
        <w:tc>
          <w:tcPr>
            <w:tcW w:w="1752" w:type="dxa"/>
          </w:tcPr>
          <w:p>
            <w:pPr>
              <w:spacing w:line="440" w:lineRule="exact"/>
              <w:ind w:firstLine="480"/>
              <w:jc w:val="center"/>
              <w:rPr>
                <w:rFonts w:ascii="Calibri" w:hAnsi="Calibri"/>
              </w:rPr>
            </w:pPr>
          </w:p>
        </w:tc>
        <w:tc>
          <w:tcPr>
            <w:tcW w:w="1980" w:type="dxa"/>
          </w:tcPr>
          <w:p>
            <w:pPr>
              <w:spacing w:line="440" w:lineRule="exact"/>
              <w:ind w:firstLine="480"/>
              <w:jc w:val="cente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 w:hRule="atLeast"/>
          <w:jc w:val="center"/>
        </w:trPr>
        <w:tc>
          <w:tcPr>
            <w:tcW w:w="949" w:type="dxa"/>
            <w:vMerge w:val="continue"/>
            <w:vAlign w:val="center"/>
          </w:tcPr>
          <w:p>
            <w:pPr>
              <w:ind w:firstLine="0" w:firstLineChars="0"/>
              <w:jc w:val="center"/>
              <w:rPr>
                <w:bCs/>
              </w:rPr>
            </w:pPr>
          </w:p>
        </w:tc>
        <w:tc>
          <w:tcPr>
            <w:tcW w:w="2039" w:type="dxa"/>
          </w:tcPr>
          <w:p>
            <w:pPr>
              <w:ind w:firstLine="0" w:firstLineChars="0"/>
              <w:jc w:val="center"/>
              <w:rPr>
                <w:bCs/>
              </w:rPr>
            </w:pPr>
            <w:r>
              <w:rPr>
                <w:rFonts w:hint="eastAsia"/>
                <w:bCs/>
              </w:rPr>
              <w:t>门机控制器</w:t>
            </w:r>
          </w:p>
        </w:tc>
        <w:tc>
          <w:tcPr>
            <w:tcW w:w="842" w:type="dxa"/>
          </w:tcPr>
          <w:p>
            <w:pPr>
              <w:spacing w:line="440" w:lineRule="exact"/>
              <w:ind w:firstLine="480"/>
              <w:jc w:val="center"/>
              <w:rPr>
                <w:rFonts w:ascii="Calibri" w:hAnsi="Calibri"/>
              </w:rPr>
            </w:pPr>
          </w:p>
        </w:tc>
        <w:tc>
          <w:tcPr>
            <w:tcW w:w="1186" w:type="dxa"/>
          </w:tcPr>
          <w:p>
            <w:pPr>
              <w:spacing w:line="440" w:lineRule="exact"/>
              <w:ind w:firstLine="480"/>
              <w:jc w:val="center"/>
              <w:rPr>
                <w:rFonts w:ascii="Calibri" w:hAnsi="Calibri"/>
              </w:rPr>
            </w:pPr>
          </w:p>
        </w:tc>
        <w:tc>
          <w:tcPr>
            <w:tcW w:w="1752" w:type="dxa"/>
          </w:tcPr>
          <w:p>
            <w:pPr>
              <w:spacing w:line="440" w:lineRule="exact"/>
              <w:ind w:firstLine="480"/>
              <w:jc w:val="center"/>
              <w:rPr>
                <w:rFonts w:ascii="Calibri" w:hAnsi="Calibri"/>
              </w:rPr>
            </w:pPr>
          </w:p>
        </w:tc>
        <w:tc>
          <w:tcPr>
            <w:tcW w:w="1980" w:type="dxa"/>
          </w:tcPr>
          <w:p>
            <w:pPr>
              <w:spacing w:line="440" w:lineRule="exact"/>
              <w:ind w:firstLine="480"/>
              <w:jc w:val="cente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 w:hRule="atLeast"/>
          <w:jc w:val="center"/>
        </w:trPr>
        <w:tc>
          <w:tcPr>
            <w:tcW w:w="949" w:type="dxa"/>
            <w:vMerge w:val="continue"/>
            <w:vAlign w:val="center"/>
          </w:tcPr>
          <w:p>
            <w:pPr>
              <w:ind w:firstLine="0" w:firstLineChars="0"/>
              <w:jc w:val="center"/>
              <w:rPr>
                <w:bCs/>
              </w:rPr>
            </w:pPr>
          </w:p>
        </w:tc>
        <w:tc>
          <w:tcPr>
            <w:tcW w:w="2039" w:type="dxa"/>
          </w:tcPr>
          <w:p>
            <w:pPr>
              <w:ind w:firstLine="0" w:firstLineChars="0"/>
              <w:jc w:val="center"/>
              <w:rPr>
                <w:bCs/>
              </w:rPr>
            </w:pPr>
            <w:r>
              <w:rPr>
                <w:rFonts w:hint="eastAsia"/>
                <w:bCs/>
              </w:rPr>
              <w:t>门机电机</w:t>
            </w:r>
          </w:p>
        </w:tc>
        <w:tc>
          <w:tcPr>
            <w:tcW w:w="842" w:type="dxa"/>
          </w:tcPr>
          <w:p>
            <w:pPr>
              <w:spacing w:line="440" w:lineRule="exact"/>
              <w:ind w:firstLine="480"/>
              <w:jc w:val="center"/>
              <w:rPr>
                <w:rFonts w:ascii="Calibri" w:hAnsi="Calibri"/>
              </w:rPr>
            </w:pPr>
          </w:p>
        </w:tc>
        <w:tc>
          <w:tcPr>
            <w:tcW w:w="1186" w:type="dxa"/>
          </w:tcPr>
          <w:p>
            <w:pPr>
              <w:spacing w:line="440" w:lineRule="exact"/>
              <w:ind w:firstLine="480"/>
              <w:jc w:val="center"/>
              <w:rPr>
                <w:rFonts w:ascii="Calibri" w:hAnsi="Calibri"/>
              </w:rPr>
            </w:pPr>
          </w:p>
        </w:tc>
        <w:tc>
          <w:tcPr>
            <w:tcW w:w="1752" w:type="dxa"/>
          </w:tcPr>
          <w:p>
            <w:pPr>
              <w:spacing w:line="440" w:lineRule="exact"/>
              <w:ind w:firstLine="480"/>
              <w:jc w:val="center"/>
              <w:rPr>
                <w:rFonts w:ascii="Calibri" w:hAnsi="Calibri"/>
              </w:rPr>
            </w:pPr>
          </w:p>
        </w:tc>
        <w:tc>
          <w:tcPr>
            <w:tcW w:w="1980" w:type="dxa"/>
          </w:tcPr>
          <w:p>
            <w:pPr>
              <w:spacing w:line="440" w:lineRule="exact"/>
              <w:ind w:firstLine="480"/>
              <w:jc w:val="cente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 w:hRule="atLeast"/>
          <w:jc w:val="center"/>
        </w:trPr>
        <w:tc>
          <w:tcPr>
            <w:tcW w:w="949" w:type="dxa"/>
            <w:vMerge w:val="continue"/>
            <w:vAlign w:val="center"/>
          </w:tcPr>
          <w:p>
            <w:pPr>
              <w:ind w:firstLine="0" w:firstLineChars="0"/>
              <w:jc w:val="center"/>
              <w:rPr>
                <w:bCs/>
              </w:rPr>
            </w:pPr>
          </w:p>
        </w:tc>
        <w:tc>
          <w:tcPr>
            <w:tcW w:w="2039" w:type="dxa"/>
          </w:tcPr>
          <w:p>
            <w:pPr>
              <w:ind w:firstLine="0" w:firstLineChars="0"/>
              <w:jc w:val="center"/>
              <w:rPr>
                <w:bCs/>
              </w:rPr>
            </w:pPr>
            <w:r>
              <w:rPr>
                <w:rFonts w:hint="eastAsia"/>
                <w:bCs/>
              </w:rPr>
              <w:t>开关门机构</w:t>
            </w:r>
          </w:p>
        </w:tc>
        <w:tc>
          <w:tcPr>
            <w:tcW w:w="842" w:type="dxa"/>
          </w:tcPr>
          <w:p>
            <w:pPr>
              <w:spacing w:line="440" w:lineRule="exact"/>
              <w:ind w:firstLine="480"/>
              <w:jc w:val="center"/>
              <w:rPr>
                <w:rFonts w:ascii="Calibri" w:hAnsi="Calibri"/>
              </w:rPr>
            </w:pPr>
          </w:p>
        </w:tc>
        <w:tc>
          <w:tcPr>
            <w:tcW w:w="1186" w:type="dxa"/>
          </w:tcPr>
          <w:p>
            <w:pPr>
              <w:spacing w:line="440" w:lineRule="exact"/>
              <w:ind w:firstLine="480"/>
              <w:jc w:val="center"/>
              <w:rPr>
                <w:rFonts w:ascii="Calibri" w:hAnsi="Calibri"/>
              </w:rPr>
            </w:pPr>
          </w:p>
        </w:tc>
        <w:tc>
          <w:tcPr>
            <w:tcW w:w="1752" w:type="dxa"/>
          </w:tcPr>
          <w:p>
            <w:pPr>
              <w:spacing w:line="440" w:lineRule="exact"/>
              <w:ind w:firstLine="480"/>
              <w:jc w:val="center"/>
              <w:rPr>
                <w:rFonts w:ascii="Calibri" w:hAnsi="Calibri"/>
              </w:rPr>
            </w:pPr>
          </w:p>
        </w:tc>
        <w:tc>
          <w:tcPr>
            <w:tcW w:w="1980" w:type="dxa"/>
          </w:tcPr>
          <w:p>
            <w:pPr>
              <w:spacing w:line="440" w:lineRule="exact"/>
              <w:ind w:firstLine="480"/>
              <w:jc w:val="cente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 w:hRule="atLeast"/>
          <w:jc w:val="center"/>
        </w:trPr>
        <w:tc>
          <w:tcPr>
            <w:tcW w:w="949" w:type="dxa"/>
            <w:vMerge w:val="continue"/>
            <w:vAlign w:val="center"/>
          </w:tcPr>
          <w:p>
            <w:pPr>
              <w:ind w:firstLine="0" w:firstLineChars="0"/>
              <w:jc w:val="center"/>
              <w:rPr>
                <w:bCs/>
              </w:rPr>
            </w:pPr>
          </w:p>
        </w:tc>
        <w:tc>
          <w:tcPr>
            <w:tcW w:w="2039" w:type="dxa"/>
          </w:tcPr>
          <w:p>
            <w:pPr>
              <w:ind w:firstLine="0" w:firstLineChars="0"/>
              <w:jc w:val="center"/>
              <w:rPr>
                <w:bCs/>
              </w:rPr>
            </w:pPr>
            <w:r>
              <w:rPr>
                <w:rFonts w:hint="eastAsia"/>
                <w:bCs/>
              </w:rPr>
              <w:t>继电器</w:t>
            </w:r>
          </w:p>
        </w:tc>
        <w:tc>
          <w:tcPr>
            <w:tcW w:w="842" w:type="dxa"/>
          </w:tcPr>
          <w:p>
            <w:pPr>
              <w:spacing w:line="440" w:lineRule="exact"/>
              <w:ind w:firstLine="480"/>
              <w:jc w:val="center"/>
              <w:rPr>
                <w:rFonts w:ascii="Calibri" w:hAnsi="Calibri"/>
              </w:rPr>
            </w:pPr>
          </w:p>
        </w:tc>
        <w:tc>
          <w:tcPr>
            <w:tcW w:w="1186" w:type="dxa"/>
          </w:tcPr>
          <w:p>
            <w:pPr>
              <w:spacing w:line="440" w:lineRule="exact"/>
              <w:ind w:firstLine="480"/>
              <w:jc w:val="center"/>
              <w:rPr>
                <w:rFonts w:ascii="Calibri" w:hAnsi="Calibri"/>
              </w:rPr>
            </w:pPr>
          </w:p>
        </w:tc>
        <w:tc>
          <w:tcPr>
            <w:tcW w:w="1752" w:type="dxa"/>
          </w:tcPr>
          <w:p>
            <w:pPr>
              <w:spacing w:line="440" w:lineRule="exact"/>
              <w:ind w:firstLine="480"/>
              <w:jc w:val="center"/>
              <w:rPr>
                <w:rFonts w:ascii="Calibri" w:hAnsi="Calibri"/>
              </w:rPr>
            </w:pPr>
          </w:p>
        </w:tc>
        <w:tc>
          <w:tcPr>
            <w:tcW w:w="1980" w:type="dxa"/>
          </w:tcPr>
          <w:p>
            <w:pPr>
              <w:spacing w:line="440" w:lineRule="exact"/>
              <w:ind w:firstLine="480"/>
              <w:jc w:val="cente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jc w:val="center"/>
        </w:trPr>
        <w:tc>
          <w:tcPr>
            <w:tcW w:w="2988" w:type="dxa"/>
            <w:gridSpan w:val="2"/>
          </w:tcPr>
          <w:p>
            <w:pPr>
              <w:ind w:firstLine="0" w:firstLineChars="0"/>
              <w:jc w:val="center"/>
              <w:rPr>
                <w:bCs/>
              </w:rPr>
            </w:pPr>
            <w:r>
              <w:rPr>
                <w:rFonts w:hint="eastAsia"/>
                <w:bCs/>
              </w:rPr>
              <w:t>轿厢</w:t>
            </w:r>
          </w:p>
        </w:tc>
        <w:tc>
          <w:tcPr>
            <w:tcW w:w="842" w:type="dxa"/>
          </w:tcPr>
          <w:p>
            <w:pPr>
              <w:spacing w:line="440" w:lineRule="exact"/>
              <w:ind w:firstLine="480"/>
              <w:jc w:val="center"/>
              <w:rPr>
                <w:rFonts w:ascii="Calibri" w:hAnsi="Calibri"/>
              </w:rPr>
            </w:pPr>
          </w:p>
        </w:tc>
        <w:tc>
          <w:tcPr>
            <w:tcW w:w="1186" w:type="dxa"/>
          </w:tcPr>
          <w:p>
            <w:pPr>
              <w:spacing w:line="440" w:lineRule="exact"/>
              <w:ind w:firstLine="480"/>
              <w:jc w:val="center"/>
              <w:rPr>
                <w:rFonts w:ascii="Calibri" w:hAnsi="Calibri"/>
              </w:rPr>
            </w:pPr>
          </w:p>
        </w:tc>
        <w:tc>
          <w:tcPr>
            <w:tcW w:w="1752" w:type="dxa"/>
          </w:tcPr>
          <w:p>
            <w:pPr>
              <w:spacing w:line="440" w:lineRule="exact"/>
              <w:ind w:firstLine="480"/>
              <w:jc w:val="center"/>
              <w:rPr>
                <w:rFonts w:ascii="Calibri" w:hAnsi="Calibri"/>
              </w:rPr>
            </w:pPr>
          </w:p>
        </w:tc>
        <w:tc>
          <w:tcPr>
            <w:tcW w:w="1980" w:type="dxa"/>
          </w:tcPr>
          <w:p>
            <w:pPr>
              <w:spacing w:line="440" w:lineRule="exact"/>
              <w:ind w:firstLine="480"/>
              <w:jc w:val="cente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jc w:val="center"/>
        </w:trPr>
        <w:tc>
          <w:tcPr>
            <w:tcW w:w="2988" w:type="dxa"/>
            <w:gridSpan w:val="2"/>
          </w:tcPr>
          <w:p>
            <w:pPr>
              <w:ind w:firstLine="0" w:firstLineChars="0"/>
              <w:jc w:val="center"/>
              <w:rPr>
                <w:bCs/>
              </w:rPr>
            </w:pPr>
            <w:r>
              <w:rPr>
                <w:rFonts w:hint="eastAsia"/>
                <w:bCs/>
              </w:rPr>
              <w:t>厅门</w:t>
            </w:r>
          </w:p>
        </w:tc>
        <w:tc>
          <w:tcPr>
            <w:tcW w:w="842" w:type="dxa"/>
          </w:tcPr>
          <w:p>
            <w:pPr>
              <w:spacing w:line="440" w:lineRule="exact"/>
              <w:ind w:firstLine="482"/>
              <w:jc w:val="center"/>
              <w:rPr>
                <w:rFonts w:ascii="Calibri" w:hAnsi="Calibri"/>
                <w:b/>
                <w:bCs/>
              </w:rPr>
            </w:pPr>
          </w:p>
        </w:tc>
        <w:tc>
          <w:tcPr>
            <w:tcW w:w="1186" w:type="dxa"/>
          </w:tcPr>
          <w:p>
            <w:pPr>
              <w:spacing w:line="440" w:lineRule="exact"/>
              <w:ind w:firstLine="482"/>
              <w:jc w:val="center"/>
              <w:rPr>
                <w:rFonts w:ascii="Calibri" w:hAnsi="Calibri"/>
                <w:b/>
                <w:bCs/>
              </w:rPr>
            </w:pPr>
          </w:p>
        </w:tc>
        <w:tc>
          <w:tcPr>
            <w:tcW w:w="1752" w:type="dxa"/>
          </w:tcPr>
          <w:p>
            <w:pPr>
              <w:spacing w:line="440" w:lineRule="exact"/>
              <w:ind w:firstLine="482"/>
              <w:jc w:val="center"/>
              <w:rPr>
                <w:rFonts w:ascii="Calibri" w:hAnsi="Calibri"/>
                <w:b/>
                <w:bCs/>
              </w:rPr>
            </w:pPr>
          </w:p>
        </w:tc>
        <w:tc>
          <w:tcPr>
            <w:tcW w:w="1980" w:type="dxa"/>
          </w:tcPr>
          <w:p>
            <w:pPr>
              <w:spacing w:line="440" w:lineRule="exact"/>
              <w:ind w:firstLine="482"/>
              <w:jc w:val="center"/>
              <w:rPr>
                <w:rFonts w:ascii="Calibri" w:hAnsi="Calibri"/>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jc w:val="center"/>
        </w:trPr>
        <w:tc>
          <w:tcPr>
            <w:tcW w:w="2988" w:type="dxa"/>
            <w:gridSpan w:val="2"/>
          </w:tcPr>
          <w:p>
            <w:pPr>
              <w:ind w:firstLine="0" w:firstLineChars="0"/>
              <w:jc w:val="center"/>
              <w:rPr>
                <w:bCs/>
              </w:rPr>
            </w:pPr>
            <w:r>
              <w:rPr>
                <w:rFonts w:hint="eastAsia"/>
                <w:bCs/>
              </w:rPr>
              <w:t>门套</w:t>
            </w:r>
          </w:p>
        </w:tc>
        <w:tc>
          <w:tcPr>
            <w:tcW w:w="842" w:type="dxa"/>
          </w:tcPr>
          <w:p>
            <w:pPr>
              <w:spacing w:line="440" w:lineRule="exact"/>
              <w:ind w:firstLine="482"/>
              <w:jc w:val="center"/>
              <w:rPr>
                <w:rFonts w:ascii="Calibri" w:hAnsi="Calibri"/>
                <w:b/>
                <w:bCs/>
              </w:rPr>
            </w:pPr>
          </w:p>
        </w:tc>
        <w:tc>
          <w:tcPr>
            <w:tcW w:w="1186" w:type="dxa"/>
          </w:tcPr>
          <w:p>
            <w:pPr>
              <w:spacing w:line="440" w:lineRule="exact"/>
              <w:ind w:firstLine="482"/>
              <w:jc w:val="center"/>
              <w:rPr>
                <w:rFonts w:ascii="Calibri" w:hAnsi="Calibri"/>
                <w:b/>
                <w:bCs/>
              </w:rPr>
            </w:pPr>
          </w:p>
        </w:tc>
        <w:tc>
          <w:tcPr>
            <w:tcW w:w="1752" w:type="dxa"/>
          </w:tcPr>
          <w:p>
            <w:pPr>
              <w:spacing w:line="440" w:lineRule="exact"/>
              <w:ind w:firstLine="482"/>
              <w:jc w:val="center"/>
              <w:rPr>
                <w:rFonts w:ascii="Calibri" w:hAnsi="Calibri"/>
                <w:b/>
                <w:bCs/>
              </w:rPr>
            </w:pPr>
          </w:p>
        </w:tc>
        <w:tc>
          <w:tcPr>
            <w:tcW w:w="1980" w:type="dxa"/>
          </w:tcPr>
          <w:p>
            <w:pPr>
              <w:spacing w:line="440" w:lineRule="exact"/>
              <w:ind w:firstLine="482"/>
              <w:jc w:val="center"/>
              <w:rPr>
                <w:rFonts w:ascii="Calibri" w:hAnsi="Calibri"/>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jc w:val="center"/>
        </w:trPr>
        <w:tc>
          <w:tcPr>
            <w:tcW w:w="2988" w:type="dxa"/>
            <w:gridSpan w:val="2"/>
          </w:tcPr>
          <w:p>
            <w:pPr>
              <w:ind w:firstLine="0" w:firstLineChars="0"/>
              <w:jc w:val="center"/>
              <w:rPr>
                <w:bCs/>
              </w:rPr>
            </w:pPr>
            <w:r>
              <w:rPr>
                <w:rFonts w:hint="eastAsia"/>
                <w:bCs/>
              </w:rPr>
              <w:t>不锈钢板</w:t>
            </w:r>
          </w:p>
        </w:tc>
        <w:tc>
          <w:tcPr>
            <w:tcW w:w="842" w:type="dxa"/>
          </w:tcPr>
          <w:p>
            <w:pPr>
              <w:spacing w:line="440" w:lineRule="exact"/>
              <w:ind w:firstLine="482"/>
              <w:jc w:val="center"/>
              <w:rPr>
                <w:rFonts w:ascii="Calibri" w:hAnsi="Calibri"/>
                <w:b/>
                <w:bCs/>
              </w:rPr>
            </w:pPr>
          </w:p>
        </w:tc>
        <w:tc>
          <w:tcPr>
            <w:tcW w:w="1186" w:type="dxa"/>
          </w:tcPr>
          <w:p>
            <w:pPr>
              <w:spacing w:line="440" w:lineRule="exact"/>
              <w:ind w:firstLine="482"/>
              <w:jc w:val="center"/>
              <w:rPr>
                <w:rFonts w:ascii="Calibri" w:hAnsi="Calibri"/>
                <w:b/>
                <w:bCs/>
              </w:rPr>
            </w:pPr>
          </w:p>
        </w:tc>
        <w:tc>
          <w:tcPr>
            <w:tcW w:w="1752" w:type="dxa"/>
          </w:tcPr>
          <w:p>
            <w:pPr>
              <w:spacing w:line="440" w:lineRule="exact"/>
              <w:ind w:firstLine="482"/>
              <w:jc w:val="center"/>
              <w:rPr>
                <w:rFonts w:ascii="Calibri" w:hAnsi="Calibri"/>
                <w:b/>
                <w:bCs/>
              </w:rPr>
            </w:pPr>
          </w:p>
        </w:tc>
        <w:tc>
          <w:tcPr>
            <w:tcW w:w="1980" w:type="dxa"/>
          </w:tcPr>
          <w:p>
            <w:pPr>
              <w:spacing w:line="440" w:lineRule="exact"/>
              <w:ind w:firstLine="482"/>
              <w:jc w:val="center"/>
              <w:rPr>
                <w:rFonts w:ascii="Calibri" w:hAnsi="Calibri"/>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jc w:val="center"/>
        </w:trPr>
        <w:tc>
          <w:tcPr>
            <w:tcW w:w="2988" w:type="dxa"/>
            <w:gridSpan w:val="2"/>
          </w:tcPr>
          <w:p>
            <w:pPr>
              <w:ind w:firstLine="0" w:firstLineChars="0"/>
              <w:jc w:val="center"/>
              <w:rPr>
                <w:bCs/>
              </w:rPr>
            </w:pPr>
            <w:r>
              <w:rPr>
                <w:rFonts w:hint="eastAsia"/>
                <w:bCs/>
              </w:rPr>
              <w:t>门触点</w:t>
            </w:r>
          </w:p>
        </w:tc>
        <w:tc>
          <w:tcPr>
            <w:tcW w:w="842" w:type="dxa"/>
          </w:tcPr>
          <w:p>
            <w:pPr>
              <w:spacing w:line="440" w:lineRule="exact"/>
              <w:ind w:firstLine="482"/>
              <w:jc w:val="center"/>
              <w:rPr>
                <w:rFonts w:ascii="Calibri" w:hAnsi="Calibri"/>
                <w:b/>
                <w:bCs/>
              </w:rPr>
            </w:pPr>
          </w:p>
        </w:tc>
        <w:tc>
          <w:tcPr>
            <w:tcW w:w="1186" w:type="dxa"/>
          </w:tcPr>
          <w:p>
            <w:pPr>
              <w:spacing w:line="440" w:lineRule="exact"/>
              <w:ind w:firstLine="482"/>
              <w:jc w:val="center"/>
              <w:rPr>
                <w:rFonts w:ascii="Calibri" w:hAnsi="Calibri"/>
                <w:b/>
                <w:bCs/>
              </w:rPr>
            </w:pPr>
          </w:p>
        </w:tc>
        <w:tc>
          <w:tcPr>
            <w:tcW w:w="1752" w:type="dxa"/>
          </w:tcPr>
          <w:p>
            <w:pPr>
              <w:spacing w:line="440" w:lineRule="exact"/>
              <w:ind w:firstLine="482"/>
              <w:jc w:val="center"/>
              <w:rPr>
                <w:rFonts w:ascii="Calibri" w:hAnsi="Calibri"/>
                <w:b/>
                <w:bCs/>
              </w:rPr>
            </w:pPr>
          </w:p>
        </w:tc>
        <w:tc>
          <w:tcPr>
            <w:tcW w:w="1980" w:type="dxa"/>
          </w:tcPr>
          <w:p>
            <w:pPr>
              <w:spacing w:line="440" w:lineRule="exact"/>
              <w:ind w:firstLine="482"/>
              <w:jc w:val="center"/>
              <w:rPr>
                <w:rFonts w:ascii="Calibri" w:hAnsi="Calibri"/>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jc w:val="center"/>
        </w:trPr>
        <w:tc>
          <w:tcPr>
            <w:tcW w:w="2988" w:type="dxa"/>
            <w:gridSpan w:val="2"/>
          </w:tcPr>
          <w:p>
            <w:pPr>
              <w:ind w:firstLine="0" w:firstLineChars="0"/>
              <w:jc w:val="center"/>
              <w:rPr>
                <w:bCs/>
              </w:rPr>
            </w:pPr>
            <w:r>
              <w:rPr>
                <w:rFonts w:hint="eastAsia"/>
                <w:bCs/>
              </w:rPr>
              <w:t>门锁</w:t>
            </w:r>
          </w:p>
        </w:tc>
        <w:tc>
          <w:tcPr>
            <w:tcW w:w="842" w:type="dxa"/>
          </w:tcPr>
          <w:p>
            <w:pPr>
              <w:spacing w:line="440" w:lineRule="exact"/>
              <w:ind w:firstLine="482"/>
              <w:jc w:val="center"/>
              <w:rPr>
                <w:rFonts w:ascii="Calibri" w:hAnsi="Calibri"/>
                <w:b/>
                <w:bCs/>
              </w:rPr>
            </w:pPr>
          </w:p>
        </w:tc>
        <w:tc>
          <w:tcPr>
            <w:tcW w:w="1186" w:type="dxa"/>
          </w:tcPr>
          <w:p>
            <w:pPr>
              <w:spacing w:line="440" w:lineRule="exact"/>
              <w:ind w:firstLine="482"/>
              <w:jc w:val="center"/>
              <w:rPr>
                <w:rFonts w:ascii="Calibri" w:hAnsi="Calibri"/>
                <w:b/>
                <w:bCs/>
              </w:rPr>
            </w:pPr>
          </w:p>
        </w:tc>
        <w:tc>
          <w:tcPr>
            <w:tcW w:w="1752" w:type="dxa"/>
          </w:tcPr>
          <w:p>
            <w:pPr>
              <w:spacing w:line="440" w:lineRule="exact"/>
              <w:ind w:firstLine="482"/>
              <w:jc w:val="center"/>
              <w:rPr>
                <w:rFonts w:ascii="Calibri" w:hAnsi="Calibri"/>
                <w:b/>
                <w:bCs/>
              </w:rPr>
            </w:pPr>
          </w:p>
        </w:tc>
        <w:tc>
          <w:tcPr>
            <w:tcW w:w="1980" w:type="dxa"/>
          </w:tcPr>
          <w:p>
            <w:pPr>
              <w:spacing w:line="440" w:lineRule="exact"/>
              <w:ind w:firstLine="482"/>
              <w:jc w:val="center"/>
              <w:rPr>
                <w:rFonts w:ascii="Calibri" w:hAnsi="Calibri"/>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jc w:val="center"/>
        </w:trPr>
        <w:tc>
          <w:tcPr>
            <w:tcW w:w="2988" w:type="dxa"/>
            <w:gridSpan w:val="2"/>
          </w:tcPr>
          <w:p>
            <w:pPr>
              <w:ind w:firstLine="0" w:firstLineChars="0"/>
              <w:jc w:val="center"/>
              <w:rPr>
                <w:bCs/>
              </w:rPr>
            </w:pPr>
            <w:r>
              <w:rPr>
                <w:rFonts w:hint="eastAsia"/>
                <w:bCs/>
              </w:rPr>
              <w:t>轿内控制板、按钮、显示器</w:t>
            </w:r>
          </w:p>
        </w:tc>
        <w:tc>
          <w:tcPr>
            <w:tcW w:w="842" w:type="dxa"/>
          </w:tcPr>
          <w:p>
            <w:pPr>
              <w:spacing w:line="440" w:lineRule="exact"/>
              <w:ind w:firstLine="482"/>
              <w:jc w:val="center"/>
              <w:rPr>
                <w:rFonts w:ascii="Calibri" w:hAnsi="Calibri"/>
                <w:b/>
                <w:bCs/>
              </w:rPr>
            </w:pPr>
          </w:p>
        </w:tc>
        <w:tc>
          <w:tcPr>
            <w:tcW w:w="1186" w:type="dxa"/>
          </w:tcPr>
          <w:p>
            <w:pPr>
              <w:spacing w:line="440" w:lineRule="exact"/>
              <w:ind w:firstLine="482"/>
              <w:jc w:val="center"/>
              <w:rPr>
                <w:rFonts w:ascii="Calibri" w:hAnsi="Calibri"/>
                <w:b/>
                <w:bCs/>
              </w:rPr>
            </w:pPr>
          </w:p>
        </w:tc>
        <w:tc>
          <w:tcPr>
            <w:tcW w:w="1752" w:type="dxa"/>
          </w:tcPr>
          <w:p>
            <w:pPr>
              <w:spacing w:line="440" w:lineRule="exact"/>
              <w:ind w:firstLine="482"/>
              <w:jc w:val="center"/>
              <w:rPr>
                <w:rFonts w:ascii="Calibri" w:hAnsi="Calibri"/>
                <w:b/>
                <w:bCs/>
              </w:rPr>
            </w:pPr>
          </w:p>
        </w:tc>
        <w:tc>
          <w:tcPr>
            <w:tcW w:w="1980" w:type="dxa"/>
          </w:tcPr>
          <w:p>
            <w:pPr>
              <w:spacing w:line="440" w:lineRule="exact"/>
              <w:ind w:firstLine="482"/>
              <w:jc w:val="center"/>
              <w:rPr>
                <w:rFonts w:ascii="Calibri" w:hAnsi="Calibri"/>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2988" w:type="dxa"/>
            <w:gridSpan w:val="2"/>
          </w:tcPr>
          <w:p>
            <w:pPr>
              <w:ind w:firstLine="0" w:firstLineChars="0"/>
              <w:jc w:val="center"/>
              <w:rPr>
                <w:bCs/>
              </w:rPr>
            </w:pPr>
            <w:r>
              <w:rPr>
                <w:rFonts w:hint="eastAsia"/>
                <w:bCs/>
              </w:rPr>
              <w:t>厅外召唤板、按钮、显示器</w:t>
            </w:r>
          </w:p>
        </w:tc>
        <w:tc>
          <w:tcPr>
            <w:tcW w:w="842" w:type="dxa"/>
          </w:tcPr>
          <w:p>
            <w:pPr>
              <w:spacing w:line="440" w:lineRule="exact"/>
              <w:ind w:firstLine="482"/>
              <w:jc w:val="center"/>
              <w:rPr>
                <w:rFonts w:ascii="Calibri" w:hAnsi="Calibri"/>
                <w:b/>
                <w:bCs/>
              </w:rPr>
            </w:pPr>
          </w:p>
        </w:tc>
        <w:tc>
          <w:tcPr>
            <w:tcW w:w="1186" w:type="dxa"/>
          </w:tcPr>
          <w:p>
            <w:pPr>
              <w:spacing w:line="440" w:lineRule="exact"/>
              <w:ind w:firstLine="482"/>
              <w:jc w:val="center"/>
              <w:rPr>
                <w:rFonts w:ascii="Calibri" w:hAnsi="Calibri"/>
                <w:b/>
                <w:bCs/>
              </w:rPr>
            </w:pPr>
          </w:p>
        </w:tc>
        <w:tc>
          <w:tcPr>
            <w:tcW w:w="1752" w:type="dxa"/>
          </w:tcPr>
          <w:p>
            <w:pPr>
              <w:spacing w:line="440" w:lineRule="exact"/>
              <w:ind w:firstLine="482"/>
              <w:jc w:val="center"/>
              <w:rPr>
                <w:rFonts w:ascii="Calibri" w:hAnsi="Calibri"/>
                <w:b/>
                <w:bCs/>
              </w:rPr>
            </w:pPr>
          </w:p>
        </w:tc>
        <w:tc>
          <w:tcPr>
            <w:tcW w:w="1980" w:type="dxa"/>
          </w:tcPr>
          <w:p>
            <w:pPr>
              <w:spacing w:line="440" w:lineRule="exact"/>
              <w:ind w:firstLine="482"/>
              <w:jc w:val="center"/>
              <w:rPr>
                <w:rFonts w:ascii="Calibri" w:hAnsi="Calibri"/>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2988" w:type="dxa"/>
            <w:gridSpan w:val="2"/>
          </w:tcPr>
          <w:p>
            <w:pPr>
              <w:ind w:firstLine="0" w:firstLineChars="0"/>
              <w:jc w:val="center"/>
              <w:rPr>
                <w:bCs/>
              </w:rPr>
            </w:pPr>
            <w:r>
              <w:rPr>
                <w:rFonts w:hint="eastAsia"/>
                <w:bCs/>
              </w:rPr>
              <w:t>称重装置</w:t>
            </w:r>
          </w:p>
        </w:tc>
        <w:tc>
          <w:tcPr>
            <w:tcW w:w="842" w:type="dxa"/>
          </w:tcPr>
          <w:p>
            <w:pPr>
              <w:spacing w:line="440" w:lineRule="exact"/>
              <w:ind w:firstLine="482"/>
              <w:jc w:val="center"/>
              <w:rPr>
                <w:rFonts w:ascii="Calibri" w:hAnsi="Calibri"/>
                <w:b/>
                <w:bCs/>
              </w:rPr>
            </w:pPr>
          </w:p>
        </w:tc>
        <w:tc>
          <w:tcPr>
            <w:tcW w:w="1186" w:type="dxa"/>
          </w:tcPr>
          <w:p>
            <w:pPr>
              <w:spacing w:line="440" w:lineRule="exact"/>
              <w:ind w:firstLine="482"/>
              <w:jc w:val="center"/>
              <w:rPr>
                <w:rFonts w:ascii="Calibri" w:hAnsi="Calibri"/>
                <w:b/>
                <w:bCs/>
              </w:rPr>
            </w:pPr>
          </w:p>
        </w:tc>
        <w:tc>
          <w:tcPr>
            <w:tcW w:w="1752" w:type="dxa"/>
          </w:tcPr>
          <w:p>
            <w:pPr>
              <w:spacing w:line="440" w:lineRule="exact"/>
              <w:ind w:firstLine="482"/>
              <w:jc w:val="center"/>
              <w:rPr>
                <w:rFonts w:ascii="Calibri" w:hAnsi="Calibri"/>
                <w:b/>
                <w:bCs/>
              </w:rPr>
            </w:pPr>
          </w:p>
        </w:tc>
        <w:tc>
          <w:tcPr>
            <w:tcW w:w="1980" w:type="dxa"/>
          </w:tcPr>
          <w:p>
            <w:pPr>
              <w:spacing w:line="440" w:lineRule="exact"/>
              <w:ind w:firstLine="482"/>
              <w:jc w:val="center"/>
              <w:rPr>
                <w:rFonts w:ascii="Calibri" w:hAnsi="Calibri"/>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2988" w:type="dxa"/>
            <w:gridSpan w:val="2"/>
          </w:tcPr>
          <w:p>
            <w:pPr>
              <w:ind w:firstLine="0" w:firstLineChars="0"/>
              <w:jc w:val="center"/>
              <w:rPr>
                <w:bCs/>
              </w:rPr>
            </w:pPr>
            <w:r>
              <w:rPr>
                <w:rFonts w:hint="eastAsia"/>
                <w:bCs/>
              </w:rPr>
              <w:t>门保护装置</w:t>
            </w:r>
          </w:p>
        </w:tc>
        <w:tc>
          <w:tcPr>
            <w:tcW w:w="842" w:type="dxa"/>
          </w:tcPr>
          <w:p>
            <w:pPr>
              <w:spacing w:line="440" w:lineRule="exact"/>
              <w:ind w:firstLine="482"/>
              <w:jc w:val="center"/>
              <w:rPr>
                <w:rFonts w:ascii="Calibri" w:hAnsi="Calibri"/>
                <w:b/>
                <w:bCs/>
              </w:rPr>
            </w:pPr>
          </w:p>
        </w:tc>
        <w:tc>
          <w:tcPr>
            <w:tcW w:w="1186" w:type="dxa"/>
          </w:tcPr>
          <w:p>
            <w:pPr>
              <w:spacing w:line="440" w:lineRule="exact"/>
              <w:ind w:firstLine="482"/>
              <w:jc w:val="center"/>
              <w:rPr>
                <w:rFonts w:ascii="Calibri" w:hAnsi="Calibri"/>
                <w:b/>
                <w:bCs/>
              </w:rPr>
            </w:pPr>
          </w:p>
        </w:tc>
        <w:tc>
          <w:tcPr>
            <w:tcW w:w="1752" w:type="dxa"/>
          </w:tcPr>
          <w:p>
            <w:pPr>
              <w:spacing w:line="440" w:lineRule="exact"/>
              <w:ind w:firstLine="482"/>
              <w:jc w:val="center"/>
              <w:rPr>
                <w:rFonts w:ascii="Calibri" w:hAnsi="Calibri"/>
                <w:b/>
                <w:bCs/>
              </w:rPr>
            </w:pPr>
          </w:p>
        </w:tc>
        <w:tc>
          <w:tcPr>
            <w:tcW w:w="1980" w:type="dxa"/>
          </w:tcPr>
          <w:p>
            <w:pPr>
              <w:spacing w:line="440" w:lineRule="exact"/>
              <w:ind w:firstLine="482"/>
              <w:jc w:val="center"/>
              <w:rPr>
                <w:rFonts w:ascii="Calibri" w:hAnsi="Calibri"/>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2988" w:type="dxa"/>
            <w:gridSpan w:val="2"/>
          </w:tcPr>
          <w:p>
            <w:pPr>
              <w:ind w:firstLine="0" w:firstLineChars="0"/>
              <w:jc w:val="center"/>
              <w:rPr>
                <w:bCs/>
              </w:rPr>
            </w:pPr>
            <w:r>
              <w:rPr>
                <w:rFonts w:hint="eastAsia"/>
                <w:bCs/>
              </w:rPr>
              <w:t>钢丝绳</w:t>
            </w:r>
          </w:p>
        </w:tc>
        <w:tc>
          <w:tcPr>
            <w:tcW w:w="842" w:type="dxa"/>
          </w:tcPr>
          <w:p>
            <w:pPr>
              <w:spacing w:line="440" w:lineRule="exact"/>
              <w:ind w:firstLine="482"/>
              <w:jc w:val="center"/>
              <w:rPr>
                <w:rFonts w:ascii="Calibri" w:hAnsi="Calibri"/>
                <w:b/>
                <w:bCs/>
              </w:rPr>
            </w:pPr>
          </w:p>
        </w:tc>
        <w:tc>
          <w:tcPr>
            <w:tcW w:w="1186" w:type="dxa"/>
          </w:tcPr>
          <w:p>
            <w:pPr>
              <w:spacing w:line="440" w:lineRule="exact"/>
              <w:ind w:firstLine="482"/>
              <w:jc w:val="center"/>
              <w:rPr>
                <w:rFonts w:ascii="Calibri" w:hAnsi="Calibri"/>
                <w:b/>
                <w:bCs/>
              </w:rPr>
            </w:pPr>
          </w:p>
        </w:tc>
        <w:tc>
          <w:tcPr>
            <w:tcW w:w="1752" w:type="dxa"/>
          </w:tcPr>
          <w:p>
            <w:pPr>
              <w:spacing w:line="440" w:lineRule="exact"/>
              <w:ind w:firstLine="482"/>
              <w:jc w:val="center"/>
              <w:rPr>
                <w:rFonts w:ascii="Calibri" w:hAnsi="Calibri"/>
                <w:b/>
                <w:bCs/>
              </w:rPr>
            </w:pPr>
          </w:p>
        </w:tc>
        <w:tc>
          <w:tcPr>
            <w:tcW w:w="1980" w:type="dxa"/>
          </w:tcPr>
          <w:p>
            <w:pPr>
              <w:spacing w:line="440" w:lineRule="exact"/>
              <w:ind w:firstLine="482"/>
              <w:jc w:val="center"/>
              <w:rPr>
                <w:rFonts w:ascii="Calibri" w:hAnsi="Calibri"/>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2988" w:type="dxa"/>
            <w:gridSpan w:val="2"/>
          </w:tcPr>
          <w:p>
            <w:pPr>
              <w:ind w:firstLine="0" w:firstLineChars="0"/>
              <w:jc w:val="center"/>
              <w:rPr>
                <w:bCs/>
              </w:rPr>
            </w:pPr>
            <w:r>
              <w:rPr>
                <w:rFonts w:hint="eastAsia"/>
                <w:bCs/>
              </w:rPr>
              <w:t>导轨</w:t>
            </w:r>
          </w:p>
        </w:tc>
        <w:tc>
          <w:tcPr>
            <w:tcW w:w="842" w:type="dxa"/>
          </w:tcPr>
          <w:p>
            <w:pPr>
              <w:spacing w:line="440" w:lineRule="exact"/>
              <w:ind w:firstLine="482"/>
              <w:jc w:val="center"/>
              <w:rPr>
                <w:rFonts w:ascii="Calibri" w:hAnsi="Calibri"/>
                <w:b/>
                <w:bCs/>
              </w:rPr>
            </w:pPr>
          </w:p>
        </w:tc>
        <w:tc>
          <w:tcPr>
            <w:tcW w:w="1186" w:type="dxa"/>
          </w:tcPr>
          <w:p>
            <w:pPr>
              <w:spacing w:line="440" w:lineRule="exact"/>
              <w:ind w:firstLine="482"/>
              <w:jc w:val="center"/>
              <w:rPr>
                <w:rFonts w:ascii="Calibri" w:hAnsi="Calibri"/>
                <w:b/>
                <w:bCs/>
              </w:rPr>
            </w:pPr>
          </w:p>
        </w:tc>
        <w:tc>
          <w:tcPr>
            <w:tcW w:w="1752" w:type="dxa"/>
          </w:tcPr>
          <w:p>
            <w:pPr>
              <w:spacing w:line="440" w:lineRule="exact"/>
              <w:ind w:firstLine="482"/>
              <w:jc w:val="center"/>
              <w:rPr>
                <w:rFonts w:ascii="Calibri" w:hAnsi="Calibri"/>
                <w:b/>
                <w:bCs/>
              </w:rPr>
            </w:pPr>
          </w:p>
        </w:tc>
        <w:tc>
          <w:tcPr>
            <w:tcW w:w="1980" w:type="dxa"/>
          </w:tcPr>
          <w:p>
            <w:pPr>
              <w:spacing w:line="440" w:lineRule="exact"/>
              <w:ind w:firstLine="482"/>
              <w:jc w:val="center"/>
              <w:rPr>
                <w:rFonts w:ascii="Calibri" w:hAnsi="Calibri"/>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2988" w:type="dxa"/>
            <w:gridSpan w:val="2"/>
          </w:tcPr>
          <w:p>
            <w:pPr>
              <w:ind w:firstLine="0" w:firstLineChars="0"/>
              <w:jc w:val="center"/>
              <w:rPr>
                <w:bCs/>
              </w:rPr>
            </w:pPr>
            <w:r>
              <w:rPr>
                <w:rFonts w:hint="eastAsia"/>
                <w:bCs/>
              </w:rPr>
              <w:t>随行电缆</w:t>
            </w:r>
          </w:p>
        </w:tc>
        <w:tc>
          <w:tcPr>
            <w:tcW w:w="842" w:type="dxa"/>
          </w:tcPr>
          <w:p>
            <w:pPr>
              <w:spacing w:line="440" w:lineRule="exact"/>
              <w:ind w:firstLine="482"/>
              <w:jc w:val="center"/>
              <w:rPr>
                <w:rFonts w:ascii="Calibri" w:hAnsi="Calibri"/>
                <w:b/>
                <w:bCs/>
              </w:rPr>
            </w:pPr>
          </w:p>
        </w:tc>
        <w:tc>
          <w:tcPr>
            <w:tcW w:w="1186" w:type="dxa"/>
          </w:tcPr>
          <w:p>
            <w:pPr>
              <w:spacing w:line="440" w:lineRule="exact"/>
              <w:ind w:firstLine="482"/>
              <w:jc w:val="center"/>
              <w:rPr>
                <w:rFonts w:ascii="Calibri" w:hAnsi="Calibri"/>
                <w:b/>
                <w:bCs/>
              </w:rPr>
            </w:pPr>
          </w:p>
        </w:tc>
        <w:tc>
          <w:tcPr>
            <w:tcW w:w="1752" w:type="dxa"/>
          </w:tcPr>
          <w:p>
            <w:pPr>
              <w:spacing w:line="440" w:lineRule="exact"/>
              <w:ind w:firstLine="482"/>
              <w:jc w:val="center"/>
              <w:rPr>
                <w:rFonts w:ascii="Calibri" w:hAnsi="Calibri"/>
                <w:b/>
                <w:bCs/>
              </w:rPr>
            </w:pPr>
          </w:p>
        </w:tc>
        <w:tc>
          <w:tcPr>
            <w:tcW w:w="1980" w:type="dxa"/>
          </w:tcPr>
          <w:p>
            <w:pPr>
              <w:spacing w:line="440" w:lineRule="exact"/>
              <w:ind w:firstLine="482"/>
              <w:jc w:val="center"/>
              <w:rPr>
                <w:rFonts w:ascii="Calibri" w:hAnsi="Calibri"/>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2988" w:type="dxa"/>
            <w:gridSpan w:val="2"/>
          </w:tcPr>
          <w:p>
            <w:pPr>
              <w:ind w:firstLine="0" w:firstLineChars="0"/>
              <w:jc w:val="center"/>
              <w:rPr>
                <w:bCs/>
              </w:rPr>
            </w:pPr>
            <w:r>
              <w:rPr>
                <w:rFonts w:hint="eastAsia"/>
                <w:bCs/>
              </w:rPr>
              <w:t>安全钳</w:t>
            </w:r>
          </w:p>
        </w:tc>
        <w:tc>
          <w:tcPr>
            <w:tcW w:w="842" w:type="dxa"/>
          </w:tcPr>
          <w:p>
            <w:pPr>
              <w:spacing w:line="440" w:lineRule="exact"/>
              <w:ind w:firstLine="482"/>
              <w:jc w:val="center"/>
              <w:rPr>
                <w:rFonts w:ascii="Calibri" w:hAnsi="Calibri"/>
                <w:b/>
                <w:bCs/>
              </w:rPr>
            </w:pPr>
          </w:p>
        </w:tc>
        <w:tc>
          <w:tcPr>
            <w:tcW w:w="1186" w:type="dxa"/>
          </w:tcPr>
          <w:p>
            <w:pPr>
              <w:spacing w:line="440" w:lineRule="exact"/>
              <w:ind w:firstLine="482"/>
              <w:jc w:val="center"/>
              <w:rPr>
                <w:rFonts w:ascii="Calibri" w:hAnsi="Calibri"/>
                <w:b/>
                <w:bCs/>
              </w:rPr>
            </w:pPr>
          </w:p>
        </w:tc>
        <w:tc>
          <w:tcPr>
            <w:tcW w:w="1752" w:type="dxa"/>
          </w:tcPr>
          <w:p>
            <w:pPr>
              <w:spacing w:line="440" w:lineRule="exact"/>
              <w:ind w:firstLine="482"/>
              <w:jc w:val="center"/>
              <w:rPr>
                <w:rFonts w:ascii="Calibri" w:hAnsi="Calibri"/>
                <w:b/>
                <w:bCs/>
              </w:rPr>
            </w:pPr>
          </w:p>
        </w:tc>
        <w:tc>
          <w:tcPr>
            <w:tcW w:w="1980" w:type="dxa"/>
          </w:tcPr>
          <w:p>
            <w:pPr>
              <w:spacing w:line="440" w:lineRule="exact"/>
              <w:ind w:firstLine="482"/>
              <w:jc w:val="center"/>
              <w:rPr>
                <w:rFonts w:ascii="Calibri" w:hAnsi="Calibri"/>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2988" w:type="dxa"/>
            <w:gridSpan w:val="2"/>
          </w:tcPr>
          <w:p>
            <w:pPr>
              <w:ind w:firstLine="0" w:firstLineChars="0"/>
              <w:jc w:val="center"/>
              <w:rPr>
                <w:bCs/>
              </w:rPr>
            </w:pPr>
            <w:r>
              <w:rPr>
                <w:rFonts w:hint="eastAsia"/>
                <w:bCs/>
              </w:rPr>
              <w:t>限速器</w:t>
            </w:r>
          </w:p>
        </w:tc>
        <w:tc>
          <w:tcPr>
            <w:tcW w:w="842" w:type="dxa"/>
          </w:tcPr>
          <w:p>
            <w:pPr>
              <w:spacing w:line="440" w:lineRule="exact"/>
              <w:ind w:firstLine="482"/>
              <w:jc w:val="center"/>
              <w:rPr>
                <w:rFonts w:ascii="Calibri" w:hAnsi="Calibri"/>
                <w:b/>
                <w:bCs/>
              </w:rPr>
            </w:pPr>
          </w:p>
        </w:tc>
        <w:tc>
          <w:tcPr>
            <w:tcW w:w="1186" w:type="dxa"/>
          </w:tcPr>
          <w:p>
            <w:pPr>
              <w:spacing w:line="440" w:lineRule="exact"/>
              <w:ind w:firstLine="482"/>
              <w:jc w:val="center"/>
              <w:rPr>
                <w:rFonts w:ascii="Calibri" w:hAnsi="Calibri"/>
                <w:b/>
                <w:bCs/>
              </w:rPr>
            </w:pPr>
          </w:p>
        </w:tc>
        <w:tc>
          <w:tcPr>
            <w:tcW w:w="1752" w:type="dxa"/>
          </w:tcPr>
          <w:p>
            <w:pPr>
              <w:spacing w:line="440" w:lineRule="exact"/>
              <w:ind w:firstLine="482"/>
              <w:jc w:val="center"/>
              <w:rPr>
                <w:rFonts w:ascii="Calibri" w:hAnsi="Calibri"/>
                <w:b/>
                <w:bCs/>
              </w:rPr>
            </w:pPr>
          </w:p>
        </w:tc>
        <w:tc>
          <w:tcPr>
            <w:tcW w:w="1980" w:type="dxa"/>
          </w:tcPr>
          <w:p>
            <w:pPr>
              <w:spacing w:line="440" w:lineRule="exact"/>
              <w:ind w:firstLine="482"/>
              <w:jc w:val="center"/>
              <w:rPr>
                <w:rFonts w:ascii="Calibri" w:hAnsi="Calibri"/>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2988" w:type="dxa"/>
            <w:gridSpan w:val="2"/>
          </w:tcPr>
          <w:p>
            <w:pPr>
              <w:ind w:firstLine="0" w:firstLineChars="0"/>
              <w:jc w:val="center"/>
              <w:rPr>
                <w:bCs/>
              </w:rPr>
            </w:pPr>
            <w:r>
              <w:rPr>
                <w:rFonts w:hint="eastAsia"/>
                <w:bCs/>
              </w:rPr>
              <w:t>缓冲器</w:t>
            </w:r>
          </w:p>
        </w:tc>
        <w:tc>
          <w:tcPr>
            <w:tcW w:w="842" w:type="dxa"/>
          </w:tcPr>
          <w:p>
            <w:pPr>
              <w:spacing w:line="440" w:lineRule="exact"/>
              <w:ind w:firstLine="482"/>
              <w:jc w:val="center"/>
              <w:rPr>
                <w:rFonts w:ascii="Calibri" w:hAnsi="Calibri"/>
                <w:b/>
                <w:bCs/>
              </w:rPr>
            </w:pPr>
          </w:p>
        </w:tc>
        <w:tc>
          <w:tcPr>
            <w:tcW w:w="1186" w:type="dxa"/>
          </w:tcPr>
          <w:p>
            <w:pPr>
              <w:spacing w:line="440" w:lineRule="exact"/>
              <w:ind w:firstLine="482"/>
              <w:jc w:val="center"/>
              <w:rPr>
                <w:rFonts w:ascii="Calibri" w:hAnsi="Calibri"/>
                <w:b/>
                <w:bCs/>
              </w:rPr>
            </w:pPr>
          </w:p>
        </w:tc>
        <w:tc>
          <w:tcPr>
            <w:tcW w:w="1752" w:type="dxa"/>
          </w:tcPr>
          <w:p>
            <w:pPr>
              <w:spacing w:line="440" w:lineRule="exact"/>
              <w:ind w:firstLine="482"/>
              <w:jc w:val="center"/>
              <w:rPr>
                <w:rFonts w:ascii="Calibri" w:hAnsi="Calibri"/>
                <w:b/>
                <w:bCs/>
              </w:rPr>
            </w:pPr>
          </w:p>
        </w:tc>
        <w:tc>
          <w:tcPr>
            <w:tcW w:w="1980" w:type="dxa"/>
          </w:tcPr>
          <w:p>
            <w:pPr>
              <w:spacing w:line="440" w:lineRule="exact"/>
              <w:ind w:firstLine="482"/>
              <w:jc w:val="center"/>
              <w:rPr>
                <w:rFonts w:ascii="Calibri" w:hAnsi="Calibri"/>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2988" w:type="dxa"/>
            <w:gridSpan w:val="2"/>
          </w:tcPr>
          <w:p>
            <w:pPr>
              <w:ind w:firstLine="0" w:firstLineChars="0"/>
              <w:jc w:val="center"/>
              <w:rPr>
                <w:bCs/>
              </w:rPr>
            </w:pPr>
            <w:r>
              <w:rPr>
                <w:rFonts w:hint="eastAsia"/>
                <w:bCs/>
              </w:rPr>
              <w:t>位置反馈系统</w:t>
            </w:r>
          </w:p>
        </w:tc>
        <w:tc>
          <w:tcPr>
            <w:tcW w:w="842" w:type="dxa"/>
          </w:tcPr>
          <w:p>
            <w:pPr>
              <w:spacing w:line="440" w:lineRule="exact"/>
              <w:ind w:firstLine="482"/>
              <w:jc w:val="center"/>
              <w:rPr>
                <w:rFonts w:ascii="Calibri" w:hAnsi="Calibri"/>
                <w:b/>
                <w:bCs/>
              </w:rPr>
            </w:pPr>
          </w:p>
        </w:tc>
        <w:tc>
          <w:tcPr>
            <w:tcW w:w="1186" w:type="dxa"/>
          </w:tcPr>
          <w:p>
            <w:pPr>
              <w:spacing w:line="440" w:lineRule="exact"/>
              <w:ind w:firstLine="482"/>
              <w:jc w:val="center"/>
              <w:rPr>
                <w:rFonts w:ascii="Calibri" w:hAnsi="Calibri"/>
                <w:b/>
                <w:bCs/>
              </w:rPr>
            </w:pPr>
          </w:p>
        </w:tc>
        <w:tc>
          <w:tcPr>
            <w:tcW w:w="1752" w:type="dxa"/>
          </w:tcPr>
          <w:p>
            <w:pPr>
              <w:spacing w:line="440" w:lineRule="exact"/>
              <w:ind w:firstLine="482"/>
              <w:jc w:val="center"/>
              <w:rPr>
                <w:rFonts w:ascii="Calibri" w:hAnsi="Calibri"/>
                <w:b/>
                <w:bCs/>
              </w:rPr>
            </w:pPr>
          </w:p>
        </w:tc>
        <w:tc>
          <w:tcPr>
            <w:tcW w:w="1980" w:type="dxa"/>
          </w:tcPr>
          <w:p>
            <w:pPr>
              <w:spacing w:line="440" w:lineRule="exact"/>
              <w:ind w:firstLine="482"/>
              <w:jc w:val="center"/>
              <w:rPr>
                <w:rFonts w:ascii="Calibri" w:hAnsi="Calibri"/>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2988" w:type="dxa"/>
            <w:gridSpan w:val="2"/>
          </w:tcPr>
          <w:p>
            <w:pPr>
              <w:ind w:firstLine="0" w:firstLineChars="0"/>
              <w:jc w:val="center"/>
              <w:rPr>
                <w:bCs/>
              </w:rPr>
            </w:pPr>
            <w:r>
              <w:rPr>
                <w:rFonts w:hint="eastAsia"/>
                <w:bCs/>
              </w:rPr>
              <w:t>磁开关和磁铁</w:t>
            </w:r>
          </w:p>
        </w:tc>
        <w:tc>
          <w:tcPr>
            <w:tcW w:w="842" w:type="dxa"/>
          </w:tcPr>
          <w:p>
            <w:pPr>
              <w:spacing w:line="440" w:lineRule="exact"/>
              <w:ind w:firstLine="482"/>
              <w:jc w:val="center"/>
              <w:rPr>
                <w:rFonts w:ascii="Calibri" w:hAnsi="Calibri"/>
                <w:b/>
                <w:bCs/>
              </w:rPr>
            </w:pPr>
          </w:p>
        </w:tc>
        <w:tc>
          <w:tcPr>
            <w:tcW w:w="1186" w:type="dxa"/>
          </w:tcPr>
          <w:p>
            <w:pPr>
              <w:spacing w:line="440" w:lineRule="exact"/>
              <w:ind w:firstLine="482"/>
              <w:jc w:val="center"/>
              <w:rPr>
                <w:rFonts w:ascii="Calibri" w:hAnsi="Calibri"/>
                <w:b/>
                <w:bCs/>
              </w:rPr>
            </w:pPr>
          </w:p>
        </w:tc>
        <w:tc>
          <w:tcPr>
            <w:tcW w:w="1752" w:type="dxa"/>
          </w:tcPr>
          <w:p>
            <w:pPr>
              <w:spacing w:line="440" w:lineRule="exact"/>
              <w:ind w:firstLine="482"/>
              <w:jc w:val="center"/>
              <w:rPr>
                <w:rFonts w:ascii="Calibri" w:hAnsi="Calibri"/>
                <w:b/>
                <w:bCs/>
              </w:rPr>
            </w:pPr>
          </w:p>
        </w:tc>
        <w:tc>
          <w:tcPr>
            <w:tcW w:w="1980" w:type="dxa"/>
          </w:tcPr>
          <w:p>
            <w:pPr>
              <w:spacing w:line="440" w:lineRule="exact"/>
              <w:ind w:firstLine="482"/>
              <w:jc w:val="center"/>
              <w:rPr>
                <w:rFonts w:ascii="Calibri" w:hAnsi="Calibri"/>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2988" w:type="dxa"/>
            <w:gridSpan w:val="2"/>
          </w:tcPr>
          <w:p>
            <w:pPr>
              <w:ind w:firstLine="0" w:firstLineChars="0"/>
              <w:jc w:val="center"/>
              <w:rPr>
                <w:bCs/>
              </w:rPr>
            </w:pPr>
            <w:r>
              <w:rPr>
                <w:rFonts w:hint="eastAsia"/>
                <w:bCs/>
              </w:rPr>
              <w:t>液晶显示器</w:t>
            </w:r>
          </w:p>
        </w:tc>
        <w:tc>
          <w:tcPr>
            <w:tcW w:w="842" w:type="dxa"/>
          </w:tcPr>
          <w:p>
            <w:pPr>
              <w:spacing w:line="440" w:lineRule="exact"/>
              <w:ind w:firstLine="482"/>
              <w:jc w:val="center"/>
              <w:rPr>
                <w:rFonts w:ascii="Calibri" w:hAnsi="Calibri"/>
                <w:b/>
                <w:bCs/>
              </w:rPr>
            </w:pPr>
          </w:p>
        </w:tc>
        <w:tc>
          <w:tcPr>
            <w:tcW w:w="1186" w:type="dxa"/>
          </w:tcPr>
          <w:p>
            <w:pPr>
              <w:spacing w:line="440" w:lineRule="exact"/>
              <w:ind w:firstLine="482"/>
              <w:jc w:val="center"/>
              <w:rPr>
                <w:rFonts w:ascii="Calibri" w:hAnsi="Calibri"/>
                <w:b/>
                <w:bCs/>
              </w:rPr>
            </w:pPr>
          </w:p>
        </w:tc>
        <w:tc>
          <w:tcPr>
            <w:tcW w:w="1752" w:type="dxa"/>
          </w:tcPr>
          <w:p>
            <w:pPr>
              <w:spacing w:line="440" w:lineRule="exact"/>
              <w:ind w:firstLine="482"/>
              <w:jc w:val="center"/>
              <w:rPr>
                <w:rFonts w:ascii="Calibri" w:hAnsi="Calibri"/>
                <w:b/>
                <w:bCs/>
              </w:rPr>
            </w:pPr>
          </w:p>
        </w:tc>
        <w:tc>
          <w:tcPr>
            <w:tcW w:w="1980" w:type="dxa"/>
          </w:tcPr>
          <w:p>
            <w:pPr>
              <w:spacing w:line="440" w:lineRule="exact"/>
              <w:ind w:firstLine="482"/>
              <w:jc w:val="center"/>
              <w:rPr>
                <w:rFonts w:ascii="Calibri" w:hAnsi="Calibri"/>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2988" w:type="dxa"/>
            <w:gridSpan w:val="2"/>
          </w:tcPr>
          <w:p>
            <w:pPr>
              <w:ind w:firstLine="0" w:firstLineChars="0"/>
              <w:jc w:val="center"/>
              <w:rPr>
                <w:bCs/>
              </w:rPr>
            </w:pPr>
            <w:r>
              <w:rPr>
                <w:rFonts w:hint="eastAsia"/>
                <w:bCs/>
              </w:rPr>
              <w:t>电脑式电梯运行监视屏系统</w:t>
            </w:r>
          </w:p>
        </w:tc>
        <w:tc>
          <w:tcPr>
            <w:tcW w:w="842" w:type="dxa"/>
          </w:tcPr>
          <w:p>
            <w:pPr>
              <w:spacing w:line="440" w:lineRule="exact"/>
              <w:ind w:firstLine="482"/>
              <w:jc w:val="center"/>
              <w:rPr>
                <w:rFonts w:ascii="Calibri" w:hAnsi="Calibri"/>
                <w:b/>
                <w:bCs/>
              </w:rPr>
            </w:pPr>
          </w:p>
        </w:tc>
        <w:tc>
          <w:tcPr>
            <w:tcW w:w="1186" w:type="dxa"/>
          </w:tcPr>
          <w:p>
            <w:pPr>
              <w:spacing w:line="440" w:lineRule="exact"/>
              <w:ind w:firstLine="482"/>
              <w:jc w:val="center"/>
              <w:rPr>
                <w:rFonts w:ascii="Calibri" w:hAnsi="Calibri"/>
                <w:b/>
                <w:bCs/>
              </w:rPr>
            </w:pPr>
          </w:p>
        </w:tc>
        <w:tc>
          <w:tcPr>
            <w:tcW w:w="1752" w:type="dxa"/>
          </w:tcPr>
          <w:p>
            <w:pPr>
              <w:spacing w:line="440" w:lineRule="exact"/>
              <w:ind w:firstLine="482"/>
              <w:jc w:val="center"/>
              <w:rPr>
                <w:rFonts w:ascii="Calibri" w:hAnsi="Calibri"/>
                <w:b/>
                <w:bCs/>
              </w:rPr>
            </w:pPr>
          </w:p>
        </w:tc>
        <w:tc>
          <w:tcPr>
            <w:tcW w:w="1980" w:type="dxa"/>
          </w:tcPr>
          <w:p>
            <w:pPr>
              <w:spacing w:line="440" w:lineRule="exact"/>
              <w:ind w:firstLine="482"/>
              <w:jc w:val="center"/>
              <w:rPr>
                <w:rFonts w:ascii="Calibri" w:hAnsi="Calibri"/>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2988" w:type="dxa"/>
            <w:gridSpan w:val="2"/>
          </w:tcPr>
          <w:p>
            <w:pPr>
              <w:ind w:firstLine="0" w:firstLineChars="0"/>
              <w:jc w:val="center"/>
              <w:rPr>
                <w:bCs/>
              </w:rPr>
            </w:pPr>
            <w:r>
              <w:rPr>
                <w:rFonts w:hint="eastAsia"/>
                <w:bCs/>
              </w:rPr>
              <w:t>其它</w:t>
            </w:r>
          </w:p>
        </w:tc>
        <w:tc>
          <w:tcPr>
            <w:tcW w:w="842" w:type="dxa"/>
          </w:tcPr>
          <w:p>
            <w:pPr>
              <w:spacing w:line="440" w:lineRule="exact"/>
              <w:ind w:firstLine="482"/>
              <w:jc w:val="center"/>
              <w:rPr>
                <w:rFonts w:ascii="Calibri" w:hAnsi="Calibri"/>
                <w:b/>
                <w:bCs/>
              </w:rPr>
            </w:pPr>
          </w:p>
        </w:tc>
        <w:tc>
          <w:tcPr>
            <w:tcW w:w="1186" w:type="dxa"/>
          </w:tcPr>
          <w:p>
            <w:pPr>
              <w:spacing w:line="440" w:lineRule="exact"/>
              <w:ind w:firstLine="482"/>
              <w:jc w:val="center"/>
              <w:rPr>
                <w:rFonts w:ascii="Calibri" w:hAnsi="Calibri"/>
                <w:b/>
                <w:bCs/>
              </w:rPr>
            </w:pPr>
          </w:p>
        </w:tc>
        <w:tc>
          <w:tcPr>
            <w:tcW w:w="1752" w:type="dxa"/>
          </w:tcPr>
          <w:p>
            <w:pPr>
              <w:spacing w:line="440" w:lineRule="exact"/>
              <w:ind w:firstLine="482"/>
              <w:jc w:val="center"/>
              <w:rPr>
                <w:rFonts w:ascii="Calibri" w:hAnsi="Calibri"/>
                <w:b/>
                <w:bCs/>
              </w:rPr>
            </w:pPr>
          </w:p>
        </w:tc>
        <w:tc>
          <w:tcPr>
            <w:tcW w:w="1980" w:type="dxa"/>
          </w:tcPr>
          <w:p>
            <w:pPr>
              <w:spacing w:line="440" w:lineRule="exact"/>
              <w:ind w:firstLine="482"/>
              <w:jc w:val="center"/>
              <w:rPr>
                <w:rFonts w:ascii="Calibri" w:hAnsi="Calibri"/>
                <w:b/>
                <w:bCs/>
              </w:rPr>
            </w:pPr>
          </w:p>
        </w:tc>
      </w:tr>
    </w:tbl>
    <w:p>
      <w:pPr>
        <w:shd w:val="clear" w:color="auto" w:fill="FFFFFF"/>
        <w:spacing w:line="440" w:lineRule="exact"/>
        <w:ind w:firstLine="480"/>
        <w:rPr>
          <w:szCs w:val="21"/>
        </w:rPr>
      </w:pPr>
    </w:p>
    <w:p>
      <w:pPr>
        <w:shd w:val="clear" w:color="auto" w:fill="FFFFFF"/>
        <w:spacing w:line="440" w:lineRule="exact"/>
        <w:ind w:firstLine="562"/>
        <w:jc w:val="center"/>
        <w:rPr>
          <w:b/>
          <w:bCs/>
          <w:sz w:val="28"/>
          <w:szCs w:val="28"/>
        </w:rPr>
      </w:pPr>
    </w:p>
    <w:p>
      <w:pPr>
        <w:shd w:val="clear" w:color="auto" w:fill="FFFFFF"/>
        <w:spacing w:line="440" w:lineRule="exact"/>
        <w:ind w:firstLine="562"/>
        <w:jc w:val="center"/>
        <w:rPr>
          <w:b/>
          <w:bCs/>
          <w:sz w:val="28"/>
          <w:szCs w:val="28"/>
        </w:rPr>
      </w:pPr>
    </w:p>
    <w:p>
      <w:pPr>
        <w:shd w:val="clear" w:color="auto" w:fill="FFFFFF"/>
        <w:spacing w:line="440" w:lineRule="exact"/>
        <w:ind w:firstLine="562"/>
        <w:jc w:val="center"/>
        <w:rPr>
          <w:b/>
          <w:bCs/>
          <w:sz w:val="28"/>
          <w:szCs w:val="28"/>
        </w:rPr>
      </w:pPr>
    </w:p>
    <w:p>
      <w:pPr>
        <w:shd w:val="clear" w:color="auto" w:fill="FFFFFF"/>
        <w:spacing w:line="440" w:lineRule="exact"/>
        <w:ind w:firstLine="562"/>
        <w:jc w:val="center"/>
        <w:rPr>
          <w:b/>
          <w:bCs/>
          <w:sz w:val="28"/>
          <w:szCs w:val="28"/>
        </w:rPr>
      </w:pPr>
    </w:p>
    <w:p>
      <w:pPr>
        <w:shd w:val="clear" w:color="auto" w:fill="FFFFFF"/>
        <w:spacing w:line="440" w:lineRule="exact"/>
        <w:ind w:firstLine="562"/>
        <w:jc w:val="center"/>
        <w:rPr>
          <w:b/>
          <w:bCs/>
          <w:sz w:val="28"/>
          <w:szCs w:val="28"/>
        </w:rPr>
      </w:pPr>
    </w:p>
    <w:p>
      <w:pPr>
        <w:shd w:val="clear" w:color="auto" w:fill="FFFFFF"/>
        <w:spacing w:line="440" w:lineRule="exact"/>
        <w:ind w:firstLine="562"/>
        <w:jc w:val="center"/>
        <w:rPr>
          <w:b/>
          <w:bCs/>
          <w:sz w:val="28"/>
          <w:szCs w:val="28"/>
        </w:rPr>
      </w:pPr>
    </w:p>
    <w:p>
      <w:pPr>
        <w:shd w:val="clear" w:color="auto" w:fill="FFFFFF"/>
        <w:spacing w:line="440" w:lineRule="exact"/>
        <w:ind w:firstLine="562"/>
        <w:jc w:val="center"/>
        <w:rPr>
          <w:b/>
          <w:bCs/>
          <w:sz w:val="28"/>
          <w:szCs w:val="28"/>
        </w:rPr>
      </w:pPr>
    </w:p>
    <w:p>
      <w:pPr>
        <w:shd w:val="clear" w:color="auto" w:fill="FFFFFF"/>
        <w:spacing w:line="440" w:lineRule="exact"/>
        <w:ind w:firstLine="562"/>
        <w:jc w:val="center"/>
        <w:rPr>
          <w:b/>
          <w:bCs/>
          <w:sz w:val="28"/>
          <w:szCs w:val="28"/>
        </w:rPr>
      </w:pPr>
    </w:p>
    <w:p>
      <w:pPr>
        <w:shd w:val="clear" w:color="auto" w:fill="FFFFFF"/>
        <w:spacing w:line="440" w:lineRule="exact"/>
        <w:ind w:firstLine="562"/>
        <w:jc w:val="center"/>
        <w:rPr>
          <w:b/>
          <w:bCs/>
          <w:sz w:val="28"/>
          <w:szCs w:val="28"/>
        </w:rPr>
      </w:pPr>
    </w:p>
    <w:p>
      <w:pPr>
        <w:shd w:val="clear" w:color="auto" w:fill="FFFFFF"/>
        <w:spacing w:line="440" w:lineRule="exact"/>
        <w:ind w:firstLine="562"/>
        <w:jc w:val="center"/>
        <w:rPr>
          <w:b/>
          <w:bCs/>
          <w:sz w:val="28"/>
          <w:szCs w:val="28"/>
        </w:rPr>
      </w:pPr>
    </w:p>
    <w:p>
      <w:pPr>
        <w:shd w:val="clear" w:color="auto" w:fill="FFFFFF"/>
        <w:spacing w:line="440" w:lineRule="exact"/>
        <w:ind w:firstLine="562"/>
        <w:jc w:val="center"/>
        <w:rPr>
          <w:b/>
          <w:bCs/>
          <w:sz w:val="28"/>
          <w:szCs w:val="28"/>
        </w:rPr>
      </w:pPr>
    </w:p>
    <w:p>
      <w:pPr>
        <w:shd w:val="clear" w:color="auto" w:fill="FFFFFF"/>
        <w:spacing w:line="440" w:lineRule="exact"/>
        <w:ind w:firstLine="562"/>
        <w:jc w:val="center"/>
        <w:rPr>
          <w:b/>
          <w:bCs/>
          <w:sz w:val="28"/>
          <w:szCs w:val="28"/>
        </w:rPr>
      </w:pPr>
    </w:p>
    <w:p>
      <w:pPr>
        <w:shd w:val="clear" w:color="auto" w:fill="FFFFFF"/>
        <w:spacing w:line="440" w:lineRule="exact"/>
        <w:ind w:firstLine="562"/>
        <w:jc w:val="center"/>
        <w:rPr>
          <w:b/>
          <w:bCs/>
          <w:sz w:val="28"/>
          <w:szCs w:val="28"/>
        </w:rPr>
      </w:pPr>
    </w:p>
    <w:p>
      <w:pPr>
        <w:spacing w:line="440" w:lineRule="exact"/>
        <w:ind w:firstLine="602"/>
        <w:jc w:val="center"/>
        <w:rPr>
          <w:rFonts w:hAnsi="Calibri"/>
          <w:b/>
          <w:bCs/>
          <w:sz w:val="30"/>
          <w:szCs w:val="30"/>
        </w:rPr>
      </w:pPr>
      <w:r>
        <w:rPr>
          <w:rFonts w:hint="eastAsia"/>
          <w:b/>
          <w:bCs/>
          <w:sz w:val="30"/>
          <w:szCs w:val="30"/>
        </w:rPr>
        <w:t>电梯主要部件产地、规格说明表</w:t>
      </w:r>
    </w:p>
    <w:tbl>
      <w:tblPr>
        <w:tblStyle w:val="33"/>
        <w:tblW w:w="87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0"/>
        <w:gridCol w:w="653"/>
        <w:gridCol w:w="2137"/>
        <w:gridCol w:w="990"/>
        <w:gridCol w:w="1209"/>
        <w:gridCol w:w="1260"/>
        <w:gridCol w:w="15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8" w:hRule="atLeast"/>
          <w:jc w:val="center"/>
        </w:trPr>
        <w:tc>
          <w:tcPr>
            <w:tcW w:w="990" w:type="dxa"/>
            <w:tcBorders>
              <w:top w:val="single" w:color="auto" w:sz="4" w:space="0"/>
              <w:bottom w:val="single" w:color="auto" w:sz="4" w:space="0"/>
              <w:right w:val="single" w:color="auto" w:sz="4" w:space="0"/>
            </w:tcBorders>
            <w:vAlign w:val="center"/>
          </w:tcPr>
          <w:p>
            <w:pPr>
              <w:ind w:firstLine="0" w:firstLineChars="0"/>
              <w:jc w:val="center"/>
              <w:rPr>
                <w:bCs/>
              </w:rPr>
            </w:pPr>
            <w:r>
              <w:rPr>
                <w:rFonts w:hint="eastAsia"/>
                <w:bCs/>
              </w:rPr>
              <w:t>序号</w:t>
            </w:r>
          </w:p>
        </w:tc>
        <w:tc>
          <w:tcPr>
            <w:tcW w:w="2790"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bCs/>
              </w:rPr>
            </w:pPr>
            <w:r>
              <w:rPr>
                <w:rFonts w:hint="eastAsia"/>
                <w:bCs/>
              </w:rPr>
              <w:t>名称</w:t>
            </w:r>
          </w:p>
        </w:tc>
        <w:tc>
          <w:tcPr>
            <w:tcW w:w="99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Cs/>
              </w:rPr>
            </w:pPr>
            <w:r>
              <w:rPr>
                <w:rFonts w:hint="eastAsia"/>
                <w:bCs/>
              </w:rPr>
              <w:t>产地</w:t>
            </w:r>
          </w:p>
        </w:tc>
        <w:tc>
          <w:tcPr>
            <w:tcW w:w="120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Cs/>
              </w:rPr>
            </w:pPr>
            <w:r>
              <w:rPr>
                <w:rFonts w:hint="eastAsia"/>
                <w:bCs/>
              </w:rPr>
              <w:t>生产厂家</w:t>
            </w:r>
          </w:p>
        </w:tc>
        <w:tc>
          <w:tcPr>
            <w:tcW w:w="12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Cs/>
              </w:rPr>
            </w:pPr>
            <w:r>
              <w:rPr>
                <w:rFonts w:hint="eastAsia"/>
                <w:bCs/>
              </w:rPr>
              <w:t>品牌、型号规格</w:t>
            </w:r>
          </w:p>
        </w:tc>
        <w:tc>
          <w:tcPr>
            <w:tcW w:w="1506" w:type="dxa"/>
            <w:tcBorders>
              <w:top w:val="single" w:color="auto" w:sz="4" w:space="0"/>
              <w:left w:val="single" w:color="auto" w:sz="4" w:space="0"/>
              <w:bottom w:val="single" w:color="auto" w:sz="4" w:space="0"/>
            </w:tcBorders>
            <w:vAlign w:val="center"/>
          </w:tcPr>
          <w:p>
            <w:pPr>
              <w:ind w:firstLine="0" w:firstLineChars="0"/>
              <w:jc w:val="center"/>
              <w:rPr>
                <w:bCs/>
              </w:rPr>
            </w:pPr>
            <w:r>
              <w:rPr>
                <w:rFonts w:hint="eastAsia"/>
                <w:bCs/>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8" w:hRule="atLeast"/>
          <w:jc w:val="center"/>
        </w:trPr>
        <w:tc>
          <w:tcPr>
            <w:tcW w:w="990" w:type="dxa"/>
            <w:tcBorders>
              <w:top w:val="single" w:color="auto" w:sz="4" w:space="0"/>
              <w:bottom w:val="single" w:color="auto" w:sz="4" w:space="0"/>
              <w:right w:val="single" w:color="auto" w:sz="4" w:space="0"/>
            </w:tcBorders>
            <w:vAlign w:val="center"/>
          </w:tcPr>
          <w:p>
            <w:pPr>
              <w:ind w:firstLine="0" w:firstLineChars="0"/>
              <w:jc w:val="center"/>
              <w:rPr>
                <w:bCs/>
              </w:rPr>
            </w:pPr>
            <w:r>
              <w:rPr>
                <w:rFonts w:hint="eastAsia"/>
                <w:bCs/>
              </w:rPr>
              <w:t>1</w:t>
            </w:r>
          </w:p>
        </w:tc>
        <w:tc>
          <w:tcPr>
            <w:tcW w:w="2790"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bCs/>
              </w:rPr>
            </w:pPr>
            <w:r>
              <w:rPr>
                <w:rFonts w:hint="eastAsia"/>
                <w:bCs/>
              </w:rPr>
              <w:t>曳引系统</w:t>
            </w:r>
          </w:p>
        </w:tc>
        <w:tc>
          <w:tcPr>
            <w:tcW w:w="99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Cs/>
              </w:rPr>
            </w:pPr>
            <w:r>
              <w:rPr>
                <w:rFonts w:hint="eastAsia"/>
                <w:bCs/>
              </w:rPr>
              <w:t> </w:t>
            </w:r>
          </w:p>
        </w:tc>
        <w:tc>
          <w:tcPr>
            <w:tcW w:w="1209" w:type="dxa"/>
            <w:tcBorders>
              <w:top w:val="single" w:color="auto" w:sz="4" w:space="0"/>
              <w:left w:val="single" w:color="auto" w:sz="4" w:space="0"/>
              <w:bottom w:val="single" w:color="auto" w:sz="4" w:space="0"/>
              <w:right w:val="single" w:color="auto" w:sz="4" w:space="0"/>
            </w:tcBorders>
          </w:tcPr>
          <w:p>
            <w:pPr>
              <w:ind w:firstLine="0" w:firstLineChars="0"/>
              <w:jc w:val="center"/>
              <w:rPr>
                <w:bCs/>
              </w:rPr>
            </w:pPr>
            <w:r>
              <w:rPr>
                <w:rFonts w:hint="eastAsia"/>
                <w:bCs/>
              </w:rPr>
              <w:t> </w:t>
            </w:r>
          </w:p>
        </w:tc>
        <w:tc>
          <w:tcPr>
            <w:tcW w:w="12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Cs/>
              </w:rPr>
            </w:pPr>
            <w:r>
              <w:rPr>
                <w:rFonts w:hint="eastAsia"/>
                <w:bCs/>
              </w:rPr>
              <w:t> </w:t>
            </w:r>
          </w:p>
        </w:tc>
        <w:tc>
          <w:tcPr>
            <w:tcW w:w="1506" w:type="dxa"/>
            <w:tcBorders>
              <w:top w:val="single" w:color="auto" w:sz="4" w:space="0"/>
              <w:left w:val="single" w:color="auto" w:sz="4" w:space="0"/>
              <w:bottom w:val="single" w:color="auto" w:sz="4" w:space="0"/>
            </w:tcBorders>
            <w:vAlign w:val="center"/>
          </w:tcPr>
          <w:p>
            <w:pPr>
              <w:ind w:firstLine="0" w:firstLineChars="0"/>
              <w:jc w:val="center"/>
              <w:rPr>
                <w:bCs/>
              </w:rPr>
            </w:pPr>
            <w:r>
              <w:rPr>
                <w:rFonts w:hint="eastAsia"/>
                <w:bCs/>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5" w:hRule="atLeast"/>
          <w:jc w:val="center"/>
        </w:trPr>
        <w:tc>
          <w:tcPr>
            <w:tcW w:w="990" w:type="dxa"/>
            <w:vMerge w:val="restart"/>
            <w:tcBorders>
              <w:top w:val="single" w:color="auto" w:sz="4" w:space="0"/>
              <w:bottom w:val="single" w:color="auto" w:sz="4" w:space="0"/>
              <w:right w:val="single" w:color="auto" w:sz="4" w:space="0"/>
            </w:tcBorders>
            <w:vAlign w:val="center"/>
          </w:tcPr>
          <w:p>
            <w:pPr>
              <w:ind w:firstLine="0" w:firstLineChars="0"/>
              <w:jc w:val="center"/>
              <w:rPr>
                <w:bCs/>
              </w:rPr>
            </w:pPr>
            <w:r>
              <w:rPr>
                <w:rFonts w:hint="eastAsia"/>
                <w:bCs/>
              </w:rPr>
              <w:t>2</w:t>
            </w:r>
          </w:p>
        </w:tc>
        <w:tc>
          <w:tcPr>
            <w:tcW w:w="653" w:type="dxa"/>
            <w:vMerge w:val="restart"/>
            <w:tcBorders>
              <w:top w:val="single" w:color="auto" w:sz="4" w:space="0"/>
              <w:left w:val="single" w:color="auto" w:sz="4" w:space="0"/>
              <w:bottom w:val="single" w:color="auto" w:sz="4" w:space="0"/>
              <w:right w:val="single" w:color="auto" w:sz="4" w:space="0"/>
            </w:tcBorders>
            <w:vAlign w:val="center"/>
          </w:tcPr>
          <w:p>
            <w:pPr>
              <w:ind w:firstLine="0" w:firstLineChars="0"/>
              <w:jc w:val="center"/>
              <w:rPr>
                <w:bCs/>
              </w:rPr>
            </w:pPr>
            <w:r>
              <w:rPr>
                <w:rFonts w:hint="eastAsia"/>
                <w:bCs/>
              </w:rPr>
              <w:t>主</w:t>
            </w:r>
          </w:p>
          <w:p>
            <w:pPr>
              <w:ind w:firstLine="0" w:firstLineChars="0"/>
              <w:jc w:val="center"/>
              <w:rPr>
                <w:bCs/>
              </w:rPr>
            </w:pPr>
            <w:r>
              <w:rPr>
                <w:rFonts w:hint="eastAsia"/>
                <w:bCs/>
              </w:rPr>
              <w:t>控</w:t>
            </w:r>
          </w:p>
          <w:p>
            <w:pPr>
              <w:ind w:firstLine="0" w:firstLineChars="0"/>
              <w:jc w:val="center"/>
              <w:rPr>
                <w:bCs/>
              </w:rPr>
            </w:pPr>
            <w:r>
              <w:rPr>
                <w:rFonts w:hint="eastAsia"/>
                <w:bCs/>
              </w:rPr>
              <w:t>柜</w:t>
            </w:r>
          </w:p>
        </w:tc>
        <w:tc>
          <w:tcPr>
            <w:tcW w:w="2137"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Cs/>
              </w:rPr>
            </w:pPr>
            <w:r>
              <w:rPr>
                <w:rFonts w:hint="eastAsia"/>
                <w:bCs/>
              </w:rPr>
              <w:t>变频器</w:t>
            </w:r>
          </w:p>
        </w:tc>
        <w:tc>
          <w:tcPr>
            <w:tcW w:w="990" w:type="dxa"/>
            <w:tcBorders>
              <w:top w:val="single" w:color="auto" w:sz="4" w:space="0"/>
              <w:left w:val="single" w:color="auto" w:sz="4" w:space="0"/>
              <w:bottom w:val="single" w:color="auto" w:sz="4" w:space="0"/>
              <w:right w:val="single" w:color="auto" w:sz="4" w:space="0"/>
            </w:tcBorders>
          </w:tcPr>
          <w:p>
            <w:pPr>
              <w:ind w:firstLine="0" w:firstLineChars="0"/>
              <w:jc w:val="center"/>
              <w:rPr>
                <w:bCs/>
              </w:rPr>
            </w:pPr>
            <w:r>
              <w:rPr>
                <w:rFonts w:hint="eastAsia"/>
                <w:bCs/>
              </w:rPr>
              <w:t> </w:t>
            </w:r>
          </w:p>
        </w:tc>
        <w:tc>
          <w:tcPr>
            <w:tcW w:w="120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Cs/>
              </w:rPr>
            </w:pPr>
            <w:r>
              <w:rPr>
                <w:rFonts w:hint="eastAsia"/>
                <w:bCs/>
              </w:rPr>
              <w:t> </w:t>
            </w:r>
          </w:p>
        </w:tc>
        <w:tc>
          <w:tcPr>
            <w:tcW w:w="12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Cs/>
              </w:rPr>
            </w:pPr>
            <w:r>
              <w:rPr>
                <w:rFonts w:hint="eastAsia"/>
                <w:bCs/>
              </w:rPr>
              <w:t> </w:t>
            </w:r>
          </w:p>
        </w:tc>
        <w:tc>
          <w:tcPr>
            <w:tcW w:w="1506" w:type="dxa"/>
            <w:vMerge w:val="restart"/>
            <w:tcBorders>
              <w:top w:val="single" w:color="auto" w:sz="4" w:space="0"/>
              <w:left w:val="single" w:color="auto" w:sz="4" w:space="0"/>
              <w:bottom w:val="single" w:color="auto" w:sz="4" w:space="0"/>
            </w:tcBorders>
            <w:vAlign w:val="center"/>
          </w:tcPr>
          <w:p>
            <w:pPr>
              <w:ind w:firstLine="0" w:firstLineChars="0"/>
              <w:jc w:val="center"/>
              <w:rPr>
                <w:bCs/>
              </w:rPr>
            </w:pPr>
            <w:r>
              <w:rPr>
                <w:rFonts w:hint="eastAsia"/>
                <w:bCs/>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6" w:hRule="atLeast"/>
          <w:jc w:val="center"/>
        </w:trPr>
        <w:tc>
          <w:tcPr>
            <w:tcW w:w="990" w:type="dxa"/>
            <w:vMerge w:val="continue"/>
            <w:tcBorders>
              <w:top w:val="single" w:color="auto" w:sz="4" w:space="0"/>
              <w:bottom w:val="single" w:color="auto" w:sz="4" w:space="0"/>
              <w:right w:val="single" w:color="auto" w:sz="4" w:space="0"/>
            </w:tcBorders>
            <w:vAlign w:val="center"/>
          </w:tcPr>
          <w:p>
            <w:pPr>
              <w:ind w:firstLine="0" w:firstLineChars="0"/>
              <w:jc w:val="center"/>
              <w:rPr>
                <w:bCs/>
              </w:rPr>
            </w:pPr>
          </w:p>
        </w:tc>
        <w:tc>
          <w:tcPr>
            <w:tcW w:w="653" w:type="dxa"/>
            <w:vMerge w:val="continue"/>
            <w:tcBorders>
              <w:top w:val="single" w:color="auto" w:sz="4" w:space="0"/>
              <w:left w:val="single" w:color="auto" w:sz="4" w:space="0"/>
              <w:bottom w:val="single" w:color="auto" w:sz="4" w:space="0"/>
              <w:right w:val="single" w:color="auto" w:sz="4" w:space="0"/>
            </w:tcBorders>
            <w:vAlign w:val="center"/>
          </w:tcPr>
          <w:p>
            <w:pPr>
              <w:ind w:firstLine="0" w:firstLineChars="0"/>
              <w:jc w:val="center"/>
              <w:rPr>
                <w:bCs/>
              </w:rPr>
            </w:pPr>
          </w:p>
        </w:tc>
        <w:tc>
          <w:tcPr>
            <w:tcW w:w="2137"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Cs/>
              </w:rPr>
            </w:pPr>
            <w:r>
              <w:rPr>
                <w:rFonts w:hint="eastAsia"/>
                <w:bCs/>
              </w:rPr>
              <w:t>主电脑板</w:t>
            </w:r>
          </w:p>
        </w:tc>
        <w:tc>
          <w:tcPr>
            <w:tcW w:w="990" w:type="dxa"/>
            <w:tcBorders>
              <w:top w:val="single" w:color="auto" w:sz="4" w:space="0"/>
              <w:left w:val="single" w:color="auto" w:sz="4" w:space="0"/>
              <w:bottom w:val="single" w:color="auto" w:sz="4" w:space="0"/>
              <w:right w:val="single" w:color="auto" w:sz="4" w:space="0"/>
            </w:tcBorders>
          </w:tcPr>
          <w:p>
            <w:pPr>
              <w:ind w:firstLine="0" w:firstLineChars="0"/>
              <w:jc w:val="center"/>
              <w:rPr>
                <w:bCs/>
              </w:rPr>
            </w:pPr>
            <w:r>
              <w:rPr>
                <w:rFonts w:hint="eastAsia"/>
                <w:bCs/>
              </w:rPr>
              <w:t> </w:t>
            </w:r>
          </w:p>
        </w:tc>
        <w:tc>
          <w:tcPr>
            <w:tcW w:w="120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Cs/>
              </w:rPr>
            </w:pPr>
            <w:r>
              <w:rPr>
                <w:rFonts w:hint="eastAsia"/>
                <w:bCs/>
              </w:rPr>
              <w:t> </w:t>
            </w:r>
          </w:p>
        </w:tc>
        <w:tc>
          <w:tcPr>
            <w:tcW w:w="12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Cs/>
              </w:rPr>
            </w:pPr>
            <w:r>
              <w:rPr>
                <w:rFonts w:hint="eastAsia"/>
                <w:bCs/>
              </w:rPr>
              <w:t> </w:t>
            </w:r>
          </w:p>
        </w:tc>
        <w:tc>
          <w:tcPr>
            <w:tcW w:w="1506" w:type="dxa"/>
            <w:vMerge w:val="continue"/>
            <w:tcBorders>
              <w:top w:val="single" w:color="auto" w:sz="4" w:space="0"/>
              <w:left w:val="single" w:color="auto" w:sz="4" w:space="0"/>
              <w:bottom w:val="single" w:color="auto" w:sz="4" w:space="0"/>
            </w:tcBorders>
            <w:vAlign w:val="center"/>
          </w:tcPr>
          <w:p>
            <w:pPr>
              <w:ind w:firstLine="0" w:firstLineChars="0"/>
              <w:jc w:val="center"/>
              <w:rPr>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3" w:hRule="atLeast"/>
          <w:jc w:val="center"/>
        </w:trPr>
        <w:tc>
          <w:tcPr>
            <w:tcW w:w="990" w:type="dxa"/>
            <w:vMerge w:val="continue"/>
            <w:tcBorders>
              <w:top w:val="single" w:color="auto" w:sz="4" w:space="0"/>
              <w:bottom w:val="single" w:color="auto" w:sz="4" w:space="0"/>
              <w:right w:val="single" w:color="auto" w:sz="4" w:space="0"/>
            </w:tcBorders>
            <w:vAlign w:val="center"/>
          </w:tcPr>
          <w:p>
            <w:pPr>
              <w:ind w:firstLine="0" w:firstLineChars="0"/>
              <w:jc w:val="center"/>
              <w:rPr>
                <w:bCs/>
              </w:rPr>
            </w:pPr>
          </w:p>
        </w:tc>
        <w:tc>
          <w:tcPr>
            <w:tcW w:w="653" w:type="dxa"/>
            <w:vMerge w:val="continue"/>
            <w:tcBorders>
              <w:top w:val="single" w:color="auto" w:sz="4" w:space="0"/>
              <w:left w:val="single" w:color="auto" w:sz="4" w:space="0"/>
              <w:bottom w:val="single" w:color="auto" w:sz="4" w:space="0"/>
              <w:right w:val="single" w:color="auto" w:sz="4" w:space="0"/>
            </w:tcBorders>
            <w:vAlign w:val="center"/>
          </w:tcPr>
          <w:p>
            <w:pPr>
              <w:ind w:firstLine="0" w:firstLineChars="0"/>
              <w:jc w:val="center"/>
              <w:rPr>
                <w:bCs/>
              </w:rPr>
            </w:pPr>
          </w:p>
        </w:tc>
        <w:tc>
          <w:tcPr>
            <w:tcW w:w="2137"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Cs/>
              </w:rPr>
            </w:pPr>
            <w:r>
              <w:rPr>
                <w:rFonts w:hint="eastAsia"/>
                <w:bCs/>
              </w:rPr>
              <w:t>变压器</w:t>
            </w:r>
          </w:p>
        </w:tc>
        <w:tc>
          <w:tcPr>
            <w:tcW w:w="990" w:type="dxa"/>
            <w:tcBorders>
              <w:top w:val="single" w:color="auto" w:sz="4" w:space="0"/>
              <w:left w:val="single" w:color="auto" w:sz="4" w:space="0"/>
              <w:bottom w:val="single" w:color="auto" w:sz="4" w:space="0"/>
              <w:right w:val="single" w:color="auto" w:sz="4" w:space="0"/>
            </w:tcBorders>
          </w:tcPr>
          <w:p>
            <w:pPr>
              <w:ind w:firstLine="0" w:firstLineChars="0"/>
              <w:jc w:val="center"/>
              <w:rPr>
                <w:bCs/>
              </w:rPr>
            </w:pPr>
            <w:r>
              <w:rPr>
                <w:rFonts w:hint="eastAsia"/>
                <w:bCs/>
              </w:rPr>
              <w:t> </w:t>
            </w:r>
          </w:p>
        </w:tc>
        <w:tc>
          <w:tcPr>
            <w:tcW w:w="120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Cs/>
              </w:rPr>
            </w:pPr>
            <w:r>
              <w:rPr>
                <w:rFonts w:hint="eastAsia"/>
                <w:bCs/>
              </w:rPr>
              <w:t> </w:t>
            </w:r>
          </w:p>
        </w:tc>
        <w:tc>
          <w:tcPr>
            <w:tcW w:w="12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Cs/>
              </w:rPr>
            </w:pPr>
            <w:r>
              <w:rPr>
                <w:rFonts w:hint="eastAsia"/>
                <w:bCs/>
              </w:rPr>
              <w:t> </w:t>
            </w:r>
          </w:p>
        </w:tc>
        <w:tc>
          <w:tcPr>
            <w:tcW w:w="1506" w:type="dxa"/>
            <w:vMerge w:val="continue"/>
            <w:tcBorders>
              <w:top w:val="single" w:color="auto" w:sz="4" w:space="0"/>
              <w:left w:val="single" w:color="auto" w:sz="4" w:space="0"/>
              <w:bottom w:val="single" w:color="auto" w:sz="4" w:space="0"/>
            </w:tcBorders>
            <w:vAlign w:val="center"/>
          </w:tcPr>
          <w:p>
            <w:pPr>
              <w:ind w:firstLine="0" w:firstLineChars="0"/>
              <w:jc w:val="center"/>
              <w:rPr>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3" w:hRule="atLeast"/>
          <w:jc w:val="center"/>
        </w:trPr>
        <w:tc>
          <w:tcPr>
            <w:tcW w:w="990" w:type="dxa"/>
            <w:vMerge w:val="continue"/>
            <w:tcBorders>
              <w:top w:val="single" w:color="auto" w:sz="4" w:space="0"/>
              <w:bottom w:val="single" w:color="auto" w:sz="4" w:space="0"/>
              <w:right w:val="single" w:color="auto" w:sz="4" w:space="0"/>
            </w:tcBorders>
            <w:vAlign w:val="center"/>
          </w:tcPr>
          <w:p>
            <w:pPr>
              <w:ind w:firstLine="0" w:firstLineChars="0"/>
              <w:jc w:val="center"/>
              <w:rPr>
                <w:bCs/>
              </w:rPr>
            </w:pPr>
          </w:p>
        </w:tc>
        <w:tc>
          <w:tcPr>
            <w:tcW w:w="653" w:type="dxa"/>
            <w:vMerge w:val="continue"/>
            <w:tcBorders>
              <w:top w:val="single" w:color="auto" w:sz="4" w:space="0"/>
              <w:left w:val="single" w:color="auto" w:sz="4" w:space="0"/>
              <w:bottom w:val="single" w:color="auto" w:sz="4" w:space="0"/>
              <w:right w:val="single" w:color="auto" w:sz="4" w:space="0"/>
            </w:tcBorders>
            <w:vAlign w:val="center"/>
          </w:tcPr>
          <w:p>
            <w:pPr>
              <w:ind w:firstLine="0" w:firstLineChars="0"/>
              <w:jc w:val="center"/>
              <w:rPr>
                <w:bCs/>
              </w:rPr>
            </w:pPr>
          </w:p>
        </w:tc>
        <w:tc>
          <w:tcPr>
            <w:tcW w:w="2137"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Cs/>
              </w:rPr>
            </w:pPr>
            <w:r>
              <w:rPr>
                <w:rFonts w:hint="eastAsia"/>
                <w:bCs/>
              </w:rPr>
              <w:t>空气开关</w:t>
            </w:r>
          </w:p>
        </w:tc>
        <w:tc>
          <w:tcPr>
            <w:tcW w:w="990" w:type="dxa"/>
            <w:tcBorders>
              <w:top w:val="single" w:color="auto" w:sz="4" w:space="0"/>
              <w:left w:val="single" w:color="auto" w:sz="4" w:space="0"/>
              <w:bottom w:val="single" w:color="auto" w:sz="4" w:space="0"/>
              <w:right w:val="single" w:color="auto" w:sz="4" w:space="0"/>
            </w:tcBorders>
          </w:tcPr>
          <w:p>
            <w:pPr>
              <w:ind w:firstLine="0" w:firstLineChars="0"/>
              <w:jc w:val="center"/>
              <w:rPr>
                <w:bCs/>
              </w:rPr>
            </w:pPr>
            <w:r>
              <w:rPr>
                <w:rFonts w:hint="eastAsia"/>
                <w:bCs/>
              </w:rPr>
              <w:t> </w:t>
            </w:r>
          </w:p>
        </w:tc>
        <w:tc>
          <w:tcPr>
            <w:tcW w:w="120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Cs/>
              </w:rPr>
            </w:pPr>
            <w:r>
              <w:rPr>
                <w:rFonts w:hint="eastAsia"/>
                <w:bCs/>
              </w:rPr>
              <w:t> </w:t>
            </w:r>
          </w:p>
        </w:tc>
        <w:tc>
          <w:tcPr>
            <w:tcW w:w="12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Cs/>
              </w:rPr>
            </w:pPr>
            <w:r>
              <w:rPr>
                <w:rFonts w:hint="eastAsia"/>
                <w:bCs/>
              </w:rPr>
              <w:t> </w:t>
            </w:r>
          </w:p>
        </w:tc>
        <w:tc>
          <w:tcPr>
            <w:tcW w:w="1506" w:type="dxa"/>
            <w:vMerge w:val="continue"/>
            <w:tcBorders>
              <w:top w:val="single" w:color="auto" w:sz="4" w:space="0"/>
              <w:left w:val="single" w:color="auto" w:sz="4" w:space="0"/>
              <w:bottom w:val="single" w:color="auto" w:sz="4" w:space="0"/>
            </w:tcBorders>
            <w:vAlign w:val="center"/>
          </w:tcPr>
          <w:p>
            <w:pPr>
              <w:ind w:firstLine="0" w:firstLineChars="0"/>
              <w:jc w:val="center"/>
              <w:rPr>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3" w:hRule="atLeast"/>
          <w:jc w:val="center"/>
        </w:trPr>
        <w:tc>
          <w:tcPr>
            <w:tcW w:w="990" w:type="dxa"/>
            <w:vMerge w:val="continue"/>
            <w:tcBorders>
              <w:top w:val="single" w:color="auto" w:sz="4" w:space="0"/>
              <w:bottom w:val="single" w:color="auto" w:sz="4" w:space="0"/>
              <w:right w:val="single" w:color="auto" w:sz="4" w:space="0"/>
            </w:tcBorders>
            <w:vAlign w:val="center"/>
          </w:tcPr>
          <w:p>
            <w:pPr>
              <w:ind w:firstLine="0" w:firstLineChars="0"/>
              <w:jc w:val="center"/>
              <w:rPr>
                <w:bCs/>
              </w:rPr>
            </w:pPr>
          </w:p>
        </w:tc>
        <w:tc>
          <w:tcPr>
            <w:tcW w:w="653" w:type="dxa"/>
            <w:vMerge w:val="continue"/>
            <w:tcBorders>
              <w:top w:val="single" w:color="auto" w:sz="4" w:space="0"/>
              <w:left w:val="single" w:color="auto" w:sz="4" w:space="0"/>
              <w:bottom w:val="single" w:color="auto" w:sz="4" w:space="0"/>
              <w:right w:val="single" w:color="auto" w:sz="4" w:space="0"/>
            </w:tcBorders>
            <w:vAlign w:val="center"/>
          </w:tcPr>
          <w:p>
            <w:pPr>
              <w:ind w:firstLine="0" w:firstLineChars="0"/>
              <w:jc w:val="center"/>
              <w:rPr>
                <w:bCs/>
              </w:rPr>
            </w:pPr>
          </w:p>
        </w:tc>
        <w:tc>
          <w:tcPr>
            <w:tcW w:w="2137"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Cs/>
              </w:rPr>
            </w:pPr>
            <w:r>
              <w:rPr>
                <w:rFonts w:hint="eastAsia"/>
                <w:bCs/>
              </w:rPr>
              <w:t>接触器</w:t>
            </w:r>
          </w:p>
        </w:tc>
        <w:tc>
          <w:tcPr>
            <w:tcW w:w="990" w:type="dxa"/>
            <w:tcBorders>
              <w:top w:val="single" w:color="auto" w:sz="4" w:space="0"/>
              <w:left w:val="single" w:color="auto" w:sz="4" w:space="0"/>
              <w:bottom w:val="single" w:color="auto" w:sz="4" w:space="0"/>
              <w:right w:val="single" w:color="auto" w:sz="4" w:space="0"/>
            </w:tcBorders>
          </w:tcPr>
          <w:p>
            <w:pPr>
              <w:ind w:firstLine="0" w:firstLineChars="0"/>
              <w:jc w:val="center"/>
              <w:rPr>
                <w:bCs/>
              </w:rPr>
            </w:pPr>
            <w:r>
              <w:rPr>
                <w:rFonts w:hint="eastAsia"/>
                <w:bCs/>
              </w:rPr>
              <w:t> </w:t>
            </w:r>
          </w:p>
        </w:tc>
        <w:tc>
          <w:tcPr>
            <w:tcW w:w="120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Cs/>
              </w:rPr>
            </w:pPr>
            <w:r>
              <w:rPr>
                <w:rFonts w:hint="eastAsia"/>
                <w:bCs/>
              </w:rPr>
              <w:t> </w:t>
            </w:r>
          </w:p>
        </w:tc>
        <w:tc>
          <w:tcPr>
            <w:tcW w:w="12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Cs/>
              </w:rPr>
            </w:pPr>
            <w:r>
              <w:rPr>
                <w:rFonts w:hint="eastAsia"/>
                <w:bCs/>
              </w:rPr>
              <w:t> </w:t>
            </w:r>
          </w:p>
        </w:tc>
        <w:tc>
          <w:tcPr>
            <w:tcW w:w="1506" w:type="dxa"/>
            <w:vMerge w:val="continue"/>
            <w:tcBorders>
              <w:top w:val="single" w:color="auto" w:sz="4" w:space="0"/>
              <w:left w:val="single" w:color="auto" w:sz="4" w:space="0"/>
              <w:bottom w:val="single" w:color="auto" w:sz="4" w:space="0"/>
            </w:tcBorders>
            <w:vAlign w:val="center"/>
          </w:tcPr>
          <w:p>
            <w:pPr>
              <w:ind w:firstLine="0" w:firstLineChars="0"/>
              <w:jc w:val="center"/>
              <w:rPr>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jc w:val="center"/>
        </w:trPr>
        <w:tc>
          <w:tcPr>
            <w:tcW w:w="990" w:type="dxa"/>
            <w:vMerge w:val="restart"/>
            <w:tcBorders>
              <w:top w:val="single" w:color="auto" w:sz="4" w:space="0"/>
              <w:bottom w:val="single" w:color="auto" w:sz="4" w:space="0"/>
              <w:right w:val="single" w:color="auto" w:sz="4" w:space="0"/>
            </w:tcBorders>
            <w:vAlign w:val="center"/>
          </w:tcPr>
          <w:p>
            <w:pPr>
              <w:ind w:firstLine="0" w:firstLineChars="0"/>
              <w:jc w:val="center"/>
              <w:rPr>
                <w:bCs/>
              </w:rPr>
            </w:pPr>
            <w:r>
              <w:rPr>
                <w:rFonts w:hint="eastAsia"/>
                <w:bCs/>
              </w:rPr>
              <w:t>3</w:t>
            </w:r>
          </w:p>
        </w:tc>
        <w:tc>
          <w:tcPr>
            <w:tcW w:w="653" w:type="dxa"/>
            <w:vMerge w:val="restart"/>
            <w:tcBorders>
              <w:top w:val="single" w:color="auto" w:sz="4" w:space="0"/>
              <w:left w:val="single" w:color="auto" w:sz="4" w:space="0"/>
              <w:bottom w:val="single" w:color="auto" w:sz="4" w:space="0"/>
              <w:right w:val="single" w:color="auto" w:sz="4" w:space="0"/>
            </w:tcBorders>
            <w:vAlign w:val="center"/>
          </w:tcPr>
          <w:p>
            <w:pPr>
              <w:ind w:firstLine="0" w:firstLineChars="0"/>
              <w:jc w:val="center"/>
              <w:rPr>
                <w:bCs/>
              </w:rPr>
            </w:pPr>
            <w:r>
              <w:rPr>
                <w:rFonts w:hint="eastAsia"/>
                <w:bCs/>
              </w:rPr>
              <w:t>门机</w:t>
            </w:r>
          </w:p>
          <w:p>
            <w:pPr>
              <w:ind w:firstLine="0" w:firstLineChars="0"/>
              <w:jc w:val="center"/>
              <w:rPr>
                <w:bCs/>
              </w:rPr>
            </w:pPr>
            <w:r>
              <w:rPr>
                <w:rFonts w:hint="eastAsia"/>
                <w:bCs/>
              </w:rPr>
              <w:t>系统</w:t>
            </w:r>
          </w:p>
        </w:tc>
        <w:tc>
          <w:tcPr>
            <w:tcW w:w="2137"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Cs/>
              </w:rPr>
            </w:pPr>
            <w:r>
              <w:rPr>
                <w:rFonts w:hint="eastAsia"/>
                <w:bCs/>
              </w:rPr>
              <w:t>门电机</w:t>
            </w:r>
          </w:p>
        </w:tc>
        <w:tc>
          <w:tcPr>
            <w:tcW w:w="990" w:type="dxa"/>
            <w:tcBorders>
              <w:top w:val="single" w:color="auto" w:sz="4" w:space="0"/>
              <w:left w:val="single" w:color="auto" w:sz="4" w:space="0"/>
              <w:bottom w:val="single" w:color="auto" w:sz="4" w:space="0"/>
              <w:right w:val="single" w:color="auto" w:sz="4" w:space="0"/>
            </w:tcBorders>
          </w:tcPr>
          <w:p>
            <w:pPr>
              <w:ind w:firstLine="0" w:firstLineChars="0"/>
              <w:jc w:val="center"/>
              <w:rPr>
                <w:bCs/>
              </w:rPr>
            </w:pPr>
            <w:r>
              <w:rPr>
                <w:rFonts w:hint="eastAsia"/>
                <w:bCs/>
              </w:rPr>
              <w:t> </w:t>
            </w:r>
          </w:p>
        </w:tc>
        <w:tc>
          <w:tcPr>
            <w:tcW w:w="120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Cs/>
              </w:rPr>
            </w:pPr>
            <w:r>
              <w:rPr>
                <w:rFonts w:hint="eastAsia"/>
                <w:bCs/>
              </w:rPr>
              <w:t> </w:t>
            </w:r>
          </w:p>
        </w:tc>
        <w:tc>
          <w:tcPr>
            <w:tcW w:w="12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Cs/>
              </w:rPr>
            </w:pPr>
            <w:r>
              <w:rPr>
                <w:rFonts w:hint="eastAsia"/>
                <w:bCs/>
              </w:rPr>
              <w:t> </w:t>
            </w:r>
          </w:p>
        </w:tc>
        <w:tc>
          <w:tcPr>
            <w:tcW w:w="1506" w:type="dxa"/>
            <w:vMerge w:val="restart"/>
            <w:tcBorders>
              <w:top w:val="single" w:color="auto" w:sz="4" w:space="0"/>
              <w:left w:val="single" w:color="auto" w:sz="4" w:space="0"/>
              <w:bottom w:val="single" w:color="auto" w:sz="4" w:space="0"/>
            </w:tcBorders>
            <w:vAlign w:val="center"/>
          </w:tcPr>
          <w:p>
            <w:pPr>
              <w:ind w:firstLine="0" w:firstLineChars="0"/>
              <w:jc w:val="center"/>
              <w:rPr>
                <w:bCs/>
              </w:rPr>
            </w:pPr>
            <w:r>
              <w:rPr>
                <w:rFonts w:hint="eastAsia"/>
                <w:bCs/>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7" w:hRule="atLeast"/>
          <w:jc w:val="center"/>
        </w:trPr>
        <w:tc>
          <w:tcPr>
            <w:tcW w:w="990" w:type="dxa"/>
            <w:vMerge w:val="continue"/>
            <w:tcBorders>
              <w:top w:val="single" w:color="auto" w:sz="4" w:space="0"/>
              <w:bottom w:val="single" w:color="auto" w:sz="4" w:space="0"/>
              <w:right w:val="single" w:color="auto" w:sz="4" w:space="0"/>
            </w:tcBorders>
            <w:vAlign w:val="center"/>
          </w:tcPr>
          <w:p>
            <w:pPr>
              <w:ind w:firstLine="0" w:firstLineChars="0"/>
              <w:jc w:val="center"/>
              <w:rPr>
                <w:bCs/>
              </w:rPr>
            </w:pPr>
          </w:p>
        </w:tc>
        <w:tc>
          <w:tcPr>
            <w:tcW w:w="653" w:type="dxa"/>
            <w:vMerge w:val="continue"/>
            <w:tcBorders>
              <w:top w:val="single" w:color="auto" w:sz="4" w:space="0"/>
              <w:left w:val="single" w:color="auto" w:sz="4" w:space="0"/>
              <w:bottom w:val="single" w:color="auto" w:sz="4" w:space="0"/>
              <w:right w:val="single" w:color="auto" w:sz="4" w:space="0"/>
            </w:tcBorders>
            <w:vAlign w:val="center"/>
          </w:tcPr>
          <w:p>
            <w:pPr>
              <w:ind w:firstLine="0" w:firstLineChars="0"/>
              <w:jc w:val="center"/>
              <w:rPr>
                <w:bCs/>
              </w:rPr>
            </w:pPr>
          </w:p>
        </w:tc>
        <w:tc>
          <w:tcPr>
            <w:tcW w:w="2137"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Cs/>
              </w:rPr>
            </w:pPr>
            <w:r>
              <w:rPr>
                <w:rFonts w:hint="eastAsia"/>
                <w:bCs/>
              </w:rPr>
              <w:t>门变频控制系统</w:t>
            </w:r>
          </w:p>
        </w:tc>
        <w:tc>
          <w:tcPr>
            <w:tcW w:w="990" w:type="dxa"/>
            <w:tcBorders>
              <w:top w:val="single" w:color="auto" w:sz="4" w:space="0"/>
              <w:left w:val="single" w:color="auto" w:sz="4" w:space="0"/>
              <w:bottom w:val="single" w:color="auto" w:sz="4" w:space="0"/>
              <w:right w:val="single" w:color="auto" w:sz="4" w:space="0"/>
            </w:tcBorders>
          </w:tcPr>
          <w:p>
            <w:pPr>
              <w:ind w:firstLine="0" w:firstLineChars="0"/>
              <w:jc w:val="center"/>
              <w:rPr>
                <w:bCs/>
              </w:rPr>
            </w:pPr>
            <w:r>
              <w:rPr>
                <w:rFonts w:hint="eastAsia"/>
                <w:bCs/>
              </w:rPr>
              <w:t> </w:t>
            </w:r>
          </w:p>
        </w:tc>
        <w:tc>
          <w:tcPr>
            <w:tcW w:w="120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Cs/>
              </w:rPr>
            </w:pPr>
            <w:r>
              <w:rPr>
                <w:rFonts w:hint="eastAsia"/>
                <w:bCs/>
              </w:rPr>
              <w:t> </w:t>
            </w:r>
          </w:p>
        </w:tc>
        <w:tc>
          <w:tcPr>
            <w:tcW w:w="12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Cs/>
              </w:rPr>
            </w:pPr>
            <w:r>
              <w:rPr>
                <w:rFonts w:hint="eastAsia"/>
                <w:bCs/>
              </w:rPr>
              <w:t> </w:t>
            </w:r>
          </w:p>
        </w:tc>
        <w:tc>
          <w:tcPr>
            <w:tcW w:w="1506" w:type="dxa"/>
            <w:vMerge w:val="continue"/>
            <w:tcBorders>
              <w:top w:val="single" w:color="auto" w:sz="4" w:space="0"/>
              <w:left w:val="single" w:color="auto" w:sz="4" w:space="0"/>
              <w:bottom w:val="single" w:color="auto" w:sz="4" w:space="0"/>
            </w:tcBorders>
            <w:vAlign w:val="center"/>
          </w:tcPr>
          <w:p>
            <w:pPr>
              <w:ind w:firstLine="0" w:firstLineChars="0"/>
              <w:jc w:val="center"/>
              <w:rPr>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0" w:hRule="atLeast"/>
          <w:jc w:val="center"/>
        </w:trPr>
        <w:tc>
          <w:tcPr>
            <w:tcW w:w="990" w:type="dxa"/>
            <w:vMerge w:val="continue"/>
            <w:tcBorders>
              <w:top w:val="single" w:color="auto" w:sz="4" w:space="0"/>
              <w:bottom w:val="single" w:color="auto" w:sz="4" w:space="0"/>
              <w:right w:val="single" w:color="auto" w:sz="4" w:space="0"/>
            </w:tcBorders>
            <w:vAlign w:val="center"/>
          </w:tcPr>
          <w:p>
            <w:pPr>
              <w:ind w:firstLine="0" w:firstLineChars="0"/>
              <w:jc w:val="center"/>
              <w:rPr>
                <w:bCs/>
              </w:rPr>
            </w:pPr>
          </w:p>
        </w:tc>
        <w:tc>
          <w:tcPr>
            <w:tcW w:w="653" w:type="dxa"/>
            <w:vMerge w:val="continue"/>
            <w:tcBorders>
              <w:top w:val="single" w:color="auto" w:sz="4" w:space="0"/>
              <w:left w:val="single" w:color="auto" w:sz="4" w:space="0"/>
              <w:bottom w:val="single" w:color="auto" w:sz="4" w:space="0"/>
              <w:right w:val="single" w:color="auto" w:sz="4" w:space="0"/>
            </w:tcBorders>
            <w:vAlign w:val="center"/>
          </w:tcPr>
          <w:p>
            <w:pPr>
              <w:ind w:firstLine="0" w:firstLineChars="0"/>
              <w:jc w:val="center"/>
              <w:rPr>
                <w:bCs/>
              </w:rPr>
            </w:pPr>
          </w:p>
        </w:tc>
        <w:tc>
          <w:tcPr>
            <w:tcW w:w="2137"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Cs/>
              </w:rPr>
            </w:pPr>
            <w:r>
              <w:rPr>
                <w:rFonts w:hint="eastAsia"/>
                <w:bCs/>
              </w:rPr>
              <w:t>门机传动机械构件</w:t>
            </w:r>
          </w:p>
        </w:tc>
        <w:tc>
          <w:tcPr>
            <w:tcW w:w="990" w:type="dxa"/>
            <w:tcBorders>
              <w:top w:val="single" w:color="auto" w:sz="4" w:space="0"/>
              <w:left w:val="single" w:color="auto" w:sz="4" w:space="0"/>
              <w:bottom w:val="single" w:color="auto" w:sz="4" w:space="0"/>
              <w:right w:val="single" w:color="auto" w:sz="4" w:space="0"/>
            </w:tcBorders>
          </w:tcPr>
          <w:p>
            <w:pPr>
              <w:ind w:firstLine="0" w:firstLineChars="0"/>
              <w:jc w:val="center"/>
              <w:rPr>
                <w:bCs/>
              </w:rPr>
            </w:pPr>
            <w:r>
              <w:rPr>
                <w:rFonts w:hint="eastAsia"/>
                <w:bCs/>
              </w:rPr>
              <w:t> </w:t>
            </w:r>
          </w:p>
        </w:tc>
        <w:tc>
          <w:tcPr>
            <w:tcW w:w="120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Cs/>
              </w:rPr>
            </w:pPr>
            <w:r>
              <w:rPr>
                <w:rFonts w:hint="eastAsia"/>
                <w:bCs/>
              </w:rPr>
              <w:t> </w:t>
            </w:r>
          </w:p>
        </w:tc>
        <w:tc>
          <w:tcPr>
            <w:tcW w:w="12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Cs/>
              </w:rPr>
            </w:pPr>
            <w:r>
              <w:rPr>
                <w:rFonts w:hint="eastAsia"/>
                <w:bCs/>
              </w:rPr>
              <w:t> </w:t>
            </w:r>
          </w:p>
        </w:tc>
        <w:tc>
          <w:tcPr>
            <w:tcW w:w="1506" w:type="dxa"/>
            <w:vMerge w:val="continue"/>
            <w:tcBorders>
              <w:top w:val="single" w:color="auto" w:sz="4" w:space="0"/>
              <w:left w:val="single" w:color="auto" w:sz="4" w:space="0"/>
              <w:bottom w:val="single" w:color="auto" w:sz="4" w:space="0"/>
            </w:tcBorders>
            <w:vAlign w:val="center"/>
          </w:tcPr>
          <w:p>
            <w:pPr>
              <w:ind w:firstLine="0" w:firstLineChars="0"/>
              <w:jc w:val="center"/>
              <w:rPr>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jc w:val="center"/>
        </w:trPr>
        <w:tc>
          <w:tcPr>
            <w:tcW w:w="990" w:type="dxa"/>
            <w:tcBorders>
              <w:top w:val="single" w:color="auto" w:sz="4" w:space="0"/>
              <w:bottom w:val="single" w:color="auto" w:sz="4" w:space="0"/>
              <w:right w:val="single" w:color="auto" w:sz="4" w:space="0"/>
            </w:tcBorders>
            <w:vAlign w:val="center"/>
          </w:tcPr>
          <w:p>
            <w:pPr>
              <w:ind w:firstLine="0" w:firstLineChars="0"/>
              <w:jc w:val="center"/>
              <w:rPr>
                <w:bCs/>
              </w:rPr>
            </w:pPr>
            <w:r>
              <w:rPr>
                <w:rFonts w:hint="eastAsia"/>
                <w:bCs/>
              </w:rPr>
              <w:t>4</w:t>
            </w:r>
          </w:p>
        </w:tc>
        <w:tc>
          <w:tcPr>
            <w:tcW w:w="2790"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bCs/>
              </w:rPr>
            </w:pPr>
            <w:r>
              <w:rPr>
                <w:rFonts w:hint="eastAsia"/>
                <w:bCs/>
              </w:rPr>
              <w:t>光幕</w:t>
            </w:r>
          </w:p>
        </w:tc>
        <w:tc>
          <w:tcPr>
            <w:tcW w:w="99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Cs/>
              </w:rPr>
            </w:pPr>
            <w:r>
              <w:rPr>
                <w:rFonts w:hint="eastAsia"/>
                <w:bCs/>
              </w:rPr>
              <w:t> </w:t>
            </w:r>
          </w:p>
        </w:tc>
        <w:tc>
          <w:tcPr>
            <w:tcW w:w="1209" w:type="dxa"/>
            <w:tcBorders>
              <w:top w:val="single" w:color="auto" w:sz="4" w:space="0"/>
              <w:left w:val="single" w:color="auto" w:sz="4" w:space="0"/>
              <w:bottom w:val="single" w:color="auto" w:sz="4" w:space="0"/>
              <w:right w:val="single" w:color="auto" w:sz="4" w:space="0"/>
            </w:tcBorders>
          </w:tcPr>
          <w:p>
            <w:pPr>
              <w:ind w:firstLine="0" w:firstLineChars="0"/>
              <w:jc w:val="center"/>
              <w:rPr>
                <w:bCs/>
              </w:rPr>
            </w:pPr>
            <w:r>
              <w:rPr>
                <w:rFonts w:hint="eastAsia"/>
                <w:bCs/>
              </w:rPr>
              <w:t> </w:t>
            </w:r>
          </w:p>
        </w:tc>
        <w:tc>
          <w:tcPr>
            <w:tcW w:w="12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Cs/>
              </w:rPr>
            </w:pPr>
            <w:r>
              <w:rPr>
                <w:rFonts w:hint="eastAsia"/>
                <w:bCs/>
              </w:rPr>
              <w:t> </w:t>
            </w:r>
          </w:p>
        </w:tc>
        <w:tc>
          <w:tcPr>
            <w:tcW w:w="1506" w:type="dxa"/>
            <w:tcBorders>
              <w:top w:val="single" w:color="auto" w:sz="4" w:space="0"/>
              <w:left w:val="single" w:color="auto" w:sz="4" w:space="0"/>
              <w:bottom w:val="single" w:color="auto" w:sz="4" w:space="0"/>
            </w:tcBorders>
            <w:vAlign w:val="center"/>
          </w:tcPr>
          <w:p>
            <w:pPr>
              <w:ind w:firstLine="0" w:firstLineChars="0"/>
              <w:jc w:val="center"/>
              <w:rPr>
                <w:bCs/>
              </w:rPr>
            </w:pPr>
            <w:r>
              <w:rPr>
                <w:rFonts w:hint="eastAsia"/>
                <w:bCs/>
              </w:rPr>
              <w:t>须明确光束数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990" w:type="dxa"/>
            <w:tcBorders>
              <w:top w:val="single" w:color="auto" w:sz="4" w:space="0"/>
              <w:bottom w:val="single" w:color="auto" w:sz="4" w:space="0"/>
              <w:right w:val="single" w:color="auto" w:sz="4" w:space="0"/>
            </w:tcBorders>
            <w:vAlign w:val="center"/>
          </w:tcPr>
          <w:p>
            <w:pPr>
              <w:ind w:firstLine="0" w:firstLineChars="0"/>
              <w:jc w:val="center"/>
              <w:rPr>
                <w:bCs/>
              </w:rPr>
            </w:pPr>
            <w:r>
              <w:rPr>
                <w:rFonts w:hint="eastAsia"/>
                <w:bCs/>
              </w:rPr>
              <w:t>5</w:t>
            </w:r>
          </w:p>
        </w:tc>
        <w:tc>
          <w:tcPr>
            <w:tcW w:w="2790"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bCs/>
              </w:rPr>
            </w:pPr>
            <w:r>
              <w:rPr>
                <w:rFonts w:hint="eastAsia"/>
                <w:bCs/>
              </w:rPr>
              <w:t>导轨</w:t>
            </w:r>
          </w:p>
        </w:tc>
        <w:tc>
          <w:tcPr>
            <w:tcW w:w="99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Cs/>
              </w:rPr>
            </w:pPr>
            <w:r>
              <w:rPr>
                <w:rFonts w:hint="eastAsia"/>
                <w:bCs/>
              </w:rPr>
              <w:t> </w:t>
            </w:r>
          </w:p>
        </w:tc>
        <w:tc>
          <w:tcPr>
            <w:tcW w:w="1209" w:type="dxa"/>
            <w:tcBorders>
              <w:top w:val="single" w:color="auto" w:sz="4" w:space="0"/>
              <w:left w:val="single" w:color="auto" w:sz="4" w:space="0"/>
              <w:bottom w:val="single" w:color="auto" w:sz="4" w:space="0"/>
              <w:right w:val="single" w:color="auto" w:sz="4" w:space="0"/>
            </w:tcBorders>
          </w:tcPr>
          <w:p>
            <w:pPr>
              <w:ind w:firstLine="0" w:firstLineChars="0"/>
              <w:jc w:val="center"/>
              <w:rPr>
                <w:bCs/>
              </w:rPr>
            </w:pPr>
            <w:r>
              <w:rPr>
                <w:rFonts w:hint="eastAsia"/>
                <w:bCs/>
              </w:rPr>
              <w:t> </w:t>
            </w:r>
          </w:p>
        </w:tc>
        <w:tc>
          <w:tcPr>
            <w:tcW w:w="12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Cs/>
              </w:rPr>
            </w:pPr>
            <w:r>
              <w:rPr>
                <w:rFonts w:hint="eastAsia"/>
                <w:bCs/>
              </w:rPr>
              <w:t> </w:t>
            </w:r>
          </w:p>
        </w:tc>
        <w:tc>
          <w:tcPr>
            <w:tcW w:w="1506" w:type="dxa"/>
            <w:tcBorders>
              <w:top w:val="single" w:color="auto" w:sz="4" w:space="0"/>
              <w:left w:val="single" w:color="auto" w:sz="4" w:space="0"/>
              <w:bottom w:val="single" w:color="auto" w:sz="4" w:space="0"/>
            </w:tcBorders>
            <w:vAlign w:val="center"/>
          </w:tcPr>
          <w:p>
            <w:pPr>
              <w:ind w:firstLine="0" w:firstLineChars="0"/>
              <w:jc w:val="center"/>
              <w:rPr>
                <w:bCs/>
              </w:rPr>
            </w:pPr>
            <w:r>
              <w:rPr>
                <w:rFonts w:hint="eastAsia"/>
                <w:bCs/>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990" w:type="dxa"/>
            <w:tcBorders>
              <w:top w:val="single" w:color="auto" w:sz="4" w:space="0"/>
              <w:bottom w:val="single" w:color="auto" w:sz="4" w:space="0"/>
              <w:right w:val="single" w:color="auto" w:sz="4" w:space="0"/>
            </w:tcBorders>
            <w:vAlign w:val="center"/>
          </w:tcPr>
          <w:p>
            <w:pPr>
              <w:ind w:firstLine="0" w:firstLineChars="0"/>
              <w:jc w:val="center"/>
              <w:rPr>
                <w:bCs/>
              </w:rPr>
            </w:pPr>
            <w:r>
              <w:rPr>
                <w:rFonts w:hint="eastAsia"/>
                <w:bCs/>
              </w:rPr>
              <w:t>6</w:t>
            </w:r>
          </w:p>
        </w:tc>
        <w:tc>
          <w:tcPr>
            <w:tcW w:w="2790"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bCs/>
              </w:rPr>
            </w:pPr>
            <w:r>
              <w:rPr>
                <w:rFonts w:hint="eastAsia"/>
                <w:bCs/>
              </w:rPr>
              <w:t>限速器</w:t>
            </w:r>
          </w:p>
        </w:tc>
        <w:tc>
          <w:tcPr>
            <w:tcW w:w="99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Cs/>
              </w:rPr>
            </w:pPr>
            <w:r>
              <w:rPr>
                <w:rFonts w:hint="eastAsia"/>
                <w:bCs/>
              </w:rPr>
              <w:t> </w:t>
            </w:r>
          </w:p>
        </w:tc>
        <w:tc>
          <w:tcPr>
            <w:tcW w:w="1209" w:type="dxa"/>
            <w:tcBorders>
              <w:top w:val="single" w:color="auto" w:sz="4" w:space="0"/>
              <w:left w:val="single" w:color="auto" w:sz="4" w:space="0"/>
              <w:bottom w:val="single" w:color="auto" w:sz="4" w:space="0"/>
              <w:right w:val="single" w:color="auto" w:sz="4" w:space="0"/>
            </w:tcBorders>
          </w:tcPr>
          <w:p>
            <w:pPr>
              <w:ind w:firstLine="0" w:firstLineChars="0"/>
              <w:jc w:val="center"/>
              <w:rPr>
                <w:bCs/>
              </w:rPr>
            </w:pPr>
            <w:r>
              <w:rPr>
                <w:rFonts w:hint="eastAsia"/>
                <w:bCs/>
              </w:rPr>
              <w:t> </w:t>
            </w:r>
          </w:p>
        </w:tc>
        <w:tc>
          <w:tcPr>
            <w:tcW w:w="12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Cs/>
              </w:rPr>
            </w:pPr>
            <w:r>
              <w:rPr>
                <w:rFonts w:hint="eastAsia"/>
                <w:bCs/>
              </w:rPr>
              <w:t> </w:t>
            </w:r>
          </w:p>
        </w:tc>
        <w:tc>
          <w:tcPr>
            <w:tcW w:w="1506" w:type="dxa"/>
            <w:tcBorders>
              <w:top w:val="single" w:color="auto" w:sz="4" w:space="0"/>
              <w:left w:val="single" w:color="auto" w:sz="4" w:space="0"/>
              <w:bottom w:val="single" w:color="auto" w:sz="4" w:space="0"/>
            </w:tcBorders>
            <w:vAlign w:val="center"/>
          </w:tcPr>
          <w:p>
            <w:pPr>
              <w:ind w:firstLine="0" w:firstLineChars="0"/>
              <w:jc w:val="center"/>
              <w:rPr>
                <w:bCs/>
              </w:rPr>
            </w:pPr>
            <w:r>
              <w:rPr>
                <w:rFonts w:hint="eastAsia"/>
                <w:bCs/>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990" w:type="dxa"/>
            <w:tcBorders>
              <w:top w:val="single" w:color="auto" w:sz="4" w:space="0"/>
              <w:bottom w:val="single" w:color="auto" w:sz="4" w:space="0"/>
              <w:right w:val="single" w:color="auto" w:sz="4" w:space="0"/>
            </w:tcBorders>
            <w:vAlign w:val="center"/>
          </w:tcPr>
          <w:p>
            <w:pPr>
              <w:ind w:firstLine="0" w:firstLineChars="0"/>
              <w:jc w:val="center"/>
              <w:rPr>
                <w:bCs/>
              </w:rPr>
            </w:pPr>
            <w:r>
              <w:rPr>
                <w:rFonts w:hint="eastAsia"/>
                <w:bCs/>
              </w:rPr>
              <w:t>7</w:t>
            </w:r>
          </w:p>
        </w:tc>
        <w:tc>
          <w:tcPr>
            <w:tcW w:w="2790"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bCs/>
              </w:rPr>
            </w:pPr>
            <w:r>
              <w:rPr>
                <w:rFonts w:hint="eastAsia"/>
                <w:bCs/>
              </w:rPr>
              <w:t>安全钳</w:t>
            </w:r>
          </w:p>
        </w:tc>
        <w:tc>
          <w:tcPr>
            <w:tcW w:w="99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Cs/>
              </w:rPr>
            </w:pPr>
            <w:r>
              <w:rPr>
                <w:rFonts w:hint="eastAsia"/>
                <w:bCs/>
              </w:rPr>
              <w:t> </w:t>
            </w:r>
          </w:p>
        </w:tc>
        <w:tc>
          <w:tcPr>
            <w:tcW w:w="1209" w:type="dxa"/>
            <w:tcBorders>
              <w:top w:val="single" w:color="auto" w:sz="4" w:space="0"/>
              <w:left w:val="single" w:color="auto" w:sz="4" w:space="0"/>
              <w:bottom w:val="single" w:color="auto" w:sz="4" w:space="0"/>
              <w:right w:val="single" w:color="auto" w:sz="4" w:space="0"/>
            </w:tcBorders>
          </w:tcPr>
          <w:p>
            <w:pPr>
              <w:ind w:firstLine="0" w:firstLineChars="0"/>
              <w:jc w:val="center"/>
              <w:rPr>
                <w:bCs/>
              </w:rPr>
            </w:pPr>
            <w:r>
              <w:rPr>
                <w:rFonts w:hint="eastAsia"/>
                <w:bCs/>
              </w:rPr>
              <w:t> </w:t>
            </w:r>
          </w:p>
        </w:tc>
        <w:tc>
          <w:tcPr>
            <w:tcW w:w="12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Cs/>
              </w:rPr>
            </w:pPr>
            <w:r>
              <w:rPr>
                <w:rFonts w:hint="eastAsia"/>
                <w:bCs/>
              </w:rPr>
              <w:t> </w:t>
            </w:r>
          </w:p>
        </w:tc>
        <w:tc>
          <w:tcPr>
            <w:tcW w:w="1506" w:type="dxa"/>
            <w:tcBorders>
              <w:top w:val="single" w:color="auto" w:sz="4" w:space="0"/>
              <w:left w:val="single" w:color="auto" w:sz="4" w:space="0"/>
              <w:bottom w:val="single" w:color="auto" w:sz="4" w:space="0"/>
            </w:tcBorders>
            <w:vAlign w:val="center"/>
          </w:tcPr>
          <w:p>
            <w:pPr>
              <w:ind w:firstLine="0" w:firstLineChars="0"/>
              <w:jc w:val="center"/>
              <w:rPr>
                <w:bCs/>
              </w:rPr>
            </w:pPr>
            <w:r>
              <w:rPr>
                <w:rFonts w:hint="eastAsia"/>
                <w:bCs/>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990" w:type="dxa"/>
            <w:tcBorders>
              <w:top w:val="single" w:color="auto" w:sz="4" w:space="0"/>
              <w:bottom w:val="single" w:color="auto" w:sz="4" w:space="0"/>
              <w:right w:val="single" w:color="auto" w:sz="4" w:space="0"/>
            </w:tcBorders>
            <w:vAlign w:val="center"/>
          </w:tcPr>
          <w:p>
            <w:pPr>
              <w:ind w:firstLine="0" w:firstLineChars="0"/>
              <w:jc w:val="center"/>
              <w:rPr>
                <w:bCs/>
              </w:rPr>
            </w:pPr>
            <w:r>
              <w:rPr>
                <w:rFonts w:hint="eastAsia"/>
                <w:bCs/>
              </w:rPr>
              <w:t>8</w:t>
            </w:r>
          </w:p>
        </w:tc>
        <w:tc>
          <w:tcPr>
            <w:tcW w:w="2790"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bCs/>
              </w:rPr>
            </w:pPr>
            <w:r>
              <w:rPr>
                <w:rFonts w:hint="eastAsia"/>
                <w:bCs/>
              </w:rPr>
              <w:t>钢丝绳</w:t>
            </w:r>
          </w:p>
        </w:tc>
        <w:tc>
          <w:tcPr>
            <w:tcW w:w="99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Cs/>
              </w:rPr>
            </w:pPr>
            <w:r>
              <w:rPr>
                <w:rFonts w:hint="eastAsia"/>
                <w:bCs/>
              </w:rPr>
              <w:t> </w:t>
            </w:r>
          </w:p>
        </w:tc>
        <w:tc>
          <w:tcPr>
            <w:tcW w:w="1209" w:type="dxa"/>
            <w:tcBorders>
              <w:top w:val="single" w:color="auto" w:sz="4" w:space="0"/>
              <w:left w:val="single" w:color="auto" w:sz="4" w:space="0"/>
              <w:bottom w:val="single" w:color="auto" w:sz="4" w:space="0"/>
              <w:right w:val="single" w:color="auto" w:sz="4" w:space="0"/>
            </w:tcBorders>
          </w:tcPr>
          <w:p>
            <w:pPr>
              <w:ind w:firstLine="0" w:firstLineChars="0"/>
              <w:jc w:val="center"/>
              <w:rPr>
                <w:bCs/>
              </w:rPr>
            </w:pPr>
            <w:r>
              <w:rPr>
                <w:rFonts w:hint="eastAsia"/>
                <w:bCs/>
              </w:rPr>
              <w:t> </w:t>
            </w:r>
          </w:p>
        </w:tc>
        <w:tc>
          <w:tcPr>
            <w:tcW w:w="12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Cs/>
              </w:rPr>
            </w:pPr>
            <w:r>
              <w:rPr>
                <w:rFonts w:hint="eastAsia"/>
                <w:bCs/>
              </w:rPr>
              <w:t> </w:t>
            </w:r>
          </w:p>
        </w:tc>
        <w:tc>
          <w:tcPr>
            <w:tcW w:w="1506" w:type="dxa"/>
            <w:tcBorders>
              <w:top w:val="single" w:color="auto" w:sz="4" w:space="0"/>
              <w:left w:val="single" w:color="auto" w:sz="4" w:space="0"/>
              <w:bottom w:val="single" w:color="auto" w:sz="4" w:space="0"/>
            </w:tcBorders>
            <w:vAlign w:val="center"/>
          </w:tcPr>
          <w:p>
            <w:pPr>
              <w:ind w:firstLine="0" w:firstLineChars="0"/>
              <w:jc w:val="center"/>
              <w:rPr>
                <w:bCs/>
              </w:rPr>
            </w:pPr>
            <w:r>
              <w:rPr>
                <w:rFonts w:hint="eastAsia"/>
                <w:bCs/>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jc w:val="center"/>
        </w:trPr>
        <w:tc>
          <w:tcPr>
            <w:tcW w:w="990" w:type="dxa"/>
            <w:tcBorders>
              <w:top w:val="single" w:color="auto" w:sz="4" w:space="0"/>
              <w:bottom w:val="single" w:color="auto" w:sz="4" w:space="0"/>
              <w:right w:val="single" w:color="auto" w:sz="4" w:space="0"/>
            </w:tcBorders>
            <w:vAlign w:val="center"/>
          </w:tcPr>
          <w:p>
            <w:pPr>
              <w:ind w:firstLine="0" w:firstLineChars="0"/>
              <w:jc w:val="center"/>
              <w:rPr>
                <w:bCs/>
              </w:rPr>
            </w:pPr>
            <w:r>
              <w:rPr>
                <w:rFonts w:hint="eastAsia"/>
                <w:bCs/>
              </w:rPr>
              <w:t>9</w:t>
            </w:r>
          </w:p>
        </w:tc>
        <w:tc>
          <w:tcPr>
            <w:tcW w:w="2790"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bCs/>
              </w:rPr>
            </w:pPr>
            <w:r>
              <w:rPr>
                <w:rFonts w:hint="eastAsia"/>
                <w:bCs/>
              </w:rPr>
              <w:t>随行电缆</w:t>
            </w:r>
          </w:p>
        </w:tc>
        <w:tc>
          <w:tcPr>
            <w:tcW w:w="99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Cs/>
              </w:rPr>
            </w:pPr>
            <w:r>
              <w:rPr>
                <w:rFonts w:hint="eastAsia"/>
                <w:bCs/>
              </w:rPr>
              <w:t> </w:t>
            </w:r>
          </w:p>
        </w:tc>
        <w:tc>
          <w:tcPr>
            <w:tcW w:w="1209" w:type="dxa"/>
            <w:tcBorders>
              <w:top w:val="single" w:color="auto" w:sz="4" w:space="0"/>
              <w:left w:val="single" w:color="auto" w:sz="4" w:space="0"/>
              <w:bottom w:val="single" w:color="auto" w:sz="4" w:space="0"/>
              <w:right w:val="single" w:color="auto" w:sz="4" w:space="0"/>
            </w:tcBorders>
          </w:tcPr>
          <w:p>
            <w:pPr>
              <w:ind w:firstLine="0" w:firstLineChars="0"/>
              <w:jc w:val="center"/>
              <w:rPr>
                <w:bCs/>
              </w:rPr>
            </w:pPr>
            <w:r>
              <w:rPr>
                <w:rFonts w:hint="eastAsia"/>
                <w:bCs/>
              </w:rPr>
              <w:t> </w:t>
            </w:r>
          </w:p>
        </w:tc>
        <w:tc>
          <w:tcPr>
            <w:tcW w:w="12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Cs/>
              </w:rPr>
            </w:pPr>
            <w:r>
              <w:rPr>
                <w:rFonts w:hint="eastAsia"/>
                <w:bCs/>
              </w:rPr>
              <w:t> </w:t>
            </w:r>
          </w:p>
        </w:tc>
        <w:tc>
          <w:tcPr>
            <w:tcW w:w="1506" w:type="dxa"/>
            <w:tcBorders>
              <w:top w:val="single" w:color="auto" w:sz="4" w:space="0"/>
              <w:left w:val="single" w:color="auto" w:sz="4" w:space="0"/>
              <w:bottom w:val="single" w:color="auto" w:sz="4" w:space="0"/>
            </w:tcBorders>
            <w:vAlign w:val="center"/>
          </w:tcPr>
          <w:p>
            <w:pPr>
              <w:ind w:firstLine="0" w:firstLineChars="0"/>
              <w:jc w:val="center"/>
              <w:rPr>
                <w:bCs/>
              </w:rPr>
            </w:pPr>
            <w:r>
              <w:rPr>
                <w:rFonts w:hint="eastAsia"/>
                <w:bCs/>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990" w:type="dxa"/>
            <w:tcBorders>
              <w:top w:val="single" w:color="auto" w:sz="4" w:space="0"/>
              <w:bottom w:val="single" w:color="auto" w:sz="4" w:space="0"/>
              <w:right w:val="single" w:color="auto" w:sz="4" w:space="0"/>
            </w:tcBorders>
            <w:vAlign w:val="center"/>
          </w:tcPr>
          <w:p>
            <w:pPr>
              <w:ind w:firstLine="0" w:firstLineChars="0"/>
              <w:jc w:val="center"/>
              <w:rPr>
                <w:bCs/>
              </w:rPr>
            </w:pPr>
            <w:r>
              <w:rPr>
                <w:rFonts w:hint="eastAsia"/>
                <w:bCs/>
              </w:rPr>
              <w:t>10</w:t>
            </w:r>
          </w:p>
        </w:tc>
        <w:tc>
          <w:tcPr>
            <w:tcW w:w="2790"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bCs/>
              </w:rPr>
            </w:pPr>
            <w:r>
              <w:rPr>
                <w:rFonts w:hint="eastAsia"/>
                <w:bCs/>
              </w:rPr>
              <w:t>缓冲器</w:t>
            </w:r>
          </w:p>
        </w:tc>
        <w:tc>
          <w:tcPr>
            <w:tcW w:w="99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Cs/>
              </w:rPr>
            </w:pPr>
            <w:r>
              <w:rPr>
                <w:rFonts w:hint="eastAsia"/>
                <w:bCs/>
              </w:rPr>
              <w:t> </w:t>
            </w:r>
          </w:p>
        </w:tc>
        <w:tc>
          <w:tcPr>
            <w:tcW w:w="1209" w:type="dxa"/>
            <w:tcBorders>
              <w:top w:val="single" w:color="auto" w:sz="4" w:space="0"/>
              <w:left w:val="single" w:color="auto" w:sz="4" w:space="0"/>
              <w:bottom w:val="single" w:color="auto" w:sz="4" w:space="0"/>
              <w:right w:val="single" w:color="auto" w:sz="4" w:space="0"/>
            </w:tcBorders>
          </w:tcPr>
          <w:p>
            <w:pPr>
              <w:ind w:firstLine="0" w:firstLineChars="0"/>
              <w:jc w:val="center"/>
              <w:rPr>
                <w:bCs/>
              </w:rPr>
            </w:pPr>
            <w:r>
              <w:rPr>
                <w:rFonts w:hint="eastAsia"/>
                <w:bCs/>
              </w:rPr>
              <w:t> </w:t>
            </w:r>
          </w:p>
        </w:tc>
        <w:tc>
          <w:tcPr>
            <w:tcW w:w="12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Cs/>
              </w:rPr>
            </w:pPr>
            <w:r>
              <w:rPr>
                <w:rFonts w:hint="eastAsia"/>
                <w:bCs/>
              </w:rPr>
              <w:t> </w:t>
            </w:r>
          </w:p>
        </w:tc>
        <w:tc>
          <w:tcPr>
            <w:tcW w:w="1506" w:type="dxa"/>
            <w:tcBorders>
              <w:top w:val="single" w:color="auto" w:sz="4" w:space="0"/>
              <w:left w:val="single" w:color="auto" w:sz="4" w:space="0"/>
              <w:bottom w:val="single" w:color="auto" w:sz="4" w:space="0"/>
            </w:tcBorders>
            <w:vAlign w:val="center"/>
          </w:tcPr>
          <w:p>
            <w:pPr>
              <w:ind w:firstLine="0" w:firstLineChars="0"/>
              <w:jc w:val="center"/>
              <w:rPr>
                <w:bCs/>
              </w:rPr>
            </w:pPr>
            <w:r>
              <w:rPr>
                <w:rFonts w:hint="eastAsia"/>
                <w:bCs/>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990" w:type="dxa"/>
            <w:tcBorders>
              <w:top w:val="single" w:color="auto" w:sz="4" w:space="0"/>
              <w:bottom w:val="single" w:color="auto" w:sz="4" w:space="0"/>
              <w:right w:val="single" w:color="auto" w:sz="4" w:space="0"/>
            </w:tcBorders>
            <w:vAlign w:val="center"/>
          </w:tcPr>
          <w:p>
            <w:pPr>
              <w:ind w:firstLine="0" w:firstLineChars="0"/>
              <w:jc w:val="center"/>
              <w:rPr>
                <w:bCs/>
              </w:rPr>
            </w:pPr>
            <w:r>
              <w:rPr>
                <w:rFonts w:hint="eastAsia"/>
                <w:bCs/>
              </w:rPr>
              <w:t>11</w:t>
            </w:r>
          </w:p>
        </w:tc>
        <w:tc>
          <w:tcPr>
            <w:tcW w:w="2790"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bCs/>
              </w:rPr>
            </w:pPr>
            <w:r>
              <w:rPr>
                <w:rFonts w:hint="eastAsia"/>
                <w:bCs/>
              </w:rPr>
              <w:t>导靴或导轮</w:t>
            </w:r>
          </w:p>
        </w:tc>
        <w:tc>
          <w:tcPr>
            <w:tcW w:w="99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Cs/>
              </w:rPr>
            </w:pPr>
            <w:r>
              <w:rPr>
                <w:rFonts w:hint="eastAsia"/>
                <w:bCs/>
              </w:rPr>
              <w:t> </w:t>
            </w:r>
          </w:p>
        </w:tc>
        <w:tc>
          <w:tcPr>
            <w:tcW w:w="1209" w:type="dxa"/>
            <w:tcBorders>
              <w:top w:val="single" w:color="auto" w:sz="4" w:space="0"/>
              <w:left w:val="single" w:color="auto" w:sz="4" w:space="0"/>
              <w:bottom w:val="single" w:color="auto" w:sz="4" w:space="0"/>
              <w:right w:val="single" w:color="auto" w:sz="4" w:space="0"/>
            </w:tcBorders>
          </w:tcPr>
          <w:p>
            <w:pPr>
              <w:ind w:firstLine="0" w:firstLineChars="0"/>
              <w:jc w:val="center"/>
              <w:rPr>
                <w:bCs/>
              </w:rPr>
            </w:pPr>
            <w:r>
              <w:rPr>
                <w:rFonts w:hint="eastAsia"/>
                <w:bCs/>
              </w:rPr>
              <w:t> </w:t>
            </w:r>
          </w:p>
        </w:tc>
        <w:tc>
          <w:tcPr>
            <w:tcW w:w="12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Cs/>
              </w:rPr>
            </w:pPr>
            <w:r>
              <w:rPr>
                <w:rFonts w:hint="eastAsia"/>
                <w:bCs/>
              </w:rPr>
              <w:t> </w:t>
            </w:r>
          </w:p>
        </w:tc>
        <w:tc>
          <w:tcPr>
            <w:tcW w:w="1506" w:type="dxa"/>
            <w:tcBorders>
              <w:top w:val="single" w:color="auto" w:sz="4" w:space="0"/>
              <w:left w:val="single" w:color="auto" w:sz="4" w:space="0"/>
              <w:bottom w:val="single" w:color="auto" w:sz="4" w:space="0"/>
            </w:tcBorders>
            <w:vAlign w:val="center"/>
          </w:tcPr>
          <w:p>
            <w:pPr>
              <w:ind w:firstLine="0" w:firstLineChars="0"/>
              <w:jc w:val="center"/>
              <w:rPr>
                <w:bCs/>
              </w:rPr>
            </w:pPr>
            <w:r>
              <w:rPr>
                <w:rFonts w:hint="eastAsia"/>
                <w:bCs/>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990" w:type="dxa"/>
            <w:tcBorders>
              <w:top w:val="single" w:color="auto" w:sz="4" w:space="0"/>
              <w:bottom w:val="single" w:color="auto" w:sz="4" w:space="0"/>
              <w:right w:val="single" w:color="auto" w:sz="4" w:space="0"/>
            </w:tcBorders>
            <w:vAlign w:val="center"/>
          </w:tcPr>
          <w:p>
            <w:pPr>
              <w:ind w:firstLine="0" w:firstLineChars="0"/>
              <w:jc w:val="center"/>
              <w:rPr>
                <w:bCs/>
              </w:rPr>
            </w:pPr>
            <w:r>
              <w:rPr>
                <w:rFonts w:hint="eastAsia"/>
                <w:bCs/>
              </w:rPr>
              <w:t>12</w:t>
            </w:r>
          </w:p>
        </w:tc>
        <w:tc>
          <w:tcPr>
            <w:tcW w:w="2790"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bCs/>
              </w:rPr>
            </w:pPr>
            <w:r>
              <w:rPr>
                <w:rFonts w:hint="eastAsia"/>
                <w:bCs/>
              </w:rPr>
              <w:t>不锈钢装饰板</w:t>
            </w:r>
          </w:p>
        </w:tc>
        <w:tc>
          <w:tcPr>
            <w:tcW w:w="99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Cs/>
              </w:rPr>
            </w:pPr>
            <w:r>
              <w:rPr>
                <w:rFonts w:hint="eastAsia"/>
                <w:bCs/>
              </w:rPr>
              <w:t> </w:t>
            </w:r>
          </w:p>
        </w:tc>
        <w:tc>
          <w:tcPr>
            <w:tcW w:w="1209" w:type="dxa"/>
            <w:tcBorders>
              <w:top w:val="single" w:color="auto" w:sz="4" w:space="0"/>
              <w:left w:val="single" w:color="auto" w:sz="4" w:space="0"/>
              <w:bottom w:val="single" w:color="auto" w:sz="4" w:space="0"/>
              <w:right w:val="single" w:color="auto" w:sz="4" w:space="0"/>
            </w:tcBorders>
          </w:tcPr>
          <w:p>
            <w:pPr>
              <w:ind w:firstLine="0" w:firstLineChars="0"/>
              <w:jc w:val="center"/>
              <w:rPr>
                <w:bCs/>
              </w:rPr>
            </w:pPr>
            <w:r>
              <w:rPr>
                <w:rFonts w:hint="eastAsia"/>
                <w:bCs/>
              </w:rPr>
              <w:t> </w:t>
            </w:r>
          </w:p>
        </w:tc>
        <w:tc>
          <w:tcPr>
            <w:tcW w:w="12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Cs/>
              </w:rPr>
            </w:pPr>
            <w:r>
              <w:rPr>
                <w:rFonts w:hint="eastAsia"/>
                <w:bCs/>
              </w:rPr>
              <w:t> </w:t>
            </w:r>
          </w:p>
        </w:tc>
        <w:tc>
          <w:tcPr>
            <w:tcW w:w="1506" w:type="dxa"/>
            <w:tcBorders>
              <w:top w:val="single" w:color="auto" w:sz="4" w:space="0"/>
              <w:left w:val="single" w:color="auto" w:sz="4" w:space="0"/>
              <w:bottom w:val="single" w:color="auto" w:sz="4" w:space="0"/>
            </w:tcBorders>
            <w:vAlign w:val="center"/>
          </w:tcPr>
          <w:p>
            <w:pPr>
              <w:ind w:firstLine="0" w:firstLineChars="0"/>
              <w:jc w:val="center"/>
              <w:rPr>
                <w:bCs/>
              </w:rPr>
            </w:pPr>
            <w:r>
              <w:rPr>
                <w:rFonts w:hint="eastAsia"/>
                <w:bCs/>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8" w:hRule="atLeast"/>
          <w:jc w:val="center"/>
        </w:trPr>
        <w:tc>
          <w:tcPr>
            <w:tcW w:w="990" w:type="dxa"/>
            <w:tcBorders>
              <w:top w:val="single" w:color="auto" w:sz="4" w:space="0"/>
              <w:bottom w:val="single" w:color="auto" w:sz="4" w:space="0"/>
              <w:right w:val="single" w:color="auto" w:sz="4" w:space="0"/>
            </w:tcBorders>
            <w:vAlign w:val="center"/>
          </w:tcPr>
          <w:p>
            <w:pPr>
              <w:ind w:firstLine="0" w:firstLineChars="0"/>
              <w:jc w:val="center"/>
              <w:rPr>
                <w:bCs/>
              </w:rPr>
            </w:pPr>
            <w:r>
              <w:rPr>
                <w:rFonts w:hint="eastAsia"/>
                <w:bCs/>
              </w:rPr>
              <w:t>13</w:t>
            </w:r>
          </w:p>
        </w:tc>
        <w:tc>
          <w:tcPr>
            <w:tcW w:w="2790"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bCs/>
              </w:rPr>
            </w:pPr>
            <w:r>
              <w:rPr>
                <w:rFonts w:hint="eastAsia"/>
                <w:bCs/>
              </w:rPr>
              <w:t>操纵盘、按钮</w:t>
            </w:r>
          </w:p>
        </w:tc>
        <w:tc>
          <w:tcPr>
            <w:tcW w:w="99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Cs/>
              </w:rPr>
            </w:pPr>
            <w:r>
              <w:rPr>
                <w:rFonts w:hint="eastAsia"/>
                <w:bCs/>
              </w:rPr>
              <w:t> </w:t>
            </w:r>
          </w:p>
        </w:tc>
        <w:tc>
          <w:tcPr>
            <w:tcW w:w="1209" w:type="dxa"/>
            <w:tcBorders>
              <w:top w:val="single" w:color="auto" w:sz="4" w:space="0"/>
              <w:left w:val="single" w:color="auto" w:sz="4" w:space="0"/>
              <w:bottom w:val="single" w:color="auto" w:sz="4" w:space="0"/>
              <w:right w:val="single" w:color="auto" w:sz="4" w:space="0"/>
            </w:tcBorders>
          </w:tcPr>
          <w:p>
            <w:pPr>
              <w:ind w:firstLine="0" w:firstLineChars="0"/>
              <w:jc w:val="center"/>
              <w:rPr>
                <w:bCs/>
              </w:rPr>
            </w:pPr>
            <w:r>
              <w:rPr>
                <w:rFonts w:hint="eastAsia"/>
                <w:bCs/>
              </w:rPr>
              <w:t> </w:t>
            </w:r>
          </w:p>
        </w:tc>
        <w:tc>
          <w:tcPr>
            <w:tcW w:w="12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Cs/>
              </w:rPr>
            </w:pPr>
            <w:r>
              <w:rPr>
                <w:rFonts w:hint="eastAsia"/>
                <w:bCs/>
              </w:rPr>
              <w:t> </w:t>
            </w:r>
          </w:p>
        </w:tc>
        <w:tc>
          <w:tcPr>
            <w:tcW w:w="1506" w:type="dxa"/>
            <w:tcBorders>
              <w:top w:val="single" w:color="auto" w:sz="4" w:space="0"/>
              <w:left w:val="single" w:color="auto" w:sz="4" w:space="0"/>
              <w:bottom w:val="single" w:color="auto" w:sz="4" w:space="0"/>
            </w:tcBorders>
            <w:vAlign w:val="center"/>
          </w:tcPr>
          <w:p>
            <w:pPr>
              <w:ind w:firstLine="0" w:firstLineChars="0"/>
              <w:jc w:val="center"/>
              <w:rPr>
                <w:bCs/>
              </w:rPr>
            </w:pPr>
            <w:r>
              <w:rPr>
                <w:rFonts w:hint="eastAsia"/>
                <w:bCs/>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90" w:type="dxa"/>
            <w:tcBorders>
              <w:top w:val="single" w:color="auto" w:sz="4" w:space="0"/>
              <w:bottom w:val="single" w:color="auto" w:sz="4" w:space="0"/>
              <w:right w:val="single" w:color="auto" w:sz="4" w:space="0"/>
            </w:tcBorders>
            <w:vAlign w:val="center"/>
          </w:tcPr>
          <w:p>
            <w:pPr>
              <w:ind w:firstLine="0" w:firstLineChars="0"/>
              <w:jc w:val="center"/>
              <w:rPr>
                <w:bCs/>
              </w:rPr>
            </w:pPr>
            <w:r>
              <w:rPr>
                <w:rFonts w:hint="eastAsia"/>
                <w:bCs/>
              </w:rPr>
              <w:t>14</w:t>
            </w:r>
          </w:p>
        </w:tc>
        <w:tc>
          <w:tcPr>
            <w:tcW w:w="2790"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bCs/>
              </w:rPr>
            </w:pPr>
            <w:r>
              <w:rPr>
                <w:rFonts w:hint="eastAsia"/>
                <w:bCs/>
              </w:rPr>
              <w:t>呼梯盘、按钮</w:t>
            </w:r>
          </w:p>
        </w:tc>
        <w:tc>
          <w:tcPr>
            <w:tcW w:w="99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Cs/>
              </w:rPr>
            </w:pPr>
            <w:r>
              <w:rPr>
                <w:rFonts w:hint="eastAsia"/>
                <w:bCs/>
              </w:rPr>
              <w:t> </w:t>
            </w:r>
          </w:p>
        </w:tc>
        <w:tc>
          <w:tcPr>
            <w:tcW w:w="1209" w:type="dxa"/>
            <w:tcBorders>
              <w:top w:val="single" w:color="auto" w:sz="4" w:space="0"/>
              <w:left w:val="single" w:color="auto" w:sz="4" w:space="0"/>
              <w:bottom w:val="single" w:color="auto" w:sz="4" w:space="0"/>
              <w:right w:val="single" w:color="auto" w:sz="4" w:space="0"/>
            </w:tcBorders>
          </w:tcPr>
          <w:p>
            <w:pPr>
              <w:ind w:firstLine="0" w:firstLineChars="0"/>
              <w:jc w:val="center"/>
              <w:rPr>
                <w:bCs/>
              </w:rPr>
            </w:pPr>
            <w:r>
              <w:rPr>
                <w:rFonts w:hint="eastAsia"/>
                <w:bCs/>
              </w:rPr>
              <w:t> </w:t>
            </w:r>
          </w:p>
        </w:tc>
        <w:tc>
          <w:tcPr>
            <w:tcW w:w="12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Cs/>
              </w:rPr>
            </w:pPr>
            <w:r>
              <w:rPr>
                <w:rFonts w:hint="eastAsia"/>
                <w:bCs/>
              </w:rPr>
              <w:t> </w:t>
            </w:r>
          </w:p>
        </w:tc>
        <w:tc>
          <w:tcPr>
            <w:tcW w:w="1506" w:type="dxa"/>
            <w:tcBorders>
              <w:top w:val="single" w:color="auto" w:sz="4" w:space="0"/>
              <w:left w:val="single" w:color="auto" w:sz="4" w:space="0"/>
              <w:bottom w:val="single" w:color="auto" w:sz="4" w:space="0"/>
            </w:tcBorders>
            <w:vAlign w:val="center"/>
          </w:tcPr>
          <w:p>
            <w:pPr>
              <w:ind w:firstLine="0" w:firstLineChars="0"/>
              <w:jc w:val="center"/>
              <w:rPr>
                <w:bCs/>
              </w:rPr>
            </w:pPr>
            <w:r>
              <w:rPr>
                <w:rFonts w:hint="eastAsia"/>
                <w:bCs/>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990" w:type="dxa"/>
            <w:tcBorders>
              <w:top w:val="single" w:color="auto" w:sz="4" w:space="0"/>
              <w:bottom w:val="single" w:color="auto" w:sz="4" w:space="0"/>
              <w:right w:val="single" w:color="auto" w:sz="4" w:space="0"/>
            </w:tcBorders>
            <w:vAlign w:val="center"/>
          </w:tcPr>
          <w:p>
            <w:pPr>
              <w:ind w:firstLine="0" w:firstLineChars="0"/>
              <w:jc w:val="center"/>
              <w:rPr>
                <w:bCs/>
              </w:rPr>
            </w:pPr>
            <w:r>
              <w:rPr>
                <w:rFonts w:hint="eastAsia"/>
                <w:bCs/>
              </w:rPr>
              <w:t>15</w:t>
            </w:r>
          </w:p>
        </w:tc>
        <w:tc>
          <w:tcPr>
            <w:tcW w:w="2790"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bCs/>
              </w:rPr>
            </w:pPr>
            <w:r>
              <w:rPr>
                <w:rFonts w:hint="eastAsia"/>
                <w:bCs/>
              </w:rPr>
              <w:t>投标人认为重要的其他装置</w:t>
            </w:r>
          </w:p>
        </w:tc>
        <w:tc>
          <w:tcPr>
            <w:tcW w:w="99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Cs/>
              </w:rPr>
            </w:pPr>
            <w:r>
              <w:rPr>
                <w:rFonts w:hint="eastAsia"/>
                <w:bCs/>
              </w:rPr>
              <w:t> </w:t>
            </w:r>
          </w:p>
        </w:tc>
        <w:tc>
          <w:tcPr>
            <w:tcW w:w="1209" w:type="dxa"/>
            <w:tcBorders>
              <w:top w:val="single" w:color="auto" w:sz="4" w:space="0"/>
              <w:left w:val="single" w:color="auto" w:sz="4" w:space="0"/>
              <w:bottom w:val="single" w:color="auto" w:sz="4" w:space="0"/>
              <w:right w:val="single" w:color="auto" w:sz="4" w:space="0"/>
            </w:tcBorders>
          </w:tcPr>
          <w:p>
            <w:pPr>
              <w:ind w:firstLine="0" w:firstLineChars="0"/>
              <w:jc w:val="center"/>
              <w:rPr>
                <w:bCs/>
              </w:rPr>
            </w:pPr>
            <w:r>
              <w:rPr>
                <w:rFonts w:hint="eastAsia"/>
                <w:bCs/>
              </w:rPr>
              <w:t> </w:t>
            </w:r>
          </w:p>
        </w:tc>
        <w:tc>
          <w:tcPr>
            <w:tcW w:w="12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Cs/>
              </w:rPr>
            </w:pPr>
            <w:r>
              <w:rPr>
                <w:rFonts w:hint="eastAsia"/>
                <w:bCs/>
              </w:rPr>
              <w:t> </w:t>
            </w:r>
          </w:p>
        </w:tc>
        <w:tc>
          <w:tcPr>
            <w:tcW w:w="1506" w:type="dxa"/>
            <w:tcBorders>
              <w:top w:val="single" w:color="auto" w:sz="4" w:space="0"/>
              <w:left w:val="single" w:color="auto" w:sz="4" w:space="0"/>
              <w:bottom w:val="single" w:color="auto" w:sz="4" w:space="0"/>
            </w:tcBorders>
            <w:vAlign w:val="center"/>
          </w:tcPr>
          <w:p>
            <w:pPr>
              <w:ind w:firstLine="0" w:firstLineChars="0"/>
              <w:jc w:val="center"/>
              <w:rPr>
                <w:bCs/>
              </w:rPr>
            </w:pPr>
            <w:r>
              <w:rPr>
                <w:rFonts w:hint="eastAsia"/>
                <w:bCs/>
              </w:rPr>
              <w:t> </w:t>
            </w:r>
          </w:p>
        </w:tc>
      </w:tr>
    </w:tbl>
    <w:p>
      <w:pPr>
        <w:tabs>
          <w:tab w:val="left" w:pos="540"/>
        </w:tabs>
        <w:snapToGrid w:val="0"/>
        <w:ind w:firstLine="480"/>
        <w:rPr>
          <w:rFonts w:hAnsi="Calibri"/>
        </w:rPr>
      </w:pPr>
      <w:r>
        <w:rPr>
          <w:rFonts w:hint="eastAsia"/>
        </w:rPr>
        <w:t>注</w:t>
      </w:r>
      <w:r>
        <w:t>: 1.</w:t>
      </w:r>
      <w:r>
        <w:rPr>
          <w:rFonts w:hint="eastAsia"/>
        </w:rPr>
        <w:t>本表所列项目应全部计入投标总价。</w:t>
      </w:r>
    </w:p>
    <w:p>
      <w:pPr>
        <w:snapToGrid w:val="0"/>
        <w:ind w:firstLine="480"/>
        <w:rPr>
          <w:b/>
          <w:kern w:val="0"/>
          <w:sz w:val="32"/>
          <w:szCs w:val="32"/>
        </w:rPr>
        <w:sectPr>
          <w:pgSz w:w="11907" w:h="16839"/>
          <w:pgMar w:top="1304" w:right="1565" w:bottom="1247" w:left="1344" w:header="851" w:footer="992" w:gutter="0"/>
          <w:cols w:space="720" w:num="1"/>
          <w:docGrid w:type="lines" w:linePitch="312" w:charSpace="0"/>
        </w:sectPr>
      </w:pPr>
      <w:r>
        <w:rPr>
          <w:rFonts w:hint="eastAsia"/>
        </w:rPr>
        <w:t>投标人（盖章）：       投标全权代表（签名）：          日期：</w:t>
      </w:r>
      <w:r>
        <w:rPr>
          <w:b/>
          <w:kern w:val="0"/>
          <w:sz w:val="32"/>
          <w:szCs w:val="32"/>
        </w:rPr>
        <w:t xml:space="preserve"> </w:t>
      </w:r>
    </w:p>
    <w:p>
      <w:pPr>
        <w:spacing w:line="440" w:lineRule="exact"/>
        <w:ind w:firstLine="643"/>
        <w:jc w:val="center"/>
        <w:rPr>
          <w:b/>
          <w:kern w:val="0"/>
          <w:sz w:val="32"/>
          <w:szCs w:val="32"/>
        </w:rPr>
      </w:pPr>
      <w:r>
        <w:rPr>
          <w:rFonts w:hint="eastAsia"/>
          <w:b/>
          <w:kern w:val="0"/>
          <w:sz w:val="32"/>
          <w:szCs w:val="32"/>
        </w:rPr>
        <w:t>六、项目组人员情况安排表</w:t>
      </w:r>
    </w:p>
    <w:p>
      <w:pPr>
        <w:spacing w:line="440" w:lineRule="exact"/>
        <w:ind w:firstLine="482"/>
        <w:jc w:val="left"/>
        <w:rPr>
          <w:rFonts w:cs="仿宋_GB2312"/>
          <w:b/>
          <w:bCs/>
          <w:kern w:val="0"/>
          <w:sz w:val="30"/>
          <w:szCs w:val="30"/>
          <w:lang w:val="zh-CN"/>
        </w:rPr>
      </w:pPr>
      <w:r>
        <w:rPr>
          <w:rFonts w:hint="eastAsia"/>
          <w:b/>
        </w:rPr>
        <w:t>项目编号：</w:t>
      </w:r>
      <w:r>
        <w:rPr>
          <w:rFonts w:hint="eastAsia"/>
          <w:b/>
          <w:kern w:val="0"/>
        </w:rPr>
        <w:t xml:space="preserve"> </w:t>
      </w:r>
    </w:p>
    <w:tbl>
      <w:tblPr>
        <w:tblStyle w:val="33"/>
        <w:tblW w:w="13131"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419"/>
        <w:gridCol w:w="1002"/>
        <w:gridCol w:w="1260"/>
        <w:gridCol w:w="1575"/>
        <w:gridCol w:w="1365"/>
        <w:gridCol w:w="2625"/>
        <w:gridCol w:w="1890"/>
        <w:gridCol w:w="1995"/>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159" w:hRule="atLeast"/>
        </w:trPr>
        <w:tc>
          <w:tcPr>
            <w:tcW w:w="1419" w:type="dxa"/>
            <w:tcBorders>
              <w:top w:val="single" w:color="auto" w:sz="12" w:space="0"/>
              <w:bottom w:val="single" w:color="auto" w:sz="2" w:space="0"/>
            </w:tcBorders>
            <w:vAlign w:val="center"/>
          </w:tcPr>
          <w:p>
            <w:pPr>
              <w:ind w:firstLine="0" w:firstLineChars="0"/>
              <w:jc w:val="center"/>
              <w:rPr>
                <w:bCs/>
              </w:rPr>
            </w:pPr>
            <w:r>
              <w:rPr>
                <w:rFonts w:hint="eastAsia"/>
                <w:bCs/>
              </w:rPr>
              <w:t>拟任分工</w:t>
            </w:r>
          </w:p>
        </w:tc>
        <w:tc>
          <w:tcPr>
            <w:tcW w:w="1002" w:type="dxa"/>
            <w:tcBorders>
              <w:top w:val="single" w:color="auto" w:sz="12" w:space="0"/>
              <w:bottom w:val="single" w:color="auto" w:sz="2" w:space="0"/>
            </w:tcBorders>
            <w:vAlign w:val="center"/>
          </w:tcPr>
          <w:p>
            <w:pPr>
              <w:ind w:firstLine="0" w:firstLineChars="0"/>
              <w:jc w:val="center"/>
              <w:rPr>
                <w:bCs/>
              </w:rPr>
            </w:pPr>
            <w:r>
              <w:rPr>
                <w:rFonts w:hint="eastAsia"/>
                <w:bCs/>
              </w:rPr>
              <w:t>姓名</w:t>
            </w:r>
          </w:p>
        </w:tc>
        <w:tc>
          <w:tcPr>
            <w:tcW w:w="1260" w:type="dxa"/>
            <w:tcBorders>
              <w:top w:val="single" w:color="auto" w:sz="12" w:space="0"/>
              <w:bottom w:val="single" w:color="auto" w:sz="2" w:space="0"/>
            </w:tcBorders>
            <w:vAlign w:val="center"/>
          </w:tcPr>
          <w:p>
            <w:pPr>
              <w:ind w:firstLine="0" w:firstLineChars="0"/>
              <w:jc w:val="center"/>
              <w:rPr>
                <w:bCs/>
              </w:rPr>
            </w:pPr>
            <w:r>
              <w:rPr>
                <w:rFonts w:hint="eastAsia"/>
                <w:bCs/>
              </w:rPr>
              <w:t>学历</w:t>
            </w:r>
          </w:p>
        </w:tc>
        <w:tc>
          <w:tcPr>
            <w:tcW w:w="1575" w:type="dxa"/>
            <w:tcBorders>
              <w:top w:val="single" w:color="auto" w:sz="12" w:space="0"/>
              <w:bottom w:val="single" w:color="auto" w:sz="2" w:space="0"/>
            </w:tcBorders>
            <w:vAlign w:val="center"/>
          </w:tcPr>
          <w:p>
            <w:pPr>
              <w:ind w:firstLine="0" w:firstLineChars="0"/>
              <w:jc w:val="center"/>
              <w:rPr>
                <w:bCs/>
              </w:rPr>
            </w:pPr>
            <w:r>
              <w:rPr>
                <w:rFonts w:hint="eastAsia"/>
                <w:bCs/>
              </w:rPr>
              <w:t>本单位工作时间</w:t>
            </w:r>
          </w:p>
        </w:tc>
        <w:tc>
          <w:tcPr>
            <w:tcW w:w="1365" w:type="dxa"/>
            <w:tcBorders>
              <w:top w:val="single" w:color="auto" w:sz="12" w:space="0"/>
              <w:bottom w:val="single" w:color="auto" w:sz="2" w:space="0"/>
            </w:tcBorders>
            <w:vAlign w:val="center"/>
          </w:tcPr>
          <w:p>
            <w:pPr>
              <w:ind w:firstLine="0" w:firstLineChars="0"/>
              <w:jc w:val="center"/>
              <w:rPr>
                <w:bCs/>
              </w:rPr>
            </w:pPr>
            <w:r>
              <w:rPr>
                <w:rFonts w:hint="eastAsia"/>
                <w:bCs/>
              </w:rPr>
              <w:t>专业工龄</w:t>
            </w:r>
          </w:p>
        </w:tc>
        <w:tc>
          <w:tcPr>
            <w:tcW w:w="2625" w:type="dxa"/>
            <w:tcBorders>
              <w:top w:val="single" w:color="auto" w:sz="12" w:space="0"/>
              <w:bottom w:val="single" w:color="auto" w:sz="2" w:space="0"/>
            </w:tcBorders>
            <w:vAlign w:val="center"/>
          </w:tcPr>
          <w:p>
            <w:pPr>
              <w:ind w:firstLine="0" w:firstLineChars="0"/>
              <w:jc w:val="center"/>
              <w:rPr>
                <w:bCs/>
              </w:rPr>
            </w:pPr>
            <w:r>
              <w:rPr>
                <w:rFonts w:hint="eastAsia"/>
                <w:bCs/>
              </w:rPr>
              <w:t>获得的专业技术资格证或技术培训登记证</w:t>
            </w:r>
          </w:p>
        </w:tc>
        <w:tc>
          <w:tcPr>
            <w:tcW w:w="1890" w:type="dxa"/>
            <w:tcBorders>
              <w:top w:val="single" w:color="auto" w:sz="12" w:space="0"/>
              <w:bottom w:val="single" w:color="auto" w:sz="2" w:space="0"/>
              <w:right w:val="single" w:color="auto" w:sz="4" w:space="0"/>
            </w:tcBorders>
            <w:vAlign w:val="center"/>
          </w:tcPr>
          <w:p>
            <w:pPr>
              <w:ind w:firstLine="0" w:firstLineChars="0"/>
              <w:jc w:val="center"/>
              <w:rPr>
                <w:bCs/>
              </w:rPr>
            </w:pPr>
            <w:r>
              <w:rPr>
                <w:rFonts w:hint="eastAsia"/>
                <w:bCs/>
              </w:rPr>
              <w:t>联系电话/手机</w:t>
            </w:r>
          </w:p>
        </w:tc>
        <w:tc>
          <w:tcPr>
            <w:tcW w:w="1995" w:type="dxa"/>
            <w:tcBorders>
              <w:top w:val="single" w:color="auto" w:sz="12" w:space="0"/>
              <w:left w:val="single" w:color="auto" w:sz="4" w:space="0"/>
              <w:bottom w:val="single" w:color="auto" w:sz="2" w:space="0"/>
            </w:tcBorders>
            <w:vAlign w:val="center"/>
          </w:tcPr>
          <w:p>
            <w:pPr>
              <w:ind w:firstLine="0" w:firstLineChars="0"/>
              <w:jc w:val="center"/>
              <w:rPr>
                <w:bCs/>
              </w:rPr>
            </w:pPr>
            <w:r>
              <w:rPr>
                <w:rFonts w:hint="eastAsia"/>
                <w:bCs/>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15" w:hRule="atLeast"/>
        </w:trPr>
        <w:tc>
          <w:tcPr>
            <w:tcW w:w="1419" w:type="dxa"/>
            <w:tcBorders>
              <w:top w:val="single" w:color="auto" w:sz="2" w:space="0"/>
            </w:tcBorders>
            <w:vAlign w:val="center"/>
          </w:tcPr>
          <w:p>
            <w:pPr>
              <w:ind w:firstLine="0" w:firstLineChars="0"/>
              <w:jc w:val="center"/>
              <w:rPr>
                <w:bCs/>
              </w:rPr>
            </w:pPr>
            <w:r>
              <w:rPr>
                <w:rFonts w:hint="eastAsia"/>
                <w:bCs/>
              </w:rPr>
              <w:t>项目负责人</w:t>
            </w:r>
          </w:p>
        </w:tc>
        <w:tc>
          <w:tcPr>
            <w:tcW w:w="1002" w:type="dxa"/>
            <w:tcBorders>
              <w:top w:val="single" w:color="auto" w:sz="2" w:space="0"/>
            </w:tcBorders>
            <w:vAlign w:val="center"/>
          </w:tcPr>
          <w:p>
            <w:pPr>
              <w:ind w:firstLine="0" w:firstLineChars="0"/>
              <w:jc w:val="center"/>
              <w:rPr>
                <w:bCs/>
              </w:rPr>
            </w:pPr>
          </w:p>
        </w:tc>
        <w:tc>
          <w:tcPr>
            <w:tcW w:w="1260" w:type="dxa"/>
            <w:tcBorders>
              <w:top w:val="single" w:color="auto" w:sz="2" w:space="0"/>
            </w:tcBorders>
          </w:tcPr>
          <w:p>
            <w:pPr>
              <w:ind w:firstLine="0" w:firstLineChars="0"/>
              <w:jc w:val="center"/>
              <w:rPr>
                <w:bCs/>
              </w:rPr>
            </w:pPr>
          </w:p>
        </w:tc>
        <w:tc>
          <w:tcPr>
            <w:tcW w:w="1575" w:type="dxa"/>
            <w:tcBorders>
              <w:top w:val="single" w:color="auto" w:sz="2" w:space="0"/>
            </w:tcBorders>
            <w:vAlign w:val="center"/>
          </w:tcPr>
          <w:p>
            <w:pPr>
              <w:ind w:firstLine="0" w:firstLineChars="0"/>
              <w:jc w:val="center"/>
              <w:rPr>
                <w:bCs/>
              </w:rPr>
            </w:pPr>
          </w:p>
        </w:tc>
        <w:tc>
          <w:tcPr>
            <w:tcW w:w="1365" w:type="dxa"/>
            <w:tcBorders>
              <w:top w:val="single" w:color="auto" w:sz="2" w:space="0"/>
            </w:tcBorders>
            <w:vAlign w:val="center"/>
          </w:tcPr>
          <w:p>
            <w:pPr>
              <w:ind w:firstLine="0" w:firstLineChars="0"/>
              <w:jc w:val="center"/>
              <w:rPr>
                <w:bCs/>
              </w:rPr>
            </w:pPr>
          </w:p>
        </w:tc>
        <w:tc>
          <w:tcPr>
            <w:tcW w:w="2625" w:type="dxa"/>
            <w:tcBorders>
              <w:top w:val="single" w:color="auto" w:sz="2" w:space="0"/>
            </w:tcBorders>
            <w:vAlign w:val="center"/>
          </w:tcPr>
          <w:p>
            <w:pPr>
              <w:ind w:firstLine="0" w:firstLineChars="0"/>
              <w:jc w:val="center"/>
              <w:rPr>
                <w:bCs/>
              </w:rPr>
            </w:pPr>
          </w:p>
        </w:tc>
        <w:tc>
          <w:tcPr>
            <w:tcW w:w="1890" w:type="dxa"/>
            <w:tcBorders>
              <w:top w:val="single" w:color="auto" w:sz="2" w:space="0"/>
              <w:right w:val="single" w:color="auto" w:sz="4" w:space="0"/>
            </w:tcBorders>
            <w:vAlign w:val="center"/>
          </w:tcPr>
          <w:p>
            <w:pPr>
              <w:ind w:firstLine="0" w:firstLineChars="0"/>
              <w:jc w:val="center"/>
              <w:rPr>
                <w:bCs/>
              </w:rPr>
            </w:pPr>
          </w:p>
        </w:tc>
        <w:tc>
          <w:tcPr>
            <w:tcW w:w="1995" w:type="dxa"/>
            <w:tcBorders>
              <w:top w:val="single" w:color="auto" w:sz="2" w:space="0"/>
              <w:left w:val="single" w:color="auto" w:sz="4" w:space="0"/>
            </w:tcBorders>
            <w:vAlign w:val="center"/>
          </w:tcPr>
          <w:p>
            <w:pPr>
              <w:ind w:firstLine="0" w:firstLineChars="0"/>
              <w:jc w:val="center"/>
              <w:rPr>
                <w:bCs/>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15" w:hRule="atLeast"/>
        </w:trPr>
        <w:tc>
          <w:tcPr>
            <w:tcW w:w="1419" w:type="dxa"/>
            <w:vMerge w:val="restart"/>
            <w:tcBorders>
              <w:top w:val="single" w:color="auto" w:sz="2" w:space="0"/>
            </w:tcBorders>
            <w:vAlign w:val="center"/>
          </w:tcPr>
          <w:p>
            <w:pPr>
              <w:ind w:firstLine="0" w:firstLineChars="0"/>
              <w:jc w:val="center"/>
              <w:rPr>
                <w:bCs/>
              </w:rPr>
            </w:pPr>
            <w:r>
              <w:rPr>
                <w:rFonts w:hint="eastAsia"/>
                <w:bCs/>
              </w:rPr>
              <w:t>供货人员</w:t>
            </w:r>
          </w:p>
        </w:tc>
        <w:tc>
          <w:tcPr>
            <w:tcW w:w="1002" w:type="dxa"/>
            <w:tcBorders>
              <w:top w:val="single" w:color="auto" w:sz="2" w:space="0"/>
            </w:tcBorders>
            <w:vAlign w:val="center"/>
          </w:tcPr>
          <w:p>
            <w:pPr>
              <w:ind w:firstLine="0" w:firstLineChars="0"/>
              <w:jc w:val="center"/>
              <w:rPr>
                <w:bCs/>
              </w:rPr>
            </w:pPr>
          </w:p>
        </w:tc>
        <w:tc>
          <w:tcPr>
            <w:tcW w:w="1260" w:type="dxa"/>
            <w:tcBorders>
              <w:top w:val="single" w:color="auto" w:sz="2" w:space="0"/>
            </w:tcBorders>
          </w:tcPr>
          <w:p>
            <w:pPr>
              <w:ind w:firstLine="0" w:firstLineChars="0"/>
              <w:jc w:val="center"/>
              <w:rPr>
                <w:bCs/>
              </w:rPr>
            </w:pPr>
          </w:p>
        </w:tc>
        <w:tc>
          <w:tcPr>
            <w:tcW w:w="1575" w:type="dxa"/>
            <w:tcBorders>
              <w:top w:val="single" w:color="auto" w:sz="2" w:space="0"/>
            </w:tcBorders>
            <w:vAlign w:val="center"/>
          </w:tcPr>
          <w:p>
            <w:pPr>
              <w:ind w:firstLine="0" w:firstLineChars="0"/>
              <w:jc w:val="center"/>
              <w:rPr>
                <w:bCs/>
              </w:rPr>
            </w:pPr>
          </w:p>
        </w:tc>
        <w:tc>
          <w:tcPr>
            <w:tcW w:w="1365" w:type="dxa"/>
            <w:tcBorders>
              <w:top w:val="single" w:color="auto" w:sz="2" w:space="0"/>
            </w:tcBorders>
            <w:vAlign w:val="center"/>
          </w:tcPr>
          <w:p>
            <w:pPr>
              <w:ind w:firstLine="0" w:firstLineChars="0"/>
              <w:jc w:val="center"/>
              <w:rPr>
                <w:bCs/>
              </w:rPr>
            </w:pPr>
          </w:p>
        </w:tc>
        <w:tc>
          <w:tcPr>
            <w:tcW w:w="2625" w:type="dxa"/>
            <w:tcBorders>
              <w:top w:val="single" w:color="auto" w:sz="2" w:space="0"/>
            </w:tcBorders>
            <w:vAlign w:val="center"/>
          </w:tcPr>
          <w:p>
            <w:pPr>
              <w:ind w:firstLine="0" w:firstLineChars="0"/>
              <w:jc w:val="center"/>
              <w:rPr>
                <w:bCs/>
              </w:rPr>
            </w:pPr>
          </w:p>
        </w:tc>
        <w:tc>
          <w:tcPr>
            <w:tcW w:w="1890" w:type="dxa"/>
            <w:tcBorders>
              <w:top w:val="single" w:color="auto" w:sz="2" w:space="0"/>
              <w:right w:val="single" w:color="auto" w:sz="4" w:space="0"/>
            </w:tcBorders>
            <w:vAlign w:val="center"/>
          </w:tcPr>
          <w:p>
            <w:pPr>
              <w:ind w:firstLine="0" w:firstLineChars="0"/>
              <w:jc w:val="center"/>
              <w:rPr>
                <w:bCs/>
              </w:rPr>
            </w:pPr>
          </w:p>
        </w:tc>
        <w:tc>
          <w:tcPr>
            <w:tcW w:w="1995" w:type="dxa"/>
            <w:tcBorders>
              <w:top w:val="single" w:color="auto" w:sz="2" w:space="0"/>
              <w:left w:val="single" w:color="auto" w:sz="4" w:space="0"/>
            </w:tcBorders>
            <w:vAlign w:val="center"/>
          </w:tcPr>
          <w:p>
            <w:pPr>
              <w:ind w:firstLine="0" w:firstLineChars="0"/>
              <w:jc w:val="center"/>
              <w:rPr>
                <w:bCs/>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15" w:hRule="atLeast"/>
        </w:trPr>
        <w:tc>
          <w:tcPr>
            <w:tcW w:w="1419" w:type="dxa"/>
            <w:vMerge w:val="continue"/>
            <w:vAlign w:val="center"/>
          </w:tcPr>
          <w:p>
            <w:pPr>
              <w:ind w:firstLine="0" w:firstLineChars="0"/>
              <w:jc w:val="center"/>
              <w:rPr>
                <w:bCs/>
              </w:rPr>
            </w:pPr>
          </w:p>
        </w:tc>
        <w:tc>
          <w:tcPr>
            <w:tcW w:w="1002" w:type="dxa"/>
            <w:tcBorders>
              <w:top w:val="single" w:color="auto" w:sz="2" w:space="0"/>
            </w:tcBorders>
            <w:vAlign w:val="center"/>
          </w:tcPr>
          <w:p>
            <w:pPr>
              <w:ind w:firstLine="0" w:firstLineChars="0"/>
              <w:jc w:val="center"/>
              <w:rPr>
                <w:bCs/>
              </w:rPr>
            </w:pPr>
          </w:p>
        </w:tc>
        <w:tc>
          <w:tcPr>
            <w:tcW w:w="1260" w:type="dxa"/>
            <w:tcBorders>
              <w:top w:val="single" w:color="auto" w:sz="2" w:space="0"/>
            </w:tcBorders>
          </w:tcPr>
          <w:p>
            <w:pPr>
              <w:ind w:firstLine="0" w:firstLineChars="0"/>
              <w:jc w:val="center"/>
              <w:rPr>
                <w:bCs/>
              </w:rPr>
            </w:pPr>
          </w:p>
        </w:tc>
        <w:tc>
          <w:tcPr>
            <w:tcW w:w="1575" w:type="dxa"/>
            <w:tcBorders>
              <w:top w:val="single" w:color="auto" w:sz="2" w:space="0"/>
            </w:tcBorders>
            <w:vAlign w:val="center"/>
          </w:tcPr>
          <w:p>
            <w:pPr>
              <w:ind w:firstLine="0" w:firstLineChars="0"/>
              <w:jc w:val="center"/>
              <w:rPr>
                <w:bCs/>
              </w:rPr>
            </w:pPr>
          </w:p>
        </w:tc>
        <w:tc>
          <w:tcPr>
            <w:tcW w:w="1365" w:type="dxa"/>
            <w:tcBorders>
              <w:top w:val="single" w:color="auto" w:sz="2" w:space="0"/>
            </w:tcBorders>
            <w:vAlign w:val="center"/>
          </w:tcPr>
          <w:p>
            <w:pPr>
              <w:ind w:firstLine="0" w:firstLineChars="0"/>
              <w:jc w:val="center"/>
              <w:rPr>
                <w:bCs/>
              </w:rPr>
            </w:pPr>
          </w:p>
        </w:tc>
        <w:tc>
          <w:tcPr>
            <w:tcW w:w="2625" w:type="dxa"/>
            <w:tcBorders>
              <w:top w:val="single" w:color="auto" w:sz="2" w:space="0"/>
            </w:tcBorders>
            <w:vAlign w:val="center"/>
          </w:tcPr>
          <w:p>
            <w:pPr>
              <w:ind w:firstLine="0" w:firstLineChars="0"/>
              <w:jc w:val="center"/>
              <w:rPr>
                <w:bCs/>
              </w:rPr>
            </w:pPr>
          </w:p>
        </w:tc>
        <w:tc>
          <w:tcPr>
            <w:tcW w:w="1890" w:type="dxa"/>
            <w:tcBorders>
              <w:top w:val="single" w:color="auto" w:sz="2" w:space="0"/>
              <w:right w:val="single" w:color="auto" w:sz="4" w:space="0"/>
            </w:tcBorders>
            <w:vAlign w:val="center"/>
          </w:tcPr>
          <w:p>
            <w:pPr>
              <w:ind w:firstLine="0" w:firstLineChars="0"/>
              <w:jc w:val="center"/>
              <w:rPr>
                <w:bCs/>
              </w:rPr>
            </w:pPr>
          </w:p>
        </w:tc>
        <w:tc>
          <w:tcPr>
            <w:tcW w:w="1995" w:type="dxa"/>
            <w:tcBorders>
              <w:top w:val="single" w:color="auto" w:sz="2" w:space="0"/>
              <w:left w:val="single" w:color="auto" w:sz="4" w:space="0"/>
            </w:tcBorders>
            <w:vAlign w:val="center"/>
          </w:tcPr>
          <w:p>
            <w:pPr>
              <w:ind w:firstLine="0" w:firstLineChars="0"/>
              <w:jc w:val="center"/>
              <w:rPr>
                <w:bCs/>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15" w:hRule="atLeast"/>
        </w:trPr>
        <w:tc>
          <w:tcPr>
            <w:tcW w:w="1419" w:type="dxa"/>
            <w:vMerge w:val="restart"/>
            <w:tcBorders>
              <w:top w:val="single" w:color="auto" w:sz="2" w:space="0"/>
            </w:tcBorders>
            <w:vAlign w:val="center"/>
          </w:tcPr>
          <w:p>
            <w:pPr>
              <w:ind w:firstLine="0" w:firstLineChars="0"/>
              <w:jc w:val="center"/>
              <w:rPr>
                <w:bCs/>
              </w:rPr>
            </w:pPr>
            <w:r>
              <w:rPr>
                <w:rFonts w:hint="eastAsia"/>
                <w:bCs/>
              </w:rPr>
              <w:t>安装调试人员</w:t>
            </w:r>
          </w:p>
        </w:tc>
        <w:tc>
          <w:tcPr>
            <w:tcW w:w="1002" w:type="dxa"/>
            <w:tcBorders>
              <w:top w:val="single" w:color="auto" w:sz="2" w:space="0"/>
            </w:tcBorders>
            <w:vAlign w:val="center"/>
          </w:tcPr>
          <w:p>
            <w:pPr>
              <w:ind w:firstLine="0" w:firstLineChars="0"/>
              <w:jc w:val="center"/>
              <w:rPr>
                <w:bCs/>
              </w:rPr>
            </w:pPr>
          </w:p>
        </w:tc>
        <w:tc>
          <w:tcPr>
            <w:tcW w:w="1260" w:type="dxa"/>
            <w:tcBorders>
              <w:top w:val="single" w:color="auto" w:sz="2" w:space="0"/>
            </w:tcBorders>
          </w:tcPr>
          <w:p>
            <w:pPr>
              <w:ind w:firstLine="0" w:firstLineChars="0"/>
              <w:jc w:val="center"/>
              <w:rPr>
                <w:bCs/>
              </w:rPr>
            </w:pPr>
          </w:p>
        </w:tc>
        <w:tc>
          <w:tcPr>
            <w:tcW w:w="1575" w:type="dxa"/>
            <w:tcBorders>
              <w:top w:val="single" w:color="auto" w:sz="2" w:space="0"/>
            </w:tcBorders>
            <w:vAlign w:val="center"/>
          </w:tcPr>
          <w:p>
            <w:pPr>
              <w:ind w:firstLine="0" w:firstLineChars="0"/>
              <w:jc w:val="center"/>
              <w:rPr>
                <w:bCs/>
              </w:rPr>
            </w:pPr>
          </w:p>
        </w:tc>
        <w:tc>
          <w:tcPr>
            <w:tcW w:w="1365" w:type="dxa"/>
            <w:tcBorders>
              <w:top w:val="single" w:color="auto" w:sz="2" w:space="0"/>
            </w:tcBorders>
            <w:vAlign w:val="center"/>
          </w:tcPr>
          <w:p>
            <w:pPr>
              <w:ind w:firstLine="0" w:firstLineChars="0"/>
              <w:jc w:val="center"/>
              <w:rPr>
                <w:bCs/>
              </w:rPr>
            </w:pPr>
          </w:p>
        </w:tc>
        <w:tc>
          <w:tcPr>
            <w:tcW w:w="2625" w:type="dxa"/>
            <w:tcBorders>
              <w:top w:val="single" w:color="auto" w:sz="2" w:space="0"/>
            </w:tcBorders>
            <w:vAlign w:val="center"/>
          </w:tcPr>
          <w:p>
            <w:pPr>
              <w:ind w:firstLine="0" w:firstLineChars="0"/>
              <w:jc w:val="center"/>
              <w:rPr>
                <w:bCs/>
              </w:rPr>
            </w:pPr>
          </w:p>
        </w:tc>
        <w:tc>
          <w:tcPr>
            <w:tcW w:w="1890" w:type="dxa"/>
            <w:tcBorders>
              <w:top w:val="single" w:color="auto" w:sz="2" w:space="0"/>
              <w:right w:val="single" w:color="auto" w:sz="4" w:space="0"/>
            </w:tcBorders>
            <w:vAlign w:val="center"/>
          </w:tcPr>
          <w:p>
            <w:pPr>
              <w:ind w:firstLine="0" w:firstLineChars="0"/>
              <w:jc w:val="center"/>
              <w:rPr>
                <w:bCs/>
              </w:rPr>
            </w:pPr>
          </w:p>
        </w:tc>
        <w:tc>
          <w:tcPr>
            <w:tcW w:w="1995" w:type="dxa"/>
            <w:tcBorders>
              <w:top w:val="single" w:color="auto" w:sz="2" w:space="0"/>
              <w:left w:val="single" w:color="auto" w:sz="4" w:space="0"/>
            </w:tcBorders>
            <w:vAlign w:val="center"/>
          </w:tcPr>
          <w:p>
            <w:pPr>
              <w:ind w:firstLine="0" w:firstLineChars="0"/>
              <w:jc w:val="center"/>
              <w:rPr>
                <w:bCs/>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15" w:hRule="atLeast"/>
        </w:trPr>
        <w:tc>
          <w:tcPr>
            <w:tcW w:w="1419" w:type="dxa"/>
            <w:vMerge w:val="continue"/>
            <w:vAlign w:val="center"/>
          </w:tcPr>
          <w:p>
            <w:pPr>
              <w:ind w:firstLine="0" w:firstLineChars="0"/>
              <w:jc w:val="center"/>
              <w:rPr>
                <w:bCs/>
              </w:rPr>
            </w:pPr>
          </w:p>
        </w:tc>
        <w:tc>
          <w:tcPr>
            <w:tcW w:w="1002" w:type="dxa"/>
            <w:tcBorders>
              <w:top w:val="single" w:color="auto" w:sz="2" w:space="0"/>
            </w:tcBorders>
            <w:vAlign w:val="center"/>
          </w:tcPr>
          <w:p>
            <w:pPr>
              <w:ind w:firstLine="0" w:firstLineChars="0"/>
              <w:jc w:val="center"/>
              <w:rPr>
                <w:bCs/>
              </w:rPr>
            </w:pPr>
          </w:p>
        </w:tc>
        <w:tc>
          <w:tcPr>
            <w:tcW w:w="1260" w:type="dxa"/>
            <w:tcBorders>
              <w:top w:val="single" w:color="auto" w:sz="2" w:space="0"/>
            </w:tcBorders>
          </w:tcPr>
          <w:p>
            <w:pPr>
              <w:ind w:firstLine="0" w:firstLineChars="0"/>
              <w:jc w:val="center"/>
              <w:rPr>
                <w:bCs/>
              </w:rPr>
            </w:pPr>
          </w:p>
        </w:tc>
        <w:tc>
          <w:tcPr>
            <w:tcW w:w="1575" w:type="dxa"/>
            <w:tcBorders>
              <w:top w:val="single" w:color="auto" w:sz="2" w:space="0"/>
            </w:tcBorders>
            <w:vAlign w:val="center"/>
          </w:tcPr>
          <w:p>
            <w:pPr>
              <w:ind w:firstLine="0" w:firstLineChars="0"/>
              <w:jc w:val="center"/>
              <w:rPr>
                <w:bCs/>
              </w:rPr>
            </w:pPr>
          </w:p>
        </w:tc>
        <w:tc>
          <w:tcPr>
            <w:tcW w:w="1365" w:type="dxa"/>
            <w:tcBorders>
              <w:top w:val="single" w:color="auto" w:sz="2" w:space="0"/>
            </w:tcBorders>
            <w:vAlign w:val="center"/>
          </w:tcPr>
          <w:p>
            <w:pPr>
              <w:ind w:firstLine="0" w:firstLineChars="0"/>
              <w:jc w:val="center"/>
              <w:rPr>
                <w:bCs/>
              </w:rPr>
            </w:pPr>
          </w:p>
        </w:tc>
        <w:tc>
          <w:tcPr>
            <w:tcW w:w="2625" w:type="dxa"/>
            <w:tcBorders>
              <w:top w:val="single" w:color="auto" w:sz="2" w:space="0"/>
            </w:tcBorders>
            <w:vAlign w:val="center"/>
          </w:tcPr>
          <w:p>
            <w:pPr>
              <w:ind w:firstLine="0" w:firstLineChars="0"/>
              <w:jc w:val="center"/>
              <w:rPr>
                <w:bCs/>
              </w:rPr>
            </w:pPr>
          </w:p>
        </w:tc>
        <w:tc>
          <w:tcPr>
            <w:tcW w:w="1890" w:type="dxa"/>
            <w:tcBorders>
              <w:top w:val="single" w:color="auto" w:sz="2" w:space="0"/>
              <w:right w:val="single" w:color="auto" w:sz="4" w:space="0"/>
            </w:tcBorders>
            <w:vAlign w:val="center"/>
          </w:tcPr>
          <w:p>
            <w:pPr>
              <w:ind w:firstLine="0" w:firstLineChars="0"/>
              <w:jc w:val="center"/>
              <w:rPr>
                <w:bCs/>
              </w:rPr>
            </w:pPr>
          </w:p>
        </w:tc>
        <w:tc>
          <w:tcPr>
            <w:tcW w:w="1995" w:type="dxa"/>
            <w:tcBorders>
              <w:top w:val="single" w:color="auto" w:sz="2" w:space="0"/>
              <w:left w:val="single" w:color="auto" w:sz="4" w:space="0"/>
            </w:tcBorders>
            <w:vAlign w:val="center"/>
          </w:tcPr>
          <w:p>
            <w:pPr>
              <w:ind w:firstLine="0" w:firstLineChars="0"/>
              <w:jc w:val="center"/>
              <w:rPr>
                <w:bCs/>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15" w:hRule="atLeast"/>
        </w:trPr>
        <w:tc>
          <w:tcPr>
            <w:tcW w:w="1419" w:type="dxa"/>
            <w:tcBorders>
              <w:top w:val="single" w:color="auto" w:sz="2" w:space="0"/>
            </w:tcBorders>
            <w:vAlign w:val="center"/>
          </w:tcPr>
          <w:p>
            <w:pPr>
              <w:ind w:firstLine="0" w:firstLineChars="0"/>
              <w:jc w:val="center"/>
              <w:rPr>
                <w:bCs/>
              </w:rPr>
            </w:pPr>
            <w:r>
              <w:rPr>
                <w:rFonts w:hint="eastAsia"/>
                <w:bCs/>
              </w:rPr>
              <w:t>培训人员</w:t>
            </w:r>
          </w:p>
        </w:tc>
        <w:tc>
          <w:tcPr>
            <w:tcW w:w="1002" w:type="dxa"/>
            <w:tcBorders>
              <w:top w:val="single" w:color="auto" w:sz="2" w:space="0"/>
            </w:tcBorders>
            <w:vAlign w:val="center"/>
          </w:tcPr>
          <w:p>
            <w:pPr>
              <w:ind w:firstLine="0" w:firstLineChars="0"/>
              <w:jc w:val="center"/>
              <w:rPr>
                <w:bCs/>
              </w:rPr>
            </w:pPr>
          </w:p>
        </w:tc>
        <w:tc>
          <w:tcPr>
            <w:tcW w:w="1260" w:type="dxa"/>
            <w:tcBorders>
              <w:top w:val="single" w:color="auto" w:sz="2" w:space="0"/>
            </w:tcBorders>
          </w:tcPr>
          <w:p>
            <w:pPr>
              <w:ind w:firstLine="0" w:firstLineChars="0"/>
              <w:jc w:val="center"/>
              <w:rPr>
                <w:bCs/>
              </w:rPr>
            </w:pPr>
          </w:p>
        </w:tc>
        <w:tc>
          <w:tcPr>
            <w:tcW w:w="1575" w:type="dxa"/>
            <w:tcBorders>
              <w:top w:val="single" w:color="auto" w:sz="2" w:space="0"/>
            </w:tcBorders>
            <w:vAlign w:val="center"/>
          </w:tcPr>
          <w:p>
            <w:pPr>
              <w:ind w:firstLine="0" w:firstLineChars="0"/>
              <w:jc w:val="center"/>
              <w:rPr>
                <w:bCs/>
              </w:rPr>
            </w:pPr>
          </w:p>
        </w:tc>
        <w:tc>
          <w:tcPr>
            <w:tcW w:w="1365" w:type="dxa"/>
            <w:tcBorders>
              <w:top w:val="single" w:color="auto" w:sz="2" w:space="0"/>
            </w:tcBorders>
            <w:vAlign w:val="center"/>
          </w:tcPr>
          <w:p>
            <w:pPr>
              <w:ind w:firstLine="0" w:firstLineChars="0"/>
              <w:jc w:val="center"/>
              <w:rPr>
                <w:bCs/>
              </w:rPr>
            </w:pPr>
          </w:p>
        </w:tc>
        <w:tc>
          <w:tcPr>
            <w:tcW w:w="2625" w:type="dxa"/>
            <w:tcBorders>
              <w:top w:val="single" w:color="auto" w:sz="2" w:space="0"/>
            </w:tcBorders>
            <w:vAlign w:val="center"/>
          </w:tcPr>
          <w:p>
            <w:pPr>
              <w:ind w:firstLine="0" w:firstLineChars="0"/>
              <w:jc w:val="center"/>
              <w:rPr>
                <w:bCs/>
              </w:rPr>
            </w:pPr>
          </w:p>
        </w:tc>
        <w:tc>
          <w:tcPr>
            <w:tcW w:w="1890" w:type="dxa"/>
            <w:tcBorders>
              <w:top w:val="single" w:color="auto" w:sz="2" w:space="0"/>
              <w:right w:val="single" w:color="auto" w:sz="4" w:space="0"/>
            </w:tcBorders>
            <w:vAlign w:val="center"/>
          </w:tcPr>
          <w:p>
            <w:pPr>
              <w:ind w:firstLine="0" w:firstLineChars="0"/>
              <w:jc w:val="center"/>
              <w:rPr>
                <w:bCs/>
              </w:rPr>
            </w:pPr>
          </w:p>
        </w:tc>
        <w:tc>
          <w:tcPr>
            <w:tcW w:w="1995" w:type="dxa"/>
            <w:tcBorders>
              <w:top w:val="single" w:color="auto" w:sz="2" w:space="0"/>
              <w:left w:val="single" w:color="auto" w:sz="4" w:space="0"/>
            </w:tcBorders>
            <w:vAlign w:val="center"/>
          </w:tcPr>
          <w:p>
            <w:pPr>
              <w:ind w:firstLine="0" w:firstLineChars="0"/>
              <w:jc w:val="center"/>
              <w:rPr>
                <w:bCs/>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15" w:hRule="atLeast"/>
        </w:trPr>
        <w:tc>
          <w:tcPr>
            <w:tcW w:w="1419" w:type="dxa"/>
            <w:vMerge w:val="restart"/>
            <w:tcBorders>
              <w:top w:val="single" w:color="auto" w:sz="2" w:space="0"/>
            </w:tcBorders>
            <w:vAlign w:val="center"/>
          </w:tcPr>
          <w:p>
            <w:pPr>
              <w:ind w:firstLine="0" w:firstLineChars="0"/>
              <w:jc w:val="center"/>
              <w:rPr>
                <w:bCs/>
              </w:rPr>
            </w:pPr>
            <w:r>
              <w:rPr>
                <w:rFonts w:hint="eastAsia"/>
                <w:bCs/>
              </w:rPr>
              <w:t>售后服务人员</w:t>
            </w:r>
          </w:p>
        </w:tc>
        <w:tc>
          <w:tcPr>
            <w:tcW w:w="1002" w:type="dxa"/>
            <w:tcBorders>
              <w:top w:val="single" w:color="auto" w:sz="2" w:space="0"/>
            </w:tcBorders>
            <w:vAlign w:val="center"/>
          </w:tcPr>
          <w:p>
            <w:pPr>
              <w:ind w:firstLine="0" w:firstLineChars="0"/>
              <w:jc w:val="center"/>
              <w:rPr>
                <w:bCs/>
              </w:rPr>
            </w:pPr>
          </w:p>
        </w:tc>
        <w:tc>
          <w:tcPr>
            <w:tcW w:w="1260" w:type="dxa"/>
            <w:tcBorders>
              <w:top w:val="single" w:color="auto" w:sz="2" w:space="0"/>
            </w:tcBorders>
          </w:tcPr>
          <w:p>
            <w:pPr>
              <w:ind w:firstLine="0" w:firstLineChars="0"/>
              <w:jc w:val="center"/>
              <w:rPr>
                <w:bCs/>
              </w:rPr>
            </w:pPr>
          </w:p>
        </w:tc>
        <w:tc>
          <w:tcPr>
            <w:tcW w:w="1575" w:type="dxa"/>
            <w:tcBorders>
              <w:top w:val="single" w:color="auto" w:sz="2" w:space="0"/>
            </w:tcBorders>
            <w:vAlign w:val="center"/>
          </w:tcPr>
          <w:p>
            <w:pPr>
              <w:ind w:firstLine="0" w:firstLineChars="0"/>
              <w:jc w:val="center"/>
              <w:rPr>
                <w:bCs/>
              </w:rPr>
            </w:pPr>
          </w:p>
        </w:tc>
        <w:tc>
          <w:tcPr>
            <w:tcW w:w="1365" w:type="dxa"/>
            <w:tcBorders>
              <w:top w:val="single" w:color="auto" w:sz="2" w:space="0"/>
            </w:tcBorders>
            <w:vAlign w:val="center"/>
          </w:tcPr>
          <w:p>
            <w:pPr>
              <w:ind w:firstLine="0" w:firstLineChars="0"/>
              <w:jc w:val="center"/>
              <w:rPr>
                <w:bCs/>
              </w:rPr>
            </w:pPr>
          </w:p>
        </w:tc>
        <w:tc>
          <w:tcPr>
            <w:tcW w:w="2625" w:type="dxa"/>
            <w:tcBorders>
              <w:top w:val="single" w:color="auto" w:sz="2" w:space="0"/>
            </w:tcBorders>
            <w:vAlign w:val="center"/>
          </w:tcPr>
          <w:p>
            <w:pPr>
              <w:ind w:firstLine="0" w:firstLineChars="0"/>
              <w:jc w:val="center"/>
              <w:rPr>
                <w:bCs/>
              </w:rPr>
            </w:pPr>
          </w:p>
        </w:tc>
        <w:tc>
          <w:tcPr>
            <w:tcW w:w="1890" w:type="dxa"/>
            <w:tcBorders>
              <w:top w:val="single" w:color="auto" w:sz="2" w:space="0"/>
              <w:right w:val="single" w:color="auto" w:sz="4" w:space="0"/>
            </w:tcBorders>
            <w:vAlign w:val="center"/>
          </w:tcPr>
          <w:p>
            <w:pPr>
              <w:ind w:firstLine="0" w:firstLineChars="0"/>
              <w:jc w:val="center"/>
              <w:rPr>
                <w:bCs/>
              </w:rPr>
            </w:pPr>
          </w:p>
        </w:tc>
        <w:tc>
          <w:tcPr>
            <w:tcW w:w="1995" w:type="dxa"/>
            <w:tcBorders>
              <w:top w:val="single" w:color="auto" w:sz="2" w:space="0"/>
              <w:left w:val="single" w:color="auto" w:sz="4" w:space="0"/>
            </w:tcBorders>
            <w:vAlign w:val="center"/>
          </w:tcPr>
          <w:p>
            <w:pPr>
              <w:ind w:firstLine="0" w:firstLineChars="0"/>
              <w:jc w:val="center"/>
              <w:rPr>
                <w:bCs/>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15" w:hRule="atLeast"/>
        </w:trPr>
        <w:tc>
          <w:tcPr>
            <w:tcW w:w="1419" w:type="dxa"/>
            <w:vMerge w:val="continue"/>
            <w:vAlign w:val="center"/>
          </w:tcPr>
          <w:p>
            <w:pPr>
              <w:ind w:firstLine="0" w:firstLineChars="0"/>
              <w:jc w:val="center"/>
              <w:rPr>
                <w:bCs/>
              </w:rPr>
            </w:pPr>
          </w:p>
        </w:tc>
        <w:tc>
          <w:tcPr>
            <w:tcW w:w="1002" w:type="dxa"/>
            <w:tcBorders>
              <w:top w:val="single" w:color="auto" w:sz="2" w:space="0"/>
            </w:tcBorders>
            <w:vAlign w:val="center"/>
          </w:tcPr>
          <w:p>
            <w:pPr>
              <w:ind w:firstLine="0" w:firstLineChars="0"/>
              <w:jc w:val="center"/>
              <w:rPr>
                <w:bCs/>
              </w:rPr>
            </w:pPr>
          </w:p>
        </w:tc>
        <w:tc>
          <w:tcPr>
            <w:tcW w:w="1260" w:type="dxa"/>
            <w:tcBorders>
              <w:top w:val="single" w:color="auto" w:sz="2" w:space="0"/>
            </w:tcBorders>
          </w:tcPr>
          <w:p>
            <w:pPr>
              <w:ind w:firstLine="0" w:firstLineChars="0"/>
              <w:jc w:val="center"/>
              <w:rPr>
                <w:bCs/>
              </w:rPr>
            </w:pPr>
          </w:p>
        </w:tc>
        <w:tc>
          <w:tcPr>
            <w:tcW w:w="1575" w:type="dxa"/>
            <w:tcBorders>
              <w:top w:val="single" w:color="auto" w:sz="2" w:space="0"/>
            </w:tcBorders>
            <w:vAlign w:val="center"/>
          </w:tcPr>
          <w:p>
            <w:pPr>
              <w:ind w:firstLine="0" w:firstLineChars="0"/>
              <w:jc w:val="center"/>
              <w:rPr>
                <w:bCs/>
              </w:rPr>
            </w:pPr>
          </w:p>
        </w:tc>
        <w:tc>
          <w:tcPr>
            <w:tcW w:w="1365" w:type="dxa"/>
            <w:tcBorders>
              <w:top w:val="single" w:color="auto" w:sz="2" w:space="0"/>
            </w:tcBorders>
            <w:vAlign w:val="center"/>
          </w:tcPr>
          <w:p>
            <w:pPr>
              <w:ind w:firstLine="0" w:firstLineChars="0"/>
              <w:jc w:val="center"/>
              <w:rPr>
                <w:bCs/>
              </w:rPr>
            </w:pPr>
          </w:p>
        </w:tc>
        <w:tc>
          <w:tcPr>
            <w:tcW w:w="2625" w:type="dxa"/>
            <w:tcBorders>
              <w:top w:val="single" w:color="auto" w:sz="2" w:space="0"/>
            </w:tcBorders>
            <w:vAlign w:val="center"/>
          </w:tcPr>
          <w:p>
            <w:pPr>
              <w:ind w:firstLine="0" w:firstLineChars="0"/>
              <w:jc w:val="center"/>
              <w:rPr>
                <w:bCs/>
              </w:rPr>
            </w:pPr>
          </w:p>
        </w:tc>
        <w:tc>
          <w:tcPr>
            <w:tcW w:w="1890" w:type="dxa"/>
            <w:tcBorders>
              <w:top w:val="single" w:color="auto" w:sz="2" w:space="0"/>
              <w:right w:val="single" w:color="auto" w:sz="4" w:space="0"/>
            </w:tcBorders>
            <w:vAlign w:val="center"/>
          </w:tcPr>
          <w:p>
            <w:pPr>
              <w:ind w:firstLine="0" w:firstLineChars="0"/>
              <w:jc w:val="center"/>
              <w:rPr>
                <w:bCs/>
              </w:rPr>
            </w:pPr>
          </w:p>
        </w:tc>
        <w:tc>
          <w:tcPr>
            <w:tcW w:w="1995" w:type="dxa"/>
            <w:tcBorders>
              <w:top w:val="single" w:color="auto" w:sz="2" w:space="0"/>
              <w:left w:val="single" w:color="auto" w:sz="4" w:space="0"/>
            </w:tcBorders>
            <w:vAlign w:val="center"/>
          </w:tcPr>
          <w:p>
            <w:pPr>
              <w:ind w:firstLine="0" w:firstLineChars="0"/>
              <w:jc w:val="center"/>
              <w:rPr>
                <w:bCs/>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15" w:hRule="atLeast"/>
        </w:trPr>
        <w:tc>
          <w:tcPr>
            <w:tcW w:w="1419" w:type="dxa"/>
          </w:tcPr>
          <w:p>
            <w:pPr>
              <w:ind w:firstLine="0" w:firstLineChars="0"/>
              <w:jc w:val="center"/>
              <w:rPr>
                <w:bCs/>
              </w:rPr>
            </w:pPr>
            <w:r>
              <w:rPr>
                <w:rFonts w:hint="eastAsia"/>
                <w:bCs/>
              </w:rPr>
              <w:t>其他人员</w:t>
            </w:r>
          </w:p>
        </w:tc>
        <w:tc>
          <w:tcPr>
            <w:tcW w:w="1002" w:type="dxa"/>
            <w:vAlign w:val="center"/>
          </w:tcPr>
          <w:p>
            <w:pPr>
              <w:ind w:firstLine="0" w:firstLineChars="0"/>
              <w:jc w:val="center"/>
              <w:rPr>
                <w:bCs/>
              </w:rPr>
            </w:pPr>
          </w:p>
        </w:tc>
        <w:tc>
          <w:tcPr>
            <w:tcW w:w="1260" w:type="dxa"/>
          </w:tcPr>
          <w:p>
            <w:pPr>
              <w:ind w:firstLine="0" w:firstLineChars="0"/>
              <w:jc w:val="center"/>
              <w:rPr>
                <w:bCs/>
              </w:rPr>
            </w:pPr>
          </w:p>
        </w:tc>
        <w:tc>
          <w:tcPr>
            <w:tcW w:w="1575" w:type="dxa"/>
            <w:vAlign w:val="center"/>
          </w:tcPr>
          <w:p>
            <w:pPr>
              <w:ind w:firstLine="0" w:firstLineChars="0"/>
              <w:jc w:val="center"/>
              <w:rPr>
                <w:bCs/>
              </w:rPr>
            </w:pPr>
          </w:p>
        </w:tc>
        <w:tc>
          <w:tcPr>
            <w:tcW w:w="1365" w:type="dxa"/>
            <w:vAlign w:val="center"/>
          </w:tcPr>
          <w:p>
            <w:pPr>
              <w:ind w:firstLine="0" w:firstLineChars="0"/>
              <w:jc w:val="center"/>
              <w:rPr>
                <w:bCs/>
              </w:rPr>
            </w:pPr>
          </w:p>
        </w:tc>
        <w:tc>
          <w:tcPr>
            <w:tcW w:w="2625" w:type="dxa"/>
            <w:vAlign w:val="center"/>
          </w:tcPr>
          <w:p>
            <w:pPr>
              <w:ind w:firstLine="0" w:firstLineChars="0"/>
              <w:jc w:val="center"/>
              <w:rPr>
                <w:bCs/>
              </w:rPr>
            </w:pPr>
          </w:p>
        </w:tc>
        <w:tc>
          <w:tcPr>
            <w:tcW w:w="1890" w:type="dxa"/>
            <w:tcBorders>
              <w:right w:val="single" w:color="auto" w:sz="4" w:space="0"/>
            </w:tcBorders>
            <w:vAlign w:val="center"/>
          </w:tcPr>
          <w:p>
            <w:pPr>
              <w:ind w:firstLine="0" w:firstLineChars="0"/>
              <w:jc w:val="center"/>
              <w:rPr>
                <w:bCs/>
              </w:rPr>
            </w:pPr>
          </w:p>
        </w:tc>
        <w:tc>
          <w:tcPr>
            <w:tcW w:w="1995" w:type="dxa"/>
            <w:tcBorders>
              <w:left w:val="single" w:color="auto" w:sz="4" w:space="0"/>
            </w:tcBorders>
            <w:vAlign w:val="center"/>
          </w:tcPr>
          <w:p>
            <w:pPr>
              <w:ind w:firstLine="0" w:firstLineChars="0"/>
              <w:jc w:val="center"/>
              <w:rPr>
                <w:bCs/>
              </w:rPr>
            </w:pPr>
          </w:p>
        </w:tc>
      </w:tr>
    </w:tbl>
    <w:p>
      <w:pPr>
        <w:ind w:firstLine="0" w:firstLineChars="0"/>
      </w:pPr>
      <w:r>
        <w:rPr>
          <w:rFonts w:hint="eastAsia"/>
          <w:b/>
        </w:rPr>
        <w:t>备注：</w:t>
      </w:r>
      <w:r>
        <w:rPr>
          <w:rFonts w:hint="eastAsia"/>
        </w:rPr>
        <w:t>提供上述人员资质证书的复印件（加盖单位公章）。</w:t>
      </w:r>
    </w:p>
    <w:p>
      <w:pPr>
        <w:adjustRightInd w:val="0"/>
        <w:snapToGrid w:val="0"/>
        <w:spacing w:line="440" w:lineRule="exact"/>
        <w:ind w:firstLine="235" w:firstLineChars="98"/>
        <w:rPr>
          <w:kern w:val="0"/>
        </w:rPr>
      </w:pPr>
      <w:r>
        <w:rPr>
          <w:rFonts w:hint="eastAsia" w:cs="仿宋_GB2312"/>
          <w:kern w:val="0"/>
          <w:lang w:val="zh-CN"/>
        </w:rPr>
        <w:t xml:space="preserve">  </w:t>
      </w:r>
      <w:r>
        <w:rPr>
          <w:rFonts w:hint="eastAsia"/>
          <w:kern w:val="0"/>
        </w:rPr>
        <w:t>投标人（公章）：</w:t>
      </w:r>
      <w:r>
        <w:rPr>
          <w:kern w:val="0"/>
        </w:rPr>
        <w:t xml:space="preserve">                                              </w:t>
      </w:r>
      <w:r>
        <w:rPr>
          <w:rFonts w:hint="eastAsia"/>
          <w:kern w:val="0"/>
        </w:rPr>
        <w:t xml:space="preserve">   法定代表人或授权代表（签字）：</w:t>
      </w:r>
      <w:r>
        <w:rPr>
          <w:kern w:val="0"/>
        </w:rPr>
        <w:t xml:space="preserve"> </w:t>
      </w:r>
    </w:p>
    <w:p>
      <w:pPr>
        <w:autoSpaceDE w:val="0"/>
        <w:autoSpaceDN w:val="0"/>
        <w:adjustRightInd w:val="0"/>
        <w:spacing w:line="440" w:lineRule="exact"/>
        <w:ind w:firstLine="480"/>
        <w:rPr>
          <w:kern w:val="0"/>
        </w:rPr>
      </w:pPr>
      <w:r>
        <w:rPr>
          <w:kern w:val="0"/>
        </w:rPr>
        <w:t xml:space="preserve"> </w:t>
      </w:r>
      <w:r>
        <w:rPr>
          <w:rFonts w:hint="eastAsia"/>
          <w:kern w:val="0"/>
        </w:rPr>
        <w:t xml:space="preserve">                                                                     </w:t>
      </w:r>
      <w:r>
        <w:rPr>
          <w:kern w:val="0"/>
        </w:rPr>
        <w:t xml:space="preserve"> </w:t>
      </w:r>
      <w:r>
        <w:rPr>
          <w:rFonts w:hint="eastAsia"/>
          <w:kern w:val="0"/>
        </w:rPr>
        <w:t>日期：</w:t>
      </w:r>
      <w:r>
        <w:rPr>
          <w:kern w:val="0"/>
        </w:rPr>
        <w:t>20</w:t>
      </w:r>
      <w:r>
        <w:rPr>
          <w:rFonts w:hint="eastAsia"/>
          <w:kern w:val="0"/>
        </w:rPr>
        <w:t xml:space="preserve">  年</w:t>
      </w:r>
      <w:r>
        <w:rPr>
          <w:kern w:val="0"/>
        </w:rPr>
        <w:t xml:space="preserve">  </w:t>
      </w:r>
      <w:r>
        <w:rPr>
          <w:rFonts w:hint="eastAsia"/>
          <w:kern w:val="0"/>
        </w:rPr>
        <w:t>月</w:t>
      </w:r>
      <w:r>
        <w:rPr>
          <w:kern w:val="0"/>
        </w:rPr>
        <w:t xml:space="preserve">   </w:t>
      </w:r>
      <w:r>
        <w:rPr>
          <w:rFonts w:hint="eastAsia"/>
          <w:kern w:val="0"/>
        </w:rPr>
        <w:t>日</w:t>
      </w:r>
    </w:p>
    <w:p>
      <w:pPr>
        <w:autoSpaceDE w:val="0"/>
        <w:autoSpaceDN w:val="0"/>
        <w:adjustRightInd w:val="0"/>
        <w:spacing w:line="440" w:lineRule="exact"/>
        <w:ind w:firstLine="643"/>
        <w:jc w:val="center"/>
        <w:rPr>
          <w:b/>
          <w:kern w:val="0"/>
          <w:sz w:val="32"/>
          <w:szCs w:val="32"/>
        </w:rPr>
        <w:sectPr>
          <w:pgSz w:w="16838" w:h="11906" w:orient="landscape"/>
          <w:pgMar w:top="1304" w:right="1531" w:bottom="1361" w:left="1531" w:header="851" w:footer="601" w:gutter="0"/>
          <w:cols w:space="720" w:num="1"/>
          <w:docGrid w:type="linesAndChars" w:linePitch="312" w:charSpace="0"/>
        </w:sectPr>
      </w:pPr>
    </w:p>
    <w:p>
      <w:pPr>
        <w:autoSpaceDE w:val="0"/>
        <w:autoSpaceDN w:val="0"/>
        <w:adjustRightInd w:val="0"/>
        <w:spacing w:line="440" w:lineRule="exact"/>
        <w:ind w:firstLine="643"/>
        <w:jc w:val="center"/>
      </w:pPr>
      <w:r>
        <w:rPr>
          <w:rFonts w:hint="eastAsia"/>
          <w:b/>
          <w:kern w:val="0"/>
          <w:sz w:val="32"/>
          <w:szCs w:val="32"/>
        </w:rPr>
        <w:t>七、</w:t>
      </w:r>
      <w:bookmarkEnd w:id="199"/>
      <w:bookmarkEnd w:id="200"/>
      <w:r>
        <w:rPr>
          <w:rFonts w:hint="eastAsia"/>
          <w:b/>
          <w:kern w:val="0"/>
          <w:sz w:val="32"/>
          <w:szCs w:val="32"/>
        </w:rPr>
        <w:t>距采购人最近或者能为本项目提供最优服务的网点情况表</w:t>
      </w:r>
    </w:p>
    <w:p>
      <w:pPr>
        <w:spacing w:line="440" w:lineRule="exact"/>
        <w:ind w:firstLine="602" w:firstLineChars="250"/>
        <w:jc w:val="left"/>
        <w:rPr>
          <w:rFonts w:cs="仿宋_GB2312"/>
          <w:b/>
          <w:bCs/>
          <w:kern w:val="0"/>
          <w:sz w:val="30"/>
          <w:szCs w:val="30"/>
          <w:lang w:val="zh-CN"/>
        </w:rPr>
      </w:pPr>
      <w:r>
        <w:rPr>
          <w:rFonts w:hint="eastAsia"/>
          <w:b/>
        </w:rPr>
        <w:t>项目编号：</w:t>
      </w:r>
      <w:r>
        <w:rPr>
          <w:rFonts w:hint="eastAsia"/>
          <w:b/>
          <w:kern w:val="0"/>
        </w:rPr>
        <w:t xml:space="preserve"> </w:t>
      </w:r>
    </w:p>
    <w:tbl>
      <w:tblPr>
        <w:tblStyle w:val="33"/>
        <w:tblW w:w="806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32"/>
        <w:gridCol w:w="2176"/>
        <w:gridCol w:w="191"/>
        <w:gridCol w:w="1440"/>
        <w:gridCol w:w="889"/>
        <w:gridCol w:w="14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932" w:type="dxa"/>
            <w:tcBorders>
              <w:top w:val="single" w:color="auto" w:sz="4" w:space="0"/>
              <w:left w:val="single" w:color="auto" w:sz="4" w:space="0"/>
              <w:bottom w:val="single" w:color="auto" w:sz="4" w:space="0"/>
              <w:right w:val="single" w:color="auto" w:sz="4" w:space="0"/>
            </w:tcBorders>
          </w:tcPr>
          <w:p>
            <w:pPr>
              <w:ind w:firstLine="0" w:firstLineChars="0"/>
              <w:jc w:val="center"/>
              <w:rPr>
                <w:bCs/>
              </w:rPr>
            </w:pPr>
            <w:r>
              <w:rPr>
                <w:rFonts w:hint="eastAsia"/>
                <w:bCs/>
              </w:rPr>
              <w:t>服务网点名称</w:t>
            </w:r>
          </w:p>
        </w:tc>
        <w:tc>
          <w:tcPr>
            <w:tcW w:w="6132" w:type="dxa"/>
            <w:gridSpan w:val="5"/>
            <w:tcBorders>
              <w:top w:val="single" w:color="auto" w:sz="4" w:space="0"/>
              <w:left w:val="single" w:color="auto" w:sz="4" w:space="0"/>
              <w:bottom w:val="single" w:color="auto" w:sz="4" w:space="0"/>
              <w:right w:val="single" w:color="auto" w:sz="4" w:space="0"/>
            </w:tcBorders>
          </w:tcPr>
          <w:p>
            <w:pPr>
              <w:ind w:firstLine="0" w:firstLineChars="0"/>
              <w:jc w:val="center"/>
              <w:rPr>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932" w:type="dxa"/>
            <w:tcBorders>
              <w:top w:val="single" w:color="auto" w:sz="4" w:space="0"/>
              <w:left w:val="single" w:color="auto" w:sz="4" w:space="0"/>
              <w:bottom w:val="single" w:color="auto" w:sz="4" w:space="0"/>
              <w:right w:val="single" w:color="auto" w:sz="4" w:space="0"/>
            </w:tcBorders>
          </w:tcPr>
          <w:p>
            <w:pPr>
              <w:ind w:firstLine="0" w:firstLineChars="0"/>
              <w:jc w:val="center"/>
              <w:rPr>
                <w:bCs/>
              </w:rPr>
            </w:pPr>
            <w:r>
              <w:rPr>
                <w:rFonts w:hint="eastAsia"/>
                <w:bCs/>
              </w:rPr>
              <w:t>地址</w:t>
            </w:r>
          </w:p>
        </w:tc>
        <w:tc>
          <w:tcPr>
            <w:tcW w:w="6132" w:type="dxa"/>
            <w:gridSpan w:val="5"/>
            <w:tcBorders>
              <w:top w:val="single" w:color="auto" w:sz="4" w:space="0"/>
              <w:left w:val="single" w:color="auto" w:sz="4" w:space="0"/>
              <w:bottom w:val="single" w:color="auto" w:sz="4" w:space="0"/>
              <w:right w:val="single" w:color="auto" w:sz="4" w:space="0"/>
            </w:tcBorders>
          </w:tcPr>
          <w:p>
            <w:pPr>
              <w:ind w:firstLine="0" w:firstLineChars="0"/>
              <w:jc w:val="center"/>
              <w:rPr>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32" w:type="dxa"/>
            <w:tcBorders>
              <w:top w:val="single" w:color="auto" w:sz="4" w:space="0"/>
              <w:left w:val="single" w:color="auto" w:sz="4" w:space="0"/>
              <w:bottom w:val="single" w:color="auto" w:sz="4" w:space="0"/>
              <w:right w:val="single" w:color="auto" w:sz="4" w:space="0"/>
            </w:tcBorders>
          </w:tcPr>
          <w:p>
            <w:pPr>
              <w:ind w:firstLine="0" w:firstLineChars="0"/>
              <w:jc w:val="center"/>
              <w:rPr>
                <w:bCs/>
              </w:rPr>
            </w:pPr>
            <w:r>
              <w:rPr>
                <w:rFonts w:hint="eastAsia"/>
                <w:bCs/>
              </w:rPr>
              <w:t>注册资本金</w:t>
            </w:r>
          </w:p>
        </w:tc>
        <w:tc>
          <w:tcPr>
            <w:tcW w:w="2176" w:type="dxa"/>
            <w:tcBorders>
              <w:top w:val="single" w:color="auto" w:sz="4" w:space="0"/>
              <w:left w:val="single" w:color="auto" w:sz="4" w:space="0"/>
              <w:bottom w:val="single" w:color="auto" w:sz="4" w:space="0"/>
              <w:right w:val="single" w:color="auto" w:sz="4" w:space="0"/>
            </w:tcBorders>
          </w:tcPr>
          <w:p>
            <w:pPr>
              <w:ind w:firstLine="0" w:firstLineChars="0"/>
              <w:jc w:val="center"/>
              <w:rPr>
                <w:bCs/>
              </w:rPr>
            </w:pPr>
          </w:p>
        </w:tc>
        <w:tc>
          <w:tcPr>
            <w:tcW w:w="2520" w:type="dxa"/>
            <w:gridSpan w:val="3"/>
            <w:tcBorders>
              <w:top w:val="single" w:color="auto" w:sz="4" w:space="0"/>
              <w:left w:val="single" w:color="auto" w:sz="4" w:space="0"/>
              <w:bottom w:val="single" w:color="auto" w:sz="4" w:space="0"/>
              <w:right w:val="single" w:color="auto" w:sz="4" w:space="0"/>
            </w:tcBorders>
          </w:tcPr>
          <w:p>
            <w:pPr>
              <w:ind w:firstLine="0" w:firstLineChars="0"/>
              <w:jc w:val="center"/>
              <w:rPr>
                <w:bCs/>
              </w:rPr>
            </w:pPr>
            <w:r>
              <w:rPr>
                <w:rFonts w:hint="eastAsia"/>
                <w:bCs/>
              </w:rPr>
              <w:t>其中：投标人出资比例</w:t>
            </w:r>
          </w:p>
        </w:tc>
        <w:tc>
          <w:tcPr>
            <w:tcW w:w="1436" w:type="dxa"/>
            <w:tcBorders>
              <w:top w:val="single" w:color="auto" w:sz="4" w:space="0"/>
              <w:left w:val="single" w:color="auto" w:sz="4" w:space="0"/>
              <w:bottom w:val="single" w:color="auto" w:sz="4" w:space="0"/>
              <w:right w:val="single" w:color="auto" w:sz="4" w:space="0"/>
            </w:tcBorders>
          </w:tcPr>
          <w:p>
            <w:pPr>
              <w:ind w:firstLine="0" w:firstLineChars="0"/>
              <w:jc w:val="center"/>
              <w:rPr>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32" w:type="dxa"/>
            <w:tcBorders>
              <w:top w:val="single" w:color="auto" w:sz="4" w:space="0"/>
              <w:left w:val="single" w:color="auto" w:sz="4" w:space="0"/>
              <w:bottom w:val="single" w:color="auto" w:sz="4" w:space="0"/>
              <w:right w:val="single" w:color="auto" w:sz="4" w:space="0"/>
            </w:tcBorders>
          </w:tcPr>
          <w:p>
            <w:pPr>
              <w:ind w:firstLine="0" w:firstLineChars="0"/>
              <w:jc w:val="center"/>
              <w:rPr>
                <w:bCs/>
              </w:rPr>
            </w:pPr>
            <w:r>
              <w:rPr>
                <w:rFonts w:hint="eastAsia"/>
                <w:bCs/>
              </w:rPr>
              <w:t>员工总人数</w:t>
            </w:r>
          </w:p>
        </w:tc>
        <w:tc>
          <w:tcPr>
            <w:tcW w:w="2176" w:type="dxa"/>
            <w:tcBorders>
              <w:top w:val="single" w:color="auto" w:sz="4" w:space="0"/>
              <w:left w:val="single" w:color="auto" w:sz="4" w:space="0"/>
              <w:bottom w:val="single" w:color="auto" w:sz="4" w:space="0"/>
              <w:right w:val="single" w:color="auto" w:sz="4" w:space="0"/>
            </w:tcBorders>
          </w:tcPr>
          <w:p>
            <w:pPr>
              <w:ind w:firstLine="0" w:firstLineChars="0"/>
              <w:jc w:val="center"/>
              <w:rPr>
                <w:bCs/>
              </w:rPr>
            </w:pPr>
          </w:p>
        </w:tc>
        <w:tc>
          <w:tcPr>
            <w:tcW w:w="2520" w:type="dxa"/>
            <w:gridSpan w:val="3"/>
            <w:tcBorders>
              <w:top w:val="single" w:color="auto" w:sz="4" w:space="0"/>
              <w:left w:val="single" w:color="auto" w:sz="4" w:space="0"/>
              <w:bottom w:val="single" w:color="auto" w:sz="4" w:space="0"/>
              <w:right w:val="single" w:color="auto" w:sz="4" w:space="0"/>
            </w:tcBorders>
          </w:tcPr>
          <w:p>
            <w:pPr>
              <w:ind w:firstLine="0" w:firstLineChars="0"/>
              <w:jc w:val="center"/>
              <w:rPr>
                <w:bCs/>
              </w:rPr>
            </w:pPr>
            <w:r>
              <w:rPr>
                <w:rFonts w:hint="eastAsia"/>
                <w:bCs/>
              </w:rPr>
              <w:t>其中：技术人员数</w:t>
            </w:r>
          </w:p>
        </w:tc>
        <w:tc>
          <w:tcPr>
            <w:tcW w:w="1436" w:type="dxa"/>
            <w:tcBorders>
              <w:top w:val="single" w:color="auto" w:sz="4" w:space="0"/>
              <w:left w:val="single" w:color="auto" w:sz="4" w:space="0"/>
              <w:bottom w:val="single" w:color="auto" w:sz="4" w:space="0"/>
              <w:right w:val="single" w:color="auto" w:sz="4" w:space="0"/>
            </w:tcBorders>
          </w:tcPr>
          <w:p>
            <w:pPr>
              <w:ind w:firstLine="0" w:firstLineChars="0"/>
              <w:jc w:val="center"/>
              <w:rPr>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32" w:type="dxa"/>
            <w:tcBorders>
              <w:top w:val="single" w:color="auto" w:sz="4" w:space="0"/>
              <w:left w:val="single" w:color="auto" w:sz="4" w:space="0"/>
              <w:bottom w:val="single" w:color="auto" w:sz="4" w:space="0"/>
              <w:right w:val="single" w:color="auto" w:sz="4" w:space="0"/>
            </w:tcBorders>
          </w:tcPr>
          <w:p>
            <w:pPr>
              <w:ind w:firstLine="0" w:firstLineChars="0"/>
              <w:jc w:val="center"/>
              <w:rPr>
                <w:bCs/>
              </w:rPr>
            </w:pPr>
            <w:r>
              <w:rPr>
                <w:rFonts w:hint="eastAsia"/>
                <w:bCs/>
              </w:rPr>
              <w:t>经营期限</w:t>
            </w:r>
          </w:p>
        </w:tc>
        <w:tc>
          <w:tcPr>
            <w:tcW w:w="6132" w:type="dxa"/>
            <w:gridSpan w:val="5"/>
            <w:tcBorders>
              <w:top w:val="single" w:color="auto" w:sz="4" w:space="0"/>
              <w:left w:val="single" w:color="auto" w:sz="4" w:space="0"/>
              <w:bottom w:val="single" w:color="auto" w:sz="4" w:space="0"/>
              <w:right w:val="single" w:color="auto" w:sz="4" w:space="0"/>
            </w:tcBorders>
          </w:tcPr>
          <w:p>
            <w:pPr>
              <w:ind w:firstLine="0" w:firstLineChars="0"/>
              <w:jc w:val="center"/>
              <w:rPr>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5" w:hRule="atLeast"/>
          <w:jc w:val="center"/>
        </w:trPr>
        <w:tc>
          <w:tcPr>
            <w:tcW w:w="1932" w:type="dxa"/>
            <w:tcBorders>
              <w:top w:val="single" w:color="auto" w:sz="4" w:space="0"/>
              <w:left w:val="single" w:color="auto" w:sz="4" w:space="0"/>
              <w:bottom w:val="single" w:color="auto" w:sz="4" w:space="0"/>
              <w:right w:val="single" w:color="auto" w:sz="4" w:space="0"/>
            </w:tcBorders>
          </w:tcPr>
          <w:p>
            <w:pPr>
              <w:ind w:firstLine="0" w:firstLineChars="0"/>
              <w:jc w:val="center"/>
              <w:rPr>
                <w:bCs/>
              </w:rPr>
            </w:pPr>
            <w:r>
              <w:rPr>
                <w:rFonts w:hint="eastAsia"/>
                <w:bCs/>
              </w:rPr>
              <w:t>售后服务协议</w:t>
            </w:r>
          </w:p>
        </w:tc>
        <w:tc>
          <w:tcPr>
            <w:tcW w:w="6132" w:type="dxa"/>
            <w:gridSpan w:val="5"/>
            <w:tcBorders>
              <w:top w:val="single" w:color="auto" w:sz="4" w:space="0"/>
              <w:left w:val="single" w:color="auto" w:sz="4" w:space="0"/>
              <w:bottom w:val="single" w:color="auto" w:sz="4" w:space="0"/>
              <w:right w:val="single" w:color="auto" w:sz="4" w:space="0"/>
            </w:tcBorders>
          </w:tcPr>
          <w:p>
            <w:pPr>
              <w:ind w:firstLine="0" w:firstLineChars="0"/>
              <w:jc w:val="center"/>
              <w:rPr>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8" w:hRule="atLeast"/>
          <w:jc w:val="center"/>
        </w:trPr>
        <w:tc>
          <w:tcPr>
            <w:tcW w:w="1932" w:type="dxa"/>
            <w:tcBorders>
              <w:top w:val="single" w:color="auto" w:sz="4" w:space="0"/>
              <w:left w:val="single" w:color="auto" w:sz="4" w:space="0"/>
              <w:bottom w:val="single" w:color="auto" w:sz="4" w:space="0"/>
              <w:right w:val="single" w:color="auto" w:sz="4" w:space="0"/>
            </w:tcBorders>
          </w:tcPr>
          <w:p>
            <w:pPr>
              <w:ind w:firstLine="0" w:firstLineChars="0"/>
              <w:jc w:val="center"/>
              <w:rPr>
                <w:bCs/>
              </w:rPr>
            </w:pPr>
            <w:r>
              <w:rPr>
                <w:rFonts w:hint="eastAsia"/>
                <w:bCs/>
              </w:rPr>
              <w:t>售后服务内容</w:t>
            </w:r>
          </w:p>
        </w:tc>
        <w:tc>
          <w:tcPr>
            <w:tcW w:w="6132" w:type="dxa"/>
            <w:gridSpan w:val="5"/>
            <w:tcBorders>
              <w:top w:val="single" w:color="auto" w:sz="4" w:space="0"/>
              <w:left w:val="single" w:color="auto" w:sz="4" w:space="0"/>
              <w:bottom w:val="single" w:color="auto" w:sz="4" w:space="0"/>
              <w:right w:val="single" w:color="auto" w:sz="4" w:space="0"/>
            </w:tcBorders>
          </w:tcPr>
          <w:p>
            <w:pPr>
              <w:ind w:firstLine="0" w:firstLineChars="0"/>
              <w:jc w:val="center"/>
              <w:rPr>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32" w:type="dxa"/>
            <w:tcBorders>
              <w:top w:val="single" w:color="auto" w:sz="4" w:space="0"/>
              <w:left w:val="single" w:color="auto" w:sz="4" w:space="0"/>
              <w:bottom w:val="single" w:color="auto" w:sz="4" w:space="0"/>
              <w:right w:val="single" w:color="auto" w:sz="4" w:space="0"/>
            </w:tcBorders>
          </w:tcPr>
          <w:p>
            <w:pPr>
              <w:ind w:firstLine="0" w:firstLineChars="0"/>
              <w:jc w:val="center"/>
              <w:rPr>
                <w:bCs/>
              </w:rPr>
            </w:pPr>
            <w:r>
              <w:rPr>
                <w:rFonts w:hint="eastAsia"/>
                <w:bCs/>
              </w:rPr>
              <w:t>工作业绩</w:t>
            </w:r>
          </w:p>
        </w:tc>
        <w:tc>
          <w:tcPr>
            <w:tcW w:w="6132" w:type="dxa"/>
            <w:gridSpan w:val="5"/>
            <w:tcBorders>
              <w:top w:val="single" w:color="auto" w:sz="4" w:space="0"/>
              <w:left w:val="single" w:color="auto" w:sz="4" w:space="0"/>
              <w:bottom w:val="single" w:color="auto" w:sz="4" w:space="0"/>
              <w:right w:val="single" w:color="auto" w:sz="4" w:space="0"/>
            </w:tcBorders>
          </w:tcPr>
          <w:p>
            <w:pPr>
              <w:ind w:firstLine="0" w:firstLineChars="0"/>
              <w:jc w:val="center"/>
              <w:rPr>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32" w:type="dxa"/>
            <w:tcBorders>
              <w:top w:val="single" w:color="auto" w:sz="4" w:space="0"/>
              <w:left w:val="single" w:color="auto" w:sz="4" w:space="0"/>
              <w:bottom w:val="single" w:color="auto" w:sz="4" w:space="0"/>
              <w:right w:val="single" w:color="auto" w:sz="4" w:space="0"/>
            </w:tcBorders>
          </w:tcPr>
          <w:p>
            <w:pPr>
              <w:ind w:firstLine="0" w:firstLineChars="0"/>
              <w:jc w:val="center"/>
              <w:rPr>
                <w:bCs/>
              </w:rPr>
            </w:pPr>
            <w:r>
              <w:rPr>
                <w:rFonts w:hint="eastAsia"/>
                <w:bCs/>
              </w:rPr>
              <w:t>服务承诺</w:t>
            </w:r>
          </w:p>
        </w:tc>
        <w:tc>
          <w:tcPr>
            <w:tcW w:w="6132" w:type="dxa"/>
            <w:gridSpan w:val="5"/>
            <w:tcBorders>
              <w:top w:val="single" w:color="auto" w:sz="4" w:space="0"/>
              <w:left w:val="single" w:color="auto" w:sz="4" w:space="0"/>
              <w:bottom w:val="single" w:color="auto" w:sz="4" w:space="0"/>
              <w:right w:val="single" w:color="auto" w:sz="4" w:space="0"/>
            </w:tcBorders>
          </w:tcPr>
          <w:p>
            <w:pPr>
              <w:ind w:firstLine="0" w:firstLineChars="0"/>
              <w:jc w:val="center"/>
              <w:rPr>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32" w:type="dxa"/>
            <w:tcBorders>
              <w:top w:val="single" w:color="auto" w:sz="4" w:space="0"/>
              <w:left w:val="single" w:color="auto" w:sz="4" w:space="0"/>
              <w:bottom w:val="single" w:color="auto" w:sz="4" w:space="0"/>
              <w:right w:val="single" w:color="auto" w:sz="4" w:space="0"/>
            </w:tcBorders>
          </w:tcPr>
          <w:p>
            <w:pPr>
              <w:ind w:firstLine="0" w:firstLineChars="0"/>
              <w:jc w:val="center"/>
              <w:rPr>
                <w:bCs/>
              </w:rPr>
            </w:pPr>
            <w:r>
              <w:rPr>
                <w:rFonts w:hint="eastAsia"/>
                <w:bCs/>
              </w:rPr>
              <w:t>业务咨询电话</w:t>
            </w:r>
          </w:p>
        </w:tc>
        <w:tc>
          <w:tcPr>
            <w:tcW w:w="2367" w:type="dxa"/>
            <w:gridSpan w:val="2"/>
            <w:tcBorders>
              <w:top w:val="single" w:color="auto" w:sz="4" w:space="0"/>
              <w:left w:val="single" w:color="auto" w:sz="4" w:space="0"/>
              <w:bottom w:val="single" w:color="auto" w:sz="4" w:space="0"/>
              <w:right w:val="single" w:color="auto" w:sz="2" w:space="0"/>
            </w:tcBorders>
          </w:tcPr>
          <w:p>
            <w:pPr>
              <w:ind w:firstLine="0" w:firstLineChars="0"/>
              <w:jc w:val="center"/>
              <w:rPr>
                <w:bCs/>
              </w:rPr>
            </w:pPr>
          </w:p>
        </w:tc>
        <w:tc>
          <w:tcPr>
            <w:tcW w:w="1440" w:type="dxa"/>
            <w:tcBorders>
              <w:top w:val="single" w:color="auto" w:sz="4" w:space="0"/>
              <w:left w:val="single" w:color="auto" w:sz="2" w:space="0"/>
              <w:bottom w:val="single" w:color="auto" w:sz="4" w:space="0"/>
              <w:right w:val="single" w:color="auto" w:sz="2" w:space="0"/>
            </w:tcBorders>
          </w:tcPr>
          <w:p>
            <w:pPr>
              <w:ind w:firstLine="0" w:firstLineChars="0"/>
              <w:jc w:val="center"/>
              <w:rPr>
                <w:bCs/>
              </w:rPr>
            </w:pPr>
            <w:r>
              <w:rPr>
                <w:rFonts w:hint="eastAsia"/>
                <w:bCs/>
              </w:rPr>
              <w:t>传 真</w:t>
            </w:r>
          </w:p>
        </w:tc>
        <w:tc>
          <w:tcPr>
            <w:tcW w:w="2325" w:type="dxa"/>
            <w:gridSpan w:val="2"/>
            <w:tcBorders>
              <w:top w:val="single" w:color="auto" w:sz="4" w:space="0"/>
              <w:left w:val="single" w:color="auto" w:sz="2" w:space="0"/>
              <w:bottom w:val="single" w:color="auto" w:sz="4" w:space="0"/>
              <w:right w:val="single" w:color="auto" w:sz="2" w:space="0"/>
            </w:tcBorders>
          </w:tcPr>
          <w:p>
            <w:pPr>
              <w:ind w:firstLine="0" w:firstLineChars="0"/>
              <w:jc w:val="center"/>
              <w:rPr>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32" w:type="dxa"/>
            <w:tcBorders>
              <w:top w:val="single" w:color="auto" w:sz="4" w:space="0"/>
              <w:left w:val="single" w:color="auto" w:sz="4" w:space="0"/>
              <w:bottom w:val="single" w:color="auto" w:sz="4" w:space="0"/>
              <w:right w:val="single" w:color="auto" w:sz="4" w:space="0"/>
            </w:tcBorders>
          </w:tcPr>
          <w:p>
            <w:pPr>
              <w:ind w:firstLine="0" w:firstLineChars="0"/>
              <w:jc w:val="center"/>
              <w:rPr>
                <w:bCs/>
              </w:rPr>
            </w:pPr>
            <w:r>
              <w:rPr>
                <w:rFonts w:hint="eastAsia"/>
                <w:bCs/>
              </w:rPr>
              <w:t>负责人</w:t>
            </w:r>
          </w:p>
        </w:tc>
        <w:tc>
          <w:tcPr>
            <w:tcW w:w="2367" w:type="dxa"/>
            <w:gridSpan w:val="2"/>
            <w:tcBorders>
              <w:top w:val="single" w:color="auto" w:sz="4" w:space="0"/>
              <w:left w:val="single" w:color="auto" w:sz="4" w:space="0"/>
              <w:bottom w:val="single" w:color="auto" w:sz="4" w:space="0"/>
              <w:right w:val="single" w:color="auto" w:sz="2" w:space="0"/>
            </w:tcBorders>
          </w:tcPr>
          <w:p>
            <w:pPr>
              <w:ind w:firstLine="0" w:firstLineChars="0"/>
              <w:jc w:val="center"/>
              <w:rPr>
                <w:bCs/>
              </w:rPr>
            </w:pPr>
          </w:p>
        </w:tc>
        <w:tc>
          <w:tcPr>
            <w:tcW w:w="1440" w:type="dxa"/>
            <w:tcBorders>
              <w:top w:val="single" w:color="auto" w:sz="4" w:space="0"/>
              <w:left w:val="single" w:color="auto" w:sz="2" w:space="0"/>
              <w:bottom w:val="single" w:color="auto" w:sz="4" w:space="0"/>
              <w:right w:val="single" w:color="auto" w:sz="2" w:space="0"/>
            </w:tcBorders>
          </w:tcPr>
          <w:p>
            <w:pPr>
              <w:ind w:firstLine="0" w:firstLineChars="0"/>
              <w:jc w:val="center"/>
              <w:rPr>
                <w:bCs/>
              </w:rPr>
            </w:pPr>
            <w:r>
              <w:rPr>
                <w:rFonts w:hint="eastAsia"/>
                <w:bCs/>
              </w:rPr>
              <w:t>联系电话</w:t>
            </w:r>
          </w:p>
        </w:tc>
        <w:tc>
          <w:tcPr>
            <w:tcW w:w="2325" w:type="dxa"/>
            <w:gridSpan w:val="2"/>
            <w:tcBorders>
              <w:top w:val="single" w:color="auto" w:sz="4" w:space="0"/>
              <w:left w:val="single" w:color="auto" w:sz="2" w:space="0"/>
              <w:bottom w:val="single" w:color="auto" w:sz="4" w:space="0"/>
              <w:right w:val="single" w:color="auto" w:sz="4" w:space="0"/>
            </w:tcBorders>
          </w:tcPr>
          <w:p>
            <w:pPr>
              <w:ind w:firstLine="0" w:firstLineChars="0"/>
              <w:jc w:val="center"/>
              <w:rPr>
                <w:bCs/>
              </w:rPr>
            </w:pPr>
          </w:p>
        </w:tc>
      </w:tr>
    </w:tbl>
    <w:p>
      <w:pPr>
        <w:spacing w:line="460" w:lineRule="exact"/>
        <w:ind w:firstLine="5280" w:firstLineChars="2200"/>
      </w:pPr>
    </w:p>
    <w:p>
      <w:pPr>
        <w:spacing w:line="460" w:lineRule="exact"/>
        <w:ind w:firstLine="5280" w:firstLineChars="2200"/>
      </w:pPr>
    </w:p>
    <w:p>
      <w:pPr>
        <w:wordWrap w:val="0"/>
        <w:autoSpaceDE w:val="0"/>
        <w:autoSpaceDN w:val="0"/>
        <w:adjustRightInd w:val="0"/>
        <w:spacing w:line="440" w:lineRule="exact"/>
        <w:ind w:firstLine="480"/>
        <w:jc w:val="right"/>
        <w:rPr>
          <w:rFonts w:cs="仿宋_GB2312"/>
          <w:kern w:val="0"/>
          <w:lang w:val="zh-CN"/>
        </w:rPr>
      </w:pPr>
      <w:r>
        <w:rPr>
          <w:rFonts w:hint="eastAsia" w:cs="仿宋_GB2312"/>
          <w:kern w:val="0"/>
          <w:lang w:val="zh-CN"/>
        </w:rPr>
        <w:t xml:space="preserve">      投标人（公章）：     </w:t>
      </w:r>
    </w:p>
    <w:p>
      <w:pPr>
        <w:wordWrap w:val="0"/>
        <w:autoSpaceDE w:val="0"/>
        <w:autoSpaceDN w:val="0"/>
        <w:adjustRightInd w:val="0"/>
        <w:spacing w:line="440" w:lineRule="exact"/>
        <w:ind w:firstLine="480"/>
        <w:jc w:val="right"/>
        <w:rPr>
          <w:rFonts w:cs="仿宋_GB2312"/>
          <w:kern w:val="0"/>
          <w:lang w:val="zh-CN"/>
        </w:rPr>
      </w:pPr>
      <w:r>
        <w:rPr>
          <w:rFonts w:hint="eastAsia" w:cs="仿宋_GB2312"/>
          <w:kern w:val="0"/>
          <w:lang w:val="zh-CN"/>
        </w:rPr>
        <w:t xml:space="preserve">                                   法定代表人或授权代表（签字）：     </w:t>
      </w:r>
    </w:p>
    <w:p>
      <w:pPr>
        <w:spacing w:line="440" w:lineRule="exact"/>
        <w:ind w:firstLine="480"/>
        <w:jc w:val="center"/>
        <w:rPr>
          <w:b/>
          <w:bCs/>
          <w:sz w:val="32"/>
          <w:szCs w:val="32"/>
        </w:rPr>
      </w:pPr>
      <w:r>
        <w:rPr>
          <w:rFonts w:hint="eastAsia" w:cs="仿宋_GB2312"/>
          <w:kern w:val="0"/>
          <w:lang w:val="zh-CN"/>
        </w:rPr>
        <w:t xml:space="preserve">                                       日期：</w:t>
      </w:r>
      <w:r>
        <w:rPr>
          <w:rFonts w:cs="仿宋_GB2312"/>
          <w:kern w:val="0"/>
          <w:lang w:val="zh-CN"/>
        </w:rPr>
        <w:t>20</w:t>
      </w:r>
      <w:r>
        <w:rPr>
          <w:rFonts w:hint="eastAsia" w:cs="仿宋_GB2312"/>
          <w:kern w:val="0"/>
          <w:lang w:val="zh-CN"/>
        </w:rPr>
        <w:t xml:space="preserve">  年</w:t>
      </w:r>
      <w:r>
        <w:rPr>
          <w:rFonts w:cs="仿宋_GB2312"/>
          <w:kern w:val="0"/>
          <w:lang w:val="zh-CN"/>
        </w:rPr>
        <w:t xml:space="preserve">  </w:t>
      </w:r>
      <w:r>
        <w:rPr>
          <w:rFonts w:hint="eastAsia" w:cs="仿宋_GB2312"/>
          <w:kern w:val="0"/>
          <w:lang w:val="zh-CN"/>
        </w:rPr>
        <w:t>月</w:t>
      </w:r>
      <w:r>
        <w:rPr>
          <w:rFonts w:cs="仿宋_GB2312"/>
          <w:kern w:val="0"/>
          <w:lang w:val="zh-CN"/>
        </w:rPr>
        <w:t xml:space="preserve">   </w:t>
      </w:r>
      <w:r>
        <w:rPr>
          <w:rFonts w:hint="eastAsia" w:cs="仿宋_GB2312"/>
          <w:kern w:val="0"/>
          <w:lang w:val="zh-CN"/>
        </w:rPr>
        <w:t xml:space="preserve">日    </w:t>
      </w:r>
      <w:r>
        <w:rPr>
          <w:b/>
          <w:kern w:val="0"/>
          <w:sz w:val="32"/>
          <w:szCs w:val="32"/>
        </w:rPr>
        <w:br w:type="page"/>
      </w:r>
      <w:bookmarkStart w:id="201" w:name="_Toc339872470"/>
      <w:bookmarkStart w:id="202" w:name="_Toc297472057"/>
      <w:bookmarkStart w:id="203" w:name="_Toc328381294"/>
      <w:bookmarkStart w:id="204" w:name="_Toc297472825"/>
      <w:bookmarkStart w:id="205" w:name="_Toc350327367"/>
      <w:bookmarkStart w:id="206" w:name="_Toc349721556"/>
      <w:bookmarkStart w:id="207" w:name="_Toc303256683"/>
      <w:r>
        <w:rPr>
          <w:rFonts w:hint="eastAsia"/>
          <w:b/>
          <w:kern w:val="0"/>
          <w:sz w:val="32"/>
          <w:szCs w:val="32"/>
        </w:rPr>
        <w:t>八、投标响应</w:t>
      </w:r>
      <w:r>
        <w:rPr>
          <w:rFonts w:hint="eastAsia"/>
          <w:b/>
          <w:sz w:val="32"/>
          <w:szCs w:val="32"/>
        </w:rPr>
        <w:t>函</w:t>
      </w:r>
      <w:bookmarkEnd w:id="201"/>
      <w:bookmarkEnd w:id="202"/>
      <w:bookmarkEnd w:id="203"/>
      <w:bookmarkEnd w:id="204"/>
      <w:bookmarkEnd w:id="205"/>
      <w:bookmarkEnd w:id="206"/>
      <w:bookmarkEnd w:id="207"/>
    </w:p>
    <w:p>
      <w:pPr>
        <w:autoSpaceDE w:val="0"/>
        <w:autoSpaceDN w:val="0"/>
        <w:adjustRightInd w:val="0"/>
        <w:spacing w:line="440" w:lineRule="exact"/>
        <w:ind w:firstLine="482"/>
        <w:jc w:val="center"/>
        <w:rPr>
          <w:b/>
          <w:kern w:val="0"/>
        </w:rPr>
      </w:pPr>
    </w:p>
    <w:p>
      <w:pPr>
        <w:spacing w:line="440" w:lineRule="exact"/>
        <w:ind w:firstLine="482"/>
        <w:rPr>
          <w:b/>
        </w:rPr>
      </w:pPr>
      <w:r>
        <w:rPr>
          <w:rFonts w:hint="eastAsia"/>
          <w:b/>
        </w:rPr>
        <w:t>采购人：</w:t>
      </w:r>
    </w:p>
    <w:p>
      <w:pPr>
        <w:adjustRightInd w:val="0"/>
        <w:snapToGrid w:val="0"/>
        <w:spacing w:line="440" w:lineRule="exact"/>
        <w:ind w:firstLine="480"/>
        <w:rPr>
          <w:rFonts w:hint="eastAsia" w:eastAsia="宋体"/>
          <w:lang w:eastAsia="zh-CN"/>
        </w:rPr>
      </w:pPr>
      <w:r>
        <w:rPr>
          <w:rFonts w:hint="eastAsia"/>
        </w:rPr>
        <w:t xml:space="preserve"> </w:t>
      </w:r>
      <w:r>
        <w:rPr>
          <w:rFonts w:hint="eastAsia"/>
          <w:u w:val="single"/>
        </w:rPr>
        <w:t xml:space="preserve">            </w:t>
      </w:r>
      <w:r>
        <w:rPr>
          <w:u w:val="single"/>
        </w:rPr>
        <w:t xml:space="preserve">            </w:t>
      </w:r>
      <w:r>
        <w:rPr>
          <w:rFonts w:hint="eastAsia"/>
          <w:u w:val="single"/>
        </w:rPr>
        <w:t xml:space="preserve">          </w:t>
      </w:r>
      <w:r>
        <w:rPr>
          <w:rFonts w:hint="eastAsia"/>
        </w:rPr>
        <w:t>(投标人全称)授权</w:t>
      </w:r>
      <w:r>
        <w:rPr>
          <w:u w:val="single"/>
        </w:rPr>
        <w:t xml:space="preserve">        </w:t>
      </w:r>
      <w:r>
        <w:rPr>
          <w:rFonts w:hint="eastAsia"/>
          <w:u w:val="single"/>
        </w:rPr>
        <w:t xml:space="preserve">        </w:t>
      </w:r>
      <w:r>
        <w:rPr>
          <w:rFonts w:hint="eastAsia"/>
        </w:rPr>
        <w:t>(全权代表姓名)</w:t>
      </w:r>
      <w:r>
        <w:rPr>
          <w:u w:val="single"/>
        </w:rPr>
        <w:t xml:space="preserve">          </w:t>
      </w:r>
      <w:r>
        <w:rPr>
          <w:rFonts w:hint="eastAsia"/>
        </w:rPr>
        <w:t>(职务、职称)为全权代表，参加贵方组织</w:t>
      </w:r>
      <w:r>
        <w:rPr>
          <w:rFonts w:hint="eastAsia"/>
          <w:u w:val="single"/>
        </w:rPr>
        <w:t xml:space="preserve">            </w:t>
      </w:r>
      <w:r>
        <w:rPr>
          <w:rFonts w:hint="eastAsia"/>
        </w:rPr>
        <w:t>项目（项目编号：     ）采购的有关活动，并对此项目进行投标。全部投标文件，包括报价文件正本一份、副本</w:t>
      </w:r>
      <w:r>
        <w:rPr>
          <w:rFonts w:hint="eastAsia"/>
          <w:lang w:eastAsia="zh-CN"/>
        </w:rPr>
        <w:t>四</w:t>
      </w:r>
      <w:r>
        <w:rPr>
          <w:rFonts w:hint="eastAsia"/>
        </w:rPr>
        <w:t>份，商务/技术文件正本一份、副本</w:t>
      </w:r>
      <w:r>
        <w:rPr>
          <w:rFonts w:hint="eastAsia"/>
          <w:lang w:eastAsia="zh-CN"/>
        </w:rPr>
        <w:t>四</w:t>
      </w:r>
      <w:r>
        <w:rPr>
          <w:rFonts w:hint="eastAsia"/>
        </w:rPr>
        <w:t>份，以及其他要求投标人提交的全部文件。</w:t>
      </w:r>
    </w:p>
    <w:p>
      <w:pPr>
        <w:adjustRightInd w:val="0"/>
        <w:snapToGrid w:val="0"/>
        <w:spacing w:line="440" w:lineRule="exact"/>
        <w:ind w:firstLine="480"/>
      </w:pPr>
      <w:r>
        <w:rPr>
          <w:rFonts w:hint="eastAsia"/>
        </w:rPr>
        <w:t>据此函，签字代表宣布同意如下：</w:t>
      </w:r>
    </w:p>
    <w:p>
      <w:pPr>
        <w:adjustRightInd w:val="0"/>
        <w:snapToGrid w:val="0"/>
        <w:spacing w:line="440" w:lineRule="exact"/>
        <w:ind w:firstLine="480"/>
      </w:pPr>
      <w:r>
        <w:rPr>
          <w:rFonts w:hint="eastAsia"/>
        </w:rPr>
        <w:t>1、我方承诺已经具备《中华人民共和国政府采购法》</w:t>
      </w:r>
      <w:r>
        <w:t>第二十二条</w:t>
      </w:r>
      <w:r>
        <w:rPr>
          <w:rFonts w:hint="eastAsia"/>
        </w:rPr>
        <w:t>中规定的参加政府采购活动的投标人应当具备的条件：</w:t>
      </w:r>
    </w:p>
    <w:p>
      <w:pPr>
        <w:adjustRightInd w:val="0"/>
        <w:snapToGrid w:val="0"/>
        <w:spacing w:line="440" w:lineRule="exact"/>
        <w:ind w:firstLine="480"/>
      </w:pPr>
      <w:r>
        <w:t>（一）具有独立承担民事责任的能力；</w:t>
      </w:r>
    </w:p>
    <w:p>
      <w:pPr>
        <w:adjustRightInd w:val="0"/>
        <w:snapToGrid w:val="0"/>
        <w:spacing w:line="440" w:lineRule="exact"/>
        <w:ind w:firstLine="480"/>
      </w:pPr>
      <w:r>
        <w:t>（二）具有良好的商业信誉和健全的财务会计制度；</w:t>
      </w:r>
    </w:p>
    <w:p>
      <w:pPr>
        <w:adjustRightInd w:val="0"/>
        <w:snapToGrid w:val="0"/>
        <w:spacing w:line="440" w:lineRule="exact"/>
        <w:ind w:firstLine="480"/>
      </w:pPr>
      <w:r>
        <w:t>（三）具有履行合同所必需的设备和专业技术能力；</w:t>
      </w:r>
    </w:p>
    <w:p>
      <w:pPr>
        <w:adjustRightInd w:val="0"/>
        <w:snapToGrid w:val="0"/>
        <w:spacing w:line="440" w:lineRule="exact"/>
        <w:ind w:firstLine="480"/>
      </w:pPr>
      <w:r>
        <w:t>（四）有依法缴纳税收和社会保障资金的良好记录；</w:t>
      </w:r>
    </w:p>
    <w:p>
      <w:pPr>
        <w:adjustRightInd w:val="0"/>
        <w:snapToGrid w:val="0"/>
        <w:spacing w:line="440" w:lineRule="exact"/>
        <w:ind w:firstLine="480"/>
      </w:pPr>
      <w:r>
        <w:t>（五）参加政府采购活动前三年内，在经营活动中没有重大违法记录；</w:t>
      </w:r>
    </w:p>
    <w:p>
      <w:pPr>
        <w:adjustRightInd w:val="0"/>
        <w:snapToGrid w:val="0"/>
        <w:spacing w:line="440" w:lineRule="exact"/>
        <w:ind w:firstLine="480"/>
      </w:pPr>
      <w:r>
        <w:t>（六）法律、行政法规规定的其他条件。</w:t>
      </w:r>
    </w:p>
    <w:p>
      <w:pPr>
        <w:adjustRightInd w:val="0"/>
        <w:snapToGrid w:val="0"/>
        <w:spacing w:line="440" w:lineRule="exact"/>
        <w:ind w:firstLine="480"/>
      </w:pPr>
      <w:r>
        <w:rPr>
          <w:rFonts w:hint="eastAsia"/>
        </w:rPr>
        <w:t>2、本投标有效期自投标文件合格递交之日起</w:t>
      </w:r>
      <w:r>
        <w:rPr>
          <w:b/>
          <w:u w:val="thick"/>
        </w:rPr>
        <w:t xml:space="preserve"> </w:t>
      </w:r>
      <w:r>
        <w:rPr>
          <w:rFonts w:hint="eastAsia"/>
          <w:b/>
          <w:u w:val="thick"/>
        </w:rPr>
        <w:t>90日</w:t>
      </w:r>
      <w:r>
        <w:rPr>
          <w:rFonts w:hint="eastAsia"/>
        </w:rPr>
        <w:t>。</w:t>
      </w:r>
    </w:p>
    <w:p>
      <w:pPr>
        <w:adjustRightInd w:val="0"/>
        <w:snapToGrid w:val="0"/>
        <w:spacing w:line="440" w:lineRule="exact"/>
        <w:ind w:firstLine="480"/>
      </w:pPr>
      <w:r>
        <w:rPr>
          <w:rFonts w:hint="eastAsia"/>
        </w:rPr>
        <w:t>3、如我方中标，本投标文件至本项目合同履行完毕止均保持有效，我方将按招标文件及政府采购法律、法规的规定履行合同责任和义务。</w:t>
      </w:r>
    </w:p>
    <w:p>
      <w:pPr>
        <w:adjustRightInd w:val="0"/>
        <w:snapToGrid w:val="0"/>
        <w:spacing w:line="440" w:lineRule="exact"/>
        <w:ind w:firstLine="480"/>
      </w:pPr>
      <w:r>
        <w:rPr>
          <w:rFonts w:hint="eastAsia"/>
        </w:rPr>
        <w:t>4、我方完全理解贵方不一定要接受最低价的投标。</w:t>
      </w:r>
    </w:p>
    <w:p>
      <w:pPr>
        <w:adjustRightInd w:val="0"/>
        <w:snapToGrid w:val="0"/>
        <w:spacing w:line="440" w:lineRule="exact"/>
        <w:ind w:firstLine="480"/>
      </w:pPr>
      <w:r>
        <w:rPr>
          <w:rFonts w:hint="eastAsia"/>
        </w:rPr>
        <w:t>5、我方同意按照贵方要求提供与投标有关的一切数据或资料，配合招标采购单位进行评标、验收等与本次采购相关工作。</w:t>
      </w:r>
    </w:p>
    <w:p>
      <w:pPr>
        <w:adjustRightInd w:val="0"/>
        <w:snapToGrid w:val="0"/>
        <w:spacing w:line="440" w:lineRule="exact"/>
        <w:ind w:firstLine="480"/>
      </w:pPr>
      <w:r>
        <w:rPr>
          <w:rFonts w:hint="eastAsia"/>
        </w:rPr>
        <w:t>6、我方在投标之前已经与贵方进行了充分的沟通，完全理解并接受招标文件的各项规定和要求，对招标文件的合理性、合法性不再有异议。并保证遵守采购文件中的有关规定。</w:t>
      </w:r>
    </w:p>
    <w:p>
      <w:pPr>
        <w:adjustRightInd w:val="0"/>
        <w:snapToGrid w:val="0"/>
        <w:spacing w:line="440" w:lineRule="exact"/>
        <w:ind w:firstLine="480"/>
      </w:pPr>
      <w:r>
        <w:rPr>
          <w:rFonts w:hint="eastAsia"/>
        </w:rPr>
        <w:t>7、我方已详细审查全部招标文件，包括更正通知（如有的话）以及全部参考资料和有关附件，已经了解我方对于招标文件、采购过程、采购结果有依法进行询问、质疑、投诉的权利及相关渠道和要求。</w:t>
      </w:r>
    </w:p>
    <w:p>
      <w:pPr>
        <w:adjustRightInd w:val="0"/>
        <w:snapToGrid w:val="0"/>
        <w:spacing w:line="440" w:lineRule="exact"/>
        <w:ind w:firstLine="480"/>
      </w:pPr>
      <w:r>
        <w:rPr>
          <w:rFonts w:hint="eastAsia"/>
        </w:rPr>
        <w:t>8、</w:t>
      </w:r>
      <w:r>
        <w:t>我方向贵方提交的所有投标文件、资料都是准确的和真实的</w:t>
      </w:r>
      <w:r>
        <w:rPr>
          <w:rFonts w:hint="eastAsia"/>
        </w:rPr>
        <w:t>。</w:t>
      </w:r>
    </w:p>
    <w:p>
      <w:pPr>
        <w:adjustRightInd w:val="0"/>
        <w:snapToGrid w:val="0"/>
        <w:spacing w:line="440" w:lineRule="exact"/>
        <w:ind w:firstLine="480"/>
      </w:pPr>
      <w:r>
        <w:rPr>
          <w:rFonts w:hint="eastAsia"/>
        </w:rPr>
        <w:t>9、我方将严格遵守《中华人民共和国政府采购法》第七十七条规定，</w:t>
      </w:r>
      <w: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adjustRightInd w:val="0"/>
        <w:snapToGrid w:val="0"/>
        <w:spacing w:line="440" w:lineRule="exact"/>
        <w:ind w:firstLine="480"/>
      </w:pPr>
      <w:r>
        <w:t>（一）提供虚假材料谋取中标、成交的；</w:t>
      </w:r>
    </w:p>
    <w:p>
      <w:pPr>
        <w:adjustRightInd w:val="0"/>
        <w:snapToGrid w:val="0"/>
        <w:spacing w:line="440" w:lineRule="exact"/>
        <w:ind w:firstLine="480"/>
      </w:pPr>
      <w:r>
        <w:t>（二）采取不正当手段诋毁、排挤其他供应商的；</w:t>
      </w:r>
    </w:p>
    <w:p>
      <w:pPr>
        <w:adjustRightInd w:val="0"/>
        <w:snapToGrid w:val="0"/>
        <w:spacing w:line="440" w:lineRule="exact"/>
        <w:ind w:firstLine="480"/>
      </w:pPr>
      <w:r>
        <w:t>（三）与采购人、其他供应商或者采购代理机构恶意串通的；</w:t>
      </w:r>
    </w:p>
    <w:p>
      <w:pPr>
        <w:adjustRightInd w:val="0"/>
        <w:snapToGrid w:val="0"/>
        <w:spacing w:line="440" w:lineRule="exact"/>
        <w:ind w:firstLine="480"/>
      </w:pPr>
      <w:r>
        <w:t>（四）向采购人、采购代理机构行贿或者提供其他不正当利益的；</w:t>
      </w:r>
    </w:p>
    <w:p>
      <w:pPr>
        <w:adjustRightInd w:val="0"/>
        <w:snapToGrid w:val="0"/>
        <w:spacing w:line="440" w:lineRule="exact"/>
        <w:ind w:firstLine="480"/>
      </w:pPr>
      <w:r>
        <w:t>（五）在招标采购过程中与采购人进行协商谈判的；</w:t>
      </w:r>
    </w:p>
    <w:p>
      <w:pPr>
        <w:adjustRightInd w:val="0"/>
        <w:snapToGrid w:val="0"/>
        <w:spacing w:line="440" w:lineRule="exact"/>
        <w:ind w:firstLine="480"/>
      </w:pPr>
      <w:r>
        <w:t>（六）拒绝有关部门监督检查或者提供虚假情况的。</w:t>
      </w:r>
    </w:p>
    <w:p>
      <w:pPr>
        <w:adjustRightInd w:val="0"/>
        <w:snapToGrid w:val="0"/>
        <w:spacing w:line="440" w:lineRule="exact"/>
        <w:ind w:firstLine="480"/>
      </w:pPr>
      <w:r>
        <w:t>供应商有前款第（一）至（五）项情形之一的，中标、成交无效。</w:t>
      </w:r>
    </w:p>
    <w:p>
      <w:pPr>
        <w:adjustRightInd w:val="0"/>
        <w:snapToGrid w:val="0"/>
        <w:spacing w:line="440" w:lineRule="exact"/>
        <w:ind w:firstLine="480"/>
      </w:pPr>
    </w:p>
    <w:p>
      <w:pPr>
        <w:autoSpaceDE w:val="0"/>
        <w:autoSpaceDN w:val="0"/>
        <w:adjustRightInd w:val="0"/>
        <w:spacing w:line="440" w:lineRule="exact"/>
        <w:ind w:firstLine="480"/>
        <w:rPr>
          <w:rFonts w:cs="仿宋_GB2312"/>
          <w:kern w:val="0"/>
          <w:u w:val="single"/>
          <w:lang w:val="zh-CN"/>
        </w:rPr>
      </w:pPr>
      <w:r>
        <w:rPr>
          <w:rFonts w:hint="eastAsia" w:cs="仿宋_GB2312"/>
          <w:kern w:val="0"/>
          <w:lang w:val="zh-CN"/>
        </w:rPr>
        <w:t xml:space="preserve">法定代表人或授权代表（签字）： </w:t>
      </w:r>
      <w:r>
        <w:rPr>
          <w:rFonts w:cs="仿宋_GB2312"/>
          <w:kern w:val="0"/>
          <w:u w:val="single"/>
          <w:lang w:val="zh-CN"/>
        </w:rPr>
        <w:t xml:space="preserve">                     </w:t>
      </w:r>
    </w:p>
    <w:p>
      <w:pPr>
        <w:autoSpaceDE w:val="0"/>
        <w:autoSpaceDN w:val="0"/>
        <w:adjustRightInd w:val="0"/>
        <w:spacing w:line="440" w:lineRule="exact"/>
        <w:ind w:firstLine="480"/>
        <w:rPr>
          <w:rFonts w:cs="仿宋_GB2312"/>
          <w:kern w:val="0"/>
          <w:u w:val="single"/>
          <w:lang w:val="zh-CN"/>
        </w:rPr>
      </w:pPr>
      <w:r>
        <w:rPr>
          <w:rFonts w:hint="eastAsia" w:cs="仿宋_GB2312"/>
          <w:kern w:val="0"/>
          <w:lang w:val="zh-CN"/>
        </w:rPr>
        <w:t>投标人（公章）</w:t>
      </w:r>
      <w:r>
        <w:rPr>
          <w:rFonts w:cs="仿宋_GB2312"/>
          <w:kern w:val="0"/>
          <w:lang w:val="zh-CN"/>
        </w:rPr>
        <w:t xml:space="preserve">:  </w:t>
      </w:r>
      <w:r>
        <w:rPr>
          <w:rFonts w:cs="仿宋_GB2312"/>
          <w:kern w:val="0"/>
          <w:u w:val="single"/>
          <w:lang w:val="zh-CN"/>
        </w:rPr>
        <w:t xml:space="preserve">            </w:t>
      </w:r>
      <w:r>
        <w:rPr>
          <w:rFonts w:hint="eastAsia" w:cs="仿宋_GB2312"/>
          <w:kern w:val="0"/>
          <w:u w:val="single"/>
          <w:lang w:val="zh-CN"/>
        </w:rPr>
        <w:t xml:space="preserve">  </w:t>
      </w:r>
      <w:r>
        <w:rPr>
          <w:rFonts w:cs="仿宋_GB2312"/>
          <w:kern w:val="0"/>
          <w:u w:val="single"/>
          <w:lang w:val="zh-CN"/>
        </w:rPr>
        <w:t xml:space="preserve">         </w:t>
      </w:r>
    </w:p>
    <w:p>
      <w:pPr>
        <w:autoSpaceDE w:val="0"/>
        <w:autoSpaceDN w:val="0"/>
        <w:adjustRightInd w:val="0"/>
        <w:spacing w:line="440" w:lineRule="exact"/>
        <w:ind w:firstLine="480"/>
        <w:rPr>
          <w:kern w:val="0"/>
        </w:rPr>
      </w:pPr>
      <w:r>
        <w:rPr>
          <w:rFonts w:hint="eastAsia" w:cs="仿宋_GB2312"/>
          <w:kern w:val="0"/>
          <w:lang w:val="zh-CN"/>
        </w:rPr>
        <w:t>联系人：</w:t>
      </w:r>
      <w:r>
        <w:rPr>
          <w:rFonts w:cs="仿宋_GB2312"/>
          <w:kern w:val="0"/>
          <w:u w:val="single"/>
          <w:lang w:val="zh-CN"/>
        </w:rPr>
        <w:t xml:space="preserve">                              </w:t>
      </w:r>
      <w:r>
        <w:rPr>
          <w:rFonts w:hint="eastAsia" w:cs="仿宋_GB2312"/>
          <w:kern w:val="0"/>
          <w:lang w:val="zh-CN"/>
        </w:rPr>
        <w:t xml:space="preserve">  邮政编码：</w:t>
      </w:r>
      <w:r>
        <w:rPr>
          <w:rFonts w:cs="仿宋_GB2312"/>
          <w:kern w:val="0"/>
          <w:u w:val="single"/>
          <w:lang w:val="zh-CN"/>
        </w:rPr>
        <w:t xml:space="preserve">                     </w:t>
      </w:r>
    </w:p>
    <w:p>
      <w:pPr>
        <w:autoSpaceDE w:val="0"/>
        <w:autoSpaceDN w:val="0"/>
        <w:adjustRightInd w:val="0"/>
        <w:spacing w:line="440" w:lineRule="exact"/>
        <w:ind w:firstLine="480"/>
        <w:rPr>
          <w:kern w:val="0"/>
        </w:rPr>
      </w:pPr>
      <w:r>
        <w:rPr>
          <w:rFonts w:hint="eastAsia" w:cs="仿宋_GB2312"/>
          <w:kern w:val="0"/>
          <w:lang w:val="zh-CN"/>
        </w:rPr>
        <w:t>联系地址：</w:t>
      </w:r>
      <w:r>
        <w:rPr>
          <w:rFonts w:cs="仿宋_GB2312"/>
          <w:kern w:val="0"/>
          <w:u w:val="single"/>
          <w:lang w:val="zh-CN"/>
        </w:rPr>
        <w:t xml:space="preserve">                             </w:t>
      </w:r>
      <w:r>
        <w:rPr>
          <w:rFonts w:hint="eastAsia" w:cs="仿宋_GB2312"/>
          <w:kern w:val="0"/>
          <w:u w:val="single"/>
          <w:lang w:val="zh-CN"/>
        </w:rPr>
        <w:t xml:space="preserve">     </w:t>
      </w:r>
      <w:r>
        <w:rPr>
          <w:rFonts w:cs="仿宋_GB2312"/>
          <w:kern w:val="0"/>
          <w:u w:val="single"/>
          <w:lang w:val="zh-CN"/>
        </w:rPr>
        <w:t xml:space="preserve">                           </w:t>
      </w:r>
    </w:p>
    <w:p>
      <w:pPr>
        <w:autoSpaceDE w:val="0"/>
        <w:autoSpaceDN w:val="0"/>
        <w:adjustRightInd w:val="0"/>
        <w:spacing w:line="440" w:lineRule="exact"/>
        <w:ind w:firstLine="480"/>
        <w:rPr>
          <w:kern w:val="0"/>
        </w:rPr>
      </w:pPr>
      <w:r>
        <w:rPr>
          <w:rFonts w:hint="eastAsia" w:cs="仿宋_GB2312"/>
          <w:kern w:val="0"/>
          <w:lang w:val="zh-CN"/>
        </w:rPr>
        <w:t>联系电话</w:t>
      </w:r>
      <w:r>
        <w:rPr>
          <w:rFonts w:cs="仿宋_GB2312"/>
          <w:kern w:val="0"/>
          <w:lang w:val="zh-CN"/>
        </w:rPr>
        <w:t xml:space="preserve">: </w:t>
      </w:r>
      <w:r>
        <w:rPr>
          <w:rFonts w:cs="仿宋_GB2312"/>
          <w:kern w:val="0"/>
          <w:u w:val="single"/>
          <w:lang w:val="zh-CN"/>
        </w:rPr>
        <w:t xml:space="preserve">                </w:t>
      </w:r>
      <w:r>
        <w:rPr>
          <w:rFonts w:hint="eastAsia" w:cs="仿宋_GB2312"/>
          <w:kern w:val="0"/>
          <w:lang w:val="zh-CN"/>
        </w:rPr>
        <w:t>传真号码：</w:t>
      </w:r>
      <w:r>
        <w:rPr>
          <w:rFonts w:cs="仿宋_GB2312"/>
          <w:kern w:val="0"/>
          <w:u w:val="single"/>
          <w:lang w:val="zh-CN"/>
        </w:rPr>
        <w:t xml:space="preserve">   </w:t>
      </w:r>
      <w:r>
        <w:rPr>
          <w:rFonts w:hint="eastAsia" w:cs="仿宋_GB2312"/>
          <w:kern w:val="0"/>
          <w:u w:val="single"/>
          <w:lang w:val="zh-CN"/>
        </w:rPr>
        <w:t xml:space="preserve">  </w:t>
      </w:r>
      <w:r>
        <w:rPr>
          <w:rFonts w:cs="仿宋_GB2312"/>
          <w:kern w:val="0"/>
          <w:u w:val="single"/>
          <w:lang w:val="zh-CN"/>
        </w:rPr>
        <w:t xml:space="preserve">          </w:t>
      </w:r>
    </w:p>
    <w:p>
      <w:pPr>
        <w:spacing w:line="440" w:lineRule="exact"/>
        <w:ind w:firstLine="480"/>
      </w:pPr>
      <w:r>
        <w:rPr>
          <w:rFonts w:hint="eastAsia" w:cs="仿宋_GB2312"/>
          <w:kern w:val="0"/>
          <w:lang w:val="zh-CN"/>
        </w:rPr>
        <w:t>日</w:t>
      </w:r>
      <w:r>
        <w:rPr>
          <w:rFonts w:cs="仿宋_GB2312"/>
          <w:kern w:val="0"/>
        </w:rPr>
        <w:t xml:space="preserve">    </w:t>
      </w:r>
      <w:r>
        <w:rPr>
          <w:rFonts w:hint="eastAsia" w:cs="仿宋_GB2312"/>
          <w:kern w:val="0"/>
          <w:lang w:val="zh-CN"/>
        </w:rPr>
        <w:t>期</w:t>
      </w:r>
      <w:r>
        <w:rPr>
          <w:rFonts w:hint="eastAsia" w:cs="仿宋_GB2312"/>
          <w:kern w:val="0"/>
        </w:rPr>
        <w:t>：</w:t>
      </w:r>
      <w:r>
        <w:rPr>
          <w:rFonts w:cs="仿宋_GB2312"/>
          <w:kern w:val="0"/>
        </w:rPr>
        <w:t xml:space="preserve"> </w:t>
      </w:r>
      <w:r>
        <w:rPr>
          <w:rFonts w:cs="仿宋_GB2312"/>
          <w:kern w:val="0"/>
          <w:u w:val="single"/>
        </w:rPr>
        <w:t xml:space="preserve">       </w:t>
      </w:r>
      <w:r>
        <w:rPr>
          <w:rFonts w:hint="eastAsia" w:cs="仿宋_GB2312"/>
          <w:kern w:val="0"/>
          <w:lang w:val="zh-CN"/>
        </w:rPr>
        <w:t>年</w:t>
      </w:r>
      <w:r>
        <w:rPr>
          <w:rFonts w:cs="仿宋_GB2312"/>
          <w:kern w:val="0"/>
        </w:rPr>
        <w:t xml:space="preserve">  </w:t>
      </w:r>
      <w:r>
        <w:rPr>
          <w:kern w:val="0"/>
          <w:u w:val="single"/>
        </w:rPr>
        <w:tab/>
      </w:r>
      <w:r>
        <w:rPr>
          <w:rFonts w:hint="eastAsia" w:cs="仿宋_GB2312"/>
          <w:kern w:val="0"/>
          <w:lang w:val="zh-CN"/>
        </w:rPr>
        <w:t>月</w:t>
      </w:r>
      <w:r>
        <w:rPr>
          <w:rFonts w:cs="仿宋_GB2312"/>
          <w:kern w:val="0"/>
        </w:rPr>
        <w:t xml:space="preserve"> </w:t>
      </w:r>
      <w:r>
        <w:rPr>
          <w:kern w:val="0"/>
          <w:u w:val="single"/>
        </w:rPr>
        <w:tab/>
      </w:r>
      <w:r>
        <w:rPr>
          <w:kern w:val="0"/>
          <w:u w:val="single"/>
        </w:rPr>
        <w:tab/>
      </w:r>
      <w:r>
        <w:rPr>
          <w:rFonts w:hint="eastAsia" w:cs="仿宋_GB2312"/>
          <w:kern w:val="0"/>
          <w:lang w:val="zh-CN"/>
        </w:rPr>
        <w:t>日</w:t>
      </w:r>
    </w:p>
    <w:p>
      <w:pPr>
        <w:autoSpaceDE w:val="0"/>
        <w:autoSpaceDN w:val="0"/>
        <w:adjustRightInd w:val="0"/>
        <w:spacing w:line="440" w:lineRule="exact"/>
        <w:ind w:firstLine="643"/>
        <w:jc w:val="center"/>
        <w:rPr>
          <w:b/>
          <w:sz w:val="32"/>
          <w:szCs w:val="32"/>
        </w:rPr>
      </w:pPr>
      <w:r>
        <w:rPr>
          <w:b/>
          <w:kern w:val="0"/>
          <w:sz w:val="32"/>
          <w:szCs w:val="32"/>
        </w:rPr>
        <w:br w:type="page"/>
      </w:r>
      <w:r>
        <w:rPr>
          <w:rFonts w:hint="eastAsia"/>
          <w:b/>
          <w:sz w:val="32"/>
          <w:szCs w:val="32"/>
        </w:rPr>
        <w:t>九、授权委托书</w:t>
      </w:r>
    </w:p>
    <w:p>
      <w:pPr>
        <w:spacing w:line="440" w:lineRule="exact"/>
        <w:ind w:firstLine="643"/>
        <w:jc w:val="center"/>
        <w:rPr>
          <w:b/>
          <w:sz w:val="32"/>
          <w:szCs w:val="32"/>
        </w:rPr>
      </w:pPr>
    </w:p>
    <w:p>
      <w:pPr>
        <w:spacing w:line="440" w:lineRule="exact"/>
        <w:ind w:firstLine="482"/>
        <w:rPr>
          <w:b/>
        </w:rPr>
      </w:pPr>
      <w:r>
        <w:rPr>
          <w:rFonts w:hint="eastAsia"/>
          <w:b/>
        </w:rPr>
        <w:t>采购人：</w:t>
      </w:r>
    </w:p>
    <w:p>
      <w:pPr>
        <w:spacing w:line="440" w:lineRule="exact"/>
        <w:ind w:firstLine="482"/>
        <w:rPr>
          <w:b/>
        </w:rPr>
      </w:pPr>
    </w:p>
    <w:p>
      <w:pPr>
        <w:spacing w:line="440" w:lineRule="exact"/>
        <w:ind w:firstLine="480"/>
      </w:pPr>
      <w:r>
        <w:rPr>
          <w:rFonts w:hint="eastAsia"/>
        </w:rPr>
        <w:t>兹委派我公司</w:t>
      </w:r>
      <w:r>
        <w:rPr>
          <w:rFonts w:hint="eastAsia"/>
          <w:u w:val="single"/>
        </w:rPr>
        <w:t xml:space="preserve">                </w:t>
      </w:r>
      <w:r>
        <w:rPr>
          <w:rFonts w:hint="eastAsia"/>
        </w:rPr>
        <w:t>先生/女士（其在本公司的职务是：</w:t>
      </w:r>
      <w:r>
        <w:rPr>
          <w:rFonts w:hint="eastAsia"/>
          <w:u w:val="single"/>
        </w:rPr>
        <w:t xml:space="preserve">        </w:t>
      </w:r>
      <w:r>
        <w:rPr>
          <w:rFonts w:hint="eastAsia"/>
        </w:rPr>
        <w:t>，联系电话：</w:t>
      </w:r>
      <w:r>
        <w:rPr>
          <w:rFonts w:hint="eastAsia"/>
          <w:u w:val="single"/>
        </w:rPr>
        <w:t xml:space="preserve">         </w:t>
      </w:r>
      <w:r>
        <w:rPr>
          <w:rFonts w:hint="eastAsia"/>
        </w:rPr>
        <w:t>，手机：</w:t>
      </w:r>
      <w:r>
        <w:rPr>
          <w:rFonts w:hint="eastAsia"/>
          <w:u w:val="single"/>
        </w:rPr>
        <w:t xml:space="preserve">           </w:t>
      </w:r>
      <w:r>
        <w:rPr>
          <w:rFonts w:hint="eastAsia"/>
        </w:rPr>
        <w:t>，传真：</w:t>
      </w:r>
      <w:r>
        <w:rPr>
          <w:rFonts w:hint="eastAsia"/>
          <w:u w:val="single"/>
        </w:rPr>
        <w:t xml:space="preserve">           </w:t>
      </w:r>
      <w:r>
        <w:rPr>
          <w:rFonts w:hint="eastAsia"/>
        </w:rPr>
        <w:t>，身份证号：</w:t>
      </w:r>
      <w:r>
        <w:rPr>
          <w:rFonts w:hint="eastAsia"/>
          <w:u w:val="single"/>
        </w:rPr>
        <w:t xml:space="preserve">                </w:t>
      </w:r>
      <w:r>
        <w:rPr>
          <w:rFonts w:hint="eastAsia"/>
        </w:rPr>
        <w:t>）代表我公司全权处理</w:t>
      </w:r>
      <w:r>
        <w:rPr>
          <w:rFonts w:hint="eastAsia"/>
          <w:u w:val="single"/>
        </w:rPr>
        <w:t xml:space="preserve">                   </w:t>
      </w:r>
      <w:r>
        <w:rPr>
          <w:rFonts w:hint="eastAsia"/>
        </w:rPr>
        <w:t>项目（项目编号：     ）的一切事项，若中标则全权代表本公司签订合同，并负责处理合同履行等事宜。</w:t>
      </w:r>
    </w:p>
    <w:p>
      <w:pPr>
        <w:ind w:firstLine="480"/>
      </w:pPr>
      <w:r>
        <w:rPr>
          <w:rFonts w:hint="eastAsia"/>
        </w:rPr>
        <w:t>在撤销授权的书面通知以前，本授权书一直有效。授权代表在授权书有效期内签署的所有文件不因授权的撤销而失效。</w:t>
      </w:r>
    </w:p>
    <w:p>
      <w:pPr>
        <w:ind w:firstLine="480"/>
      </w:pPr>
      <w:r>
        <w:rPr>
          <w:rFonts w:hint="eastAsia"/>
        </w:rPr>
        <w:t>授权代表无转委托权，特此委托。</w:t>
      </w:r>
    </w:p>
    <w:p>
      <w:pPr>
        <w:spacing w:line="440" w:lineRule="exact"/>
        <w:ind w:firstLine="480"/>
      </w:pPr>
      <w:r>
        <w:rPr>
          <w:rFonts w:hint="eastAsia"/>
        </w:rPr>
        <w:t>特此告知。</w:t>
      </w:r>
    </w:p>
    <w:p>
      <w:pPr>
        <w:spacing w:line="440" w:lineRule="exact"/>
        <w:ind w:firstLine="480"/>
      </w:pPr>
    </w:p>
    <w:p>
      <w:pPr>
        <w:spacing w:line="440" w:lineRule="exact"/>
        <w:ind w:firstLine="480"/>
      </w:pPr>
      <w:r>
        <w:rPr>
          <w:rFonts w:hint="eastAsia"/>
        </w:rPr>
        <w:t xml:space="preserve">法定代表人（签字）：                    授权代表（签字）：           </w:t>
      </w:r>
    </w:p>
    <w:p>
      <w:pPr>
        <w:spacing w:line="440" w:lineRule="exact"/>
        <w:ind w:firstLine="480"/>
      </w:pPr>
      <w:r>
        <w:rPr>
          <w:rFonts w:hint="eastAsia"/>
        </w:rPr>
        <w:t>职务：                                  职务：</w:t>
      </w:r>
    </w:p>
    <w:p>
      <w:pPr>
        <w:spacing w:line="440" w:lineRule="exact"/>
        <w:ind w:firstLine="480"/>
      </w:pPr>
      <w:r>
        <w:rPr>
          <w:rFonts w:hint="eastAsia"/>
        </w:rPr>
        <w:t>身份证号码：                            身份证号码：</w:t>
      </w:r>
    </w:p>
    <w:p>
      <w:pPr>
        <w:spacing w:line="440" w:lineRule="exact"/>
        <w:ind w:firstLine="480"/>
      </w:pPr>
      <w:r>
        <w:rPr>
          <w:rFonts w:hint="eastAsia"/>
        </w:rPr>
        <w:t xml:space="preserve">                               </w:t>
      </w:r>
    </w:p>
    <w:p>
      <w:pPr>
        <w:spacing w:line="440" w:lineRule="exact"/>
        <w:ind w:firstLine="480"/>
      </w:pPr>
      <w:r>
        <w:rPr>
          <w:rFonts w:hint="eastAsia"/>
        </w:rPr>
        <w:t xml:space="preserve">                                      </w:t>
      </w:r>
    </w:p>
    <w:p>
      <w:pPr>
        <w:spacing w:line="440" w:lineRule="exact"/>
        <w:ind w:firstLine="480"/>
      </w:pPr>
    </w:p>
    <w:p>
      <w:pPr>
        <w:wordWrap w:val="0"/>
        <w:autoSpaceDE w:val="0"/>
        <w:autoSpaceDN w:val="0"/>
        <w:adjustRightInd w:val="0"/>
        <w:spacing w:line="440" w:lineRule="exact"/>
        <w:ind w:right="480" w:firstLine="5040" w:firstLineChars="2100"/>
        <w:rPr>
          <w:rFonts w:cs="仿宋_GB2312"/>
          <w:kern w:val="0"/>
          <w:lang w:val="zh-CN"/>
        </w:rPr>
      </w:pPr>
      <w:bookmarkStart w:id="208" w:name="_Toc91899922"/>
      <w:r>
        <w:rPr>
          <w:rFonts w:hint="eastAsia" w:cs="仿宋_GB2312"/>
          <w:kern w:val="0"/>
          <w:lang w:val="zh-CN"/>
        </w:rPr>
        <w:t xml:space="preserve">投标人（公章）：     </w:t>
      </w:r>
    </w:p>
    <w:p>
      <w:pPr>
        <w:wordWrap w:val="0"/>
        <w:autoSpaceDE w:val="0"/>
        <w:autoSpaceDN w:val="0"/>
        <w:adjustRightInd w:val="0"/>
        <w:spacing w:line="440" w:lineRule="exact"/>
        <w:ind w:firstLine="480"/>
        <w:jc w:val="right"/>
        <w:rPr>
          <w:rFonts w:cs="仿宋_GB2312"/>
          <w:kern w:val="0"/>
          <w:lang w:val="zh-CN"/>
        </w:rPr>
      </w:pPr>
      <w:r>
        <w:rPr>
          <w:rFonts w:hint="eastAsia" w:cs="仿宋_GB2312"/>
          <w:kern w:val="0"/>
          <w:lang w:val="zh-CN"/>
        </w:rPr>
        <w:t xml:space="preserve">                       </w:t>
      </w:r>
      <w:r>
        <w:rPr>
          <w:rFonts w:hint="eastAsia"/>
        </w:rPr>
        <w:t>授权委托日期</w:t>
      </w:r>
      <w:r>
        <w:rPr>
          <w:rFonts w:hint="eastAsia" w:cs="仿宋_GB2312"/>
          <w:kern w:val="0"/>
          <w:lang w:val="zh-CN"/>
        </w:rPr>
        <w:t>：</w:t>
      </w:r>
      <w:r>
        <w:rPr>
          <w:rFonts w:cs="仿宋_GB2312"/>
          <w:kern w:val="0"/>
          <w:lang w:val="zh-CN"/>
        </w:rPr>
        <w:t>20</w:t>
      </w:r>
      <w:r>
        <w:rPr>
          <w:rFonts w:hint="eastAsia" w:cs="仿宋_GB2312"/>
          <w:kern w:val="0"/>
          <w:lang w:val="zh-CN"/>
        </w:rPr>
        <w:t xml:space="preserve">  年</w:t>
      </w:r>
      <w:r>
        <w:rPr>
          <w:rFonts w:cs="仿宋_GB2312"/>
          <w:kern w:val="0"/>
          <w:lang w:val="zh-CN"/>
        </w:rPr>
        <w:t xml:space="preserve">  </w:t>
      </w:r>
      <w:r>
        <w:rPr>
          <w:rFonts w:hint="eastAsia" w:cs="仿宋_GB2312"/>
          <w:kern w:val="0"/>
          <w:lang w:val="zh-CN"/>
        </w:rPr>
        <w:t>月</w:t>
      </w:r>
      <w:r>
        <w:rPr>
          <w:rFonts w:cs="仿宋_GB2312"/>
          <w:kern w:val="0"/>
          <w:lang w:val="zh-CN"/>
        </w:rPr>
        <w:t xml:space="preserve">   </w:t>
      </w:r>
      <w:r>
        <w:rPr>
          <w:rFonts w:hint="eastAsia" w:cs="仿宋_GB2312"/>
          <w:kern w:val="0"/>
          <w:lang w:val="zh-CN"/>
        </w:rPr>
        <w:t xml:space="preserve">日      </w:t>
      </w:r>
    </w:p>
    <w:p>
      <w:pPr>
        <w:ind w:firstLine="643"/>
        <w:jc w:val="center"/>
        <w:rPr>
          <w:b/>
          <w:sz w:val="32"/>
          <w:szCs w:val="32"/>
        </w:rPr>
      </w:pPr>
      <w:r>
        <w:rPr>
          <w:b/>
          <w:sz w:val="32"/>
          <w:szCs w:val="32"/>
        </w:rPr>
        <w:br w:type="page"/>
      </w:r>
      <w:r>
        <w:rPr>
          <w:rFonts w:hint="eastAsia"/>
          <w:b/>
          <w:sz w:val="32"/>
          <w:szCs w:val="32"/>
        </w:rPr>
        <w:t>十、</w:t>
      </w:r>
      <w:bookmarkEnd w:id="208"/>
      <w:r>
        <w:rPr>
          <w:rFonts w:hint="eastAsia"/>
          <w:b/>
          <w:sz w:val="32"/>
          <w:szCs w:val="32"/>
        </w:rPr>
        <w:t>类似项目实施业绩一览表</w:t>
      </w:r>
    </w:p>
    <w:tbl>
      <w:tblPr>
        <w:tblStyle w:val="33"/>
        <w:tblW w:w="886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1168"/>
        <w:gridCol w:w="1236"/>
        <w:gridCol w:w="1616"/>
        <w:gridCol w:w="1244"/>
        <w:gridCol w:w="225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1340" w:type="dxa"/>
            <w:tcBorders>
              <w:top w:val="double" w:color="auto" w:sz="4" w:space="0"/>
              <w:bottom w:val="single" w:color="auto" w:sz="4" w:space="0"/>
            </w:tcBorders>
            <w:shd w:val="clear" w:color="auto" w:fill="FFFF99"/>
            <w:vAlign w:val="center"/>
          </w:tcPr>
          <w:p>
            <w:pPr>
              <w:ind w:firstLine="0" w:firstLineChars="0"/>
              <w:jc w:val="center"/>
              <w:rPr>
                <w:bCs/>
                <w:lang w:val="zh-CN"/>
              </w:rPr>
            </w:pPr>
            <w:r>
              <w:rPr>
                <w:rFonts w:hint="eastAsia"/>
                <w:bCs/>
                <w:lang w:val="zh-CN"/>
              </w:rPr>
              <w:t>项目名称</w:t>
            </w:r>
          </w:p>
        </w:tc>
        <w:tc>
          <w:tcPr>
            <w:tcW w:w="1168" w:type="dxa"/>
            <w:tcBorders>
              <w:top w:val="double" w:color="auto" w:sz="4" w:space="0"/>
              <w:bottom w:val="single" w:color="auto" w:sz="4" w:space="0"/>
            </w:tcBorders>
            <w:shd w:val="clear" w:color="auto" w:fill="FFFF99"/>
            <w:vAlign w:val="center"/>
          </w:tcPr>
          <w:p>
            <w:pPr>
              <w:ind w:firstLine="0" w:firstLineChars="0"/>
              <w:jc w:val="center"/>
              <w:rPr>
                <w:bCs/>
                <w:lang w:val="zh-CN"/>
              </w:rPr>
            </w:pPr>
            <w:r>
              <w:rPr>
                <w:rFonts w:hint="eastAsia"/>
                <w:bCs/>
                <w:lang w:val="zh-CN"/>
              </w:rPr>
              <w:t>项目</w:t>
            </w:r>
          </w:p>
          <w:p>
            <w:pPr>
              <w:ind w:firstLine="0" w:firstLineChars="0"/>
              <w:jc w:val="center"/>
              <w:rPr>
                <w:bCs/>
                <w:lang w:val="zh-CN"/>
              </w:rPr>
            </w:pPr>
            <w:r>
              <w:rPr>
                <w:rFonts w:hint="eastAsia"/>
                <w:bCs/>
                <w:lang w:val="zh-CN"/>
              </w:rPr>
              <w:t>类型</w:t>
            </w:r>
          </w:p>
        </w:tc>
        <w:tc>
          <w:tcPr>
            <w:tcW w:w="1236" w:type="dxa"/>
            <w:tcBorders>
              <w:top w:val="double" w:color="auto" w:sz="4" w:space="0"/>
              <w:bottom w:val="single" w:color="auto" w:sz="4" w:space="0"/>
            </w:tcBorders>
            <w:shd w:val="clear" w:color="auto" w:fill="FFFF99"/>
            <w:vAlign w:val="center"/>
          </w:tcPr>
          <w:p>
            <w:pPr>
              <w:ind w:firstLine="0" w:firstLineChars="0"/>
              <w:jc w:val="center"/>
              <w:rPr>
                <w:bCs/>
                <w:lang w:val="zh-CN"/>
              </w:rPr>
            </w:pPr>
            <w:r>
              <w:rPr>
                <w:rFonts w:hint="eastAsia"/>
                <w:bCs/>
                <w:lang w:val="zh-CN"/>
              </w:rPr>
              <w:t>简要描述</w:t>
            </w:r>
          </w:p>
        </w:tc>
        <w:tc>
          <w:tcPr>
            <w:tcW w:w="1616" w:type="dxa"/>
            <w:tcBorders>
              <w:top w:val="double" w:color="auto" w:sz="4" w:space="0"/>
              <w:bottom w:val="single" w:color="auto" w:sz="4" w:space="0"/>
            </w:tcBorders>
            <w:shd w:val="clear" w:color="auto" w:fill="FFFF99"/>
            <w:vAlign w:val="center"/>
          </w:tcPr>
          <w:p>
            <w:pPr>
              <w:ind w:firstLine="0" w:firstLineChars="0"/>
              <w:jc w:val="center"/>
              <w:rPr>
                <w:bCs/>
                <w:lang w:val="zh-CN"/>
              </w:rPr>
            </w:pPr>
            <w:r>
              <w:rPr>
                <w:rFonts w:hint="eastAsia"/>
                <w:bCs/>
                <w:lang w:val="zh-CN"/>
              </w:rPr>
              <w:t>项目金额</w:t>
            </w:r>
          </w:p>
          <w:p>
            <w:pPr>
              <w:ind w:firstLine="0" w:firstLineChars="0"/>
              <w:jc w:val="center"/>
              <w:rPr>
                <w:bCs/>
                <w:lang w:val="zh-CN"/>
              </w:rPr>
            </w:pPr>
            <w:r>
              <w:rPr>
                <w:rFonts w:hint="eastAsia"/>
                <w:bCs/>
                <w:lang w:val="zh-CN"/>
              </w:rPr>
              <w:t>（万元）</w:t>
            </w:r>
          </w:p>
        </w:tc>
        <w:tc>
          <w:tcPr>
            <w:tcW w:w="1244" w:type="dxa"/>
            <w:tcBorders>
              <w:top w:val="double" w:color="auto" w:sz="4" w:space="0"/>
              <w:bottom w:val="single" w:color="auto" w:sz="4" w:space="0"/>
            </w:tcBorders>
            <w:shd w:val="clear" w:color="auto" w:fill="FFFF99"/>
            <w:vAlign w:val="center"/>
          </w:tcPr>
          <w:p>
            <w:pPr>
              <w:ind w:firstLine="0" w:firstLineChars="0"/>
              <w:jc w:val="center"/>
              <w:rPr>
                <w:bCs/>
                <w:lang w:val="zh-CN"/>
              </w:rPr>
            </w:pPr>
            <w:r>
              <w:rPr>
                <w:rFonts w:hint="eastAsia"/>
                <w:bCs/>
                <w:lang w:val="zh-CN"/>
              </w:rPr>
              <w:t>合同签订时间</w:t>
            </w:r>
          </w:p>
        </w:tc>
        <w:tc>
          <w:tcPr>
            <w:tcW w:w="2256" w:type="dxa"/>
            <w:tcBorders>
              <w:top w:val="double" w:color="auto" w:sz="4" w:space="0"/>
              <w:bottom w:val="single" w:color="auto" w:sz="4" w:space="0"/>
            </w:tcBorders>
            <w:shd w:val="clear" w:color="auto" w:fill="FFFF99"/>
            <w:vAlign w:val="center"/>
          </w:tcPr>
          <w:p>
            <w:pPr>
              <w:ind w:firstLine="0" w:firstLineChars="0"/>
              <w:jc w:val="center"/>
              <w:rPr>
                <w:bCs/>
                <w:lang w:val="zh-CN"/>
              </w:rPr>
            </w:pPr>
            <w:r>
              <w:rPr>
                <w:rFonts w:hint="eastAsia"/>
                <w:bCs/>
                <w:lang w:val="zh-CN"/>
              </w:rPr>
              <w:t>项目单位</w:t>
            </w:r>
          </w:p>
          <w:p>
            <w:pPr>
              <w:ind w:firstLine="0" w:firstLineChars="0"/>
              <w:jc w:val="center"/>
              <w:rPr>
                <w:bCs/>
                <w:lang w:val="zh-CN"/>
              </w:rPr>
            </w:pPr>
            <w:r>
              <w:rPr>
                <w:rFonts w:hint="eastAsia"/>
                <w:bCs/>
                <w:lang w:val="zh-CN"/>
              </w:rPr>
              <w:t>联系人及电话</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340" w:type="dxa"/>
            <w:tcBorders>
              <w:top w:val="single" w:color="auto" w:sz="4" w:space="0"/>
            </w:tcBorders>
          </w:tcPr>
          <w:p>
            <w:pPr>
              <w:autoSpaceDE w:val="0"/>
              <w:autoSpaceDN w:val="0"/>
              <w:adjustRightInd w:val="0"/>
              <w:ind w:firstLine="480"/>
              <w:rPr>
                <w:lang w:val="zh-CN"/>
              </w:rPr>
            </w:pPr>
          </w:p>
        </w:tc>
        <w:tc>
          <w:tcPr>
            <w:tcW w:w="1168" w:type="dxa"/>
            <w:tcBorders>
              <w:top w:val="single" w:color="auto" w:sz="4" w:space="0"/>
            </w:tcBorders>
          </w:tcPr>
          <w:p>
            <w:pPr>
              <w:autoSpaceDE w:val="0"/>
              <w:autoSpaceDN w:val="0"/>
              <w:adjustRightInd w:val="0"/>
              <w:ind w:firstLine="480"/>
              <w:rPr>
                <w:lang w:val="zh-CN"/>
              </w:rPr>
            </w:pPr>
          </w:p>
        </w:tc>
        <w:tc>
          <w:tcPr>
            <w:tcW w:w="1236" w:type="dxa"/>
            <w:tcBorders>
              <w:top w:val="single" w:color="auto" w:sz="4" w:space="0"/>
            </w:tcBorders>
          </w:tcPr>
          <w:p>
            <w:pPr>
              <w:autoSpaceDE w:val="0"/>
              <w:autoSpaceDN w:val="0"/>
              <w:adjustRightInd w:val="0"/>
              <w:ind w:firstLine="480"/>
              <w:rPr>
                <w:lang w:val="zh-CN"/>
              </w:rPr>
            </w:pPr>
          </w:p>
        </w:tc>
        <w:tc>
          <w:tcPr>
            <w:tcW w:w="1616" w:type="dxa"/>
            <w:tcBorders>
              <w:top w:val="single" w:color="auto" w:sz="4" w:space="0"/>
            </w:tcBorders>
          </w:tcPr>
          <w:p>
            <w:pPr>
              <w:autoSpaceDE w:val="0"/>
              <w:autoSpaceDN w:val="0"/>
              <w:adjustRightInd w:val="0"/>
              <w:ind w:firstLine="480"/>
              <w:rPr>
                <w:lang w:val="zh-CN"/>
              </w:rPr>
            </w:pPr>
          </w:p>
        </w:tc>
        <w:tc>
          <w:tcPr>
            <w:tcW w:w="1244" w:type="dxa"/>
            <w:tcBorders>
              <w:top w:val="single" w:color="auto" w:sz="4" w:space="0"/>
            </w:tcBorders>
          </w:tcPr>
          <w:p>
            <w:pPr>
              <w:autoSpaceDE w:val="0"/>
              <w:autoSpaceDN w:val="0"/>
              <w:adjustRightInd w:val="0"/>
              <w:ind w:firstLine="480"/>
              <w:rPr>
                <w:lang w:val="zh-CN"/>
              </w:rPr>
            </w:pPr>
          </w:p>
        </w:tc>
        <w:tc>
          <w:tcPr>
            <w:tcW w:w="2256" w:type="dxa"/>
            <w:tcBorders>
              <w:top w:val="single" w:color="auto" w:sz="4" w:space="0"/>
            </w:tcBorders>
          </w:tcPr>
          <w:p>
            <w:pPr>
              <w:autoSpaceDE w:val="0"/>
              <w:autoSpaceDN w:val="0"/>
              <w:adjustRightInd w:val="0"/>
              <w:ind w:firstLine="480"/>
              <w:rPr>
                <w:lang w:val="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340" w:type="dxa"/>
          </w:tcPr>
          <w:p>
            <w:pPr>
              <w:autoSpaceDE w:val="0"/>
              <w:autoSpaceDN w:val="0"/>
              <w:adjustRightInd w:val="0"/>
              <w:ind w:firstLine="480"/>
              <w:rPr>
                <w:lang w:val="zh-CN"/>
              </w:rPr>
            </w:pPr>
          </w:p>
        </w:tc>
        <w:tc>
          <w:tcPr>
            <w:tcW w:w="1168" w:type="dxa"/>
          </w:tcPr>
          <w:p>
            <w:pPr>
              <w:autoSpaceDE w:val="0"/>
              <w:autoSpaceDN w:val="0"/>
              <w:adjustRightInd w:val="0"/>
              <w:ind w:firstLine="480"/>
              <w:rPr>
                <w:lang w:val="zh-CN"/>
              </w:rPr>
            </w:pPr>
          </w:p>
        </w:tc>
        <w:tc>
          <w:tcPr>
            <w:tcW w:w="1236" w:type="dxa"/>
          </w:tcPr>
          <w:p>
            <w:pPr>
              <w:autoSpaceDE w:val="0"/>
              <w:autoSpaceDN w:val="0"/>
              <w:adjustRightInd w:val="0"/>
              <w:ind w:firstLine="480"/>
              <w:rPr>
                <w:lang w:val="zh-CN"/>
              </w:rPr>
            </w:pPr>
          </w:p>
        </w:tc>
        <w:tc>
          <w:tcPr>
            <w:tcW w:w="1616" w:type="dxa"/>
          </w:tcPr>
          <w:p>
            <w:pPr>
              <w:autoSpaceDE w:val="0"/>
              <w:autoSpaceDN w:val="0"/>
              <w:adjustRightInd w:val="0"/>
              <w:ind w:firstLine="480"/>
              <w:rPr>
                <w:lang w:val="zh-CN"/>
              </w:rPr>
            </w:pPr>
          </w:p>
        </w:tc>
        <w:tc>
          <w:tcPr>
            <w:tcW w:w="1244" w:type="dxa"/>
          </w:tcPr>
          <w:p>
            <w:pPr>
              <w:autoSpaceDE w:val="0"/>
              <w:autoSpaceDN w:val="0"/>
              <w:adjustRightInd w:val="0"/>
              <w:ind w:firstLine="480"/>
              <w:rPr>
                <w:lang w:val="zh-CN"/>
              </w:rPr>
            </w:pPr>
          </w:p>
        </w:tc>
        <w:tc>
          <w:tcPr>
            <w:tcW w:w="2256" w:type="dxa"/>
          </w:tcPr>
          <w:p>
            <w:pPr>
              <w:autoSpaceDE w:val="0"/>
              <w:autoSpaceDN w:val="0"/>
              <w:adjustRightInd w:val="0"/>
              <w:ind w:firstLine="480"/>
              <w:rPr>
                <w:lang w:val="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340" w:type="dxa"/>
          </w:tcPr>
          <w:p>
            <w:pPr>
              <w:autoSpaceDE w:val="0"/>
              <w:autoSpaceDN w:val="0"/>
              <w:adjustRightInd w:val="0"/>
              <w:ind w:firstLine="480"/>
              <w:rPr>
                <w:lang w:val="zh-CN"/>
              </w:rPr>
            </w:pPr>
          </w:p>
        </w:tc>
        <w:tc>
          <w:tcPr>
            <w:tcW w:w="1168" w:type="dxa"/>
          </w:tcPr>
          <w:p>
            <w:pPr>
              <w:autoSpaceDE w:val="0"/>
              <w:autoSpaceDN w:val="0"/>
              <w:adjustRightInd w:val="0"/>
              <w:ind w:firstLine="480"/>
              <w:rPr>
                <w:lang w:val="zh-CN"/>
              </w:rPr>
            </w:pPr>
          </w:p>
        </w:tc>
        <w:tc>
          <w:tcPr>
            <w:tcW w:w="1236" w:type="dxa"/>
          </w:tcPr>
          <w:p>
            <w:pPr>
              <w:autoSpaceDE w:val="0"/>
              <w:autoSpaceDN w:val="0"/>
              <w:adjustRightInd w:val="0"/>
              <w:ind w:firstLine="480"/>
              <w:rPr>
                <w:lang w:val="zh-CN"/>
              </w:rPr>
            </w:pPr>
          </w:p>
        </w:tc>
        <w:tc>
          <w:tcPr>
            <w:tcW w:w="1616" w:type="dxa"/>
          </w:tcPr>
          <w:p>
            <w:pPr>
              <w:autoSpaceDE w:val="0"/>
              <w:autoSpaceDN w:val="0"/>
              <w:adjustRightInd w:val="0"/>
              <w:ind w:firstLine="480"/>
              <w:rPr>
                <w:lang w:val="zh-CN"/>
              </w:rPr>
            </w:pPr>
          </w:p>
        </w:tc>
        <w:tc>
          <w:tcPr>
            <w:tcW w:w="1244" w:type="dxa"/>
          </w:tcPr>
          <w:p>
            <w:pPr>
              <w:autoSpaceDE w:val="0"/>
              <w:autoSpaceDN w:val="0"/>
              <w:adjustRightInd w:val="0"/>
              <w:ind w:firstLine="480"/>
              <w:rPr>
                <w:lang w:val="zh-CN"/>
              </w:rPr>
            </w:pPr>
          </w:p>
        </w:tc>
        <w:tc>
          <w:tcPr>
            <w:tcW w:w="2256" w:type="dxa"/>
          </w:tcPr>
          <w:p>
            <w:pPr>
              <w:autoSpaceDE w:val="0"/>
              <w:autoSpaceDN w:val="0"/>
              <w:adjustRightInd w:val="0"/>
              <w:ind w:firstLine="480"/>
              <w:rPr>
                <w:lang w:val="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340" w:type="dxa"/>
          </w:tcPr>
          <w:p>
            <w:pPr>
              <w:autoSpaceDE w:val="0"/>
              <w:autoSpaceDN w:val="0"/>
              <w:adjustRightInd w:val="0"/>
              <w:ind w:firstLine="480"/>
              <w:rPr>
                <w:lang w:val="zh-CN"/>
              </w:rPr>
            </w:pPr>
          </w:p>
        </w:tc>
        <w:tc>
          <w:tcPr>
            <w:tcW w:w="1168" w:type="dxa"/>
          </w:tcPr>
          <w:p>
            <w:pPr>
              <w:autoSpaceDE w:val="0"/>
              <w:autoSpaceDN w:val="0"/>
              <w:adjustRightInd w:val="0"/>
              <w:ind w:firstLine="480"/>
              <w:rPr>
                <w:lang w:val="zh-CN"/>
              </w:rPr>
            </w:pPr>
          </w:p>
        </w:tc>
        <w:tc>
          <w:tcPr>
            <w:tcW w:w="1236" w:type="dxa"/>
          </w:tcPr>
          <w:p>
            <w:pPr>
              <w:autoSpaceDE w:val="0"/>
              <w:autoSpaceDN w:val="0"/>
              <w:adjustRightInd w:val="0"/>
              <w:ind w:firstLine="480"/>
              <w:rPr>
                <w:lang w:val="zh-CN"/>
              </w:rPr>
            </w:pPr>
          </w:p>
        </w:tc>
        <w:tc>
          <w:tcPr>
            <w:tcW w:w="1616" w:type="dxa"/>
          </w:tcPr>
          <w:p>
            <w:pPr>
              <w:autoSpaceDE w:val="0"/>
              <w:autoSpaceDN w:val="0"/>
              <w:adjustRightInd w:val="0"/>
              <w:ind w:firstLine="480"/>
              <w:rPr>
                <w:lang w:val="zh-CN"/>
              </w:rPr>
            </w:pPr>
          </w:p>
        </w:tc>
        <w:tc>
          <w:tcPr>
            <w:tcW w:w="1244" w:type="dxa"/>
          </w:tcPr>
          <w:p>
            <w:pPr>
              <w:autoSpaceDE w:val="0"/>
              <w:autoSpaceDN w:val="0"/>
              <w:adjustRightInd w:val="0"/>
              <w:ind w:firstLine="480"/>
              <w:rPr>
                <w:lang w:val="zh-CN"/>
              </w:rPr>
            </w:pPr>
          </w:p>
        </w:tc>
        <w:tc>
          <w:tcPr>
            <w:tcW w:w="2256" w:type="dxa"/>
          </w:tcPr>
          <w:p>
            <w:pPr>
              <w:autoSpaceDE w:val="0"/>
              <w:autoSpaceDN w:val="0"/>
              <w:adjustRightInd w:val="0"/>
              <w:ind w:firstLine="480"/>
              <w:rPr>
                <w:lang w:val="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340" w:type="dxa"/>
          </w:tcPr>
          <w:p>
            <w:pPr>
              <w:autoSpaceDE w:val="0"/>
              <w:autoSpaceDN w:val="0"/>
              <w:adjustRightInd w:val="0"/>
              <w:ind w:firstLine="480"/>
              <w:rPr>
                <w:lang w:val="zh-CN"/>
              </w:rPr>
            </w:pPr>
          </w:p>
        </w:tc>
        <w:tc>
          <w:tcPr>
            <w:tcW w:w="1168" w:type="dxa"/>
          </w:tcPr>
          <w:p>
            <w:pPr>
              <w:autoSpaceDE w:val="0"/>
              <w:autoSpaceDN w:val="0"/>
              <w:adjustRightInd w:val="0"/>
              <w:ind w:firstLine="480"/>
              <w:rPr>
                <w:lang w:val="zh-CN"/>
              </w:rPr>
            </w:pPr>
          </w:p>
        </w:tc>
        <w:tc>
          <w:tcPr>
            <w:tcW w:w="1236" w:type="dxa"/>
          </w:tcPr>
          <w:p>
            <w:pPr>
              <w:autoSpaceDE w:val="0"/>
              <w:autoSpaceDN w:val="0"/>
              <w:adjustRightInd w:val="0"/>
              <w:ind w:firstLine="480"/>
              <w:rPr>
                <w:lang w:val="zh-CN"/>
              </w:rPr>
            </w:pPr>
          </w:p>
        </w:tc>
        <w:tc>
          <w:tcPr>
            <w:tcW w:w="1616" w:type="dxa"/>
          </w:tcPr>
          <w:p>
            <w:pPr>
              <w:autoSpaceDE w:val="0"/>
              <w:autoSpaceDN w:val="0"/>
              <w:adjustRightInd w:val="0"/>
              <w:ind w:firstLine="480"/>
              <w:rPr>
                <w:lang w:val="zh-CN"/>
              </w:rPr>
            </w:pPr>
          </w:p>
        </w:tc>
        <w:tc>
          <w:tcPr>
            <w:tcW w:w="1244" w:type="dxa"/>
          </w:tcPr>
          <w:p>
            <w:pPr>
              <w:autoSpaceDE w:val="0"/>
              <w:autoSpaceDN w:val="0"/>
              <w:adjustRightInd w:val="0"/>
              <w:ind w:firstLine="480"/>
              <w:rPr>
                <w:lang w:val="zh-CN"/>
              </w:rPr>
            </w:pPr>
          </w:p>
        </w:tc>
        <w:tc>
          <w:tcPr>
            <w:tcW w:w="2256" w:type="dxa"/>
          </w:tcPr>
          <w:p>
            <w:pPr>
              <w:autoSpaceDE w:val="0"/>
              <w:autoSpaceDN w:val="0"/>
              <w:adjustRightInd w:val="0"/>
              <w:ind w:firstLine="480"/>
              <w:rPr>
                <w:lang w:val="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340" w:type="dxa"/>
          </w:tcPr>
          <w:p>
            <w:pPr>
              <w:autoSpaceDE w:val="0"/>
              <w:autoSpaceDN w:val="0"/>
              <w:adjustRightInd w:val="0"/>
              <w:ind w:firstLine="480"/>
              <w:rPr>
                <w:lang w:val="zh-CN"/>
              </w:rPr>
            </w:pPr>
          </w:p>
        </w:tc>
        <w:tc>
          <w:tcPr>
            <w:tcW w:w="1168" w:type="dxa"/>
          </w:tcPr>
          <w:p>
            <w:pPr>
              <w:autoSpaceDE w:val="0"/>
              <w:autoSpaceDN w:val="0"/>
              <w:adjustRightInd w:val="0"/>
              <w:ind w:firstLine="480"/>
              <w:rPr>
                <w:lang w:val="zh-CN"/>
              </w:rPr>
            </w:pPr>
          </w:p>
        </w:tc>
        <w:tc>
          <w:tcPr>
            <w:tcW w:w="1236" w:type="dxa"/>
          </w:tcPr>
          <w:p>
            <w:pPr>
              <w:autoSpaceDE w:val="0"/>
              <w:autoSpaceDN w:val="0"/>
              <w:adjustRightInd w:val="0"/>
              <w:ind w:firstLine="480"/>
              <w:rPr>
                <w:lang w:val="zh-CN"/>
              </w:rPr>
            </w:pPr>
          </w:p>
        </w:tc>
        <w:tc>
          <w:tcPr>
            <w:tcW w:w="1616" w:type="dxa"/>
          </w:tcPr>
          <w:p>
            <w:pPr>
              <w:autoSpaceDE w:val="0"/>
              <w:autoSpaceDN w:val="0"/>
              <w:adjustRightInd w:val="0"/>
              <w:ind w:firstLine="480"/>
              <w:rPr>
                <w:lang w:val="zh-CN"/>
              </w:rPr>
            </w:pPr>
          </w:p>
        </w:tc>
        <w:tc>
          <w:tcPr>
            <w:tcW w:w="1244" w:type="dxa"/>
          </w:tcPr>
          <w:p>
            <w:pPr>
              <w:autoSpaceDE w:val="0"/>
              <w:autoSpaceDN w:val="0"/>
              <w:adjustRightInd w:val="0"/>
              <w:ind w:firstLine="480"/>
              <w:rPr>
                <w:lang w:val="zh-CN"/>
              </w:rPr>
            </w:pPr>
          </w:p>
        </w:tc>
        <w:tc>
          <w:tcPr>
            <w:tcW w:w="2256" w:type="dxa"/>
          </w:tcPr>
          <w:p>
            <w:pPr>
              <w:autoSpaceDE w:val="0"/>
              <w:autoSpaceDN w:val="0"/>
              <w:adjustRightInd w:val="0"/>
              <w:ind w:firstLine="480"/>
              <w:rPr>
                <w:lang w:val="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340" w:type="dxa"/>
          </w:tcPr>
          <w:p>
            <w:pPr>
              <w:autoSpaceDE w:val="0"/>
              <w:autoSpaceDN w:val="0"/>
              <w:adjustRightInd w:val="0"/>
              <w:ind w:firstLine="480"/>
              <w:rPr>
                <w:lang w:val="zh-CN"/>
              </w:rPr>
            </w:pPr>
          </w:p>
        </w:tc>
        <w:tc>
          <w:tcPr>
            <w:tcW w:w="1168" w:type="dxa"/>
          </w:tcPr>
          <w:p>
            <w:pPr>
              <w:autoSpaceDE w:val="0"/>
              <w:autoSpaceDN w:val="0"/>
              <w:adjustRightInd w:val="0"/>
              <w:ind w:firstLine="480"/>
              <w:rPr>
                <w:lang w:val="zh-CN"/>
              </w:rPr>
            </w:pPr>
          </w:p>
        </w:tc>
        <w:tc>
          <w:tcPr>
            <w:tcW w:w="1236" w:type="dxa"/>
          </w:tcPr>
          <w:p>
            <w:pPr>
              <w:autoSpaceDE w:val="0"/>
              <w:autoSpaceDN w:val="0"/>
              <w:adjustRightInd w:val="0"/>
              <w:ind w:firstLine="480"/>
              <w:rPr>
                <w:lang w:val="zh-CN"/>
              </w:rPr>
            </w:pPr>
          </w:p>
        </w:tc>
        <w:tc>
          <w:tcPr>
            <w:tcW w:w="1616" w:type="dxa"/>
          </w:tcPr>
          <w:p>
            <w:pPr>
              <w:autoSpaceDE w:val="0"/>
              <w:autoSpaceDN w:val="0"/>
              <w:adjustRightInd w:val="0"/>
              <w:ind w:firstLine="480"/>
              <w:rPr>
                <w:lang w:val="zh-CN"/>
              </w:rPr>
            </w:pPr>
          </w:p>
        </w:tc>
        <w:tc>
          <w:tcPr>
            <w:tcW w:w="1244" w:type="dxa"/>
          </w:tcPr>
          <w:p>
            <w:pPr>
              <w:autoSpaceDE w:val="0"/>
              <w:autoSpaceDN w:val="0"/>
              <w:adjustRightInd w:val="0"/>
              <w:ind w:firstLine="480"/>
              <w:rPr>
                <w:lang w:val="zh-CN"/>
              </w:rPr>
            </w:pPr>
          </w:p>
        </w:tc>
        <w:tc>
          <w:tcPr>
            <w:tcW w:w="2256" w:type="dxa"/>
          </w:tcPr>
          <w:p>
            <w:pPr>
              <w:autoSpaceDE w:val="0"/>
              <w:autoSpaceDN w:val="0"/>
              <w:adjustRightInd w:val="0"/>
              <w:ind w:firstLine="480"/>
              <w:rPr>
                <w:lang w:val="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340" w:type="dxa"/>
          </w:tcPr>
          <w:p>
            <w:pPr>
              <w:autoSpaceDE w:val="0"/>
              <w:autoSpaceDN w:val="0"/>
              <w:adjustRightInd w:val="0"/>
              <w:ind w:firstLine="480"/>
              <w:rPr>
                <w:lang w:val="zh-CN"/>
              </w:rPr>
            </w:pPr>
          </w:p>
        </w:tc>
        <w:tc>
          <w:tcPr>
            <w:tcW w:w="1168" w:type="dxa"/>
          </w:tcPr>
          <w:p>
            <w:pPr>
              <w:autoSpaceDE w:val="0"/>
              <w:autoSpaceDN w:val="0"/>
              <w:adjustRightInd w:val="0"/>
              <w:ind w:firstLine="480"/>
              <w:rPr>
                <w:lang w:val="zh-CN"/>
              </w:rPr>
            </w:pPr>
          </w:p>
        </w:tc>
        <w:tc>
          <w:tcPr>
            <w:tcW w:w="1236" w:type="dxa"/>
          </w:tcPr>
          <w:p>
            <w:pPr>
              <w:autoSpaceDE w:val="0"/>
              <w:autoSpaceDN w:val="0"/>
              <w:adjustRightInd w:val="0"/>
              <w:ind w:firstLine="480"/>
              <w:rPr>
                <w:lang w:val="zh-CN"/>
              </w:rPr>
            </w:pPr>
          </w:p>
        </w:tc>
        <w:tc>
          <w:tcPr>
            <w:tcW w:w="1616" w:type="dxa"/>
          </w:tcPr>
          <w:p>
            <w:pPr>
              <w:autoSpaceDE w:val="0"/>
              <w:autoSpaceDN w:val="0"/>
              <w:adjustRightInd w:val="0"/>
              <w:ind w:firstLine="480"/>
              <w:rPr>
                <w:lang w:val="zh-CN"/>
              </w:rPr>
            </w:pPr>
          </w:p>
        </w:tc>
        <w:tc>
          <w:tcPr>
            <w:tcW w:w="1244" w:type="dxa"/>
          </w:tcPr>
          <w:p>
            <w:pPr>
              <w:autoSpaceDE w:val="0"/>
              <w:autoSpaceDN w:val="0"/>
              <w:adjustRightInd w:val="0"/>
              <w:ind w:firstLine="480"/>
              <w:rPr>
                <w:lang w:val="zh-CN"/>
              </w:rPr>
            </w:pPr>
          </w:p>
        </w:tc>
        <w:tc>
          <w:tcPr>
            <w:tcW w:w="2256" w:type="dxa"/>
          </w:tcPr>
          <w:p>
            <w:pPr>
              <w:autoSpaceDE w:val="0"/>
              <w:autoSpaceDN w:val="0"/>
              <w:adjustRightInd w:val="0"/>
              <w:ind w:firstLine="480"/>
              <w:rPr>
                <w:lang w:val="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340" w:type="dxa"/>
          </w:tcPr>
          <w:p>
            <w:pPr>
              <w:autoSpaceDE w:val="0"/>
              <w:autoSpaceDN w:val="0"/>
              <w:adjustRightInd w:val="0"/>
              <w:ind w:firstLine="480"/>
              <w:rPr>
                <w:lang w:val="zh-CN"/>
              </w:rPr>
            </w:pPr>
          </w:p>
        </w:tc>
        <w:tc>
          <w:tcPr>
            <w:tcW w:w="1168" w:type="dxa"/>
          </w:tcPr>
          <w:p>
            <w:pPr>
              <w:autoSpaceDE w:val="0"/>
              <w:autoSpaceDN w:val="0"/>
              <w:adjustRightInd w:val="0"/>
              <w:ind w:firstLine="480"/>
              <w:rPr>
                <w:lang w:val="zh-CN"/>
              </w:rPr>
            </w:pPr>
          </w:p>
        </w:tc>
        <w:tc>
          <w:tcPr>
            <w:tcW w:w="1236" w:type="dxa"/>
          </w:tcPr>
          <w:p>
            <w:pPr>
              <w:autoSpaceDE w:val="0"/>
              <w:autoSpaceDN w:val="0"/>
              <w:adjustRightInd w:val="0"/>
              <w:ind w:firstLine="480"/>
              <w:rPr>
                <w:lang w:val="zh-CN"/>
              </w:rPr>
            </w:pPr>
          </w:p>
        </w:tc>
        <w:tc>
          <w:tcPr>
            <w:tcW w:w="1616" w:type="dxa"/>
          </w:tcPr>
          <w:p>
            <w:pPr>
              <w:autoSpaceDE w:val="0"/>
              <w:autoSpaceDN w:val="0"/>
              <w:adjustRightInd w:val="0"/>
              <w:ind w:firstLine="480"/>
              <w:rPr>
                <w:lang w:val="zh-CN"/>
              </w:rPr>
            </w:pPr>
          </w:p>
        </w:tc>
        <w:tc>
          <w:tcPr>
            <w:tcW w:w="1244" w:type="dxa"/>
          </w:tcPr>
          <w:p>
            <w:pPr>
              <w:autoSpaceDE w:val="0"/>
              <w:autoSpaceDN w:val="0"/>
              <w:adjustRightInd w:val="0"/>
              <w:ind w:firstLine="480"/>
              <w:rPr>
                <w:lang w:val="zh-CN"/>
              </w:rPr>
            </w:pPr>
          </w:p>
        </w:tc>
        <w:tc>
          <w:tcPr>
            <w:tcW w:w="2256" w:type="dxa"/>
          </w:tcPr>
          <w:p>
            <w:pPr>
              <w:autoSpaceDE w:val="0"/>
              <w:autoSpaceDN w:val="0"/>
              <w:adjustRightInd w:val="0"/>
              <w:ind w:firstLine="480"/>
              <w:rPr>
                <w:lang w:val="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340" w:type="dxa"/>
          </w:tcPr>
          <w:p>
            <w:pPr>
              <w:autoSpaceDE w:val="0"/>
              <w:autoSpaceDN w:val="0"/>
              <w:adjustRightInd w:val="0"/>
              <w:ind w:firstLine="480"/>
              <w:rPr>
                <w:lang w:val="zh-CN"/>
              </w:rPr>
            </w:pPr>
          </w:p>
        </w:tc>
        <w:tc>
          <w:tcPr>
            <w:tcW w:w="1168" w:type="dxa"/>
          </w:tcPr>
          <w:p>
            <w:pPr>
              <w:autoSpaceDE w:val="0"/>
              <w:autoSpaceDN w:val="0"/>
              <w:adjustRightInd w:val="0"/>
              <w:ind w:firstLine="480"/>
              <w:rPr>
                <w:lang w:val="zh-CN"/>
              </w:rPr>
            </w:pPr>
          </w:p>
        </w:tc>
        <w:tc>
          <w:tcPr>
            <w:tcW w:w="1236" w:type="dxa"/>
          </w:tcPr>
          <w:p>
            <w:pPr>
              <w:autoSpaceDE w:val="0"/>
              <w:autoSpaceDN w:val="0"/>
              <w:adjustRightInd w:val="0"/>
              <w:ind w:firstLine="480"/>
              <w:rPr>
                <w:lang w:val="zh-CN"/>
              </w:rPr>
            </w:pPr>
          </w:p>
        </w:tc>
        <w:tc>
          <w:tcPr>
            <w:tcW w:w="1616" w:type="dxa"/>
          </w:tcPr>
          <w:p>
            <w:pPr>
              <w:autoSpaceDE w:val="0"/>
              <w:autoSpaceDN w:val="0"/>
              <w:adjustRightInd w:val="0"/>
              <w:ind w:firstLine="480"/>
              <w:rPr>
                <w:lang w:val="zh-CN"/>
              </w:rPr>
            </w:pPr>
          </w:p>
        </w:tc>
        <w:tc>
          <w:tcPr>
            <w:tcW w:w="1244" w:type="dxa"/>
          </w:tcPr>
          <w:p>
            <w:pPr>
              <w:autoSpaceDE w:val="0"/>
              <w:autoSpaceDN w:val="0"/>
              <w:adjustRightInd w:val="0"/>
              <w:ind w:firstLine="480"/>
              <w:rPr>
                <w:lang w:val="zh-CN"/>
              </w:rPr>
            </w:pPr>
          </w:p>
        </w:tc>
        <w:tc>
          <w:tcPr>
            <w:tcW w:w="2256" w:type="dxa"/>
          </w:tcPr>
          <w:p>
            <w:pPr>
              <w:autoSpaceDE w:val="0"/>
              <w:autoSpaceDN w:val="0"/>
              <w:adjustRightInd w:val="0"/>
              <w:ind w:firstLine="480"/>
              <w:rPr>
                <w:lang w:val="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340" w:type="dxa"/>
          </w:tcPr>
          <w:p>
            <w:pPr>
              <w:autoSpaceDE w:val="0"/>
              <w:autoSpaceDN w:val="0"/>
              <w:adjustRightInd w:val="0"/>
              <w:ind w:firstLine="480"/>
              <w:rPr>
                <w:lang w:val="zh-CN"/>
              </w:rPr>
            </w:pPr>
          </w:p>
        </w:tc>
        <w:tc>
          <w:tcPr>
            <w:tcW w:w="1168" w:type="dxa"/>
          </w:tcPr>
          <w:p>
            <w:pPr>
              <w:autoSpaceDE w:val="0"/>
              <w:autoSpaceDN w:val="0"/>
              <w:adjustRightInd w:val="0"/>
              <w:ind w:firstLine="480"/>
              <w:rPr>
                <w:lang w:val="zh-CN"/>
              </w:rPr>
            </w:pPr>
          </w:p>
        </w:tc>
        <w:tc>
          <w:tcPr>
            <w:tcW w:w="1236" w:type="dxa"/>
          </w:tcPr>
          <w:p>
            <w:pPr>
              <w:autoSpaceDE w:val="0"/>
              <w:autoSpaceDN w:val="0"/>
              <w:adjustRightInd w:val="0"/>
              <w:ind w:firstLine="480"/>
              <w:rPr>
                <w:lang w:val="zh-CN"/>
              </w:rPr>
            </w:pPr>
          </w:p>
        </w:tc>
        <w:tc>
          <w:tcPr>
            <w:tcW w:w="1616" w:type="dxa"/>
          </w:tcPr>
          <w:p>
            <w:pPr>
              <w:autoSpaceDE w:val="0"/>
              <w:autoSpaceDN w:val="0"/>
              <w:adjustRightInd w:val="0"/>
              <w:ind w:firstLine="480"/>
              <w:rPr>
                <w:lang w:val="zh-CN"/>
              </w:rPr>
            </w:pPr>
          </w:p>
        </w:tc>
        <w:tc>
          <w:tcPr>
            <w:tcW w:w="1244" w:type="dxa"/>
          </w:tcPr>
          <w:p>
            <w:pPr>
              <w:autoSpaceDE w:val="0"/>
              <w:autoSpaceDN w:val="0"/>
              <w:adjustRightInd w:val="0"/>
              <w:ind w:firstLine="480"/>
              <w:rPr>
                <w:lang w:val="zh-CN"/>
              </w:rPr>
            </w:pPr>
          </w:p>
        </w:tc>
        <w:tc>
          <w:tcPr>
            <w:tcW w:w="2256" w:type="dxa"/>
          </w:tcPr>
          <w:p>
            <w:pPr>
              <w:autoSpaceDE w:val="0"/>
              <w:autoSpaceDN w:val="0"/>
              <w:adjustRightInd w:val="0"/>
              <w:ind w:firstLine="480"/>
              <w:rPr>
                <w:lang w:val="zh-CN"/>
              </w:rPr>
            </w:pPr>
          </w:p>
        </w:tc>
      </w:tr>
    </w:tbl>
    <w:p>
      <w:pPr>
        <w:spacing w:line="440" w:lineRule="exact"/>
        <w:ind w:firstLine="0" w:firstLineChars="0"/>
      </w:pPr>
      <w:r>
        <w:rPr>
          <w:rFonts w:hint="eastAsia"/>
          <w:b/>
          <w:szCs w:val="20"/>
        </w:rPr>
        <w:t>备注：</w:t>
      </w:r>
      <w:r>
        <w:rPr>
          <w:rFonts w:hint="eastAsia"/>
        </w:rPr>
        <w:t>以合同签订时间为准，须提供合同复印件加盖公章。</w:t>
      </w:r>
    </w:p>
    <w:p>
      <w:pPr>
        <w:spacing w:line="440" w:lineRule="exact"/>
        <w:ind w:firstLine="600" w:firstLineChars="250"/>
        <w:rPr>
          <w:szCs w:val="20"/>
        </w:rPr>
      </w:pPr>
    </w:p>
    <w:p>
      <w:pPr>
        <w:wordWrap w:val="0"/>
        <w:autoSpaceDE w:val="0"/>
        <w:autoSpaceDN w:val="0"/>
        <w:adjustRightInd w:val="0"/>
        <w:spacing w:line="440" w:lineRule="exact"/>
        <w:ind w:firstLine="480"/>
        <w:jc w:val="right"/>
        <w:rPr>
          <w:rFonts w:cs="仿宋_GB2312"/>
          <w:kern w:val="0"/>
          <w:lang w:val="zh-CN"/>
        </w:rPr>
      </w:pPr>
      <w:r>
        <w:rPr>
          <w:rFonts w:hint="eastAsia" w:cs="仿宋_GB2312"/>
          <w:kern w:val="0"/>
          <w:lang w:val="zh-CN"/>
        </w:rPr>
        <w:t xml:space="preserve">   投标人（公章）：     </w:t>
      </w:r>
    </w:p>
    <w:p>
      <w:pPr>
        <w:wordWrap w:val="0"/>
        <w:autoSpaceDE w:val="0"/>
        <w:autoSpaceDN w:val="0"/>
        <w:adjustRightInd w:val="0"/>
        <w:spacing w:line="440" w:lineRule="exact"/>
        <w:ind w:firstLine="480"/>
        <w:jc w:val="right"/>
        <w:rPr>
          <w:rFonts w:cs="仿宋_GB2312"/>
          <w:kern w:val="0"/>
          <w:lang w:val="zh-CN"/>
        </w:rPr>
      </w:pPr>
      <w:r>
        <w:rPr>
          <w:rFonts w:hint="eastAsia" w:cs="仿宋_GB2312"/>
          <w:kern w:val="0"/>
          <w:lang w:val="zh-CN"/>
        </w:rPr>
        <w:t xml:space="preserve">                                   法定代表人或授权代表（签字）：     </w:t>
      </w:r>
    </w:p>
    <w:p>
      <w:pPr>
        <w:ind w:firstLine="480"/>
        <w:jc w:val="center"/>
        <w:rPr>
          <w:lang w:val="zh-CN"/>
        </w:rPr>
      </w:pPr>
      <w:r>
        <w:rPr>
          <w:rFonts w:hint="eastAsia" w:cs="仿宋_GB2312"/>
          <w:kern w:val="0"/>
          <w:lang w:val="zh-CN"/>
        </w:rPr>
        <w:t xml:space="preserve">                                            日期：</w:t>
      </w:r>
      <w:r>
        <w:rPr>
          <w:rFonts w:cs="仿宋_GB2312"/>
          <w:kern w:val="0"/>
          <w:lang w:val="zh-CN"/>
        </w:rPr>
        <w:t>20</w:t>
      </w:r>
      <w:r>
        <w:rPr>
          <w:rFonts w:hint="eastAsia" w:cs="仿宋_GB2312"/>
          <w:kern w:val="0"/>
          <w:lang w:val="zh-CN"/>
        </w:rPr>
        <w:t xml:space="preserve">  年</w:t>
      </w:r>
      <w:r>
        <w:rPr>
          <w:rFonts w:cs="仿宋_GB2312"/>
          <w:kern w:val="0"/>
          <w:lang w:val="zh-CN"/>
        </w:rPr>
        <w:t xml:space="preserve">  </w:t>
      </w:r>
      <w:r>
        <w:rPr>
          <w:rFonts w:hint="eastAsia" w:cs="仿宋_GB2312"/>
          <w:kern w:val="0"/>
          <w:lang w:val="zh-CN"/>
        </w:rPr>
        <w:t>月</w:t>
      </w:r>
      <w:r>
        <w:rPr>
          <w:rFonts w:cs="仿宋_GB2312"/>
          <w:kern w:val="0"/>
          <w:lang w:val="zh-CN"/>
        </w:rPr>
        <w:t xml:space="preserve">   </w:t>
      </w:r>
      <w:r>
        <w:rPr>
          <w:rFonts w:hint="eastAsia" w:cs="仿宋_GB2312"/>
          <w:kern w:val="0"/>
          <w:lang w:val="zh-CN"/>
        </w:rPr>
        <w:t xml:space="preserve">日      </w:t>
      </w:r>
    </w:p>
    <w:p>
      <w:pPr>
        <w:autoSpaceDE w:val="0"/>
        <w:autoSpaceDN w:val="0"/>
        <w:adjustRightInd w:val="0"/>
        <w:spacing w:line="440" w:lineRule="exact"/>
        <w:ind w:firstLine="480"/>
        <w:jc w:val="right"/>
        <w:rPr>
          <w:b/>
          <w:kern w:val="0"/>
        </w:rPr>
      </w:pPr>
      <w:r>
        <w:rPr>
          <w:lang w:val="zh-CN"/>
        </w:rPr>
        <w:br w:type="page"/>
      </w:r>
    </w:p>
    <w:p>
      <w:pPr>
        <w:ind w:firstLine="602"/>
        <w:jc w:val="center"/>
        <w:rPr>
          <w:b/>
          <w:sz w:val="30"/>
          <w:szCs w:val="30"/>
        </w:rPr>
      </w:pPr>
      <w:r>
        <w:rPr>
          <w:rFonts w:hint="eastAsia"/>
          <w:b/>
          <w:sz w:val="30"/>
          <w:szCs w:val="30"/>
        </w:rPr>
        <w:t>十一、投标文件外层包装封面（格式供参考）</w:t>
      </w:r>
    </w:p>
    <w:p>
      <w:pPr>
        <w:ind w:firstLine="602"/>
        <w:rPr>
          <w:b/>
          <w:sz w:val="30"/>
          <w:szCs w:val="30"/>
        </w:rPr>
      </w:pPr>
      <w:bookmarkStart w:id="209" w:name="_Toc297472064"/>
      <w:r>
        <w:rPr>
          <w:rFonts w:hint="eastAsia"/>
          <w:b/>
          <w:sz w:val="30"/>
          <w:szCs w:val="30"/>
        </w:rPr>
        <w:t>1、报价文件外层包装封面</w:t>
      </w:r>
    </w:p>
    <w:p>
      <w:pPr>
        <w:ind w:firstLine="602"/>
        <w:jc w:val="center"/>
        <w:rPr>
          <w:b/>
          <w:sz w:val="30"/>
          <w:szCs w:val="30"/>
        </w:rPr>
      </w:pPr>
      <w:bookmarkStart w:id="210" w:name="_Toc297472068"/>
      <w:r>
        <w:rPr>
          <w:rFonts w:hint="eastAsia"/>
          <w:b/>
          <w:sz w:val="30"/>
          <w:szCs w:val="30"/>
        </w:rPr>
        <w:t>报价文件</w:t>
      </w:r>
      <w:bookmarkEnd w:id="210"/>
    </w:p>
    <w:p>
      <w:pPr>
        <w:ind w:firstLine="602"/>
        <w:jc w:val="center"/>
        <w:rPr>
          <w:b/>
          <w:sz w:val="30"/>
          <w:szCs w:val="30"/>
        </w:rPr>
      </w:pPr>
      <w:bookmarkStart w:id="211" w:name="_Toc297472069"/>
      <w:r>
        <w:rPr>
          <w:rFonts w:hint="eastAsia"/>
          <w:b/>
          <w:sz w:val="30"/>
          <w:szCs w:val="30"/>
        </w:rPr>
        <w:t>(唱标时启封)</w:t>
      </w:r>
      <w:bookmarkEnd w:id="211"/>
    </w:p>
    <w:p>
      <w:pPr>
        <w:ind w:firstLine="602"/>
        <w:rPr>
          <w:b/>
          <w:sz w:val="30"/>
          <w:szCs w:val="30"/>
        </w:rPr>
      </w:pPr>
      <w:r>
        <w:rPr>
          <w:rFonts w:hint="eastAsia"/>
          <w:b/>
          <w:sz w:val="30"/>
          <w:szCs w:val="30"/>
        </w:rPr>
        <w:t>项目名称：</w:t>
      </w:r>
      <w:r>
        <w:rPr>
          <w:rFonts w:hint="eastAsia"/>
          <w:b/>
          <w:sz w:val="30"/>
          <w:szCs w:val="30"/>
          <w:u w:val="single"/>
        </w:rPr>
        <w:t xml:space="preserve">                                    </w:t>
      </w:r>
    </w:p>
    <w:p>
      <w:pPr>
        <w:ind w:firstLine="602"/>
        <w:rPr>
          <w:b/>
          <w:sz w:val="30"/>
          <w:szCs w:val="30"/>
        </w:rPr>
      </w:pPr>
      <w:r>
        <w:rPr>
          <w:rFonts w:hint="eastAsia"/>
          <w:b/>
          <w:sz w:val="30"/>
          <w:szCs w:val="30"/>
        </w:rPr>
        <w:t>项目编号：</w:t>
      </w:r>
      <w:r>
        <w:rPr>
          <w:rFonts w:hint="eastAsia"/>
          <w:b/>
          <w:sz w:val="30"/>
          <w:szCs w:val="30"/>
          <w:u w:val="single"/>
        </w:rPr>
        <w:t xml:space="preserve">                                    </w:t>
      </w:r>
    </w:p>
    <w:p>
      <w:pPr>
        <w:ind w:firstLine="602"/>
        <w:rPr>
          <w:b/>
          <w:sz w:val="30"/>
          <w:szCs w:val="30"/>
        </w:rPr>
      </w:pPr>
      <w:r>
        <w:rPr>
          <w:rFonts w:hint="eastAsia"/>
          <w:b/>
          <w:sz w:val="30"/>
          <w:szCs w:val="30"/>
        </w:rPr>
        <w:t>投标人名称（盖章）：</w:t>
      </w:r>
      <w:r>
        <w:rPr>
          <w:rFonts w:hint="eastAsia"/>
          <w:b/>
          <w:sz w:val="30"/>
          <w:szCs w:val="30"/>
          <w:u w:val="single"/>
        </w:rPr>
        <w:t xml:space="preserve">                           </w:t>
      </w:r>
      <w:r>
        <w:rPr>
          <w:rFonts w:hint="eastAsia"/>
          <w:b/>
          <w:sz w:val="30"/>
          <w:szCs w:val="30"/>
        </w:rPr>
        <w:t xml:space="preserve">  </w:t>
      </w:r>
    </w:p>
    <w:p>
      <w:pPr>
        <w:ind w:firstLine="602"/>
        <w:rPr>
          <w:b/>
          <w:sz w:val="30"/>
          <w:szCs w:val="30"/>
        </w:rPr>
      </w:pPr>
    </w:p>
    <w:p>
      <w:pPr>
        <w:ind w:firstLine="602"/>
        <w:rPr>
          <w:b/>
          <w:sz w:val="30"/>
          <w:szCs w:val="30"/>
        </w:rPr>
      </w:pPr>
      <w:r>
        <w:rPr>
          <w:rFonts w:hint="eastAsia"/>
          <w:b/>
          <w:sz w:val="30"/>
          <w:szCs w:val="30"/>
        </w:rPr>
        <w:t>在    年    月     日     时     分之前不得启封</w:t>
      </w:r>
    </w:p>
    <w:p>
      <w:pPr>
        <w:ind w:firstLine="602"/>
        <w:rPr>
          <w:b/>
          <w:sz w:val="30"/>
          <w:szCs w:val="30"/>
        </w:rPr>
      </w:pPr>
    </w:p>
    <w:p>
      <w:pPr>
        <w:ind w:firstLine="602"/>
        <w:rPr>
          <w:b/>
          <w:sz w:val="30"/>
          <w:szCs w:val="30"/>
        </w:rPr>
      </w:pPr>
      <w:r>
        <w:rPr>
          <w:rFonts w:hint="eastAsia"/>
          <w:b/>
          <w:sz w:val="30"/>
          <w:szCs w:val="30"/>
        </w:rPr>
        <w:t>2、商务/技术文件外层包装封面</w:t>
      </w:r>
      <w:bookmarkEnd w:id="209"/>
    </w:p>
    <w:p>
      <w:pPr>
        <w:ind w:firstLine="602"/>
        <w:jc w:val="center"/>
        <w:rPr>
          <w:b/>
          <w:sz w:val="30"/>
          <w:szCs w:val="30"/>
        </w:rPr>
      </w:pPr>
      <w:bookmarkStart w:id="212" w:name="_Toc297472065"/>
      <w:r>
        <w:rPr>
          <w:rFonts w:hint="eastAsia"/>
          <w:b/>
          <w:sz w:val="30"/>
          <w:szCs w:val="30"/>
        </w:rPr>
        <w:t>商务/技术文件</w:t>
      </w:r>
      <w:bookmarkEnd w:id="212"/>
    </w:p>
    <w:p>
      <w:pPr>
        <w:ind w:firstLine="602"/>
        <w:jc w:val="center"/>
        <w:rPr>
          <w:b/>
          <w:sz w:val="30"/>
          <w:szCs w:val="30"/>
        </w:rPr>
      </w:pPr>
      <w:bookmarkStart w:id="213" w:name="_Toc297472066"/>
      <w:r>
        <w:rPr>
          <w:rFonts w:hint="eastAsia"/>
          <w:b/>
          <w:sz w:val="30"/>
          <w:szCs w:val="30"/>
        </w:rPr>
        <w:t>(开标时启封)</w:t>
      </w:r>
      <w:bookmarkEnd w:id="213"/>
    </w:p>
    <w:p>
      <w:pPr>
        <w:ind w:firstLine="602"/>
        <w:rPr>
          <w:b/>
          <w:sz w:val="30"/>
          <w:szCs w:val="30"/>
        </w:rPr>
      </w:pPr>
      <w:r>
        <w:rPr>
          <w:rFonts w:hint="eastAsia"/>
          <w:b/>
          <w:sz w:val="30"/>
          <w:szCs w:val="30"/>
        </w:rPr>
        <w:t>项目名称：</w:t>
      </w:r>
      <w:r>
        <w:rPr>
          <w:rFonts w:hint="eastAsia"/>
          <w:b/>
          <w:sz w:val="30"/>
          <w:szCs w:val="30"/>
          <w:u w:val="single"/>
        </w:rPr>
        <w:t xml:space="preserve">                                    </w:t>
      </w:r>
    </w:p>
    <w:p>
      <w:pPr>
        <w:ind w:firstLine="602"/>
        <w:rPr>
          <w:b/>
          <w:sz w:val="30"/>
          <w:szCs w:val="30"/>
        </w:rPr>
      </w:pPr>
      <w:r>
        <w:rPr>
          <w:rFonts w:hint="eastAsia"/>
          <w:b/>
          <w:sz w:val="30"/>
          <w:szCs w:val="30"/>
        </w:rPr>
        <w:t>项目编号：</w:t>
      </w:r>
      <w:r>
        <w:rPr>
          <w:rFonts w:hint="eastAsia"/>
          <w:b/>
          <w:sz w:val="30"/>
          <w:szCs w:val="30"/>
          <w:u w:val="single"/>
        </w:rPr>
        <w:t xml:space="preserve">                                    </w:t>
      </w:r>
    </w:p>
    <w:p>
      <w:pPr>
        <w:ind w:firstLine="602"/>
        <w:rPr>
          <w:b/>
          <w:sz w:val="30"/>
          <w:szCs w:val="30"/>
        </w:rPr>
      </w:pPr>
      <w:r>
        <w:rPr>
          <w:rFonts w:hint="eastAsia"/>
          <w:b/>
          <w:sz w:val="30"/>
          <w:szCs w:val="30"/>
        </w:rPr>
        <w:t>投标人名称（盖章）：</w:t>
      </w:r>
      <w:r>
        <w:rPr>
          <w:rFonts w:hint="eastAsia"/>
          <w:b/>
          <w:sz w:val="30"/>
          <w:szCs w:val="30"/>
          <w:u w:val="single"/>
        </w:rPr>
        <w:t xml:space="preserve">                           </w:t>
      </w:r>
      <w:r>
        <w:rPr>
          <w:rFonts w:hint="eastAsia"/>
          <w:b/>
          <w:sz w:val="30"/>
          <w:szCs w:val="30"/>
        </w:rPr>
        <w:t xml:space="preserve">  </w:t>
      </w:r>
    </w:p>
    <w:p>
      <w:pPr>
        <w:ind w:firstLine="602"/>
        <w:rPr>
          <w:b/>
          <w:sz w:val="30"/>
          <w:szCs w:val="30"/>
        </w:rPr>
      </w:pPr>
      <w:r>
        <w:rPr>
          <w:rFonts w:hint="eastAsia"/>
          <w:b/>
          <w:sz w:val="30"/>
          <w:szCs w:val="30"/>
        </w:rPr>
        <w:t xml:space="preserve">     </w:t>
      </w:r>
    </w:p>
    <w:p>
      <w:pPr>
        <w:ind w:firstLine="602"/>
        <w:rPr>
          <w:b/>
          <w:sz w:val="30"/>
          <w:szCs w:val="30"/>
        </w:rPr>
      </w:pPr>
      <w:r>
        <w:rPr>
          <w:rFonts w:hint="eastAsia"/>
          <w:b/>
          <w:sz w:val="30"/>
          <w:szCs w:val="30"/>
        </w:rPr>
        <w:t>在    年    月     日     时     分之前不得启封</w:t>
      </w:r>
    </w:p>
    <w:p>
      <w:pPr>
        <w:ind w:firstLine="602"/>
        <w:jc w:val="center"/>
        <w:rPr>
          <w:b/>
          <w:sz w:val="32"/>
          <w:szCs w:val="32"/>
        </w:rPr>
      </w:pPr>
      <w:r>
        <w:rPr>
          <w:b/>
          <w:sz w:val="30"/>
          <w:szCs w:val="30"/>
        </w:rPr>
        <w:br w:type="page"/>
      </w:r>
      <w:r>
        <w:rPr>
          <w:rFonts w:hint="eastAsia"/>
          <w:b/>
          <w:sz w:val="32"/>
          <w:szCs w:val="32"/>
        </w:rPr>
        <w:t>十二、投标文件封面（格式供参考）</w:t>
      </w:r>
    </w:p>
    <w:p>
      <w:pPr>
        <w:autoSpaceDE w:val="0"/>
        <w:autoSpaceDN w:val="0"/>
        <w:adjustRightInd w:val="0"/>
        <w:ind w:firstLine="643"/>
        <w:rPr>
          <w:b/>
          <w:sz w:val="32"/>
          <w:szCs w:val="32"/>
        </w:rPr>
      </w:pPr>
      <w:r>
        <w:rPr>
          <w:rFonts w:hint="eastAsia"/>
          <w:b/>
          <w:sz w:val="32"/>
          <w:szCs w:val="32"/>
        </w:rPr>
        <w:t>1、报价文件封面</w:t>
      </w:r>
    </w:p>
    <w:p>
      <w:pPr>
        <w:autoSpaceDE w:val="0"/>
        <w:autoSpaceDN w:val="0"/>
        <w:adjustRightInd w:val="0"/>
        <w:ind w:firstLine="643"/>
        <w:jc w:val="right"/>
        <w:rPr>
          <w:b/>
          <w:sz w:val="28"/>
          <w:szCs w:val="28"/>
        </w:rPr>
      </w:pPr>
      <w:r>
        <w:rPr>
          <w:rFonts w:hint="eastAsia"/>
          <w:b/>
          <w:sz w:val="32"/>
          <w:szCs w:val="32"/>
        </w:rPr>
        <w:t xml:space="preserve">                   </w:t>
      </w:r>
      <w:r>
        <w:rPr>
          <w:rFonts w:hint="eastAsia"/>
          <w:b/>
        </w:rPr>
        <w:t xml:space="preserve"> </w:t>
      </w:r>
      <w:r>
        <w:rPr>
          <w:rFonts w:hint="eastAsia"/>
          <w:b/>
          <w:sz w:val="28"/>
          <w:szCs w:val="28"/>
        </w:rPr>
        <w:t>正本/副本</w:t>
      </w:r>
    </w:p>
    <w:p>
      <w:pPr>
        <w:autoSpaceDE w:val="0"/>
        <w:autoSpaceDN w:val="0"/>
        <w:adjustRightInd w:val="0"/>
        <w:ind w:firstLine="643"/>
        <w:jc w:val="center"/>
        <w:rPr>
          <w:b/>
          <w:sz w:val="32"/>
          <w:szCs w:val="32"/>
        </w:rPr>
      </w:pPr>
      <w:r>
        <w:rPr>
          <w:rFonts w:hint="eastAsia"/>
          <w:b/>
          <w:sz w:val="32"/>
          <w:szCs w:val="32"/>
        </w:rPr>
        <w:t>报价文件</w:t>
      </w:r>
    </w:p>
    <w:p>
      <w:pPr>
        <w:autoSpaceDE w:val="0"/>
        <w:autoSpaceDN w:val="0"/>
        <w:adjustRightInd w:val="0"/>
        <w:ind w:firstLine="643"/>
        <w:rPr>
          <w:b/>
          <w:sz w:val="32"/>
          <w:szCs w:val="32"/>
        </w:rPr>
      </w:pPr>
      <w:r>
        <w:rPr>
          <w:rFonts w:hint="eastAsia"/>
          <w:b/>
          <w:sz w:val="32"/>
          <w:szCs w:val="32"/>
        </w:rPr>
        <w:t>项目名称：</w:t>
      </w:r>
      <w:r>
        <w:rPr>
          <w:rFonts w:hint="eastAsia"/>
          <w:b/>
          <w:sz w:val="32"/>
          <w:szCs w:val="32"/>
          <w:u w:val="single"/>
        </w:rPr>
        <w:t xml:space="preserve">                                    </w:t>
      </w:r>
    </w:p>
    <w:p>
      <w:pPr>
        <w:autoSpaceDE w:val="0"/>
        <w:autoSpaceDN w:val="0"/>
        <w:adjustRightInd w:val="0"/>
        <w:ind w:firstLine="643"/>
        <w:rPr>
          <w:b/>
          <w:sz w:val="32"/>
          <w:szCs w:val="32"/>
        </w:rPr>
      </w:pPr>
      <w:r>
        <w:rPr>
          <w:rFonts w:hint="eastAsia"/>
          <w:b/>
          <w:sz w:val="32"/>
          <w:szCs w:val="32"/>
        </w:rPr>
        <w:t>项目编号：</w:t>
      </w:r>
      <w:r>
        <w:rPr>
          <w:rFonts w:hint="eastAsia"/>
          <w:b/>
          <w:sz w:val="32"/>
          <w:szCs w:val="32"/>
          <w:u w:val="single"/>
        </w:rPr>
        <w:t xml:space="preserve">                                    </w:t>
      </w:r>
    </w:p>
    <w:p>
      <w:pPr>
        <w:autoSpaceDE w:val="0"/>
        <w:autoSpaceDN w:val="0"/>
        <w:adjustRightInd w:val="0"/>
        <w:ind w:firstLine="643"/>
        <w:rPr>
          <w:b/>
          <w:sz w:val="32"/>
          <w:szCs w:val="32"/>
        </w:rPr>
      </w:pPr>
      <w:r>
        <w:rPr>
          <w:rFonts w:hint="eastAsia"/>
          <w:b/>
          <w:sz w:val="32"/>
          <w:szCs w:val="32"/>
        </w:rPr>
        <w:t>投标人名称（盖章）：</w:t>
      </w:r>
      <w:r>
        <w:rPr>
          <w:rFonts w:hint="eastAsia"/>
          <w:b/>
          <w:sz w:val="32"/>
          <w:szCs w:val="32"/>
          <w:u w:val="single"/>
        </w:rPr>
        <w:t xml:space="preserve">                           </w:t>
      </w:r>
      <w:bookmarkStart w:id="214" w:name="_Toc339872474"/>
    </w:p>
    <w:p>
      <w:pPr>
        <w:autoSpaceDE w:val="0"/>
        <w:autoSpaceDN w:val="0"/>
        <w:adjustRightInd w:val="0"/>
        <w:ind w:firstLine="643"/>
        <w:rPr>
          <w:b/>
          <w:sz w:val="32"/>
          <w:szCs w:val="32"/>
        </w:rPr>
      </w:pPr>
      <w:r>
        <w:rPr>
          <w:rFonts w:hint="eastAsia"/>
          <w:b/>
          <w:sz w:val="32"/>
          <w:szCs w:val="32"/>
        </w:rPr>
        <w:t>法定代表人或授权代表签字：</w:t>
      </w:r>
      <w:bookmarkEnd w:id="214"/>
      <w:r>
        <w:rPr>
          <w:rFonts w:hint="eastAsia"/>
          <w:b/>
          <w:sz w:val="32"/>
          <w:szCs w:val="32"/>
          <w:u w:val="single"/>
        </w:rPr>
        <w:t xml:space="preserve">                    </w:t>
      </w:r>
      <w:r>
        <w:rPr>
          <w:rFonts w:hint="eastAsia"/>
          <w:b/>
          <w:sz w:val="32"/>
          <w:szCs w:val="32"/>
        </w:rPr>
        <w:t xml:space="preserve"> </w:t>
      </w:r>
    </w:p>
    <w:p>
      <w:pPr>
        <w:autoSpaceDE w:val="0"/>
        <w:autoSpaceDN w:val="0"/>
        <w:adjustRightInd w:val="0"/>
        <w:ind w:firstLine="643"/>
        <w:rPr>
          <w:b/>
          <w:sz w:val="32"/>
          <w:szCs w:val="32"/>
        </w:rPr>
      </w:pPr>
    </w:p>
    <w:p>
      <w:pPr>
        <w:autoSpaceDE w:val="0"/>
        <w:autoSpaceDN w:val="0"/>
        <w:adjustRightInd w:val="0"/>
        <w:ind w:firstLine="643"/>
        <w:rPr>
          <w:b/>
          <w:sz w:val="32"/>
          <w:szCs w:val="32"/>
        </w:rPr>
      </w:pPr>
    </w:p>
    <w:p>
      <w:pPr>
        <w:autoSpaceDE w:val="0"/>
        <w:autoSpaceDN w:val="0"/>
        <w:adjustRightInd w:val="0"/>
        <w:ind w:firstLine="643"/>
        <w:rPr>
          <w:b/>
          <w:sz w:val="32"/>
          <w:szCs w:val="32"/>
        </w:rPr>
      </w:pPr>
      <w:r>
        <w:rPr>
          <w:rFonts w:hint="eastAsia"/>
          <w:b/>
          <w:sz w:val="32"/>
          <w:szCs w:val="32"/>
        </w:rPr>
        <w:t>2、商务/技术文件封面</w:t>
      </w:r>
    </w:p>
    <w:p>
      <w:pPr>
        <w:autoSpaceDE w:val="0"/>
        <w:autoSpaceDN w:val="0"/>
        <w:adjustRightInd w:val="0"/>
        <w:ind w:firstLine="643"/>
        <w:jc w:val="right"/>
        <w:rPr>
          <w:b/>
          <w:sz w:val="28"/>
          <w:szCs w:val="28"/>
        </w:rPr>
      </w:pPr>
      <w:r>
        <w:rPr>
          <w:rFonts w:hint="eastAsia"/>
          <w:b/>
          <w:sz w:val="32"/>
          <w:szCs w:val="32"/>
        </w:rPr>
        <w:t xml:space="preserve">                </w:t>
      </w:r>
      <w:r>
        <w:rPr>
          <w:rFonts w:hint="eastAsia"/>
          <w:b/>
          <w:sz w:val="28"/>
          <w:szCs w:val="28"/>
        </w:rPr>
        <w:t>正本/副本</w:t>
      </w:r>
    </w:p>
    <w:p>
      <w:pPr>
        <w:autoSpaceDE w:val="0"/>
        <w:autoSpaceDN w:val="0"/>
        <w:adjustRightInd w:val="0"/>
        <w:ind w:firstLine="4160" w:firstLineChars="1295"/>
        <w:rPr>
          <w:b/>
          <w:sz w:val="32"/>
          <w:szCs w:val="32"/>
        </w:rPr>
      </w:pPr>
      <w:r>
        <w:rPr>
          <w:rFonts w:hint="eastAsia"/>
          <w:b/>
          <w:sz w:val="32"/>
          <w:szCs w:val="32"/>
        </w:rPr>
        <w:t>商务/技术文件</w:t>
      </w:r>
    </w:p>
    <w:p>
      <w:pPr>
        <w:autoSpaceDE w:val="0"/>
        <w:autoSpaceDN w:val="0"/>
        <w:adjustRightInd w:val="0"/>
        <w:ind w:firstLine="643"/>
        <w:rPr>
          <w:b/>
          <w:sz w:val="32"/>
          <w:szCs w:val="32"/>
        </w:rPr>
      </w:pPr>
    </w:p>
    <w:p>
      <w:pPr>
        <w:autoSpaceDE w:val="0"/>
        <w:autoSpaceDN w:val="0"/>
        <w:adjustRightInd w:val="0"/>
        <w:ind w:firstLine="643"/>
        <w:rPr>
          <w:b/>
          <w:sz w:val="32"/>
          <w:szCs w:val="32"/>
        </w:rPr>
      </w:pPr>
      <w:r>
        <w:rPr>
          <w:rFonts w:hint="eastAsia"/>
          <w:b/>
          <w:sz w:val="32"/>
          <w:szCs w:val="32"/>
        </w:rPr>
        <w:t>项目名称：</w:t>
      </w:r>
      <w:r>
        <w:rPr>
          <w:rFonts w:hint="eastAsia"/>
          <w:b/>
          <w:sz w:val="32"/>
          <w:szCs w:val="32"/>
          <w:u w:val="single"/>
        </w:rPr>
        <w:t xml:space="preserve">                                    </w:t>
      </w:r>
    </w:p>
    <w:p>
      <w:pPr>
        <w:autoSpaceDE w:val="0"/>
        <w:autoSpaceDN w:val="0"/>
        <w:adjustRightInd w:val="0"/>
        <w:ind w:firstLine="643"/>
        <w:rPr>
          <w:b/>
          <w:sz w:val="32"/>
          <w:szCs w:val="32"/>
        </w:rPr>
      </w:pPr>
      <w:r>
        <w:rPr>
          <w:rFonts w:hint="eastAsia"/>
          <w:b/>
          <w:sz w:val="32"/>
          <w:szCs w:val="32"/>
        </w:rPr>
        <w:t>项目编号：</w:t>
      </w:r>
      <w:r>
        <w:rPr>
          <w:rFonts w:hint="eastAsia"/>
          <w:b/>
          <w:sz w:val="32"/>
          <w:szCs w:val="32"/>
          <w:u w:val="single"/>
        </w:rPr>
        <w:t xml:space="preserve">                                    </w:t>
      </w:r>
    </w:p>
    <w:p>
      <w:pPr>
        <w:autoSpaceDE w:val="0"/>
        <w:autoSpaceDN w:val="0"/>
        <w:adjustRightInd w:val="0"/>
        <w:ind w:firstLine="643"/>
        <w:rPr>
          <w:b/>
          <w:sz w:val="32"/>
          <w:szCs w:val="32"/>
        </w:rPr>
      </w:pPr>
      <w:r>
        <w:rPr>
          <w:rFonts w:hint="eastAsia"/>
          <w:b/>
          <w:sz w:val="32"/>
          <w:szCs w:val="32"/>
        </w:rPr>
        <w:t>投标人名称（盖章）：</w:t>
      </w:r>
      <w:r>
        <w:rPr>
          <w:rFonts w:hint="eastAsia"/>
          <w:b/>
          <w:sz w:val="32"/>
          <w:szCs w:val="32"/>
          <w:u w:val="single"/>
        </w:rPr>
        <w:t xml:space="preserve">                           </w:t>
      </w:r>
    </w:p>
    <w:p>
      <w:pPr>
        <w:autoSpaceDE w:val="0"/>
        <w:autoSpaceDN w:val="0"/>
        <w:adjustRightInd w:val="0"/>
        <w:ind w:firstLine="643"/>
        <w:rPr>
          <w:b/>
          <w:sz w:val="32"/>
          <w:szCs w:val="32"/>
        </w:rPr>
      </w:pPr>
      <w:r>
        <w:rPr>
          <w:rFonts w:hint="eastAsia"/>
          <w:b/>
          <w:sz w:val="32"/>
          <w:szCs w:val="32"/>
        </w:rPr>
        <w:t xml:space="preserve">法定代表人或授权代表签字： </w:t>
      </w:r>
      <w:r>
        <w:rPr>
          <w:rFonts w:hint="eastAsia"/>
          <w:b/>
          <w:sz w:val="32"/>
          <w:szCs w:val="32"/>
          <w:u w:val="single"/>
        </w:rPr>
        <w:t xml:space="preserve">                   </w:t>
      </w:r>
    </w:p>
    <w:p>
      <w:pPr>
        <w:ind w:firstLine="480"/>
        <w:rPr>
          <w:rFonts w:ascii="Calibri" w:hAnsi="Calibri"/>
        </w:rPr>
      </w:pPr>
    </w:p>
    <w:p>
      <w:pPr>
        <w:ind w:firstLine="480"/>
        <w:rPr>
          <w:rFonts w:ascii="Calibri" w:hAnsi="Calibri"/>
        </w:rPr>
      </w:pPr>
    </w:p>
    <w:p>
      <w:pPr>
        <w:ind w:firstLine="480"/>
        <w:rPr>
          <w:rFonts w:ascii="Calibri" w:hAnsi="Calibri"/>
        </w:rPr>
      </w:pPr>
    </w:p>
    <w:p>
      <w:pPr>
        <w:snapToGrid w:val="0"/>
        <w:ind w:right="408" w:firstLine="480"/>
        <w:jc w:val="left"/>
        <w:rPr>
          <w:rFonts w:cs="Times New Roman"/>
          <w:szCs w:val="21"/>
        </w:rPr>
      </w:pPr>
    </w:p>
    <w:p>
      <w:pPr>
        <w:ind w:firstLine="0" w:firstLineChars="0"/>
        <w:rPr>
          <w:rFonts w:cs="Times New Roman"/>
          <w:szCs w:val="21"/>
        </w:rPr>
      </w:pPr>
    </w:p>
    <w:p>
      <w:pPr>
        <w:snapToGrid w:val="0"/>
        <w:ind w:right="408" w:firstLine="480"/>
        <w:jc w:val="left"/>
        <w:rPr>
          <w:rFonts w:cs="Times New Roman"/>
          <w:szCs w:val="21"/>
        </w:rPr>
      </w:pPr>
    </w:p>
    <w:p>
      <w:pPr>
        <w:snapToGrid w:val="0"/>
        <w:ind w:right="408" w:firstLine="480"/>
        <w:rPr>
          <w:rFonts w:cs="Times New Roman"/>
          <w:szCs w:val="21"/>
        </w:rPr>
      </w:pPr>
      <w:r>
        <w:rPr>
          <w:rFonts w:hint="eastAsia" w:cs="Times New Roman"/>
          <w:szCs w:val="21"/>
        </w:rPr>
        <w:t>附件：</w:t>
      </w:r>
    </w:p>
    <w:p>
      <w:pPr>
        <w:snapToGrid w:val="0"/>
        <w:spacing w:line="440" w:lineRule="exact"/>
        <w:ind w:firstLine="602"/>
        <w:jc w:val="center"/>
        <w:rPr>
          <w:rFonts w:cs="Times New Roman"/>
          <w:b/>
          <w:bCs/>
          <w:sz w:val="30"/>
          <w:szCs w:val="30"/>
        </w:rPr>
      </w:pPr>
    </w:p>
    <w:p>
      <w:pPr>
        <w:snapToGrid w:val="0"/>
        <w:spacing w:line="440" w:lineRule="exact"/>
        <w:ind w:firstLine="602"/>
        <w:jc w:val="center"/>
        <w:rPr>
          <w:rFonts w:cs="Times New Roman"/>
          <w:b/>
          <w:bCs/>
          <w:sz w:val="30"/>
          <w:szCs w:val="30"/>
        </w:rPr>
      </w:pPr>
      <w:r>
        <w:rPr>
          <w:rFonts w:hint="eastAsia" w:cs="Times New Roman"/>
          <w:b/>
          <w:bCs/>
          <w:sz w:val="30"/>
          <w:szCs w:val="30"/>
        </w:rPr>
        <w:t>制造厂(商)授权书</w:t>
      </w:r>
    </w:p>
    <w:p>
      <w:pPr>
        <w:snapToGrid w:val="0"/>
        <w:spacing w:line="440" w:lineRule="exact"/>
        <w:ind w:firstLine="602"/>
        <w:rPr>
          <w:rFonts w:cs="Times New Roman"/>
          <w:b/>
          <w:bCs/>
          <w:sz w:val="30"/>
          <w:szCs w:val="30"/>
        </w:rPr>
      </w:pPr>
    </w:p>
    <w:p>
      <w:pPr>
        <w:snapToGrid w:val="0"/>
        <w:spacing w:line="440" w:lineRule="exact"/>
        <w:ind w:firstLine="0" w:firstLineChars="0"/>
        <w:rPr>
          <w:rFonts w:cs="Times New Roman"/>
          <w:szCs w:val="21"/>
          <w:u w:val="single"/>
        </w:rPr>
      </w:pPr>
      <w:r>
        <w:rPr>
          <w:rFonts w:hint="eastAsia" w:cs="Times New Roman"/>
          <w:szCs w:val="21"/>
        </w:rPr>
        <w:t>致：</w:t>
      </w:r>
      <w:r>
        <w:rPr>
          <w:rFonts w:hint="eastAsia" w:cs="Times New Roman"/>
          <w:szCs w:val="21"/>
          <w:u w:val="single"/>
        </w:rPr>
        <w:t xml:space="preserve">                         </w:t>
      </w:r>
      <w:r>
        <w:rPr>
          <w:rFonts w:hint="eastAsia" w:cs="Times New Roman"/>
          <w:szCs w:val="21"/>
        </w:rPr>
        <w:t>(招标人)</w:t>
      </w:r>
    </w:p>
    <w:p>
      <w:pPr>
        <w:snapToGrid w:val="0"/>
        <w:spacing w:line="440" w:lineRule="exact"/>
        <w:ind w:firstLine="480"/>
        <w:rPr>
          <w:rFonts w:cs="Times New Roman"/>
          <w:szCs w:val="21"/>
        </w:rPr>
      </w:pPr>
      <w:r>
        <w:rPr>
          <w:rFonts w:hint="eastAsia" w:cs="Times New Roman"/>
          <w:szCs w:val="21"/>
          <w:u w:val="single"/>
        </w:rPr>
        <w:t xml:space="preserve">                         </w:t>
      </w:r>
      <w:r>
        <w:rPr>
          <w:rFonts w:hint="eastAsia" w:cs="Times New Roman"/>
          <w:szCs w:val="21"/>
        </w:rPr>
        <w:t>（制造厂（商）家名称）是根据国家法律正式成立的，其主要营业地点在：</w:t>
      </w:r>
      <w:r>
        <w:rPr>
          <w:rFonts w:hint="eastAsia" w:cs="Times New Roman"/>
          <w:szCs w:val="21"/>
          <w:u w:val="single"/>
        </w:rPr>
        <w:t xml:space="preserve">             </w:t>
      </w:r>
      <w:r>
        <w:rPr>
          <w:rFonts w:hint="eastAsia" w:cs="Times New Roman"/>
          <w:szCs w:val="21"/>
        </w:rPr>
        <w:t>（制造厂（商）家地址）。并据此指定</w:t>
      </w:r>
      <w:r>
        <w:rPr>
          <w:rFonts w:hint="eastAsia" w:cs="Times New Roman"/>
          <w:szCs w:val="21"/>
          <w:u w:val="single"/>
        </w:rPr>
        <w:t xml:space="preserve">             </w:t>
      </w:r>
      <w:r>
        <w:rPr>
          <w:rFonts w:hint="eastAsia" w:cs="Times New Roman"/>
          <w:szCs w:val="21"/>
        </w:rPr>
        <w:t xml:space="preserve">（代理人名称）为我们的真正合法的代理人进行下列活动。 </w:t>
      </w:r>
    </w:p>
    <w:p>
      <w:pPr>
        <w:snapToGrid w:val="0"/>
        <w:spacing w:line="440" w:lineRule="exact"/>
        <w:ind w:firstLine="480"/>
        <w:rPr>
          <w:rFonts w:cs="Times New Roman"/>
          <w:szCs w:val="21"/>
        </w:rPr>
      </w:pPr>
      <w:r>
        <w:rPr>
          <w:rFonts w:hint="eastAsia" w:cs="Times New Roman"/>
          <w:szCs w:val="21"/>
        </w:rPr>
        <w:t>此次投标，它代表我方办理</w:t>
      </w:r>
      <w:r>
        <w:rPr>
          <w:rFonts w:hint="eastAsia" w:cs="Times New Roman"/>
          <w:szCs w:val="21"/>
          <w:u w:val="single"/>
        </w:rPr>
        <w:t xml:space="preserve">               </w:t>
      </w:r>
      <w:r>
        <w:rPr>
          <w:rFonts w:hint="eastAsia" w:cs="Times New Roman"/>
          <w:szCs w:val="21"/>
        </w:rPr>
        <w:t>（招标单位名称）</w:t>
      </w:r>
      <w:r>
        <w:rPr>
          <w:rFonts w:hint="eastAsia" w:cs="Times New Roman"/>
          <w:szCs w:val="21"/>
          <w:u w:val="single"/>
        </w:rPr>
        <w:t xml:space="preserve">             </w:t>
      </w:r>
      <w:r>
        <w:rPr>
          <w:rFonts w:hint="eastAsia" w:cs="Times New Roman"/>
          <w:szCs w:val="21"/>
        </w:rPr>
        <w:t>工程的材料设备投标，提供由我们生产或制造的货物的有关事宜，并对我方具有约束力。</w:t>
      </w:r>
    </w:p>
    <w:p>
      <w:pPr>
        <w:snapToGrid w:val="0"/>
        <w:spacing w:line="440" w:lineRule="exact"/>
        <w:ind w:firstLine="480"/>
        <w:rPr>
          <w:rFonts w:cs="Times New Roman"/>
          <w:szCs w:val="21"/>
        </w:rPr>
      </w:pPr>
      <w:r>
        <w:rPr>
          <w:rFonts w:hint="eastAsia" w:cs="Times New Roman"/>
          <w:szCs w:val="21"/>
        </w:rPr>
        <w:t>兹授予</w:t>
      </w:r>
      <w:r>
        <w:rPr>
          <w:rFonts w:hint="eastAsia" w:cs="Times New Roman"/>
          <w:szCs w:val="21"/>
          <w:u w:val="single"/>
        </w:rPr>
        <w:t xml:space="preserve">                 </w:t>
      </w:r>
      <w:r>
        <w:rPr>
          <w:rFonts w:hint="eastAsia" w:cs="Times New Roman"/>
          <w:szCs w:val="21"/>
        </w:rPr>
        <w:t>（代理人名称）一切权利和职权，全权办理和履行上述所必需的、必要的和适当的事宜，并行使替代和撤消的权力。特此确认</w:t>
      </w:r>
      <w:r>
        <w:rPr>
          <w:rFonts w:hint="eastAsia" w:cs="Times New Roman"/>
          <w:szCs w:val="21"/>
          <w:u w:val="single"/>
        </w:rPr>
        <w:t xml:space="preserve">         </w:t>
      </w:r>
      <w:r>
        <w:rPr>
          <w:rFonts w:hint="eastAsia" w:cs="Times New Roman"/>
          <w:szCs w:val="21"/>
        </w:rPr>
        <w:t>（代理人名称）或其正式授权代表据此办理一切合法事宜，我单位均予承认。</w:t>
      </w:r>
    </w:p>
    <w:p>
      <w:pPr>
        <w:snapToGrid w:val="0"/>
        <w:spacing w:line="440" w:lineRule="exact"/>
        <w:ind w:firstLine="480"/>
        <w:rPr>
          <w:rFonts w:cs="Times New Roman"/>
          <w:szCs w:val="21"/>
        </w:rPr>
      </w:pPr>
      <w:r>
        <w:rPr>
          <w:rFonts w:hint="eastAsia" w:cs="Times New Roman"/>
          <w:szCs w:val="21"/>
        </w:rPr>
        <w:t>我方于      年     月      日签署本文，以此为证。</w:t>
      </w:r>
    </w:p>
    <w:p>
      <w:pPr>
        <w:snapToGrid w:val="0"/>
        <w:spacing w:line="440" w:lineRule="exact"/>
        <w:ind w:firstLine="480"/>
        <w:rPr>
          <w:rFonts w:cs="Times New Roman"/>
          <w:szCs w:val="21"/>
        </w:rPr>
      </w:pPr>
      <w:r>
        <w:rPr>
          <w:rFonts w:hint="eastAsia" w:cs="Times New Roman"/>
          <w:szCs w:val="21"/>
        </w:rPr>
        <w:t xml:space="preserve">            年     月      日接受。</w:t>
      </w:r>
    </w:p>
    <w:p>
      <w:pPr>
        <w:snapToGrid w:val="0"/>
        <w:spacing w:line="440" w:lineRule="exact"/>
        <w:ind w:firstLine="480"/>
        <w:rPr>
          <w:rFonts w:cs="Times New Roman"/>
          <w:szCs w:val="21"/>
        </w:rPr>
      </w:pPr>
      <w:r>
        <w:rPr>
          <w:rFonts w:hint="eastAsia" w:cs="Times New Roman"/>
          <w:szCs w:val="21"/>
        </w:rPr>
        <w:t> </w:t>
      </w:r>
    </w:p>
    <w:p>
      <w:pPr>
        <w:snapToGrid w:val="0"/>
        <w:spacing w:line="440" w:lineRule="exact"/>
        <w:ind w:firstLine="523" w:firstLineChars="218"/>
        <w:rPr>
          <w:rFonts w:cs="Times New Roman"/>
          <w:szCs w:val="21"/>
        </w:rPr>
      </w:pPr>
      <w:r>
        <w:rPr>
          <w:rFonts w:hint="eastAsia" w:cs="Times New Roman"/>
          <w:szCs w:val="21"/>
        </w:rPr>
        <w:t> </w:t>
      </w:r>
    </w:p>
    <w:p>
      <w:pPr>
        <w:snapToGrid w:val="0"/>
        <w:spacing w:line="440" w:lineRule="exact"/>
        <w:ind w:firstLine="523" w:firstLineChars="218"/>
        <w:rPr>
          <w:rFonts w:cs="Times New Roman"/>
          <w:szCs w:val="21"/>
        </w:rPr>
      </w:pPr>
      <w:r>
        <w:rPr>
          <w:rFonts w:hint="eastAsia" w:cs="Times New Roman"/>
          <w:szCs w:val="21"/>
        </w:rPr>
        <w:t> </w:t>
      </w:r>
    </w:p>
    <w:p>
      <w:pPr>
        <w:snapToGrid w:val="0"/>
        <w:spacing w:line="440" w:lineRule="exact"/>
        <w:ind w:firstLine="480"/>
        <w:rPr>
          <w:rFonts w:cs="Times New Roman"/>
          <w:szCs w:val="21"/>
        </w:rPr>
      </w:pPr>
      <w:r>
        <w:rPr>
          <w:rFonts w:hint="eastAsia" w:cs="Times New Roman"/>
          <w:szCs w:val="21"/>
        </w:rPr>
        <w:t>代理人名称（盖公章）              授权书制造厂（商）家名称（盖公章）</w:t>
      </w:r>
    </w:p>
    <w:p>
      <w:pPr>
        <w:snapToGrid w:val="0"/>
        <w:spacing w:line="440" w:lineRule="exact"/>
        <w:ind w:firstLine="240" w:firstLineChars="100"/>
        <w:rPr>
          <w:rFonts w:cs="Times New Roman"/>
          <w:szCs w:val="21"/>
        </w:rPr>
      </w:pPr>
      <w:r>
        <w:rPr>
          <w:rFonts w:hint="eastAsia" w:cs="Times New Roman"/>
          <w:szCs w:val="21"/>
        </w:rPr>
        <w:t>（正式授权代表签字或盖章）：         （法定代表人签字或盖章）：</w:t>
      </w:r>
    </w:p>
    <w:p>
      <w:pPr>
        <w:snapToGrid w:val="0"/>
        <w:spacing w:line="440" w:lineRule="exact"/>
        <w:ind w:firstLine="480"/>
        <w:rPr>
          <w:rFonts w:cs="Times New Roman"/>
          <w:szCs w:val="21"/>
        </w:rPr>
      </w:pPr>
      <w:r>
        <w:rPr>
          <w:rFonts w:hint="eastAsia" w:cs="Times New Roman"/>
          <w:szCs w:val="21"/>
        </w:rPr>
        <w:t>姓    名：                          姓    名：</w:t>
      </w:r>
    </w:p>
    <w:p>
      <w:pPr>
        <w:snapToGrid w:val="0"/>
        <w:spacing w:line="440" w:lineRule="exact"/>
        <w:ind w:firstLine="480"/>
        <w:rPr>
          <w:rFonts w:cs="Times New Roman"/>
          <w:szCs w:val="21"/>
        </w:rPr>
      </w:pPr>
      <w:r>
        <w:rPr>
          <w:rFonts w:hint="eastAsia" w:cs="Times New Roman"/>
          <w:szCs w:val="21"/>
        </w:rPr>
        <w:t>职    务：                          职    务：</w:t>
      </w:r>
    </w:p>
    <w:p>
      <w:pPr>
        <w:ind w:firstLine="480"/>
        <w:rPr>
          <w:rFonts w:ascii="Calibri" w:hAnsi="Calibri"/>
        </w:rPr>
      </w:pPr>
    </w:p>
    <w:p>
      <w:pPr>
        <w:snapToGrid w:val="0"/>
        <w:ind w:firstLine="480"/>
        <w:rPr>
          <w:color w:val="000000"/>
          <w:szCs w:val="21"/>
        </w:rPr>
      </w:pPr>
    </w:p>
    <w:p>
      <w:pPr>
        <w:ind w:firstLine="480"/>
      </w:pPr>
    </w:p>
    <w:p>
      <w:pPr>
        <w:ind w:firstLine="0" w:firstLineChars="0"/>
        <w:jc w:val="left"/>
        <w:rPr>
          <w:rFonts w:cs="Times New Roman"/>
        </w:rPr>
      </w:pPr>
    </w:p>
    <w:sectPr>
      <w:headerReference r:id="rId14" w:type="default"/>
      <w:footerReference r:id="rId1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80" w:firstLine="0" w:firstLineChars="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80" w:firstLine="0" w:firstLineChars="0"/>
      <w:rPr>
        <w:rFonts w:cs="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rPr>
        <w:rFonts w:ascii="Calibri" w:hAnsi="Calibri"/>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shd w:val="clear" w:color="auto" w:fill="FFFFFF"/>
      <w:tabs>
        <w:tab w:val="center" w:pos="4153"/>
        <w:tab w:val="right" w:pos="8306"/>
      </w:tabs>
      <w:snapToGrid w:val="0"/>
      <w:ind w:firstLine="360"/>
      <w:jc w:val="left"/>
      <w:rPr>
        <w:rFonts w:ascii="Calibri" w:hAnsi="Calibri"/>
        <w:sz w:val="18"/>
        <w:szCs w:val="18"/>
      </w:rPr>
    </w:pPr>
  </w:p>
  <w:p>
    <w:pPr>
      <w:ind w:firstLine="480"/>
      <w:jc w:val="center"/>
      <w:rPr>
        <w:rFonts w:ascii="Calibri" w:hAnsi="Calibri"/>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80" w:firstLine="0" w:firstLineChars="0"/>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80" w:firstLine="0" w:firstLineChars="0"/>
      <w:rPr>
        <w:rFonts w:cs="Times New Roma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180" w:firstLineChars="100"/>
      <w:jc w:val="left"/>
    </w:pPr>
    <w:r>
      <w:rPr>
        <w:rFonts w:hint="eastAsia"/>
      </w:rPr>
      <w:t>杭州市滨江区春波小区整体装配式既有住宅加装电梯工程（二期）</w:t>
    </w:r>
    <w:r>
      <w:t xml:space="preserve">                      </w:t>
    </w:r>
    <w:r>
      <w:rPr>
        <w:rFonts w:hint="eastAsia"/>
        <w:lang w:val="en-US" w:eastAsia="zh-CN"/>
      </w:rPr>
      <w:t xml:space="preserve">         </w:t>
    </w:r>
    <w:r>
      <w:rPr>
        <w:rFonts w:hint="eastAsia"/>
      </w:rPr>
      <w:t xml:space="preserve"> </w:t>
    </w:r>
    <w:r>
      <w:rPr>
        <w:rFonts w:hint="eastAsia" w:cs="宋体"/>
      </w:rPr>
      <w:t>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0" w:firstLineChars="0"/>
      <w:jc w:val="left"/>
    </w:pPr>
    <w:r>
      <w:rPr>
        <w:rFonts w:hint="eastAsia"/>
      </w:rPr>
      <w:t>杭州市滨江区缤纷小区装配式既有住宅加装电梯工程（二期）</w:t>
    </w:r>
    <w:r>
      <w:t xml:space="preserve">                  </w:t>
    </w:r>
    <w:r>
      <w:rPr>
        <w:rFonts w:hint="eastAsia"/>
      </w:rPr>
      <w:t xml:space="preserve">        </w:t>
    </w:r>
    <w:r>
      <w:rPr>
        <w:rFonts w:hint="eastAsia" w:cs="宋体"/>
      </w:rPr>
      <w:t>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9A1AB2"/>
    <w:multiLevelType w:val="singleLevel"/>
    <w:tmpl w:val="B79A1AB2"/>
    <w:lvl w:ilvl="0" w:tentative="0">
      <w:start w:val="1"/>
      <w:numFmt w:val="decimal"/>
      <w:suff w:val="nothing"/>
      <w:lvlText w:val="%1）"/>
      <w:lvlJc w:val="left"/>
    </w:lvl>
  </w:abstractNum>
  <w:abstractNum w:abstractNumId="1">
    <w:nsid w:val="CA80F94C"/>
    <w:multiLevelType w:val="singleLevel"/>
    <w:tmpl w:val="CA80F94C"/>
    <w:lvl w:ilvl="0" w:tentative="0">
      <w:start w:val="1"/>
      <w:numFmt w:val="decimal"/>
      <w:suff w:val="nothing"/>
      <w:lvlText w:val="%1）"/>
      <w:lvlJc w:val="left"/>
    </w:lvl>
  </w:abstractNum>
  <w:abstractNum w:abstractNumId="2">
    <w:nsid w:val="FFFFFF7E"/>
    <w:multiLevelType w:val="singleLevel"/>
    <w:tmpl w:val="FFFFFF7E"/>
    <w:lvl w:ilvl="0" w:tentative="0">
      <w:start w:val="1"/>
      <w:numFmt w:val="decimal"/>
      <w:pStyle w:val="92"/>
      <w:lvlText w:val="%1."/>
      <w:lvlJc w:val="left"/>
      <w:pPr>
        <w:tabs>
          <w:tab w:val="left" w:pos="1200"/>
        </w:tabs>
        <w:ind w:left="1200" w:hanging="360"/>
      </w:pPr>
    </w:lvl>
  </w:abstractNum>
  <w:abstractNum w:abstractNumId="3">
    <w:nsid w:val="FFFFFF88"/>
    <w:multiLevelType w:val="singleLevel"/>
    <w:tmpl w:val="FFFFFF88"/>
    <w:lvl w:ilvl="0" w:tentative="0">
      <w:start w:val="1"/>
      <w:numFmt w:val="decimal"/>
      <w:pStyle w:val="15"/>
      <w:lvlText w:val="%1."/>
      <w:lvlJc w:val="left"/>
      <w:pPr>
        <w:tabs>
          <w:tab w:val="left" w:pos="360"/>
        </w:tabs>
        <w:ind w:left="360" w:hanging="360"/>
      </w:pPr>
    </w:lvl>
  </w:abstractNum>
  <w:abstractNum w:abstractNumId="4">
    <w:nsid w:val="00000001"/>
    <w:multiLevelType w:val="multilevel"/>
    <w:tmpl w:val="00000001"/>
    <w:lvl w:ilvl="0" w:tentative="0">
      <w:start w:val="1"/>
      <w:numFmt w:val="decimal"/>
      <w:lvlText w:val="%1、"/>
      <w:lvlJc w:val="left"/>
      <w:pPr>
        <w:tabs>
          <w:tab w:val="left" w:pos="360"/>
        </w:tabs>
        <w:ind w:left="360" w:hanging="360"/>
      </w:pPr>
      <w:rPr>
        <w:rFonts w:hint="eastAsia"/>
      </w:rPr>
    </w:lvl>
    <w:lvl w:ilvl="1" w:tentative="0">
      <w:start w:val="7"/>
      <w:numFmt w:val="japaneseCounting"/>
      <w:lvlText w:val="第%2章"/>
      <w:lvlJc w:val="left"/>
      <w:pPr>
        <w:tabs>
          <w:tab w:val="left" w:pos="2100"/>
        </w:tabs>
        <w:ind w:left="2100" w:hanging="1680"/>
      </w:pPr>
      <w:rPr>
        <w:rFonts w:hint="eastAsia"/>
      </w:rPr>
    </w:lvl>
    <w:lvl w:ilvl="2" w:tentative="0">
      <w:start w:val="1"/>
      <w:numFmt w:val="decimal"/>
      <w:lvlText w:val="%3）"/>
      <w:lvlJc w:val="left"/>
      <w:pPr>
        <w:tabs>
          <w:tab w:val="left" w:pos="1755"/>
        </w:tabs>
        <w:ind w:left="1755" w:hanging="915"/>
      </w:pPr>
      <w:rPr>
        <w:rFonts w:hint="eastAsia"/>
      </w:rPr>
    </w:lvl>
    <w:lvl w:ilvl="3" w:tentative="0">
      <w:start w:val="9"/>
      <w:numFmt w:val="decimal"/>
      <w:lvlText w:val="%4"/>
      <w:lvlJc w:val="left"/>
      <w:pPr>
        <w:tabs>
          <w:tab w:val="left" w:pos="1620"/>
        </w:tabs>
        <w:ind w:left="1620" w:hanging="360"/>
      </w:pPr>
      <w:rPr>
        <w:rFonts w:hint="eastAsia"/>
      </w:rPr>
    </w:lvl>
    <w:lvl w:ilvl="4" w:tentative="0">
      <w:start w:val="6"/>
      <w:numFmt w:val="decimal"/>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3"/>
    <w:multiLevelType w:val="singleLevel"/>
    <w:tmpl w:val="00000003"/>
    <w:lvl w:ilvl="0" w:tentative="0">
      <w:start w:val="1"/>
      <w:numFmt w:val="chineseCounting"/>
      <w:suff w:val="nothing"/>
      <w:lvlText w:val="%1、"/>
      <w:lvlJc w:val="left"/>
      <w:pPr>
        <w:ind w:left="540" w:firstLine="420"/>
      </w:pPr>
      <w:rPr>
        <w:rFonts w:hint="eastAsia" w:eastAsia="黑体"/>
        <w:b/>
        <w:bCs/>
        <w:sz w:val="30"/>
        <w:szCs w:val="30"/>
      </w:rPr>
    </w:lvl>
  </w:abstractNum>
  <w:abstractNum w:abstractNumId="6">
    <w:nsid w:val="00000004"/>
    <w:multiLevelType w:val="singleLevel"/>
    <w:tmpl w:val="00000004"/>
    <w:lvl w:ilvl="0" w:tentative="0">
      <w:start w:val="1"/>
      <w:numFmt w:val="chineseCounting"/>
      <w:suff w:val="nothing"/>
      <w:lvlText w:val="%1、"/>
      <w:lvlJc w:val="left"/>
      <w:pPr>
        <w:ind w:firstLine="420"/>
      </w:pPr>
      <w:rPr>
        <w:rFonts w:hint="eastAsia" w:eastAsia="黑体"/>
        <w:b/>
        <w:bCs/>
        <w:sz w:val="30"/>
        <w:szCs w:val="30"/>
      </w:rPr>
    </w:lvl>
  </w:abstractNum>
  <w:abstractNum w:abstractNumId="7">
    <w:nsid w:val="00000006"/>
    <w:multiLevelType w:val="singleLevel"/>
    <w:tmpl w:val="00000006"/>
    <w:lvl w:ilvl="0" w:tentative="0">
      <w:start w:val="1"/>
      <w:numFmt w:val="chineseCounting"/>
      <w:suff w:val="nothing"/>
      <w:lvlText w:val="%1、"/>
      <w:lvlJc w:val="left"/>
    </w:lvl>
  </w:abstractNum>
  <w:abstractNum w:abstractNumId="8">
    <w:nsid w:val="00000007"/>
    <w:multiLevelType w:val="singleLevel"/>
    <w:tmpl w:val="00000007"/>
    <w:lvl w:ilvl="0" w:tentative="0">
      <w:start w:val="1"/>
      <w:numFmt w:val="chineseCounting"/>
      <w:suff w:val="nothing"/>
      <w:lvlText w:val="%1、"/>
      <w:lvlJc w:val="left"/>
      <w:pPr>
        <w:ind w:firstLine="420"/>
      </w:pPr>
      <w:rPr>
        <w:rFonts w:hint="eastAsia" w:eastAsia="黑体"/>
        <w:b/>
        <w:bCs/>
        <w:sz w:val="30"/>
        <w:szCs w:val="30"/>
      </w:rPr>
    </w:lvl>
  </w:abstractNum>
  <w:abstractNum w:abstractNumId="9">
    <w:nsid w:val="00000009"/>
    <w:multiLevelType w:val="multilevel"/>
    <w:tmpl w:val="00000009"/>
    <w:lvl w:ilvl="0" w:tentative="0">
      <w:start w:val="1"/>
      <w:numFmt w:val="chineseCounting"/>
      <w:suff w:val="nothing"/>
      <w:lvlText w:val="第%1章"/>
      <w:lvlJc w:val="left"/>
      <w:pPr>
        <w:ind w:left="2298" w:firstLine="402"/>
      </w:pPr>
      <w:rPr>
        <w:rFonts w:hint="eastAsia" w:eastAsia="黑体"/>
        <w:b/>
        <w:bCs/>
        <w:sz w:val="32"/>
        <w:szCs w:val="32"/>
      </w:rPr>
    </w:lvl>
    <w:lvl w:ilvl="1" w:tentative="0">
      <w:start w:val="1"/>
      <w:numFmt w:val="chineseCounting"/>
      <w:suff w:val="nothing"/>
      <w:lvlText w:val="%2、"/>
      <w:lvlJc w:val="left"/>
      <w:pPr>
        <w:ind w:firstLine="402"/>
      </w:pPr>
      <w:rPr>
        <w:rFonts w:hint="eastAsia"/>
      </w:rPr>
    </w:lvl>
    <w:lvl w:ilvl="2" w:tentative="0">
      <w:start w:val="1"/>
      <w:numFmt w:val="decimal"/>
      <w:suff w:val="nothing"/>
      <w:lvlText w:val="%3．"/>
      <w:lvlJc w:val="left"/>
      <w:pPr>
        <w:ind w:firstLine="402"/>
      </w:pPr>
      <w:rPr>
        <w:rFonts w:hint="eastAsia"/>
      </w:rPr>
    </w:lvl>
    <w:lvl w:ilvl="3" w:tentative="0">
      <w:start w:val="1"/>
      <w:numFmt w:val="decimal"/>
      <w:suff w:val="nothing"/>
      <w:lvlText w:val="（%4）"/>
      <w:lvlJc w:val="left"/>
      <w:pPr>
        <w:ind w:firstLine="402"/>
      </w:pPr>
      <w:rPr>
        <w:rFonts w:hint="eastAsia"/>
      </w:rPr>
    </w:lvl>
    <w:lvl w:ilvl="4" w:tentative="0">
      <w:start w:val="1"/>
      <w:numFmt w:val="decimalEnclosedCircleChinese"/>
      <w:suff w:val="nothing"/>
      <w:lvlText w:val="%5 "/>
      <w:lvlJc w:val="left"/>
      <w:pPr>
        <w:ind w:firstLine="402"/>
      </w:pPr>
      <w:rPr>
        <w:rFonts w:hint="eastAsia"/>
      </w:rPr>
    </w:lvl>
    <w:lvl w:ilvl="5" w:tentative="0">
      <w:start w:val="1"/>
      <w:numFmt w:val="decimal"/>
      <w:suff w:val="nothing"/>
      <w:lvlText w:val="%6）"/>
      <w:lvlJc w:val="left"/>
      <w:pPr>
        <w:ind w:firstLine="402"/>
      </w:pPr>
      <w:rPr>
        <w:rFonts w:hint="eastAsia"/>
      </w:rPr>
    </w:lvl>
    <w:lvl w:ilvl="6" w:tentative="0">
      <w:start w:val="1"/>
      <w:numFmt w:val="lowerLetter"/>
      <w:suff w:val="nothing"/>
      <w:lvlText w:val="%7．"/>
      <w:lvlJc w:val="left"/>
      <w:pPr>
        <w:ind w:firstLine="402"/>
      </w:pPr>
      <w:rPr>
        <w:rFonts w:hint="eastAsia"/>
      </w:rPr>
    </w:lvl>
    <w:lvl w:ilvl="7" w:tentative="0">
      <w:start w:val="1"/>
      <w:numFmt w:val="lowerLetter"/>
      <w:suff w:val="nothing"/>
      <w:lvlText w:val="%8）"/>
      <w:lvlJc w:val="left"/>
      <w:pPr>
        <w:ind w:firstLine="402"/>
      </w:pPr>
      <w:rPr>
        <w:rFonts w:hint="eastAsia"/>
      </w:rPr>
    </w:lvl>
    <w:lvl w:ilvl="8" w:tentative="0">
      <w:start w:val="1"/>
      <w:numFmt w:val="lowerRoman"/>
      <w:suff w:val="nothing"/>
      <w:lvlText w:val="%9. "/>
      <w:lvlJc w:val="left"/>
      <w:pPr>
        <w:ind w:firstLine="402"/>
      </w:pPr>
      <w:rPr>
        <w:rFonts w:hint="eastAsia"/>
      </w:rPr>
    </w:lvl>
  </w:abstractNum>
  <w:abstractNum w:abstractNumId="10">
    <w:nsid w:val="0000000A"/>
    <w:multiLevelType w:val="multilevel"/>
    <w:tmpl w:val="0000000A"/>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0C"/>
    <w:multiLevelType w:val="multilevel"/>
    <w:tmpl w:val="0000000C"/>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0D"/>
    <w:multiLevelType w:val="multilevel"/>
    <w:tmpl w:val="0000000D"/>
    <w:lvl w:ilvl="0" w:tentative="0">
      <w:start w:val="1"/>
      <w:numFmt w:val="decimal"/>
      <w:lvlText w:val="%1、"/>
      <w:lvlJc w:val="left"/>
      <w:pPr>
        <w:tabs>
          <w:tab w:val="left" w:pos="360"/>
        </w:tabs>
        <w:ind w:left="360" w:hanging="360"/>
      </w:pPr>
      <w:rPr>
        <w:rFonts w:hint="default"/>
      </w:r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0000017"/>
    <w:multiLevelType w:val="multilevel"/>
    <w:tmpl w:val="00000017"/>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1F"/>
    <w:multiLevelType w:val="multilevel"/>
    <w:tmpl w:val="0000001F"/>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0000021"/>
    <w:multiLevelType w:val="multilevel"/>
    <w:tmpl w:val="00000021"/>
    <w:lvl w:ilvl="0" w:tentative="0">
      <w:start w:val="1"/>
      <w:numFmt w:val="japaneseCounting"/>
      <w:lvlText w:val="%1、"/>
      <w:lvlJc w:val="left"/>
      <w:pPr>
        <w:tabs>
          <w:tab w:val="left" w:pos="420"/>
        </w:tabs>
        <w:ind w:left="420" w:hanging="420"/>
      </w:pPr>
      <w:rPr>
        <w:rFonts w:hint="default"/>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034DE357"/>
    <w:multiLevelType w:val="singleLevel"/>
    <w:tmpl w:val="034DE357"/>
    <w:lvl w:ilvl="0" w:tentative="0">
      <w:start w:val="2"/>
      <w:numFmt w:val="decimal"/>
      <w:suff w:val="nothing"/>
      <w:lvlText w:val="%1、"/>
      <w:lvlJc w:val="left"/>
    </w:lvl>
  </w:abstractNum>
  <w:abstractNum w:abstractNumId="17">
    <w:nsid w:val="111E5CBF"/>
    <w:multiLevelType w:val="multilevel"/>
    <w:tmpl w:val="111E5CBF"/>
    <w:lvl w:ilvl="0" w:tentative="0">
      <w:start w:val="1"/>
      <w:numFmt w:val="decimalEnclosedCircle"/>
      <w:lvlText w:val="%1"/>
      <w:lvlJc w:val="left"/>
      <w:pPr>
        <w:ind w:left="780" w:hanging="360"/>
      </w:pPr>
      <w:rPr>
        <w:rFonts w:hint="default"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18">
    <w:nsid w:val="13E434AC"/>
    <w:multiLevelType w:val="multilevel"/>
    <w:tmpl w:val="13E434AC"/>
    <w:lvl w:ilvl="0" w:tentative="0">
      <w:start w:val="1"/>
      <w:numFmt w:val="decimalEnclosedCircle"/>
      <w:lvlText w:val="%1"/>
      <w:lvlJc w:val="left"/>
      <w:pPr>
        <w:ind w:left="840" w:hanging="420"/>
      </w:pPr>
      <w:rPr>
        <w:rFonts w:hint="default"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19">
    <w:nsid w:val="4B577F38"/>
    <w:multiLevelType w:val="multilevel"/>
    <w:tmpl w:val="4B577F38"/>
    <w:lvl w:ilvl="0" w:tentative="0">
      <w:start w:val="1"/>
      <w:numFmt w:val="decimalEnclosedCircle"/>
      <w:lvlText w:val="%1"/>
      <w:lvlJc w:val="left"/>
      <w:pPr>
        <w:ind w:left="420" w:hanging="4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0">
    <w:nsid w:val="583B8B81"/>
    <w:multiLevelType w:val="singleLevel"/>
    <w:tmpl w:val="583B8B81"/>
    <w:lvl w:ilvl="0" w:tentative="0">
      <w:start w:val="1"/>
      <w:numFmt w:val="decimal"/>
      <w:suff w:val="nothing"/>
      <w:lvlText w:val="%1、"/>
      <w:lvlJc w:val="left"/>
    </w:lvl>
  </w:abstractNum>
  <w:abstractNum w:abstractNumId="21">
    <w:nsid w:val="72F45166"/>
    <w:multiLevelType w:val="multilevel"/>
    <w:tmpl w:val="72F45166"/>
    <w:lvl w:ilvl="0" w:tentative="0">
      <w:start w:val="1"/>
      <w:numFmt w:val="decimalEnclosedCircle"/>
      <w:lvlText w:val="%1"/>
      <w:lvlJc w:val="left"/>
      <w:pPr>
        <w:ind w:left="840" w:hanging="420"/>
      </w:pPr>
      <w:rPr>
        <w:rFonts w:hint="default"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num w:numId="1">
    <w:abstractNumId w:val="3"/>
  </w:num>
  <w:num w:numId="2">
    <w:abstractNumId w:val="2"/>
  </w:num>
  <w:num w:numId="3">
    <w:abstractNumId w:val="9"/>
  </w:num>
  <w:num w:numId="4">
    <w:abstractNumId w:val="16"/>
  </w:num>
  <w:num w:numId="5">
    <w:abstractNumId w:val="7"/>
  </w:num>
  <w:num w:numId="6">
    <w:abstractNumId w:val="17"/>
  </w:num>
  <w:num w:numId="7">
    <w:abstractNumId w:val="21"/>
  </w:num>
  <w:num w:numId="8">
    <w:abstractNumId w:val="18"/>
  </w:num>
  <w:num w:numId="9">
    <w:abstractNumId w:val="19"/>
  </w:num>
  <w:num w:numId="10">
    <w:abstractNumId w:val="5"/>
  </w:num>
  <w:num w:numId="11">
    <w:abstractNumId w:val="6"/>
  </w:num>
  <w:num w:numId="12">
    <w:abstractNumId w:val="8"/>
  </w:num>
  <w:num w:numId="13">
    <w:abstractNumId w:val="0"/>
  </w:num>
  <w:num w:numId="14">
    <w:abstractNumId w:val="1"/>
  </w:num>
  <w:num w:numId="15">
    <w:abstractNumId w:val="4"/>
  </w:num>
  <w:num w:numId="16">
    <w:abstractNumId w:val="12"/>
  </w:num>
  <w:num w:numId="17">
    <w:abstractNumId w:val="11"/>
  </w:num>
  <w:num w:numId="18">
    <w:abstractNumId w:val="13"/>
  </w:num>
  <w:num w:numId="19">
    <w:abstractNumId w:val="15"/>
  </w:num>
  <w:num w:numId="20">
    <w:abstractNumId w:val="14"/>
  </w:num>
  <w:num w:numId="21">
    <w:abstractNumId w:val="10"/>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dit="readOnly" w:enforcement="1" w:cryptProviderType="rsaFull" w:cryptAlgorithmClass="hash" w:cryptAlgorithmType="typeAny" w:cryptAlgorithmSid="4" w:cryptSpinCount="0" w:hash="/kK4PHU1+SI/yYfw76YysEMBH5A=" w:salt="nyAGBIQ5+EHssWUxYTnaAQ=="/>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388"/>
    <w:rsid w:val="000102FD"/>
    <w:rsid w:val="00022B10"/>
    <w:rsid w:val="0002676C"/>
    <w:rsid w:val="00031CA1"/>
    <w:rsid w:val="000430B5"/>
    <w:rsid w:val="00091012"/>
    <w:rsid w:val="000951AB"/>
    <w:rsid w:val="000B2848"/>
    <w:rsid w:val="000C35DD"/>
    <w:rsid w:val="000C7873"/>
    <w:rsid w:val="001068BE"/>
    <w:rsid w:val="001203EA"/>
    <w:rsid w:val="0012635F"/>
    <w:rsid w:val="001371D1"/>
    <w:rsid w:val="001507D6"/>
    <w:rsid w:val="001715D5"/>
    <w:rsid w:val="001718E8"/>
    <w:rsid w:val="00172A27"/>
    <w:rsid w:val="001A1C67"/>
    <w:rsid w:val="001D376D"/>
    <w:rsid w:val="001D5847"/>
    <w:rsid w:val="001E2CCC"/>
    <w:rsid w:val="001F0A89"/>
    <w:rsid w:val="001F4ADA"/>
    <w:rsid w:val="001F797F"/>
    <w:rsid w:val="00210B3B"/>
    <w:rsid w:val="002138A7"/>
    <w:rsid w:val="0022140D"/>
    <w:rsid w:val="002361C0"/>
    <w:rsid w:val="00243E82"/>
    <w:rsid w:val="0028557D"/>
    <w:rsid w:val="0029265E"/>
    <w:rsid w:val="00296E40"/>
    <w:rsid w:val="002A35EA"/>
    <w:rsid w:val="002A7C6D"/>
    <w:rsid w:val="002C50FB"/>
    <w:rsid w:val="002C7AD8"/>
    <w:rsid w:val="002F3908"/>
    <w:rsid w:val="0032171E"/>
    <w:rsid w:val="003277A2"/>
    <w:rsid w:val="00330E7E"/>
    <w:rsid w:val="00340455"/>
    <w:rsid w:val="003411A7"/>
    <w:rsid w:val="0034237D"/>
    <w:rsid w:val="00346B5C"/>
    <w:rsid w:val="0035191A"/>
    <w:rsid w:val="00393936"/>
    <w:rsid w:val="003B116A"/>
    <w:rsid w:val="003C21A9"/>
    <w:rsid w:val="003C461E"/>
    <w:rsid w:val="003C6AC4"/>
    <w:rsid w:val="003D5EEA"/>
    <w:rsid w:val="003E37B7"/>
    <w:rsid w:val="003F0231"/>
    <w:rsid w:val="003F18E3"/>
    <w:rsid w:val="00403E5E"/>
    <w:rsid w:val="004237A0"/>
    <w:rsid w:val="00437A9C"/>
    <w:rsid w:val="00461364"/>
    <w:rsid w:val="004726EE"/>
    <w:rsid w:val="004800AD"/>
    <w:rsid w:val="00493754"/>
    <w:rsid w:val="00493D52"/>
    <w:rsid w:val="004A6CD3"/>
    <w:rsid w:val="004B0F61"/>
    <w:rsid w:val="004B24A8"/>
    <w:rsid w:val="004B397B"/>
    <w:rsid w:val="004C6C38"/>
    <w:rsid w:val="004D3519"/>
    <w:rsid w:val="004D5E89"/>
    <w:rsid w:val="004F0B0E"/>
    <w:rsid w:val="004F1430"/>
    <w:rsid w:val="004F4B82"/>
    <w:rsid w:val="004F5CD1"/>
    <w:rsid w:val="005142CA"/>
    <w:rsid w:val="005149B6"/>
    <w:rsid w:val="0053228D"/>
    <w:rsid w:val="00534199"/>
    <w:rsid w:val="005347C7"/>
    <w:rsid w:val="00534E25"/>
    <w:rsid w:val="0053536A"/>
    <w:rsid w:val="00546AF0"/>
    <w:rsid w:val="00570869"/>
    <w:rsid w:val="0058395C"/>
    <w:rsid w:val="005A20B9"/>
    <w:rsid w:val="005B1605"/>
    <w:rsid w:val="005C7A37"/>
    <w:rsid w:val="005C7B25"/>
    <w:rsid w:val="005D1004"/>
    <w:rsid w:val="005E50BB"/>
    <w:rsid w:val="00622CD5"/>
    <w:rsid w:val="00642B1F"/>
    <w:rsid w:val="006437E6"/>
    <w:rsid w:val="00650469"/>
    <w:rsid w:val="00660F7E"/>
    <w:rsid w:val="00675A65"/>
    <w:rsid w:val="00684E3A"/>
    <w:rsid w:val="00692168"/>
    <w:rsid w:val="006A1FDE"/>
    <w:rsid w:val="006A3C4E"/>
    <w:rsid w:val="006D2035"/>
    <w:rsid w:val="006D5139"/>
    <w:rsid w:val="00714270"/>
    <w:rsid w:val="007165D7"/>
    <w:rsid w:val="00732FF8"/>
    <w:rsid w:val="00734A1B"/>
    <w:rsid w:val="007454C8"/>
    <w:rsid w:val="00765A21"/>
    <w:rsid w:val="007726DE"/>
    <w:rsid w:val="00776F89"/>
    <w:rsid w:val="0078686E"/>
    <w:rsid w:val="007B38D1"/>
    <w:rsid w:val="007E632F"/>
    <w:rsid w:val="007F0751"/>
    <w:rsid w:val="007F4389"/>
    <w:rsid w:val="00812B75"/>
    <w:rsid w:val="00852E14"/>
    <w:rsid w:val="00873296"/>
    <w:rsid w:val="008807A9"/>
    <w:rsid w:val="00882709"/>
    <w:rsid w:val="00896F6E"/>
    <w:rsid w:val="008A4672"/>
    <w:rsid w:val="008C4F14"/>
    <w:rsid w:val="008C6BD5"/>
    <w:rsid w:val="008E106B"/>
    <w:rsid w:val="008E74C9"/>
    <w:rsid w:val="00904BE1"/>
    <w:rsid w:val="00906251"/>
    <w:rsid w:val="00910F0F"/>
    <w:rsid w:val="009221D6"/>
    <w:rsid w:val="00932206"/>
    <w:rsid w:val="009536CA"/>
    <w:rsid w:val="00967696"/>
    <w:rsid w:val="00983DF0"/>
    <w:rsid w:val="00992A98"/>
    <w:rsid w:val="009B3654"/>
    <w:rsid w:val="009B6B06"/>
    <w:rsid w:val="009C22B1"/>
    <w:rsid w:val="009D189B"/>
    <w:rsid w:val="009D1A8E"/>
    <w:rsid w:val="009E6AD7"/>
    <w:rsid w:val="00A10D69"/>
    <w:rsid w:val="00A113EC"/>
    <w:rsid w:val="00A34005"/>
    <w:rsid w:val="00A44E89"/>
    <w:rsid w:val="00A66D34"/>
    <w:rsid w:val="00AA6ED9"/>
    <w:rsid w:val="00AB1C61"/>
    <w:rsid w:val="00AB5EF4"/>
    <w:rsid w:val="00AB741B"/>
    <w:rsid w:val="00AD29BD"/>
    <w:rsid w:val="00AF548E"/>
    <w:rsid w:val="00AF5516"/>
    <w:rsid w:val="00AF73D3"/>
    <w:rsid w:val="00B574B4"/>
    <w:rsid w:val="00B60C60"/>
    <w:rsid w:val="00B6156C"/>
    <w:rsid w:val="00B62424"/>
    <w:rsid w:val="00B6530D"/>
    <w:rsid w:val="00B85FB3"/>
    <w:rsid w:val="00B978AD"/>
    <w:rsid w:val="00BA2AF9"/>
    <w:rsid w:val="00BC0AB5"/>
    <w:rsid w:val="00BC631E"/>
    <w:rsid w:val="00BD2CDC"/>
    <w:rsid w:val="00BD76E1"/>
    <w:rsid w:val="00BE7F96"/>
    <w:rsid w:val="00BE7FC0"/>
    <w:rsid w:val="00BF77E0"/>
    <w:rsid w:val="00C110EA"/>
    <w:rsid w:val="00C173CC"/>
    <w:rsid w:val="00C2046D"/>
    <w:rsid w:val="00C26469"/>
    <w:rsid w:val="00C36FC2"/>
    <w:rsid w:val="00C56288"/>
    <w:rsid w:val="00C73FC9"/>
    <w:rsid w:val="00C81366"/>
    <w:rsid w:val="00CA4982"/>
    <w:rsid w:val="00CB6369"/>
    <w:rsid w:val="00CC3AF4"/>
    <w:rsid w:val="00CF1D5B"/>
    <w:rsid w:val="00D00151"/>
    <w:rsid w:val="00D00329"/>
    <w:rsid w:val="00D154B7"/>
    <w:rsid w:val="00D27442"/>
    <w:rsid w:val="00D34D14"/>
    <w:rsid w:val="00D42D82"/>
    <w:rsid w:val="00D55AEA"/>
    <w:rsid w:val="00D72B20"/>
    <w:rsid w:val="00D83EE3"/>
    <w:rsid w:val="00D8547B"/>
    <w:rsid w:val="00D94887"/>
    <w:rsid w:val="00DA454A"/>
    <w:rsid w:val="00DB0F0C"/>
    <w:rsid w:val="00DB6CC1"/>
    <w:rsid w:val="00DC2099"/>
    <w:rsid w:val="00DD3995"/>
    <w:rsid w:val="00DE1742"/>
    <w:rsid w:val="00DE72AB"/>
    <w:rsid w:val="00E00BF6"/>
    <w:rsid w:val="00E010C4"/>
    <w:rsid w:val="00E17FDA"/>
    <w:rsid w:val="00E31A91"/>
    <w:rsid w:val="00E32EA7"/>
    <w:rsid w:val="00E37589"/>
    <w:rsid w:val="00E41813"/>
    <w:rsid w:val="00E61B0A"/>
    <w:rsid w:val="00E66E0A"/>
    <w:rsid w:val="00E72A62"/>
    <w:rsid w:val="00E841A5"/>
    <w:rsid w:val="00E93A41"/>
    <w:rsid w:val="00EA41A3"/>
    <w:rsid w:val="00EC028F"/>
    <w:rsid w:val="00ED33FE"/>
    <w:rsid w:val="00EE3331"/>
    <w:rsid w:val="00F0499F"/>
    <w:rsid w:val="00F109FA"/>
    <w:rsid w:val="00F10FAF"/>
    <w:rsid w:val="00F153B8"/>
    <w:rsid w:val="00F22D93"/>
    <w:rsid w:val="00F25799"/>
    <w:rsid w:val="00F26534"/>
    <w:rsid w:val="00F417A0"/>
    <w:rsid w:val="00F620BD"/>
    <w:rsid w:val="00F70A63"/>
    <w:rsid w:val="00F744B8"/>
    <w:rsid w:val="00F80AE9"/>
    <w:rsid w:val="00F84BAB"/>
    <w:rsid w:val="00F87764"/>
    <w:rsid w:val="00FA27BB"/>
    <w:rsid w:val="00FA3A82"/>
    <w:rsid w:val="00FA617E"/>
    <w:rsid w:val="00FA7FED"/>
    <w:rsid w:val="00FB6FD5"/>
    <w:rsid w:val="00FC7F39"/>
    <w:rsid w:val="00FD0CD0"/>
    <w:rsid w:val="00FE685D"/>
    <w:rsid w:val="04BB4AF2"/>
    <w:rsid w:val="053C39D4"/>
    <w:rsid w:val="057A1F04"/>
    <w:rsid w:val="05B145EE"/>
    <w:rsid w:val="07B14F9A"/>
    <w:rsid w:val="07FE7992"/>
    <w:rsid w:val="09BC3480"/>
    <w:rsid w:val="0A160892"/>
    <w:rsid w:val="0C5700BC"/>
    <w:rsid w:val="0C8054BA"/>
    <w:rsid w:val="0D6735E0"/>
    <w:rsid w:val="0EDF2841"/>
    <w:rsid w:val="0F160BEF"/>
    <w:rsid w:val="0F20361B"/>
    <w:rsid w:val="0F901EF2"/>
    <w:rsid w:val="0F951C69"/>
    <w:rsid w:val="10463D59"/>
    <w:rsid w:val="107A6E74"/>
    <w:rsid w:val="11180A61"/>
    <w:rsid w:val="11396985"/>
    <w:rsid w:val="11C65A46"/>
    <w:rsid w:val="12ED7B5D"/>
    <w:rsid w:val="130871CB"/>
    <w:rsid w:val="13644DAE"/>
    <w:rsid w:val="14C116DF"/>
    <w:rsid w:val="15807B54"/>
    <w:rsid w:val="15FB25B4"/>
    <w:rsid w:val="16441C3F"/>
    <w:rsid w:val="169D3228"/>
    <w:rsid w:val="169D3440"/>
    <w:rsid w:val="17BE4905"/>
    <w:rsid w:val="18547860"/>
    <w:rsid w:val="19885F3F"/>
    <w:rsid w:val="1A4E6EFD"/>
    <w:rsid w:val="1A542A3F"/>
    <w:rsid w:val="1B230472"/>
    <w:rsid w:val="1B6900C5"/>
    <w:rsid w:val="1B87505A"/>
    <w:rsid w:val="1C732C46"/>
    <w:rsid w:val="1CAB59C5"/>
    <w:rsid w:val="1D4630EA"/>
    <w:rsid w:val="1DEC3746"/>
    <w:rsid w:val="1E9B553D"/>
    <w:rsid w:val="1FAF5224"/>
    <w:rsid w:val="200378A4"/>
    <w:rsid w:val="204F14AA"/>
    <w:rsid w:val="20BA2246"/>
    <w:rsid w:val="21350058"/>
    <w:rsid w:val="21E44506"/>
    <w:rsid w:val="23420446"/>
    <w:rsid w:val="242428FA"/>
    <w:rsid w:val="246F5934"/>
    <w:rsid w:val="251C5DBD"/>
    <w:rsid w:val="252569E9"/>
    <w:rsid w:val="2536089C"/>
    <w:rsid w:val="264A5C01"/>
    <w:rsid w:val="27A503ED"/>
    <w:rsid w:val="28C20F97"/>
    <w:rsid w:val="29A80704"/>
    <w:rsid w:val="29A913DF"/>
    <w:rsid w:val="29E342A5"/>
    <w:rsid w:val="2BAC02EC"/>
    <w:rsid w:val="2C0F66EA"/>
    <w:rsid w:val="2C5D193F"/>
    <w:rsid w:val="2CAE15F2"/>
    <w:rsid w:val="2D583F7A"/>
    <w:rsid w:val="2D8B191D"/>
    <w:rsid w:val="2E0F2A37"/>
    <w:rsid w:val="2EF03136"/>
    <w:rsid w:val="2FEB12DE"/>
    <w:rsid w:val="304C1C9B"/>
    <w:rsid w:val="30FF62BD"/>
    <w:rsid w:val="31E04347"/>
    <w:rsid w:val="322A5FA7"/>
    <w:rsid w:val="324F6265"/>
    <w:rsid w:val="332C496A"/>
    <w:rsid w:val="34236201"/>
    <w:rsid w:val="34A818E0"/>
    <w:rsid w:val="3504541B"/>
    <w:rsid w:val="3569041B"/>
    <w:rsid w:val="35E838B8"/>
    <w:rsid w:val="372C2BEC"/>
    <w:rsid w:val="37E6113C"/>
    <w:rsid w:val="39AA29CB"/>
    <w:rsid w:val="3A0C0875"/>
    <w:rsid w:val="3A736F18"/>
    <w:rsid w:val="3B21336D"/>
    <w:rsid w:val="3B3369B4"/>
    <w:rsid w:val="3BFC55AA"/>
    <w:rsid w:val="3DEF4C33"/>
    <w:rsid w:val="3EBB47DB"/>
    <w:rsid w:val="3F3B6520"/>
    <w:rsid w:val="3F486AB4"/>
    <w:rsid w:val="3FBE0B8B"/>
    <w:rsid w:val="415A169D"/>
    <w:rsid w:val="41B7413B"/>
    <w:rsid w:val="42633687"/>
    <w:rsid w:val="42D21B66"/>
    <w:rsid w:val="43842840"/>
    <w:rsid w:val="43F84760"/>
    <w:rsid w:val="440B7091"/>
    <w:rsid w:val="44524D53"/>
    <w:rsid w:val="44D963B2"/>
    <w:rsid w:val="4554549F"/>
    <w:rsid w:val="45735F3C"/>
    <w:rsid w:val="46111A70"/>
    <w:rsid w:val="46782CDB"/>
    <w:rsid w:val="469E48A8"/>
    <w:rsid w:val="47186850"/>
    <w:rsid w:val="476A2000"/>
    <w:rsid w:val="47CD4B52"/>
    <w:rsid w:val="48CB4F11"/>
    <w:rsid w:val="491812F1"/>
    <w:rsid w:val="49CE5D9E"/>
    <w:rsid w:val="4D7301FE"/>
    <w:rsid w:val="4E501322"/>
    <w:rsid w:val="4F7467CB"/>
    <w:rsid w:val="4FFD7F4A"/>
    <w:rsid w:val="507F32EA"/>
    <w:rsid w:val="509E367D"/>
    <w:rsid w:val="50D72DB5"/>
    <w:rsid w:val="512A3C46"/>
    <w:rsid w:val="51926C40"/>
    <w:rsid w:val="53036BFA"/>
    <w:rsid w:val="53193E4B"/>
    <w:rsid w:val="53752BB4"/>
    <w:rsid w:val="53A20866"/>
    <w:rsid w:val="5422001E"/>
    <w:rsid w:val="54413E89"/>
    <w:rsid w:val="55396BDD"/>
    <w:rsid w:val="56C5040F"/>
    <w:rsid w:val="570B1F08"/>
    <w:rsid w:val="572254FF"/>
    <w:rsid w:val="578F510C"/>
    <w:rsid w:val="57B9467F"/>
    <w:rsid w:val="58446C7C"/>
    <w:rsid w:val="5888773E"/>
    <w:rsid w:val="59C16ECF"/>
    <w:rsid w:val="5B153146"/>
    <w:rsid w:val="5BA73DC9"/>
    <w:rsid w:val="5C282CA2"/>
    <w:rsid w:val="5C2F1C1C"/>
    <w:rsid w:val="5D0B379C"/>
    <w:rsid w:val="5D953EDA"/>
    <w:rsid w:val="5DF619E4"/>
    <w:rsid w:val="5E041F1D"/>
    <w:rsid w:val="5E2F247F"/>
    <w:rsid w:val="5FA07A0D"/>
    <w:rsid w:val="5FF9080D"/>
    <w:rsid w:val="603E7EBD"/>
    <w:rsid w:val="60EB207A"/>
    <w:rsid w:val="61901947"/>
    <w:rsid w:val="628403DE"/>
    <w:rsid w:val="62B47098"/>
    <w:rsid w:val="65917060"/>
    <w:rsid w:val="6641291B"/>
    <w:rsid w:val="66B028F8"/>
    <w:rsid w:val="67344480"/>
    <w:rsid w:val="676F6725"/>
    <w:rsid w:val="67790596"/>
    <w:rsid w:val="67B34BDC"/>
    <w:rsid w:val="67D501AB"/>
    <w:rsid w:val="69D0089A"/>
    <w:rsid w:val="6C433CD0"/>
    <w:rsid w:val="6C8A613D"/>
    <w:rsid w:val="6D995D09"/>
    <w:rsid w:val="6DB71F8F"/>
    <w:rsid w:val="6DFE6DA1"/>
    <w:rsid w:val="6EAF486B"/>
    <w:rsid w:val="6EE840B0"/>
    <w:rsid w:val="6F1A4A96"/>
    <w:rsid w:val="6F3F7C06"/>
    <w:rsid w:val="700C4D2C"/>
    <w:rsid w:val="70626198"/>
    <w:rsid w:val="70736ADC"/>
    <w:rsid w:val="718F6037"/>
    <w:rsid w:val="725A1EAB"/>
    <w:rsid w:val="72F4061F"/>
    <w:rsid w:val="731B6007"/>
    <w:rsid w:val="741B0C47"/>
    <w:rsid w:val="744251CF"/>
    <w:rsid w:val="74643EBE"/>
    <w:rsid w:val="757763A1"/>
    <w:rsid w:val="75EF042B"/>
    <w:rsid w:val="760773C3"/>
    <w:rsid w:val="772E0223"/>
    <w:rsid w:val="77CF3E18"/>
    <w:rsid w:val="78644894"/>
    <w:rsid w:val="79212DD1"/>
    <w:rsid w:val="796A2BFF"/>
    <w:rsid w:val="7ACE6C06"/>
    <w:rsid w:val="7B3C3BCF"/>
    <w:rsid w:val="7C3776CA"/>
    <w:rsid w:val="7CBA56AB"/>
    <w:rsid w:val="7CCB549A"/>
    <w:rsid w:val="7CF21BE7"/>
    <w:rsid w:val="7D4A6715"/>
    <w:rsid w:val="7D6A50F7"/>
    <w:rsid w:val="7EA06936"/>
    <w:rsid w:val="7EA867A8"/>
    <w:rsid w:val="7FBC262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qFormat="1" w:unhideWhenUsed="0" w:uiPriority="99" w:semiHidden="0" w:name="List 4"/>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qFormat="1" w:unhideWhenUsed="0" w:uiPriority="99" w:semiHidden="0" w:name="List Number 3"/>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20" w:firstLineChars="200"/>
      <w:jc w:val="both"/>
    </w:pPr>
    <w:rPr>
      <w:rFonts w:ascii="宋体" w:hAnsi="宋体" w:eastAsia="宋体" w:cs="宋体"/>
      <w:kern w:val="2"/>
      <w:sz w:val="24"/>
      <w:szCs w:val="24"/>
      <w:lang w:val="en-US" w:eastAsia="zh-CN" w:bidi="ar-SA"/>
    </w:rPr>
  </w:style>
  <w:style w:type="paragraph" w:styleId="2">
    <w:name w:val="heading 1"/>
    <w:basedOn w:val="1"/>
    <w:next w:val="1"/>
    <w:link w:val="41"/>
    <w:qFormat/>
    <w:uiPriority w:val="99"/>
    <w:pPr>
      <w:keepNext/>
      <w:keepLines/>
      <w:snapToGrid w:val="0"/>
      <w:spacing w:before="480" w:after="360" w:line="240" w:lineRule="auto"/>
      <w:ind w:firstLine="200"/>
      <w:jc w:val="center"/>
      <w:outlineLvl w:val="0"/>
    </w:pPr>
    <w:rPr>
      <w:rFonts w:ascii="Times New Roman" w:hAnsi="Times New Roman" w:eastAsia="黑体" w:cs="Times New Roman"/>
      <w:b/>
      <w:bCs/>
      <w:kern w:val="44"/>
      <w:sz w:val="32"/>
      <w:szCs w:val="32"/>
    </w:rPr>
  </w:style>
  <w:style w:type="paragraph" w:styleId="3">
    <w:name w:val="heading 2"/>
    <w:basedOn w:val="1"/>
    <w:next w:val="1"/>
    <w:link w:val="42"/>
    <w:qFormat/>
    <w:uiPriority w:val="99"/>
    <w:pPr>
      <w:keepNext/>
      <w:keepLines/>
      <w:snapToGrid w:val="0"/>
      <w:spacing w:before="600" w:after="360" w:line="240" w:lineRule="auto"/>
      <w:ind w:firstLine="0" w:firstLineChars="0"/>
      <w:jc w:val="center"/>
      <w:outlineLvl w:val="1"/>
    </w:pPr>
    <w:rPr>
      <w:rFonts w:ascii="Arial" w:hAnsi="Arial" w:eastAsia="黑体" w:cs="Arial"/>
      <w:b/>
      <w:bCs/>
      <w:sz w:val="30"/>
      <w:szCs w:val="30"/>
    </w:rPr>
  </w:style>
  <w:style w:type="paragraph" w:styleId="4">
    <w:name w:val="heading 3"/>
    <w:basedOn w:val="1"/>
    <w:next w:val="1"/>
    <w:link w:val="43"/>
    <w:qFormat/>
    <w:uiPriority w:val="99"/>
    <w:pPr>
      <w:keepNext/>
      <w:keepLines/>
      <w:spacing w:before="260" w:after="260"/>
      <w:ind w:firstLine="0" w:firstLineChars="0"/>
      <w:jc w:val="left"/>
      <w:outlineLvl w:val="2"/>
    </w:pPr>
    <w:rPr>
      <w:rFonts w:ascii="Times New Roman" w:hAnsi="Times New Roman" w:cs="Times New Roman"/>
      <w:b/>
      <w:bCs/>
      <w:kern w:val="0"/>
      <w:sz w:val="20"/>
      <w:szCs w:val="20"/>
    </w:rPr>
  </w:style>
  <w:style w:type="paragraph" w:styleId="5">
    <w:name w:val="heading 4"/>
    <w:basedOn w:val="1"/>
    <w:next w:val="1"/>
    <w:link w:val="44"/>
    <w:qFormat/>
    <w:uiPriority w:val="99"/>
    <w:pPr>
      <w:keepNext/>
      <w:keepLines/>
      <w:outlineLvl w:val="3"/>
    </w:pPr>
    <w:rPr>
      <w:rFonts w:ascii="Arial" w:hAnsi="Arial" w:cs="Arial"/>
    </w:rPr>
  </w:style>
  <w:style w:type="paragraph" w:styleId="6">
    <w:name w:val="heading 5"/>
    <w:basedOn w:val="1"/>
    <w:next w:val="1"/>
    <w:link w:val="45"/>
    <w:qFormat/>
    <w:uiPriority w:val="99"/>
    <w:pPr>
      <w:keepNext/>
      <w:keepLines/>
      <w:spacing w:before="280" w:after="290" w:line="372" w:lineRule="auto"/>
      <w:outlineLvl w:val="4"/>
    </w:pPr>
    <w:rPr>
      <w:b/>
      <w:bCs/>
      <w:sz w:val="28"/>
      <w:szCs w:val="28"/>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7">
    <w:name w:val="List Number"/>
    <w:basedOn w:val="1"/>
    <w:qFormat/>
    <w:uiPriority w:val="99"/>
    <w:pPr>
      <w:widowControl/>
      <w:tabs>
        <w:tab w:val="left" w:pos="420"/>
        <w:tab w:val="left" w:pos="454"/>
        <w:tab w:val="left" w:pos="720"/>
      </w:tabs>
      <w:spacing w:afterLines="50"/>
      <w:ind w:left="454" w:hanging="284"/>
      <w:jc w:val="left"/>
    </w:pPr>
    <w:rPr>
      <w:kern w:val="0"/>
    </w:rPr>
  </w:style>
  <w:style w:type="paragraph" w:styleId="8">
    <w:name w:val="Normal Indent"/>
    <w:basedOn w:val="1"/>
    <w:link w:val="50"/>
    <w:qFormat/>
    <w:uiPriority w:val="99"/>
  </w:style>
  <w:style w:type="paragraph" w:styleId="9">
    <w:name w:val="caption"/>
    <w:basedOn w:val="1"/>
    <w:next w:val="1"/>
    <w:qFormat/>
    <w:uiPriority w:val="99"/>
    <w:pPr>
      <w:spacing w:before="152" w:after="160"/>
    </w:pPr>
    <w:rPr>
      <w:rFonts w:ascii="Arial" w:hAnsi="Arial" w:eastAsia="黑体" w:cs="Arial"/>
      <w:sz w:val="20"/>
      <w:szCs w:val="20"/>
    </w:rPr>
  </w:style>
  <w:style w:type="paragraph" w:styleId="10">
    <w:name w:val="Document Map"/>
    <w:basedOn w:val="1"/>
    <w:link w:val="70"/>
    <w:semiHidden/>
    <w:qFormat/>
    <w:uiPriority w:val="99"/>
    <w:pPr>
      <w:shd w:val="clear" w:color="auto" w:fill="000080"/>
    </w:pPr>
  </w:style>
  <w:style w:type="paragraph" w:styleId="11">
    <w:name w:val="annotation text"/>
    <w:basedOn w:val="1"/>
    <w:link w:val="79"/>
    <w:semiHidden/>
    <w:qFormat/>
    <w:uiPriority w:val="99"/>
    <w:pPr>
      <w:jc w:val="left"/>
    </w:pPr>
  </w:style>
  <w:style w:type="paragraph" w:styleId="12">
    <w:name w:val="Body Text 3"/>
    <w:basedOn w:val="1"/>
    <w:link w:val="85"/>
    <w:qFormat/>
    <w:uiPriority w:val="99"/>
    <w:pPr>
      <w:snapToGrid w:val="0"/>
      <w:spacing w:before="50" w:after="50"/>
    </w:pPr>
    <w:rPr>
      <w:rFonts w:eastAsia="仿宋_GB2312"/>
      <w:b/>
      <w:bCs/>
    </w:rPr>
  </w:style>
  <w:style w:type="paragraph" w:styleId="13">
    <w:name w:val="Body Text"/>
    <w:basedOn w:val="1"/>
    <w:link w:val="65"/>
    <w:qFormat/>
    <w:uiPriority w:val="99"/>
    <w:pPr>
      <w:spacing w:after="120"/>
    </w:pPr>
  </w:style>
  <w:style w:type="paragraph" w:styleId="14">
    <w:name w:val="Body Text Indent"/>
    <w:basedOn w:val="1"/>
    <w:link w:val="90"/>
    <w:qFormat/>
    <w:uiPriority w:val="99"/>
    <w:pPr>
      <w:spacing w:after="120"/>
      <w:ind w:left="420" w:leftChars="200"/>
    </w:pPr>
  </w:style>
  <w:style w:type="paragraph" w:styleId="15">
    <w:name w:val="List Number 3"/>
    <w:basedOn w:val="1"/>
    <w:qFormat/>
    <w:uiPriority w:val="99"/>
    <w:pPr>
      <w:numPr>
        <w:ilvl w:val="0"/>
        <w:numId w:val="1"/>
      </w:numPr>
      <w:tabs>
        <w:tab w:val="left" w:pos="1200"/>
        <w:tab w:val="clear" w:pos="360"/>
      </w:tabs>
      <w:ind w:left="1200"/>
    </w:pPr>
  </w:style>
  <w:style w:type="paragraph" w:styleId="16">
    <w:name w:val="List 2"/>
    <w:basedOn w:val="1"/>
    <w:qFormat/>
    <w:uiPriority w:val="99"/>
    <w:pPr>
      <w:ind w:left="100" w:leftChars="200" w:hanging="200" w:hangingChars="200"/>
    </w:pPr>
    <w:rPr>
      <w:sz w:val="28"/>
      <w:szCs w:val="28"/>
    </w:rPr>
  </w:style>
  <w:style w:type="paragraph" w:styleId="17">
    <w:name w:val="toc 3"/>
    <w:basedOn w:val="1"/>
    <w:next w:val="1"/>
    <w:semiHidden/>
    <w:qFormat/>
    <w:uiPriority w:val="99"/>
    <w:pPr>
      <w:tabs>
        <w:tab w:val="right" w:leader="dot" w:pos="8302"/>
      </w:tabs>
      <w:spacing w:line="480" w:lineRule="auto"/>
      <w:ind w:left="539"/>
      <w:jc w:val="left"/>
    </w:pPr>
    <w:rPr>
      <w:i/>
      <w:iCs/>
      <w:sz w:val="20"/>
      <w:szCs w:val="20"/>
    </w:rPr>
  </w:style>
  <w:style w:type="paragraph" w:styleId="18">
    <w:name w:val="Plain Text"/>
    <w:basedOn w:val="1"/>
    <w:link w:val="75"/>
    <w:qFormat/>
    <w:uiPriority w:val="99"/>
    <w:rPr>
      <w:rFonts w:hAnsi="Courier New"/>
      <w:sz w:val="21"/>
      <w:szCs w:val="21"/>
    </w:rPr>
  </w:style>
  <w:style w:type="paragraph" w:styleId="19">
    <w:name w:val="Date"/>
    <w:basedOn w:val="1"/>
    <w:next w:val="1"/>
    <w:link w:val="73"/>
    <w:qFormat/>
    <w:uiPriority w:val="99"/>
    <w:pPr>
      <w:ind w:left="100" w:leftChars="2500"/>
    </w:pPr>
  </w:style>
  <w:style w:type="paragraph" w:styleId="20">
    <w:name w:val="Body Text Indent 2"/>
    <w:basedOn w:val="1"/>
    <w:link w:val="89"/>
    <w:qFormat/>
    <w:uiPriority w:val="99"/>
    <w:pPr>
      <w:snapToGrid w:val="0"/>
      <w:ind w:firstLine="542" w:firstLineChars="225"/>
    </w:pPr>
    <w:rPr>
      <w:rFonts w:ascii="仿宋_GB2312" w:cs="仿宋_GB2312"/>
      <w:b/>
      <w:bCs/>
      <w:color w:val="000000"/>
    </w:rPr>
  </w:style>
  <w:style w:type="paragraph" w:styleId="21">
    <w:name w:val="Balloon Text"/>
    <w:basedOn w:val="1"/>
    <w:link w:val="68"/>
    <w:semiHidden/>
    <w:qFormat/>
    <w:uiPriority w:val="99"/>
    <w:rPr>
      <w:rFonts w:ascii="Times New Roman" w:hAnsi="Times New Roman" w:cs="Times New Roman"/>
      <w:sz w:val="18"/>
      <w:szCs w:val="18"/>
    </w:rPr>
  </w:style>
  <w:style w:type="paragraph" w:styleId="22">
    <w:name w:val="footer"/>
    <w:basedOn w:val="1"/>
    <w:link w:val="87"/>
    <w:qFormat/>
    <w:uiPriority w:val="99"/>
    <w:pPr>
      <w:tabs>
        <w:tab w:val="center" w:pos="4153"/>
        <w:tab w:val="right" w:pos="8306"/>
      </w:tabs>
      <w:snapToGrid w:val="0"/>
      <w:jc w:val="left"/>
    </w:pPr>
    <w:rPr>
      <w:sz w:val="18"/>
      <w:szCs w:val="18"/>
    </w:rPr>
  </w:style>
  <w:style w:type="paragraph" w:styleId="23">
    <w:name w:val="header"/>
    <w:basedOn w:val="1"/>
    <w:link w:val="71"/>
    <w:qFormat/>
    <w:uiPriority w:val="99"/>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24">
    <w:name w:val="toc 1"/>
    <w:basedOn w:val="1"/>
    <w:next w:val="1"/>
    <w:semiHidden/>
    <w:qFormat/>
    <w:uiPriority w:val="99"/>
  </w:style>
  <w:style w:type="paragraph" w:styleId="25">
    <w:name w:val="toc 4"/>
    <w:basedOn w:val="1"/>
    <w:next w:val="1"/>
    <w:semiHidden/>
    <w:qFormat/>
    <w:uiPriority w:val="99"/>
    <w:pPr>
      <w:tabs>
        <w:tab w:val="right" w:leader="dot" w:pos="8302"/>
      </w:tabs>
      <w:spacing w:line="480" w:lineRule="auto"/>
    </w:pPr>
    <w:rPr>
      <w:sz w:val="28"/>
      <w:szCs w:val="28"/>
    </w:rPr>
  </w:style>
  <w:style w:type="paragraph" w:styleId="26">
    <w:name w:val="List"/>
    <w:basedOn w:val="1"/>
    <w:qFormat/>
    <w:uiPriority w:val="99"/>
    <w:pPr>
      <w:ind w:left="200" w:hanging="200" w:hangingChars="200"/>
    </w:pPr>
    <w:rPr>
      <w:sz w:val="28"/>
      <w:szCs w:val="28"/>
    </w:rPr>
  </w:style>
  <w:style w:type="paragraph" w:styleId="27">
    <w:name w:val="Body Text Indent 3"/>
    <w:basedOn w:val="1"/>
    <w:link w:val="69"/>
    <w:qFormat/>
    <w:uiPriority w:val="99"/>
    <w:pPr>
      <w:snapToGrid w:val="0"/>
      <w:ind w:firstLine="480"/>
      <w:jc w:val="left"/>
    </w:pPr>
    <w:rPr>
      <w:rFonts w:ascii="仿宋_GB2312" w:eastAsia="仿宋_GB2312" w:cs="仿宋_GB2312"/>
      <w:color w:val="000000"/>
    </w:rPr>
  </w:style>
  <w:style w:type="paragraph" w:styleId="28">
    <w:name w:val="toc 2"/>
    <w:basedOn w:val="1"/>
    <w:next w:val="1"/>
    <w:semiHidden/>
    <w:qFormat/>
    <w:uiPriority w:val="99"/>
    <w:pPr>
      <w:ind w:left="420" w:leftChars="200"/>
    </w:pPr>
  </w:style>
  <w:style w:type="paragraph" w:styleId="29">
    <w:name w:val="Body Text 2"/>
    <w:basedOn w:val="1"/>
    <w:link w:val="76"/>
    <w:qFormat/>
    <w:uiPriority w:val="99"/>
    <w:pPr>
      <w:widowControl/>
      <w:snapToGrid w:val="0"/>
      <w:spacing w:before="50" w:afterLines="50" w:line="400" w:lineRule="exact"/>
      <w:jc w:val="left"/>
    </w:pPr>
    <w:rPr>
      <w:color w:val="000000"/>
    </w:rPr>
  </w:style>
  <w:style w:type="paragraph" w:styleId="30">
    <w:name w:val="List 4"/>
    <w:basedOn w:val="1"/>
    <w:qFormat/>
    <w:uiPriority w:val="99"/>
    <w:pPr>
      <w:ind w:left="100" w:leftChars="600" w:hanging="200" w:hangingChars="200"/>
    </w:pPr>
  </w:style>
  <w:style w:type="paragraph" w:styleId="31">
    <w:name w:val="Normal (Web)"/>
    <w:basedOn w:val="1"/>
    <w:qFormat/>
    <w:uiPriority w:val="99"/>
    <w:pPr>
      <w:widowControl/>
      <w:spacing w:before="100" w:beforeAutospacing="1" w:after="100" w:afterAutospacing="1" w:line="240" w:lineRule="auto"/>
      <w:ind w:firstLine="0" w:firstLineChars="0"/>
      <w:jc w:val="left"/>
    </w:pPr>
    <w:rPr>
      <w:kern w:val="0"/>
    </w:rPr>
  </w:style>
  <w:style w:type="paragraph" w:styleId="32">
    <w:name w:val="index 1"/>
    <w:basedOn w:val="1"/>
    <w:next w:val="1"/>
    <w:semiHidden/>
    <w:qFormat/>
    <w:uiPriority w:val="99"/>
    <w:pPr>
      <w:widowControl/>
      <w:jc w:val="center"/>
    </w:pPr>
    <w:rPr>
      <w:rFonts w:ascii="Arial" w:hAnsi="Arial" w:cs="Arial"/>
      <w:kern w:val="0"/>
    </w:rPr>
  </w:style>
  <w:style w:type="table" w:styleId="34">
    <w:name w:val="Table Grid"/>
    <w:basedOn w:val="3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6">
    <w:name w:val="Strong"/>
    <w:basedOn w:val="35"/>
    <w:qFormat/>
    <w:uiPriority w:val="99"/>
    <w:rPr>
      <w:b/>
      <w:bCs/>
    </w:rPr>
  </w:style>
  <w:style w:type="character" w:styleId="37">
    <w:name w:val="page number"/>
    <w:basedOn w:val="35"/>
    <w:qFormat/>
    <w:uiPriority w:val="99"/>
  </w:style>
  <w:style w:type="character" w:styleId="38">
    <w:name w:val="FollowedHyperlink"/>
    <w:basedOn w:val="35"/>
    <w:qFormat/>
    <w:uiPriority w:val="99"/>
    <w:rPr>
      <w:color w:val="800080"/>
      <w:u w:val="single"/>
    </w:rPr>
  </w:style>
  <w:style w:type="character" w:styleId="39">
    <w:name w:val="Hyperlink"/>
    <w:basedOn w:val="35"/>
    <w:qFormat/>
    <w:uiPriority w:val="99"/>
    <w:rPr>
      <w:color w:val="0000FF"/>
      <w:u w:val="single"/>
    </w:rPr>
  </w:style>
  <w:style w:type="character" w:styleId="40">
    <w:name w:val="annotation reference"/>
    <w:basedOn w:val="35"/>
    <w:semiHidden/>
    <w:qFormat/>
    <w:uiPriority w:val="99"/>
    <w:rPr>
      <w:sz w:val="21"/>
      <w:szCs w:val="21"/>
    </w:rPr>
  </w:style>
  <w:style w:type="character" w:customStyle="1" w:styleId="41">
    <w:name w:val="标题 1 Char"/>
    <w:basedOn w:val="35"/>
    <w:link w:val="2"/>
    <w:qFormat/>
    <w:locked/>
    <w:uiPriority w:val="99"/>
    <w:rPr>
      <w:rFonts w:eastAsia="黑体"/>
      <w:b/>
      <w:bCs/>
      <w:kern w:val="44"/>
      <w:sz w:val="24"/>
      <w:szCs w:val="24"/>
      <w:lang w:val="en-US" w:eastAsia="zh-CN"/>
    </w:rPr>
  </w:style>
  <w:style w:type="character" w:customStyle="1" w:styleId="42">
    <w:name w:val="标题 2 Char"/>
    <w:basedOn w:val="35"/>
    <w:link w:val="3"/>
    <w:qFormat/>
    <w:locked/>
    <w:uiPriority w:val="99"/>
    <w:rPr>
      <w:rFonts w:ascii="Arial" w:hAnsi="Arial" w:eastAsia="黑体" w:cs="Arial"/>
      <w:b/>
      <w:bCs/>
      <w:kern w:val="2"/>
      <w:sz w:val="32"/>
      <w:szCs w:val="32"/>
      <w:lang w:val="en-US" w:eastAsia="zh-CN"/>
    </w:rPr>
  </w:style>
  <w:style w:type="character" w:customStyle="1" w:styleId="43">
    <w:name w:val="标题 3 Char"/>
    <w:basedOn w:val="35"/>
    <w:link w:val="4"/>
    <w:qFormat/>
    <w:locked/>
    <w:uiPriority w:val="99"/>
    <w:rPr>
      <w:b/>
      <w:bCs/>
      <w:sz w:val="32"/>
      <w:szCs w:val="32"/>
    </w:rPr>
  </w:style>
  <w:style w:type="character" w:customStyle="1" w:styleId="44">
    <w:name w:val="标题 4 Char"/>
    <w:basedOn w:val="35"/>
    <w:link w:val="5"/>
    <w:semiHidden/>
    <w:qFormat/>
    <w:locked/>
    <w:uiPriority w:val="99"/>
    <w:rPr>
      <w:rFonts w:ascii="Cambria" w:hAnsi="Cambria" w:eastAsia="宋体" w:cs="Cambria"/>
      <w:b/>
      <w:bCs/>
      <w:sz w:val="28"/>
      <w:szCs w:val="28"/>
    </w:rPr>
  </w:style>
  <w:style w:type="character" w:customStyle="1" w:styleId="45">
    <w:name w:val="标题 5 Char"/>
    <w:basedOn w:val="35"/>
    <w:link w:val="6"/>
    <w:semiHidden/>
    <w:qFormat/>
    <w:locked/>
    <w:uiPriority w:val="99"/>
    <w:rPr>
      <w:rFonts w:ascii="宋体" w:eastAsia="宋体" w:cs="宋体"/>
      <w:b/>
      <w:bCs/>
      <w:sz w:val="28"/>
      <w:szCs w:val="28"/>
    </w:rPr>
  </w:style>
  <w:style w:type="character" w:customStyle="1" w:styleId="46">
    <w:name w:val="样式 正文缩进 + 首行缩进:  2 字符 Char Char"/>
    <w:link w:val="47"/>
    <w:qFormat/>
    <w:locked/>
    <w:uiPriority w:val="99"/>
    <w:rPr>
      <w:rFonts w:eastAsia="宋体"/>
      <w:kern w:val="2"/>
      <w:sz w:val="24"/>
      <w:szCs w:val="24"/>
      <w:lang w:val="en-US" w:eastAsia="zh-CN"/>
    </w:rPr>
  </w:style>
  <w:style w:type="paragraph" w:customStyle="1" w:styleId="47">
    <w:name w:val="样式 正文缩进 + 首行缩进:  2 字符"/>
    <w:basedOn w:val="8"/>
    <w:link w:val="46"/>
    <w:qFormat/>
    <w:uiPriority w:val="99"/>
    <w:pPr>
      <w:spacing w:after="80"/>
      <w:ind w:firstLine="480"/>
    </w:pPr>
    <w:rPr>
      <w:rFonts w:ascii="Times New Roman" w:hAnsi="Times New Roman" w:cs="Times New Roman"/>
    </w:rPr>
  </w:style>
  <w:style w:type="character" w:customStyle="1" w:styleId="48">
    <w:name w:val="Char Char"/>
    <w:qFormat/>
    <w:uiPriority w:val="99"/>
    <w:rPr>
      <w:rFonts w:ascii="宋体" w:hAnsi="Courier New" w:eastAsia="宋体" w:cs="宋体"/>
      <w:kern w:val="2"/>
      <w:sz w:val="21"/>
      <w:szCs w:val="21"/>
      <w:lang w:val="en-US" w:eastAsia="zh-CN"/>
    </w:rPr>
  </w:style>
  <w:style w:type="character" w:customStyle="1" w:styleId="49">
    <w:name w:val="Header Char"/>
    <w:qFormat/>
    <w:locked/>
    <w:uiPriority w:val="99"/>
    <w:rPr>
      <w:kern w:val="2"/>
      <w:sz w:val="18"/>
      <w:szCs w:val="18"/>
    </w:rPr>
  </w:style>
  <w:style w:type="character" w:customStyle="1" w:styleId="50">
    <w:name w:val="正文缩进 Char"/>
    <w:link w:val="8"/>
    <w:qFormat/>
    <w:locked/>
    <w:uiPriority w:val="99"/>
    <w:rPr>
      <w:rFonts w:ascii="宋体" w:hAnsi="宋体" w:eastAsia="宋体" w:cs="宋体"/>
      <w:kern w:val="2"/>
      <w:sz w:val="24"/>
      <w:szCs w:val="24"/>
      <w:lang w:val="en-US" w:eastAsia="zh-CN"/>
    </w:rPr>
  </w:style>
  <w:style w:type="character" w:customStyle="1" w:styleId="51">
    <w:name w:val="正文2 Char Char"/>
    <w:link w:val="52"/>
    <w:qFormat/>
    <w:locked/>
    <w:uiPriority w:val="99"/>
    <w:rPr>
      <w:rFonts w:ascii="宋体" w:hAnsi="宋体" w:eastAsia="宋体" w:cs="宋体"/>
      <w:kern w:val="2"/>
      <w:sz w:val="24"/>
      <w:szCs w:val="24"/>
      <w:lang w:val="en-US" w:eastAsia="zh-CN"/>
    </w:rPr>
  </w:style>
  <w:style w:type="paragraph" w:customStyle="1" w:styleId="52">
    <w:name w:val="正文2"/>
    <w:basedOn w:val="1"/>
    <w:link w:val="51"/>
    <w:qFormat/>
    <w:uiPriority w:val="99"/>
    <w:pPr>
      <w:spacing w:before="156"/>
      <w:ind w:firstLine="510"/>
    </w:pPr>
  </w:style>
  <w:style w:type="character" w:customStyle="1" w:styleId="53">
    <w:name w:val="表格名称[858D7CFB-ED40-4347-BF05-701D383B685F]"/>
    <w:link w:val="54"/>
    <w:qFormat/>
    <w:locked/>
    <w:uiPriority w:val="99"/>
    <w:rPr>
      <w:rFonts w:eastAsia="宋体"/>
      <w:sz w:val="32"/>
      <w:szCs w:val="32"/>
    </w:rPr>
  </w:style>
  <w:style w:type="paragraph" w:customStyle="1" w:styleId="54">
    <w:name w:val="表格名称"/>
    <w:basedOn w:val="3"/>
    <w:link w:val="53"/>
    <w:qFormat/>
    <w:uiPriority w:val="99"/>
    <w:pPr>
      <w:spacing w:before="240" w:after="240"/>
    </w:pPr>
    <w:rPr>
      <w:rFonts w:ascii="Times New Roman" w:hAnsi="Times New Roman" w:eastAsia="宋体" w:cs="Times New Roman"/>
      <w:b w:val="0"/>
      <w:bCs w:val="0"/>
      <w:kern w:val="0"/>
      <w:sz w:val="32"/>
      <w:szCs w:val="32"/>
    </w:rPr>
  </w:style>
  <w:style w:type="character" w:customStyle="1" w:styleId="55">
    <w:name w:val="正文说明 Char Char"/>
    <w:link w:val="56"/>
    <w:qFormat/>
    <w:locked/>
    <w:uiPriority w:val="99"/>
    <w:rPr>
      <w:rFonts w:eastAsia="宋体"/>
      <w:kern w:val="2"/>
      <w:sz w:val="24"/>
      <w:szCs w:val="24"/>
      <w:lang w:val="en-US" w:eastAsia="zh-CN"/>
    </w:rPr>
  </w:style>
  <w:style w:type="paragraph" w:customStyle="1" w:styleId="56">
    <w:name w:val="正文说明"/>
    <w:basedOn w:val="1"/>
    <w:link w:val="55"/>
    <w:qFormat/>
    <w:uiPriority w:val="99"/>
    <w:pPr>
      <w:ind w:firstLine="0" w:firstLineChars="0"/>
    </w:pPr>
    <w:rPr>
      <w:rFonts w:ascii="Times New Roman" w:hAnsi="Times New Roman" w:cs="Times New Roman"/>
    </w:rPr>
  </w:style>
  <w:style w:type="character" w:customStyle="1" w:styleId="57">
    <w:name w:val="样式1 Char Char"/>
    <w:link w:val="58"/>
    <w:qFormat/>
    <w:locked/>
    <w:uiPriority w:val="99"/>
    <w:rPr>
      <w:rFonts w:ascii="Times New Roman" w:hAnsi="Times New Roman" w:eastAsia="黑体" w:cs="Times New Roman"/>
      <w:b/>
      <w:bCs/>
      <w:sz w:val="32"/>
      <w:szCs w:val="32"/>
    </w:rPr>
  </w:style>
  <w:style w:type="paragraph" w:customStyle="1" w:styleId="58">
    <w:name w:val="样式1"/>
    <w:basedOn w:val="1"/>
    <w:link w:val="57"/>
    <w:qFormat/>
    <w:uiPriority w:val="99"/>
    <w:pPr>
      <w:jc w:val="center"/>
    </w:pPr>
    <w:rPr>
      <w:rFonts w:ascii="Times New Roman" w:hAnsi="Times New Roman" w:eastAsia="黑体" w:cs="Times New Roman"/>
      <w:b/>
      <w:bCs/>
      <w:kern w:val="0"/>
      <w:sz w:val="32"/>
      <w:szCs w:val="32"/>
    </w:rPr>
  </w:style>
  <w:style w:type="character" w:customStyle="1" w:styleId="59">
    <w:name w:val="content1"/>
    <w:qFormat/>
    <w:uiPriority w:val="99"/>
    <w:rPr>
      <w:color w:val="auto"/>
      <w:sz w:val="21"/>
      <w:szCs w:val="21"/>
    </w:rPr>
  </w:style>
  <w:style w:type="character" w:customStyle="1" w:styleId="60">
    <w:name w:val="h Char Char"/>
    <w:qFormat/>
    <w:uiPriority w:val="99"/>
    <w:rPr>
      <w:rFonts w:eastAsia="宋体"/>
      <w:kern w:val="2"/>
      <w:sz w:val="18"/>
      <w:szCs w:val="18"/>
      <w:lang w:val="en-US" w:eastAsia="zh-CN"/>
    </w:rPr>
  </w:style>
  <w:style w:type="character" w:customStyle="1" w:styleId="61">
    <w:name w:val="Balloon Text Char"/>
    <w:qFormat/>
    <w:locked/>
    <w:uiPriority w:val="99"/>
    <w:rPr>
      <w:kern w:val="2"/>
      <w:sz w:val="18"/>
      <w:szCs w:val="18"/>
    </w:rPr>
  </w:style>
  <w:style w:type="character" w:customStyle="1" w:styleId="62">
    <w:name w:val="普通文字 Char Char1"/>
    <w:qFormat/>
    <w:uiPriority w:val="99"/>
    <w:rPr>
      <w:rFonts w:ascii="宋体" w:hAnsi="Courier New" w:eastAsia="宋体" w:cs="宋体"/>
      <w:kern w:val="2"/>
      <w:sz w:val="24"/>
      <w:szCs w:val="24"/>
      <w:lang w:val="en-US" w:eastAsia="zh-CN"/>
    </w:rPr>
  </w:style>
  <w:style w:type="character" w:customStyle="1" w:styleId="63">
    <w:name w:val="style61"/>
    <w:qFormat/>
    <w:uiPriority w:val="99"/>
    <w:rPr>
      <w:sz w:val="21"/>
      <w:szCs w:val="21"/>
    </w:rPr>
  </w:style>
  <w:style w:type="character" w:customStyle="1" w:styleId="64">
    <w:name w:val="Plain Text Char"/>
    <w:qFormat/>
    <w:locked/>
    <w:uiPriority w:val="99"/>
    <w:rPr>
      <w:rFonts w:ascii="宋体" w:hAnsi="Courier New" w:eastAsia="宋体" w:cs="宋体"/>
      <w:kern w:val="2"/>
      <w:sz w:val="21"/>
      <w:szCs w:val="21"/>
      <w:lang w:val="en-US" w:eastAsia="zh-CN"/>
    </w:rPr>
  </w:style>
  <w:style w:type="character" w:customStyle="1" w:styleId="65">
    <w:name w:val="正文文本 Char"/>
    <w:basedOn w:val="35"/>
    <w:link w:val="13"/>
    <w:semiHidden/>
    <w:qFormat/>
    <w:locked/>
    <w:uiPriority w:val="99"/>
    <w:rPr>
      <w:rFonts w:ascii="宋体" w:eastAsia="宋体" w:cs="宋体"/>
      <w:sz w:val="24"/>
      <w:szCs w:val="24"/>
    </w:rPr>
  </w:style>
  <w:style w:type="paragraph" w:customStyle="1" w:styleId="66">
    <w:name w:val="表内文字"/>
    <w:basedOn w:val="1"/>
    <w:qFormat/>
    <w:uiPriority w:val="99"/>
    <w:pPr>
      <w:tabs>
        <w:tab w:val="left" w:pos="1418"/>
      </w:tabs>
      <w:jc w:val="center"/>
    </w:pPr>
    <w:rPr>
      <w:rFonts w:ascii="仿宋_GB2312" w:eastAsia="仿宋_GB2312" w:cs="仿宋_GB2312"/>
      <w:spacing w:val="-20"/>
      <w:kern w:val="0"/>
    </w:rPr>
  </w:style>
  <w:style w:type="paragraph" w:customStyle="1" w:styleId="67">
    <w:name w:val="Char Char1 Char Char Char Char"/>
    <w:basedOn w:val="1"/>
    <w:qFormat/>
    <w:uiPriority w:val="99"/>
    <w:pPr>
      <w:widowControl/>
      <w:spacing w:after="160" w:line="240" w:lineRule="exact"/>
      <w:ind w:firstLine="0" w:firstLineChars="0"/>
      <w:jc w:val="left"/>
    </w:pPr>
    <w:rPr>
      <w:rFonts w:ascii="Times New Roman" w:hAnsi="Times New Roman" w:cs="Times New Roman"/>
      <w:sz w:val="21"/>
      <w:szCs w:val="21"/>
    </w:rPr>
  </w:style>
  <w:style w:type="character" w:customStyle="1" w:styleId="68">
    <w:name w:val="批注框文本 Char"/>
    <w:basedOn w:val="35"/>
    <w:link w:val="21"/>
    <w:semiHidden/>
    <w:qFormat/>
    <w:locked/>
    <w:uiPriority w:val="99"/>
    <w:rPr>
      <w:rFonts w:ascii="宋体" w:eastAsia="宋体" w:cs="宋体"/>
      <w:sz w:val="2"/>
      <w:szCs w:val="2"/>
    </w:rPr>
  </w:style>
  <w:style w:type="character" w:customStyle="1" w:styleId="69">
    <w:name w:val="正文文本缩进 3 Char"/>
    <w:basedOn w:val="35"/>
    <w:link w:val="27"/>
    <w:semiHidden/>
    <w:qFormat/>
    <w:locked/>
    <w:uiPriority w:val="99"/>
    <w:rPr>
      <w:rFonts w:ascii="宋体" w:eastAsia="宋体" w:cs="宋体"/>
      <w:sz w:val="16"/>
      <w:szCs w:val="16"/>
    </w:rPr>
  </w:style>
  <w:style w:type="character" w:customStyle="1" w:styleId="70">
    <w:name w:val="文档结构图 Char"/>
    <w:basedOn w:val="35"/>
    <w:link w:val="10"/>
    <w:semiHidden/>
    <w:qFormat/>
    <w:locked/>
    <w:uiPriority w:val="99"/>
    <w:rPr>
      <w:sz w:val="2"/>
      <w:szCs w:val="2"/>
    </w:rPr>
  </w:style>
  <w:style w:type="character" w:customStyle="1" w:styleId="71">
    <w:name w:val="页眉 Char"/>
    <w:basedOn w:val="35"/>
    <w:link w:val="23"/>
    <w:semiHidden/>
    <w:qFormat/>
    <w:locked/>
    <w:uiPriority w:val="99"/>
    <w:rPr>
      <w:rFonts w:ascii="宋体" w:eastAsia="宋体" w:cs="宋体"/>
      <w:sz w:val="18"/>
      <w:szCs w:val="18"/>
    </w:rPr>
  </w:style>
  <w:style w:type="paragraph" w:customStyle="1" w:styleId="72">
    <w:name w:val="大项目"/>
    <w:basedOn w:val="1"/>
    <w:qFormat/>
    <w:uiPriority w:val="99"/>
    <w:pPr>
      <w:tabs>
        <w:tab w:val="left" w:pos="2780"/>
      </w:tabs>
      <w:ind w:left="420" w:hanging="420"/>
    </w:pPr>
    <w:rPr>
      <w:b/>
      <w:bCs/>
    </w:rPr>
  </w:style>
  <w:style w:type="character" w:customStyle="1" w:styleId="73">
    <w:name w:val="日期 Char"/>
    <w:basedOn w:val="35"/>
    <w:link w:val="19"/>
    <w:semiHidden/>
    <w:qFormat/>
    <w:locked/>
    <w:uiPriority w:val="99"/>
    <w:rPr>
      <w:rFonts w:ascii="宋体" w:eastAsia="宋体" w:cs="宋体"/>
      <w:sz w:val="24"/>
      <w:szCs w:val="24"/>
    </w:rPr>
  </w:style>
  <w:style w:type="paragraph" w:customStyle="1" w:styleId="74">
    <w:name w:val="p0"/>
    <w:basedOn w:val="1"/>
    <w:qFormat/>
    <w:uiPriority w:val="99"/>
    <w:pPr>
      <w:widowControl/>
    </w:pPr>
    <w:rPr>
      <w:kern w:val="0"/>
    </w:rPr>
  </w:style>
  <w:style w:type="character" w:customStyle="1" w:styleId="75">
    <w:name w:val="纯文本 Char"/>
    <w:basedOn w:val="35"/>
    <w:link w:val="18"/>
    <w:semiHidden/>
    <w:qFormat/>
    <w:locked/>
    <w:uiPriority w:val="99"/>
    <w:rPr>
      <w:rFonts w:ascii="宋体" w:hAnsi="Courier New" w:cs="宋体"/>
      <w:sz w:val="21"/>
      <w:szCs w:val="21"/>
    </w:rPr>
  </w:style>
  <w:style w:type="character" w:customStyle="1" w:styleId="76">
    <w:name w:val="正文文本 2 Char"/>
    <w:basedOn w:val="35"/>
    <w:link w:val="29"/>
    <w:semiHidden/>
    <w:qFormat/>
    <w:locked/>
    <w:uiPriority w:val="99"/>
    <w:rPr>
      <w:rFonts w:ascii="宋体" w:eastAsia="宋体" w:cs="宋体"/>
      <w:sz w:val="24"/>
      <w:szCs w:val="24"/>
    </w:rPr>
  </w:style>
  <w:style w:type="paragraph" w:customStyle="1" w:styleId="77">
    <w:name w:val="样式 样式 标题 2 + 两端对齐 段前: 18 磅 + 首行缩进:  2 字符"/>
    <w:basedOn w:val="78"/>
    <w:qFormat/>
    <w:uiPriority w:val="99"/>
    <w:pPr>
      <w:ind w:firstLine="562"/>
    </w:pPr>
    <w:rPr>
      <w:b/>
      <w:bCs/>
    </w:rPr>
  </w:style>
  <w:style w:type="paragraph" w:customStyle="1" w:styleId="78">
    <w:name w:val="标准正文"/>
    <w:basedOn w:val="1"/>
    <w:qFormat/>
    <w:uiPriority w:val="99"/>
    <w:pPr>
      <w:spacing w:afterLines="50"/>
      <w:ind w:firstLine="200"/>
    </w:pPr>
  </w:style>
  <w:style w:type="character" w:customStyle="1" w:styleId="79">
    <w:name w:val="批注文字 Char"/>
    <w:basedOn w:val="35"/>
    <w:link w:val="11"/>
    <w:semiHidden/>
    <w:qFormat/>
    <w:locked/>
    <w:uiPriority w:val="99"/>
    <w:rPr>
      <w:rFonts w:ascii="宋体" w:eastAsia="宋体" w:cs="宋体"/>
      <w:sz w:val="24"/>
      <w:szCs w:val="24"/>
    </w:rPr>
  </w:style>
  <w:style w:type="paragraph" w:customStyle="1" w:styleId="80">
    <w:name w:val="样式 样式 样式 标题 2 + 两端对齐 段前: 18 磅 + 首行缩进:  2 字符 + 首行缩进:  2 字符 段后: 0..."/>
    <w:basedOn w:val="1"/>
    <w:qFormat/>
    <w:uiPriority w:val="99"/>
    <w:pPr>
      <w:spacing w:after="50"/>
      <w:ind w:firstLine="0" w:firstLineChars="0"/>
    </w:pPr>
  </w:style>
  <w:style w:type="paragraph" w:customStyle="1" w:styleId="81">
    <w:name w:val="正文段"/>
    <w:basedOn w:val="1"/>
    <w:qFormat/>
    <w:uiPriority w:val="99"/>
    <w:pPr>
      <w:widowControl/>
      <w:snapToGrid w:val="0"/>
      <w:spacing w:afterLines="50"/>
      <w:ind w:firstLine="200"/>
    </w:pPr>
    <w:rPr>
      <w:kern w:val="0"/>
    </w:rPr>
  </w:style>
  <w:style w:type="paragraph" w:customStyle="1" w:styleId="82">
    <w:name w:val="样式 左侧:  0.85 厘米"/>
    <w:basedOn w:val="1"/>
    <w:qFormat/>
    <w:uiPriority w:val="99"/>
    <w:pPr>
      <w:ind w:firstLine="0" w:firstLineChars="0"/>
    </w:pPr>
  </w:style>
  <w:style w:type="paragraph" w:customStyle="1" w:styleId="83">
    <w:name w:val="Char Char Char Char Char Char"/>
    <w:basedOn w:val="1"/>
    <w:next w:val="2"/>
    <w:qFormat/>
    <w:uiPriority w:val="99"/>
    <w:pPr>
      <w:widowControl/>
      <w:spacing w:before="100" w:beforeAutospacing="1" w:after="100" w:afterAutospacing="1" w:line="420" w:lineRule="auto"/>
      <w:ind w:firstLine="0" w:firstLineChars="0"/>
      <w:jc w:val="left"/>
      <w:textAlignment w:val="top"/>
    </w:pPr>
    <w:rPr>
      <w:sz w:val="21"/>
      <w:szCs w:val="21"/>
    </w:rPr>
  </w:style>
  <w:style w:type="paragraph" w:customStyle="1" w:styleId="84">
    <w:name w:val="样式3"/>
    <w:qFormat/>
    <w:uiPriority w:val="99"/>
    <w:pPr>
      <w:tabs>
        <w:tab w:val="left" w:pos="1200"/>
      </w:tabs>
      <w:spacing w:before="360"/>
      <w:ind w:left="1200" w:firstLine="420"/>
      <w:jc w:val="both"/>
    </w:pPr>
    <w:rPr>
      <w:rFonts w:ascii="Arial" w:hAnsi="Arial" w:eastAsia="黑体" w:cs="Arial"/>
      <w:b/>
      <w:bCs/>
      <w:kern w:val="2"/>
      <w:sz w:val="30"/>
      <w:szCs w:val="30"/>
      <w:lang w:val="en-US" w:eastAsia="zh-CN" w:bidi="ar-SA"/>
    </w:rPr>
  </w:style>
  <w:style w:type="character" w:customStyle="1" w:styleId="85">
    <w:name w:val="正文文本 3 Char"/>
    <w:basedOn w:val="35"/>
    <w:link w:val="12"/>
    <w:semiHidden/>
    <w:qFormat/>
    <w:locked/>
    <w:uiPriority w:val="99"/>
    <w:rPr>
      <w:rFonts w:ascii="宋体" w:eastAsia="宋体" w:cs="宋体"/>
      <w:sz w:val="16"/>
      <w:szCs w:val="16"/>
    </w:rPr>
  </w:style>
  <w:style w:type="paragraph" w:customStyle="1" w:styleId="86">
    <w:name w:val="Char Char Char Char"/>
    <w:basedOn w:val="1"/>
    <w:qFormat/>
    <w:uiPriority w:val="99"/>
    <w:pPr>
      <w:widowControl/>
      <w:spacing w:after="160" w:line="240" w:lineRule="exact"/>
      <w:jc w:val="left"/>
    </w:pPr>
  </w:style>
  <w:style w:type="character" w:customStyle="1" w:styleId="87">
    <w:name w:val="页脚 Char"/>
    <w:basedOn w:val="35"/>
    <w:link w:val="22"/>
    <w:semiHidden/>
    <w:qFormat/>
    <w:locked/>
    <w:uiPriority w:val="99"/>
    <w:rPr>
      <w:rFonts w:ascii="宋体" w:eastAsia="宋体" w:cs="宋体"/>
      <w:sz w:val="18"/>
      <w:szCs w:val="18"/>
    </w:rPr>
  </w:style>
  <w:style w:type="paragraph" w:styleId="88">
    <w:name w:val="List Paragraph"/>
    <w:basedOn w:val="1"/>
    <w:qFormat/>
    <w:uiPriority w:val="99"/>
    <w:pPr>
      <w:spacing w:line="240" w:lineRule="auto"/>
    </w:pPr>
    <w:rPr>
      <w:sz w:val="21"/>
      <w:szCs w:val="21"/>
    </w:rPr>
  </w:style>
  <w:style w:type="character" w:customStyle="1" w:styleId="89">
    <w:name w:val="正文文本缩进 2 Char"/>
    <w:basedOn w:val="35"/>
    <w:link w:val="20"/>
    <w:semiHidden/>
    <w:qFormat/>
    <w:locked/>
    <w:uiPriority w:val="99"/>
    <w:rPr>
      <w:rFonts w:ascii="宋体" w:eastAsia="宋体" w:cs="宋体"/>
      <w:sz w:val="24"/>
      <w:szCs w:val="24"/>
    </w:rPr>
  </w:style>
  <w:style w:type="character" w:customStyle="1" w:styleId="90">
    <w:name w:val="正文文本缩进 Char"/>
    <w:basedOn w:val="35"/>
    <w:link w:val="14"/>
    <w:semiHidden/>
    <w:qFormat/>
    <w:locked/>
    <w:uiPriority w:val="99"/>
    <w:rPr>
      <w:rFonts w:ascii="宋体" w:eastAsia="宋体" w:cs="宋体"/>
      <w:sz w:val="24"/>
      <w:szCs w:val="24"/>
    </w:rPr>
  </w:style>
  <w:style w:type="paragraph" w:customStyle="1" w:styleId="91">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92">
    <w:name w:val="样式4"/>
    <w:basedOn w:val="93"/>
    <w:qFormat/>
    <w:uiPriority w:val="99"/>
    <w:pPr>
      <w:numPr>
        <w:ilvl w:val="0"/>
        <w:numId w:val="2"/>
      </w:numPr>
      <w:spacing w:before="360"/>
      <w:ind w:firstLine="420"/>
    </w:pPr>
  </w:style>
  <w:style w:type="paragraph" w:customStyle="1" w:styleId="93">
    <w:name w:val="+正文"/>
    <w:basedOn w:val="1"/>
    <w:qFormat/>
    <w:uiPriority w:val="99"/>
    <w:pPr>
      <w:ind w:firstLine="200"/>
    </w:pPr>
  </w:style>
  <w:style w:type="paragraph" w:customStyle="1" w:styleId="94">
    <w:name w:val="表头"/>
    <w:basedOn w:val="1"/>
    <w:qFormat/>
    <w:uiPriority w:val="99"/>
    <w:pPr>
      <w:adjustRightInd w:val="0"/>
      <w:spacing w:before="60" w:after="60" w:line="420" w:lineRule="atLeast"/>
      <w:ind w:firstLine="0" w:firstLineChars="0"/>
      <w:jc w:val="left"/>
      <w:textAlignment w:val="baseline"/>
    </w:pPr>
    <w:rPr>
      <w:rFonts w:ascii="黑体" w:eastAsia="黑体" w:cs="黑体"/>
      <w:b/>
      <w:bCs/>
      <w:kern w:val="0"/>
      <w:sz w:val="21"/>
      <w:szCs w:val="21"/>
    </w:rPr>
  </w:style>
  <w:style w:type="paragraph" w:customStyle="1" w:styleId="95">
    <w:name w:val="Char1"/>
    <w:basedOn w:val="1"/>
    <w:qFormat/>
    <w:uiPriority w:val="99"/>
    <w:rPr>
      <w:rFonts w:ascii="仿宋_GB2312" w:eastAsia="仿宋_GB2312" w:cs="仿宋_GB2312"/>
      <w:b/>
      <w:bCs/>
      <w:sz w:val="32"/>
      <w:szCs w:val="32"/>
    </w:rPr>
  </w:style>
  <w:style w:type="paragraph" w:customStyle="1" w:styleId="96">
    <w:name w:val="样式 宋体 三号 加粗 居中"/>
    <w:basedOn w:val="1"/>
    <w:qFormat/>
    <w:uiPriority w:val="99"/>
    <w:pPr>
      <w:ind w:firstLine="0" w:firstLineChars="0"/>
      <w:jc w:val="center"/>
    </w:pPr>
    <w:rPr>
      <w:b/>
      <w:bCs/>
    </w:rPr>
  </w:style>
  <w:style w:type="paragraph" w:customStyle="1" w:styleId="97">
    <w:name w:val="样式 标题 2 + 段前: 18 磅"/>
    <w:basedOn w:val="3"/>
    <w:qFormat/>
    <w:uiPriority w:val="99"/>
    <w:pPr>
      <w:spacing w:before="360"/>
    </w:pPr>
  </w:style>
  <w:style w:type="paragraph" w:customStyle="1" w:styleId="98">
    <w:name w:val="四级目录 Char Char Char Char Char"/>
    <w:next w:val="1"/>
    <w:qFormat/>
    <w:uiPriority w:val="99"/>
    <w:pPr>
      <w:spacing w:line="360" w:lineRule="auto"/>
      <w:ind w:left="200" w:leftChars="200"/>
    </w:pPr>
    <w:rPr>
      <w:rFonts w:ascii="Times New Roman" w:hAnsi="Times New Roman" w:eastAsia="仿宋_GB2312" w:cs="Times New Roman"/>
      <w:sz w:val="30"/>
      <w:szCs w:val="30"/>
      <w:lang w:val="en-US" w:eastAsia="en-US" w:bidi="ar-SA"/>
    </w:rPr>
  </w:style>
  <w:style w:type="paragraph" w:customStyle="1" w:styleId="99">
    <w:name w:val="Char Char Char Char Char Char1"/>
    <w:basedOn w:val="1"/>
    <w:qFormat/>
    <w:uiPriority w:val="99"/>
    <w:pPr>
      <w:widowControl/>
      <w:spacing w:after="160" w:line="240" w:lineRule="exact"/>
      <w:jc w:val="left"/>
    </w:pPr>
    <w:rPr>
      <w:rFonts w:ascii="Verdana" w:hAnsi="Verdana" w:eastAsia="仿宋_GB2312" w:cs="Verdana"/>
      <w:kern w:val="0"/>
      <w:lang w:eastAsia="en-US"/>
    </w:rPr>
  </w:style>
  <w:style w:type="paragraph" w:customStyle="1" w:styleId="100">
    <w:name w:val="Char Char Char Char Char Char2 Char Char Char Char"/>
    <w:basedOn w:val="1"/>
    <w:qFormat/>
    <w:uiPriority w:val="99"/>
    <w:pPr>
      <w:spacing w:line="240" w:lineRule="auto"/>
      <w:ind w:firstLine="0" w:firstLineChars="0"/>
    </w:pPr>
    <w:rPr>
      <w:rFonts w:ascii="Times New Roman" w:hAnsi="Times New Roman" w:cs="Times New Roman"/>
      <w:sz w:val="21"/>
      <w:szCs w:val="21"/>
    </w:rPr>
  </w:style>
  <w:style w:type="paragraph" w:customStyle="1" w:styleId="101">
    <w:name w:val="样式 标题 2 + 段前: 18 磅1"/>
    <w:basedOn w:val="3"/>
    <w:qFormat/>
    <w:uiPriority w:val="99"/>
    <w:pPr>
      <w:spacing w:before="360"/>
    </w:pPr>
  </w:style>
  <w:style w:type="paragraph" w:customStyle="1" w:styleId="102">
    <w:name w:val="正文－恩普"/>
    <w:basedOn w:val="8"/>
    <w:qFormat/>
    <w:uiPriority w:val="99"/>
    <w:pPr>
      <w:widowControl/>
      <w:spacing w:afterLines="50"/>
      <w:ind w:firstLine="480"/>
      <w:jc w:val="left"/>
    </w:pPr>
    <w:rPr>
      <w:kern w:val="0"/>
    </w:rPr>
  </w:style>
  <w:style w:type="paragraph" w:customStyle="1" w:styleId="103">
    <w:name w:val="表中"/>
    <w:basedOn w:val="1"/>
    <w:qFormat/>
    <w:uiPriority w:val="99"/>
    <w:pPr>
      <w:autoSpaceDE w:val="0"/>
      <w:autoSpaceDN w:val="0"/>
      <w:adjustRightInd w:val="0"/>
      <w:spacing w:line="360" w:lineRule="atLeast"/>
      <w:ind w:firstLine="0" w:firstLineChars="0"/>
      <w:jc w:val="center"/>
    </w:pPr>
    <w:rPr>
      <w:kern w:val="0"/>
      <w:sz w:val="21"/>
      <w:szCs w:val="21"/>
    </w:rPr>
  </w:style>
  <w:style w:type="paragraph" w:customStyle="1" w:styleId="104">
    <w:name w:val="Char"/>
    <w:basedOn w:val="1"/>
    <w:qFormat/>
    <w:uiPriority w:val="99"/>
    <w:pPr>
      <w:tabs>
        <w:tab w:val="left" w:pos="780"/>
      </w:tabs>
      <w:ind w:left="780" w:hanging="360"/>
    </w:pPr>
  </w:style>
  <w:style w:type="paragraph" w:customStyle="1" w:styleId="105">
    <w:name w:val="SS正文首行缩进 +"/>
    <w:next w:val="1"/>
    <w:qFormat/>
    <w:uiPriority w:val="99"/>
    <w:pPr>
      <w:widowControl w:val="0"/>
      <w:spacing w:beforeLines="50" w:afterLines="50"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106">
    <w:name w:val="样式2"/>
    <w:basedOn w:val="23"/>
    <w:qFormat/>
    <w:uiPriority w:val="99"/>
    <w:pPr>
      <w:pBdr>
        <w:bottom w:val="none" w:color="auto" w:sz="0" w:space="0"/>
      </w:pBdr>
      <w:ind w:firstLine="0" w:firstLineChars="0"/>
      <w:jc w:val="left"/>
    </w:pPr>
  </w:style>
  <w:style w:type="paragraph" w:customStyle="1" w:styleId="107">
    <w:name w:val="Char11"/>
    <w:basedOn w:val="1"/>
    <w:qFormat/>
    <w:uiPriority w:val="99"/>
    <w:pPr>
      <w:tabs>
        <w:tab w:val="left" w:pos="780"/>
      </w:tabs>
      <w:ind w:left="780" w:hanging="360"/>
    </w:pPr>
  </w:style>
  <w:style w:type="paragraph" w:customStyle="1" w:styleId="108">
    <w:name w:val="样式 标题 2 + 两端对齐 段前: 18 磅"/>
    <w:basedOn w:val="6"/>
    <w:qFormat/>
    <w:uiPriority w:val="99"/>
    <w:pPr>
      <w:spacing w:before="360"/>
    </w:pPr>
  </w:style>
  <w:style w:type="paragraph" w:customStyle="1" w:styleId="109">
    <w:name w:val="默认段落字体 Para Char Char Char Char Char Char Char Char Char1 Char Char Char Char"/>
    <w:basedOn w:val="1"/>
    <w:qFormat/>
    <w:uiPriority w:val="99"/>
    <w:rPr>
      <w:rFonts w:ascii="Tahoma" w:hAnsi="Tahoma" w:cs="Tahom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64</Pages>
  <Words>5531</Words>
  <Characters>31532</Characters>
  <Lines>262</Lines>
  <Paragraphs>73</Paragraphs>
  <TotalTime>9</TotalTime>
  <ScaleCrop>false</ScaleCrop>
  <LinksUpToDate>false</LinksUpToDate>
  <CharactersWithSpaces>36990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2020-01-15T07:12:00Z</dcterms:created>
  <dc:creator>杨玲华</dc:creator>
  <cp:lastModifiedBy>NTKO</cp:lastModifiedBy>
  <cp:lastPrinted>2020-03-04T03:00:00Z</cp:lastPrinted>
  <dcterms:modified xsi:type="dcterms:W3CDTF">2020-03-12T04:08:56Z</dcterms:modified>
  <dc:title>杭州市滨江区人才大厦卫生洁具招标</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