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sz w:val="44"/>
          <w:szCs w:val="44"/>
          <w:lang w:val="en-US" w:eastAsia="zh-CN"/>
        </w:rPr>
      </w:pPr>
      <w:r>
        <w:rPr>
          <w:rFonts w:hint="eastAsia" w:ascii="宋体" w:hAnsi="宋体" w:cs="宋体"/>
          <w:b/>
          <w:sz w:val="44"/>
          <w:szCs w:val="44"/>
          <w:lang w:val="en-US" w:eastAsia="zh-CN"/>
        </w:rPr>
        <w:t xml:space="preserve"> </w:t>
      </w: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b/>
          <w:bCs/>
          <w:sz w:val="48"/>
          <w:szCs w:val="48"/>
        </w:rPr>
      </w:pPr>
      <w:r>
        <w:rPr>
          <w:rFonts w:hint="eastAsia" w:ascii="宋体" w:hAnsi="宋体" w:cs="宋体"/>
          <w:b/>
          <w:bCs/>
          <w:sz w:val="44"/>
          <w:szCs w:val="44"/>
          <w:lang w:eastAsia="zh-CN"/>
        </w:rPr>
        <w:t>淳安县汾口镇自来水厂增压泵设备采购项目</w:t>
      </w:r>
    </w:p>
    <w:p>
      <w:pPr>
        <w:adjustRightInd/>
        <w:spacing w:line="360" w:lineRule="auto"/>
        <w:rPr>
          <w:rFonts w:ascii="宋体" w:hAnsi="宋体" w:cs="宋体"/>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eastAsia="宋体" w:cs="宋体"/>
          <w:sz w:val="30"/>
          <w:szCs w:val="30"/>
          <w:lang w:val="en-US" w:eastAsia="zh-CN"/>
        </w:rPr>
      </w:pPr>
      <w:r>
        <w:rPr>
          <w:rFonts w:hint="eastAsia" w:ascii="宋体" w:hAnsi="宋体" w:cs="宋体"/>
          <w:sz w:val="30"/>
          <w:szCs w:val="30"/>
        </w:rPr>
        <w:t>编号:</w:t>
      </w:r>
      <w:r>
        <w:rPr>
          <w:rFonts w:hint="eastAsia" w:ascii="宋体" w:hAnsi="宋体" w:cs="宋体"/>
          <w:sz w:val="30"/>
          <w:szCs w:val="30"/>
          <w:lang w:eastAsia="zh-CN"/>
        </w:rPr>
        <w:t>ZJKJCA[2024]004号</w:t>
      </w:r>
      <w:r>
        <w:rPr>
          <w:rFonts w:hint="eastAsia" w:ascii="宋体" w:hAnsi="宋体" w:cs="宋体"/>
          <w:sz w:val="30"/>
          <w:szCs w:val="30"/>
          <w:lang w:val="en-US" w:eastAsia="zh-CN"/>
        </w:rPr>
        <w:t xml:space="preserve">   </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pStyle w:val="3"/>
      </w:pPr>
    </w:p>
    <w:p>
      <w:pPr>
        <w:snapToGrid w:val="0"/>
        <w:spacing w:line="360" w:lineRule="auto"/>
        <w:jc w:val="center"/>
        <w:rPr>
          <w:rFonts w:hint="eastAsia" w:ascii="宋体" w:hAnsi="宋体" w:eastAsia="宋体" w:cs="宋体"/>
          <w:sz w:val="32"/>
          <w:szCs w:val="32"/>
          <w:lang w:eastAsia="zh-CN"/>
        </w:rPr>
      </w:pPr>
      <w:r>
        <w:rPr>
          <w:rFonts w:hint="eastAsia" w:ascii="宋体" w:hAnsi="宋体" w:cs="宋体"/>
          <w:sz w:val="32"/>
          <w:szCs w:val="32"/>
          <w:lang w:eastAsia="zh-CN"/>
        </w:rPr>
        <w:t>淳安县汾口镇人民政府</w:t>
      </w:r>
    </w:p>
    <w:p>
      <w:pPr>
        <w:spacing w:line="360" w:lineRule="auto"/>
        <w:jc w:val="center"/>
        <w:rPr>
          <w:rFonts w:ascii="宋体" w:hAnsi="宋体" w:cs="宋体"/>
          <w:bCs/>
          <w:sz w:val="32"/>
          <w:szCs w:val="32"/>
        </w:rPr>
      </w:pPr>
      <w:r>
        <w:rPr>
          <w:rFonts w:hint="eastAsia" w:ascii="宋体" w:hAnsi="宋体" w:cs="宋体"/>
          <w:bCs/>
          <w:sz w:val="32"/>
          <w:szCs w:val="32"/>
        </w:rPr>
        <w:t>浙江科佳工程咨询有限公司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四</w:t>
      </w:r>
      <w:r>
        <w:rPr>
          <w:rFonts w:hint="eastAsia" w:ascii="宋体" w:hAnsi="宋体" w:cs="宋体"/>
          <w:bCs/>
          <w:sz w:val="32"/>
          <w:szCs w:val="32"/>
        </w:rPr>
        <w:t>年</w:t>
      </w:r>
      <w:r>
        <w:rPr>
          <w:rFonts w:hint="eastAsia" w:ascii="宋体" w:hAnsi="宋体" w:cs="宋体"/>
          <w:bCs/>
          <w:sz w:val="32"/>
          <w:szCs w:val="32"/>
          <w:lang w:val="en-US" w:eastAsia="zh-CN"/>
        </w:rPr>
        <w:t>三</w:t>
      </w:r>
      <w:r>
        <w:rPr>
          <w:rFonts w:hint="eastAsia" w:ascii="宋体" w:hAnsi="宋体" w:cs="宋体"/>
          <w:bCs/>
          <w:sz w:val="32"/>
          <w:szCs w:val="32"/>
          <w:lang w:eastAsia="zh-CN"/>
        </w:rPr>
        <w:t>月</w:t>
      </w:r>
      <w:r>
        <w:rPr>
          <w:rFonts w:hint="eastAsia" w:ascii="宋体" w:hAnsi="宋体" w:cs="宋体"/>
          <w:bCs/>
          <w:sz w:val="32"/>
          <w:szCs w:val="32"/>
          <w:lang w:val="en-US" w:eastAsia="zh-CN"/>
        </w:rPr>
        <w:t>二十八</w:t>
      </w:r>
      <w:r>
        <w:rPr>
          <w:rFonts w:hint="eastAsia" w:ascii="宋体" w:hAnsi="宋体" w:cs="宋体"/>
          <w:bCs/>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u w:val="single"/>
        </w:rPr>
      </w:pPr>
      <w:r>
        <w:rPr>
          <w:rFonts w:hint="eastAsia" w:cs="仿宋_GB2312" w:asciiTheme="minorEastAsia" w:hAnsiTheme="minorEastAsia" w:eastAsiaTheme="minorEastAsia"/>
          <w:sz w:val="24"/>
          <w:u w:val="single"/>
          <w:lang w:eastAsia="zh-CN"/>
        </w:rPr>
        <w:t>淳安县汾口镇自来水厂增压泵设备采购项目</w:t>
      </w:r>
      <w:r>
        <w:rPr>
          <w:rFonts w:hint="eastAsia" w:asciiTheme="minorEastAsia" w:hAnsiTheme="minorEastAsia" w:eastAsiaTheme="minorEastAsia"/>
          <w:color w:val="auto"/>
          <w:sz w:val="24"/>
        </w:rPr>
        <w:t>招标项目的潜在投标人应在政采云平台（</w:t>
      </w:r>
      <w:r>
        <w:rPr>
          <w:color w:val="auto"/>
        </w:rPr>
        <w:fldChar w:fldCharType="begin"/>
      </w:r>
      <w:r>
        <w:rPr>
          <w:color w:val="auto"/>
        </w:rPr>
        <w:instrText xml:space="preserve"> HYPERLINK "https://www.zcygov.cn/）获取（下载）招标文件，并于2023年9月28日9时00分00秒" </w:instrText>
      </w:r>
      <w:r>
        <w:rPr>
          <w:color w:val="auto"/>
        </w:rPr>
        <w:fldChar w:fldCharType="separate"/>
      </w:r>
      <w:r>
        <w:rPr>
          <w:rStyle w:val="77"/>
          <w:rFonts w:cs="Times New Roman" w:asciiTheme="minorEastAsia" w:hAnsiTheme="minorEastAsia" w:eastAsiaTheme="minorEastAsia"/>
          <w:snapToGrid/>
          <w:color w:val="auto"/>
          <w:kern w:val="2"/>
          <w:sz w:val="24"/>
          <w:szCs w:val="24"/>
        </w:rPr>
        <w:t>https://www.zcygov.cn/）获取（下载）招标文件，并于</w:t>
      </w:r>
      <w:r>
        <w:rPr>
          <w:rStyle w:val="77"/>
          <w:rFonts w:hint="eastAsia" w:cs="Times New Roman" w:asciiTheme="minorEastAsia" w:hAnsiTheme="minorEastAsia" w:eastAsiaTheme="minorEastAsia"/>
          <w:snapToGrid/>
          <w:color w:val="auto"/>
          <w:kern w:val="2"/>
          <w:sz w:val="24"/>
          <w:szCs w:val="24"/>
        </w:rPr>
        <w:t>202</w:t>
      </w:r>
      <w:r>
        <w:rPr>
          <w:rStyle w:val="77"/>
          <w:rFonts w:hint="eastAsia" w:cs="Times New Roman" w:asciiTheme="minorEastAsia" w:hAnsiTheme="minorEastAsia" w:eastAsiaTheme="minorEastAsia"/>
          <w:snapToGrid/>
          <w:color w:val="auto"/>
          <w:kern w:val="2"/>
          <w:sz w:val="24"/>
          <w:szCs w:val="24"/>
          <w:lang w:val="en-US" w:eastAsia="zh-CN"/>
        </w:rPr>
        <w:t>4</w:t>
      </w:r>
      <w:r>
        <w:rPr>
          <w:rStyle w:val="77"/>
          <w:rFonts w:cs="Times New Roman" w:asciiTheme="minorEastAsia" w:hAnsiTheme="minorEastAsia" w:eastAsiaTheme="minorEastAsia"/>
          <w:snapToGrid/>
          <w:color w:val="auto"/>
          <w:kern w:val="2"/>
          <w:sz w:val="24"/>
          <w:szCs w:val="24"/>
        </w:rPr>
        <w:t>年</w:t>
      </w:r>
      <w:r>
        <w:rPr>
          <w:rStyle w:val="77"/>
          <w:rFonts w:hint="eastAsia" w:cs="Times New Roman" w:asciiTheme="minorEastAsia" w:hAnsiTheme="minorEastAsia" w:eastAsiaTheme="minorEastAsia"/>
          <w:snapToGrid/>
          <w:color w:val="auto"/>
          <w:kern w:val="2"/>
          <w:sz w:val="24"/>
          <w:szCs w:val="24"/>
          <w:lang w:val="en-US" w:eastAsia="zh-CN"/>
        </w:rPr>
        <w:t>4</w:t>
      </w:r>
      <w:r>
        <w:rPr>
          <w:rStyle w:val="77"/>
          <w:rFonts w:hint="eastAsia" w:cs="Times New Roman" w:asciiTheme="minorEastAsia" w:hAnsiTheme="minorEastAsia" w:eastAsiaTheme="minorEastAsia"/>
          <w:snapToGrid/>
          <w:color w:val="auto"/>
          <w:kern w:val="2"/>
          <w:sz w:val="24"/>
          <w:szCs w:val="24"/>
        </w:rPr>
        <w:t>月</w:t>
      </w:r>
      <w:r>
        <w:rPr>
          <w:rStyle w:val="77"/>
          <w:rFonts w:hint="eastAsia" w:cs="Times New Roman" w:asciiTheme="minorEastAsia" w:hAnsiTheme="minorEastAsia" w:eastAsiaTheme="minorEastAsia"/>
          <w:snapToGrid/>
          <w:color w:val="auto"/>
          <w:kern w:val="2"/>
          <w:sz w:val="24"/>
          <w:szCs w:val="24"/>
          <w:lang w:val="en-US" w:eastAsia="zh-CN"/>
        </w:rPr>
        <w:t>18</w:t>
      </w:r>
      <w:r>
        <w:rPr>
          <w:rStyle w:val="77"/>
          <w:rFonts w:hint="eastAsia" w:cs="Times New Roman" w:asciiTheme="minorEastAsia" w:hAnsiTheme="minorEastAsia" w:eastAsiaTheme="minorEastAsia"/>
          <w:snapToGrid/>
          <w:color w:val="auto"/>
          <w:kern w:val="2"/>
          <w:sz w:val="24"/>
          <w:szCs w:val="24"/>
        </w:rPr>
        <w:t>日9时</w:t>
      </w:r>
      <w:r>
        <w:rPr>
          <w:rStyle w:val="77"/>
          <w:rFonts w:hint="eastAsia" w:cs="Times New Roman" w:asciiTheme="minorEastAsia" w:hAnsiTheme="minorEastAsia" w:eastAsiaTheme="minorEastAsia"/>
          <w:snapToGrid/>
          <w:color w:val="auto"/>
          <w:kern w:val="2"/>
          <w:sz w:val="24"/>
          <w:szCs w:val="24"/>
          <w:lang w:val="en-US" w:eastAsia="zh-CN"/>
        </w:rPr>
        <w:t>30</w:t>
      </w:r>
      <w:r>
        <w:rPr>
          <w:rStyle w:val="77"/>
          <w:rFonts w:hint="eastAsia" w:cs="Times New Roman" w:asciiTheme="minorEastAsia" w:hAnsiTheme="minorEastAsia" w:eastAsiaTheme="minorEastAsia"/>
          <w:snapToGrid/>
          <w:color w:val="auto"/>
          <w:kern w:val="2"/>
          <w:sz w:val="24"/>
          <w:szCs w:val="24"/>
        </w:rPr>
        <w:t>分</w:t>
      </w:r>
      <w:r>
        <w:rPr>
          <w:rStyle w:val="77"/>
          <w:rFonts w:hint="eastAsia" w:cs="Times New Roman" w:asciiTheme="minorEastAsia" w:hAnsiTheme="minorEastAsia" w:eastAsiaTheme="minorEastAsia"/>
          <w:bCs/>
          <w:snapToGrid/>
          <w:color w:val="auto"/>
          <w:kern w:val="2"/>
          <w:sz w:val="24"/>
          <w:szCs w:val="24"/>
        </w:rPr>
        <w:t>00秒</w:t>
      </w:r>
      <w:r>
        <w:rPr>
          <w:rStyle w:val="77"/>
          <w:rFonts w:hint="eastAsia" w:cs="Times New Roman" w:asciiTheme="minorEastAsia" w:hAnsiTheme="minorEastAsia" w:eastAsiaTheme="minorEastAsia"/>
          <w:bCs/>
          <w:snapToGrid/>
          <w:color w:val="auto"/>
          <w:kern w:val="2"/>
          <w:sz w:val="24"/>
          <w:szCs w:val="24"/>
        </w:rPr>
        <w:fldChar w:fldCharType="end"/>
      </w:r>
      <w:r>
        <w:rPr>
          <w:rFonts w:hint="eastAsia" w:asciiTheme="minorEastAsia" w:hAnsiTheme="minorEastAsia" w:eastAsiaTheme="minorEastAsia"/>
          <w:bCs/>
          <w:color w:val="auto"/>
          <w:sz w:val="24"/>
        </w:rPr>
        <w:t>（北京时间）前</w:t>
      </w:r>
      <w:r>
        <w:rPr>
          <w:rFonts w:hint="eastAsia" w:asciiTheme="minorEastAsia" w:hAnsiTheme="minorEastAsia" w:eastAsiaTheme="minorEastAsia"/>
          <w:color w:val="auto"/>
          <w:sz w:val="24"/>
        </w:rPr>
        <w:t>递交（上传）投标文件。</w:t>
      </w:r>
    </w:p>
    <w:p>
      <w:pPr>
        <w:spacing w:line="360" w:lineRule="auto"/>
        <w:rPr>
          <w:rFonts w:ascii="宋体" w:hAnsi="宋体" w:cs="宋体"/>
          <w:b/>
          <w:sz w:val="24"/>
        </w:rPr>
      </w:pPr>
      <w:r>
        <w:rPr>
          <w:rFonts w:hint="eastAsia" w:ascii="宋体" w:hAnsi="宋体" w:cs="宋体"/>
          <w:b/>
          <w:color w:val="auto"/>
          <w:sz w:val="24"/>
        </w:rPr>
        <w:t xml:space="preserve">一、项目基本情况                             </w:t>
      </w:r>
      <w:r>
        <w:rPr>
          <w:rFonts w:hint="eastAsia" w:ascii="宋体" w:hAnsi="宋体" w:cs="宋体"/>
          <w:b/>
          <w:sz w:val="24"/>
        </w:rPr>
        <w:t xml:space="preserve">               </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lang w:eastAsia="zh-CN"/>
        </w:rPr>
        <w:t>ZJKJCA[2024]004号</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lang w:eastAsia="zh-CN"/>
        </w:rPr>
        <w:t>淳安县汾口镇自来水厂增压泵设备采购项目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sz w:val="24"/>
          <w:lang w:eastAsia="zh-CN"/>
        </w:rPr>
        <w:t>610000</w:t>
      </w:r>
      <w:r>
        <w:rPr>
          <w:rFonts w:hint="eastAsia" w:ascii="宋体" w:hAnsi="宋体" w:cs="宋体"/>
          <w:b/>
          <w:sz w:val="24"/>
        </w:rPr>
        <w:t>.00</w:t>
      </w:r>
      <w:r>
        <w:rPr>
          <w:rFonts w:hint="eastAsia" w:ascii="宋体" w:hAnsi="宋体" w:cs="宋体"/>
          <w:sz w:val="24"/>
        </w:rPr>
        <w:t xml:space="preserve">元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sz w:val="24"/>
          <w:lang w:eastAsia="zh-CN"/>
        </w:rPr>
        <w:t>610000</w:t>
      </w:r>
      <w:r>
        <w:rPr>
          <w:rFonts w:hint="eastAsia" w:ascii="宋体" w:hAnsi="宋体" w:cs="宋体"/>
          <w:b/>
          <w:sz w:val="24"/>
        </w:rPr>
        <w:t>.00</w:t>
      </w:r>
      <w:r>
        <w:rPr>
          <w:rFonts w:hint="eastAsia" w:ascii="宋体" w:hAnsi="宋体" w:cs="宋体"/>
          <w:sz w:val="24"/>
        </w:rPr>
        <w:t>元</w:t>
      </w:r>
    </w:p>
    <w:p>
      <w:pPr>
        <w:keepNext w:val="0"/>
        <w:keepLines w:val="0"/>
        <w:widowControl/>
        <w:suppressLineNumbers w:val="0"/>
        <w:ind w:firstLine="482" w:firstLineChars="200"/>
        <w:jc w:val="left"/>
        <w:rPr>
          <w:rFonts w:asciiTheme="minorEastAsia" w:hAnsiTheme="minorEastAsia" w:eastAsiaTheme="minorEastAsia"/>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淳安县汾口镇自来水厂增压泵设备采购项目</w:t>
      </w:r>
      <w:r>
        <w:rPr>
          <w:rFonts w:hint="eastAsia" w:hAnsi="宋体" w:cs="宋体"/>
          <w:bCs/>
          <w:snapToGrid/>
          <w:color w:val="auto"/>
          <w:kern w:val="2"/>
          <w:sz w:val="24"/>
          <w:szCs w:val="24"/>
        </w:rPr>
        <w:t>，主要内容：</w:t>
      </w:r>
      <w:r>
        <w:rPr>
          <w:rFonts w:hint="eastAsia" w:hAnsi="宋体" w:cs="宋体"/>
          <w:bCs/>
          <w:snapToGrid/>
          <w:color w:val="auto"/>
          <w:kern w:val="2"/>
          <w:sz w:val="24"/>
          <w:szCs w:val="24"/>
          <w:lang w:val="en-US" w:eastAsia="zh-CN"/>
        </w:rPr>
        <w:t xml:space="preserve">汾口自来水厂采购增压泵 </w:t>
      </w:r>
      <w:r>
        <w:rPr>
          <w:rFonts w:hint="eastAsia" w:hAnsi="宋体" w:cs="宋体"/>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5"/>
        <w:spacing w:line="360" w:lineRule="auto"/>
        <w:ind w:firstLine="480"/>
        <w:rPr>
          <w:rFonts w:hAnsi="宋体" w:cs="仿宋"/>
          <w:color w:val="000000" w:themeColor="text1"/>
          <w:sz w:val="24"/>
          <w:szCs w:val="24"/>
          <w14:textFill>
            <w14:solidFill>
              <w14:schemeClr w14:val="tx1"/>
            </w14:solidFill>
          </w14:textFill>
        </w:rPr>
      </w:pPr>
      <w:r>
        <w:rPr>
          <w:rFonts w:hint="eastAsia" w:hAnsi="宋体" w:cs="宋体"/>
          <w:b/>
          <w:bCs w:val="0"/>
          <w:snapToGrid/>
          <w:color w:val="000000" w:themeColor="text1"/>
          <w:kern w:val="2"/>
          <w:sz w:val="24"/>
          <w:szCs w:val="24"/>
          <w14:textFill>
            <w14:solidFill>
              <w14:schemeClr w14:val="tx1"/>
            </w14:solidFill>
          </w14:textFill>
        </w:rPr>
        <w:t>合同履约期限</w:t>
      </w:r>
      <w:r>
        <w:rPr>
          <w:rFonts w:hint="eastAsia" w:hAnsi="宋体" w:cs="宋体"/>
          <w:b/>
          <w:bCs w:val="0"/>
          <w:snapToGrid/>
          <w:color w:val="000000" w:themeColor="text1"/>
          <w:kern w:val="2"/>
          <w:sz w:val="24"/>
          <w:szCs w:val="24"/>
          <w:lang w:eastAsia="zh-CN"/>
          <w14:textFill>
            <w14:solidFill>
              <w14:schemeClr w14:val="tx1"/>
            </w14:solidFill>
          </w14:textFill>
        </w:rPr>
        <w:t>：</w:t>
      </w:r>
      <w:r>
        <w:rPr>
          <w:rFonts w:hint="eastAsia" w:ascii="宋体" w:hAnsi="宋体" w:eastAsia="宋体" w:cs="宋体"/>
          <w:b w:val="0"/>
          <w:bCs/>
          <w:color w:val="auto"/>
          <w:sz w:val="24"/>
          <w:szCs w:val="24"/>
          <w:highlight w:val="none"/>
        </w:rPr>
        <w:t>合同签订且接采购人通知后</w:t>
      </w:r>
      <w:r>
        <w:rPr>
          <w:rFonts w:hint="eastAsia" w:hAnsi="宋体" w:cs="宋体"/>
          <w:b w:val="0"/>
          <w:bCs/>
          <w:color w:val="auto"/>
          <w:sz w:val="24"/>
          <w:szCs w:val="24"/>
          <w:highlight w:val="none"/>
          <w:lang w:val="en-US" w:eastAsia="zh-CN"/>
        </w:rPr>
        <w:t>45</w:t>
      </w:r>
      <w:r>
        <w:rPr>
          <w:rFonts w:hint="eastAsia" w:ascii="宋体" w:hAnsi="宋体" w:eastAsia="宋体" w:cs="宋体"/>
          <w:b w:val="0"/>
          <w:bCs/>
          <w:color w:val="auto"/>
          <w:sz w:val="24"/>
          <w:szCs w:val="24"/>
          <w:highlight w:val="none"/>
        </w:rPr>
        <w:t>天内到货并安装完成。</w:t>
      </w:r>
      <w:r>
        <w:rPr>
          <w:rFonts w:hint="eastAsia" w:hAnsi="宋体" w:cs="仿宋"/>
          <w:bCs/>
          <w:color w:val="FF0000"/>
          <w:sz w:val="24"/>
          <w:szCs w:val="24"/>
          <w:highlight w:val="none"/>
          <w:lang w:val="en-US" w:eastAsia="zh-CN"/>
        </w:rPr>
        <w:t xml:space="preserve"> </w:t>
      </w:r>
    </w:p>
    <w:p>
      <w:pPr>
        <w:pStyle w:val="15"/>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sdtPr>
        <w:sdtEndPr>
          <w:rPr>
            <w:rFonts w:hint="eastAsia" w:hAnsi="宋体" w:cs="宋体"/>
            <w:color w:val="auto"/>
            <w:kern w:val="0"/>
            <w:sz w:val="24"/>
          </w:rPr>
        </w:sdtEndPr>
        <w:sdtContent>
          <w:r>
            <w:rPr>
              <w:rFonts w:ascii="Wingdings" w:hAnsi="Wingdings" w:cs="宋体"/>
              <w:color w:val="auto"/>
              <w:kern w:val="0"/>
              <w:sz w:val="24"/>
            </w:rPr>
            <w:t></w:t>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sdtPr>
        <w:sdtEndPr>
          <w:rPr>
            <w:rFonts w:hint="eastAsia" w:hAnsi="宋体" w:cs="宋体"/>
            <w:color w:val="auto"/>
            <w:kern w:val="0"/>
            <w:sz w:val="24"/>
          </w:rPr>
        </w:sdtEndPr>
        <w:sdtContent>
          <w:r>
            <w:rPr>
              <w:rFonts w:hint="eastAsia" w:ascii="MS Gothic" w:hAnsi="MS Gothic"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sdtPr>
        <w:sdtEndPr>
          <w:rPr>
            <w:rFonts w:hint="eastAsia" w:ascii="宋体" w:hAnsi="宋体" w:cs="宋体"/>
            <w:kern w:val="0"/>
            <w:sz w:val="24"/>
          </w:rPr>
        </w:sdtEndPr>
        <w:sdtContent>
          <w:r>
            <w:rPr>
              <w:rFonts w:ascii="Wingdings" w:hAnsi="Wingdings" w:eastAsia="MS Gothic" w:cs="宋体"/>
              <w:kern w:val="0"/>
              <w:sz w:val="24"/>
            </w:rPr>
            <w:sym w:font="Wingdings" w:char="00A8"/>
          </w:r>
        </w:sdtContent>
      </w:sdt>
      <w:sdt>
        <w:sdtPr>
          <w:rPr>
            <w:rFonts w:hint="eastAsia" w:ascii="宋体" w:hAnsi="宋体" w:cs="宋体"/>
            <w:kern w:val="0"/>
            <w:sz w:val="24"/>
          </w:rPr>
          <w:id w:val="1928616923"/>
        </w:sdtPr>
        <w:sdtEndPr>
          <w:rPr>
            <w:rFonts w:hint="eastAsia" w:ascii="宋体" w:hAnsi="宋体" w:cs="宋体"/>
            <w:kern w:val="0"/>
            <w:sz w:val="24"/>
          </w:rPr>
        </w:sdtEndP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sdtPr>
        <w:sdtEndPr>
          <w:rPr>
            <w:rFonts w:hint="eastAsia" w:ascii="宋体" w:hAnsi="宋体" w:cs="宋体"/>
            <w:kern w:val="0"/>
            <w:sz w:val="24"/>
          </w:rPr>
        </w:sdtEndPr>
        <w:sdtContent>
          <w:r>
            <w:rPr>
              <w:rFonts w:ascii="Wingdings" w:hAnsi="Wingdings" w:eastAsia="MS Gothic" w:cs="宋体"/>
              <w:kern w:val="0"/>
              <w:sz w:val="24"/>
            </w:rPr>
            <w:sym w:font="Wingdings" w:char="00FE"/>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sdt>
        <w:sdtPr>
          <w:rPr>
            <w:rFonts w:hint="eastAsia" w:ascii="宋体" w:hAnsi="宋体" w:cs="宋体"/>
            <w:kern w:val="0"/>
            <w:sz w:val="24"/>
          </w:rPr>
          <w:id w:val="-924730588"/>
        </w:sdtPr>
        <w:sdtEndPr>
          <w:rPr>
            <w:rFonts w:hint="eastAsia" w:ascii="宋体" w:hAnsi="宋体" w:cs="宋体"/>
            <w:kern w:val="0"/>
            <w:sz w:val="24"/>
          </w:rPr>
        </w:sdtEndPr>
        <w:sdtContent>
          <w:r>
            <w:rPr>
              <w:rFonts w:ascii="Wingdings" w:hAnsi="Wingdings" w:eastAsia="MS Gothic" w:cs="宋体"/>
              <w:kern w:val="0"/>
              <w:sz w:val="24"/>
            </w:rPr>
            <w:sym w:font="Wingdings" w:char="00FE"/>
          </w:r>
        </w:sdtContent>
      </w:sdt>
      <w:r>
        <w:rPr>
          <w:rFonts w:hint="eastAsia" w:ascii="宋体" w:hAnsi="宋体" w:cs="宋体"/>
          <w:sz w:val="24"/>
        </w:rPr>
        <w:t>货物全部由符合政策要求的中小企业制造，提供中小企业声明函；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1152604937"/>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sdtPr>
        <w:sdtEndPr>
          <w:rPr>
            <w:rFonts w:hint="eastAsia" w:ascii="宋体" w:hAnsi="宋体" w:cs="宋体"/>
            <w:kern w:val="0"/>
            <w:sz w:val="24"/>
          </w:rPr>
        </w:sdtEndPr>
        <w:sdtContent>
          <w:r>
            <w:rPr>
              <w:rFonts w:hint="eastAsia" w:ascii="宋体" w:hAnsi="宋体" w:cs="宋体"/>
              <w:kern w:val="0"/>
              <w:sz w:val="24"/>
            </w:rPr>
            <w:t>☐</w:t>
          </w:r>
          <w:bookmarkStart w:id="12" w:name="_Hlk101132524"/>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bookmarkEnd w:id="12"/>
    <w:p>
      <w:pPr>
        <w:spacing w:line="360" w:lineRule="auto"/>
        <w:ind w:firstLine="480" w:firstLineChars="200"/>
        <w:rPr>
          <w:rFonts w:ascii="宋体" w:hAnsi="宋体" w:cs="宋体"/>
          <w:sz w:val="24"/>
        </w:rPr>
      </w:pPr>
      <w:sdt>
        <w:sdtPr>
          <w:rPr>
            <w:rFonts w:hint="eastAsia" w:ascii="宋体" w:hAnsi="宋体" w:cs="宋体"/>
            <w:kern w:val="0"/>
            <w:sz w:val="24"/>
          </w:rPr>
          <w:id w:val="3463064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sdt>
        <w:sdtPr>
          <w:rPr>
            <w:rFonts w:hint="eastAsia" w:ascii="宋体" w:hAnsi="宋体" w:cs="宋体"/>
            <w:kern w:val="0"/>
            <w:sz w:val="24"/>
          </w:rPr>
          <w:id w:val="-1508982547"/>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sz w:val="24"/>
        </w:rPr>
        <w:t>无</w:t>
      </w:r>
    </w:p>
    <w:p>
      <w:pPr>
        <w:snapToGrid w:val="0"/>
        <w:spacing w:line="360" w:lineRule="auto"/>
        <w:ind w:firstLine="480" w:firstLineChars="200"/>
        <w:rPr>
          <w:rFonts w:ascii="宋体" w:hAnsi="宋体" w:cs="宋体"/>
          <w:sz w:val="24"/>
        </w:rPr>
      </w:pPr>
      <w:sdt>
        <w:sdtPr>
          <w:rPr>
            <w:rFonts w:hint="eastAsia" w:ascii="宋体" w:hAnsi="宋体" w:cs="宋体"/>
            <w:kern w:val="0"/>
            <w:sz w:val="24"/>
          </w:rPr>
          <w:id w:val="-1607112291"/>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sz w:val="24"/>
        </w:rPr>
        <w:t>有特定资格要求：</w:t>
      </w:r>
      <w:r>
        <w:rPr>
          <w:rFonts w:hint="eastAsia" w:ascii="宋体" w:hAnsi="宋体" w:cs="宋体"/>
          <w:sz w:val="24"/>
          <w:u w:val="single"/>
        </w:rPr>
        <w:t xml:space="preserve">           </w:t>
      </w:r>
      <w:r>
        <w:rPr>
          <w:rFonts w:hint="eastAsia" w:ascii="宋体" w:hAnsi="宋体" w:cs="宋体"/>
          <w:sz w:val="24"/>
        </w:rPr>
        <w:t>，该特定条件的法律法规依据：</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sz w:val="24"/>
        </w:rPr>
        <w:t>三、获取招</w:t>
      </w:r>
      <w:r>
        <w:rPr>
          <w:rFonts w:hint="eastAsia" w:ascii="宋体" w:hAnsi="宋体" w:cs="宋体"/>
          <w:b/>
          <w:color w:val="auto"/>
          <w:sz w:val="24"/>
        </w:rPr>
        <w:t>标</w:t>
      </w:r>
      <w:r>
        <w:rPr>
          <w:rFonts w:hint="eastAsia" w:ascii="宋体" w:hAnsi="宋体" w:cs="宋体"/>
          <w:b/>
          <w:color w:val="auto"/>
          <w:sz w:val="24"/>
        </w:rPr>
        <w:t xml:space="preserve">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4</w:t>
      </w:r>
      <w:r>
        <w:rPr>
          <w:rFonts w:hint="eastAsia" w:ascii="宋体" w:hAnsi="宋体" w:cs="宋体"/>
          <w:color w:val="auto"/>
          <w:sz w:val="24"/>
          <w:u w:val="single"/>
        </w:rPr>
        <w:t>月</w:t>
      </w:r>
      <w:r>
        <w:rPr>
          <w:rFonts w:hint="eastAsia" w:ascii="宋体" w:hAnsi="宋体" w:cs="宋体"/>
          <w:color w:val="auto"/>
          <w:sz w:val="24"/>
          <w:u w:val="single"/>
          <w:lang w:val="en-US" w:eastAsia="zh-CN"/>
        </w:rPr>
        <w:t>18</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w:t>
      </w:r>
      <w:r>
        <w:rPr>
          <w:rFonts w:hint="eastAsia" w:ascii="宋体" w:hAnsi="宋体" w:cs="宋体"/>
          <w:b/>
          <w:color w:val="auto"/>
          <w:sz w:val="24"/>
        </w:rPr>
        <w:t>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b/>
          <w:color w:val="auto"/>
          <w:sz w:val="24"/>
          <w:u w:val="single"/>
        </w:rPr>
        <w:t>：</w:t>
      </w:r>
      <w:r>
        <w:rPr>
          <w:rStyle w:val="77"/>
          <w:rFonts w:hint="eastAsia" w:cs="Times New Roman" w:asciiTheme="minorEastAsia" w:hAnsiTheme="minorEastAsia" w:eastAsiaTheme="minorEastAsia"/>
          <w:snapToGrid/>
          <w:color w:val="auto"/>
          <w:kern w:val="2"/>
          <w:sz w:val="24"/>
          <w:szCs w:val="24"/>
          <w:u w:val="single"/>
        </w:rPr>
        <w:t>202</w:t>
      </w:r>
      <w:r>
        <w:rPr>
          <w:rStyle w:val="77"/>
          <w:rFonts w:hint="eastAsia" w:cs="Times New Roman" w:asciiTheme="minorEastAsia" w:hAnsiTheme="minorEastAsia" w:eastAsiaTheme="minorEastAsia"/>
          <w:snapToGrid/>
          <w:color w:val="auto"/>
          <w:kern w:val="2"/>
          <w:sz w:val="24"/>
          <w:szCs w:val="24"/>
          <w:u w:val="single"/>
          <w:lang w:val="en-US" w:eastAsia="zh-CN"/>
        </w:rPr>
        <w:t>4</w:t>
      </w:r>
      <w:r>
        <w:rPr>
          <w:rStyle w:val="77"/>
          <w:rFonts w:cs="Times New Roman" w:asciiTheme="minorEastAsia" w:hAnsiTheme="minorEastAsia" w:eastAsiaTheme="minorEastAsia"/>
          <w:snapToGrid/>
          <w:color w:val="auto"/>
          <w:kern w:val="2"/>
          <w:sz w:val="24"/>
          <w:szCs w:val="24"/>
          <w:u w:val="single"/>
        </w:rPr>
        <w:t>年</w:t>
      </w:r>
      <w:r>
        <w:rPr>
          <w:rStyle w:val="77"/>
          <w:rFonts w:hint="eastAsia" w:cs="Times New Roman" w:asciiTheme="minorEastAsia" w:hAnsiTheme="minorEastAsia" w:eastAsiaTheme="minorEastAsia"/>
          <w:snapToGrid/>
          <w:color w:val="auto"/>
          <w:kern w:val="2"/>
          <w:sz w:val="24"/>
          <w:szCs w:val="24"/>
          <w:u w:val="single"/>
          <w:lang w:val="en-US" w:eastAsia="zh-CN"/>
        </w:rPr>
        <w:t>4</w:t>
      </w:r>
      <w:r>
        <w:rPr>
          <w:rStyle w:val="77"/>
          <w:rFonts w:hint="eastAsia" w:cs="Times New Roman" w:asciiTheme="minorEastAsia" w:hAnsiTheme="minorEastAsia" w:eastAsiaTheme="minorEastAsia"/>
          <w:snapToGrid/>
          <w:color w:val="auto"/>
          <w:kern w:val="2"/>
          <w:sz w:val="24"/>
          <w:szCs w:val="24"/>
          <w:u w:val="single"/>
        </w:rPr>
        <w:t>月</w:t>
      </w:r>
      <w:r>
        <w:rPr>
          <w:rStyle w:val="77"/>
          <w:rFonts w:hint="eastAsia" w:cs="Times New Roman" w:asciiTheme="minorEastAsia" w:hAnsiTheme="minorEastAsia" w:eastAsiaTheme="minorEastAsia"/>
          <w:snapToGrid/>
          <w:color w:val="auto"/>
          <w:kern w:val="2"/>
          <w:sz w:val="24"/>
          <w:szCs w:val="24"/>
          <w:u w:val="single"/>
          <w:lang w:val="en-US" w:eastAsia="zh-CN"/>
        </w:rPr>
        <w:t>18</w:t>
      </w:r>
      <w:r>
        <w:rPr>
          <w:rStyle w:val="77"/>
          <w:rFonts w:hint="eastAsia" w:cs="Times New Roman" w:asciiTheme="minorEastAsia" w:hAnsiTheme="minorEastAsia" w:eastAsiaTheme="minorEastAsia"/>
          <w:snapToGrid/>
          <w:color w:val="auto"/>
          <w:kern w:val="2"/>
          <w:sz w:val="24"/>
          <w:szCs w:val="24"/>
          <w:u w:val="single"/>
        </w:rPr>
        <w:t>日9时</w:t>
      </w:r>
      <w:r>
        <w:rPr>
          <w:rStyle w:val="77"/>
          <w:rFonts w:hint="eastAsia" w:cs="Times New Roman" w:asciiTheme="minorEastAsia" w:hAnsiTheme="minorEastAsia" w:eastAsiaTheme="minorEastAsia"/>
          <w:snapToGrid/>
          <w:color w:val="auto"/>
          <w:kern w:val="2"/>
          <w:sz w:val="24"/>
          <w:szCs w:val="24"/>
          <w:u w:val="single"/>
          <w:lang w:val="en-US" w:eastAsia="zh-CN"/>
        </w:rPr>
        <w:t>30</w:t>
      </w:r>
      <w:r>
        <w:rPr>
          <w:rStyle w:val="77"/>
          <w:rFonts w:hint="eastAsia" w:cs="Times New Roman" w:asciiTheme="minorEastAsia" w:hAnsiTheme="minorEastAsia" w:eastAsiaTheme="minorEastAsia"/>
          <w:snapToGrid/>
          <w:color w:val="auto"/>
          <w:kern w:val="2"/>
          <w:sz w:val="24"/>
          <w:szCs w:val="24"/>
          <w:u w:val="single"/>
        </w:rPr>
        <w:t>分</w:t>
      </w:r>
      <w:r>
        <w:rPr>
          <w:rStyle w:val="77"/>
          <w:rFonts w:hint="eastAsia" w:cs="Times New Roman" w:asciiTheme="minorEastAsia" w:hAnsiTheme="minorEastAsia" w:eastAsiaTheme="minorEastAsia"/>
          <w:bCs/>
          <w:snapToGrid/>
          <w:color w:val="auto"/>
          <w:kern w:val="2"/>
          <w:sz w:val="24"/>
          <w:szCs w:val="24"/>
          <w:u w:val="single"/>
        </w:rPr>
        <w:t>00秒</w:t>
      </w:r>
      <w:r>
        <w:rPr>
          <w:rFonts w:hint="eastAsia" w:ascii="宋体" w:hAnsi="宋体" w:cs="宋体"/>
          <w:color w:val="auto"/>
          <w:sz w:val="24"/>
        </w:rPr>
        <w:t>（</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Style w:val="77"/>
          <w:rFonts w:hint="eastAsia" w:cs="Times New Roman" w:asciiTheme="minorEastAsia" w:hAnsiTheme="minorEastAsia" w:eastAsiaTheme="minorEastAsia"/>
          <w:bCs/>
          <w:snapToGrid/>
          <w:color w:val="auto"/>
          <w:kern w:val="2"/>
          <w:sz w:val="24"/>
          <w:szCs w:val="24"/>
        </w:rPr>
      </w:pPr>
      <w:r>
        <w:rPr>
          <w:rFonts w:hint="eastAsia" w:ascii="宋体" w:hAnsi="宋体" w:cs="宋体"/>
          <w:b/>
          <w:color w:val="auto"/>
          <w:sz w:val="24"/>
        </w:rPr>
        <w:t>开标时间：</w:t>
      </w:r>
      <w:r>
        <w:rPr>
          <w:rStyle w:val="77"/>
          <w:rFonts w:hint="eastAsia" w:cs="Times New Roman" w:asciiTheme="minorEastAsia" w:hAnsiTheme="minorEastAsia" w:eastAsiaTheme="minorEastAsia"/>
          <w:snapToGrid/>
          <w:color w:val="auto"/>
          <w:kern w:val="2"/>
          <w:sz w:val="24"/>
          <w:szCs w:val="24"/>
          <w:u w:val="single"/>
        </w:rPr>
        <w:t>202</w:t>
      </w:r>
      <w:r>
        <w:rPr>
          <w:rStyle w:val="77"/>
          <w:rFonts w:hint="eastAsia" w:cs="Times New Roman" w:asciiTheme="minorEastAsia" w:hAnsiTheme="minorEastAsia" w:eastAsiaTheme="minorEastAsia"/>
          <w:snapToGrid/>
          <w:color w:val="auto"/>
          <w:kern w:val="2"/>
          <w:sz w:val="24"/>
          <w:szCs w:val="24"/>
          <w:u w:val="single"/>
          <w:lang w:val="en-US" w:eastAsia="zh-CN"/>
        </w:rPr>
        <w:t>4</w:t>
      </w:r>
      <w:r>
        <w:rPr>
          <w:rStyle w:val="77"/>
          <w:rFonts w:cs="Times New Roman" w:asciiTheme="minorEastAsia" w:hAnsiTheme="minorEastAsia" w:eastAsiaTheme="minorEastAsia"/>
          <w:snapToGrid/>
          <w:color w:val="auto"/>
          <w:kern w:val="2"/>
          <w:sz w:val="24"/>
          <w:szCs w:val="24"/>
          <w:u w:val="single"/>
        </w:rPr>
        <w:t>年</w:t>
      </w:r>
      <w:r>
        <w:rPr>
          <w:rStyle w:val="77"/>
          <w:rFonts w:hint="eastAsia" w:cs="Times New Roman" w:asciiTheme="minorEastAsia" w:hAnsiTheme="minorEastAsia" w:eastAsiaTheme="minorEastAsia"/>
          <w:snapToGrid/>
          <w:color w:val="auto"/>
          <w:kern w:val="2"/>
          <w:sz w:val="24"/>
          <w:szCs w:val="24"/>
          <w:u w:val="single"/>
          <w:lang w:val="en-US" w:eastAsia="zh-CN"/>
        </w:rPr>
        <w:t>4</w:t>
      </w:r>
      <w:r>
        <w:rPr>
          <w:rStyle w:val="77"/>
          <w:rFonts w:hint="eastAsia" w:cs="Times New Roman" w:asciiTheme="minorEastAsia" w:hAnsiTheme="minorEastAsia" w:eastAsiaTheme="minorEastAsia"/>
          <w:snapToGrid/>
          <w:color w:val="auto"/>
          <w:kern w:val="2"/>
          <w:sz w:val="24"/>
          <w:szCs w:val="24"/>
          <w:u w:val="single"/>
        </w:rPr>
        <w:t>月</w:t>
      </w:r>
      <w:r>
        <w:rPr>
          <w:rStyle w:val="77"/>
          <w:rFonts w:hint="eastAsia" w:cs="Times New Roman" w:asciiTheme="minorEastAsia" w:hAnsiTheme="minorEastAsia" w:eastAsiaTheme="minorEastAsia"/>
          <w:snapToGrid/>
          <w:color w:val="auto"/>
          <w:kern w:val="2"/>
          <w:sz w:val="24"/>
          <w:szCs w:val="24"/>
          <w:u w:val="single"/>
          <w:lang w:val="en-US" w:eastAsia="zh-CN"/>
        </w:rPr>
        <w:t>18</w:t>
      </w:r>
      <w:r>
        <w:rPr>
          <w:rStyle w:val="77"/>
          <w:rFonts w:hint="eastAsia" w:cs="Times New Roman" w:asciiTheme="minorEastAsia" w:hAnsiTheme="minorEastAsia" w:eastAsiaTheme="minorEastAsia"/>
          <w:snapToGrid/>
          <w:color w:val="auto"/>
          <w:kern w:val="2"/>
          <w:sz w:val="24"/>
          <w:szCs w:val="24"/>
          <w:u w:val="single"/>
        </w:rPr>
        <w:t>日9时</w:t>
      </w:r>
      <w:r>
        <w:rPr>
          <w:rStyle w:val="77"/>
          <w:rFonts w:hint="eastAsia" w:cs="Times New Roman" w:asciiTheme="minorEastAsia" w:hAnsiTheme="minorEastAsia" w:eastAsiaTheme="minorEastAsia"/>
          <w:snapToGrid/>
          <w:color w:val="auto"/>
          <w:kern w:val="2"/>
          <w:sz w:val="24"/>
          <w:szCs w:val="24"/>
          <w:u w:val="single"/>
          <w:lang w:val="en-US" w:eastAsia="zh-CN"/>
        </w:rPr>
        <w:t>30</w:t>
      </w:r>
      <w:r>
        <w:rPr>
          <w:rStyle w:val="77"/>
          <w:rFonts w:hint="eastAsia" w:cs="Times New Roman" w:asciiTheme="minorEastAsia" w:hAnsiTheme="minorEastAsia" w:eastAsiaTheme="minorEastAsia"/>
          <w:snapToGrid/>
          <w:color w:val="auto"/>
          <w:kern w:val="2"/>
          <w:sz w:val="24"/>
          <w:szCs w:val="24"/>
          <w:u w:val="single"/>
        </w:rPr>
        <w:t>分</w:t>
      </w:r>
      <w:r>
        <w:rPr>
          <w:rStyle w:val="77"/>
          <w:rFonts w:hint="eastAsia" w:cs="Times New Roman" w:asciiTheme="minorEastAsia" w:hAnsiTheme="minorEastAsia" w:eastAsiaTheme="minorEastAsia"/>
          <w:bCs/>
          <w:snapToGrid/>
          <w:color w:val="auto"/>
          <w:kern w:val="2"/>
          <w:sz w:val="24"/>
          <w:szCs w:val="24"/>
          <w:u w:val="single"/>
        </w:rPr>
        <w:t>00秒</w:t>
      </w:r>
    </w:p>
    <w:p>
      <w:pPr>
        <w:spacing w:line="360" w:lineRule="auto"/>
        <w:ind w:firstLine="482" w:firstLineChars="200"/>
        <w:rPr>
          <w:rFonts w:ascii="宋体" w:hAnsi="宋体" w:cs="宋体"/>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r>
        <w:rPr>
          <w:rFonts w:hint="eastAsia" w:ascii="宋体" w:hAnsi="宋体" w:cs="宋体"/>
          <w:sz w:val="24"/>
        </w:rPr>
        <w:t>/）</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 </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 xml:space="preserve">名    称：淳安县汾口镇人民政府 </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地    址：淳安县水南路与淳开线交叉路口向东南约100米</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eastAsia="zh-CN"/>
        </w:rPr>
        <w:t xml:space="preserve">项目联系人（询问）:王安 </w:t>
      </w:r>
      <w:r>
        <w:rPr>
          <w:rFonts w:hint="eastAsia" w:ascii="宋体" w:hAnsi="宋体" w:cs="宋体"/>
          <w:sz w:val="24"/>
          <w:lang w:val="en-US" w:eastAsia="zh-CN"/>
        </w:rPr>
        <w:t xml:space="preserve"> </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lang w:eastAsia="zh-CN"/>
        </w:rPr>
        <w:t>项目联系方式（询问）:18405816352</w:t>
      </w:r>
      <w:r>
        <w:rPr>
          <w:rFonts w:hint="eastAsia" w:ascii="宋体" w:hAnsi="宋体" w:cs="宋体"/>
          <w:color w:val="auto"/>
          <w:sz w:val="24"/>
          <w:lang w:val="en-US" w:eastAsia="zh-CN"/>
        </w:rPr>
        <w:t xml:space="preserve"> </w:t>
      </w:r>
      <w:r>
        <w:rPr>
          <w:rFonts w:hint="eastAsia" w:ascii="宋体" w:hAnsi="宋体" w:cs="宋体"/>
          <w:color w:val="auto"/>
          <w:sz w:val="24"/>
          <w:lang w:eastAsia="zh-CN"/>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质疑联系人：郑涛</w:t>
      </w:r>
      <w:r>
        <w:rPr>
          <w:rFonts w:hint="eastAsia" w:ascii="宋体" w:hAnsi="宋体" w:cs="宋体"/>
          <w:color w:val="auto"/>
          <w:sz w:val="24"/>
          <w:lang w:val="en-US" w:eastAsia="zh-CN"/>
        </w:rPr>
        <w:t xml:space="preserve"> </w:t>
      </w:r>
      <w:r>
        <w:rPr>
          <w:rFonts w:hint="eastAsia" w:ascii="宋体" w:hAnsi="宋体" w:cs="宋体"/>
          <w:color w:val="auto"/>
          <w:sz w:val="24"/>
        </w:rPr>
        <w:t>   </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cs="宋体"/>
          <w:color w:val="auto"/>
          <w:sz w:val="24"/>
        </w:rPr>
        <w:t>质疑联系方式</w:t>
      </w:r>
      <w:r>
        <w:rPr>
          <w:rFonts w:hint="eastAsia" w:ascii="宋体" w:hAnsi="宋体" w:cs="宋体"/>
          <w:color w:val="auto"/>
          <w:sz w:val="24"/>
          <w:lang w:eastAsia="zh-CN"/>
        </w:rPr>
        <w:t>：</w:t>
      </w:r>
      <w:r>
        <w:rPr>
          <w:rFonts w:hint="eastAsia" w:ascii="宋体" w:hAnsi="宋体" w:cs="宋体"/>
          <w:color w:val="auto"/>
          <w:sz w:val="24"/>
        </w:rPr>
        <w:t>15968862083</w:t>
      </w:r>
      <w:r>
        <w:rPr>
          <w:rFonts w:hint="eastAsia" w:ascii="宋体" w:hAnsi="宋体" w:cs="宋体"/>
          <w:color w:val="auto"/>
          <w:sz w:val="24"/>
          <w:lang w:val="en-US" w:eastAsia="zh-CN"/>
        </w:rPr>
        <w:t xml:space="preserve"> </w:t>
      </w:r>
    </w:p>
    <w:p>
      <w:pPr>
        <w:spacing w:line="360" w:lineRule="auto"/>
        <w:ind w:firstLine="480"/>
        <w:rPr>
          <w:rFonts w:ascii="宋体" w:hAnsi="宋体" w:cs="宋体"/>
          <w:sz w:val="24"/>
        </w:rPr>
      </w:pPr>
      <w:r>
        <w:rPr>
          <w:rFonts w:hint="eastAsia" w:ascii="宋体" w:hAnsi="宋体" w:cs="宋体"/>
          <w:sz w:val="24"/>
        </w:rPr>
        <w:t xml:space="preserve">2.采购代理机构信息            </w:t>
      </w:r>
    </w:p>
    <w:p>
      <w:pPr>
        <w:spacing w:line="360" w:lineRule="auto"/>
        <w:ind w:firstLine="480"/>
        <w:rPr>
          <w:rFonts w:ascii="宋体" w:hAnsi="宋体" w:cs="宋体"/>
          <w:sz w:val="24"/>
        </w:rPr>
      </w:pPr>
      <w:r>
        <w:rPr>
          <w:rFonts w:hint="eastAsia" w:ascii="宋体" w:hAnsi="宋体" w:cs="宋体"/>
          <w:sz w:val="24"/>
        </w:rPr>
        <w:t>名    称：浙江科佳工程咨询有限公司</w:t>
      </w:r>
    </w:p>
    <w:p>
      <w:pPr>
        <w:spacing w:line="360" w:lineRule="auto"/>
        <w:ind w:firstLine="480"/>
        <w:rPr>
          <w:rFonts w:ascii="宋体" w:hAnsi="宋体" w:cs="宋体"/>
          <w:sz w:val="24"/>
        </w:rPr>
      </w:pPr>
      <w:r>
        <w:rPr>
          <w:rFonts w:hint="eastAsia" w:ascii="宋体" w:hAnsi="宋体" w:cs="宋体"/>
          <w:sz w:val="24"/>
        </w:rPr>
        <w:t>地    址：淳安县千岛湖镇新安北路42号建设集团大楼6楼</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w:t>
      </w:r>
      <w:r>
        <w:rPr>
          <w:rFonts w:hint="eastAsia" w:ascii="宋体" w:hAnsi="宋体" w:cs="宋体"/>
          <w:sz w:val="24"/>
        </w:rPr>
        <w:t xml:space="preserve">邵彬 </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w:t>
      </w:r>
      <w:r>
        <w:rPr>
          <w:rFonts w:hint="eastAsia" w:ascii="宋体" w:hAnsi="宋体" w:cs="宋体"/>
          <w:sz w:val="24"/>
        </w:rPr>
        <w:t>15990035521</w:t>
      </w:r>
    </w:p>
    <w:p>
      <w:pPr>
        <w:spacing w:line="360" w:lineRule="auto"/>
        <w:rPr>
          <w:rFonts w:ascii="宋体" w:hAnsi="宋体" w:cs="宋体"/>
          <w:sz w:val="24"/>
        </w:rPr>
      </w:pPr>
      <w:r>
        <w:rPr>
          <w:rFonts w:hint="eastAsia" w:ascii="宋体" w:hAnsi="宋体" w:cs="宋体"/>
          <w:sz w:val="24"/>
        </w:rPr>
        <w:t xml:space="preserve">    质疑联系人：唐恒勋</w:t>
      </w:r>
    </w:p>
    <w:p>
      <w:pPr>
        <w:spacing w:line="360" w:lineRule="auto"/>
        <w:rPr>
          <w:rFonts w:ascii="宋体" w:hAnsi="宋体" w:cs="宋体"/>
          <w:sz w:val="24"/>
        </w:rPr>
      </w:pPr>
      <w:r>
        <w:rPr>
          <w:rFonts w:hint="eastAsia" w:ascii="宋体" w:hAnsi="宋体" w:cs="宋体"/>
          <w:sz w:val="24"/>
        </w:rPr>
        <w:t xml:space="preserve">    质疑联系方式：15868413300</w:t>
      </w: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rPr>
          <w:rFonts w:hint="eastAsia" w:ascii="宋体" w:hAnsi="宋体" w:eastAsia="宋体" w:cs="Times New Roman"/>
          <w:sz w:val="24"/>
        </w:rPr>
      </w:pPr>
      <w:r>
        <w:rPr>
          <w:rFonts w:hint="eastAsia" w:ascii="宋体" w:hAnsi="宋体" w:cs="宋体"/>
          <w:sz w:val="24"/>
        </w:rPr>
        <w:t xml:space="preserve">    </w:t>
      </w:r>
      <w:r>
        <w:rPr>
          <w:rFonts w:hint="eastAsia" w:ascii="宋体" w:hAnsi="宋体" w:cs="宋体"/>
          <w:color w:val="auto"/>
          <w:sz w:val="24"/>
          <w:highlight w:val="none"/>
        </w:rPr>
        <w:t>名    称：</w:t>
      </w:r>
      <w:r>
        <w:rPr>
          <w:rFonts w:hint="eastAsia" w:ascii="宋体" w:hAnsi="宋体" w:eastAsia="宋体" w:cs="Times New Roman"/>
          <w:sz w:val="24"/>
        </w:rPr>
        <w:t>淳安县财政局、浙江省政府采购行政裁决服务中心(杭州)</w:t>
      </w:r>
    </w:p>
    <w:p>
      <w:pPr>
        <w:spacing w:line="360" w:lineRule="auto"/>
        <w:ind w:firstLine="480" w:firstLineChars="200"/>
        <w:rPr>
          <w:rFonts w:hint="eastAsia" w:ascii="宋体" w:hAnsi="宋体" w:eastAsia="宋体" w:cs="Times New Roman"/>
          <w:sz w:val="24"/>
        </w:rPr>
      </w:pPr>
      <w:r>
        <w:rPr>
          <w:rFonts w:hint="eastAsia" w:ascii="宋体" w:hAnsi="宋体" w:cs="宋体"/>
          <w:color w:val="auto"/>
          <w:sz w:val="24"/>
          <w:highlight w:val="none"/>
        </w:rPr>
        <w:t>地    址：</w:t>
      </w:r>
      <w:r>
        <w:rPr>
          <w:rFonts w:hint="eastAsia" w:ascii="宋体" w:hAnsi="宋体" w:eastAsia="宋体" w:cs="Times New Roman"/>
          <w:sz w:val="24"/>
        </w:rPr>
        <w:t>杭州市上城区四季青街道新业路市民之家GO3办公室(快递仅限ems或顺丰)</w:t>
      </w:r>
    </w:p>
    <w:p>
      <w:pPr>
        <w:spacing w:line="360" w:lineRule="auto"/>
        <w:ind w:firstLine="480" w:firstLineChars="200"/>
        <w:rPr>
          <w:rFonts w:ascii="宋体" w:hAnsi="宋体" w:cs="宋体"/>
          <w:color w:val="auto"/>
          <w:sz w:val="24"/>
          <w:highlight w:val="none"/>
        </w:rPr>
      </w:pPr>
      <w:r>
        <w:rPr>
          <w:rFonts w:hint="eastAsia" w:ascii="宋体" w:hAnsi="宋体" w:eastAsia="宋体"/>
          <w:sz w:val="24"/>
        </w:rPr>
        <w:t>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w:t>
      </w:r>
      <w:r>
        <w:rPr>
          <w:rFonts w:hint="eastAsia" w:ascii="宋体" w:hAnsi="宋体" w:eastAsia="宋体" w:cs="Times New Roman"/>
          <w:sz w:val="24"/>
        </w:rPr>
        <w:t>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监督投诉电话：</w:t>
      </w:r>
      <w:r>
        <w:rPr>
          <w:rFonts w:hint="eastAsia" w:ascii="宋体" w:hAnsi="宋体" w:eastAsia="宋体" w:cs="Times New Roman"/>
          <w:sz w:val="24"/>
        </w:rPr>
        <w:t>0571-85252453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color w:val="auto"/>
          <w:sz w:val="24"/>
          <w:highlight w:val="none"/>
        </w:rPr>
        <w:t>CA问题联系电话（人工）：汇信CA 400-888-4636；天谷CA 400-087-8198。</w:t>
      </w:r>
    </w:p>
    <w:p>
      <w:pPr>
        <w:spacing w:line="360" w:lineRule="auto"/>
        <w:ind w:firstLine="480" w:firstLineChars="200"/>
        <w:rPr>
          <w:rFonts w:ascii="宋体" w:hAnsi="宋体" w:cs="宋体"/>
          <w:sz w:val="24"/>
        </w:rPr>
      </w:pPr>
    </w:p>
    <w:p>
      <w:pPr>
        <w:pStyle w:val="3"/>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936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8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p>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p>
            <w:pPr>
              <w:snapToGrid w:val="0"/>
              <w:spacing w:line="360" w:lineRule="auto"/>
              <w:jc w:val="center"/>
              <w:rPr>
                <w:rFonts w:ascii="宋体" w:hAnsi="宋体" w:cs="宋体"/>
                <w:b/>
                <w:sz w:val="24"/>
              </w:rPr>
            </w:pPr>
            <w:r>
              <w:rPr>
                <w:rFonts w:hint="eastAsia" w:ascii="宋体" w:hAnsi="宋体" w:cs="宋体"/>
                <w:b/>
                <w:sz w:val="24"/>
              </w:rPr>
              <w:t>事项</w:t>
            </w:r>
          </w:p>
        </w:tc>
        <w:tc>
          <w:tcPr>
            <w:tcW w:w="689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项目属性与核心产品</w:t>
            </w:r>
          </w:p>
        </w:tc>
        <w:tc>
          <w:tcPr>
            <w:tcW w:w="68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货物类，</w:t>
            </w:r>
            <w:r>
              <w:rPr>
                <w:rFonts w:hint="eastAsia" w:ascii="宋体" w:hAnsi="宋体" w:cs="宋体"/>
                <w:color w:val="auto"/>
                <w:kern w:val="0"/>
                <w:sz w:val="24"/>
              </w:rPr>
              <w:t>核心产品为</w:t>
            </w:r>
            <w:r>
              <w:rPr>
                <w:rFonts w:hint="eastAsia" w:ascii="宋体" w:hAnsi="宋体" w:cs="宋体"/>
                <w:color w:val="auto"/>
                <w:kern w:val="0"/>
                <w:sz w:val="24"/>
                <w:lang w:eastAsia="zh-CN"/>
              </w:rPr>
              <w:t>：</w:t>
            </w:r>
            <w:r>
              <w:rPr>
                <w:rStyle w:val="80"/>
                <w:rFonts w:hint="eastAsia" w:ascii="宋体" w:hAnsi="宋体" w:eastAsia="宋体" w:cs="宋体"/>
                <w:sz w:val="24"/>
                <w:szCs w:val="24"/>
                <w:u w:val="single"/>
              </w:rPr>
              <w:t>一体化无负压管道增压泵</w:t>
            </w:r>
            <w:r>
              <w:rPr>
                <w:rFonts w:hint="eastAsia" w:ascii="宋体" w:hAnsi="宋体" w:cs="宋体"/>
                <w:i w:val="0"/>
                <w:iCs w:val="0"/>
                <w:color w:val="auto"/>
                <w:kern w:val="0"/>
                <w:sz w:val="24"/>
                <w:szCs w:val="24"/>
                <w:u w:val="single"/>
                <w:lang w:val="en-US" w:eastAsia="zh-CN" w:bidi="ar"/>
              </w:rPr>
              <w:t xml:space="preserve"> </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896" w:type="dxa"/>
            <w:tcBorders>
              <w:top w:val="single" w:color="000000" w:sz="8" w:space="0"/>
              <w:left w:val="single" w:color="000000" w:sz="2" w:space="0"/>
              <w:bottom w:val="single" w:color="000000" w:sz="8" w:space="0"/>
              <w:right w:val="single" w:color="000000" w:sz="8" w:space="0"/>
            </w:tcBorders>
            <w:vAlign w:val="center"/>
          </w:tcPr>
          <w:p>
            <w:pPr>
              <w:spacing w:line="360" w:lineRule="auto"/>
            </w:pPr>
            <w:r>
              <w:rPr>
                <w:rFonts w:hint="eastAsia" w:ascii="宋体" w:hAnsi="宋体" w:cs="宋体"/>
                <w:sz w:val="24"/>
                <w:u w:val="single"/>
              </w:rPr>
              <w:t>采购标的及所属行业详见附件7《中小企业声明函》。</w:t>
            </w:r>
            <w:r>
              <w:rPr>
                <w:rFonts w:hint="eastAsia"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4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8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采购进口产品。优先采购向我国企业转让技术、与我国企业签订消化吸收再创新方案的供应商的进口产品，详见评分标准。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8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运输   </w:t>
            </w:r>
            <w:r>
              <w:rPr>
                <w:rFonts w:hint="eastAsia" w:ascii="宋体" w:hAnsi="宋体" w:cs="宋体"/>
                <w:sz w:val="24"/>
              </w:rPr>
              <w:t>工作分包。</w:t>
            </w:r>
          </w:p>
          <w:p>
            <w:pPr>
              <w:spacing w:line="360" w:lineRule="auto"/>
              <w:rPr>
                <w:rFonts w:ascii="宋体" w:hAnsi="宋体" w:cs="宋体"/>
                <w:sz w:val="24"/>
              </w:rPr>
            </w:pPr>
            <w:sdt>
              <w:sdtPr>
                <w:rPr>
                  <w:rFonts w:hint="eastAsia" w:ascii="宋体" w:hAnsi="宋体" w:cs="宋体"/>
                  <w:kern w:val="0"/>
                  <w:sz w:val="24"/>
                </w:rPr>
                <w:id w:val="-1276331357"/>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8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8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sdtPr>
              <w:sdtEndPr>
                <w:rPr>
                  <w:rFonts w:hint="eastAsia" w:ascii="宋体" w:hAnsi="宋体" w:cs="宋体"/>
                  <w:kern w:val="0"/>
                  <w:sz w:val="24"/>
                </w:rPr>
              </w:sdtEndPr>
              <w:sdtContent>
                <w:r>
                  <w:rPr>
                    <w:rFonts w:ascii="Wingdings" w:hAnsi="Wingdings" w:cs="宋体"/>
                    <w:kern w:val="0"/>
                    <w:sz w:val="24"/>
                  </w:rPr>
                  <w:sym w:font="Wingdings" w:char="00FE"/>
                </w:r>
              </w:sdtContent>
            </w:sdt>
            <w:r>
              <w:rPr>
                <w:rFonts w:hint="eastAsia" w:ascii="宋体" w:hAnsi="宋体" w:cs="宋体"/>
                <w:kern w:val="0"/>
                <w:sz w:val="24"/>
              </w:rPr>
              <w:t>A</w:t>
            </w:r>
            <w:r>
              <w:rPr>
                <w:rFonts w:hint="eastAsia" w:ascii="宋体" w:hAnsi="宋体" w:cs="宋体"/>
                <w:sz w:val="24"/>
              </w:rPr>
              <w:t>不要求提供，（未提供样品或提供样品不满足采购需求实质性条件的供应商，投标无效）。</w:t>
            </w:r>
          </w:p>
          <w:p>
            <w:pPr>
              <w:spacing w:line="360" w:lineRule="auto"/>
              <w:rPr>
                <w:rFonts w:ascii="宋体" w:hAnsi="宋体" w:cs="宋体"/>
                <w:kern w:val="0"/>
                <w:sz w:val="24"/>
              </w:rPr>
            </w:pPr>
            <w:sdt>
              <w:sdtPr>
                <w:rPr>
                  <w:rFonts w:hint="eastAsia" w:ascii="宋体" w:hAnsi="宋体" w:cs="宋体"/>
                  <w:kern w:val="0"/>
                  <w:sz w:val="24"/>
                </w:rPr>
                <w:id w:val="1026831988"/>
              </w:sdtPr>
              <w:sdtEndPr>
                <w:rPr>
                  <w:rFonts w:hint="eastAsia" w:ascii="宋体" w:hAnsi="宋体" w:cs="宋体"/>
                  <w:kern w:val="0"/>
                  <w:sz w:val="24"/>
                </w:rPr>
              </w:sdtEndPr>
              <w:sdtContent>
                <w:sdt>
                  <w:sdtPr>
                    <w:rPr>
                      <w:rFonts w:hint="eastAsia" w:ascii="宋体" w:hAnsi="宋体" w:cs="宋体"/>
                      <w:kern w:val="0"/>
                      <w:sz w:val="24"/>
                    </w:rPr>
                    <w:id w:val="969394467"/>
                  </w:sdtPr>
                  <w:sdtEndPr>
                    <w:rPr>
                      <w:rFonts w:hint="eastAsia" w:ascii="宋体" w:hAnsi="宋体" w:cs="宋体"/>
                      <w:kern w:val="0"/>
                      <w:sz w:val="24"/>
                    </w:rPr>
                  </w:sdtEndPr>
                  <w:sdtContent>
                    <w:r>
                      <w:rPr>
                        <w:rFonts w:ascii="Wingdings" w:hAnsi="Wingdings" w:cs="宋体"/>
                        <w:kern w:val="0"/>
                        <w:sz w:val="24"/>
                      </w:rPr>
                      <w:sym w:font="Wingdings" w:char="00A8"/>
                    </w:r>
                  </w:sdtContent>
                </w:sdt>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napToGrid w:val="0"/>
                <w:kern w:val="28"/>
                <w:sz w:val="24"/>
                <w:u w:val="single"/>
              </w:rPr>
              <w:t>详见采购需求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napToGrid w:val="0"/>
                <w:kern w:val="28"/>
                <w:sz w:val="24"/>
              </w:rPr>
            </w:pPr>
            <w:r>
              <w:rPr>
                <w:rFonts w:hint="eastAsia" w:ascii="宋体" w:hAnsi="宋体" w:cs="宋体"/>
                <w:kern w:val="0"/>
                <w:sz w:val="24"/>
              </w:rPr>
              <w:t>（3）样品的评审方法以及评审标准</w:t>
            </w:r>
            <w:r>
              <w:rPr>
                <w:rFonts w:hint="eastAsia" w:ascii="宋体" w:hAnsi="宋体" w:cs="宋体"/>
                <w:snapToGrid w:val="0"/>
                <w:kern w:val="28"/>
                <w:sz w:val="24"/>
              </w:rPr>
              <w:t>：</w:t>
            </w:r>
          </w:p>
          <w:p>
            <w:pPr>
              <w:spacing w:line="360" w:lineRule="auto"/>
              <w:ind w:firstLine="240" w:firstLineChars="100"/>
              <w:rPr>
                <w:rFonts w:ascii="宋体" w:hAnsi="宋体" w:cs="宋体"/>
                <w:sz w:val="24"/>
              </w:rPr>
            </w:pPr>
            <w:sdt>
              <w:sdtPr>
                <w:rPr>
                  <w:rFonts w:hint="eastAsia" w:ascii="宋体" w:hAnsi="宋体" w:cs="宋体"/>
                  <w:kern w:val="0"/>
                  <w:sz w:val="24"/>
                </w:rPr>
                <w:id w:val="-1181729823"/>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样品分未超过价格分的50%；</w:t>
            </w:r>
          </w:p>
          <w:p>
            <w:pPr>
              <w:spacing w:line="360" w:lineRule="auto"/>
              <w:ind w:firstLine="240" w:firstLineChars="100"/>
              <w:rPr>
                <w:rFonts w:ascii="宋体" w:hAnsi="宋体" w:cs="宋体"/>
                <w:kern w:val="0"/>
                <w:sz w:val="24"/>
              </w:rPr>
            </w:pPr>
            <w:r>
              <w:rPr>
                <w:rFonts w:hint="eastAsia" w:ascii="宋体" w:hAnsi="宋体" w:cs="宋体"/>
                <w:kern w:val="0"/>
                <w:sz w:val="24"/>
              </w:rPr>
              <w:t>☐</w:t>
            </w:r>
            <w:r>
              <w:rPr>
                <w:rFonts w:hint="eastAsia" w:ascii="宋体" w:hAnsi="宋体" w:cs="宋体"/>
                <w:sz w:val="24"/>
              </w:rPr>
              <w:t>样品分超过价格分的50%，理由</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pacing w:line="360" w:lineRule="auto"/>
              <w:ind w:firstLine="240" w:firstLineChars="100"/>
              <w:rPr>
                <w:rFonts w:ascii="宋体" w:hAnsi="宋体" w:cs="宋体"/>
                <w:kern w:val="0"/>
                <w:sz w:val="24"/>
              </w:rPr>
            </w:pPr>
            <w:r>
              <w:rPr>
                <w:rFonts w:hint="eastAsia" w:ascii="宋体" w:hAnsi="宋体" w:cs="宋体"/>
                <w:snapToGrid w:val="0"/>
                <w:kern w:val="28"/>
                <w:sz w:val="24"/>
              </w:rPr>
              <w:t>详见招标文件第四部分</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42707818"/>
              </w:sdtPr>
              <w:sdtEndPr>
                <w:rPr>
                  <w:rFonts w:hint="eastAsia" w:ascii="宋体" w:hAnsi="宋体" w:cs="宋体"/>
                  <w:kern w:val="0"/>
                  <w:sz w:val="24"/>
                </w:rPr>
              </w:sdtEndPr>
              <w:sdtContent>
                <w:r>
                  <w:rPr>
                    <w:rFonts w:ascii="Wingdings" w:hAnsi="Wingdings" w:cs="宋体"/>
                    <w:kern w:val="0"/>
                    <w:sz w:val="24"/>
                  </w:rPr>
                  <w:sym w:font="Wingdings" w:char="00A8"/>
                </w:r>
              </w:sdtContent>
            </w:sdt>
            <w:r>
              <w:rPr>
                <w:rFonts w:hint="eastAsia" w:ascii="宋体" w:hAnsi="宋体" w:cs="宋体"/>
                <w:kern w:val="0"/>
                <w:sz w:val="24"/>
              </w:rPr>
              <w:t>否；</w:t>
            </w:r>
            <w:sdt>
              <w:sdtPr>
                <w:rPr>
                  <w:rFonts w:hint="eastAsia" w:ascii="宋体" w:hAnsi="宋体" w:cs="宋体"/>
                  <w:kern w:val="0"/>
                  <w:sz w:val="24"/>
                </w:rPr>
                <w:id w:val="1798412532"/>
              </w:sdtPr>
              <w:sdtEndPr>
                <w:rPr>
                  <w:rFonts w:hint="eastAsia" w:ascii="宋体" w:hAnsi="宋体" w:cs="宋体"/>
                  <w:kern w:val="0"/>
                  <w:sz w:val="24"/>
                </w:rPr>
              </w:sdtEndPr>
              <w:sdtContent>
                <w:sdt>
                  <w:sdtPr>
                    <w:rPr>
                      <w:rFonts w:hint="eastAsia" w:ascii="宋体" w:hAnsi="宋体" w:cs="宋体"/>
                      <w:kern w:val="0"/>
                      <w:sz w:val="24"/>
                    </w:rPr>
                    <w:id w:val="536394599"/>
                  </w:sdtPr>
                  <w:sdtEndPr>
                    <w:rPr>
                      <w:rFonts w:hint="eastAsia" w:ascii="宋体" w:hAnsi="宋体" w:cs="宋体"/>
                      <w:kern w:val="0"/>
                      <w:sz w:val="24"/>
                    </w:rPr>
                  </w:sdtEndPr>
                  <w:sdtContent>
                    <w:r>
                      <w:rPr>
                        <w:rFonts w:ascii="Wingdings" w:hAnsi="Wingdings" w:cs="宋体"/>
                        <w:kern w:val="0"/>
                        <w:sz w:val="24"/>
                      </w:rPr>
                      <w:sym w:font="Wingdings" w:char="00A8"/>
                    </w:r>
                  </w:sdtContent>
                </w:sdt>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2023年 月  日17时00分</w:t>
            </w:r>
            <w:r>
              <w:rPr>
                <w:rFonts w:hint="eastAsia" w:ascii="宋体" w:hAnsi="宋体"/>
                <w:sz w:val="24"/>
                <w:u w:val="single"/>
              </w:rPr>
              <w:t>时间前</w:t>
            </w:r>
            <w:r>
              <w:rPr>
                <w:rFonts w:hint="eastAsia" w:ascii="宋体" w:hAnsi="宋体" w:cs="宋体"/>
                <w:sz w:val="24"/>
                <w:u w:val="single"/>
              </w:rPr>
              <w:t>（以实际签收时间为准）</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ascii="宋体" w:hAnsi="宋体" w:cs="宋体"/>
                <w:sz w:val="24"/>
              </w:rPr>
              <w:t>，</w:t>
            </w:r>
            <w:r>
              <w:rPr>
                <w:rFonts w:hint="eastAsia" w:ascii="宋体" w:hAnsi="宋体" w:cs="宋体"/>
                <w:kern w:val="28"/>
                <w:sz w:val="24"/>
              </w:rPr>
              <w:t>联系电话：</w:t>
            </w:r>
            <w:r>
              <w:rPr>
                <w:rFonts w:hint="eastAsia" w:cs="宋体" w:asciiTheme="minorEastAsia" w:hAnsiTheme="minorEastAsia" w:eastAsiaTheme="minorEastAsia"/>
                <w:color w:val="000000" w:themeColor="text1"/>
                <w:kern w:val="28"/>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sz w:val="24"/>
              </w:rPr>
            </w:pPr>
            <w:r>
              <w:rPr>
                <w:rFonts w:hint="eastAsia" w:ascii="宋体" w:hAnsi="宋体" w:cs="宋体"/>
                <w:sz w:val="24"/>
              </w:rPr>
              <w:t>（7）制作、运输、安装和保管样品所发生的一切费用由投标人自理。</w:t>
            </w:r>
          </w:p>
          <w:p>
            <w:pPr>
              <w:spacing w:line="360" w:lineRule="auto"/>
              <w:rPr>
                <w:rFonts w:ascii="宋体" w:hAnsi="宋体" w:cs="宋体"/>
                <w:b/>
                <w:sz w:val="24"/>
              </w:rPr>
            </w:pPr>
            <w:r>
              <w:rPr>
                <w:rFonts w:hint="eastAsia" w:ascii="宋体" w:hAnsi="宋体" w:cs="宋体"/>
                <w:b/>
                <w:bCs/>
                <w:snapToGrid w:val="0"/>
                <w:kern w:val="28"/>
                <w:sz w:val="24"/>
              </w:rPr>
              <w:t>▲招标文件要求提供样品，投标人没有提供样品或样品不全的，投标无效。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896" w:type="dxa"/>
            <w:tcBorders>
              <w:top w:val="single" w:color="000000" w:sz="8" w:space="0"/>
              <w:left w:val="single" w:color="000000" w:sz="2" w:space="0"/>
              <w:bottom w:val="single" w:color="000000" w:sz="8" w:space="0"/>
              <w:right w:val="single" w:color="000000" w:sz="8" w:space="0"/>
            </w:tcBorders>
            <w:vAlign w:val="center"/>
          </w:tcPr>
          <w:p>
            <w:pPr>
              <w:spacing w:line="360" w:lineRule="auto"/>
            </w:pPr>
            <w:r>
              <w:rPr>
                <w:rFonts w:hint="eastAsia" w:ascii="Wingdings" w:hAnsi="Wingdings" w:eastAsia="MS Mincho" w:cs="MS Mincho"/>
                <w:kern w:val="0"/>
                <w:sz w:val="24"/>
              </w:rPr>
              <w:sym w:font="Wingdings" w:char="00FE"/>
            </w:r>
            <w:r>
              <w:rPr>
                <w:rFonts w:hint="eastAsia" w:ascii="宋体" w:hAnsi="宋体" w:eastAsia="宋体" w:cs="宋体"/>
                <w:kern w:val="0"/>
                <w:sz w:val="24"/>
              </w:rPr>
              <w:t>A</w:t>
            </w:r>
            <w:r>
              <w:rPr>
                <w:rFonts w:hint="eastAsia" w:ascii="宋体" w:hAnsi="宋体" w:eastAsia="宋体" w:cs="宋体"/>
                <w:sz w:val="24"/>
              </w:rPr>
              <w:t>不组织。</w:t>
            </w:r>
          </w:p>
          <w:sdt>
            <w:sdtPr>
              <w:rPr>
                <w:rFonts w:hint="eastAsia" w:ascii="宋体" w:hAnsi="宋体" w:cs="宋体"/>
                <w:kern w:val="0"/>
                <w:sz w:val="24"/>
              </w:rPr>
              <w:id w:val="-1859348549"/>
            </w:sdtPr>
            <w:sdtEndPr>
              <w:rPr>
                <w:rFonts w:hint="eastAsia" w:ascii="宋体" w:hAnsi="宋体" w:cs="宋体"/>
                <w:kern w:val="0"/>
                <w:sz w:val="24"/>
              </w:rPr>
            </w:sdtEndPr>
            <w:sdtContent>
              <w:p>
                <w:pPr>
                  <w:spacing w:line="360" w:lineRule="auto"/>
                  <w:rPr>
                    <w:rFonts w:hint="eastAsia" w:ascii="宋体" w:hAnsi="宋体" w:eastAsia="宋体" w:cs="宋体"/>
                    <w:kern w:val="0"/>
                    <w:sz w:val="24"/>
                  </w:rPr>
                </w:pPr>
                <w:r>
                  <w:rPr>
                    <w:rFonts w:hint="eastAsia" w:ascii="Wingdings" w:hAnsi="Wingdings" w:eastAsia="MS Mincho" w:cs="MS Mincho"/>
                    <w:kern w:val="0"/>
                    <w:sz w:val="24"/>
                  </w:rPr>
                  <w:sym w:font="Wingdings" w:char="00A8"/>
                </w:r>
                <w:r>
                  <w:rPr>
                    <w:rFonts w:hint="eastAsia" w:ascii="宋体" w:hAnsi="宋体" w:eastAsia="宋体" w:cs="宋体"/>
                    <w:kern w:val="0"/>
                    <w:sz w:val="24"/>
                  </w:rPr>
                  <w:t>B组织。</w:t>
                </w:r>
              </w:p>
              <w:p>
                <w:pPr>
                  <w:numPr>
                    <w:ilvl w:val="0"/>
                    <w:numId w:val="1"/>
                  </w:numPr>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在评审时安排每个供应商进行方案讲解演示。每个供应商时间不超过</w:t>
                </w:r>
                <w:r>
                  <w:rPr>
                    <w:rFonts w:hint="eastAsia" w:ascii="宋体" w:hAnsi="宋体" w:eastAsia="宋体" w:cs="宋体"/>
                    <w:kern w:val="0"/>
                    <w:sz w:val="24"/>
                    <w:u w:val="single"/>
                    <w:lang w:val="en-US" w:eastAsia="zh-CN"/>
                  </w:rPr>
                  <w:t>20</w:t>
                </w:r>
                <w:r>
                  <w:rPr>
                    <w:rFonts w:hint="eastAsia" w:ascii="宋体" w:hAnsi="宋体" w:eastAsia="宋体" w:cs="宋体"/>
                    <w:kern w:val="0"/>
                    <w:sz w:val="24"/>
                  </w:rPr>
                  <w:t>分钟，讲解次序以响应文件解密时间先后次序为准。讲解演示人员不超过</w:t>
                </w:r>
                <w:r>
                  <w:rPr>
                    <w:rFonts w:hint="eastAsia" w:ascii="宋体" w:hAnsi="宋体" w:eastAsia="宋体" w:cs="宋体"/>
                    <w:kern w:val="0"/>
                    <w:sz w:val="24"/>
                    <w:u w:val="single"/>
                  </w:rPr>
                  <w:t>3</w:t>
                </w:r>
                <w:r>
                  <w:rPr>
                    <w:rFonts w:hint="eastAsia" w:ascii="宋体" w:hAnsi="宋体" w:eastAsia="宋体" w:cs="宋体"/>
                    <w:kern w:val="0"/>
                    <w:sz w:val="24"/>
                  </w:rPr>
                  <w:t xml:space="preserve">人。 </w:t>
                </w:r>
              </w:p>
              <w:p>
                <w:pPr>
                  <w:numPr>
                    <w:ilvl w:val="0"/>
                    <w:numId w:val="2"/>
                  </w:numPr>
                  <w:snapToGrid w:val="0"/>
                  <w:spacing w:line="360" w:lineRule="auto"/>
                  <w:ind w:firstLine="240" w:firstLineChars="100"/>
                  <w:rPr>
                    <w:rFonts w:hint="eastAsia" w:ascii="宋体" w:hAnsi="宋体" w:cs="宋体"/>
                    <w:kern w:val="0"/>
                    <w:sz w:val="24"/>
                  </w:rPr>
                </w:pPr>
                <w:r>
                  <w:rPr>
                    <w:rFonts w:hint="eastAsia" w:ascii="宋体" w:hAnsi="宋体" w:eastAsia="宋体" w:cs="宋体"/>
                    <w:kern w:val="0"/>
                    <w:sz w:val="24"/>
                  </w:rPr>
                  <w:t xml:space="preserve">方案讲解演示可选择以下其中一种方式： </w:t>
                </w:r>
                <w:r>
                  <w:rPr>
                    <w:rFonts w:hint="eastAsia" w:ascii="宋体" w:hAnsi="宋体" w:cs="宋体"/>
                    <w:kern w:val="0"/>
                    <w:sz w:val="24"/>
                  </w:rPr>
                  <w:t>本项目需制作讲解演示视频</w:t>
                </w:r>
                <w:r>
                  <w:rPr>
                    <w:rFonts w:hint="eastAsia" w:ascii="宋体" w:hAnsi="宋体" w:cs="宋体"/>
                    <w:kern w:val="0"/>
                    <w:sz w:val="24"/>
                    <w:lang w:val="zh-CN"/>
                  </w:rPr>
                  <w:t>(具体详见评分细则)</w:t>
                </w:r>
                <w:r>
                  <w:rPr>
                    <w:rFonts w:hint="eastAsia" w:ascii="宋体" w:hAnsi="宋体" w:cs="宋体"/>
                    <w:kern w:val="0"/>
                    <w:sz w:val="24"/>
                  </w:rPr>
                  <w:t>，时间不超过</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20</w:t>
                </w:r>
                <w:r>
                  <w:rPr>
                    <w:rFonts w:hint="eastAsia" w:ascii="宋体" w:hAnsi="宋体" w:cs="宋体"/>
                    <w:kern w:val="0"/>
                    <w:sz w:val="24"/>
                    <w:u w:val="single"/>
                  </w:rPr>
                  <w:t>分钟</w:t>
                </w:r>
                <w:r>
                  <w:rPr>
                    <w:rFonts w:hint="eastAsia" w:ascii="宋体" w:hAnsi="宋体" w:cs="宋体"/>
                    <w:kern w:val="0"/>
                    <w:sz w:val="24"/>
                  </w:rPr>
                  <w:t>。</w:t>
                </w:r>
              </w:p>
              <w:p>
                <w:pPr>
                  <w:numPr>
                    <w:ilvl w:val="0"/>
                    <w:numId w:val="0"/>
                  </w:numPr>
                  <w:snapToGrid w:val="0"/>
                  <w:spacing w:line="360" w:lineRule="auto"/>
                  <w:ind w:left="220" w:leftChars="0" w:firstLine="0" w:firstLineChars="0"/>
                  <w:rPr>
                    <w:rFonts w:hint="eastAsia" w:ascii="宋体" w:hAnsi="宋体" w:cs="宋体"/>
                    <w:color w:val="auto"/>
                    <w:kern w:val="0"/>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讲解演示视频由供应商自主录制，录制的视频应连续，无剪辑。供应商无需派专人参加现场演示，</w:t>
                </w:r>
                <w:r>
                  <w:rPr>
                    <w:rFonts w:hint="eastAsia" w:ascii="宋体" w:hAnsi="宋体"/>
                    <w:color w:val="auto"/>
                    <w:kern w:val="0"/>
                    <w:sz w:val="24"/>
                  </w:rPr>
                  <w:t>如录屏演示不清晰影响后续评审，投标人自行承担风险。</w:t>
                </w:r>
                <w:r>
                  <w:rPr>
                    <w:rFonts w:hint="eastAsia" w:ascii="宋体" w:hAnsi="宋体"/>
                    <w:color w:val="auto"/>
                    <w:kern w:val="0"/>
                    <w:sz w:val="24"/>
                    <w:u w:val="single"/>
                    <w:lang w:val="en-US" w:eastAsia="zh-CN"/>
                  </w:rPr>
                  <w:t xml:space="preserve">           </w:t>
                </w:r>
                <w:r>
                  <w:rPr>
                    <w:rFonts w:hint="eastAsia" w:ascii="宋体" w:hAnsi="宋体"/>
                    <w:color w:val="auto"/>
                    <w:kern w:val="0"/>
                    <w:sz w:val="24"/>
                  </w:rPr>
                  <w:t>（北京时间）</w:t>
                </w:r>
                <w:r>
                  <w:rPr>
                    <w:rFonts w:hint="eastAsia" w:ascii="宋体" w:hAnsi="宋体" w:cs="宋体"/>
                    <w:color w:val="auto"/>
                    <w:kern w:val="0"/>
                    <w:sz w:val="24"/>
                  </w:rPr>
                  <w:t>前以电子邮件形式加密上传至</w:t>
                </w:r>
                <w:r>
                  <w:rPr>
                    <w:color w:val="auto"/>
                  </w:rPr>
                  <w:fldChar w:fldCharType="begin"/>
                </w:r>
                <w:r>
                  <w:rPr>
                    <w:color w:val="auto"/>
                  </w:rPr>
                  <w:instrText xml:space="preserve"> HYPERLINK "mailto:2990430955@qq.com" </w:instrText>
                </w:r>
                <w:r>
                  <w:rPr>
                    <w:color w:val="auto"/>
                  </w:rPr>
                  <w:fldChar w:fldCharType="separate"/>
                </w:r>
                <w:r>
                  <w:rPr>
                    <w:rFonts w:hint="eastAsia" w:ascii="宋体" w:hAnsi="宋体" w:cs="宋体"/>
                    <w:color w:val="auto"/>
                    <w:kern w:val="0"/>
                    <w:sz w:val="24"/>
                  </w:rPr>
                  <w:t>532990955@qq.com</w:t>
                </w:r>
                <w:r>
                  <w:rPr>
                    <w:rFonts w:hint="eastAsia" w:ascii="宋体" w:hAnsi="宋体" w:cs="宋体"/>
                    <w:color w:val="auto"/>
                    <w:kern w:val="0"/>
                    <w:sz w:val="24"/>
                  </w:rPr>
                  <w:fldChar w:fldCharType="end"/>
                </w:r>
                <w:r>
                  <w:rPr>
                    <w:rFonts w:hint="eastAsia" w:ascii="宋体" w:hAnsi="宋体" w:cs="宋体"/>
                    <w:color w:val="auto"/>
                    <w:kern w:val="0"/>
                    <w:sz w:val="24"/>
                  </w:rPr>
                  <w:t>。开启投标供应商视频顺序按电子投标文件解密的顺序进行。</w:t>
                </w:r>
              </w:p>
              <w:p>
                <w:pPr>
                  <w:numPr>
                    <w:ilvl w:val="0"/>
                    <w:numId w:val="0"/>
                  </w:numPr>
                  <w:snapToGrid w:val="0"/>
                  <w:spacing w:line="360" w:lineRule="auto"/>
                  <w:ind w:leftChars="116"/>
                  <w:rPr>
                    <w:rFonts w:hint="eastAsia" w:ascii="宋体" w:hAnsi="宋体"/>
                    <w:kern w:val="0"/>
                    <w:sz w:val="24"/>
                  </w:rPr>
                </w:pPr>
                <w:r>
                  <w:rPr>
                    <w:rFonts w:hint="eastAsia" w:ascii="宋体" w:hAnsi="宋体"/>
                    <w:color w:val="auto"/>
                    <w:kern w:val="0"/>
                    <w:sz w:val="24"/>
                    <w:lang w:val="en-US" w:eastAsia="zh-CN"/>
                  </w:rPr>
                  <w:t>2.</w:t>
                </w:r>
                <w:r>
                  <w:rPr>
                    <w:rFonts w:hint="eastAsia" w:ascii="宋体" w:hAnsi="宋体"/>
                    <w:color w:val="auto"/>
                    <w:kern w:val="0"/>
                    <w:sz w:val="24"/>
                  </w:rPr>
                  <w:t>投标人将视频存储于u盘中，</w:t>
                </w:r>
                <w:r>
                  <w:rPr>
                    <w:rFonts w:hint="eastAsia" w:ascii="宋体" w:hAnsi="宋体"/>
                    <w:color w:val="auto"/>
                    <w:kern w:val="0"/>
                    <w:sz w:val="24"/>
                    <w:u w:val="single"/>
                    <w:lang w:val="en-US" w:eastAsia="zh-CN"/>
                  </w:rPr>
                  <w:t xml:space="preserve">                 </w:t>
                </w:r>
                <w:r>
                  <w:rPr>
                    <w:rFonts w:hint="eastAsia" w:ascii="宋体" w:hAnsi="宋体"/>
                    <w:color w:val="auto"/>
                    <w:kern w:val="0"/>
                    <w:sz w:val="24"/>
                  </w:rPr>
                  <w:t>（北京时间）前通过邮寄或派人递送的方式送交到采购代理机构处，</w:t>
                </w:r>
                <w:r>
                  <w:rPr>
                    <w:rFonts w:hint="eastAsia" w:ascii="宋体" w:hAnsi="宋体"/>
                    <w:color w:val="auto"/>
                    <w:kern w:val="0"/>
                    <w:sz w:val="24"/>
                    <w:u w:val="single"/>
                  </w:rPr>
                  <w:t>联系地址：浙江省杭州市淳安县千岛湖镇新安北路42号建设集团大楼6楼（浙江科佳</w:t>
                </w:r>
                <w:r>
                  <w:rPr>
                    <w:rFonts w:hint="eastAsia" w:ascii="宋体" w:hAnsi="宋体"/>
                    <w:kern w:val="0"/>
                    <w:sz w:val="24"/>
                    <w:u w:val="single"/>
                  </w:rPr>
                  <w:t>工程咨询有限公司），联系人：邵彬，电话：15990035521</w:t>
                </w:r>
                <w:r>
                  <w:rPr>
                    <w:rFonts w:hint="eastAsia" w:ascii="宋体" w:hAnsi="宋体"/>
                    <w:kern w:val="0"/>
                    <w:sz w:val="24"/>
                  </w:rPr>
                  <w:t>，送达时间以实际签收时间为准，未按时送达的自行承担风险。演示视频须密封完好，并注明投标人单位名称。投标人未按规定递交的演示视频，采购人有权拒收。</w:t>
                </w:r>
              </w:p>
              <w:p>
                <w:pPr>
                  <w:numPr>
                    <w:ilvl w:val="0"/>
                    <w:numId w:val="0"/>
                  </w:numPr>
                  <w:snapToGrid w:val="0"/>
                  <w:spacing w:line="360" w:lineRule="auto"/>
                  <w:ind w:left="220" w:leftChars="0" w:firstLine="259" w:firstLineChars="108"/>
                  <w:rPr>
                    <w:rFonts w:ascii="宋体" w:hAnsi="宋体" w:cs="宋体"/>
                    <w:b/>
                    <w:kern w:val="0"/>
                    <w:sz w:val="24"/>
                    <w:lang w:val="zh-CN"/>
                  </w:rPr>
                </w:pPr>
                <w:r>
                  <w:rPr>
                    <w:rFonts w:hint="eastAsia" w:ascii="宋体" w:hAnsi="宋体"/>
                    <w:kern w:val="0"/>
                    <w:sz w:val="24"/>
                  </w:rPr>
                  <w:t xml:space="preserve"> </w:t>
                </w:r>
                <w:r>
                  <w:rPr>
                    <w:rFonts w:hint="eastAsia" w:ascii="宋体" w:hAnsi="宋体"/>
                    <w:kern w:val="0"/>
                    <w:sz w:val="24"/>
                    <w:lang w:val="en-US" w:eastAsia="zh-CN"/>
                  </w:rPr>
                  <w:t xml:space="preserve"> </w:t>
                </w:r>
                <w:r>
                  <w:rPr>
                    <w:rFonts w:hint="eastAsia" w:ascii="宋体" w:hAnsi="宋体" w:eastAsia="宋体" w:cs="宋体"/>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sdtContent>
          </w:sdt>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both"/>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896"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896"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89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sdt>
              <w:sdtPr>
                <w:rPr>
                  <w:rFonts w:hint="eastAsia" w:ascii="宋体" w:hAnsi="宋体" w:cs="宋体"/>
                  <w:kern w:val="0"/>
                  <w:sz w:val="24"/>
                </w:rPr>
                <w:id w:val="903718532"/>
              </w:sdtPr>
              <w:sdtEndPr>
                <w:rPr>
                  <w:rFonts w:hint="eastAsia" w:ascii="宋体" w:hAnsi="宋体" w:cs="宋体"/>
                  <w:kern w:val="0"/>
                  <w:sz w:val="24"/>
                </w:rPr>
              </w:sdtEndPr>
              <w:sdtContent>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9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both"/>
              <w:rPr>
                <w:rFonts w:hint="eastAsia" w:ascii="宋体" w:hAnsi="宋体" w:cs="宋体"/>
                <w:sz w:val="24"/>
              </w:rPr>
            </w:pPr>
          </w:p>
          <w:p>
            <w:pPr>
              <w:snapToGrid w:val="0"/>
              <w:spacing w:line="360" w:lineRule="auto"/>
              <w:jc w:val="both"/>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89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53"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896"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2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投标文件的组成、份数、效力</w:t>
            </w:r>
          </w:p>
        </w:tc>
        <w:tc>
          <w:tcPr>
            <w:tcW w:w="6896"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szCs w:val="24"/>
              </w:rPr>
            </w:pPr>
            <w:r>
              <w:rPr>
                <w:rFonts w:hint="eastAsia" w:hAnsi="宋体" w:cs="宋体"/>
                <w:kern w:val="28"/>
                <w:sz w:val="24"/>
                <w:szCs w:val="24"/>
              </w:rPr>
              <w:t>本项目实行电子投标。</w:t>
            </w:r>
          </w:p>
          <w:p>
            <w:pPr>
              <w:pStyle w:val="34"/>
              <w:spacing w:line="360" w:lineRule="auto"/>
              <w:rPr>
                <w:rFonts w:hAnsi="宋体" w:cs="宋体"/>
                <w:kern w:val="28"/>
                <w:sz w:val="24"/>
                <w:szCs w:val="24"/>
              </w:rPr>
            </w:pPr>
            <w:r>
              <w:rPr>
                <w:rFonts w:hint="eastAsia" w:hAnsi="宋体" w:cs="宋体"/>
                <w:kern w:val="28"/>
                <w:sz w:val="24"/>
                <w:szCs w:val="24"/>
              </w:rPr>
              <w:t>1.供应商应准备电子投标文件、以介质存储的数据电文形式的备份投标文件两类：</w:t>
            </w:r>
          </w:p>
          <w:p>
            <w:pPr>
              <w:pStyle w:val="34"/>
              <w:spacing w:line="360" w:lineRule="auto"/>
              <w:rPr>
                <w:rFonts w:hAnsi="宋体" w:cs="宋体"/>
                <w:kern w:val="28"/>
                <w:sz w:val="24"/>
                <w:szCs w:val="24"/>
              </w:rPr>
            </w:pPr>
            <w:r>
              <w:rPr>
                <w:rFonts w:hint="eastAsia" w:hAnsi="宋体" w:cs="宋体"/>
                <w:kern w:val="28"/>
                <w:sz w:val="24"/>
                <w:szCs w:val="24"/>
              </w:rPr>
              <w:t>（1）电子投标文件，按政采云平台项目采购-电子招投标操作指南及本招标文件要求递交。</w:t>
            </w:r>
          </w:p>
          <w:p>
            <w:pPr>
              <w:pStyle w:val="34"/>
              <w:spacing w:line="360" w:lineRule="auto"/>
              <w:rPr>
                <w:rFonts w:hAnsi="宋体" w:cs="宋体"/>
                <w:kern w:val="28"/>
                <w:sz w:val="24"/>
                <w:szCs w:val="24"/>
              </w:rPr>
            </w:pPr>
            <w:r>
              <w:rPr>
                <w:rFonts w:hint="eastAsia" w:hAnsi="宋体" w:cs="宋体"/>
                <w:kern w:val="28"/>
                <w:sz w:val="24"/>
                <w:szCs w:val="24"/>
              </w:rPr>
              <w:t>（2）以介质存储的数据电文形式的备份投标文件：按政采云平台项目采购-电子招投标操作指南制作备份投标文件（后缀名为.bfbs），在投标截止时间前以电子邮件形式递交至(</w:t>
            </w:r>
            <w:r>
              <w:rPr>
                <w:rFonts w:hint="eastAsia" w:hAnsi="宋体" w:cs="宋体"/>
                <w:kern w:val="0"/>
                <w:sz w:val="24"/>
              </w:rPr>
              <w:t>532990955@qq.com</w:t>
            </w:r>
            <w:r>
              <w:rPr>
                <w:rFonts w:hint="eastAsia" w:hAnsi="宋体" w:cs="宋体"/>
                <w:kern w:val="28"/>
                <w:sz w:val="24"/>
                <w:szCs w:val="24"/>
              </w:rPr>
              <w:t>)。</w:t>
            </w:r>
          </w:p>
          <w:p>
            <w:pPr>
              <w:pStyle w:val="34"/>
              <w:spacing w:line="360" w:lineRule="auto"/>
              <w:rPr>
                <w:rFonts w:hAnsi="宋体" w:cs="宋体"/>
                <w:kern w:val="28"/>
                <w:sz w:val="24"/>
                <w:szCs w:val="24"/>
              </w:rPr>
            </w:pPr>
            <w:r>
              <w:rPr>
                <w:rFonts w:hint="eastAsia" w:hAnsi="宋体" w:cs="宋体"/>
                <w:kern w:val="28"/>
                <w:sz w:val="24"/>
                <w:szCs w:val="24"/>
              </w:rPr>
              <w:t>（3）投标文件启用顺序和效力。投标文件的启用，按先后顺位分别为电子投标文件、以介质存储的数据电文形式的备份投标文件。顺位在先的投标文件已按时解密的，备份投标文件自动失效。</w:t>
            </w:r>
          </w:p>
          <w:p>
            <w:pPr>
              <w:pStyle w:val="34"/>
              <w:spacing w:line="360" w:lineRule="auto"/>
              <w:rPr>
                <w:rFonts w:hAnsi="宋体" w:cs="宋体"/>
                <w:kern w:val="28"/>
                <w:sz w:val="24"/>
                <w:szCs w:val="24"/>
              </w:rPr>
            </w:pPr>
            <w:r>
              <w:rPr>
                <w:rFonts w:hint="eastAsia" w:hAnsi="宋体" w:cs="宋体"/>
                <w:kern w:val="28"/>
                <w:sz w:val="24"/>
                <w:szCs w:val="24"/>
              </w:rPr>
              <w:t>▲未传输递交电子投标文件的，投标无效。</w:t>
            </w:r>
          </w:p>
          <w:p>
            <w:pPr>
              <w:pStyle w:val="34"/>
              <w:spacing w:line="360" w:lineRule="auto"/>
              <w:rPr>
                <w:rFonts w:hAnsi="宋体" w:cs="宋体"/>
                <w:kern w:val="28"/>
                <w:sz w:val="24"/>
              </w:rPr>
            </w:pPr>
            <w:r>
              <w:rPr>
                <w:rFonts w:hint="eastAsia" w:hAnsi="宋体" w:cs="宋体"/>
                <w:kern w:val="28"/>
                <w:sz w:val="24"/>
                <w:szCs w:val="24"/>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2" w:hRule="exac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8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1" w:hRule="exac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896"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2" w:hRule="exact"/>
          <w:tblHeader/>
        </w:trPr>
        <w:tc>
          <w:tcPr>
            <w:tcW w:w="629" w:type="dxa"/>
            <w:vMerge w:val="continue"/>
            <w:tcBorders>
              <w:left w:val="single" w:color="000000" w:sz="8" w:space="0"/>
              <w:bottom w:val="single" w:color="auto" w:sz="4" w:space="0"/>
              <w:right w:val="single" w:color="000000" w:sz="2" w:space="0"/>
            </w:tcBorders>
          </w:tcPr>
          <w:p>
            <w:pPr>
              <w:spacing w:line="360" w:lineRule="auto"/>
            </w:pPr>
          </w:p>
        </w:tc>
        <w:tc>
          <w:tcPr>
            <w:tcW w:w="1843" w:type="dxa"/>
            <w:vMerge w:val="continue"/>
            <w:tcBorders>
              <w:left w:val="single" w:color="000000" w:sz="2" w:space="0"/>
              <w:bottom w:val="single" w:color="auto" w:sz="4" w:space="0"/>
              <w:right w:val="single" w:color="000000" w:sz="8" w:space="0"/>
            </w:tcBorders>
            <w:vAlign w:val="center"/>
          </w:tcPr>
          <w:p>
            <w:pPr>
              <w:spacing w:line="360" w:lineRule="auto"/>
            </w:pPr>
          </w:p>
        </w:tc>
        <w:tc>
          <w:tcPr>
            <w:tcW w:w="6896"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Arial" w:asciiTheme="minorEastAsia" w:hAnsiTheme="minorEastAsia" w:eastAsiaTheme="minorEastAsia"/>
                <w:kern w:val="0"/>
                <w:sz w:val="24"/>
              </w:rPr>
            </w:pPr>
            <w:r>
              <w:rPr>
                <w:rFonts w:hint="eastAsia" w:ascii="宋体" w:hAnsi="宋体" w:cs="宋体"/>
                <w:kern w:val="0"/>
                <w:sz w:val="24"/>
                <w:lang w:val="zh-CN"/>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b/>
                <w:sz w:val="24"/>
                <w:lang w:val="zh-CN"/>
              </w:rPr>
            </w:pPr>
            <w:r>
              <w:rPr>
                <w:rFonts w:hint="eastAsia" w:cs="仿宋_GB2312" w:asciiTheme="minorEastAsia" w:hAnsiTheme="minorEastAsia" w:eastAsiaTheme="minorEastAsia"/>
                <w:b/>
                <w:sz w:val="24"/>
                <w:lang w:val="zh-CN"/>
              </w:rPr>
              <w:t>采购机构代理</w:t>
            </w:r>
          </w:p>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lang w:val="zh-CN"/>
              </w:rPr>
              <w:t>费用</w:t>
            </w:r>
          </w:p>
        </w:tc>
        <w:tc>
          <w:tcPr>
            <w:tcW w:w="6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kern w:val="0"/>
                <w:sz w:val="24"/>
              </w:rPr>
            </w:pPr>
            <w:r>
              <w:rPr>
                <w:rFonts w:hint="eastAsia" w:ascii="宋体" w:hAnsi="宋体" w:cs="宋体"/>
                <w:snapToGrid w:val="0"/>
                <w:kern w:val="28"/>
                <w:sz w:val="24"/>
              </w:rPr>
              <w:t>采购服务费按照国家发展计划委员会计价格[2002]1980 号文《招标代理服务费管理暂行办法》及发改办价格[2003]857号文的收费标准计取。由中标单位支付给采购代理公司。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99"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b/>
                <w:sz w:val="24"/>
                <w:lang w:val="zh-CN"/>
              </w:rPr>
            </w:pPr>
            <w:r>
              <w:rPr>
                <w:rFonts w:hint="eastAsia" w:cs="仿宋_GB2312" w:asciiTheme="minorEastAsia" w:hAnsiTheme="minorEastAsia" w:eastAsiaTheme="minorEastAsia"/>
                <w:b/>
                <w:sz w:val="24"/>
              </w:rPr>
              <w:t>纸质投标文件</w:t>
            </w:r>
          </w:p>
        </w:tc>
        <w:tc>
          <w:tcPr>
            <w:tcW w:w="6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中标单位在领取中标通知书时，须提供本项目加盖公章并签字的纸质投标文件（“资格文件”、“报价文件”和“商务技术文件”）贰份（正本一份，副本一份，副本是正本的复印件，与电子投标文件一致，如不一致，以电子投标文件为准）。</w:t>
            </w:r>
          </w:p>
        </w:tc>
      </w:tr>
      <w:bookmarkEnd w:id="10"/>
    </w:tbl>
    <w:p>
      <w:pPr>
        <w:jc w:val="center"/>
        <w:rPr>
          <w:rFonts w:hint="eastAsia" w:ascii="宋体" w:hAnsi="宋体" w:cs="宋体"/>
          <w:b/>
          <w:sz w:val="32"/>
          <w:szCs w:val="20"/>
        </w:rPr>
      </w:pPr>
      <w:bookmarkStart w:id="13" w:name="第三部分"/>
      <w:bookmarkStart w:id="14" w:name="_Toc164416483"/>
    </w:p>
    <w:p>
      <w:pPr>
        <w:jc w:val="center"/>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888"/>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8"/>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pPr>
      <w:r>
        <w:rPr>
          <w:rFonts w:hint="eastAsia"/>
        </w:rPr>
        <w:t>投诉书范本及制作说明详见附件3。</w:t>
      </w:r>
    </w:p>
    <w:p>
      <w:pPr>
        <w:pStyle w:val="888"/>
        <w:shd w:val="clear" w:color="auto" w:fill="FFFFFF"/>
        <w:snapToGrid w:val="0"/>
        <w:spacing w:after="240" w:afterAutospacing="0" w:line="360" w:lineRule="auto"/>
        <w:ind w:firstLine="400"/>
        <w:contextualSpacing/>
      </w:pPr>
      <w:r>
        <w:rPr>
          <w:rFonts w:hint="eastAsia"/>
        </w:rPr>
        <w:t>4.5在线质疑、投诉。</w:t>
      </w:r>
    </w:p>
    <w:p>
      <w:pPr>
        <w:pStyle w:val="888"/>
        <w:shd w:val="clear" w:color="auto" w:fill="FFFFFF"/>
        <w:snapToGrid w:val="0"/>
        <w:spacing w:after="240" w:afterAutospacing="0" w:line="360" w:lineRule="auto"/>
        <w:ind w:firstLine="400"/>
        <w:contextualSpacing/>
      </w:pPr>
      <w:r>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30"/>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3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0"/>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7" w:name="_Hlk101259339"/>
      <w:r>
        <w:rPr>
          <w:rFonts w:hint="eastAsia" w:ascii="宋体" w:hAnsi="宋体" w:cs="宋体"/>
          <w:snapToGrid w:val="0"/>
          <w:kern w:val="28"/>
          <w:sz w:val="24"/>
          <w:szCs w:val="20"/>
        </w:rPr>
        <w:t>联合协议</w:t>
      </w:r>
      <w:bookmarkEnd w:id="17"/>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11.1.5中小企业声明函</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4" w:firstLineChars="400"/>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w:t>
      </w:r>
      <w:r>
        <w:rPr>
          <w:rFonts w:hint="eastAsia" w:ascii="宋体" w:hAnsi="宋体" w:cs="宋体"/>
          <w:b/>
          <w:bCs/>
          <w:sz w:val="24"/>
          <w:lang w:val="zh-CN"/>
        </w:rPr>
        <w:t xml:space="preserve">  </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11.2.7商务技术偏离表；</w:t>
      </w:r>
    </w:p>
    <w:p>
      <w:pPr>
        <w:snapToGrid w:val="0"/>
        <w:spacing w:line="360" w:lineRule="auto"/>
        <w:ind w:left="420" w:leftChars="200" w:firstLine="480" w:firstLineChars="200"/>
        <w:rPr>
          <w:rFonts w:hint="eastAsia"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477" w:firstLineChars="199"/>
        <w:rPr>
          <w:rFonts w:hAnsi="宋体" w:cs="宋体"/>
          <w:sz w:val="24"/>
          <w:szCs w:val="24"/>
        </w:rPr>
      </w:pPr>
      <w:r>
        <w:rPr>
          <w:rFonts w:hint="eastAsia" w:hAnsi="宋体" w:cs="宋体"/>
          <w:sz w:val="24"/>
          <w:szCs w:val="24"/>
        </w:rPr>
        <w:t xml:space="preserve"> 15.1投标人在电子交易平台传输递交投标文件后，还可以以介质存储的数据电文形式的备份投标文件：按政采云平台项目采购-电子招投标操作指南制作备份投标文件（后缀名为.bfbs），在投标截止时间前以电子邮件形式递交至(</w:t>
      </w:r>
      <w:r>
        <w:rPr>
          <w:rFonts w:hint="eastAsia" w:hAnsi="宋体" w:cs="宋体"/>
          <w:kern w:val="0"/>
          <w:sz w:val="24"/>
        </w:rPr>
        <w:t>532990955@qq.com</w:t>
      </w:r>
      <w:r>
        <w:rPr>
          <w:rFonts w:hint="eastAsia" w:hAnsi="宋体" w:cs="宋体"/>
          <w:sz w:val="24"/>
          <w:szCs w:val="24"/>
        </w:rPr>
        <w:t>)。不符合上述制作、存储规定的备份投标文件将被视为无效或者被拒绝接收。采购人、采购机构不强制或变相强制投标人提交备份投标文件。</w:t>
      </w:r>
    </w:p>
    <w:p>
      <w:pPr>
        <w:pStyle w:val="34"/>
        <w:spacing w:line="360" w:lineRule="auto"/>
        <w:ind w:firstLine="479" w:firstLineChars="199"/>
        <w:rPr>
          <w:rFonts w:hAnsi="宋体" w:cs="宋体"/>
          <w:b/>
          <w:sz w:val="24"/>
          <w:szCs w:val="24"/>
        </w:rPr>
      </w:pPr>
      <w:r>
        <w:rPr>
          <w:rFonts w:hint="eastAsia" w:hAnsi="宋体" w:cs="宋体"/>
          <w:b/>
          <w:bCs/>
          <w:sz w:val="24"/>
          <w:szCs w:val="24"/>
        </w:rPr>
        <w:t>15.2投标人仅提交备份投标文件，没有在电子交易平台传输递交投标文件的，投标无效</w:t>
      </w:r>
      <w:r>
        <w:rPr>
          <w:rFonts w:hint="eastAsia" w:hAnsi="宋体" w:cs="宋体"/>
          <w:b/>
          <w:sz w:val="24"/>
          <w:szCs w:val="24"/>
        </w:rPr>
        <w:t>。</w:t>
      </w:r>
    </w:p>
    <w:p>
      <w:pPr>
        <w:pStyle w:val="130"/>
        <w:spacing w:before="0"/>
        <w:ind w:firstLine="0" w:firstLineChars="0"/>
        <w:rPr>
          <w:rFonts w:ascii="宋体" w:hAnsi="宋体" w:cs="宋体"/>
          <w:b/>
          <w:szCs w:val="24"/>
        </w:rPr>
      </w:pPr>
      <w:r>
        <w:rPr>
          <w:rFonts w:hint="eastAsia" w:ascii="宋体" w:hAnsi="宋体" w:cs="宋体"/>
          <w:b/>
          <w:szCs w:val="24"/>
        </w:rPr>
        <w:t>16.投标文件的无效处理</w:t>
      </w:r>
    </w:p>
    <w:p>
      <w:pPr>
        <w:pStyle w:val="16"/>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480"/>
        <w:rPr>
          <w:rFonts w:ascii="宋体" w:hAnsi="宋体" w:cs="宋体"/>
        </w:rPr>
      </w:pPr>
      <w:r>
        <w:rPr>
          <w:rFonts w:hint="eastAsia" w:ascii="宋体" w:hAnsi="宋体" w:cs="宋体"/>
        </w:rPr>
        <w:t>17.4在投标截止时间起至投标有效期届满，供应商投标文件不可撤销。</w:t>
      </w:r>
    </w:p>
    <w:p>
      <w:pPr>
        <w:pStyle w:val="130"/>
        <w:spacing w:before="0"/>
        <w:ind w:firstLine="1928" w:firstLineChars="600"/>
        <w:rPr>
          <w:rFonts w:ascii="宋体" w:hAnsi="宋体" w:cs="宋体"/>
          <w:b/>
          <w:sz w:val="32"/>
        </w:rPr>
      </w:pPr>
    </w:p>
    <w:p>
      <w:pPr>
        <w:pStyle w:val="13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30"/>
        <w:spacing w:before="0"/>
        <w:ind w:firstLine="480"/>
        <w:rPr>
          <w:rFonts w:ascii="宋体" w:hAnsi="宋体" w:cs="宋体"/>
        </w:rPr>
      </w:pPr>
      <w:r>
        <w:rPr>
          <w:rFonts w:hint="eastAsia" w:ascii="宋体" w:hAnsi="宋体" w:cs="宋体"/>
        </w:rPr>
        <w:t>19.1开标后，采购人将依据法律法规和招标文件的规定，对投标人的资格进行审查。</w:t>
      </w:r>
    </w:p>
    <w:p>
      <w:pPr>
        <w:pStyle w:val="130"/>
        <w:spacing w:before="0"/>
        <w:ind w:firstLine="480"/>
        <w:rPr>
          <w:rFonts w:ascii="宋体" w:hAnsi="宋体" w:cs="宋体"/>
        </w:rPr>
      </w:pPr>
      <w:r>
        <w:rPr>
          <w:rFonts w:hint="eastAsia" w:ascii="宋体" w:hAnsi="宋体" w:cs="宋体"/>
        </w:rPr>
        <w:t>19.2投标人未按照招标文件要求提供与资格条件相应的有效资格证明材料的，视为投标人不具备招标文件中规定的资格要求，其投标无效。</w:t>
      </w:r>
    </w:p>
    <w:p>
      <w:pPr>
        <w:pStyle w:val="130"/>
        <w:spacing w:before="0"/>
        <w:ind w:firstLine="480"/>
        <w:rPr>
          <w:rFonts w:ascii="宋体" w:hAnsi="宋体" w:cs="宋体"/>
        </w:rPr>
      </w:pPr>
      <w:r>
        <w:rPr>
          <w:rFonts w:hint="eastAsia" w:ascii="宋体" w:hAnsi="宋体" w:cs="宋体"/>
        </w:rPr>
        <w:t>19.3对未通过资格审查的投标人，告知其未通过的原因。</w:t>
      </w:r>
    </w:p>
    <w:p>
      <w:pPr>
        <w:pStyle w:val="130"/>
        <w:spacing w:before="0"/>
        <w:ind w:firstLine="480"/>
        <w:rPr>
          <w:rFonts w:ascii="宋体" w:hAnsi="宋体" w:cs="宋体"/>
        </w:rPr>
      </w:pPr>
      <w:r>
        <w:rPr>
          <w:rFonts w:hint="eastAsia" w:ascii="宋体" w:hAnsi="宋体" w:cs="宋体"/>
        </w:rPr>
        <w:t>19.4合格投标人不足3家的，不再评标。</w:t>
      </w:r>
    </w:p>
    <w:p>
      <w:pPr>
        <w:pStyle w:val="130"/>
        <w:spacing w:before="0"/>
        <w:ind w:firstLine="0" w:firstLineChars="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16"/>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1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1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1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3"/>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采购单位应当在政府采购合同中约定预付款，对中小企业合同预付款比例原则上不低于合同金额的5</w:t>
      </w:r>
      <w:r>
        <w:rPr>
          <w:rFonts w:ascii="宋体" w:hAnsi="宋体"/>
          <w:sz w:val="24"/>
        </w:rPr>
        <w:t>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w:t>
      </w:r>
      <w:r>
        <w:rPr>
          <w:rFonts w:hint="eastAsia" w:ascii="宋体" w:hAnsi="宋体"/>
          <w:sz w:val="24"/>
        </w:rPr>
        <w:t>5</w:t>
      </w:r>
      <w:r>
        <w:rPr>
          <w:rFonts w:ascii="宋体" w:hAnsi="宋体"/>
          <w:sz w:val="24"/>
        </w:rPr>
        <w:t>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可适当降低预付款比例，但不得低于5</w:t>
      </w:r>
      <w:r>
        <w:rPr>
          <w:rFonts w:ascii="宋体" w:hAnsi="宋体"/>
          <w:sz w:val="24"/>
        </w:rPr>
        <w:t>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0"/>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0"/>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0"/>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1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5236011"/>
      <w:bookmarkEnd w:id="19"/>
      <w:bookmarkStart w:id="20" w:name="_Hlt68072998"/>
      <w:bookmarkEnd w:id="20"/>
      <w:bookmarkStart w:id="21" w:name="_Hlt68073093"/>
      <w:bookmarkEnd w:id="21"/>
      <w:bookmarkStart w:id="22" w:name="_Hlt75236290"/>
      <w:bookmarkEnd w:id="22"/>
      <w:bookmarkStart w:id="23" w:name="_Hlt68072990"/>
      <w:bookmarkEnd w:id="23"/>
      <w:bookmarkStart w:id="24" w:name="_Hlt74714665"/>
      <w:bookmarkEnd w:id="24"/>
      <w:bookmarkStart w:id="25" w:name="_Hlt74707468"/>
      <w:bookmarkEnd w:id="25"/>
      <w:bookmarkStart w:id="26" w:name="_Hlt74730295"/>
      <w:bookmarkEnd w:id="26"/>
      <w:bookmarkStart w:id="27" w:name="_Hlt68403820"/>
      <w:bookmarkEnd w:id="27"/>
      <w:bookmarkStart w:id="28" w:name="_Hlt68057669"/>
      <w:bookmarkEnd w:id="28"/>
      <w:bookmarkStart w:id="29" w:name="_Hlt74729768"/>
      <w:bookmarkEnd w:id="29"/>
      <w:bookmarkStart w:id="30" w:name="_Hlt75236101"/>
      <w:bookmarkEnd w:id="30"/>
    </w:p>
    <w:bookmarkEnd w:id="13"/>
    <w:bookmarkEnd w:id="14"/>
    <w:p>
      <w:pPr>
        <w:numPr>
          <w:ilvl w:val="0"/>
          <w:numId w:val="3"/>
        </w:numPr>
        <w:spacing w:line="360" w:lineRule="auto"/>
        <w:jc w:val="center"/>
        <w:outlineLvl w:val="0"/>
        <w:rPr>
          <w:rFonts w:hint="eastAsia" w:ascii="宋体" w:hAnsi="宋体" w:cs="宋体"/>
          <w:b/>
          <w:sz w:val="36"/>
          <w:szCs w:val="36"/>
        </w:rPr>
      </w:pPr>
      <w:bookmarkStart w:id="31" w:name="第四部分"/>
      <w:r>
        <w:rPr>
          <w:rFonts w:hint="eastAsia" w:ascii="宋体" w:hAnsi="宋体" w:cs="宋体"/>
          <w:b/>
          <w:sz w:val="36"/>
          <w:szCs w:val="36"/>
        </w:rPr>
        <w:t xml:space="preserve">  采购需求</w:t>
      </w:r>
    </w:p>
    <w:p>
      <w:pPr>
        <w:widowControl w:val="0"/>
        <w:numPr>
          <w:ilvl w:val="0"/>
          <w:numId w:val="0"/>
        </w:numPr>
        <w:adjustRightInd w:val="0"/>
        <w:spacing w:line="360" w:lineRule="auto"/>
        <w:jc w:val="center"/>
        <w:outlineLvl w:val="0"/>
        <w:rPr>
          <w:rFonts w:hint="eastAsia" w:ascii="宋体" w:hAnsi="宋体" w:cs="宋体"/>
          <w:b/>
          <w:sz w:val="36"/>
          <w:szCs w:val="36"/>
        </w:rPr>
      </w:pPr>
    </w:p>
    <w:p>
      <w:pPr>
        <w:widowControl w:val="0"/>
        <w:numPr>
          <w:ilvl w:val="0"/>
          <w:numId w:val="0"/>
        </w:numPr>
        <w:adjustRightInd w:val="0"/>
        <w:spacing w:line="360" w:lineRule="auto"/>
        <w:ind w:left="-420" w:leftChars="-200" w:firstLine="0" w:firstLineChars="0"/>
        <w:jc w:val="left"/>
        <w:outlineLvl w:val="0"/>
        <w:rPr>
          <w:rFonts w:hint="eastAsia" w:ascii="宋体" w:hAnsi="宋体" w:eastAsia="宋体" w:cs="宋体"/>
          <w:b/>
          <w:sz w:val="28"/>
          <w:szCs w:val="28"/>
          <w:lang w:val="en-US" w:eastAsia="zh-CN"/>
        </w:rPr>
      </w:pPr>
      <w:r>
        <w:rPr>
          <w:rFonts w:hint="eastAsia" w:ascii="宋体" w:hAnsi="宋体" w:cs="宋体"/>
          <w:b/>
          <w:sz w:val="28"/>
          <w:szCs w:val="28"/>
          <w:lang w:val="en-US" w:eastAsia="zh-CN"/>
        </w:rPr>
        <w:t>一、采购清单</w:t>
      </w:r>
    </w:p>
    <w:tbl>
      <w:tblPr>
        <w:tblStyle w:val="63"/>
        <w:tblW w:w="10081"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50"/>
        <w:gridCol w:w="1904"/>
        <w:gridCol w:w="5715"/>
        <w:gridCol w:w="800"/>
        <w:gridCol w:w="91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46" w:hRule="atLeast"/>
          <w:jc w:val="center"/>
        </w:trPr>
        <w:tc>
          <w:tcPr>
            <w:tcW w:w="750" w:type="dxa"/>
            <w:tcBorders>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904" w:type="dxa"/>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名称</w:t>
            </w:r>
          </w:p>
        </w:tc>
        <w:tc>
          <w:tcPr>
            <w:tcW w:w="5715" w:type="dxa"/>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名称</w:t>
            </w:r>
          </w:p>
        </w:tc>
        <w:tc>
          <w:tcPr>
            <w:tcW w:w="800" w:type="dxa"/>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912" w:type="dxa"/>
            <w:tcBorders>
              <w:left w:val="single" w:color="auto" w:sz="4" w:space="0"/>
              <w:bottom w:val="single" w:color="auto" w:sz="4" w:space="0"/>
            </w:tcBorders>
            <w:noWrap w:val="0"/>
            <w:vAlign w:val="center"/>
          </w:tcPr>
          <w:p>
            <w:pPr>
              <w:widowControl/>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单位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46" w:hRule="atLeast"/>
          <w:jc w:val="center"/>
        </w:trPr>
        <w:tc>
          <w:tcPr>
            <w:tcW w:w="10081" w:type="dxa"/>
            <w:gridSpan w:val="5"/>
            <w:tcBorders>
              <w:bottom w:val="single" w:color="auto" w:sz="4" w:space="0"/>
            </w:tcBorders>
            <w:noWrap w:val="0"/>
            <w:vAlign w:val="center"/>
          </w:tcPr>
          <w:p>
            <w:pPr>
              <w:widowControl/>
              <w:spacing w:line="400" w:lineRule="exact"/>
              <w:jc w:val="left"/>
              <w:rPr>
                <w:rFonts w:hint="eastAsia" w:ascii="宋体" w:hAnsi="宋体" w:eastAsia="宋体" w:cs="宋体"/>
                <w:b/>
                <w:sz w:val="24"/>
                <w:szCs w:val="24"/>
              </w:rPr>
            </w:pPr>
            <w:r>
              <w:rPr>
                <w:rStyle w:val="80"/>
                <w:rFonts w:hint="eastAsia" w:ascii="宋体" w:hAnsi="宋体" w:eastAsia="宋体" w:cs="宋体"/>
                <w:sz w:val="24"/>
                <w:szCs w:val="24"/>
              </w:rPr>
              <w:t>室外一体化无负压管道增压泵</w:t>
            </w:r>
            <w:r>
              <w:rPr>
                <w:rFonts w:hint="eastAsia" w:ascii="宋体" w:hAnsi="宋体" w:eastAsia="宋体" w:cs="宋体"/>
                <w:i w:val="0"/>
                <w:iCs w:val="0"/>
                <w:color w:val="auto"/>
                <w:kern w:val="0"/>
                <w:sz w:val="24"/>
                <w:szCs w:val="24"/>
                <w:u w:val="none"/>
                <w:lang w:val="en-US" w:eastAsia="zh-CN" w:bidi="ar"/>
              </w:rPr>
              <w:t>设备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89" w:hRule="atLeast"/>
          <w:jc w:val="center"/>
        </w:trPr>
        <w:tc>
          <w:tcPr>
            <w:tcW w:w="750" w:type="dxa"/>
            <w:tcBorders>
              <w:top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90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sz w:val="24"/>
                <w:szCs w:val="24"/>
              </w:rPr>
            </w:pPr>
            <w:r>
              <w:rPr>
                <w:rStyle w:val="80"/>
                <w:rFonts w:hint="eastAsia" w:ascii="宋体" w:hAnsi="宋体" w:eastAsia="宋体" w:cs="宋体"/>
                <w:sz w:val="24"/>
                <w:szCs w:val="24"/>
              </w:rPr>
              <w:t>一体化无负压管道增压泵</w:t>
            </w:r>
            <w:r>
              <w:rPr>
                <w:rFonts w:hint="eastAsia" w:ascii="宋体" w:hAnsi="宋体" w:eastAsia="宋体" w:cs="宋体"/>
                <w:i w:val="0"/>
                <w:iCs w:val="0"/>
                <w:color w:val="auto"/>
                <w:kern w:val="0"/>
                <w:sz w:val="24"/>
                <w:szCs w:val="24"/>
                <w:u w:val="none"/>
                <w:lang w:val="en-US" w:eastAsia="zh-CN" w:bidi="ar"/>
              </w:rPr>
              <w:t>设备</w:t>
            </w:r>
          </w:p>
        </w:tc>
        <w:tc>
          <w:tcPr>
            <w:tcW w:w="5715" w:type="dxa"/>
            <w:tcBorders>
              <w:top w:val="single" w:color="auto" w:sz="4" w:space="0"/>
              <w:left w:val="nil"/>
              <w:bottom w:val="single" w:color="auto" w:sz="4" w:space="0"/>
              <w:right w:val="single" w:color="auto" w:sz="4" w:space="0"/>
            </w:tcBorders>
            <w:noWrap w:val="0"/>
            <w:vAlign w:val="center"/>
          </w:tcPr>
          <w:p>
            <w:pPr>
              <w:widowControl/>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zh-CN"/>
              </w:rPr>
              <w:t>Q=</w:t>
            </w:r>
            <w:r>
              <w:rPr>
                <w:rFonts w:hint="eastAsia" w:ascii="宋体" w:hAnsi="宋体" w:eastAsia="宋体" w:cs="宋体"/>
                <w:color w:val="000000"/>
                <w:sz w:val="24"/>
                <w:szCs w:val="24"/>
                <w:highlight w:val="none"/>
                <w:lang w:val="en-US" w:eastAsia="zh-CN"/>
              </w:rPr>
              <w:t>26</w:t>
            </w:r>
            <w:r>
              <w:rPr>
                <w:rFonts w:hint="eastAsia" w:ascii="宋体" w:hAnsi="宋体" w:eastAsia="宋体" w:cs="宋体"/>
                <w:color w:val="000000"/>
                <w:sz w:val="24"/>
                <w:szCs w:val="24"/>
                <w:highlight w:val="none"/>
                <w:lang w:val="zh-CN"/>
              </w:rPr>
              <w:t>m³/h</w:t>
            </w:r>
            <w:r>
              <w:rPr>
                <w:rFonts w:hint="eastAsia" w:ascii="宋体" w:hAnsi="宋体" w:eastAsia="宋体" w:cs="宋体"/>
                <w:color w:val="000000"/>
                <w:sz w:val="24"/>
                <w:szCs w:val="24"/>
                <w:highlight w:val="none"/>
                <w:lang w:val="en-US" w:eastAsia="zh-CN"/>
              </w:rPr>
              <w:t>,H=60m, P=11kw</w:t>
            </w:r>
            <w:r>
              <w:rPr>
                <w:rFonts w:hint="eastAsia" w:ascii="宋体" w:hAnsi="宋体" w:eastAsia="宋体" w:cs="宋体"/>
                <w:i w:val="0"/>
                <w:iCs w:val="0"/>
                <w:color w:val="auto"/>
                <w:kern w:val="0"/>
                <w:sz w:val="24"/>
                <w:szCs w:val="24"/>
                <w:highlight w:val="none"/>
                <w:u w:val="none"/>
                <w:lang w:val="en-US" w:eastAsia="zh-CN" w:bidi="ar"/>
              </w:rPr>
              <w:t>，含水泵机组、控制柜、气压罐、阀门、传感器管路系统配套配件、监控、基础、管理房、电缆等部件组成</w:t>
            </w:r>
          </w:p>
        </w:tc>
        <w:tc>
          <w:tcPr>
            <w:tcW w:w="80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w:t>
            </w:r>
          </w:p>
        </w:tc>
        <w:tc>
          <w:tcPr>
            <w:tcW w:w="912" w:type="dxa"/>
            <w:tcBorders>
              <w:top w:val="single" w:color="auto" w:sz="4" w:space="0"/>
              <w:left w:val="single" w:color="auto" w:sz="4" w:space="0"/>
              <w:bottom w:val="single" w:color="auto" w:sz="4" w:space="0"/>
            </w:tcBorders>
            <w:noWrap w:val="0"/>
            <w:vAlign w:val="center"/>
          </w:tcPr>
          <w:p>
            <w:pPr>
              <w:widowControl/>
              <w:spacing w:line="400" w:lineRule="exact"/>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97" w:hRule="atLeast"/>
          <w:jc w:val="center"/>
        </w:trPr>
        <w:tc>
          <w:tcPr>
            <w:tcW w:w="750" w:type="dxa"/>
            <w:tcBorders>
              <w:top w:val="single" w:color="auto" w:sz="4" w:space="0"/>
              <w:right w:val="single" w:color="auto" w:sz="4" w:space="0"/>
            </w:tcBorders>
            <w:noWrap w:val="0"/>
            <w:vAlign w:val="center"/>
          </w:tcPr>
          <w:p>
            <w:pPr>
              <w:widowControl/>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904" w:type="dxa"/>
            <w:tcBorders>
              <w:top w:val="single" w:color="auto" w:sz="4" w:space="0"/>
              <w:left w:val="nil"/>
              <w:right w:val="single" w:color="auto" w:sz="4" w:space="0"/>
            </w:tcBorders>
            <w:noWrap w:val="0"/>
            <w:vAlign w:val="center"/>
          </w:tcPr>
          <w:p>
            <w:pPr>
              <w:widowControl/>
              <w:spacing w:line="400" w:lineRule="exact"/>
              <w:jc w:val="center"/>
              <w:rPr>
                <w:rFonts w:hint="eastAsia" w:ascii="宋体" w:hAnsi="宋体" w:eastAsia="宋体" w:cs="宋体"/>
                <w:sz w:val="24"/>
                <w:szCs w:val="24"/>
                <w:lang w:val="en-US" w:eastAsia="zh-CN"/>
              </w:rPr>
            </w:pPr>
            <w:r>
              <w:rPr>
                <w:rStyle w:val="80"/>
                <w:rFonts w:hint="eastAsia" w:ascii="宋体" w:hAnsi="宋体" w:eastAsia="宋体" w:cs="宋体"/>
                <w:sz w:val="24"/>
                <w:szCs w:val="24"/>
              </w:rPr>
              <w:t>一体化无负压管道增压泵</w:t>
            </w:r>
            <w:r>
              <w:rPr>
                <w:rFonts w:hint="eastAsia" w:ascii="宋体" w:hAnsi="宋体" w:eastAsia="宋体" w:cs="宋体"/>
                <w:i w:val="0"/>
                <w:iCs w:val="0"/>
                <w:color w:val="auto"/>
                <w:kern w:val="0"/>
                <w:sz w:val="24"/>
                <w:szCs w:val="24"/>
                <w:u w:val="none"/>
                <w:lang w:val="en-US" w:eastAsia="zh-CN" w:bidi="ar"/>
              </w:rPr>
              <w:t>设备</w:t>
            </w:r>
          </w:p>
        </w:tc>
        <w:tc>
          <w:tcPr>
            <w:tcW w:w="5715" w:type="dxa"/>
            <w:tcBorders>
              <w:top w:val="single" w:color="auto" w:sz="4" w:space="0"/>
              <w:left w:val="nil"/>
              <w:right w:val="single" w:color="auto" w:sz="4" w:space="0"/>
            </w:tcBorders>
            <w:noWrap w:val="0"/>
            <w:vAlign w:val="center"/>
          </w:tcPr>
          <w:p>
            <w:pPr>
              <w:widowControl/>
              <w:spacing w:line="400" w:lineRule="exact"/>
              <w:jc w:val="both"/>
              <w:rPr>
                <w:rFonts w:hint="eastAsia" w:ascii="宋体" w:hAnsi="宋体" w:eastAsia="宋体" w:cs="宋体"/>
                <w:sz w:val="24"/>
                <w:szCs w:val="24"/>
                <w:highlight w:val="none"/>
                <w:lang w:val="zh-CN"/>
              </w:rPr>
            </w:pPr>
            <w:r>
              <w:rPr>
                <w:rFonts w:hint="eastAsia" w:ascii="宋体" w:hAnsi="宋体" w:eastAsia="宋体" w:cs="宋体"/>
                <w:color w:val="000000"/>
                <w:sz w:val="24"/>
                <w:szCs w:val="24"/>
                <w:highlight w:val="none"/>
                <w:lang w:val="zh-CN"/>
              </w:rPr>
              <w:t>Q=</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lang w:val="zh-CN"/>
              </w:rPr>
              <w:t>m³/h</w:t>
            </w:r>
            <w:r>
              <w:rPr>
                <w:rFonts w:hint="eastAsia" w:ascii="宋体" w:hAnsi="宋体" w:eastAsia="宋体" w:cs="宋体"/>
                <w:color w:val="000000"/>
                <w:sz w:val="24"/>
                <w:szCs w:val="24"/>
                <w:highlight w:val="none"/>
                <w:lang w:val="en-US" w:eastAsia="zh-CN"/>
              </w:rPr>
              <w:t>,H=50m,P=2.2kw</w:t>
            </w:r>
            <w:r>
              <w:rPr>
                <w:rFonts w:hint="eastAsia" w:ascii="宋体" w:hAnsi="宋体" w:eastAsia="宋体" w:cs="宋体"/>
                <w:i w:val="0"/>
                <w:iCs w:val="0"/>
                <w:color w:val="auto"/>
                <w:kern w:val="0"/>
                <w:sz w:val="24"/>
                <w:szCs w:val="24"/>
                <w:highlight w:val="none"/>
                <w:u w:val="none"/>
                <w:lang w:val="en-US" w:eastAsia="zh-CN" w:bidi="ar"/>
              </w:rPr>
              <w:t>，含水泵机组、控制柜、式气压罐、阀门、传感器管路系统配套配件、监控、基础、管理房、电缆等部件组成</w:t>
            </w:r>
          </w:p>
        </w:tc>
        <w:tc>
          <w:tcPr>
            <w:tcW w:w="800" w:type="dxa"/>
            <w:tcBorders>
              <w:top w:val="single" w:color="auto" w:sz="4" w:space="0"/>
              <w:left w:val="nil"/>
              <w:right w:val="single" w:color="auto" w:sz="4" w:space="0"/>
            </w:tcBorders>
            <w:noWrap w:val="0"/>
            <w:vAlign w:val="center"/>
          </w:tcPr>
          <w:p>
            <w:pPr>
              <w:widowControl/>
              <w:spacing w:line="400" w:lineRule="exact"/>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w:t>
            </w:r>
          </w:p>
        </w:tc>
        <w:tc>
          <w:tcPr>
            <w:tcW w:w="912" w:type="dxa"/>
            <w:tcBorders>
              <w:top w:val="single" w:color="auto" w:sz="4" w:space="0"/>
              <w:left w:val="single" w:color="auto" w:sz="4" w:space="0"/>
            </w:tcBorders>
            <w:noWrap w:val="0"/>
            <w:vAlign w:val="center"/>
          </w:tcPr>
          <w:p>
            <w:pPr>
              <w:widowControl/>
              <w:spacing w:line="400" w:lineRule="exact"/>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套</w:t>
            </w:r>
          </w:p>
        </w:tc>
      </w:tr>
    </w:tbl>
    <w:p>
      <w:pPr>
        <w:tabs>
          <w:tab w:val="left" w:pos="0"/>
        </w:tabs>
        <w:spacing w:line="360" w:lineRule="auto"/>
        <w:ind w:firstLine="480"/>
        <w:rPr>
          <w:rFonts w:hint="default" w:ascii="微软雅黑" w:hAnsi="微软雅黑" w:eastAsia="微软雅黑" w:cs="宋体"/>
          <w:b/>
          <w:bCs/>
          <w:kern w:val="0"/>
          <w:szCs w:val="21"/>
          <w:lang w:val="en-US" w:eastAsia="zh-CN"/>
        </w:rPr>
      </w:pPr>
      <w:r>
        <w:rPr>
          <w:rFonts w:hint="eastAsia" w:ascii="宋体" w:hAnsi="宋体" w:eastAsia="宋体" w:cs="宋体"/>
          <w:b/>
          <w:bCs/>
          <w:color w:val="auto"/>
          <w:kern w:val="0"/>
          <w:sz w:val="24"/>
          <w:lang w:val="en-US" w:eastAsia="zh-CN"/>
        </w:rPr>
        <w:t>注：本项目为</w:t>
      </w:r>
      <w:r>
        <w:rPr>
          <w:rFonts w:hint="eastAsia" w:ascii="宋体" w:hAnsi="宋体" w:eastAsia="宋体" w:cs="宋体"/>
          <w:b/>
          <w:bCs/>
          <w:color w:val="auto"/>
          <w:kern w:val="0"/>
          <w:sz w:val="24"/>
        </w:rPr>
        <w:t>交钥匙工程（包括设备采购、现场安装、调试及培训等），投标人须全面负责设备的技术、制造、采购、运输、保险、交货、质保期内的备品备件供应、专用工具、现场仓储和短驳费、现场预埋及安装、调试和试运行、最终验收、技术培训及相关技术服务，保证达到验收标准要求等全部责任。</w:t>
      </w:r>
    </w:p>
    <w:p>
      <w:pPr>
        <w:widowControl w:val="0"/>
        <w:numPr>
          <w:ilvl w:val="0"/>
          <w:numId w:val="0"/>
        </w:numPr>
        <w:adjustRightInd w:val="0"/>
        <w:spacing w:line="360" w:lineRule="auto"/>
        <w:ind w:left="-420" w:leftChars="-200" w:firstLine="0" w:firstLineChars="0"/>
        <w:jc w:val="left"/>
        <w:outlineLvl w:val="0"/>
        <w:rPr>
          <w:rFonts w:hint="eastAsia" w:ascii="宋体" w:hAnsi="宋体" w:cs="宋体"/>
          <w:b/>
          <w:sz w:val="28"/>
          <w:szCs w:val="28"/>
          <w:lang w:val="en-US" w:eastAsia="zh-CN"/>
        </w:rPr>
      </w:pPr>
      <w:r>
        <w:rPr>
          <w:rFonts w:hint="eastAsia" w:ascii="宋体" w:hAnsi="宋体" w:cs="宋体"/>
          <w:b/>
          <w:sz w:val="28"/>
          <w:szCs w:val="28"/>
          <w:lang w:val="en-US" w:eastAsia="zh-CN"/>
        </w:rPr>
        <w:t>二、技术参数</w:t>
      </w:r>
    </w:p>
    <w:p>
      <w:pPr>
        <w:kinsoku w:val="0"/>
        <w:overflowPunct w:val="0"/>
        <w:autoSpaceDE w:val="0"/>
        <w:autoSpaceDN w:val="0"/>
        <w:spacing w:line="360" w:lineRule="auto"/>
        <w:outlineLvl w:val="0"/>
        <w:rPr>
          <w:rFonts w:hint="eastAsia" w:ascii="宋体" w:hAnsi="宋体" w:eastAsia="宋体" w:cs="宋体"/>
          <w:b/>
          <w:spacing w:val="2"/>
          <w:kern w:val="0"/>
          <w:sz w:val="24"/>
          <w:szCs w:val="24"/>
        </w:rPr>
      </w:pPr>
      <w:r>
        <w:rPr>
          <w:rFonts w:hint="eastAsia" w:ascii="宋体" w:hAnsi="宋体" w:eastAsia="宋体" w:cs="宋体"/>
          <w:b/>
          <w:kern w:val="0"/>
          <w:sz w:val="24"/>
          <w:szCs w:val="24"/>
        </w:rPr>
        <w:t>1、</w:t>
      </w:r>
      <w:r>
        <w:rPr>
          <w:rFonts w:hint="eastAsia" w:ascii="宋体" w:hAnsi="宋体" w:eastAsia="宋体" w:cs="宋体"/>
          <w:b/>
          <w:spacing w:val="2"/>
          <w:kern w:val="0"/>
          <w:sz w:val="24"/>
          <w:szCs w:val="24"/>
        </w:rPr>
        <w:t>设</w:t>
      </w:r>
      <w:r>
        <w:rPr>
          <w:rFonts w:hint="eastAsia" w:ascii="宋体" w:hAnsi="宋体" w:eastAsia="宋体" w:cs="宋体"/>
          <w:b/>
          <w:kern w:val="0"/>
          <w:sz w:val="24"/>
          <w:szCs w:val="24"/>
        </w:rPr>
        <w:t>备</w:t>
      </w:r>
      <w:r>
        <w:rPr>
          <w:rFonts w:hint="eastAsia" w:ascii="宋体" w:hAnsi="宋体" w:eastAsia="宋体" w:cs="宋体"/>
          <w:b/>
          <w:spacing w:val="2"/>
          <w:kern w:val="0"/>
          <w:sz w:val="24"/>
          <w:szCs w:val="24"/>
        </w:rPr>
        <w:t>应</w:t>
      </w:r>
      <w:r>
        <w:rPr>
          <w:rFonts w:hint="eastAsia" w:ascii="宋体" w:hAnsi="宋体" w:eastAsia="宋体" w:cs="宋体"/>
          <w:b/>
          <w:kern w:val="0"/>
          <w:sz w:val="24"/>
          <w:szCs w:val="24"/>
        </w:rPr>
        <w:t>具</w:t>
      </w:r>
      <w:r>
        <w:rPr>
          <w:rFonts w:hint="eastAsia" w:ascii="宋体" w:hAnsi="宋体" w:eastAsia="宋体" w:cs="宋体"/>
          <w:b/>
          <w:spacing w:val="2"/>
          <w:kern w:val="0"/>
          <w:sz w:val="24"/>
          <w:szCs w:val="24"/>
        </w:rPr>
        <w:t>备</w:t>
      </w:r>
      <w:r>
        <w:rPr>
          <w:rFonts w:hint="eastAsia" w:ascii="宋体" w:hAnsi="宋体" w:eastAsia="宋体" w:cs="宋体"/>
          <w:b/>
          <w:kern w:val="0"/>
          <w:sz w:val="24"/>
          <w:szCs w:val="24"/>
        </w:rPr>
        <w:t>的功</w:t>
      </w:r>
      <w:r>
        <w:rPr>
          <w:rFonts w:hint="eastAsia" w:ascii="宋体" w:hAnsi="宋体" w:eastAsia="宋体" w:cs="宋体"/>
          <w:b/>
          <w:spacing w:val="2"/>
          <w:kern w:val="0"/>
          <w:sz w:val="24"/>
          <w:szCs w:val="24"/>
        </w:rPr>
        <w:t>能</w:t>
      </w:r>
      <w:r>
        <w:rPr>
          <w:rFonts w:hint="eastAsia" w:ascii="宋体" w:hAnsi="宋体" w:eastAsia="宋体" w:cs="宋体"/>
          <w:b/>
          <w:kern w:val="0"/>
          <w:sz w:val="24"/>
          <w:szCs w:val="24"/>
        </w:rPr>
        <w:t>及</w:t>
      </w:r>
      <w:r>
        <w:rPr>
          <w:rFonts w:hint="eastAsia" w:ascii="宋体" w:hAnsi="宋体" w:eastAsia="宋体" w:cs="宋体"/>
          <w:b/>
          <w:spacing w:val="2"/>
          <w:kern w:val="0"/>
          <w:sz w:val="24"/>
          <w:szCs w:val="24"/>
        </w:rPr>
        <w:t>模式</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kern w:val="0"/>
          <w:sz w:val="24"/>
          <w:szCs w:val="24"/>
        </w:rPr>
        <w:t xml:space="preserve">1.1 </w:t>
      </w:r>
      <w:r>
        <w:rPr>
          <w:rFonts w:hint="eastAsia" w:ascii="宋体" w:hAnsi="宋体" w:eastAsia="宋体" w:cs="宋体"/>
          <w:bCs/>
          <w:color w:val="000000" w:themeColor="text1"/>
          <w:kern w:val="0"/>
          <w:sz w:val="24"/>
          <w:szCs w:val="24"/>
          <w14:textFill>
            <w14:solidFill>
              <w14:schemeClr w14:val="tx1"/>
            </w14:solidFill>
          </w14:textFill>
        </w:rPr>
        <w:t>为适应户外安装要</w:t>
      </w:r>
      <w:r>
        <w:rPr>
          <w:rFonts w:hint="eastAsia" w:ascii="宋体" w:hAnsi="宋体" w:eastAsia="宋体" w:cs="宋体"/>
          <w:bCs/>
          <w:color w:val="000000" w:themeColor="text1"/>
          <w:spacing w:val="2"/>
          <w:kern w:val="0"/>
          <w:sz w:val="24"/>
          <w:szCs w:val="24"/>
          <w14:textFill>
            <w14:solidFill>
              <w14:schemeClr w14:val="tx1"/>
            </w14:solidFill>
          </w14:textFill>
        </w:rPr>
        <w:t>求</w:t>
      </w:r>
      <w:r>
        <w:rPr>
          <w:rFonts w:hint="eastAsia" w:ascii="宋体" w:hAnsi="宋体" w:eastAsia="宋体" w:cs="宋体"/>
          <w:bCs/>
          <w:color w:val="000000" w:themeColor="text1"/>
          <w:spacing w:val="-32"/>
          <w:kern w:val="0"/>
          <w:sz w:val="24"/>
          <w:szCs w:val="24"/>
          <w14:textFill>
            <w14:solidFill>
              <w14:schemeClr w14:val="tx1"/>
            </w14:solidFill>
          </w14:textFill>
        </w:rPr>
        <w:t>，</w:t>
      </w:r>
      <w:r>
        <w:rPr>
          <w:rFonts w:hint="eastAsia" w:ascii="宋体" w:hAnsi="宋体" w:eastAsia="宋体" w:cs="宋体"/>
          <w:bCs/>
          <w:color w:val="000000" w:themeColor="text1"/>
          <w:kern w:val="0"/>
          <w:sz w:val="24"/>
          <w:szCs w:val="24"/>
          <w14:textFill>
            <w14:solidFill>
              <w14:schemeClr w14:val="tx1"/>
            </w14:solidFill>
          </w14:textFill>
        </w:rPr>
        <w:t>设备集成一体化</w:t>
      </w:r>
      <w:r>
        <w:rPr>
          <w:rFonts w:hint="eastAsia" w:ascii="宋体" w:hAnsi="宋体" w:eastAsia="宋体" w:cs="宋体"/>
          <w:bCs/>
          <w:color w:val="000000" w:themeColor="text1"/>
          <w:spacing w:val="-32"/>
          <w:kern w:val="0"/>
          <w:sz w:val="24"/>
          <w:szCs w:val="24"/>
          <w14:textFill>
            <w14:solidFill>
              <w14:schemeClr w14:val="tx1"/>
            </w14:solidFill>
          </w14:textFill>
        </w:rPr>
        <w:t>，</w:t>
      </w:r>
      <w:r>
        <w:rPr>
          <w:rFonts w:hint="eastAsia" w:ascii="宋体" w:hAnsi="宋体" w:eastAsia="宋体" w:cs="宋体"/>
          <w:bCs/>
          <w:color w:val="000000" w:themeColor="text1"/>
          <w:spacing w:val="2"/>
          <w:kern w:val="0"/>
          <w:sz w:val="24"/>
          <w:szCs w:val="24"/>
          <w14:textFill>
            <w14:solidFill>
              <w14:schemeClr w14:val="tx1"/>
            </w14:solidFill>
          </w14:textFill>
        </w:rPr>
        <w:t>现</w:t>
      </w:r>
      <w:r>
        <w:rPr>
          <w:rFonts w:hint="eastAsia" w:ascii="宋体" w:hAnsi="宋体" w:eastAsia="宋体" w:cs="宋体"/>
          <w:bCs/>
          <w:color w:val="000000" w:themeColor="text1"/>
          <w:kern w:val="0"/>
          <w:sz w:val="24"/>
          <w:szCs w:val="24"/>
          <w14:textFill>
            <w14:solidFill>
              <w14:schemeClr w14:val="tx1"/>
            </w14:solidFill>
          </w14:textFill>
        </w:rPr>
        <w:t>场只需进行管路和电力对接即可，工作电压为</w:t>
      </w:r>
      <w:r>
        <w:rPr>
          <w:rFonts w:hint="eastAsia" w:ascii="宋体" w:hAnsi="宋体" w:eastAsia="宋体" w:cs="宋体"/>
          <w:bCs/>
          <w:color w:val="000000" w:themeColor="text1"/>
          <w:spacing w:val="-59"/>
          <w:kern w:val="0"/>
          <w:sz w:val="24"/>
          <w:szCs w:val="24"/>
          <w14:textFill>
            <w14:solidFill>
              <w14:schemeClr w14:val="tx1"/>
            </w14:solidFill>
          </w14:textFill>
        </w:rPr>
        <w:t xml:space="preserve"> </w:t>
      </w:r>
      <w:r>
        <w:rPr>
          <w:rFonts w:hint="eastAsia" w:ascii="宋体" w:hAnsi="宋体" w:eastAsia="宋体" w:cs="宋体"/>
          <w:bCs/>
          <w:color w:val="000000" w:themeColor="text1"/>
          <w:kern w:val="0"/>
          <w:sz w:val="24"/>
          <w:szCs w:val="24"/>
          <w14:textFill>
            <w14:solidFill>
              <w14:schemeClr w14:val="tx1"/>
            </w14:solidFill>
          </w14:textFill>
        </w:rPr>
        <w:t xml:space="preserve">380V。 </w:t>
      </w:r>
    </w:p>
    <w:p>
      <w:pPr>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1.2 无负压功能：</w:t>
      </w:r>
      <w:bookmarkStart w:id="32" w:name="_Hlk51759852"/>
      <w:r>
        <w:rPr>
          <w:rFonts w:hint="eastAsia" w:ascii="宋体" w:hAnsi="宋体" w:eastAsia="宋体" w:cs="宋体"/>
          <w:bCs/>
          <w:color w:val="000000" w:themeColor="text1"/>
          <w:kern w:val="0"/>
          <w:sz w:val="24"/>
          <w:szCs w:val="24"/>
          <w14:textFill>
            <w14:solidFill>
              <w14:schemeClr w14:val="tx1"/>
            </w14:solidFill>
          </w14:textFill>
        </w:rPr>
        <w:t>设备应具有对市政管网压力不产生负压功能，并提供第三方机构出具的检测报</w:t>
      </w:r>
      <w:bookmarkEnd w:id="32"/>
      <w:r>
        <w:rPr>
          <w:rFonts w:hint="eastAsia" w:ascii="宋体" w:hAnsi="宋体" w:eastAsia="宋体" w:cs="宋体"/>
          <w:bCs/>
          <w:color w:val="000000" w:themeColor="text1"/>
          <w:kern w:val="0"/>
          <w:sz w:val="24"/>
          <w:szCs w:val="24"/>
          <w14:textFill>
            <w14:solidFill>
              <w14:schemeClr w14:val="tx1"/>
            </w14:solidFill>
          </w14:textFill>
        </w:rPr>
        <w:t>告。</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spacing w:val="2"/>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1.3 设备在市政管网压力低于允许压力时能自动停机保护，并具有报警功能，水压恢复后应能自动启动。</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spacing w:val="2"/>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1.4 常规自动保护功能：具有对过压、欠压、过流、过载、缺相等故障进行报警及自动保护，对可恢复的故障应能自动、手动控制消除，恢复正常运行。具备报警记忆功能，故障报警应及时准确。</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spacing w:val="2"/>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1.5 设备泵组轮换功</w:t>
      </w:r>
      <w:r>
        <w:rPr>
          <w:rFonts w:hint="eastAsia" w:ascii="宋体" w:hAnsi="宋体" w:eastAsia="宋体" w:cs="宋体"/>
          <w:bCs/>
          <w:color w:val="000000" w:themeColor="text1"/>
          <w:spacing w:val="2"/>
          <w:kern w:val="0"/>
          <w:sz w:val="24"/>
          <w:szCs w:val="24"/>
          <w14:textFill>
            <w14:solidFill>
              <w14:schemeClr w14:val="tx1"/>
            </w14:solidFill>
          </w14:textFill>
        </w:rPr>
        <w:t>能</w:t>
      </w:r>
      <w:r>
        <w:rPr>
          <w:rFonts w:hint="eastAsia" w:ascii="宋体" w:hAnsi="宋体" w:eastAsia="宋体" w:cs="宋体"/>
          <w:bCs/>
          <w:color w:val="000000" w:themeColor="text1"/>
          <w:spacing w:val="-32"/>
          <w:kern w:val="0"/>
          <w:sz w:val="24"/>
          <w:szCs w:val="24"/>
          <w14:textFill>
            <w14:solidFill>
              <w14:schemeClr w14:val="tx1"/>
            </w14:solidFill>
          </w14:textFill>
        </w:rPr>
        <w:t>：</w:t>
      </w:r>
      <w:r>
        <w:rPr>
          <w:rFonts w:hint="eastAsia" w:ascii="宋体" w:hAnsi="宋体" w:eastAsia="宋体" w:cs="宋体"/>
          <w:bCs/>
          <w:color w:val="000000" w:themeColor="text1"/>
          <w:kern w:val="0"/>
          <w:sz w:val="24"/>
          <w:szCs w:val="24"/>
          <w14:textFill>
            <w14:solidFill>
              <w14:schemeClr w14:val="tx1"/>
            </w14:solidFill>
          </w14:textFill>
        </w:rPr>
        <w:t>设备运行时</w:t>
      </w:r>
      <w:r>
        <w:rPr>
          <w:rFonts w:hint="eastAsia" w:ascii="宋体" w:hAnsi="宋体" w:eastAsia="宋体" w:cs="宋体"/>
          <w:bCs/>
          <w:color w:val="000000" w:themeColor="text1"/>
          <w:spacing w:val="-32"/>
          <w:kern w:val="0"/>
          <w:sz w:val="24"/>
          <w:szCs w:val="24"/>
          <w14:textFill>
            <w14:solidFill>
              <w14:schemeClr w14:val="tx1"/>
            </w14:solidFill>
          </w14:textFill>
        </w:rPr>
        <w:t>，</w:t>
      </w:r>
      <w:r>
        <w:rPr>
          <w:rFonts w:hint="eastAsia" w:ascii="宋体" w:hAnsi="宋体" w:eastAsia="宋体" w:cs="宋体"/>
          <w:bCs/>
          <w:color w:val="000000" w:themeColor="text1"/>
          <w:kern w:val="0"/>
          <w:sz w:val="24"/>
          <w:szCs w:val="24"/>
          <w14:textFill>
            <w14:solidFill>
              <w14:schemeClr w14:val="tx1"/>
            </w14:solidFill>
          </w14:textFill>
        </w:rPr>
        <w:t>工作</w:t>
      </w:r>
      <w:r>
        <w:rPr>
          <w:rFonts w:hint="eastAsia" w:ascii="宋体" w:hAnsi="宋体" w:eastAsia="宋体" w:cs="宋体"/>
          <w:bCs/>
          <w:color w:val="000000" w:themeColor="text1"/>
          <w:spacing w:val="2"/>
          <w:kern w:val="0"/>
          <w:sz w:val="24"/>
          <w:szCs w:val="24"/>
          <w14:textFill>
            <w14:solidFill>
              <w14:schemeClr w14:val="tx1"/>
            </w14:solidFill>
          </w14:textFill>
        </w:rPr>
        <w:t>泵</w:t>
      </w:r>
      <w:r>
        <w:rPr>
          <w:rFonts w:hint="eastAsia" w:ascii="宋体" w:hAnsi="宋体" w:eastAsia="宋体" w:cs="宋体"/>
          <w:bCs/>
          <w:color w:val="000000" w:themeColor="text1"/>
          <w:kern w:val="0"/>
          <w:sz w:val="24"/>
          <w:szCs w:val="24"/>
          <w14:textFill>
            <w14:solidFill>
              <w14:schemeClr w14:val="tx1"/>
            </w14:solidFill>
          </w14:textFill>
        </w:rPr>
        <w:t>与备用泵应能够自动交替轮换运行</w:t>
      </w:r>
      <w:r>
        <w:rPr>
          <w:rFonts w:hint="eastAsia" w:ascii="宋体" w:hAnsi="宋体" w:eastAsia="宋体" w:cs="宋体"/>
          <w:bCs/>
          <w:color w:val="000000" w:themeColor="text1"/>
          <w:spacing w:val="-32"/>
          <w:kern w:val="0"/>
          <w:sz w:val="24"/>
          <w:szCs w:val="24"/>
          <w14:textFill>
            <w14:solidFill>
              <w14:schemeClr w14:val="tx1"/>
            </w14:solidFill>
          </w14:textFill>
        </w:rPr>
        <w:t>。</w:t>
      </w:r>
      <w:r>
        <w:rPr>
          <w:rFonts w:hint="eastAsia" w:ascii="宋体" w:hAnsi="宋体" w:eastAsia="宋体" w:cs="宋体"/>
          <w:bCs/>
          <w:color w:val="000000" w:themeColor="text1"/>
          <w:kern w:val="0"/>
          <w:sz w:val="24"/>
          <w:szCs w:val="24"/>
          <w14:textFill>
            <w14:solidFill>
              <w14:schemeClr w14:val="tx1"/>
            </w14:solidFill>
          </w14:textFill>
        </w:rPr>
        <w:t>当任一</w:t>
      </w:r>
      <w:r>
        <w:rPr>
          <w:rFonts w:hint="eastAsia" w:ascii="宋体" w:hAnsi="宋体" w:eastAsia="宋体" w:cs="宋体"/>
          <w:bCs/>
          <w:color w:val="000000" w:themeColor="text1"/>
          <w:spacing w:val="2"/>
          <w:kern w:val="0"/>
          <w:sz w:val="24"/>
          <w:szCs w:val="24"/>
          <w14:textFill>
            <w14:solidFill>
              <w14:schemeClr w14:val="tx1"/>
            </w14:solidFill>
          </w14:textFill>
        </w:rPr>
        <w:t>台</w:t>
      </w:r>
      <w:r>
        <w:rPr>
          <w:rFonts w:hint="eastAsia" w:ascii="宋体" w:hAnsi="宋体" w:eastAsia="宋体" w:cs="宋体"/>
          <w:bCs/>
          <w:color w:val="000000" w:themeColor="text1"/>
          <w:kern w:val="0"/>
          <w:sz w:val="24"/>
          <w:szCs w:val="24"/>
          <w14:textFill>
            <w14:solidFill>
              <w14:schemeClr w14:val="tx1"/>
            </w14:solidFill>
          </w14:textFill>
        </w:rPr>
        <w:t>工作水泵发生故障时,备用水泵应能自动投入运行</w:t>
      </w:r>
      <w:r>
        <w:rPr>
          <w:rFonts w:hint="eastAsia" w:ascii="宋体" w:hAnsi="宋体" w:eastAsia="宋体" w:cs="宋体"/>
          <w:bCs/>
          <w:color w:val="000000" w:themeColor="text1"/>
          <w:spacing w:val="-41"/>
          <w:kern w:val="0"/>
          <w:sz w:val="24"/>
          <w:szCs w:val="24"/>
          <w14:textFill>
            <w14:solidFill>
              <w14:schemeClr w14:val="tx1"/>
            </w14:solidFill>
          </w14:textFill>
        </w:rPr>
        <w:t>。</w:t>
      </w:r>
      <w:r>
        <w:rPr>
          <w:rFonts w:hint="eastAsia" w:ascii="宋体" w:hAnsi="宋体" w:eastAsia="宋体" w:cs="宋体"/>
          <w:bCs/>
          <w:color w:val="000000" w:themeColor="text1"/>
          <w:kern w:val="0"/>
          <w:sz w:val="24"/>
          <w:szCs w:val="24"/>
          <w14:textFill>
            <w14:solidFill>
              <w14:schemeClr w14:val="tx1"/>
            </w14:solidFill>
          </w14:textFill>
        </w:rPr>
        <w:t>工作泵与备用泵能定时</w:t>
      </w:r>
      <w:r>
        <w:rPr>
          <w:rFonts w:hint="eastAsia" w:ascii="宋体" w:hAnsi="宋体" w:eastAsia="宋体" w:cs="宋体"/>
          <w:bCs/>
          <w:color w:val="000000" w:themeColor="text1"/>
          <w:spacing w:val="1"/>
          <w:kern w:val="0"/>
          <w:sz w:val="24"/>
          <w:szCs w:val="24"/>
          <w14:textFill>
            <w14:solidFill>
              <w14:schemeClr w14:val="tx1"/>
            </w14:solidFill>
          </w14:textFill>
        </w:rPr>
        <w:t>轮</w:t>
      </w:r>
      <w:r>
        <w:rPr>
          <w:rFonts w:hint="eastAsia" w:ascii="宋体" w:hAnsi="宋体" w:eastAsia="宋体" w:cs="宋体"/>
          <w:bCs/>
          <w:color w:val="000000" w:themeColor="text1"/>
          <w:kern w:val="0"/>
          <w:sz w:val="24"/>
          <w:szCs w:val="24"/>
          <w14:textFill>
            <w14:solidFill>
              <w14:schemeClr w14:val="tx1"/>
            </w14:solidFill>
          </w14:textFill>
        </w:rPr>
        <w:t>换运行</w:t>
      </w:r>
      <w:r>
        <w:rPr>
          <w:rFonts w:hint="eastAsia" w:ascii="宋体" w:hAnsi="宋体" w:eastAsia="宋体" w:cs="宋体"/>
          <w:bCs/>
          <w:color w:val="000000" w:themeColor="text1"/>
          <w:spacing w:val="-41"/>
          <w:kern w:val="0"/>
          <w:sz w:val="24"/>
          <w:szCs w:val="24"/>
          <w14:textFill>
            <w14:solidFill>
              <w14:schemeClr w14:val="tx1"/>
            </w14:solidFill>
          </w14:textFill>
        </w:rPr>
        <w:t>，</w:t>
      </w:r>
      <w:r>
        <w:rPr>
          <w:rFonts w:hint="eastAsia" w:ascii="宋体" w:hAnsi="宋体" w:eastAsia="宋体" w:cs="宋体"/>
          <w:bCs/>
          <w:color w:val="000000" w:themeColor="text1"/>
          <w:kern w:val="0"/>
          <w:sz w:val="24"/>
          <w:szCs w:val="24"/>
          <w14:textFill>
            <w14:solidFill>
              <w14:schemeClr w14:val="tx1"/>
            </w14:solidFill>
          </w14:textFill>
        </w:rPr>
        <w:t>自动切换</w:t>
      </w:r>
      <w:r>
        <w:rPr>
          <w:rFonts w:hint="eastAsia" w:ascii="宋体" w:hAnsi="宋体" w:eastAsia="宋体" w:cs="宋体"/>
          <w:bCs/>
          <w:color w:val="000000" w:themeColor="text1"/>
          <w:spacing w:val="-41"/>
          <w:kern w:val="0"/>
          <w:sz w:val="24"/>
          <w:szCs w:val="24"/>
          <w14:textFill>
            <w14:solidFill>
              <w14:schemeClr w14:val="tx1"/>
            </w14:solidFill>
          </w14:textFill>
        </w:rPr>
        <w:t>、</w:t>
      </w:r>
      <w:r>
        <w:rPr>
          <w:rFonts w:hint="eastAsia" w:ascii="宋体" w:hAnsi="宋体" w:eastAsia="宋体" w:cs="宋体"/>
          <w:bCs/>
          <w:color w:val="000000" w:themeColor="text1"/>
          <w:kern w:val="0"/>
          <w:sz w:val="24"/>
          <w:szCs w:val="24"/>
          <w14:textFill>
            <w14:solidFill>
              <w14:schemeClr w14:val="tx1"/>
            </w14:solidFill>
          </w14:textFill>
        </w:rPr>
        <w:t>自动巡检。水泵切换时间与设定时间的偏差不应超过</w:t>
      </w:r>
      <w:r>
        <w:rPr>
          <w:rFonts w:hint="eastAsia" w:ascii="宋体" w:hAnsi="宋体" w:eastAsia="宋体" w:cs="宋体"/>
          <w:bCs/>
          <w:color w:val="000000" w:themeColor="text1"/>
          <w:spacing w:val="1"/>
          <w:kern w:val="0"/>
          <w:sz w:val="24"/>
          <w:szCs w:val="24"/>
          <w14:textFill>
            <w14:solidFill>
              <w14:schemeClr w14:val="tx1"/>
            </w14:solidFill>
          </w14:textFill>
        </w:rPr>
        <w:t>±</w:t>
      </w:r>
      <w:r>
        <w:rPr>
          <w:rFonts w:hint="eastAsia" w:ascii="宋体" w:hAnsi="宋体" w:eastAsia="宋体" w:cs="宋体"/>
          <w:bCs/>
          <w:color w:val="000000" w:themeColor="text1"/>
          <w:kern w:val="0"/>
          <w:sz w:val="24"/>
          <w:szCs w:val="24"/>
          <w14:textFill>
            <w14:solidFill>
              <w14:schemeClr w14:val="tx1"/>
            </w14:solidFill>
          </w14:textFill>
        </w:rPr>
        <w:t xml:space="preserve">30s，并能够先启先停。 </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1.6 小流量停泵保压功能：当用水量低于1%设备额定供水流量时设备自动停泵由气压罐优先补偿，气压罐不能满足需求时，水泵再次启动运行。</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1.7 压力误差控制：设备应具备自动恒压供水功能，恒压供水时压力控制误差不应超过</w:t>
      </w:r>
      <w:r>
        <w:rPr>
          <w:rFonts w:hint="eastAsia" w:ascii="宋体" w:hAnsi="宋体" w:eastAsia="宋体" w:cs="宋体"/>
          <w:bCs/>
          <w:color w:val="000000" w:themeColor="text1"/>
          <w:sz w:val="24"/>
          <w:szCs w:val="24"/>
          <w14:textFill>
            <w14:solidFill>
              <w14:schemeClr w14:val="tx1"/>
            </w14:solidFill>
          </w14:textFill>
        </w:rPr>
        <w:t>±0.01MPa。</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spacing w:val="2"/>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1.8 设备应具有连续运行功能：设备在额定供水流量和扬程的条件下，连续运转不少于12小时后，各部件不应产生影响正常运行的故障，且水泵运转无异常现象。 </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1.9 设备具备视频监控、防盗、防暴力拆解功能。</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spacing w:val="2"/>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1.10 设备应具有超压保护功能：当设备供水压力超过设定超压压力时，设备可自动停止运行并报警，超压消除后可自动恢复正常运行。</w:t>
      </w:r>
    </w:p>
    <w:p>
      <w:pPr>
        <w:kinsoku w:val="0"/>
        <w:overflowPunct w:val="0"/>
        <w:autoSpaceDE w:val="0"/>
        <w:autoSpaceDN w:val="0"/>
        <w:spacing w:line="360" w:lineRule="auto"/>
        <w:outlineLvl w:val="0"/>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xml:space="preserve">2、设备控制系统技术要求 </w:t>
      </w:r>
    </w:p>
    <w:p>
      <w:pPr>
        <w:autoSpaceDE w:val="0"/>
        <w:autoSpaceDN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2.1 </w:t>
      </w:r>
      <w:r>
        <w:rPr>
          <w:rFonts w:hint="eastAsia" w:ascii="宋体" w:hAnsi="宋体" w:eastAsia="宋体" w:cs="宋体"/>
          <w:bCs/>
          <w:color w:val="000000" w:themeColor="text1"/>
          <w:sz w:val="24"/>
          <w:szCs w:val="24"/>
          <w14:textFill>
            <w14:solidFill>
              <w14:schemeClr w14:val="tx1"/>
            </w14:solidFill>
          </w14:textFill>
        </w:rPr>
        <w:t>设备控制柜应具有以下基础功能：</w:t>
      </w:r>
    </w:p>
    <w:p>
      <w:pPr>
        <w:autoSpaceDE w:val="0"/>
        <w:autoSpaceDN w:val="0"/>
        <w:spacing w:line="360" w:lineRule="auto"/>
        <w:ind w:left="210" w:leftChars="100"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①全自动运行功能：在微机控制器的控制下，可以实现恒压供水或变量变压供水；</w:t>
      </w:r>
      <w:r>
        <w:rPr>
          <w:rFonts w:hint="eastAsia" w:ascii="宋体" w:hAnsi="宋体" w:eastAsia="宋体" w:cs="宋体"/>
          <w:bCs/>
          <w:color w:val="000000" w:themeColor="text1"/>
          <w:kern w:val="0"/>
          <w:sz w:val="24"/>
          <w:szCs w:val="24"/>
          <w14:textFill>
            <w14:solidFill>
              <w14:schemeClr w14:val="tx1"/>
            </w14:solidFill>
          </w14:textFill>
        </w:rPr>
        <w:t>需采用PLC进行成套设备运行控制。</w:t>
      </w:r>
    </w:p>
    <w:p>
      <w:pPr>
        <w:autoSpaceDE w:val="0"/>
        <w:autoSpaceDN w:val="0"/>
        <w:spacing w:line="360" w:lineRule="auto"/>
        <w:ind w:left="210" w:leftChars="100"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fldChar w:fldCharType="begin"/>
      </w:r>
      <w:r>
        <w:rPr>
          <w:rFonts w:hint="eastAsia" w:ascii="宋体" w:hAnsi="宋体" w:eastAsia="宋体" w:cs="宋体"/>
          <w:bCs/>
          <w:color w:val="000000" w:themeColor="text1"/>
          <w:sz w:val="24"/>
          <w:szCs w:val="24"/>
          <w14:textFill>
            <w14:solidFill>
              <w14:schemeClr w14:val="tx1"/>
            </w14:solidFill>
          </w14:textFill>
        </w:rPr>
        <w:instrText xml:space="preserve"> = 2 \* GB3 </w:instrText>
      </w:r>
      <w:r>
        <w:rPr>
          <w:rFonts w:hint="eastAsia" w:ascii="宋体" w:hAnsi="宋体" w:eastAsia="宋体" w:cs="宋体"/>
          <w:bCs/>
          <w:color w:val="000000" w:themeColor="text1"/>
          <w:sz w:val="24"/>
          <w:szCs w:val="24"/>
          <w14:textFill>
            <w14:solidFill>
              <w14:schemeClr w14:val="tx1"/>
            </w14:solidFill>
          </w14:textFill>
        </w:rPr>
        <w:fldChar w:fldCharType="separate"/>
      </w:r>
      <w:r>
        <w:rPr>
          <w:rFonts w:hint="eastAsia" w:ascii="宋体" w:hAnsi="宋体" w:eastAsia="宋体" w:cs="宋体"/>
          <w:bCs/>
          <w:color w:val="000000" w:themeColor="text1"/>
          <w:sz w:val="24"/>
          <w:szCs w:val="24"/>
          <w14:textFill>
            <w14:solidFill>
              <w14:schemeClr w14:val="tx1"/>
            </w14:solidFill>
          </w14:textFill>
        </w:rPr>
        <w:t>②</w:t>
      </w:r>
      <w:r>
        <w:rPr>
          <w:rFonts w:hint="eastAsia" w:ascii="宋体" w:hAnsi="宋体" w:eastAsia="宋体" w:cs="宋体"/>
          <w:bCs/>
          <w:color w:val="000000" w:themeColor="text1"/>
          <w:sz w:val="24"/>
          <w:szCs w:val="24"/>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自动保护功能：具有电源过压、欠压、过流、过载、缺相、短路、过热等故障报警及自动保护功能。对可恢复的故障应能自动或手动消除，恢复正常运行。</w:t>
      </w:r>
    </w:p>
    <w:p>
      <w:pPr>
        <w:autoSpaceDE w:val="0"/>
        <w:autoSpaceDN w:val="0"/>
        <w:spacing w:line="360" w:lineRule="auto"/>
        <w:ind w:left="210" w:leftChars="100"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③远程报警功能：具有远程报警功能，即当出现故障时，控制柜应能自动向监控中心报警。</w:t>
      </w:r>
    </w:p>
    <w:p>
      <w:pPr>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2.2控制柜面板应包括以下显示功能：电源、电流、电压、水泵启、停状态；设定压力、实际压力、水泵频率；故障声光报警；按钮、开关及仪表功能标志齐全，</w:t>
      </w:r>
      <w:r>
        <w:rPr>
          <w:rFonts w:hint="eastAsia" w:ascii="宋体" w:hAnsi="宋体" w:eastAsia="宋体" w:cs="宋体"/>
          <w:bCs/>
          <w:color w:val="000000" w:themeColor="text1"/>
          <w:kern w:val="0"/>
          <w:sz w:val="24"/>
          <w:szCs w:val="24"/>
          <w14:textFill>
            <w14:solidFill>
              <w14:schemeClr w14:val="tx1"/>
            </w14:solidFill>
          </w14:textFill>
        </w:rPr>
        <w:t>成套设备需配置不小于7寸的液晶显示屏。</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2.3 控制柜应有RS485通讯端口，MODBUS 通讯协议，同时配置数据采集与传输模块，实现对设备的远程通讯功能。 </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2.4 控制系统的抗电磁干扰性能符合IEC255-22标准规定，及控制系统应有可靠的防雷击措施，并符合 GB/T3482的要求。 </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2.5 供水设备水泵变频器必须采用一对一控制模式，变频器采用国际知名品牌。</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2.6 设备应具有电压波动适应性，将电源电压分别调到额定电压的90%-110%，设备应能正常工作。 </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2.7 设备电气控制一次主回路、二次控制回路均采用多股铜芯线，各铜芯线端头均采用专用线帽（鼻）压紧，然后与电气元器件端子连接，各连接线线号标识清楚，位置准确，禁止采用实芯线裸接在电器元件端子上。 </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2.8 供水设备变频器发生报警时，主控制器应能够自动检测报警信号，自动对发生报警变频器实施自动复位，且自动复位时间不得超过15秒,确保设备在变频器发生报警的情况下，自动复位自动投入正常运行，确保供水安全。</w:t>
      </w:r>
    </w:p>
    <w:p>
      <w:pPr>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2.9</w:t>
      </w:r>
      <w:r>
        <w:rPr>
          <w:rFonts w:hint="eastAsia" w:ascii="宋体" w:hAnsi="宋体" w:eastAsia="宋体" w:cs="宋体"/>
          <w:bCs/>
          <w:color w:val="000000" w:themeColor="text1"/>
          <w:sz w:val="24"/>
          <w:szCs w:val="24"/>
          <w14:textFill>
            <w14:solidFill>
              <w14:schemeClr w14:val="tx1"/>
            </w14:solidFill>
          </w14:textFill>
        </w:rPr>
        <w:t>设备具有较强的抗干扰能力，应设置数字信号传输及滤波隔离系统，以保证设备不受外界干扰。</w:t>
      </w:r>
    </w:p>
    <w:p>
      <w:pPr>
        <w:kinsoku w:val="0"/>
        <w:overflowPunct w:val="0"/>
        <w:autoSpaceDE w:val="0"/>
        <w:autoSpaceDN w:val="0"/>
        <w:spacing w:line="360" w:lineRule="auto"/>
        <w:outlineLvl w:val="0"/>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3、加压水泵机组技术要求</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3.1 成套供水设备应配置不锈钢立式多级离心泵，所有过流部件必须均为不锈钢材质，即叶轮、泵轴、外筒、泵盖、进出水端均为不锈钢材质。 </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3.2 水泵整机应进行水压试验、试验压力为额定压力的1.5倍，保持压力时间5分钟，试验过程无泄漏，并提供第三方检测机构出具的检测报告。</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3.3 水泵的振动等级达到《泵的振动测量与评价方法》（GB/T 29531-2013）规定的A级要求，并提供第三方检测机构出具的检测报告。</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3.4 水泵的噪声等级达到《泵的噪声测量与评价方法》（GB/T 29529-2013）规定的A级要求，并提供第三方检测机构出具的检测报告。</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3.5 成套设备应设有备用水泵，备用水泵的供水能力应不小于最大一台运行工作水泵的供水能力。</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3.6 变频调速水泵应有自动调节水泵转速和软启动的功能，其电机应有过载、短路、过</w:t>
      </w:r>
      <w:r>
        <w:rPr>
          <w:rFonts w:hint="eastAsia" w:ascii="宋体" w:hAnsi="宋体" w:eastAsia="宋体" w:cs="宋体"/>
          <w:bCs/>
          <w:color w:val="000000" w:themeColor="text1"/>
          <w:kern w:val="0"/>
          <w:sz w:val="24"/>
          <w:szCs w:val="24"/>
          <w:highlight w:val="none"/>
          <w14:textFill>
            <w14:solidFill>
              <w14:schemeClr w14:val="tx1"/>
            </w14:solidFill>
          </w14:textFill>
        </w:rPr>
        <w:t>压、缺相、欠压、过热 等保护功能。</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3.7 水泵配套的电机性能应符合GB755的规定，采用新型节能产品，能效等级不低于2级（GB18613-2012），绝缘等级不低于F，防护等级不低于IP55。</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3.8 厂家应具有水泵水力性能测试平台，评价应符合GB/T3216-2016《回转动力泵力学性能验收试验1级、2级和3级》的要求满足1级精度，并提供省级以上第三方检测机构出具的检测报告。</w:t>
      </w:r>
    </w:p>
    <w:p>
      <w:pPr>
        <w:kinsoku w:val="0"/>
        <w:overflowPunct w:val="0"/>
        <w:autoSpaceDE w:val="0"/>
        <w:autoSpaceDN w:val="0"/>
        <w:spacing w:line="360" w:lineRule="auto"/>
        <w:outlineLvl w:val="0"/>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xml:space="preserve">4、设备外箱体技术要求 </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4.1 箱体尺寸：高度不大于2500mm,设备宽度不大于2000mm，设备厚度不大于2000mm；采用Q235碳钢材质，箱体表面采用喷塑处理工艺； </w:t>
      </w:r>
    </w:p>
    <w:p>
      <w:pPr>
        <w:kinsoku w:val="0"/>
        <w:overflowPunct w:val="0"/>
        <w:autoSpaceDE w:val="0"/>
        <w:autoSpaceDN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4.2 立柱板材厚度不低于3mm、门板厚度不低于2mm、顶罩板材厚度不低于2mm 材质冷轧碳钢 Q235-A 钢板； </w:t>
      </w:r>
    </w:p>
    <w:p>
      <w:pPr>
        <w:kinsoku w:val="0"/>
        <w:overflowPunct w:val="0"/>
        <w:autoSpaceDE w:val="0"/>
        <w:autoSpaceDN w:val="0"/>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 xml:space="preserve">4.3 顶部设防雨层，设置通风扇，使用不低于1.5mm冷轧板分割，除风扇处可以通风外，其它部分确保与顶层空气分割，并于屋檐设通风格栅； </w:t>
      </w:r>
    </w:p>
    <w:p>
      <w:pPr>
        <w:kinsoku w:val="0"/>
        <w:overflowPunct w:val="0"/>
        <w:autoSpaceDE w:val="0"/>
        <w:autoSpaceDN w:val="0"/>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sz w:val="24"/>
          <w:szCs w:val="24"/>
        </w:rPr>
        <w:t xml:space="preserve">4.4 </w:t>
      </w:r>
      <w:r>
        <w:rPr>
          <w:rFonts w:hint="eastAsia" w:ascii="宋体" w:hAnsi="宋体" w:eastAsia="宋体" w:cs="宋体"/>
          <w:bCs/>
          <w:kern w:val="0"/>
          <w:sz w:val="24"/>
          <w:szCs w:val="24"/>
        </w:rPr>
        <w:t xml:space="preserve">箱体四周夹层内填充厚度不低于20mm铝箔泡棉作保温填充材料，内部必须设工业空调，控制柜内温度不得超过45℃； </w:t>
      </w:r>
    </w:p>
    <w:p>
      <w:pPr>
        <w:kinsoku w:val="0"/>
        <w:overflowPunct w:val="0"/>
        <w:autoSpaceDE w:val="0"/>
        <w:autoSpaceDN w:val="0"/>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4.5 箱体开通风百叶窗+防虫网，通风口处的保温层厚度应不低于20mm；</w:t>
      </w:r>
    </w:p>
    <w:p>
      <w:pPr>
        <w:kinsoku w:val="0"/>
        <w:overflowPunct w:val="0"/>
        <w:autoSpaceDE w:val="0"/>
        <w:autoSpaceDN w:val="0"/>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 xml:space="preserve">4.6 箱体防护等级不低于IP55，并提供第三方检测机构出具的检测报告； </w:t>
      </w:r>
    </w:p>
    <w:p>
      <w:pPr>
        <w:kinsoku w:val="0"/>
        <w:overflowPunct w:val="0"/>
        <w:autoSpaceDE w:val="0"/>
        <w:autoSpaceDN w:val="0"/>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 xml:space="preserve">4.7 箱体顶部应安装照明灯； </w:t>
      </w:r>
    </w:p>
    <w:p>
      <w:pPr>
        <w:kinsoku w:val="0"/>
        <w:overflowPunct w:val="0"/>
        <w:autoSpaceDE w:val="0"/>
        <w:autoSpaceDN w:val="0"/>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 xml:space="preserve">4.8 箱体应设置安全锁，并加装网络摄像机监控，避免设备遭受人为破坏； </w:t>
      </w:r>
    </w:p>
    <w:p>
      <w:pPr>
        <w:kinsoku w:val="0"/>
        <w:overflowPunct w:val="0"/>
        <w:autoSpaceDE w:val="0"/>
        <w:autoSpaceDN w:val="0"/>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4.9 箱体应做可视化设计，方便在不打开箱体情况下观察设备及控制系统运行状态，观察口应采用钢化玻璃设计。</w:t>
      </w:r>
    </w:p>
    <w:p>
      <w:pPr>
        <w:kinsoku w:val="0"/>
        <w:overflowPunct w:val="0"/>
        <w:autoSpaceDE w:val="0"/>
        <w:autoSpaceDN w:val="0"/>
        <w:spacing w:line="360" w:lineRule="auto"/>
        <w:outlineLvl w:val="0"/>
        <w:rPr>
          <w:rFonts w:hint="eastAsia" w:ascii="宋体" w:hAnsi="宋体" w:eastAsia="宋体" w:cs="宋体"/>
          <w:b/>
          <w:kern w:val="0"/>
          <w:sz w:val="24"/>
          <w:szCs w:val="24"/>
        </w:rPr>
      </w:pPr>
      <w:r>
        <w:rPr>
          <w:rFonts w:hint="eastAsia" w:ascii="宋体" w:hAnsi="宋体" w:eastAsia="宋体" w:cs="宋体"/>
          <w:b/>
          <w:kern w:val="0"/>
          <w:sz w:val="24"/>
          <w:szCs w:val="24"/>
        </w:rPr>
        <w:t>5、气压罐要求</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5.1 气压罐品牌应选用GWS、贝斯塔克等同等档次品牌，并提供压力容器证书及卫生许可批件。</w:t>
      </w:r>
    </w:p>
    <w:p>
      <w:pPr>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5.2</w:t>
      </w:r>
      <w:r>
        <w:rPr>
          <w:rFonts w:hint="eastAsia" w:ascii="宋体" w:hAnsi="宋体" w:eastAsia="宋体" w:cs="宋体"/>
          <w:bCs/>
          <w:color w:val="auto"/>
          <w:sz w:val="24"/>
          <w:szCs w:val="24"/>
          <w:highlight w:val="none"/>
        </w:rPr>
        <w:t>气压罐内胆应采用</w:t>
      </w:r>
      <w:r>
        <w:rPr>
          <w:rFonts w:hint="eastAsia" w:ascii="宋体" w:hAnsi="宋体" w:eastAsia="宋体" w:cs="宋体"/>
          <w:bCs/>
          <w:color w:val="auto"/>
          <w:sz w:val="24"/>
          <w:szCs w:val="24"/>
          <w:highlight w:val="none"/>
          <w:lang w:val="en-US" w:eastAsia="zh-CN"/>
        </w:rPr>
        <w:t>一次性注射成形工艺，内胆符合国际生活用水标准，并且</w:t>
      </w:r>
      <w:r>
        <w:rPr>
          <w:rFonts w:hint="eastAsia" w:ascii="宋体" w:hAnsi="宋体" w:eastAsia="宋体" w:cs="宋体"/>
          <w:bCs/>
          <w:sz w:val="24"/>
          <w:szCs w:val="24"/>
          <w:highlight w:val="none"/>
        </w:rPr>
        <w:t>内胆应采用高品质EPDM或食品级丁基橡胶，并提供第三方检测机构认证的卫生安全检测报告；</w:t>
      </w:r>
    </w:p>
    <w:p>
      <w:pPr>
        <w:spacing w:line="360" w:lineRule="auto"/>
        <w:ind w:firstLine="480" w:firstLineChars="200"/>
        <w:rPr>
          <w:rFonts w:hint="eastAsia" w:ascii="宋体" w:hAnsi="宋体" w:eastAsia="宋体" w:cs="宋体"/>
          <w:bCs/>
          <w:kern w:val="0"/>
          <w:sz w:val="24"/>
          <w:szCs w:val="24"/>
          <w:lang w:val="zh-CN"/>
        </w:rPr>
      </w:pPr>
      <w:r>
        <w:rPr>
          <w:rFonts w:hint="eastAsia" w:ascii="宋体" w:hAnsi="宋体" w:eastAsia="宋体" w:cs="宋体"/>
          <w:bCs/>
          <w:kern w:val="0"/>
          <w:sz w:val="24"/>
          <w:szCs w:val="24"/>
        </w:rPr>
        <w:t xml:space="preserve">5.3 </w:t>
      </w:r>
      <w:r>
        <w:rPr>
          <w:rFonts w:hint="eastAsia" w:ascii="宋体" w:hAnsi="宋体" w:eastAsia="宋体" w:cs="宋体"/>
          <w:bCs/>
          <w:kern w:val="0"/>
          <w:sz w:val="24"/>
          <w:szCs w:val="24"/>
          <w:lang w:val="zh-CN"/>
        </w:rPr>
        <w:t>气压罐法兰盖应采用不锈钢材质，并依据《生活饮用水标准检测方法》（GB/T5750-2006）提供第三方检测机构出具的理化指标检测报告。</w:t>
      </w:r>
    </w:p>
    <w:p>
      <w:pPr>
        <w:kinsoku w:val="0"/>
        <w:overflowPunct w:val="0"/>
        <w:autoSpaceDE w:val="0"/>
        <w:autoSpaceDN w:val="0"/>
        <w:spacing w:line="360" w:lineRule="auto"/>
        <w:outlineLvl w:val="0"/>
        <w:rPr>
          <w:rFonts w:hint="eastAsia" w:ascii="宋体" w:hAnsi="宋体" w:eastAsia="宋体" w:cs="宋体"/>
          <w:b/>
          <w:kern w:val="0"/>
          <w:sz w:val="24"/>
          <w:szCs w:val="24"/>
        </w:rPr>
      </w:pPr>
      <w:r>
        <w:rPr>
          <w:rFonts w:hint="eastAsia" w:ascii="宋体" w:hAnsi="宋体" w:eastAsia="宋体" w:cs="宋体"/>
          <w:b/>
          <w:kern w:val="0"/>
          <w:sz w:val="24"/>
          <w:szCs w:val="24"/>
        </w:rPr>
        <w:t>6、基础资质要求</w:t>
      </w:r>
    </w:p>
    <w:p>
      <w:pPr>
        <w:kinsoku w:val="0"/>
        <w:overflowPunct w:val="0"/>
        <w:autoSpaceDE w:val="0"/>
        <w:autoSpaceDN w:val="0"/>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6.1 投标成套设备必须要具有卫生许可批件和疾病预防控制中心检验报告。根据基本规定：所有涉水的材料和设备不得影响生活饮用水水质,应符合现行国家标准 《二次供水设施卫生规范》 GB17051 和 《生活饮用水输配水设备及防护材料的安全性评价标准》 GB / T17219的要求,应取得省级及以上卫生主管部门的许可。</w:t>
      </w:r>
    </w:p>
    <w:p>
      <w:pPr>
        <w:pStyle w:val="790"/>
        <w:spacing w:line="360" w:lineRule="auto"/>
        <w:rPr>
          <w:rFonts w:hint="eastAsia" w:ascii="宋体" w:hAnsi="宋体" w:eastAsia="宋体" w:cs="宋体"/>
          <w:bCs/>
          <w:kern w:val="0"/>
          <w:sz w:val="24"/>
          <w:szCs w:val="24"/>
          <w:highlight w:val="none"/>
        </w:rPr>
      </w:pPr>
      <w:r>
        <w:rPr>
          <w:rFonts w:hint="eastAsia" w:ascii="宋体" w:hAnsi="宋体" w:eastAsia="宋体" w:cs="宋体"/>
          <w:sz w:val="24"/>
          <w:szCs w:val="24"/>
        </w:rPr>
        <w:t>6.2 供水设备的软件控制算法</w:t>
      </w:r>
      <w:r>
        <w:rPr>
          <w:rFonts w:hint="eastAsia" w:ascii="宋体" w:hAnsi="宋体" w:eastAsia="宋体" w:cs="宋体"/>
          <w:kern w:val="0"/>
          <w:sz w:val="24"/>
          <w:szCs w:val="24"/>
        </w:rPr>
        <w:t>应有独立的知识产权，</w:t>
      </w:r>
      <w:r>
        <w:rPr>
          <w:rFonts w:hint="eastAsia" w:ascii="宋体" w:hAnsi="宋体" w:eastAsia="宋体" w:cs="宋体"/>
          <w:bCs/>
          <w:kern w:val="0"/>
          <w:sz w:val="24"/>
          <w:szCs w:val="24"/>
        </w:rPr>
        <w:t>为实现城市网络化智能管理，</w:t>
      </w:r>
      <w:r>
        <w:rPr>
          <w:rFonts w:hint="eastAsia" w:ascii="宋体" w:hAnsi="宋体" w:eastAsia="宋体" w:cs="宋体"/>
          <w:kern w:val="0"/>
          <w:sz w:val="24"/>
          <w:szCs w:val="24"/>
        </w:rPr>
        <w:t>具备</w:t>
      </w:r>
      <w:r>
        <w:rPr>
          <w:rFonts w:hint="eastAsia" w:ascii="宋体" w:hAnsi="宋体" w:eastAsia="宋体" w:cs="宋体"/>
          <w:bCs/>
          <w:kern w:val="0"/>
          <w:sz w:val="24"/>
          <w:szCs w:val="24"/>
        </w:rPr>
        <w:t>一定远程监控、检</w:t>
      </w:r>
      <w:r>
        <w:rPr>
          <w:rFonts w:hint="eastAsia" w:ascii="宋体" w:hAnsi="宋体" w:eastAsia="宋体" w:cs="宋体"/>
          <w:bCs/>
          <w:kern w:val="0"/>
          <w:sz w:val="24"/>
          <w:szCs w:val="24"/>
          <w:highlight w:val="none"/>
        </w:rPr>
        <w:t>测、网络控制技术及软件设计能力，并提供软件著作权证书。</w:t>
      </w:r>
    </w:p>
    <w:p>
      <w:pPr>
        <w:pStyle w:val="790"/>
        <w:spacing w:line="360" w:lineRule="auto"/>
        <w:rPr>
          <w:rFonts w:hint="eastAsia" w:ascii="宋体" w:hAnsi="宋体" w:eastAsia="宋体" w:cs="宋体"/>
          <w:bCs/>
          <w:color w:val="auto"/>
          <w:kern w:val="0"/>
          <w:sz w:val="24"/>
          <w:szCs w:val="24"/>
          <w:highlight w:val="red"/>
          <w:lang w:val="en-US" w:eastAsia="zh-CN"/>
        </w:rPr>
      </w:pPr>
      <w:r>
        <w:rPr>
          <w:rFonts w:hint="eastAsia" w:ascii="宋体" w:hAnsi="宋体" w:eastAsia="宋体" w:cs="宋体"/>
          <w:bCs/>
          <w:color w:val="auto"/>
          <w:kern w:val="0"/>
          <w:sz w:val="24"/>
          <w:szCs w:val="24"/>
          <w:highlight w:val="none"/>
          <w:lang w:val="en-US" w:eastAsia="zh-CN"/>
        </w:rPr>
        <w:t>7.3 二次供水设备的零部件应具有先进的生产工艺，并提供相对应的生产设备清单及现场照片。</w:t>
      </w:r>
    </w:p>
    <w:p>
      <w:pPr>
        <w:kinsoku w:val="0"/>
        <w:overflowPunct w:val="0"/>
        <w:autoSpaceDE w:val="0"/>
        <w:autoSpaceDN w:val="0"/>
        <w:spacing w:line="360" w:lineRule="auto"/>
        <w:outlineLvl w:val="0"/>
        <w:rPr>
          <w:rFonts w:hint="eastAsia" w:ascii="宋体" w:hAnsi="宋体" w:eastAsia="宋体" w:cs="宋体"/>
          <w:b/>
          <w:kern w:val="0"/>
          <w:sz w:val="24"/>
          <w:szCs w:val="24"/>
        </w:rPr>
      </w:pPr>
      <w:r>
        <w:rPr>
          <w:rFonts w:hint="eastAsia" w:ascii="宋体" w:hAnsi="宋体" w:eastAsia="宋体" w:cs="宋体"/>
          <w:b/>
          <w:kern w:val="0"/>
          <w:sz w:val="24"/>
          <w:szCs w:val="24"/>
        </w:rPr>
        <w:t>7、设备性能及设计要求</w:t>
      </w:r>
    </w:p>
    <w:p>
      <w:pPr>
        <w:pStyle w:val="257"/>
        <w:spacing w:line="360" w:lineRule="auto"/>
        <w:rPr>
          <w:rFonts w:hint="eastAsia" w:ascii="宋体" w:hAnsi="宋体" w:eastAsia="宋体" w:cs="宋体"/>
          <w:bCs/>
          <w:kern w:val="0"/>
          <w:sz w:val="24"/>
          <w:szCs w:val="24"/>
        </w:rPr>
      </w:pPr>
      <w:r>
        <w:rPr>
          <w:rFonts w:hint="eastAsia" w:ascii="宋体" w:hAnsi="宋体" w:eastAsia="宋体" w:cs="宋体"/>
          <w:bCs/>
          <w:kern w:val="0"/>
          <w:sz w:val="24"/>
          <w:szCs w:val="24"/>
        </w:rPr>
        <w:t>7.1低噪音设计</w:t>
      </w:r>
    </w:p>
    <w:p>
      <w:pPr>
        <w:autoSpaceDE w:val="0"/>
        <w:autoSpaceDN w:val="0"/>
        <w:spacing w:line="360" w:lineRule="auto"/>
        <w:ind w:firstLine="480" w:firstLineChars="200"/>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fldChar w:fldCharType="begin"/>
      </w:r>
      <w:r>
        <w:rPr>
          <w:rFonts w:hint="eastAsia" w:ascii="宋体" w:hAnsi="宋体" w:eastAsia="宋体" w:cs="宋体"/>
          <w:bCs/>
          <w:kern w:val="0"/>
          <w:sz w:val="24"/>
          <w:szCs w:val="24"/>
          <w:lang w:val="zh-CN"/>
        </w:rPr>
        <w:instrText xml:space="preserve"> = 1 \* GB3 </w:instrText>
      </w:r>
      <w:r>
        <w:rPr>
          <w:rFonts w:hint="eastAsia" w:ascii="宋体" w:hAnsi="宋体" w:eastAsia="宋体" w:cs="宋体"/>
          <w:bCs/>
          <w:kern w:val="0"/>
          <w:sz w:val="24"/>
          <w:szCs w:val="24"/>
          <w:lang w:val="zh-CN"/>
        </w:rPr>
        <w:fldChar w:fldCharType="separate"/>
      </w:r>
      <w:r>
        <w:rPr>
          <w:rFonts w:hint="eastAsia" w:ascii="宋体" w:hAnsi="宋体" w:eastAsia="宋体" w:cs="宋体"/>
          <w:bCs/>
          <w:kern w:val="0"/>
          <w:sz w:val="24"/>
          <w:szCs w:val="24"/>
          <w:lang w:val="zh-CN"/>
        </w:rPr>
        <w:t>①</w:t>
      </w:r>
      <w:r>
        <w:rPr>
          <w:rFonts w:hint="eastAsia" w:ascii="宋体" w:hAnsi="宋体" w:eastAsia="宋体" w:cs="宋体"/>
          <w:bCs/>
          <w:kern w:val="0"/>
          <w:sz w:val="24"/>
          <w:szCs w:val="24"/>
          <w:lang w:val="zh-CN"/>
        </w:rPr>
        <w:fldChar w:fldCharType="end"/>
      </w:r>
      <w:r>
        <w:rPr>
          <w:rFonts w:hint="eastAsia" w:ascii="宋体" w:hAnsi="宋体" w:eastAsia="宋体" w:cs="宋体"/>
          <w:bCs/>
          <w:kern w:val="0"/>
          <w:sz w:val="24"/>
          <w:szCs w:val="24"/>
          <w:lang w:val="zh-CN"/>
        </w:rPr>
        <w:t>户外一体化设备应降低运行噪音对周边环境的影响，投标人需详细阐述投标产品在设计上采取的隔音降噪措施。</w:t>
      </w:r>
    </w:p>
    <w:p>
      <w:pPr>
        <w:autoSpaceDE w:val="0"/>
        <w:autoSpaceDN w:val="0"/>
        <w:spacing w:line="360" w:lineRule="auto"/>
        <w:ind w:firstLine="480" w:firstLineChars="200"/>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fldChar w:fldCharType="begin"/>
      </w:r>
      <w:r>
        <w:rPr>
          <w:rFonts w:hint="eastAsia" w:ascii="宋体" w:hAnsi="宋体" w:eastAsia="宋体" w:cs="宋体"/>
          <w:bCs/>
          <w:kern w:val="0"/>
          <w:sz w:val="24"/>
          <w:szCs w:val="24"/>
          <w:lang w:val="zh-CN"/>
        </w:rPr>
        <w:instrText xml:space="preserve"> = 2 \* GB3 </w:instrText>
      </w:r>
      <w:r>
        <w:rPr>
          <w:rFonts w:hint="eastAsia" w:ascii="宋体" w:hAnsi="宋体" w:eastAsia="宋体" w:cs="宋体"/>
          <w:bCs/>
          <w:kern w:val="0"/>
          <w:sz w:val="24"/>
          <w:szCs w:val="24"/>
          <w:lang w:val="zh-CN"/>
        </w:rPr>
        <w:fldChar w:fldCharType="separate"/>
      </w:r>
      <w:r>
        <w:rPr>
          <w:rFonts w:hint="eastAsia" w:ascii="宋体" w:hAnsi="宋体" w:eastAsia="宋体" w:cs="宋体"/>
          <w:bCs/>
          <w:kern w:val="0"/>
          <w:sz w:val="24"/>
          <w:szCs w:val="24"/>
          <w:lang w:val="zh-CN"/>
        </w:rPr>
        <w:t>②</w:t>
      </w:r>
      <w:r>
        <w:rPr>
          <w:rFonts w:hint="eastAsia" w:ascii="宋体" w:hAnsi="宋体" w:eastAsia="宋体" w:cs="宋体"/>
          <w:bCs/>
          <w:kern w:val="0"/>
          <w:sz w:val="24"/>
          <w:szCs w:val="24"/>
          <w:lang w:val="zh-CN"/>
        </w:rPr>
        <w:fldChar w:fldCharType="end"/>
      </w:r>
      <w:r>
        <w:rPr>
          <w:rFonts w:hint="eastAsia" w:ascii="宋体" w:hAnsi="宋体" w:eastAsia="宋体" w:cs="宋体"/>
          <w:bCs/>
          <w:kern w:val="0"/>
          <w:sz w:val="24"/>
          <w:szCs w:val="24"/>
          <w:lang w:val="zh-CN"/>
        </w:rPr>
        <w:t>噪声限定值：最大单台装机功率小于等于2.2kW时，设备运行噪声不超过55dB，最大单台装机功率3-7.5kW时设备运行噪声不超过65dB ；11kW时，设备运行噪声不超过75dB（A）,并提供第三方检测机构出具的检测报告。</w:t>
      </w:r>
    </w:p>
    <w:p>
      <w:pPr>
        <w:pStyle w:val="257"/>
        <w:spacing w:line="360" w:lineRule="auto"/>
        <w:rPr>
          <w:rFonts w:hint="eastAsia" w:ascii="宋体" w:hAnsi="宋体" w:eastAsia="宋体" w:cs="宋体"/>
          <w:bCs/>
          <w:kern w:val="0"/>
          <w:sz w:val="24"/>
          <w:szCs w:val="24"/>
        </w:rPr>
      </w:pPr>
      <w:r>
        <w:rPr>
          <w:rFonts w:hint="eastAsia" w:ascii="宋体" w:hAnsi="宋体" w:eastAsia="宋体" w:cs="宋体"/>
          <w:bCs/>
          <w:kern w:val="0"/>
          <w:sz w:val="24"/>
          <w:szCs w:val="24"/>
        </w:rPr>
        <w:t>7.2防淹设计</w:t>
      </w:r>
    </w:p>
    <w:p>
      <w:pPr>
        <w:autoSpaceDE w:val="0"/>
        <w:autoSpaceDN w:val="0"/>
        <w:spacing w:line="360" w:lineRule="auto"/>
        <w:ind w:firstLine="480" w:firstLineChars="200"/>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为降低各种突发情况对设备运行的影响，保障设备正常供水，维护财产安全，投标人需详细阐述投标产品在防淹保障上采取的针对性措施。</w:t>
      </w:r>
    </w:p>
    <w:p>
      <w:pPr>
        <w:autoSpaceDE w:val="0"/>
        <w:autoSpaceDN w:val="0"/>
        <w:spacing w:line="360" w:lineRule="auto"/>
        <w:ind w:firstLine="480" w:firstLineChars="200"/>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7.3防腐设计</w:t>
      </w:r>
    </w:p>
    <w:p>
      <w:pPr>
        <w:autoSpaceDE w:val="0"/>
        <w:autoSpaceDN w:val="0"/>
        <w:spacing w:line="360" w:lineRule="auto"/>
        <w:ind w:firstLine="480" w:firstLineChars="200"/>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为降低大气环境中污染物、盐雾、湿气等设备壳体侵蚀，投标人需详细阐述投标产品在防腐设计上采取的针对性措施，并提供第三方机构出具的盐雾试验报告。</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7.4接地设计</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控制柜的金属构件应有可靠地接地保护，与接地点相连接的保护导线的截面，应符合GB/T3797-2005中4.10.6的要求，与接地点连接的导线应是黄绿双色线。投标人需详细阐述投标产品在接地设计上采取的针对性措施。</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7.5防雷设计</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控制柜应有可靠的防雷击措施，并应符合GB/T3482-2008的要求。投标人需详细阐述投标产品在防雷设计上采取的针对性措施。</w:t>
      </w:r>
    </w:p>
    <w:p>
      <w:pPr>
        <w:kinsoku w:val="0"/>
        <w:overflowPunct w:val="0"/>
        <w:autoSpaceDE w:val="0"/>
        <w:autoSpaceDN w:val="0"/>
        <w:spacing w:line="360" w:lineRule="auto"/>
        <w:outlineLvl w:val="0"/>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8、工期及安装要求</w:t>
      </w:r>
    </w:p>
    <w:p>
      <w:pPr>
        <w:pStyle w:val="790"/>
        <w:spacing w:line="360" w:lineRule="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zh-CN" w:eastAsia="zh-CN"/>
        </w:rPr>
        <w:t>1.中标供应商在合同签订后本合同交货期限为合同签订后</w:t>
      </w:r>
      <w:r>
        <w:rPr>
          <w:rFonts w:hint="eastAsia" w:ascii="宋体" w:hAnsi="宋体" w:cs="宋体"/>
          <w:bCs/>
          <w:color w:val="auto"/>
          <w:kern w:val="0"/>
          <w:sz w:val="24"/>
          <w:szCs w:val="24"/>
          <w:highlight w:val="none"/>
          <w:lang w:val="en-US" w:eastAsia="zh-CN"/>
        </w:rPr>
        <w:t>45</w:t>
      </w:r>
      <w:r>
        <w:rPr>
          <w:rFonts w:hint="eastAsia" w:ascii="宋体" w:hAnsi="宋体" w:eastAsia="宋体" w:cs="宋体"/>
          <w:bCs/>
          <w:color w:val="auto"/>
          <w:kern w:val="0"/>
          <w:sz w:val="24"/>
          <w:szCs w:val="24"/>
          <w:highlight w:val="none"/>
          <w:lang w:val="zh-CN" w:eastAsia="zh-CN"/>
        </w:rPr>
        <w:t>天内交货，每逾期一天扣除1%，并书面说明逾期的原因。设备基础及穿线管预埋由采购人负责。</w:t>
      </w:r>
    </w:p>
    <w:p>
      <w:pPr>
        <w:pStyle w:val="790"/>
        <w:spacing w:line="360" w:lineRule="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lang w:val="zh-CN" w:eastAsia="zh-CN"/>
        </w:rPr>
        <w:t>.中标供应商必须指派专业专业人员进行安装工作，在安装供货过程中如发生安全责任事故，一切责任由中标供应商承担。</w:t>
      </w:r>
    </w:p>
    <w:p>
      <w:pPr>
        <w:pStyle w:val="790"/>
        <w:spacing w:line="360" w:lineRule="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val="zh-CN" w:eastAsia="zh-CN"/>
        </w:rPr>
        <w:t>.中标供应商在供货过程中必须确保周边设施及人员的安全。安装供货过程中如对采购人的建筑物及货物、设施造成损坏的，中标供应商须负责赔偿或按采购人要求免费修复。</w:t>
      </w:r>
      <w:bookmarkStart w:id="33" w:name="_Toc489866441"/>
    </w:p>
    <w:p>
      <w:pPr>
        <w:kinsoku w:val="0"/>
        <w:overflowPunct w:val="0"/>
        <w:autoSpaceDE w:val="0"/>
        <w:autoSpaceDN w:val="0"/>
        <w:spacing w:line="360" w:lineRule="auto"/>
        <w:outlineLvl w:val="0"/>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9、质量、售后服务要求</w:t>
      </w:r>
      <w:bookmarkEnd w:id="33"/>
    </w:p>
    <w:p>
      <w:pPr>
        <w:pStyle w:val="790"/>
        <w:spacing w:line="360" w:lineRule="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zh-CN" w:eastAsia="zh-CN"/>
        </w:rPr>
        <w:t>1.供应商拟提供的货物必须是原装合格全新产品、符合国家有关规定且证件（合格证、使用说明书）齐全，保证质量。</w:t>
      </w:r>
    </w:p>
    <w:p>
      <w:pPr>
        <w:pStyle w:val="790"/>
        <w:spacing w:line="360" w:lineRule="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zh-CN" w:eastAsia="zh-CN"/>
        </w:rPr>
        <w:t>2.属于销售商的供应商在取得中标资格后，须在领取中标通知书后的十五个工作日内提供中标货物制造厂商针对本采购项目出具的项目授权书或质量联保承。</w:t>
      </w:r>
    </w:p>
    <w:p>
      <w:pPr>
        <w:pStyle w:val="790"/>
        <w:spacing w:line="360" w:lineRule="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zh-CN" w:eastAsia="zh-CN"/>
        </w:rPr>
        <w:t>3.合格标准为：一次性验收合格 ，设备及安装质量符合国家标准及采购文件的合格要求，同时符合</w:t>
      </w:r>
      <w:r>
        <w:rPr>
          <w:rFonts w:hint="eastAsia" w:ascii="宋体" w:hAnsi="宋体" w:eastAsia="宋体" w:cs="宋体"/>
          <w:bCs/>
          <w:color w:val="auto"/>
          <w:kern w:val="0"/>
          <w:sz w:val="24"/>
          <w:szCs w:val="24"/>
          <w:highlight w:val="none"/>
          <w:lang w:val="en-US" w:eastAsia="zh-CN"/>
        </w:rPr>
        <w:t>采购单位项目</w:t>
      </w:r>
      <w:r>
        <w:rPr>
          <w:rFonts w:hint="eastAsia" w:ascii="宋体" w:hAnsi="宋体" w:eastAsia="宋体" w:cs="宋体"/>
          <w:bCs/>
          <w:color w:val="auto"/>
          <w:kern w:val="0"/>
          <w:sz w:val="24"/>
          <w:szCs w:val="24"/>
          <w:highlight w:val="none"/>
          <w:lang w:val="zh-CN" w:eastAsia="zh-CN"/>
        </w:rPr>
        <w:t>管理的质量、安全要求。</w:t>
      </w:r>
    </w:p>
    <w:p>
      <w:pPr>
        <w:pStyle w:val="790"/>
        <w:spacing w:line="360" w:lineRule="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zh-CN" w:eastAsia="zh-CN"/>
        </w:rPr>
        <w:t>4.本次采购的设备质保期为1年免费保修。</w:t>
      </w:r>
    </w:p>
    <w:p>
      <w:pPr>
        <w:pStyle w:val="790"/>
        <w:spacing w:line="360" w:lineRule="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zh-CN" w:eastAsia="zh-CN"/>
        </w:rPr>
        <w:t>5.在质保期限内，接到用户报修电话通知后，2小时内做出响应，4小时内赶赴现场。若无法按规定及时修复的须根据采购人要求提供备用货物。</w:t>
      </w:r>
    </w:p>
    <w:p>
      <w:pPr>
        <w:widowControl w:val="0"/>
        <w:numPr>
          <w:ilvl w:val="0"/>
          <w:numId w:val="0"/>
        </w:numPr>
        <w:adjustRightInd w:val="0"/>
        <w:spacing w:line="360" w:lineRule="auto"/>
        <w:ind w:left="-420" w:leftChars="-200" w:firstLine="0" w:firstLineChars="0"/>
        <w:jc w:val="left"/>
        <w:outlineLvl w:val="0"/>
        <w:rPr>
          <w:rFonts w:hint="eastAsia" w:ascii="宋体" w:hAnsi="宋体" w:cs="宋体"/>
          <w:b/>
          <w:sz w:val="28"/>
          <w:szCs w:val="28"/>
          <w:lang w:val="en-US" w:eastAsia="zh-CN"/>
        </w:rPr>
      </w:pPr>
      <w:r>
        <w:rPr>
          <w:rFonts w:hint="eastAsia" w:ascii="宋体" w:hAnsi="宋体" w:cs="宋体"/>
          <w:b/>
          <w:sz w:val="28"/>
          <w:szCs w:val="28"/>
          <w:lang w:val="zh-CN" w:eastAsia="zh-CN"/>
        </w:rPr>
        <w:t>三、商务要求</w:t>
      </w:r>
    </w:p>
    <w:p>
      <w:pPr>
        <w:pStyle w:val="790"/>
        <w:spacing w:line="360" w:lineRule="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zh-CN" w:eastAsia="zh-CN"/>
        </w:rPr>
        <w:t>1.付款方式：合同生效以及具备实施条件后7个工作日内，甲方向乙方支付合同总价的</w:t>
      </w:r>
      <w:r>
        <w:rPr>
          <w:rFonts w:hint="eastAsia" w:ascii="宋体" w:hAnsi="宋体" w:eastAsia="宋体" w:cs="宋体"/>
          <w:bCs/>
          <w:color w:val="auto"/>
          <w:kern w:val="0"/>
          <w:sz w:val="24"/>
          <w:szCs w:val="24"/>
          <w:highlight w:val="none"/>
          <w:lang w:val="en-US" w:eastAsia="zh-CN"/>
        </w:rPr>
        <w:t>50</w:t>
      </w:r>
      <w:r>
        <w:rPr>
          <w:rFonts w:hint="eastAsia" w:ascii="宋体" w:hAnsi="宋体" w:eastAsia="宋体" w:cs="宋体"/>
          <w:bCs/>
          <w:color w:val="auto"/>
          <w:kern w:val="0"/>
          <w:sz w:val="24"/>
          <w:szCs w:val="24"/>
          <w:highlight w:val="none"/>
          <w:lang w:val="zh-CN" w:eastAsia="zh-CN"/>
        </w:rPr>
        <w:t>%作为预付款，合同货物送达采购方指定地点，安装调试成功并经校级验收合格</w:t>
      </w:r>
      <w:r>
        <w:rPr>
          <w:rFonts w:hint="eastAsia" w:ascii="宋体" w:hAnsi="宋体" w:eastAsia="宋体" w:cs="宋体"/>
          <w:bCs/>
          <w:color w:val="auto"/>
          <w:kern w:val="0"/>
          <w:sz w:val="24"/>
          <w:szCs w:val="24"/>
          <w:highlight w:val="none"/>
          <w:lang w:val="en-US" w:eastAsia="zh-CN"/>
        </w:rPr>
        <w:t>且收到乙方开具的增值税专用发票</w:t>
      </w:r>
      <w:r>
        <w:rPr>
          <w:rFonts w:hint="eastAsia" w:ascii="宋体" w:hAnsi="宋体" w:eastAsia="宋体" w:cs="宋体"/>
          <w:bCs/>
          <w:color w:val="auto"/>
          <w:kern w:val="0"/>
          <w:sz w:val="24"/>
          <w:szCs w:val="24"/>
          <w:highlight w:val="none"/>
          <w:lang w:val="zh-CN" w:eastAsia="zh-CN"/>
        </w:rPr>
        <w:t>后，甲方向乙方支付剩余合同价款。</w:t>
      </w:r>
    </w:p>
    <w:p>
      <w:pPr>
        <w:pStyle w:val="790"/>
        <w:spacing w:line="360" w:lineRule="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en-US" w:eastAsia="zh-CN"/>
        </w:rPr>
        <w:t>2.交货地点：</w:t>
      </w:r>
      <w:r>
        <w:rPr>
          <w:rFonts w:hint="eastAsia" w:ascii="宋体" w:hAnsi="宋体" w:eastAsia="宋体" w:cs="宋体"/>
          <w:bCs/>
          <w:color w:val="auto"/>
          <w:kern w:val="0"/>
          <w:sz w:val="24"/>
          <w:szCs w:val="24"/>
          <w:highlight w:val="none"/>
          <w:lang w:val="zh-CN" w:eastAsia="zh-CN"/>
        </w:rPr>
        <w:t>采购方指定地点。</w:t>
      </w:r>
    </w:p>
    <w:p>
      <w:pPr>
        <w:pStyle w:val="790"/>
        <w:spacing w:line="360" w:lineRule="auto"/>
        <w:jc w:val="center"/>
        <w:rPr>
          <w:rFonts w:ascii="宋体" w:hAnsi="宋体" w:cs="宋体"/>
          <w:b/>
          <w:sz w:val="36"/>
          <w:szCs w:val="36"/>
        </w:rPr>
      </w:pP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val="zh-CN" w:eastAsia="zh-CN"/>
        </w:rPr>
        <w:t>合同履约期限：合同签订且接采购人通知后</w:t>
      </w:r>
      <w:r>
        <w:rPr>
          <w:rFonts w:hint="eastAsia" w:ascii="宋体" w:hAnsi="宋体" w:eastAsia="宋体" w:cs="宋体"/>
          <w:bCs/>
          <w:color w:val="auto"/>
          <w:kern w:val="0"/>
          <w:sz w:val="24"/>
          <w:szCs w:val="24"/>
          <w:highlight w:val="none"/>
          <w:lang w:val="en-US" w:eastAsia="zh-CN"/>
        </w:rPr>
        <w:t>45</w:t>
      </w:r>
      <w:r>
        <w:rPr>
          <w:rFonts w:hint="eastAsia" w:ascii="宋体" w:hAnsi="宋体" w:eastAsia="宋体" w:cs="宋体"/>
          <w:bCs/>
          <w:color w:val="auto"/>
          <w:kern w:val="0"/>
          <w:sz w:val="24"/>
          <w:szCs w:val="24"/>
          <w:highlight w:val="none"/>
          <w:lang w:val="zh-CN" w:eastAsia="zh-CN"/>
        </w:rPr>
        <w:t>天内到货并安装完成。</w:t>
      </w:r>
      <w:r>
        <w:rPr>
          <w:rFonts w:hint="eastAsia" w:ascii="宋体" w:hAnsi="宋体" w:cs="宋体"/>
          <w:b/>
          <w:sz w:val="24"/>
        </w:rPr>
        <w:br w:type="page"/>
      </w:r>
      <w:r>
        <w:rPr>
          <w:rFonts w:hint="eastAsia" w:ascii="宋体" w:hAnsi="宋体" w:cs="宋体"/>
          <w:b/>
          <w:sz w:val="36"/>
          <w:szCs w:val="36"/>
        </w:rPr>
        <w:t xml:space="preserve">第四部分   </w:t>
      </w:r>
      <w:bookmarkStart w:id="34" w:name="_Toc184310305"/>
      <w:bookmarkEnd w:id="34"/>
      <w:bookmarkStart w:id="35" w:name="_Toc184313310"/>
      <w:bookmarkEnd w:id="35"/>
      <w:bookmarkStart w:id="36" w:name="_Toc184314480"/>
      <w:bookmarkEnd w:id="36"/>
      <w:bookmarkStart w:id="37" w:name="_Toc184308105"/>
      <w:bookmarkEnd w:id="37"/>
      <w:bookmarkStart w:id="38" w:name="_Toc184313269"/>
      <w:bookmarkEnd w:id="38"/>
      <w:bookmarkStart w:id="39" w:name="_Toc184312112"/>
      <w:bookmarkEnd w:id="39"/>
      <w:bookmarkStart w:id="40" w:name="_Toc184313245"/>
      <w:bookmarkEnd w:id="40"/>
      <w:bookmarkStart w:id="41" w:name="_Toc184313249"/>
      <w:bookmarkEnd w:id="41"/>
      <w:bookmarkStart w:id="42" w:name="_Toc184308070"/>
      <w:bookmarkEnd w:id="42"/>
      <w:bookmarkStart w:id="43" w:name="_Toc184312094"/>
      <w:bookmarkEnd w:id="43"/>
      <w:bookmarkStart w:id="44" w:name="_Toc184312105"/>
      <w:bookmarkEnd w:id="44"/>
      <w:bookmarkStart w:id="45" w:name="_Toc184312118"/>
      <w:bookmarkEnd w:id="45"/>
      <w:bookmarkStart w:id="46" w:name="_Toc184313260"/>
      <w:bookmarkEnd w:id="46"/>
      <w:bookmarkStart w:id="47" w:name="_Toc184310319"/>
      <w:bookmarkEnd w:id="47"/>
      <w:bookmarkStart w:id="48" w:name="_Toc184314420"/>
      <w:bookmarkEnd w:id="48"/>
      <w:bookmarkStart w:id="49" w:name="_Toc184314436"/>
      <w:bookmarkEnd w:id="49"/>
      <w:bookmarkStart w:id="50" w:name="_Toc184308095"/>
      <w:bookmarkEnd w:id="50"/>
      <w:bookmarkStart w:id="51" w:name="_Toc184308055"/>
      <w:bookmarkEnd w:id="51"/>
      <w:bookmarkStart w:id="52" w:name="_Toc184313309"/>
      <w:bookmarkEnd w:id="52"/>
      <w:bookmarkStart w:id="53" w:name="_Toc184312101"/>
      <w:bookmarkEnd w:id="53"/>
      <w:bookmarkStart w:id="54" w:name="_Toc184308074"/>
      <w:bookmarkEnd w:id="54"/>
      <w:bookmarkStart w:id="55" w:name="_Toc184310325"/>
      <w:bookmarkEnd w:id="55"/>
      <w:bookmarkStart w:id="56" w:name="_Toc184313244"/>
      <w:bookmarkEnd w:id="56"/>
      <w:bookmarkStart w:id="57" w:name="_Toc184308071"/>
      <w:bookmarkEnd w:id="57"/>
      <w:bookmarkStart w:id="58" w:name="_Toc184312108"/>
      <w:bookmarkEnd w:id="58"/>
      <w:bookmarkStart w:id="59" w:name="_Toc184314479"/>
      <w:bookmarkEnd w:id="59"/>
      <w:bookmarkStart w:id="60" w:name="_Toc184313307"/>
      <w:bookmarkEnd w:id="60"/>
      <w:bookmarkStart w:id="61" w:name="_Toc184310316"/>
      <w:bookmarkEnd w:id="61"/>
      <w:bookmarkStart w:id="62" w:name="_Toc184313241"/>
      <w:bookmarkEnd w:id="62"/>
      <w:bookmarkStart w:id="63" w:name="_Toc184313294"/>
      <w:bookmarkEnd w:id="63"/>
      <w:bookmarkStart w:id="64" w:name="_Toc184312131"/>
      <w:bookmarkEnd w:id="64"/>
      <w:bookmarkStart w:id="65" w:name="_Toc184312081"/>
      <w:bookmarkEnd w:id="65"/>
      <w:bookmarkStart w:id="66" w:name="_Toc184308072"/>
      <w:bookmarkEnd w:id="66"/>
      <w:bookmarkStart w:id="67" w:name="_Toc184312103"/>
      <w:bookmarkEnd w:id="67"/>
      <w:bookmarkStart w:id="68" w:name="_Toc184314430"/>
      <w:bookmarkEnd w:id="68"/>
      <w:bookmarkStart w:id="69" w:name="_Toc184310336"/>
      <w:bookmarkEnd w:id="69"/>
      <w:bookmarkStart w:id="70" w:name="_Toc184308096"/>
      <w:bookmarkEnd w:id="70"/>
      <w:bookmarkStart w:id="71" w:name="_Toc184313243"/>
      <w:bookmarkEnd w:id="71"/>
      <w:bookmarkStart w:id="72" w:name="_Toc184313242"/>
      <w:bookmarkEnd w:id="72"/>
      <w:bookmarkStart w:id="73" w:name="_Toc184314454"/>
      <w:bookmarkEnd w:id="73"/>
      <w:bookmarkStart w:id="74" w:name="_Toc184310326"/>
      <w:bookmarkEnd w:id="74"/>
      <w:bookmarkStart w:id="75" w:name="_Toc184308053"/>
      <w:bookmarkEnd w:id="75"/>
      <w:bookmarkStart w:id="76" w:name="_Toc184314460"/>
      <w:bookmarkEnd w:id="76"/>
      <w:bookmarkStart w:id="77" w:name="_Toc184312137"/>
      <w:bookmarkEnd w:id="77"/>
      <w:bookmarkStart w:id="78" w:name="_Toc184314424"/>
      <w:bookmarkEnd w:id="78"/>
      <w:bookmarkStart w:id="79" w:name="_Toc184314445"/>
      <w:bookmarkEnd w:id="79"/>
      <w:bookmarkStart w:id="80" w:name="_Toc184308078"/>
      <w:bookmarkEnd w:id="80"/>
      <w:bookmarkStart w:id="81" w:name="_Toc184310297"/>
      <w:bookmarkEnd w:id="81"/>
      <w:bookmarkStart w:id="82" w:name="_Toc184314419"/>
      <w:bookmarkEnd w:id="82"/>
      <w:bookmarkStart w:id="83" w:name="_Toc184310339"/>
      <w:bookmarkEnd w:id="83"/>
      <w:bookmarkStart w:id="84" w:name="_Toc184308108"/>
      <w:bookmarkEnd w:id="84"/>
      <w:bookmarkStart w:id="85" w:name="_Toc184314412"/>
      <w:bookmarkEnd w:id="85"/>
      <w:bookmarkStart w:id="86" w:name="_Toc184312080"/>
      <w:bookmarkEnd w:id="86"/>
      <w:bookmarkStart w:id="87" w:name="_Toc184308086"/>
      <w:bookmarkEnd w:id="87"/>
      <w:bookmarkStart w:id="88" w:name="_Toc184313292"/>
      <w:bookmarkEnd w:id="88"/>
      <w:bookmarkStart w:id="89" w:name="_Toc184308088"/>
      <w:bookmarkEnd w:id="89"/>
      <w:bookmarkStart w:id="90" w:name="_Toc184313273"/>
      <w:bookmarkEnd w:id="90"/>
      <w:bookmarkStart w:id="91" w:name="_Toc184312087"/>
      <w:bookmarkEnd w:id="91"/>
      <w:bookmarkStart w:id="92" w:name="_Toc184314476"/>
      <w:bookmarkEnd w:id="92"/>
      <w:bookmarkStart w:id="93" w:name="_Toc184314432"/>
      <w:bookmarkEnd w:id="93"/>
      <w:bookmarkStart w:id="94" w:name="_Toc184308037"/>
      <w:bookmarkEnd w:id="94"/>
      <w:bookmarkStart w:id="95" w:name="_Toc184313297"/>
      <w:bookmarkEnd w:id="95"/>
      <w:bookmarkStart w:id="96" w:name="_Toc184308103"/>
      <w:bookmarkEnd w:id="96"/>
      <w:bookmarkStart w:id="97" w:name="_Toc184310314"/>
      <w:bookmarkEnd w:id="97"/>
      <w:bookmarkStart w:id="98" w:name="_Toc184310282"/>
      <w:bookmarkEnd w:id="98"/>
      <w:bookmarkStart w:id="99" w:name="_Toc184313256"/>
      <w:bookmarkEnd w:id="99"/>
      <w:bookmarkStart w:id="100" w:name="_Toc184313304"/>
      <w:bookmarkEnd w:id="100"/>
      <w:bookmarkStart w:id="101" w:name="_Toc184310318"/>
      <w:bookmarkEnd w:id="101"/>
      <w:bookmarkStart w:id="102" w:name="_Toc184314415"/>
      <w:bookmarkEnd w:id="102"/>
      <w:bookmarkStart w:id="103" w:name="_Toc184312079"/>
      <w:bookmarkEnd w:id="103"/>
      <w:bookmarkStart w:id="104" w:name="_Toc184308039"/>
      <w:bookmarkEnd w:id="104"/>
      <w:bookmarkStart w:id="105" w:name="_Toc184308101"/>
      <w:bookmarkEnd w:id="105"/>
      <w:bookmarkStart w:id="106" w:name="_Toc184310303"/>
      <w:bookmarkEnd w:id="106"/>
      <w:bookmarkStart w:id="107" w:name="_Toc184314475"/>
      <w:bookmarkEnd w:id="107"/>
      <w:bookmarkStart w:id="108" w:name="_Toc184308063"/>
      <w:bookmarkEnd w:id="108"/>
      <w:bookmarkStart w:id="109" w:name="_Toc184312091"/>
      <w:bookmarkEnd w:id="109"/>
      <w:bookmarkStart w:id="110" w:name="_Toc184310304"/>
      <w:bookmarkEnd w:id="110"/>
      <w:bookmarkStart w:id="111" w:name="_Toc184310294"/>
      <w:bookmarkEnd w:id="111"/>
      <w:bookmarkStart w:id="112" w:name="_Toc184312129"/>
      <w:bookmarkEnd w:id="112"/>
      <w:bookmarkStart w:id="113" w:name="_Toc184308083"/>
      <w:bookmarkEnd w:id="113"/>
      <w:bookmarkStart w:id="114" w:name="_Toc184314463"/>
      <w:bookmarkEnd w:id="114"/>
      <w:bookmarkStart w:id="115" w:name="_Toc184308087"/>
      <w:bookmarkEnd w:id="115"/>
      <w:bookmarkStart w:id="116" w:name="_Toc184308069"/>
      <w:bookmarkEnd w:id="116"/>
      <w:bookmarkStart w:id="117" w:name="_Toc184314449"/>
      <w:bookmarkEnd w:id="117"/>
      <w:bookmarkStart w:id="118" w:name="_Toc184314416"/>
      <w:bookmarkEnd w:id="118"/>
      <w:bookmarkStart w:id="119" w:name="_Toc184312088"/>
      <w:bookmarkEnd w:id="119"/>
      <w:bookmarkStart w:id="120" w:name="_Toc184310295"/>
      <w:bookmarkEnd w:id="120"/>
      <w:bookmarkStart w:id="121" w:name="_Toc184312078"/>
      <w:bookmarkEnd w:id="121"/>
      <w:bookmarkStart w:id="122" w:name="_Toc184313251"/>
      <w:bookmarkEnd w:id="122"/>
      <w:bookmarkStart w:id="123" w:name="_Toc184313281"/>
      <w:bookmarkEnd w:id="123"/>
      <w:bookmarkStart w:id="124" w:name="_Toc184310280"/>
      <w:bookmarkEnd w:id="124"/>
      <w:bookmarkStart w:id="125" w:name="_Toc184313257"/>
      <w:bookmarkEnd w:id="125"/>
      <w:bookmarkStart w:id="126" w:name="_Toc184313248"/>
      <w:bookmarkEnd w:id="126"/>
      <w:bookmarkStart w:id="127" w:name="_Toc184313288"/>
      <w:bookmarkEnd w:id="127"/>
      <w:bookmarkStart w:id="128" w:name="_Toc184310291"/>
      <w:bookmarkEnd w:id="128"/>
      <w:bookmarkStart w:id="129" w:name="_Toc184308093"/>
      <w:bookmarkEnd w:id="129"/>
      <w:bookmarkStart w:id="130" w:name="_Toc184313250"/>
      <w:bookmarkEnd w:id="130"/>
      <w:bookmarkStart w:id="131" w:name="_Toc184310298"/>
      <w:bookmarkEnd w:id="131"/>
      <w:bookmarkStart w:id="132" w:name="_Toc184310302"/>
      <w:bookmarkEnd w:id="132"/>
      <w:bookmarkStart w:id="133" w:name="_Toc184312100"/>
      <w:bookmarkEnd w:id="133"/>
      <w:bookmarkStart w:id="134" w:name="_Toc184312107"/>
      <w:bookmarkEnd w:id="134"/>
      <w:bookmarkStart w:id="135" w:name="_Toc184308107"/>
      <w:bookmarkEnd w:id="135"/>
      <w:bookmarkStart w:id="136" w:name="_Toc184313277"/>
      <w:bookmarkEnd w:id="136"/>
      <w:bookmarkStart w:id="137" w:name="_Toc184312067"/>
      <w:bookmarkEnd w:id="137"/>
      <w:bookmarkStart w:id="138" w:name="_Toc184313285"/>
      <w:bookmarkEnd w:id="138"/>
      <w:bookmarkStart w:id="139" w:name="_Toc184312098"/>
      <w:bookmarkEnd w:id="139"/>
      <w:bookmarkStart w:id="140" w:name="_Toc184312125"/>
      <w:bookmarkEnd w:id="140"/>
      <w:bookmarkStart w:id="141" w:name="_Toc184312135"/>
      <w:bookmarkEnd w:id="141"/>
      <w:bookmarkStart w:id="142" w:name="_Toc184312089"/>
      <w:bookmarkEnd w:id="142"/>
      <w:bookmarkStart w:id="143" w:name="_Toc184314426"/>
      <w:bookmarkEnd w:id="143"/>
      <w:bookmarkStart w:id="144" w:name="_Toc184310292"/>
      <w:bookmarkEnd w:id="144"/>
      <w:bookmarkStart w:id="145" w:name="_Toc184314457"/>
      <w:bookmarkEnd w:id="145"/>
      <w:bookmarkStart w:id="146" w:name="_Toc184313276"/>
      <w:bookmarkEnd w:id="146"/>
      <w:bookmarkStart w:id="147" w:name="_Toc184314453"/>
      <w:bookmarkEnd w:id="147"/>
      <w:bookmarkStart w:id="148" w:name="_Toc184310301"/>
      <w:bookmarkEnd w:id="148"/>
      <w:bookmarkStart w:id="149" w:name="_Toc184314471"/>
      <w:bookmarkEnd w:id="149"/>
      <w:bookmarkStart w:id="150" w:name="_Toc184314450"/>
      <w:bookmarkEnd w:id="150"/>
      <w:bookmarkStart w:id="151" w:name="_Toc184308089"/>
      <w:bookmarkEnd w:id="151"/>
      <w:bookmarkStart w:id="152" w:name="_Toc184313302"/>
      <w:bookmarkEnd w:id="152"/>
      <w:bookmarkStart w:id="153" w:name="_Toc184310315"/>
      <w:bookmarkEnd w:id="153"/>
      <w:bookmarkStart w:id="154" w:name="_Toc184308080"/>
      <w:bookmarkEnd w:id="154"/>
      <w:bookmarkStart w:id="155" w:name="_Toc184308099"/>
      <w:bookmarkEnd w:id="155"/>
      <w:bookmarkStart w:id="156" w:name="_Toc184313287"/>
      <w:bookmarkEnd w:id="156"/>
      <w:bookmarkStart w:id="157" w:name="_Toc184313284"/>
      <w:bookmarkEnd w:id="157"/>
      <w:bookmarkStart w:id="158" w:name="_Toc184308058"/>
      <w:bookmarkEnd w:id="158"/>
      <w:bookmarkStart w:id="159" w:name="_Toc184310308"/>
      <w:bookmarkEnd w:id="159"/>
      <w:bookmarkStart w:id="160" w:name="_Toc184314481"/>
      <w:bookmarkEnd w:id="160"/>
      <w:bookmarkStart w:id="161" w:name="_Toc184308094"/>
      <w:bookmarkEnd w:id="161"/>
      <w:bookmarkStart w:id="162" w:name="_Toc184313262"/>
      <w:bookmarkEnd w:id="162"/>
      <w:bookmarkStart w:id="163" w:name="_Toc184314461"/>
      <w:bookmarkEnd w:id="163"/>
      <w:bookmarkStart w:id="164" w:name="_Toc184308073"/>
      <w:bookmarkEnd w:id="164"/>
      <w:bookmarkStart w:id="165" w:name="_Toc184310290"/>
      <w:bookmarkEnd w:id="165"/>
      <w:bookmarkStart w:id="166" w:name="_Toc184314464"/>
      <w:bookmarkEnd w:id="166"/>
      <w:bookmarkStart w:id="167" w:name="_Toc184308040"/>
      <w:bookmarkEnd w:id="167"/>
      <w:bookmarkStart w:id="168" w:name="_Toc184310332"/>
      <w:bookmarkEnd w:id="168"/>
      <w:bookmarkStart w:id="169" w:name="_Toc184314456"/>
      <w:bookmarkEnd w:id="169"/>
      <w:bookmarkStart w:id="170" w:name="_Toc184308077"/>
      <w:bookmarkEnd w:id="170"/>
      <w:bookmarkStart w:id="171" w:name="_Toc184312097"/>
      <w:bookmarkEnd w:id="171"/>
      <w:bookmarkStart w:id="172" w:name="_Toc184314477"/>
      <w:bookmarkEnd w:id="172"/>
      <w:bookmarkStart w:id="173" w:name="_Toc184314435"/>
      <w:bookmarkEnd w:id="173"/>
      <w:bookmarkStart w:id="174" w:name="_Toc184312115"/>
      <w:bookmarkEnd w:id="174"/>
      <w:bookmarkStart w:id="175" w:name="_Toc184310341"/>
      <w:bookmarkEnd w:id="175"/>
      <w:bookmarkStart w:id="176" w:name="_Toc184308044"/>
      <w:bookmarkEnd w:id="176"/>
      <w:bookmarkStart w:id="177" w:name="_Toc184312119"/>
      <w:bookmarkEnd w:id="177"/>
      <w:bookmarkStart w:id="178" w:name="_Toc184308100"/>
      <w:bookmarkEnd w:id="178"/>
      <w:bookmarkStart w:id="179" w:name="_Toc184308079"/>
      <w:bookmarkEnd w:id="179"/>
      <w:bookmarkStart w:id="180" w:name="_Toc184308085"/>
      <w:bookmarkEnd w:id="180"/>
      <w:bookmarkStart w:id="181" w:name="_Toc184308048"/>
      <w:bookmarkEnd w:id="181"/>
      <w:bookmarkStart w:id="182" w:name="_Toc184313263"/>
      <w:bookmarkEnd w:id="182"/>
      <w:bookmarkStart w:id="183" w:name="_Toc184310287"/>
      <w:bookmarkEnd w:id="183"/>
      <w:bookmarkStart w:id="184" w:name="_Toc184310311"/>
      <w:bookmarkEnd w:id="184"/>
      <w:bookmarkStart w:id="185" w:name="_Toc184312076"/>
      <w:bookmarkEnd w:id="185"/>
      <w:bookmarkStart w:id="186" w:name="_Toc184310342"/>
      <w:bookmarkEnd w:id="186"/>
      <w:bookmarkStart w:id="187" w:name="_Toc184313272"/>
      <w:bookmarkEnd w:id="187"/>
      <w:bookmarkStart w:id="188" w:name="_Toc184312121"/>
      <w:bookmarkEnd w:id="188"/>
      <w:bookmarkStart w:id="189" w:name="_Toc184310334"/>
      <w:bookmarkEnd w:id="189"/>
      <w:bookmarkStart w:id="190" w:name="_Toc184312075"/>
      <w:bookmarkEnd w:id="190"/>
      <w:bookmarkStart w:id="191" w:name="_Toc184312126"/>
      <w:bookmarkEnd w:id="191"/>
      <w:bookmarkStart w:id="192" w:name="_Toc184313283"/>
      <w:bookmarkEnd w:id="192"/>
      <w:bookmarkStart w:id="193" w:name="_Toc184310335"/>
      <w:bookmarkEnd w:id="193"/>
      <w:bookmarkStart w:id="194" w:name="_Toc184313300"/>
      <w:bookmarkEnd w:id="194"/>
      <w:bookmarkStart w:id="195" w:name="_Toc184312138"/>
      <w:bookmarkEnd w:id="195"/>
      <w:bookmarkStart w:id="196" w:name="_Toc184310328"/>
      <w:bookmarkEnd w:id="196"/>
      <w:bookmarkStart w:id="197" w:name="_Toc184310317"/>
      <w:bookmarkEnd w:id="197"/>
      <w:bookmarkStart w:id="198" w:name="_Toc184310285"/>
      <w:bookmarkEnd w:id="198"/>
      <w:bookmarkStart w:id="199" w:name="_Toc184314468"/>
      <w:bookmarkEnd w:id="199"/>
      <w:bookmarkStart w:id="200" w:name="_Toc184312083"/>
      <w:bookmarkEnd w:id="200"/>
      <w:bookmarkStart w:id="201" w:name="_Toc184308038"/>
      <w:bookmarkEnd w:id="201"/>
      <w:bookmarkStart w:id="202" w:name="_Toc184310320"/>
      <w:bookmarkEnd w:id="202"/>
      <w:bookmarkStart w:id="203" w:name="_Toc184314470"/>
      <w:bookmarkEnd w:id="203"/>
      <w:bookmarkStart w:id="204" w:name="_Toc184314459"/>
      <w:bookmarkEnd w:id="204"/>
      <w:bookmarkStart w:id="205" w:name="_Toc184313280"/>
      <w:bookmarkEnd w:id="205"/>
      <w:bookmarkStart w:id="206" w:name="_Toc184310281"/>
      <w:bookmarkEnd w:id="206"/>
      <w:bookmarkStart w:id="207" w:name="_Toc184313271"/>
      <w:bookmarkEnd w:id="207"/>
      <w:bookmarkStart w:id="208" w:name="_Toc184312095"/>
      <w:bookmarkEnd w:id="208"/>
      <w:bookmarkStart w:id="209" w:name="_Toc184310309"/>
      <w:bookmarkEnd w:id="209"/>
      <w:bookmarkStart w:id="210" w:name="_Toc184310322"/>
      <w:bookmarkEnd w:id="210"/>
      <w:bookmarkStart w:id="211" w:name="_Toc184312102"/>
      <w:bookmarkEnd w:id="211"/>
      <w:bookmarkStart w:id="212" w:name="_Toc184310273"/>
      <w:bookmarkEnd w:id="212"/>
      <w:bookmarkStart w:id="213" w:name="_Toc184308049"/>
      <w:bookmarkEnd w:id="213"/>
      <w:bookmarkStart w:id="214" w:name="_Toc184313246"/>
      <w:bookmarkEnd w:id="214"/>
      <w:bookmarkStart w:id="215" w:name="_Toc184312068"/>
      <w:bookmarkEnd w:id="215"/>
      <w:bookmarkStart w:id="216" w:name="_Toc184314452"/>
      <w:bookmarkEnd w:id="216"/>
      <w:bookmarkStart w:id="217" w:name="_Toc184313255"/>
      <w:bookmarkEnd w:id="217"/>
      <w:bookmarkStart w:id="218" w:name="_Toc184313274"/>
      <w:bookmarkEnd w:id="218"/>
      <w:bookmarkStart w:id="219" w:name="_Toc184313267"/>
      <w:bookmarkEnd w:id="219"/>
      <w:bookmarkStart w:id="220" w:name="_Toc184313266"/>
      <w:bookmarkEnd w:id="220"/>
      <w:bookmarkStart w:id="221" w:name="_Toc184312117"/>
      <w:bookmarkEnd w:id="221"/>
      <w:bookmarkStart w:id="222" w:name="_Toc184313299"/>
      <w:bookmarkEnd w:id="222"/>
      <w:bookmarkStart w:id="223" w:name="_Toc184312136"/>
      <w:bookmarkEnd w:id="223"/>
      <w:bookmarkStart w:id="224" w:name="_Toc184312069"/>
      <w:bookmarkEnd w:id="224"/>
      <w:bookmarkStart w:id="225" w:name="_Toc184312132"/>
      <w:bookmarkEnd w:id="225"/>
      <w:bookmarkStart w:id="226" w:name="_Toc184314418"/>
      <w:bookmarkEnd w:id="226"/>
      <w:bookmarkStart w:id="227" w:name="_Toc184313253"/>
      <w:bookmarkEnd w:id="227"/>
      <w:bookmarkStart w:id="228" w:name="_Toc184310333"/>
      <w:bookmarkEnd w:id="228"/>
      <w:bookmarkStart w:id="229" w:name="_Toc184314411"/>
      <w:bookmarkEnd w:id="229"/>
      <w:bookmarkStart w:id="230" w:name="_Toc184312084"/>
      <w:bookmarkEnd w:id="230"/>
      <w:bookmarkStart w:id="231" w:name="_Toc184310289"/>
      <w:bookmarkEnd w:id="231"/>
      <w:bookmarkStart w:id="232" w:name="_Toc184308061"/>
      <w:bookmarkEnd w:id="232"/>
      <w:bookmarkStart w:id="233" w:name="_Toc184312116"/>
      <w:bookmarkEnd w:id="233"/>
      <w:bookmarkStart w:id="234" w:name="_Toc184308106"/>
      <w:bookmarkEnd w:id="234"/>
      <w:bookmarkStart w:id="235" w:name="_Toc184314465"/>
      <w:bookmarkEnd w:id="235"/>
      <w:bookmarkStart w:id="236" w:name="_Toc184314466"/>
      <w:bookmarkEnd w:id="236"/>
      <w:bookmarkStart w:id="237" w:name="_Toc184310338"/>
      <w:bookmarkEnd w:id="237"/>
      <w:bookmarkStart w:id="238" w:name="_Toc184314478"/>
      <w:bookmarkEnd w:id="238"/>
      <w:bookmarkStart w:id="239" w:name="_Toc184312070"/>
      <w:bookmarkEnd w:id="239"/>
      <w:bookmarkStart w:id="240" w:name="_Toc184314474"/>
      <w:bookmarkEnd w:id="240"/>
      <w:bookmarkStart w:id="241" w:name="_Toc184314439"/>
      <w:bookmarkEnd w:id="241"/>
      <w:bookmarkStart w:id="242" w:name="_Toc184314413"/>
      <w:bookmarkEnd w:id="242"/>
      <w:bookmarkStart w:id="243" w:name="_Toc184314437"/>
      <w:bookmarkEnd w:id="243"/>
      <w:bookmarkStart w:id="244" w:name="_Toc184310274"/>
      <w:bookmarkEnd w:id="244"/>
      <w:bookmarkStart w:id="245" w:name="_Toc184310306"/>
      <w:bookmarkEnd w:id="245"/>
      <w:bookmarkStart w:id="246" w:name="_Toc184313247"/>
      <w:bookmarkEnd w:id="246"/>
      <w:bookmarkStart w:id="247" w:name="_Toc184312092"/>
      <w:bookmarkEnd w:id="247"/>
      <w:bookmarkStart w:id="248" w:name="_Toc184312086"/>
      <w:bookmarkEnd w:id="248"/>
      <w:bookmarkStart w:id="249" w:name="_Toc184310307"/>
      <w:bookmarkEnd w:id="249"/>
      <w:bookmarkStart w:id="250" w:name="_Toc184308045"/>
      <w:bookmarkEnd w:id="250"/>
      <w:bookmarkStart w:id="251" w:name="_Toc184313265"/>
      <w:bookmarkEnd w:id="251"/>
      <w:bookmarkStart w:id="252" w:name="_Toc184312104"/>
      <w:bookmarkEnd w:id="252"/>
      <w:bookmarkStart w:id="253" w:name="_Toc184308097"/>
      <w:bookmarkEnd w:id="253"/>
      <w:bookmarkStart w:id="254" w:name="_Toc184310310"/>
      <w:bookmarkEnd w:id="254"/>
      <w:bookmarkStart w:id="255" w:name="_Toc184308104"/>
      <w:bookmarkEnd w:id="255"/>
      <w:bookmarkStart w:id="256" w:name="_Toc184313303"/>
      <w:bookmarkEnd w:id="256"/>
      <w:bookmarkStart w:id="257" w:name="_Toc184314440"/>
      <w:bookmarkEnd w:id="257"/>
      <w:bookmarkStart w:id="258" w:name="_Toc184313291"/>
      <w:bookmarkEnd w:id="258"/>
      <w:bookmarkStart w:id="259" w:name="_Toc184312090"/>
      <w:bookmarkEnd w:id="259"/>
      <w:bookmarkStart w:id="260" w:name="_Toc184308098"/>
      <w:bookmarkEnd w:id="260"/>
      <w:bookmarkStart w:id="261" w:name="_Toc184308062"/>
      <w:bookmarkEnd w:id="261"/>
      <w:bookmarkStart w:id="262" w:name="_Toc184308065"/>
      <w:bookmarkEnd w:id="262"/>
      <w:bookmarkStart w:id="263" w:name="_Toc184314423"/>
      <w:bookmarkEnd w:id="263"/>
      <w:bookmarkStart w:id="264" w:name="_Toc184313305"/>
      <w:bookmarkEnd w:id="264"/>
      <w:bookmarkStart w:id="265" w:name="_Toc184314446"/>
      <w:bookmarkEnd w:id="265"/>
      <w:bookmarkStart w:id="266" w:name="_Toc184313268"/>
      <w:bookmarkEnd w:id="266"/>
      <w:bookmarkStart w:id="267" w:name="_Toc184313259"/>
      <w:bookmarkEnd w:id="267"/>
      <w:bookmarkStart w:id="268" w:name="_Toc184312099"/>
      <w:bookmarkEnd w:id="268"/>
      <w:bookmarkStart w:id="269" w:name="_Toc184310300"/>
      <w:bookmarkEnd w:id="269"/>
      <w:bookmarkStart w:id="270" w:name="_Toc184308092"/>
      <w:bookmarkEnd w:id="270"/>
      <w:bookmarkStart w:id="271" w:name="_Toc184314441"/>
      <w:bookmarkEnd w:id="271"/>
      <w:bookmarkStart w:id="272" w:name="_Toc184312072"/>
      <w:bookmarkEnd w:id="272"/>
      <w:bookmarkStart w:id="273" w:name="_Toc184310293"/>
      <w:bookmarkEnd w:id="273"/>
      <w:bookmarkStart w:id="274" w:name="_Toc184308081"/>
      <w:bookmarkEnd w:id="274"/>
      <w:bookmarkStart w:id="275" w:name="_Toc184313286"/>
      <w:bookmarkEnd w:id="275"/>
      <w:bookmarkStart w:id="276" w:name="_Toc184312113"/>
      <w:bookmarkEnd w:id="276"/>
      <w:bookmarkStart w:id="277" w:name="_Toc184310288"/>
      <w:bookmarkEnd w:id="277"/>
      <w:bookmarkStart w:id="278" w:name="_Toc184314417"/>
      <w:bookmarkEnd w:id="278"/>
      <w:bookmarkStart w:id="279" w:name="_Toc184308046"/>
      <w:bookmarkEnd w:id="279"/>
      <w:bookmarkStart w:id="280" w:name="_Toc184313264"/>
      <w:bookmarkEnd w:id="280"/>
      <w:bookmarkStart w:id="281" w:name="_Toc184313254"/>
      <w:bookmarkEnd w:id="281"/>
      <w:bookmarkStart w:id="282" w:name="_Toc184308067"/>
      <w:bookmarkEnd w:id="282"/>
      <w:bookmarkStart w:id="283" w:name="_Toc184313298"/>
      <w:bookmarkEnd w:id="283"/>
      <w:bookmarkStart w:id="284" w:name="_Toc184312071"/>
      <w:bookmarkEnd w:id="284"/>
      <w:bookmarkStart w:id="285" w:name="_Toc184310313"/>
      <w:bookmarkEnd w:id="285"/>
      <w:bookmarkStart w:id="286" w:name="_Toc184313295"/>
      <w:bookmarkEnd w:id="286"/>
      <w:bookmarkStart w:id="287" w:name="_Toc184314429"/>
      <w:bookmarkEnd w:id="287"/>
      <w:bookmarkStart w:id="288" w:name="_Toc184308059"/>
      <w:bookmarkEnd w:id="288"/>
      <w:bookmarkStart w:id="289" w:name="_Toc184312127"/>
      <w:bookmarkEnd w:id="289"/>
      <w:bookmarkStart w:id="290" w:name="_Toc184310279"/>
      <w:bookmarkEnd w:id="290"/>
      <w:bookmarkStart w:id="291" w:name="_Toc184314482"/>
      <w:bookmarkEnd w:id="291"/>
      <w:bookmarkStart w:id="292" w:name="_Toc184312077"/>
      <w:bookmarkEnd w:id="292"/>
      <w:bookmarkStart w:id="293" w:name="_Toc184313290"/>
      <w:bookmarkEnd w:id="293"/>
      <w:bookmarkStart w:id="294" w:name="_Toc184313306"/>
      <w:bookmarkEnd w:id="294"/>
      <w:bookmarkStart w:id="295" w:name="_Toc184312093"/>
      <w:bookmarkEnd w:id="295"/>
      <w:bookmarkStart w:id="296" w:name="_Toc184312128"/>
      <w:bookmarkEnd w:id="296"/>
      <w:bookmarkStart w:id="297" w:name="_Toc184310272"/>
      <w:bookmarkEnd w:id="297"/>
      <w:bookmarkStart w:id="298" w:name="_Toc184313252"/>
      <w:bookmarkEnd w:id="298"/>
      <w:bookmarkStart w:id="299" w:name="_Toc184310321"/>
      <w:bookmarkEnd w:id="299"/>
      <w:bookmarkStart w:id="300" w:name="_Toc184313278"/>
      <w:bookmarkEnd w:id="300"/>
      <w:bookmarkStart w:id="301" w:name="_Toc184310276"/>
      <w:bookmarkEnd w:id="301"/>
      <w:bookmarkStart w:id="302" w:name="_Toc184308052"/>
      <w:bookmarkEnd w:id="302"/>
      <w:bookmarkStart w:id="303" w:name="_Toc184308056"/>
      <w:bookmarkEnd w:id="303"/>
      <w:bookmarkStart w:id="304" w:name="_Toc184314443"/>
      <w:bookmarkEnd w:id="304"/>
      <w:bookmarkStart w:id="305" w:name="_Toc184308066"/>
      <w:bookmarkEnd w:id="305"/>
      <w:bookmarkStart w:id="306" w:name="_Toc184312114"/>
      <w:bookmarkEnd w:id="306"/>
      <w:bookmarkStart w:id="307" w:name="_Toc184312085"/>
      <w:bookmarkEnd w:id="307"/>
      <w:bookmarkStart w:id="308" w:name="_Toc184314472"/>
      <w:bookmarkEnd w:id="308"/>
      <w:bookmarkStart w:id="309" w:name="_Toc184310330"/>
      <w:bookmarkEnd w:id="309"/>
      <w:bookmarkStart w:id="310" w:name="_Toc184310286"/>
      <w:bookmarkEnd w:id="310"/>
      <w:bookmarkStart w:id="311" w:name="_Toc184313296"/>
      <w:bookmarkEnd w:id="311"/>
      <w:bookmarkStart w:id="312" w:name="_Toc184313308"/>
      <w:bookmarkEnd w:id="312"/>
      <w:bookmarkStart w:id="313" w:name="_Toc184308042"/>
      <w:bookmarkEnd w:id="313"/>
      <w:bookmarkStart w:id="314" w:name="_Toc184308060"/>
      <w:bookmarkEnd w:id="314"/>
      <w:bookmarkStart w:id="315" w:name="_Toc184312123"/>
      <w:bookmarkEnd w:id="315"/>
      <w:bookmarkStart w:id="316" w:name="_Toc184308084"/>
      <w:bookmarkEnd w:id="316"/>
      <w:bookmarkStart w:id="317" w:name="_Toc184310331"/>
      <w:bookmarkEnd w:id="317"/>
      <w:bookmarkStart w:id="318" w:name="_Toc184310275"/>
      <w:bookmarkEnd w:id="318"/>
      <w:bookmarkStart w:id="319" w:name="_Toc184312082"/>
      <w:bookmarkEnd w:id="319"/>
      <w:bookmarkStart w:id="320" w:name="_Toc184308036"/>
      <w:bookmarkEnd w:id="320"/>
      <w:bookmarkStart w:id="321" w:name="_Toc184314447"/>
      <w:bookmarkEnd w:id="321"/>
      <w:bookmarkStart w:id="322" w:name="_Toc184310327"/>
      <w:bookmarkEnd w:id="322"/>
      <w:bookmarkStart w:id="323" w:name="_Toc184312110"/>
      <w:bookmarkEnd w:id="323"/>
      <w:bookmarkStart w:id="324" w:name="_Toc184312120"/>
      <w:bookmarkEnd w:id="324"/>
      <w:bookmarkStart w:id="325" w:name="_Toc184312139"/>
      <w:bookmarkEnd w:id="325"/>
      <w:bookmarkStart w:id="326" w:name="_Toc184308041"/>
      <w:bookmarkEnd w:id="326"/>
      <w:bookmarkStart w:id="327" w:name="_Toc184314421"/>
      <w:bookmarkEnd w:id="327"/>
      <w:bookmarkStart w:id="328" w:name="_Toc184314433"/>
      <w:bookmarkEnd w:id="328"/>
      <w:bookmarkStart w:id="329" w:name="_Toc184313279"/>
      <w:bookmarkEnd w:id="329"/>
      <w:bookmarkStart w:id="330" w:name="_Toc184308054"/>
      <w:bookmarkEnd w:id="330"/>
      <w:bookmarkStart w:id="331" w:name="_Toc184312133"/>
      <w:bookmarkEnd w:id="331"/>
      <w:bookmarkStart w:id="332" w:name="_Toc184308057"/>
      <w:bookmarkEnd w:id="332"/>
      <w:bookmarkStart w:id="333" w:name="_Toc184314462"/>
      <w:bookmarkEnd w:id="333"/>
      <w:bookmarkStart w:id="334" w:name="_Toc184312134"/>
      <w:bookmarkEnd w:id="334"/>
      <w:bookmarkStart w:id="335" w:name="_Toc184313258"/>
      <w:bookmarkEnd w:id="335"/>
      <w:bookmarkStart w:id="336" w:name="_Toc184310284"/>
      <w:bookmarkEnd w:id="336"/>
      <w:bookmarkStart w:id="337" w:name="_Toc184314434"/>
      <w:bookmarkEnd w:id="337"/>
      <w:bookmarkStart w:id="338" w:name="_Toc184313275"/>
      <w:bookmarkEnd w:id="338"/>
      <w:bookmarkStart w:id="339" w:name="_Toc184314451"/>
      <w:bookmarkEnd w:id="339"/>
      <w:bookmarkStart w:id="340" w:name="_Toc184313239"/>
      <w:bookmarkEnd w:id="340"/>
      <w:bookmarkStart w:id="341" w:name="_Toc184310340"/>
      <w:bookmarkEnd w:id="341"/>
      <w:bookmarkStart w:id="342" w:name="_Toc184308043"/>
      <w:bookmarkEnd w:id="342"/>
      <w:bookmarkStart w:id="343" w:name="_Toc184313293"/>
      <w:bookmarkEnd w:id="343"/>
      <w:bookmarkStart w:id="344" w:name="_Toc184310278"/>
      <w:bookmarkEnd w:id="344"/>
      <w:bookmarkStart w:id="345" w:name="_Toc184312122"/>
      <w:bookmarkEnd w:id="345"/>
      <w:bookmarkStart w:id="346" w:name="_Toc184312106"/>
      <w:bookmarkEnd w:id="346"/>
      <w:bookmarkStart w:id="347" w:name="_Toc184308091"/>
      <w:bookmarkEnd w:id="347"/>
      <w:bookmarkStart w:id="348" w:name="_Toc184314414"/>
      <w:bookmarkEnd w:id="348"/>
      <w:bookmarkStart w:id="349" w:name="_Toc184313240"/>
      <w:bookmarkEnd w:id="349"/>
      <w:bookmarkStart w:id="350" w:name="_Toc184313301"/>
      <w:bookmarkEnd w:id="350"/>
      <w:bookmarkStart w:id="351" w:name="_Toc184314444"/>
      <w:bookmarkEnd w:id="351"/>
      <w:bookmarkStart w:id="352" w:name="_Toc184312074"/>
      <w:bookmarkEnd w:id="352"/>
      <w:bookmarkStart w:id="353" w:name="_Toc184313270"/>
      <w:bookmarkEnd w:id="353"/>
      <w:bookmarkStart w:id="354" w:name="_Toc184312111"/>
      <w:bookmarkEnd w:id="354"/>
      <w:bookmarkStart w:id="355" w:name="_Toc184312096"/>
      <w:bookmarkEnd w:id="355"/>
      <w:bookmarkStart w:id="356" w:name="_Toc184308051"/>
      <w:bookmarkEnd w:id="356"/>
      <w:bookmarkStart w:id="357" w:name="_Toc184314469"/>
      <w:bookmarkEnd w:id="357"/>
      <w:bookmarkStart w:id="358" w:name="_Toc184314427"/>
      <w:bookmarkEnd w:id="358"/>
      <w:bookmarkStart w:id="359" w:name="_Toc184314438"/>
      <w:bookmarkEnd w:id="359"/>
      <w:bookmarkStart w:id="360" w:name="_Toc184308068"/>
      <w:bookmarkEnd w:id="360"/>
      <w:bookmarkStart w:id="361" w:name="_Toc184310296"/>
      <w:bookmarkEnd w:id="361"/>
      <w:bookmarkStart w:id="362" w:name="_Toc184308082"/>
      <w:bookmarkEnd w:id="362"/>
      <w:bookmarkStart w:id="363" w:name="_Toc184314431"/>
      <w:bookmarkEnd w:id="363"/>
      <w:bookmarkStart w:id="364" w:name="_Toc184314458"/>
      <w:bookmarkEnd w:id="364"/>
      <w:bookmarkStart w:id="365" w:name="_Toc184314467"/>
      <w:bookmarkEnd w:id="365"/>
      <w:bookmarkStart w:id="366" w:name="_Toc184310329"/>
      <w:bookmarkEnd w:id="366"/>
      <w:bookmarkStart w:id="367" w:name="_Toc184314455"/>
      <w:bookmarkEnd w:id="367"/>
      <w:bookmarkStart w:id="368" w:name="_Toc184312130"/>
      <w:bookmarkEnd w:id="368"/>
      <w:bookmarkStart w:id="369" w:name="_Toc184310337"/>
      <w:bookmarkEnd w:id="369"/>
      <w:bookmarkStart w:id="370" w:name="_Toc184308064"/>
      <w:bookmarkEnd w:id="370"/>
      <w:bookmarkStart w:id="371" w:name="_Toc184314442"/>
      <w:bookmarkEnd w:id="371"/>
      <w:bookmarkStart w:id="372" w:name="_Toc184313238"/>
      <w:bookmarkEnd w:id="372"/>
      <w:bookmarkStart w:id="373" w:name="_Toc184314448"/>
      <w:bookmarkEnd w:id="373"/>
      <w:bookmarkStart w:id="374" w:name="_Toc184314410"/>
      <w:bookmarkEnd w:id="374"/>
      <w:bookmarkStart w:id="375" w:name="_Toc184313289"/>
      <w:bookmarkEnd w:id="375"/>
      <w:bookmarkStart w:id="376" w:name="_Toc184313261"/>
      <w:bookmarkEnd w:id="376"/>
      <w:bookmarkStart w:id="377" w:name="_Toc184310312"/>
      <w:bookmarkEnd w:id="377"/>
      <w:bookmarkStart w:id="378" w:name="_Toc184310343"/>
      <w:bookmarkEnd w:id="378"/>
      <w:bookmarkStart w:id="379" w:name="_Toc184310344"/>
      <w:bookmarkEnd w:id="379"/>
      <w:bookmarkStart w:id="380" w:name="_Toc184312073"/>
      <w:bookmarkEnd w:id="380"/>
      <w:bookmarkStart w:id="381" w:name="_Toc184308075"/>
      <w:bookmarkEnd w:id="381"/>
      <w:bookmarkStart w:id="382" w:name="_Toc184314473"/>
      <w:bookmarkEnd w:id="382"/>
      <w:bookmarkStart w:id="383" w:name="_Toc184308102"/>
      <w:bookmarkEnd w:id="383"/>
      <w:bookmarkStart w:id="384" w:name="_Toc184310277"/>
      <w:bookmarkEnd w:id="384"/>
      <w:bookmarkStart w:id="385" w:name="_Toc184308050"/>
      <w:bookmarkEnd w:id="385"/>
      <w:bookmarkStart w:id="386" w:name="_Toc184313282"/>
      <w:bookmarkEnd w:id="386"/>
      <w:bookmarkStart w:id="387" w:name="_Toc184310299"/>
      <w:bookmarkEnd w:id="387"/>
      <w:bookmarkStart w:id="388" w:name="_Toc184314428"/>
      <w:bookmarkEnd w:id="388"/>
      <w:bookmarkStart w:id="389" w:name="_Toc184308076"/>
      <w:bookmarkEnd w:id="389"/>
      <w:bookmarkStart w:id="390" w:name="_Toc184310323"/>
      <w:bookmarkEnd w:id="390"/>
      <w:bookmarkStart w:id="391" w:name="_Toc184312109"/>
      <w:bookmarkEnd w:id="391"/>
      <w:bookmarkStart w:id="392" w:name="_Toc184314425"/>
      <w:bookmarkEnd w:id="392"/>
      <w:bookmarkStart w:id="393" w:name="_Toc184314422"/>
      <w:bookmarkEnd w:id="393"/>
      <w:bookmarkStart w:id="394" w:name="_Toc184310324"/>
      <w:bookmarkEnd w:id="394"/>
      <w:bookmarkStart w:id="395" w:name="_Toc184308090"/>
      <w:bookmarkEnd w:id="395"/>
      <w:bookmarkStart w:id="396" w:name="_Toc184308047"/>
      <w:bookmarkEnd w:id="396"/>
      <w:bookmarkStart w:id="397" w:name="_Toc184312124"/>
      <w:bookmarkEnd w:id="397"/>
      <w:bookmarkStart w:id="398" w:name="_Toc184310283"/>
      <w:bookmarkEnd w:id="398"/>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pPr w:leftFromText="180" w:rightFromText="180" w:vertAnchor="text" w:horzAnchor="page" w:tblpX="820" w:tblpY="421"/>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360"/>
        <w:gridCol w:w="720"/>
        <w:gridCol w:w="100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exact"/>
        </w:trPr>
        <w:tc>
          <w:tcPr>
            <w:tcW w:w="735" w:type="dxa"/>
            <w:noWrap w:val="0"/>
            <w:vAlign w:val="center"/>
          </w:tcPr>
          <w:p>
            <w:pPr>
              <w:adjustRightInd/>
              <w:jc w:val="center"/>
              <w:rPr>
                <w:rFonts w:ascii="宋体" w:hAnsi="宋体" w:cs="宋体"/>
                <w:color w:val="auto"/>
                <w:sz w:val="24"/>
                <w:szCs w:val="24"/>
              </w:rPr>
            </w:pPr>
            <w:r>
              <w:rPr>
                <w:rFonts w:hint="eastAsia" w:ascii="宋体" w:hAnsi="宋体" w:cs="宋体"/>
                <w:color w:val="auto"/>
                <w:sz w:val="24"/>
                <w:szCs w:val="24"/>
              </w:rPr>
              <w:t>序号</w:t>
            </w:r>
          </w:p>
        </w:tc>
        <w:tc>
          <w:tcPr>
            <w:tcW w:w="6360" w:type="dxa"/>
            <w:noWrap w:val="0"/>
            <w:vAlign w:val="center"/>
          </w:tcPr>
          <w:p>
            <w:pPr>
              <w:adjustRightInd/>
              <w:jc w:val="center"/>
              <w:rPr>
                <w:rFonts w:ascii="宋体" w:hAnsi="宋体" w:cs="宋体"/>
                <w:color w:val="auto"/>
                <w:sz w:val="24"/>
                <w:szCs w:val="24"/>
              </w:rPr>
            </w:pPr>
            <w:r>
              <w:rPr>
                <w:rFonts w:hint="eastAsia" w:ascii="宋体" w:hAnsi="宋体" w:cs="宋体"/>
                <w:color w:val="auto"/>
                <w:sz w:val="24"/>
                <w:szCs w:val="24"/>
              </w:rPr>
              <w:t>评标标准</w:t>
            </w:r>
          </w:p>
        </w:tc>
        <w:tc>
          <w:tcPr>
            <w:tcW w:w="720" w:type="dxa"/>
            <w:noWrap w:val="0"/>
            <w:vAlign w:val="center"/>
          </w:tcPr>
          <w:p>
            <w:pPr>
              <w:adjustRightInd/>
              <w:jc w:val="left"/>
              <w:rPr>
                <w:rFonts w:ascii="宋体" w:hAnsi="宋体" w:cs="宋体"/>
                <w:color w:val="auto"/>
                <w:sz w:val="24"/>
                <w:szCs w:val="24"/>
              </w:rPr>
            </w:pPr>
            <w:r>
              <w:rPr>
                <w:rFonts w:hint="eastAsia" w:ascii="宋体" w:hAnsi="宋体" w:cs="宋体"/>
                <w:color w:val="auto"/>
                <w:sz w:val="24"/>
                <w:szCs w:val="24"/>
              </w:rPr>
              <w:t>权重</w:t>
            </w:r>
          </w:p>
        </w:tc>
        <w:tc>
          <w:tcPr>
            <w:tcW w:w="1005" w:type="dxa"/>
            <w:noWrap w:val="0"/>
            <w:vAlign w:val="center"/>
          </w:tcPr>
          <w:p>
            <w:pPr>
              <w:adjustRightInd/>
              <w:jc w:val="left"/>
              <w:rPr>
                <w:rFonts w:ascii="宋体" w:hAnsi="宋体" w:cs="宋体"/>
                <w:color w:val="auto"/>
                <w:sz w:val="24"/>
                <w:szCs w:val="24"/>
              </w:rPr>
            </w:pPr>
            <w:r>
              <w:rPr>
                <w:rFonts w:hint="eastAsia" w:ascii="宋体" w:hAnsi="宋体" w:cs="宋体"/>
                <w:color w:val="auto"/>
                <w:sz w:val="24"/>
                <w:szCs w:val="24"/>
              </w:rPr>
              <w:t>主观分/客观分属性</w:t>
            </w:r>
          </w:p>
        </w:tc>
        <w:tc>
          <w:tcPr>
            <w:tcW w:w="1665" w:type="dxa"/>
            <w:noWrap w:val="0"/>
            <w:vAlign w:val="center"/>
          </w:tcPr>
          <w:p>
            <w:pPr>
              <w:adjustRightInd/>
              <w:jc w:val="left"/>
              <w:rPr>
                <w:rFonts w:ascii="宋体" w:hAnsi="宋体" w:cs="宋体"/>
                <w:color w:val="auto"/>
                <w:sz w:val="24"/>
                <w:szCs w:val="24"/>
              </w:rPr>
            </w:pPr>
            <w:r>
              <w:rPr>
                <w:rFonts w:hint="eastAsia" w:ascii="宋体" w:hAnsi="宋体" w:cs="宋体"/>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adjustRightInd/>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p>
        </w:tc>
        <w:tc>
          <w:tcPr>
            <w:tcW w:w="6360" w:type="dxa"/>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zh-CN" w:eastAsia="zh-CN"/>
              </w:rPr>
              <w:t>性能和技术指标要求：符合招标需求指标参数得</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lang w:val="zh-CN" w:eastAsia="zh-CN"/>
              </w:rPr>
              <w:t>分。性能指标、功能及技术参数属负偏离或缺漏项的每项扣</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zh-CN" w:eastAsia="zh-CN"/>
              </w:rPr>
              <w:t>分</w:t>
            </w:r>
            <w:r>
              <w:rPr>
                <w:rFonts w:hint="eastAsia" w:ascii="宋体" w:hAnsi="宋体" w:cs="宋体"/>
                <w:color w:val="auto"/>
                <w:sz w:val="24"/>
                <w:highlight w:val="none"/>
                <w:lang w:val="zh-CN" w:eastAsia="zh-CN"/>
              </w:rPr>
              <w:t>，</w:t>
            </w:r>
            <w:r>
              <w:rPr>
                <w:rFonts w:hint="eastAsia" w:ascii="宋体" w:hAnsi="宋体" w:eastAsia="宋体" w:cs="宋体"/>
                <w:color w:val="auto"/>
                <w:sz w:val="24"/>
                <w:highlight w:val="none"/>
                <w:lang w:val="zh-CN" w:eastAsia="zh-CN"/>
              </w:rPr>
              <w:t>扣完为止。提供投标产品的彩页说明书等</w:t>
            </w:r>
            <w:r>
              <w:rPr>
                <w:rFonts w:hint="eastAsia" w:ascii="宋体" w:hAnsi="宋体" w:eastAsia="宋体" w:cs="宋体"/>
                <w:color w:val="auto"/>
                <w:sz w:val="24"/>
                <w:highlight w:val="none"/>
                <w:lang w:val="en-US" w:eastAsia="zh-CN"/>
              </w:rPr>
              <w:t>相关要求</w:t>
            </w:r>
            <w:r>
              <w:rPr>
                <w:rFonts w:hint="eastAsia" w:ascii="宋体" w:hAnsi="宋体" w:eastAsia="宋体" w:cs="宋体"/>
                <w:color w:val="auto"/>
                <w:sz w:val="24"/>
                <w:highlight w:val="none"/>
                <w:lang w:val="zh-CN" w:eastAsia="zh-CN"/>
              </w:rPr>
              <w:t>证明</w:t>
            </w:r>
            <w:r>
              <w:rPr>
                <w:rFonts w:hint="eastAsia" w:ascii="宋体" w:hAnsi="宋体" w:eastAsia="宋体" w:cs="宋体"/>
                <w:color w:val="auto"/>
                <w:sz w:val="24"/>
                <w:highlight w:val="none"/>
                <w:lang w:val="en-US" w:eastAsia="zh-CN"/>
              </w:rPr>
              <w:t>的</w:t>
            </w:r>
            <w:r>
              <w:rPr>
                <w:rFonts w:hint="eastAsia" w:ascii="宋体" w:hAnsi="宋体" w:eastAsia="宋体" w:cs="宋体"/>
                <w:color w:val="auto"/>
                <w:sz w:val="24"/>
                <w:highlight w:val="none"/>
                <w:lang w:val="zh-CN" w:eastAsia="zh-CN"/>
              </w:rPr>
              <w:t>材料</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分）</w:t>
            </w:r>
          </w:p>
        </w:tc>
        <w:tc>
          <w:tcPr>
            <w:tcW w:w="720" w:type="dxa"/>
            <w:noWrap w:val="0"/>
            <w:vAlign w:val="center"/>
          </w:tcPr>
          <w:p>
            <w:pPr>
              <w:snapToGrid w:val="0"/>
              <w:jc w:val="center"/>
              <w:textAlignment w:val="baseline"/>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1005" w:type="dxa"/>
            <w:noWrap w:val="0"/>
            <w:vAlign w:val="center"/>
          </w:tcPr>
          <w:p>
            <w:pPr>
              <w:adjustRightInd/>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1665" w:type="dxa"/>
            <w:noWrap w:val="0"/>
            <w:vAlign w:val="center"/>
          </w:tcPr>
          <w:p>
            <w:pPr>
              <w:adjustRightInd/>
              <w:jc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性能及技术指标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735"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6360" w:type="dxa"/>
            <w:noWrap w:val="0"/>
            <w:vAlign w:val="center"/>
          </w:tcPr>
          <w:p>
            <w:pPr>
              <w:spacing w:line="0" w:lineRule="atLeast"/>
              <w:rPr>
                <w:color w:val="auto"/>
                <w:sz w:val="24"/>
                <w:szCs w:val="24"/>
              </w:rPr>
            </w:pPr>
            <w:r>
              <w:rPr>
                <w:rFonts w:hint="eastAsia"/>
                <w:color w:val="auto"/>
                <w:sz w:val="24"/>
                <w:szCs w:val="24"/>
              </w:rPr>
              <w:t>根据投标单位提供的对项目背景、现状</w:t>
            </w:r>
            <w:r>
              <w:rPr>
                <w:rFonts w:hint="eastAsia"/>
                <w:color w:val="auto"/>
                <w:sz w:val="24"/>
                <w:szCs w:val="24"/>
                <w:lang w:eastAsia="zh-CN"/>
              </w:rPr>
              <w:t>和整体需求</w:t>
            </w:r>
            <w:r>
              <w:rPr>
                <w:rFonts w:hint="eastAsia"/>
                <w:color w:val="auto"/>
                <w:sz w:val="24"/>
                <w:szCs w:val="24"/>
              </w:rPr>
              <w:t>的理解情况进行评议（5分）</w:t>
            </w:r>
          </w:p>
          <w:p>
            <w:pPr>
              <w:spacing w:line="0" w:lineRule="atLeast"/>
              <w:rPr>
                <w:color w:val="auto"/>
                <w:sz w:val="24"/>
                <w:szCs w:val="24"/>
              </w:rPr>
            </w:pPr>
            <w:r>
              <w:rPr>
                <w:rFonts w:hint="eastAsia"/>
                <w:color w:val="auto"/>
                <w:sz w:val="24"/>
                <w:szCs w:val="24"/>
              </w:rPr>
              <w:t>①项目背景、现状</w:t>
            </w:r>
            <w:r>
              <w:rPr>
                <w:rFonts w:hint="eastAsia"/>
                <w:color w:val="auto"/>
                <w:sz w:val="24"/>
                <w:szCs w:val="24"/>
                <w:lang w:eastAsia="zh-CN"/>
              </w:rPr>
              <w:t>和整体需求</w:t>
            </w:r>
            <w:r>
              <w:rPr>
                <w:rFonts w:hint="eastAsia"/>
                <w:color w:val="auto"/>
                <w:sz w:val="24"/>
                <w:szCs w:val="24"/>
              </w:rPr>
              <w:t>的内容理解合理得5分；</w:t>
            </w:r>
          </w:p>
          <w:p>
            <w:pPr>
              <w:spacing w:line="0" w:lineRule="atLeast"/>
              <w:rPr>
                <w:color w:val="auto"/>
                <w:sz w:val="24"/>
                <w:szCs w:val="24"/>
              </w:rPr>
            </w:pPr>
            <w:r>
              <w:rPr>
                <w:rFonts w:hint="eastAsia"/>
                <w:color w:val="auto"/>
                <w:sz w:val="24"/>
                <w:szCs w:val="24"/>
              </w:rPr>
              <w:t>②项目背景、现状</w:t>
            </w:r>
            <w:r>
              <w:rPr>
                <w:rFonts w:hint="eastAsia"/>
                <w:color w:val="auto"/>
                <w:sz w:val="24"/>
                <w:szCs w:val="24"/>
                <w:lang w:eastAsia="zh-CN"/>
              </w:rPr>
              <w:t>和整体需求</w:t>
            </w:r>
            <w:r>
              <w:rPr>
                <w:rFonts w:hint="eastAsia"/>
                <w:color w:val="auto"/>
                <w:sz w:val="24"/>
                <w:szCs w:val="24"/>
              </w:rPr>
              <w:t>的内容理解较合理得3分；</w:t>
            </w:r>
          </w:p>
          <w:p>
            <w:pPr>
              <w:rPr>
                <w:rFonts w:hint="eastAsia" w:ascii="宋体" w:hAnsi="宋体" w:eastAsia="宋体" w:cs="宋体"/>
                <w:color w:val="auto"/>
                <w:sz w:val="24"/>
                <w:szCs w:val="24"/>
                <w:lang w:eastAsia="zh-CN"/>
              </w:rPr>
            </w:pPr>
            <w:r>
              <w:rPr>
                <w:rFonts w:hint="eastAsia"/>
                <w:color w:val="auto"/>
                <w:sz w:val="24"/>
                <w:szCs w:val="24"/>
              </w:rPr>
              <w:t>③项目背景、现状</w:t>
            </w:r>
            <w:r>
              <w:rPr>
                <w:rFonts w:hint="eastAsia"/>
                <w:color w:val="auto"/>
                <w:sz w:val="24"/>
                <w:szCs w:val="24"/>
                <w:lang w:eastAsia="zh-CN"/>
              </w:rPr>
              <w:t>和整体需求</w:t>
            </w:r>
            <w:r>
              <w:rPr>
                <w:rFonts w:hint="eastAsia"/>
                <w:color w:val="auto"/>
                <w:sz w:val="24"/>
                <w:szCs w:val="24"/>
              </w:rPr>
              <w:t>的内容理解不合理得1分</w:t>
            </w:r>
            <w:r>
              <w:rPr>
                <w:rFonts w:hint="eastAsia"/>
                <w:color w:val="auto"/>
                <w:sz w:val="24"/>
                <w:szCs w:val="24"/>
                <w:lang w:eastAsia="zh-CN"/>
              </w:rPr>
              <w:t>。</w:t>
            </w:r>
          </w:p>
        </w:tc>
        <w:tc>
          <w:tcPr>
            <w:tcW w:w="720" w:type="dxa"/>
            <w:noWrap w:val="0"/>
            <w:vAlign w:val="center"/>
          </w:tcPr>
          <w:p>
            <w:pPr>
              <w:snapToGrid w:val="0"/>
              <w:jc w:val="center"/>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005" w:type="dxa"/>
            <w:noWrap w:val="0"/>
            <w:vAlign w:val="center"/>
          </w:tcPr>
          <w:p>
            <w:pPr>
              <w:adjustRightInd/>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主观分</w:t>
            </w:r>
          </w:p>
        </w:tc>
        <w:tc>
          <w:tcPr>
            <w:tcW w:w="1665" w:type="dxa"/>
            <w:noWrap w:val="0"/>
            <w:vAlign w:val="center"/>
          </w:tcPr>
          <w:p>
            <w:pPr>
              <w:adjustRightInd/>
              <w:jc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对项目需求的理解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5"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6360" w:type="dxa"/>
            <w:noWrap w:val="0"/>
            <w:vAlign w:val="center"/>
          </w:tcPr>
          <w:p>
            <w:pPr>
              <w:adjustRightInd/>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zh-CN" w:eastAsia="zh-CN"/>
              </w:rPr>
              <w:t>根据投标人项目实施方案（项目工期、项目实施进度安排、</w:t>
            </w:r>
            <w:r>
              <w:rPr>
                <w:rFonts w:hint="eastAsia" w:ascii="宋体" w:hAnsi="宋体" w:eastAsia="宋体" w:cs="宋体"/>
                <w:bCs/>
                <w:color w:val="auto"/>
                <w:sz w:val="24"/>
                <w:szCs w:val="24"/>
                <w:highlight w:val="none"/>
              </w:rPr>
              <w:t>管理和协调方案</w:t>
            </w:r>
            <w:r>
              <w:rPr>
                <w:rFonts w:hint="eastAsia" w:ascii="宋体" w:hAnsi="宋体" w:eastAsia="宋体" w:cs="宋体"/>
                <w:color w:val="auto"/>
                <w:sz w:val="24"/>
                <w:szCs w:val="24"/>
                <w:highlight w:val="none"/>
                <w:lang w:val="zh-CN" w:eastAsia="zh-CN"/>
              </w:rPr>
              <w:t>等）的完整性、合理性、先进性等内容打分。</w:t>
            </w:r>
            <w:r>
              <w:rPr>
                <w:rFonts w:hint="eastAsia" w:ascii="宋体" w:hAnsi="宋体" w:eastAsia="宋体" w:cs="宋体"/>
                <w:bCs/>
                <w:color w:val="auto"/>
                <w:sz w:val="24"/>
                <w:szCs w:val="24"/>
                <w:highlight w:val="none"/>
              </w:rPr>
              <w:t>（</w:t>
            </w:r>
            <w:r>
              <w:rPr>
                <w:rFonts w:hint="eastAsia" w:ascii="宋体" w:hAnsi="宋体" w:cs="宋体"/>
                <w:bCs/>
                <w:color w:val="auto"/>
                <w:sz w:val="24"/>
                <w:szCs w:val="24"/>
                <w:highlight w:val="none"/>
                <w:lang w:val="en-US" w:eastAsia="zh-CN"/>
              </w:rPr>
              <w:t>4</w:t>
            </w:r>
            <w:bookmarkStart w:id="560" w:name="_GoBack"/>
            <w:bookmarkEnd w:id="560"/>
            <w:r>
              <w:rPr>
                <w:rFonts w:hint="eastAsia" w:ascii="宋体" w:hAnsi="宋体" w:eastAsia="宋体" w:cs="宋体"/>
                <w:bCs/>
                <w:color w:val="auto"/>
                <w:sz w:val="24"/>
                <w:szCs w:val="24"/>
                <w:highlight w:val="none"/>
              </w:rPr>
              <w:t>分）</w:t>
            </w:r>
          </w:p>
          <w:p>
            <w:pPr>
              <w:widowControl/>
              <w:spacing w:line="0" w:lineRule="atLeast"/>
              <w:ind w:left="-69" w:leftChars="-33" w:firstLine="2"/>
              <w:rPr>
                <w:color w:val="auto"/>
                <w:sz w:val="24"/>
                <w:szCs w:val="24"/>
              </w:rPr>
            </w:pPr>
            <w:r>
              <w:rPr>
                <w:rFonts w:hint="eastAsia"/>
                <w:color w:val="auto"/>
                <w:sz w:val="24"/>
                <w:szCs w:val="24"/>
              </w:rPr>
              <w:t>①</w:t>
            </w:r>
            <w:r>
              <w:rPr>
                <w:rFonts w:hint="eastAsia" w:ascii="宋体" w:hAnsi="宋体" w:eastAsia="宋体" w:cs="宋体"/>
                <w:color w:val="auto"/>
                <w:sz w:val="24"/>
                <w:szCs w:val="24"/>
                <w:highlight w:val="none"/>
                <w:lang w:val="zh-CN" w:eastAsia="zh-CN"/>
              </w:rPr>
              <w:t>项目实施方案</w:t>
            </w:r>
            <w:r>
              <w:rPr>
                <w:rFonts w:hint="eastAsia"/>
                <w:color w:val="auto"/>
                <w:sz w:val="24"/>
                <w:szCs w:val="24"/>
              </w:rPr>
              <w:t>详实，针对性强，可执行力度高的得</w:t>
            </w:r>
            <w:r>
              <w:rPr>
                <w:rFonts w:hint="eastAsia"/>
                <w:color w:val="auto"/>
                <w:sz w:val="24"/>
                <w:szCs w:val="24"/>
                <w:lang w:val="en-US" w:eastAsia="zh-CN"/>
              </w:rPr>
              <w:t>4</w:t>
            </w:r>
            <w:r>
              <w:rPr>
                <w:rFonts w:hint="eastAsia"/>
                <w:color w:val="auto"/>
                <w:sz w:val="24"/>
                <w:szCs w:val="24"/>
              </w:rPr>
              <w:t>分；</w:t>
            </w:r>
          </w:p>
          <w:p>
            <w:pPr>
              <w:widowControl/>
              <w:spacing w:line="0" w:lineRule="atLeast"/>
              <w:ind w:left="-69" w:leftChars="-33" w:firstLine="2"/>
              <w:rPr>
                <w:color w:val="auto"/>
                <w:sz w:val="24"/>
                <w:szCs w:val="24"/>
              </w:rPr>
            </w:pPr>
            <w:r>
              <w:rPr>
                <w:rFonts w:hint="eastAsia"/>
                <w:color w:val="auto"/>
                <w:sz w:val="24"/>
                <w:szCs w:val="24"/>
              </w:rPr>
              <w:t>②</w:t>
            </w:r>
            <w:r>
              <w:rPr>
                <w:rFonts w:hint="eastAsia" w:ascii="宋体" w:hAnsi="宋体" w:eastAsia="宋体" w:cs="宋体"/>
                <w:color w:val="auto"/>
                <w:sz w:val="24"/>
                <w:szCs w:val="24"/>
                <w:highlight w:val="none"/>
                <w:lang w:val="zh-CN" w:eastAsia="zh-CN"/>
              </w:rPr>
              <w:t>项目实施方案</w:t>
            </w:r>
            <w:r>
              <w:rPr>
                <w:rFonts w:hint="eastAsia"/>
                <w:color w:val="auto"/>
                <w:sz w:val="24"/>
                <w:szCs w:val="24"/>
              </w:rPr>
              <w:t>内容充分，有一定针对性，可执行力度较高的得</w:t>
            </w:r>
            <w:r>
              <w:rPr>
                <w:rFonts w:hint="eastAsia"/>
                <w:color w:val="auto"/>
                <w:sz w:val="24"/>
                <w:szCs w:val="24"/>
                <w:lang w:val="en-US" w:eastAsia="zh-CN"/>
              </w:rPr>
              <w:t>2</w:t>
            </w:r>
            <w:r>
              <w:rPr>
                <w:rFonts w:hint="eastAsia"/>
                <w:color w:val="auto"/>
                <w:sz w:val="24"/>
                <w:szCs w:val="24"/>
              </w:rPr>
              <w:t>分；</w:t>
            </w:r>
          </w:p>
          <w:p>
            <w:pPr>
              <w:widowControl/>
              <w:spacing w:line="0" w:lineRule="atLeast"/>
              <w:ind w:left="-69" w:leftChars="-33" w:firstLine="2"/>
              <w:rPr>
                <w:rFonts w:hint="eastAsia" w:eastAsia="宋体"/>
                <w:color w:val="auto"/>
                <w:sz w:val="24"/>
                <w:szCs w:val="24"/>
                <w:lang w:val="zh-CN" w:eastAsia="zh-CN"/>
              </w:rPr>
            </w:pPr>
            <w:r>
              <w:rPr>
                <w:rFonts w:hint="eastAsia"/>
                <w:color w:val="auto"/>
                <w:sz w:val="24"/>
                <w:szCs w:val="24"/>
              </w:rPr>
              <w:t>③</w:t>
            </w:r>
            <w:r>
              <w:rPr>
                <w:rFonts w:hint="eastAsia" w:ascii="宋体" w:hAnsi="宋体" w:eastAsia="宋体" w:cs="宋体"/>
                <w:color w:val="auto"/>
                <w:sz w:val="24"/>
                <w:szCs w:val="24"/>
                <w:highlight w:val="none"/>
                <w:lang w:val="zh-CN" w:eastAsia="zh-CN"/>
              </w:rPr>
              <w:t>项目实施方案</w:t>
            </w:r>
            <w:r>
              <w:rPr>
                <w:rFonts w:hint="eastAsia"/>
                <w:color w:val="auto"/>
                <w:sz w:val="24"/>
                <w:szCs w:val="24"/>
              </w:rPr>
              <w:t>内容简单，缺乏针对性，可执行力低的得1分</w:t>
            </w:r>
            <w:r>
              <w:rPr>
                <w:rFonts w:hint="eastAsia"/>
                <w:color w:val="auto"/>
                <w:sz w:val="24"/>
                <w:szCs w:val="24"/>
                <w:lang w:eastAsia="zh-CN"/>
              </w:rPr>
              <w:t>。</w:t>
            </w:r>
          </w:p>
        </w:tc>
        <w:tc>
          <w:tcPr>
            <w:tcW w:w="720" w:type="dxa"/>
            <w:noWrap w:val="0"/>
            <w:vAlign w:val="center"/>
          </w:tcPr>
          <w:p>
            <w:pPr>
              <w:adjustRightInd/>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p>
        </w:tc>
        <w:tc>
          <w:tcPr>
            <w:tcW w:w="1005" w:type="dxa"/>
            <w:noWrap w:val="0"/>
            <w:vAlign w:val="center"/>
          </w:tcPr>
          <w:p>
            <w:pPr>
              <w:adjustRightInd/>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主观分</w:t>
            </w:r>
          </w:p>
        </w:tc>
        <w:tc>
          <w:tcPr>
            <w:tcW w:w="1665" w:type="dxa"/>
            <w:noWrap w:val="0"/>
            <w:vAlign w:val="center"/>
          </w:tcPr>
          <w:p>
            <w:pPr>
              <w:adjustRightInd/>
              <w:jc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35"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6360" w:type="dxa"/>
            <w:noWrap w:val="0"/>
            <w:vAlign w:val="center"/>
          </w:tcPr>
          <w:p>
            <w:pPr>
              <w:spacing w:line="0" w:lineRule="atLeast"/>
              <w:rPr>
                <w:color w:val="auto"/>
                <w:sz w:val="24"/>
                <w:szCs w:val="24"/>
              </w:rPr>
            </w:pPr>
            <w:r>
              <w:rPr>
                <w:rFonts w:hint="eastAsia"/>
                <w:color w:val="auto"/>
                <w:sz w:val="24"/>
                <w:szCs w:val="24"/>
              </w:rPr>
              <w:t>根据投标单位提供的对项目重点、难点进行分析，提出先进、合理的建议和措施，解决方案完整、经济、安全、切实可行，措施得力进行评议（</w:t>
            </w:r>
            <w:r>
              <w:rPr>
                <w:rFonts w:hint="eastAsia"/>
                <w:color w:val="auto"/>
                <w:sz w:val="24"/>
                <w:szCs w:val="24"/>
                <w:lang w:val="en-US" w:eastAsia="zh-CN"/>
              </w:rPr>
              <w:t>4</w:t>
            </w:r>
            <w:r>
              <w:rPr>
                <w:rFonts w:hint="eastAsia"/>
                <w:color w:val="auto"/>
                <w:sz w:val="24"/>
                <w:szCs w:val="24"/>
              </w:rPr>
              <w:t>分）</w:t>
            </w:r>
          </w:p>
          <w:p>
            <w:pPr>
              <w:spacing w:line="0" w:lineRule="atLeast"/>
              <w:rPr>
                <w:color w:val="auto"/>
                <w:sz w:val="24"/>
                <w:szCs w:val="24"/>
              </w:rPr>
            </w:pPr>
            <w:r>
              <w:rPr>
                <w:rFonts w:hint="eastAsia"/>
                <w:color w:val="auto"/>
                <w:sz w:val="24"/>
                <w:szCs w:val="24"/>
              </w:rPr>
              <w:t>①建议和措施合理</w:t>
            </w:r>
            <w:r>
              <w:rPr>
                <w:rFonts w:hint="eastAsia"/>
                <w:color w:val="auto"/>
                <w:sz w:val="24"/>
                <w:szCs w:val="24"/>
                <w:lang w:eastAsia="zh-CN"/>
              </w:rPr>
              <w:t>的</w:t>
            </w:r>
            <w:r>
              <w:rPr>
                <w:rFonts w:hint="eastAsia"/>
                <w:color w:val="auto"/>
                <w:sz w:val="24"/>
                <w:szCs w:val="24"/>
              </w:rPr>
              <w:t>，解决方案完整、经济、安全、切实可行，措施得力的得</w:t>
            </w:r>
            <w:r>
              <w:rPr>
                <w:rFonts w:hint="eastAsia"/>
                <w:color w:val="auto"/>
                <w:sz w:val="24"/>
                <w:szCs w:val="24"/>
                <w:lang w:val="en-US" w:eastAsia="zh-CN"/>
              </w:rPr>
              <w:t>4</w:t>
            </w:r>
            <w:r>
              <w:rPr>
                <w:rFonts w:hint="eastAsia"/>
                <w:color w:val="auto"/>
                <w:sz w:val="24"/>
                <w:szCs w:val="24"/>
              </w:rPr>
              <w:t>分；</w:t>
            </w:r>
          </w:p>
          <w:p>
            <w:pPr>
              <w:spacing w:line="0" w:lineRule="atLeast"/>
              <w:rPr>
                <w:color w:val="auto"/>
                <w:sz w:val="24"/>
                <w:szCs w:val="24"/>
              </w:rPr>
            </w:pPr>
            <w:r>
              <w:rPr>
                <w:rFonts w:hint="eastAsia"/>
                <w:color w:val="auto"/>
                <w:sz w:val="24"/>
                <w:szCs w:val="24"/>
              </w:rPr>
              <w:t>②建议和措施较合理</w:t>
            </w:r>
            <w:r>
              <w:rPr>
                <w:rFonts w:hint="eastAsia"/>
                <w:color w:val="auto"/>
                <w:sz w:val="24"/>
                <w:szCs w:val="24"/>
                <w:lang w:eastAsia="zh-CN"/>
              </w:rPr>
              <w:t>的</w:t>
            </w:r>
            <w:r>
              <w:rPr>
                <w:rFonts w:hint="eastAsia"/>
                <w:color w:val="auto"/>
                <w:sz w:val="24"/>
                <w:szCs w:val="24"/>
              </w:rPr>
              <w:t>，解决方案较完整、较经济、较安全、较可行，措施较得力的得</w:t>
            </w:r>
            <w:r>
              <w:rPr>
                <w:rFonts w:hint="eastAsia"/>
                <w:color w:val="auto"/>
                <w:sz w:val="24"/>
                <w:szCs w:val="24"/>
                <w:lang w:val="en-US" w:eastAsia="zh-CN"/>
              </w:rPr>
              <w:t>2</w:t>
            </w:r>
            <w:r>
              <w:rPr>
                <w:rFonts w:hint="eastAsia"/>
                <w:color w:val="auto"/>
                <w:sz w:val="24"/>
                <w:szCs w:val="24"/>
              </w:rPr>
              <w:t>分；</w:t>
            </w:r>
          </w:p>
          <w:p>
            <w:pPr>
              <w:spacing w:line="0" w:lineRule="atLeast"/>
              <w:rPr>
                <w:rFonts w:hint="eastAsia" w:ascii="宋体" w:hAnsi="宋体" w:eastAsia="宋体" w:cs="宋体"/>
                <w:color w:val="auto"/>
                <w:sz w:val="24"/>
                <w:szCs w:val="24"/>
                <w:highlight w:val="none"/>
                <w:lang w:val="zh-CN" w:eastAsia="zh-CN"/>
              </w:rPr>
            </w:pPr>
            <w:r>
              <w:rPr>
                <w:rFonts w:hint="eastAsia"/>
                <w:color w:val="auto"/>
                <w:sz w:val="24"/>
                <w:szCs w:val="24"/>
              </w:rPr>
              <w:t>③建议和措施不合理</w:t>
            </w:r>
            <w:r>
              <w:rPr>
                <w:rFonts w:hint="eastAsia"/>
                <w:color w:val="auto"/>
                <w:sz w:val="24"/>
                <w:szCs w:val="24"/>
                <w:lang w:val="en-US" w:eastAsia="zh-CN"/>
              </w:rPr>
              <w:t>的</w:t>
            </w:r>
            <w:r>
              <w:rPr>
                <w:rFonts w:hint="eastAsia"/>
                <w:color w:val="auto"/>
                <w:sz w:val="24"/>
                <w:szCs w:val="24"/>
              </w:rPr>
              <w:t>，解决方案不完整、不经济、不安全、不可行，措施不可操作的得1分</w:t>
            </w:r>
            <w:r>
              <w:rPr>
                <w:rFonts w:hint="eastAsia"/>
                <w:color w:val="auto"/>
                <w:sz w:val="24"/>
                <w:szCs w:val="24"/>
                <w:lang w:eastAsia="zh-CN"/>
              </w:rPr>
              <w:t>。</w:t>
            </w:r>
          </w:p>
        </w:tc>
        <w:tc>
          <w:tcPr>
            <w:tcW w:w="720" w:type="dxa"/>
            <w:noWrap w:val="0"/>
            <w:vAlign w:val="center"/>
          </w:tcPr>
          <w:p>
            <w:pPr>
              <w:adjustRightInd/>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005" w:type="dxa"/>
            <w:noWrap w:val="0"/>
            <w:vAlign w:val="center"/>
          </w:tcPr>
          <w:p>
            <w:pPr>
              <w:adjustRightInd/>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主观分</w:t>
            </w:r>
          </w:p>
        </w:tc>
        <w:tc>
          <w:tcPr>
            <w:tcW w:w="1665" w:type="dxa"/>
            <w:noWrap w:val="0"/>
            <w:vAlign w:val="center"/>
          </w:tcPr>
          <w:p>
            <w:pPr>
              <w:adjustRightInd/>
              <w:jc w:val="center"/>
              <w:rPr>
                <w:rFonts w:hint="eastAsia" w:ascii="宋体" w:hAnsi="宋体" w:eastAsia="宋体" w:cs="宋体"/>
                <w:color w:val="auto"/>
                <w:sz w:val="24"/>
                <w:szCs w:val="24"/>
                <w:highlight w:val="none"/>
                <w:lang w:val="zh-CN" w:eastAsia="zh-CN"/>
              </w:rPr>
            </w:pPr>
            <w:r>
              <w:rPr>
                <w:rFonts w:hint="eastAsia" w:ascii="宋体" w:hAnsi="宋体" w:cs="宋体"/>
                <w:color w:val="auto"/>
                <w:sz w:val="24"/>
                <w:szCs w:val="24"/>
                <w:highlight w:val="none"/>
                <w:lang w:val="zh-CN" w:eastAsia="zh-CN"/>
              </w:rPr>
              <w:t>重难点分析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exact"/>
        </w:trPr>
        <w:tc>
          <w:tcPr>
            <w:tcW w:w="735"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6360" w:type="dxa"/>
            <w:noWrap w:val="0"/>
            <w:vAlign w:val="center"/>
          </w:tcPr>
          <w:p>
            <w:pPr>
              <w:adjustRightInd/>
              <w:jc w:val="left"/>
              <w:rPr>
                <w:rFonts w:hint="eastAsia" w:ascii="宋体" w:hAnsi="宋体" w:eastAsia="宋体" w:cs="宋体"/>
                <w:color w:val="auto"/>
                <w:sz w:val="24"/>
                <w:szCs w:val="24"/>
              </w:rPr>
            </w:pPr>
            <w:r>
              <w:rPr>
                <w:rFonts w:hint="eastAsia" w:ascii="宋体" w:hAnsi="宋体" w:cs="宋体"/>
                <w:b w:val="0"/>
                <w:bCs/>
                <w:color w:val="auto"/>
                <w:sz w:val="24"/>
                <w:szCs w:val="24"/>
                <w:lang w:eastAsia="zh-CN"/>
              </w:rPr>
              <w:t>根据投标人提供的</w:t>
            </w:r>
            <w:r>
              <w:rPr>
                <w:rFonts w:hint="eastAsia" w:ascii="宋体" w:hAnsi="宋体" w:eastAsia="宋体" w:cs="宋体"/>
                <w:b w:val="0"/>
                <w:bCs/>
                <w:color w:val="auto"/>
                <w:sz w:val="24"/>
                <w:szCs w:val="24"/>
                <w:lang w:eastAsia="zh-CN"/>
              </w:rPr>
              <w:t>供货、</w:t>
            </w:r>
            <w:r>
              <w:rPr>
                <w:rFonts w:hint="eastAsia" w:ascii="宋体" w:hAnsi="宋体" w:eastAsia="宋体" w:cs="宋体"/>
                <w:b w:val="0"/>
                <w:bCs/>
                <w:color w:val="auto"/>
                <w:sz w:val="24"/>
                <w:szCs w:val="24"/>
              </w:rPr>
              <w:t>安装、调试、验收方案和措施</w:t>
            </w:r>
            <w:r>
              <w:rPr>
                <w:rFonts w:hint="eastAsia" w:ascii="宋体" w:hAnsi="宋体" w:eastAsia="宋体" w:cs="宋体"/>
                <w:color w:val="auto"/>
                <w:sz w:val="24"/>
                <w:szCs w:val="24"/>
              </w:rPr>
              <w:t>科学有效的</w:t>
            </w:r>
            <w:r>
              <w:rPr>
                <w:rFonts w:hint="eastAsia" w:ascii="宋体" w:hAnsi="宋体" w:eastAsia="宋体" w:cs="宋体"/>
                <w:color w:val="auto"/>
                <w:sz w:val="24"/>
                <w:szCs w:val="24"/>
                <w:highlight w:val="none"/>
                <w:lang w:val="zh-CN" w:eastAsia="zh-CN"/>
              </w:rPr>
              <w:t>内容</w:t>
            </w:r>
            <w:r>
              <w:rPr>
                <w:rFonts w:hint="eastAsia" w:ascii="宋体" w:hAnsi="宋体" w:cs="宋体"/>
                <w:color w:val="auto"/>
                <w:sz w:val="24"/>
                <w:szCs w:val="24"/>
                <w:highlight w:val="none"/>
                <w:lang w:val="zh-CN" w:eastAsia="zh-CN"/>
              </w:rPr>
              <w:t>进行</w:t>
            </w:r>
            <w:r>
              <w:rPr>
                <w:rFonts w:hint="eastAsia" w:ascii="宋体" w:hAnsi="宋体" w:eastAsia="宋体" w:cs="宋体"/>
                <w:color w:val="auto"/>
                <w:sz w:val="24"/>
                <w:szCs w:val="24"/>
                <w:highlight w:val="none"/>
                <w:lang w:val="zh-CN" w:eastAsia="zh-CN"/>
              </w:rPr>
              <w:t>打分</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4分</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p>
          <w:p>
            <w:pPr>
              <w:widowControl/>
              <w:spacing w:line="0" w:lineRule="atLeast"/>
              <w:ind w:left="-69" w:leftChars="-33" w:firstLine="2"/>
              <w:rPr>
                <w:color w:val="auto"/>
                <w:sz w:val="24"/>
                <w:szCs w:val="24"/>
              </w:rPr>
            </w:pPr>
            <w:r>
              <w:rPr>
                <w:rFonts w:hint="eastAsia"/>
                <w:color w:val="auto"/>
                <w:sz w:val="24"/>
                <w:szCs w:val="24"/>
              </w:rPr>
              <w:t>①</w:t>
            </w:r>
            <w:r>
              <w:rPr>
                <w:rFonts w:hint="eastAsia" w:ascii="宋体" w:hAnsi="宋体" w:eastAsia="宋体" w:cs="宋体"/>
                <w:color w:val="auto"/>
                <w:sz w:val="24"/>
                <w:szCs w:val="24"/>
                <w:highlight w:val="none"/>
                <w:lang w:val="zh-CN" w:eastAsia="zh-CN"/>
              </w:rPr>
              <w:t>方案</w:t>
            </w:r>
            <w:r>
              <w:rPr>
                <w:rFonts w:hint="eastAsia"/>
                <w:color w:val="auto"/>
                <w:sz w:val="24"/>
                <w:szCs w:val="24"/>
              </w:rPr>
              <w:t>详实，针对性强，可执行力度高的得</w:t>
            </w:r>
            <w:r>
              <w:rPr>
                <w:rFonts w:hint="eastAsia"/>
                <w:color w:val="auto"/>
                <w:sz w:val="24"/>
                <w:szCs w:val="24"/>
                <w:lang w:val="en-US" w:eastAsia="zh-CN"/>
              </w:rPr>
              <w:t>4</w:t>
            </w:r>
            <w:r>
              <w:rPr>
                <w:rFonts w:hint="eastAsia"/>
                <w:color w:val="auto"/>
                <w:sz w:val="24"/>
                <w:szCs w:val="24"/>
              </w:rPr>
              <w:t>分；</w:t>
            </w:r>
          </w:p>
          <w:p>
            <w:pPr>
              <w:widowControl/>
              <w:spacing w:line="0" w:lineRule="atLeast"/>
              <w:ind w:left="-69" w:leftChars="-33" w:firstLine="2"/>
              <w:rPr>
                <w:color w:val="auto"/>
                <w:sz w:val="24"/>
                <w:szCs w:val="24"/>
              </w:rPr>
            </w:pPr>
            <w:r>
              <w:rPr>
                <w:rFonts w:hint="eastAsia"/>
                <w:color w:val="auto"/>
                <w:sz w:val="24"/>
                <w:szCs w:val="24"/>
              </w:rPr>
              <w:t>②</w:t>
            </w:r>
            <w:r>
              <w:rPr>
                <w:rFonts w:hint="eastAsia" w:ascii="宋体" w:hAnsi="宋体" w:eastAsia="宋体" w:cs="宋体"/>
                <w:color w:val="auto"/>
                <w:sz w:val="24"/>
                <w:szCs w:val="24"/>
                <w:highlight w:val="none"/>
                <w:lang w:val="zh-CN" w:eastAsia="zh-CN"/>
              </w:rPr>
              <w:t>方案</w:t>
            </w:r>
            <w:r>
              <w:rPr>
                <w:rFonts w:hint="eastAsia"/>
                <w:color w:val="auto"/>
                <w:sz w:val="24"/>
                <w:szCs w:val="24"/>
              </w:rPr>
              <w:t>内容充分，有一定针对性，可执行力度较高的得</w:t>
            </w:r>
            <w:r>
              <w:rPr>
                <w:rFonts w:hint="eastAsia"/>
                <w:color w:val="auto"/>
                <w:sz w:val="24"/>
                <w:szCs w:val="24"/>
                <w:lang w:val="en-US" w:eastAsia="zh-CN"/>
              </w:rPr>
              <w:t>2</w:t>
            </w:r>
            <w:r>
              <w:rPr>
                <w:rFonts w:hint="eastAsia"/>
                <w:color w:val="auto"/>
                <w:sz w:val="24"/>
                <w:szCs w:val="24"/>
              </w:rPr>
              <w:t>分；</w:t>
            </w:r>
          </w:p>
          <w:p>
            <w:pPr>
              <w:adjustRightInd/>
              <w:jc w:val="left"/>
              <w:rPr>
                <w:rFonts w:hint="eastAsia" w:ascii="宋体" w:hAnsi="宋体" w:eastAsia="宋体" w:cs="宋体"/>
                <w:color w:val="auto"/>
                <w:kern w:val="2"/>
                <w:sz w:val="24"/>
                <w:szCs w:val="24"/>
                <w:highlight w:val="none"/>
                <w:lang w:val="zh-CN" w:eastAsia="zh-CN" w:bidi="ar-SA"/>
              </w:rPr>
            </w:pPr>
            <w:r>
              <w:rPr>
                <w:rFonts w:hint="eastAsia"/>
                <w:color w:val="auto"/>
                <w:sz w:val="24"/>
                <w:szCs w:val="24"/>
              </w:rPr>
              <w:t>③</w:t>
            </w:r>
            <w:r>
              <w:rPr>
                <w:rFonts w:hint="eastAsia" w:ascii="宋体" w:hAnsi="宋体" w:eastAsia="宋体" w:cs="宋体"/>
                <w:color w:val="auto"/>
                <w:sz w:val="24"/>
                <w:szCs w:val="24"/>
                <w:highlight w:val="none"/>
                <w:lang w:val="zh-CN" w:eastAsia="zh-CN"/>
              </w:rPr>
              <w:t>方案</w:t>
            </w:r>
            <w:r>
              <w:rPr>
                <w:rFonts w:hint="eastAsia"/>
                <w:color w:val="auto"/>
                <w:sz w:val="24"/>
                <w:szCs w:val="24"/>
              </w:rPr>
              <w:t>内容简单，缺乏针对性，可执行力低的得1分</w:t>
            </w:r>
            <w:r>
              <w:rPr>
                <w:rFonts w:hint="eastAsia"/>
                <w:color w:val="auto"/>
                <w:sz w:val="24"/>
                <w:szCs w:val="24"/>
                <w:lang w:eastAsia="zh-CN"/>
              </w:rPr>
              <w:t>。</w:t>
            </w:r>
          </w:p>
        </w:tc>
        <w:tc>
          <w:tcPr>
            <w:tcW w:w="720" w:type="dxa"/>
            <w:noWrap w:val="0"/>
            <w:vAlign w:val="center"/>
          </w:tcPr>
          <w:p>
            <w:pPr>
              <w:adjustRightInd/>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p>
        </w:tc>
        <w:tc>
          <w:tcPr>
            <w:tcW w:w="1005" w:type="dxa"/>
            <w:noWrap w:val="0"/>
            <w:vAlign w:val="center"/>
          </w:tcPr>
          <w:p>
            <w:pPr>
              <w:adjustRightInd/>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主观分</w:t>
            </w:r>
          </w:p>
        </w:tc>
        <w:tc>
          <w:tcPr>
            <w:tcW w:w="1665" w:type="dxa"/>
            <w:noWrap w:val="0"/>
            <w:vAlign w:val="center"/>
          </w:tcPr>
          <w:p>
            <w:pPr>
              <w:adjustRightInd/>
              <w:jc w:val="center"/>
              <w:rPr>
                <w:rFonts w:hint="eastAsia" w:ascii="宋体" w:hAnsi="宋体" w:eastAsia="宋体" w:cs="宋体"/>
                <w:color w:val="auto"/>
                <w:sz w:val="24"/>
                <w:szCs w:val="24"/>
                <w:highlight w:val="none"/>
                <w:lang w:val="zh-CN" w:eastAsia="zh-CN"/>
              </w:rPr>
            </w:pPr>
          </w:p>
          <w:p>
            <w:pPr>
              <w:adjustRightInd/>
              <w:jc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安装、调试、验收的方案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exact"/>
        </w:trPr>
        <w:tc>
          <w:tcPr>
            <w:tcW w:w="735"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6360" w:type="dxa"/>
            <w:noWrap w:val="0"/>
            <w:vAlign w:val="center"/>
          </w:tcPr>
          <w:p>
            <w:pPr>
              <w:widowControl/>
              <w:spacing w:line="0" w:lineRule="atLeast"/>
              <w:ind w:left="-69" w:leftChars="-33" w:firstLine="2"/>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根据投标人的质量保证方案的全面性、合理性、有效性，由评委进行打分：</w:t>
            </w:r>
          </w:p>
          <w:p>
            <w:pPr>
              <w:widowControl/>
              <w:spacing w:line="0" w:lineRule="atLeast"/>
              <w:ind w:left="-69" w:leftChars="-33" w:firstLine="2"/>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质量保证方案详细、合理</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能够确保项目实施过程中的质量控制的，得</w:t>
            </w: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rPr>
              <w:t>分；</w:t>
            </w:r>
          </w:p>
          <w:p>
            <w:pPr>
              <w:widowControl/>
              <w:spacing w:line="0" w:lineRule="atLeast"/>
              <w:ind w:left="-69" w:leftChars="-33" w:firstLine="2"/>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质量保证方案相对较为简单，基本符合项目需求的，得</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rPr>
              <w:t>分；</w:t>
            </w:r>
          </w:p>
          <w:p>
            <w:pPr>
              <w:widowControl/>
              <w:spacing w:line="0" w:lineRule="atLeast"/>
              <w:ind w:left="-69" w:leftChars="-33" w:firstLine="2"/>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rPr>
              <w:t>质量保证方案内容粗略简陋，提出质量保障措施不可行或不符合项目需求的，得1分；</w:t>
            </w:r>
          </w:p>
        </w:tc>
        <w:tc>
          <w:tcPr>
            <w:tcW w:w="720"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005" w:type="dxa"/>
            <w:noWrap w:val="0"/>
            <w:vAlign w:val="center"/>
          </w:tcPr>
          <w:p>
            <w:pPr>
              <w:adjustRightInd/>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主观分</w:t>
            </w:r>
          </w:p>
        </w:tc>
        <w:tc>
          <w:tcPr>
            <w:tcW w:w="1665" w:type="dxa"/>
            <w:noWrap w:val="0"/>
            <w:vAlign w:val="center"/>
          </w:tcPr>
          <w:p>
            <w:pPr>
              <w:adjustRightInd/>
              <w:jc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highlight w:val="none"/>
                <w:lang w:val="zh-CN" w:eastAsia="zh-CN"/>
              </w:rPr>
              <w:t>质量</w:t>
            </w:r>
            <w:r>
              <w:rPr>
                <w:rFonts w:hint="eastAsia" w:ascii="宋体" w:hAnsi="宋体" w:cs="宋体"/>
                <w:color w:val="auto"/>
                <w:sz w:val="24"/>
                <w:highlight w:val="none"/>
                <w:lang w:val="en-US" w:eastAsia="zh-CN"/>
              </w:rPr>
              <w:t>保证</w:t>
            </w:r>
            <w:r>
              <w:rPr>
                <w:rFonts w:hint="eastAsia" w:ascii="宋体" w:hAnsi="宋体" w:eastAsia="宋体" w:cs="宋体"/>
                <w:color w:val="auto"/>
                <w:sz w:val="24"/>
                <w:highlight w:val="none"/>
                <w:lang w:val="zh-CN"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exact"/>
        </w:trPr>
        <w:tc>
          <w:tcPr>
            <w:tcW w:w="735" w:type="dxa"/>
            <w:noWrap w:val="0"/>
            <w:vAlign w:val="center"/>
          </w:tcPr>
          <w:p>
            <w:pPr>
              <w:adjustRightInd/>
              <w:jc w:val="center"/>
              <w:rPr>
                <w:rFonts w:hint="eastAsia" w:ascii="宋体" w:hAnsi="宋体" w:cs="宋体"/>
                <w:color w:val="auto"/>
                <w:sz w:val="24"/>
                <w:szCs w:val="24"/>
                <w:highlight w:val="none"/>
                <w:lang w:val="en-US" w:eastAsia="zh-CN"/>
              </w:rPr>
            </w:pPr>
          </w:p>
        </w:tc>
        <w:tc>
          <w:tcPr>
            <w:tcW w:w="6360" w:type="dxa"/>
            <w:noWrap w:val="0"/>
            <w:vAlign w:val="center"/>
          </w:tcPr>
          <w:p>
            <w:pPr>
              <w:widowControl/>
              <w:spacing w:line="0" w:lineRule="atLeast"/>
              <w:ind w:left="-69" w:leftChars="-33" w:firstLine="2"/>
              <w:rPr>
                <w:rFonts w:hint="eastAsia" w:ascii="Times New Roman" w:hAnsi="Times New Roman" w:eastAsia="宋体" w:cs="Times New Roman"/>
                <w:color w:val="auto"/>
                <w:sz w:val="24"/>
                <w:szCs w:val="24"/>
                <w:lang w:val="en-US"/>
              </w:rPr>
            </w:pPr>
            <w:r>
              <w:rPr>
                <w:rFonts w:hint="eastAsia" w:ascii="Times New Roman" w:hAnsi="Times New Roman" w:eastAsia="宋体" w:cs="Times New Roman"/>
                <w:color w:val="auto"/>
                <w:sz w:val="24"/>
                <w:szCs w:val="24"/>
                <w:lang w:val="en-US"/>
              </w:rPr>
              <w:t>根据投标单位所提供的技术培训内容进行评议，包括培训时间安排合理性、培训内容全面性、培训人员专业性、培训次数和培训场地安排合理性。</w:t>
            </w:r>
            <w:r>
              <w:rPr>
                <w:rFonts w:hint="eastAsia" w:ascii="Times New Roman" w:hAnsi="Times New Roman" w:eastAsia="宋体" w:cs="Times New Roman"/>
                <w:color w:val="auto"/>
                <w:sz w:val="24"/>
                <w:szCs w:val="24"/>
                <w:lang w:val="en-US"/>
              </w:rPr>
              <w:br w:type="textWrapping"/>
            </w:r>
            <w:r>
              <w:rPr>
                <w:rFonts w:hint="eastAsia" w:ascii="Times New Roman" w:hAnsi="Times New Roman" w:eastAsia="宋体" w:cs="Times New Roman"/>
                <w:color w:val="auto"/>
                <w:sz w:val="24"/>
                <w:szCs w:val="24"/>
                <w:lang w:val="en-US"/>
              </w:rPr>
              <w:t>①投标单位提供的培训内容合理、完整的得4分；</w:t>
            </w:r>
          </w:p>
          <w:p>
            <w:pPr>
              <w:widowControl/>
              <w:spacing w:line="0" w:lineRule="atLeast"/>
              <w:ind w:left="-69" w:leftChars="-33" w:firstLine="2"/>
              <w:rPr>
                <w:rFonts w:hint="eastAsia" w:ascii="Times New Roman" w:hAnsi="Times New Roman" w:eastAsia="宋体" w:cs="Times New Roman"/>
                <w:color w:val="auto"/>
                <w:sz w:val="24"/>
                <w:szCs w:val="24"/>
                <w:lang w:val="en-US"/>
              </w:rPr>
            </w:pPr>
            <w:r>
              <w:rPr>
                <w:rFonts w:hint="eastAsia" w:ascii="Times New Roman" w:hAnsi="Times New Roman" w:eastAsia="宋体" w:cs="Times New Roman"/>
                <w:color w:val="auto"/>
                <w:sz w:val="24"/>
                <w:szCs w:val="24"/>
                <w:lang w:val="en-US"/>
              </w:rPr>
              <w:t>②投标单位提供的培训内容较合理、较完整的得2分；</w:t>
            </w:r>
          </w:p>
          <w:p>
            <w:pPr>
              <w:widowControl/>
              <w:spacing w:line="0" w:lineRule="atLeast"/>
              <w:ind w:left="-69" w:leftChars="-33" w:firstLine="2"/>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③投标单位提供的培训内容不合理、不完整的得1分</w:t>
            </w:r>
            <w:r>
              <w:rPr>
                <w:rFonts w:hint="eastAsia" w:ascii="Times New Roman" w:hAnsi="Times New Roman" w:eastAsia="宋体" w:cs="Times New Roman"/>
                <w:color w:val="auto"/>
                <w:sz w:val="24"/>
                <w:szCs w:val="24"/>
                <w:lang w:eastAsia="zh-CN"/>
              </w:rPr>
              <w:t>。</w:t>
            </w:r>
          </w:p>
        </w:tc>
        <w:tc>
          <w:tcPr>
            <w:tcW w:w="720"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005" w:type="dxa"/>
            <w:noWrap w:val="0"/>
            <w:vAlign w:val="center"/>
          </w:tcPr>
          <w:p>
            <w:pPr>
              <w:adjustRightInd/>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主观分</w:t>
            </w:r>
          </w:p>
        </w:tc>
        <w:tc>
          <w:tcPr>
            <w:tcW w:w="1665" w:type="dxa"/>
            <w:noWrap w:val="0"/>
            <w:vAlign w:val="center"/>
          </w:tcPr>
          <w:p>
            <w:pPr>
              <w:adjustRightInd/>
              <w:jc w:val="center"/>
              <w:rPr>
                <w:rFonts w:hint="eastAsia" w:ascii="宋体" w:hAnsi="宋体" w:cs="宋体"/>
                <w:b/>
                <w:bCs/>
                <w:color w:val="auto"/>
                <w:szCs w:val="21"/>
                <w:lang w:bidi="ar"/>
              </w:rPr>
            </w:pPr>
            <w:r>
              <w:rPr>
                <w:rFonts w:hint="eastAsia" w:ascii="Times New Roman" w:hAnsi="Times New Roman" w:cs="Times New Roman"/>
                <w:b w:val="0"/>
                <w:bCs w:val="0"/>
                <w:snapToGrid/>
                <w:color w:val="auto"/>
                <w:sz w:val="21"/>
                <w:szCs w:val="24"/>
                <w:lang w:val="en-US"/>
              </w:rPr>
              <w:t>技术培训方案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735" w:type="dxa"/>
            <w:noWrap w:val="0"/>
            <w:vAlign w:val="center"/>
          </w:tcPr>
          <w:p>
            <w:pPr>
              <w:adjustRightInd/>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6360" w:type="dxa"/>
            <w:noWrap w:val="0"/>
            <w:vAlign w:val="center"/>
          </w:tcPr>
          <w:p>
            <w:pPr>
              <w:spacing w:line="0" w:lineRule="atLeast"/>
              <w:rPr>
                <w:rFonts w:ascii="宋体" w:hAnsi="宋体"/>
                <w:color w:val="auto"/>
                <w:sz w:val="24"/>
                <w:szCs w:val="24"/>
              </w:rPr>
            </w:pPr>
            <w:r>
              <w:rPr>
                <w:rFonts w:hint="eastAsia" w:ascii="宋体" w:hAnsi="宋体"/>
                <w:color w:val="auto"/>
                <w:sz w:val="24"/>
                <w:szCs w:val="24"/>
              </w:rPr>
              <w:t>针对</w:t>
            </w:r>
            <w:r>
              <w:rPr>
                <w:rFonts w:hint="eastAsia"/>
                <w:color w:val="auto"/>
                <w:sz w:val="24"/>
                <w:szCs w:val="24"/>
              </w:rPr>
              <w:t>投标单位</w:t>
            </w:r>
            <w:r>
              <w:rPr>
                <w:rFonts w:hint="eastAsia" w:ascii="宋体" w:hAnsi="宋体"/>
                <w:color w:val="auto"/>
                <w:sz w:val="24"/>
                <w:szCs w:val="24"/>
              </w:rPr>
              <w:t>提供的售后服务方案、承诺保障措施、响应时间等进行综合评议。</w:t>
            </w:r>
          </w:p>
          <w:p>
            <w:pPr>
              <w:pStyle w:val="25"/>
              <w:widowControl/>
              <w:spacing w:line="0" w:lineRule="atLeast"/>
              <w:rPr>
                <w:rFonts w:ascii="Times New Roman" w:hAnsi="Times New Roman" w:cs="Times New Roman"/>
                <w:snapToGrid/>
                <w:color w:val="auto"/>
                <w:sz w:val="24"/>
                <w:szCs w:val="24"/>
                <w:lang w:val="en-US"/>
              </w:rPr>
            </w:pPr>
            <w:r>
              <w:rPr>
                <w:rFonts w:hint="eastAsia" w:ascii="Times New Roman" w:hAnsi="Times New Roman" w:cs="Times New Roman"/>
                <w:snapToGrid/>
                <w:color w:val="auto"/>
                <w:sz w:val="24"/>
                <w:szCs w:val="24"/>
                <w:lang w:val="en-US"/>
              </w:rPr>
              <w:t>①投标单位提供的售后服务方案完整、承诺保障措施可行，响应时间及时的得</w:t>
            </w:r>
            <w:r>
              <w:rPr>
                <w:rFonts w:hint="eastAsia" w:ascii="Times New Roman" w:hAnsi="Times New Roman" w:cs="Times New Roman"/>
                <w:snapToGrid/>
                <w:color w:val="auto"/>
                <w:sz w:val="24"/>
                <w:szCs w:val="24"/>
                <w:lang w:val="en-US" w:eastAsia="zh-CN"/>
              </w:rPr>
              <w:t>4</w:t>
            </w:r>
            <w:r>
              <w:rPr>
                <w:rFonts w:hint="eastAsia" w:ascii="Times New Roman" w:hAnsi="Times New Roman" w:cs="Times New Roman"/>
                <w:snapToGrid/>
                <w:color w:val="auto"/>
                <w:sz w:val="24"/>
                <w:szCs w:val="24"/>
                <w:lang w:val="en-US"/>
              </w:rPr>
              <w:t>分；</w:t>
            </w:r>
          </w:p>
          <w:p>
            <w:pPr>
              <w:pStyle w:val="25"/>
              <w:widowControl/>
              <w:spacing w:line="0" w:lineRule="atLeast"/>
              <w:rPr>
                <w:rFonts w:ascii="Times New Roman" w:hAnsi="Times New Roman" w:cs="Times New Roman"/>
                <w:snapToGrid/>
                <w:color w:val="auto"/>
                <w:sz w:val="24"/>
                <w:szCs w:val="24"/>
                <w:lang w:val="en-US"/>
              </w:rPr>
            </w:pPr>
            <w:r>
              <w:rPr>
                <w:rFonts w:hint="eastAsia" w:ascii="Times New Roman" w:hAnsi="Times New Roman" w:cs="Times New Roman"/>
                <w:snapToGrid/>
                <w:color w:val="auto"/>
                <w:sz w:val="24"/>
                <w:szCs w:val="24"/>
                <w:lang w:val="en-US"/>
              </w:rPr>
              <w:t>②投标单位提供的售后服务方案较完整、承诺保障措施较可行，响应时间较及时的得2分；</w:t>
            </w:r>
          </w:p>
          <w:p>
            <w:pPr>
              <w:adjustRightInd/>
              <w:jc w:val="left"/>
              <w:rPr>
                <w:rFonts w:hint="eastAsia" w:ascii="宋体" w:hAnsi="宋体" w:eastAsia="宋体" w:cs="宋体"/>
                <w:b/>
                <w:color w:val="auto"/>
                <w:kern w:val="2"/>
                <w:sz w:val="24"/>
                <w:szCs w:val="24"/>
                <w:lang w:val="en-US" w:eastAsia="zh-CN" w:bidi="ar-SA"/>
              </w:rPr>
            </w:pPr>
            <w:r>
              <w:rPr>
                <w:rFonts w:hint="eastAsia" w:ascii="Times New Roman" w:hAnsi="Times New Roman" w:cs="Times New Roman"/>
                <w:snapToGrid/>
                <w:color w:val="auto"/>
                <w:sz w:val="24"/>
                <w:szCs w:val="24"/>
                <w:lang w:val="en-US"/>
              </w:rPr>
              <w:t>③投标单位提供的售后服务方案不完整、承诺保障措施不可行，响应时间不及时的得1分</w:t>
            </w:r>
            <w:r>
              <w:rPr>
                <w:rFonts w:hint="eastAsia" w:cs="Times New Roman"/>
                <w:snapToGrid/>
                <w:color w:val="auto"/>
                <w:sz w:val="24"/>
                <w:szCs w:val="24"/>
                <w:lang w:val="en-US" w:eastAsia="zh-CN"/>
              </w:rPr>
              <w:t>。</w:t>
            </w:r>
          </w:p>
        </w:tc>
        <w:tc>
          <w:tcPr>
            <w:tcW w:w="720" w:type="dxa"/>
            <w:noWrap w:val="0"/>
            <w:vAlign w:val="center"/>
          </w:tcPr>
          <w:p>
            <w:pPr>
              <w:adjustRightInd/>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p>
        </w:tc>
        <w:tc>
          <w:tcPr>
            <w:tcW w:w="1005" w:type="dxa"/>
            <w:noWrap w:val="0"/>
            <w:vAlign w:val="center"/>
          </w:tcPr>
          <w:p>
            <w:pPr>
              <w:adjustRightInd/>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主观分</w:t>
            </w:r>
          </w:p>
        </w:tc>
        <w:tc>
          <w:tcPr>
            <w:tcW w:w="1665" w:type="dxa"/>
            <w:noWrap w:val="0"/>
            <w:vAlign w:val="center"/>
          </w:tcPr>
          <w:p>
            <w:pPr>
              <w:adjustRightInd/>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售后服务</w:t>
            </w:r>
            <w:r>
              <w:rPr>
                <w:rFonts w:hint="eastAsia" w:ascii="宋体" w:hAnsi="宋体"/>
                <w:color w:val="auto"/>
                <w:sz w:val="24"/>
                <w:szCs w:val="24"/>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35" w:type="dxa"/>
            <w:noWrap w:val="0"/>
            <w:vAlign w:val="center"/>
          </w:tcPr>
          <w:p>
            <w:pPr>
              <w:adjustRightInd/>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6360" w:type="dxa"/>
            <w:noWrap w:val="0"/>
            <w:vAlign w:val="center"/>
          </w:tcPr>
          <w:p>
            <w:pPr>
              <w:adjustRightInd/>
              <w:jc w:val="left"/>
              <w:rPr>
                <w:rFonts w:hint="eastAsia" w:ascii="Times New Roman" w:hAnsi="Times New Roman" w:eastAsia="宋体" w:cs="Times New Roman"/>
                <w:snapToGrid/>
                <w:color w:val="auto"/>
                <w:sz w:val="24"/>
                <w:szCs w:val="24"/>
                <w:highlight w:val="none"/>
                <w:lang w:val="en-US" w:eastAsia="zh-CN"/>
              </w:rPr>
            </w:pPr>
            <w:r>
              <w:rPr>
                <w:rFonts w:hint="eastAsia" w:ascii="Times New Roman" w:hAnsi="Times New Roman" w:eastAsia="宋体" w:cs="Times New Roman"/>
                <w:snapToGrid/>
                <w:color w:val="auto"/>
                <w:sz w:val="24"/>
                <w:szCs w:val="24"/>
                <w:highlight w:val="none"/>
                <w:lang w:val="en-US"/>
              </w:rPr>
              <w:t>对本项目服务提出合理化建议的，根据建议的可行性内容由评审打分</w:t>
            </w:r>
            <w:r>
              <w:rPr>
                <w:rFonts w:hint="eastAsia" w:ascii="Times New Roman" w:hAnsi="Times New Roman" w:eastAsia="宋体" w:cs="Times New Roman"/>
                <w:snapToGrid/>
                <w:color w:val="auto"/>
                <w:sz w:val="24"/>
                <w:szCs w:val="24"/>
                <w:highlight w:val="none"/>
                <w:lang w:val="en-US" w:eastAsia="zh-CN"/>
              </w:rPr>
              <w:t>：</w:t>
            </w:r>
          </w:p>
          <w:p>
            <w:pPr>
              <w:adjustRightInd/>
              <w:jc w:val="left"/>
              <w:rPr>
                <w:rFonts w:hint="eastAsia" w:ascii="Times New Roman" w:hAnsi="Times New Roman" w:eastAsia="宋体" w:cs="Times New Roman"/>
                <w:snapToGrid/>
                <w:color w:val="auto"/>
                <w:sz w:val="24"/>
                <w:szCs w:val="24"/>
                <w:highlight w:val="none"/>
                <w:lang w:val="en-US"/>
              </w:rPr>
            </w:pPr>
            <w:r>
              <w:rPr>
                <w:rFonts w:hint="eastAsia" w:ascii="Times New Roman" w:hAnsi="Times New Roman" w:eastAsia="宋体" w:cs="Times New Roman"/>
                <w:snapToGrid/>
                <w:color w:val="auto"/>
                <w:sz w:val="24"/>
                <w:szCs w:val="24"/>
                <w:highlight w:val="none"/>
                <w:lang w:val="en-US"/>
              </w:rPr>
              <w:t>针对本项目建议合理</w:t>
            </w:r>
            <w:r>
              <w:rPr>
                <w:rFonts w:hint="eastAsia" w:ascii="Times New Roman" w:hAnsi="Times New Roman" w:eastAsia="宋体" w:cs="Times New Roman"/>
                <w:snapToGrid/>
                <w:color w:val="auto"/>
                <w:sz w:val="24"/>
                <w:szCs w:val="24"/>
                <w:highlight w:val="none"/>
                <w:lang w:val="en-US" w:eastAsia="zh-CN"/>
              </w:rPr>
              <w:t>、可行的</w:t>
            </w:r>
            <w:r>
              <w:rPr>
                <w:rFonts w:hint="eastAsia" w:ascii="Times New Roman" w:hAnsi="Times New Roman" w:eastAsia="宋体" w:cs="Times New Roman"/>
                <w:snapToGrid/>
                <w:color w:val="auto"/>
                <w:sz w:val="24"/>
                <w:szCs w:val="24"/>
                <w:highlight w:val="none"/>
                <w:lang w:val="en-US"/>
              </w:rPr>
              <w:t>得</w:t>
            </w:r>
            <w:r>
              <w:rPr>
                <w:rFonts w:hint="eastAsia" w:ascii="Times New Roman" w:hAnsi="Times New Roman" w:eastAsia="宋体" w:cs="Times New Roman"/>
                <w:snapToGrid/>
                <w:color w:val="auto"/>
                <w:sz w:val="24"/>
                <w:szCs w:val="24"/>
                <w:highlight w:val="none"/>
                <w:lang w:val="en-US" w:eastAsia="zh-CN"/>
              </w:rPr>
              <w:t>4</w:t>
            </w:r>
            <w:r>
              <w:rPr>
                <w:rFonts w:hint="eastAsia" w:ascii="Times New Roman" w:hAnsi="Times New Roman" w:eastAsia="宋体" w:cs="Times New Roman"/>
                <w:snapToGrid/>
                <w:color w:val="auto"/>
                <w:sz w:val="24"/>
                <w:szCs w:val="24"/>
                <w:highlight w:val="none"/>
                <w:lang w:val="en-US"/>
              </w:rPr>
              <w:t>分；</w:t>
            </w:r>
          </w:p>
          <w:p>
            <w:pPr>
              <w:adjustRightInd/>
              <w:jc w:val="left"/>
              <w:rPr>
                <w:rFonts w:hint="default" w:ascii="Times New Roman" w:hAnsi="Times New Roman" w:eastAsia="宋体" w:cs="Times New Roman"/>
                <w:snapToGrid/>
                <w:color w:val="auto"/>
                <w:sz w:val="24"/>
                <w:szCs w:val="24"/>
                <w:highlight w:val="none"/>
                <w:lang w:val="en-US" w:eastAsia="zh-CN"/>
              </w:rPr>
            </w:pPr>
            <w:r>
              <w:rPr>
                <w:rFonts w:hint="eastAsia" w:ascii="Times New Roman" w:hAnsi="Times New Roman" w:eastAsia="宋体" w:cs="Times New Roman"/>
                <w:snapToGrid/>
                <w:color w:val="auto"/>
                <w:sz w:val="24"/>
                <w:szCs w:val="24"/>
                <w:highlight w:val="none"/>
                <w:lang w:val="en-US"/>
              </w:rPr>
              <w:t>针对本项目建议</w:t>
            </w:r>
            <w:r>
              <w:rPr>
                <w:rFonts w:hint="eastAsia" w:ascii="Times New Roman" w:hAnsi="Times New Roman" w:eastAsia="宋体" w:cs="Times New Roman"/>
                <w:snapToGrid/>
                <w:color w:val="auto"/>
                <w:sz w:val="24"/>
                <w:szCs w:val="24"/>
                <w:highlight w:val="none"/>
                <w:lang w:val="en-US" w:eastAsia="zh-CN"/>
              </w:rPr>
              <w:t>基本可行的得2分</w:t>
            </w:r>
          </w:p>
          <w:p>
            <w:pPr>
              <w:adjustRightInd/>
              <w:jc w:val="left"/>
              <w:rPr>
                <w:rFonts w:hint="eastAsia" w:ascii="宋体" w:hAnsi="宋体" w:eastAsia="宋体" w:cs="宋体"/>
                <w:color w:val="auto"/>
                <w:kern w:val="0"/>
                <w:sz w:val="21"/>
                <w:szCs w:val="21"/>
                <w:highlight w:val="none"/>
                <w:lang w:val="en-US" w:eastAsia="zh-CN" w:bidi="ar-SA"/>
              </w:rPr>
            </w:pPr>
            <w:r>
              <w:rPr>
                <w:rFonts w:hint="eastAsia" w:ascii="Times New Roman" w:hAnsi="Times New Roman" w:eastAsia="宋体" w:cs="Times New Roman"/>
                <w:snapToGrid/>
                <w:color w:val="auto"/>
                <w:sz w:val="24"/>
                <w:szCs w:val="24"/>
                <w:highlight w:val="none"/>
                <w:lang w:val="en-US"/>
              </w:rPr>
              <w:t>针对本项目建议</w:t>
            </w:r>
            <w:r>
              <w:rPr>
                <w:rFonts w:hint="eastAsia" w:ascii="Times New Roman" w:hAnsi="Times New Roman" w:eastAsia="宋体" w:cs="Times New Roman"/>
                <w:snapToGrid/>
                <w:color w:val="auto"/>
                <w:sz w:val="24"/>
                <w:szCs w:val="24"/>
                <w:highlight w:val="none"/>
                <w:lang w:val="en-US" w:eastAsia="zh-CN"/>
              </w:rPr>
              <w:t>不太可行的得1</w:t>
            </w:r>
            <w:r>
              <w:rPr>
                <w:rFonts w:hint="eastAsia" w:ascii="Times New Roman" w:hAnsi="Times New Roman" w:eastAsia="宋体" w:cs="Times New Roman"/>
                <w:snapToGrid/>
                <w:color w:val="auto"/>
                <w:sz w:val="24"/>
                <w:szCs w:val="24"/>
                <w:highlight w:val="none"/>
                <w:lang w:val="en-US"/>
              </w:rPr>
              <w:t>分；</w:t>
            </w:r>
          </w:p>
        </w:tc>
        <w:tc>
          <w:tcPr>
            <w:tcW w:w="720" w:type="dxa"/>
            <w:noWrap w:val="0"/>
            <w:vAlign w:val="center"/>
          </w:tcPr>
          <w:p>
            <w:pPr>
              <w:jc w:val="cente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4</w:t>
            </w:r>
          </w:p>
        </w:tc>
        <w:tc>
          <w:tcPr>
            <w:tcW w:w="1005" w:type="dxa"/>
            <w:noWrap w:val="0"/>
            <w:vAlign w:val="center"/>
          </w:tcPr>
          <w:p>
            <w:pPr>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主</w:t>
            </w:r>
            <w:r>
              <w:rPr>
                <w:rFonts w:hint="eastAsia" w:ascii="宋体" w:hAnsi="宋体" w:cs="宋体"/>
                <w:color w:val="auto"/>
                <w:kern w:val="0"/>
                <w:sz w:val="21"/>
                <w:szCs w:val="21"/>
                <w:highlight w:val="none"/>
              </w:rPr>
              <w:t>观分</w:t>
            </w:r>
          </w:p>
        </w:tc>
        <w:tc>
          <w:tcPr>
            <w:tcW w:w="1665" w:type="dxa"/>
            <w:noWrap w:val="0"/>
            <w:vAlign w:val="center"/>
          </w:tcPr>
          <w:p>
            <w:pPr>
              <w:jc w:val="center"/>
              <w:rPr>
                <w:rFonts w:hint="eastAsia" w:ascii="宋体" w:hAnsi="宋体" w:eastAsia="宋体" w:cs="宋体"/>
                <w:color w:val="auto"/>
                <w:kern w:val="0"/>
                <w:sz w:val="21"/>
                <w:szCs w:val="21"/>
                <w:highlight w:val="none"/>
                <w:lang w:val="zh-CN" w:eastAsia="zh-CN" w:bidi="ar-SA"/>
              </w:rPr>
            </w:pPr>
            <w:r>
              <w:rPr>
                <w:rFonts w:hint="eastAsia" w:ascii="宋体" w:hAnsi="宋体" w:cs="宋体"/>
                <w:color w:val="auto"/>
                <w:sz w:val="21"/>
                <w:szCs w:val="21"/>
                <w:highlight w:val="none"/>
              </w:rPr>
              <w:t>合理化建议</w:t>
            </w:r>
            <w:r>
              <w:rPr>
                <w:rFonts w:hint="eastAsia" w:ascii="宋体" w:hAnsi="宋体" w:cs="仿宋"/>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35" w:type="dxa"/>
            <w:noWrap w:val="0"/>
            <w:vAlign w:val="center"/>
          </w:tcPr>
          <w:p>
            <w:pPr>
              <w:adjustRightInd/>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6360" w:type="dxa"/>
            <w:noWrap w:val="0"/>
            <w:vAlign w:val="center"/>
          </w:tcPr>
          <w:p>
            <w:pPr>
              <w:pStyle w:val="25"/>
              <w:spacing w:line="240" w:lineRule="auto"/>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zh-CN" w:eastAsia="zh-TW"/>
              </w:rPr>
              <w:t>项目负责人</w:t>
            </w:r>
            <w:r>
              <w:rPr>
                <w:rFonts w:hint="eastAsia" w:ascii="宋体" w:hAnsi="宋体" w:eastAsia="宋体" w:cs="宋体"/>
                <w:color w:val="auto"/>
                <w:sz w:val="24"/>
                <w:highlight w:val="none"/>
                <w:lang w:val="zh-CN" w:eastAsia="zh-CN"/>
              </w:rPr>
              <w:t>：机电工程建造师一级的得</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zh-CN" w:eastAsia="zh-CN"/>
              </w:rPr>
              <w:t>分；机电工程建造师二级的得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zh-CN" w:eastAsia="zh-CN"/>
              </w:rPr>
              <w:t>分；没有的不得分。</w:t>
            </w:r>
          </w:p>
          <w:p>
            <w:pPr>
              <w:pStyle w:val="25"/>
              <w:spacing w:line="240" w:lineRule="auto"/>
              <w:rPr>
                <w:rFonts w:hint="eastAsia" w:ascii="宋体" w:hAnsi="Arial" w:eastAsia="宋体" w:cs="Arial"/>
                <w:snapToGrid w:val="0"/>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（提供相关专业证书复印件和近三个月的社保证明，缺一不得分）（0-</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zh-CN" w:eastAsia="zh-CN"/>
              </w:rPr>
              <w:t>分）</w:t>
            </w:r>
          </w:p>
        </w:tc>
        <w:tc>
          <w:tcPr>
            <w:tcW w:w="72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4</w:t>
            </w:r>
          </w:p>
        </w:tc>
        <w:tc>
          <w:tcPr>
            <w:tcW w:w="100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客观</w:t>
            </w:r>
            <w:r>
              <w:rPr>
                <w:rFonts w:hint="eastAsia" w:ascii="宋体" w:hAnsi="宋体" w:cs="宋体"/>
                <w:color w:val="auto"/>
                <w:sz w:val="24"/>
                <w:highlight w:val="none"/>
              </w:rPr>
              <w:t>分</w:t>
            </w:r>
          </w:p>
        </w:tc>
        <w:tc>
          <w:tcPr>
            <w:tcW w:w="1665" w:type="dxa"/>
            <w:noWrap w:val="0"/>
            <w:vAlign w:val="center"/>
          </w:tcPr>
          <w:p>
            <w:pPr>
              <w:adjustRightInd/>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TW"/>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35"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6360" w:type="dxa"/>
            <w:noWrap w:val="0"/>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zh-CN" w:eastAsia="zh-CN"/>
              </w:rPr>
              <w:t>项目技术负责人：具有</w:t>
            </w:r>
            <w:r>
              <w:rPr>
                <w:rFonts w:hint="eastAsia" w:ascii="宋体" w:hAnsi="宋体" w:eastAsia="宋体" w:cs="宋体"/>
                <w:color w:val="auto"/>
                <w:sz w:val="24"/>
                <w:highlight w:val="none"/>
                <w:lang w:val="en-US" w:eastAsia="zh-CN"/>
              </w:rPr>
              <w:t>注册环保</w:t>
            </w:r>
            <w:r>
              <w:rPr>
                <w:rFonts w:hint="eastAsia" w:ascii="宋体" w:hAnsi="宋体" w:eastAsia="宋体" w:cs="宋体"/>
                <w:color w:val="auto"/>
                <w:sz w:val="24"/>
                <w:highlight w:val="none"/>
                <w:lang w:val="zh-CN" w:eastAsia="zh-CN"/>
              </w:rPr>
              <w:t>工程师职称的得2分，没有的不得分。</w:t>
            </w:r>
          </w:p>
          <w:p>
            <w:pPr>
              <w:keepNext w:val="0"/>
              <w:keepLines w:val="0"/>
              <w:pageBreakBefore w:val="0"/>
              <w:kinsoku/>
              <w:wordWrap/>
              <w:overflowPunct/>
              <w:topLinePunct w:val="0"/>
              <w:autoSpaceDE/>
              <w:autoSpaceDN/>
              <w:bidi w:val="0"/>
              <w:spacing w:line="240" w:lineRule="auto"/>
              <w:jc w:val="left"/>
              <w:rPr>
                <w:rFonts w:hint="eastAsia" w:hAnsi="宋体"/>
                <w:color w:val="auto"/>
                <w:sz w:val="24"/>
                <w:szCs w:val="24"/>
                <w:highlight w:val="none"/>
                <w:lang w:eastAsia="zh-CN"/>
              </w:rPr>
            </w:pPr>
            <w:r>
              <w:rPr>
                <w:rFonts w:hint="eastAsia" w:ascii="宋体" w:hAnsi="宋体" w:eastAsia="宋体" w:cs="宋体"/>
                <w:color w:val="auto"/>
                <w:sz w:val="24"/>
                <w:highlight w:val="none"/>
                <w:lang w:val="zh-CN" w:eastAsia="zh-CN"/>
              </w:rPr>
              <w:t>（提供证书复印件加盖单位公章和近三个月社保证明，</w:t>
            </w:r>
            <w:r>
              <w:rPr>
                <w:rFonts w:hint="eastAsia" w:ascii="宋体" w:hAnsi="宋体" w:eastAsia="宋体" w:cs="宋体"/>
                <w:color w:val="auto"/>
                <w:sz w:val="24"/>
                <w:highlight w:val="none"/>
                <w:lang w:val="en-US" w:eastAsia="zh-CN"/>
              </w:rPr>
              <w:t>缺一不得分</w:t>
            </w:r>
            <w:r>
              <w:rPr>
                <w:rFonts w:hint="eastAsia" w:ascii="宋体" w:hAnsi="宋体" w:eastAsia="宋体" w:cs="宋体"/>
                <w:color w:val="auto"/>
                <w:sz w:val="24"/>
                <w:highlight w:val="none"/>
                <w:lang w:val="zh-CN" w:eastAsia="zh-CN"/>
              </w:rPr>
              <w:t>）（0-2分）</w:t>
            </w:r>
          </w:p>
        </w:tc>
        <w:tc>
          <w:tcPr>
            <w:tcW w:w="72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2</w:t>
            </w:r>
          </w:p>
        </w:tc>
        <w:tc>
          <w:tcPr>
            <w:tcW w:w="100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客观</w:t>
            </w:r>
            <w:r>
              <w:rPr>
                <w:rFonts w:hint="eastAsia" w:ascii="宋体" w:hAnsi="宋体" w:cs="宋体"/>
                <w:color w:val="auto"/>
                <w:sz w:val="24"/>
                <w:highlight w:val="none"/>
              </w:rPr>
              <w:t>分</w:t>
            </w:r>
          </w:p>
        </w:tc>
        <w:tc>
          <w:tcPr>
            <w:tcW w:w="166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技术负责人</w:t>
            </w:r>
            <w:r>
              <w:rPr>
                <w:rFonts w:hint="eastAsia" w:ascii="宋体" w:hAnsi="宋体" w:cs="宋体"/>
                <w:color w:val="auto"/>
                <w:kern w:val="0"/>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35"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6360" w:type="dxa"/>
            <w:noWrap w:val="0"/>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投标人获得县级及以上政府部门颁布质量奖的得2分；</w:t>
            </w:r>
            <w:r>
              <w:rPr>
                <w:rFonts w:hint="eastAsia" w:ascii="宋体" w:hAnsi="宋体" w:eastAsia="宋体" w:cs="宋体"/>
                <w:color w:val="auto"/>
                <w:sz w:val="24"/>
                <w:highlight w:val="none"/>
                <w:lang w:val="zh-CN" w:eastAsia="zh-CN"/>
              </w:rPr>
              <w:t>各类协会除外</w:t>
            </w:r>
            <w:r>
              <w:rPr>
                <w:rFonts w:hint="eastAsia" w:ascii="宋体" w:hAnsi="宋体" w:eastAsia="宋体" w:cs="宋体"/>
                <w:color w:val="auto"/>
                <w:sz w:val="24"/>
                <w:highlight w:val="none"/>
                <w:lang w:val="en-US" w:eastAsia="zh-CN"/>
              </w:rPr>
              <w:t>（需提供红头文件或证书复印件并加盖公章，否则不得分）（0-2分）</w:t>
            </w:r>
          </w:p>
        </w:tc>
        <w:tc>
          <w:tcPr>
            <w:tcW w:w="72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100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客观</w:t>
            </w:r>
            <w:r>
              <w:rPr>
                <w:rFonts w:hint="eastAsia" w:ascii="宋体" w:hAnsi="宋体" w:cs="宋体"/>
                <w:color w:val="auto"/>
                <w:sz w:val="24"/>
                <w:highlight w:val="none"/>
              </w:rPr>
              <w:t>分</w:t>
            </w:r>
          </w:p>
        </w:tc>
        <w:tc>
          <w:tcPr>
            <w:tcW w:w="166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zh-CN" w:eastAsia="zh-CN"/>
              </w:rPr>
              <w:t>质量保障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35"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6360" w:type="dxa"/>
            <w:noWrap w:val="0"/>
            <w:vAlign w:val="center"/>
          </w:tcPr>
          <w:p>
            <w:pPr>
              <w:adjustRightInd/>
              <w:jc w:val="left"/>
              <w:rPr>
                <w:rFonts w:hint="eastAsia" w:ascii="宋体" w:hAnsi="宋体" w:eastAsia="宋体" w:cs="宋体"/>
                <w:b/>
                <w:color w:val="auto"/>
                <w:kern w:val="2"/>
                <w:sz w:val="24"/>
                <w:szCs w:val="24"/>
                <w:lang w:val="en-US" w:eastAsia="zh-CN" w:bidi="ar-SA"/>
              </w:rPr>
            </w:pPr>
            <w:r>
              <w:rPr>
                <w:rFonts w:hint="eastAsia" w:ascii="宋体" w:hAnsi="宋体" w:eastAsia="宋体" w:cs="宋体"/>
                <w:bCs/>
                <w:color w:val="auto"/>
                <w:sz w:val="24"/>
                <w:szCs w:val="24"/>
                <w:highlight w:val="none"/>
              </w:rPr>
              <w:t>投标人20</w:t>
            </w:r>
            <w:r>
              <w:rPr>
                <w:rFonts w:hint="eastAsia" w:ascii="宋体" w:hAnsi="宋体" w:eastAsia="宋体" w:cs="宋体"/>
                <w:bCs/>
                <w:color w:val="auto"/>
                <w:sz w:val="24"/>
                <w:szCs w:val="24"/>
                <w:highlight w:val="none"/>
                <w:lang w:val="en-US" w:eastAsia="zh-CN"/>
              </w:rPr>
              <w:t>2</w:t>
            </w:r>
            <w:r>
              <w:rPr>
                <w:rFonts w:hint="eastAsia" w:ascii="宋体" w:hAnsi="宋体" w:cs="宋体"/>
                <w:bCs/>
                <w:color w:val="auto"/>
                <w:sz w:val="24"/>
                <w:szCs w:val="24"/>
                <w:highlight w:val="none"/>
                <w:lang w:val="en-US" w:eastAsia="zh-CN"/>
              </w:rPr>
              <w:t>0</w:t>
            </w:r>
            <w:r>
              <w:rPr>
                <w:rFonts w:hint="eastAsia" w:ascii="宋体" w:hAnsi="宋体" w:eastAsia="宋体" w:cs="宋体"/>
                <w:bCs/>
                <w:color w:val="auto"/>
                <w:sz w:val="24"/>
                <w:szCs w:val="24"/>
                <w:highlight w:val="none"/>
              </w:rPr>
              <w:t>年1月1日</w:t>
            </w:r>
            <w:r>
              <w:rPr>
                <w:rFonts w:hint="eastAsia" w:ascii="宋体" w:hAnsi="宋体" w:eastAsia="宋体" w:cs="宋体"/>
                <w:bCs/>
                <w:color w:val="auto"/>
                <w:sz w:val="24"/>
                <w:szCs w:val="24"/>
                <w:highlight w:val="none"/>
                <w:lang w:eastAsia="zh-CN"/>
              </w:rPr>
              <w:t>以来（以合同签订时间为准）同类项目业绩，每提供一个得</w:t>
            </w:r>
            <w:r>
              <w:rPr>
                <w:rFonts w:hint="eastAsia" w:ascii="宋体" w:hAnsi="宋体" w:eastAsia="宋体" w:cs="宋体"/>
                <w:bCs/>
                <w:color w:val="auto"/>
                <w:sz w:val="24"/>
                <w:szCs w:val="24"/>
                <w:highlight w:val="none"/>
                <w:lang w:val="en-US" w:eastAsia="zh-CN"/>
              </w:rPr>
              <w:t>1分，</w:t>
            </w:r>
            <w:r>
              <w:rPr>
                <w:rFonts w:hint="eastAsia" w:ascii="宋体" w:hAnsi="宋体" w:eastAsia="宋体" w:cs="宋体"/>
                <w:bCs/>
                <w:color w:val="auto"/>
                <w:sz w:val="24"/>
                <w:szCs w:val="24"/>
                <w:highlight w:val="none"/>
                <w:lang w:eastAsia="zh-CN"/>
              </w:rPr>
              <w:t>本项最高得</w:t>
            </w:r>
            <w:r>
              <w:rPr>
                <w:rFonts w:hint="eastAsia" w:ascii="宋体" w:hAnsi="宋体" w:cs="宋体"/>
                <w:bCs/>
                <w:color w:val="auto"/>
                <w:sz w:val="24"/>
                <w:szCs w:val="24"/>
                <w:highlight w:val="none"/>
                <w:lang w:val="en-US" w:eastAsia="zh-CN"/>
              </w:rPr>
              <w:t>4</w:t>
            </w:r>
            <w:r>
              <w:rPr>
                <w:rFonts w:hint="eastAsia" w:ascii="宋体" w:hAnsi="宋体" w:eastAsia="宋体" w:cs="宋体"/>
                <w:bCs/>
                <w:color w:val="auto"/>
                <w:sz w:val="24"/>
                <w:szCs w:val="24"/>
                <w:highlight w:val="none"/>
                <w:lang w:val="en-US" w:eastAsia="zh-CN"/>
              </w:rPr>
              <w:t>分。</w:t>
            </w:r>
            <w:r>
              <w:rPr>
                <w:rFonts w:hint="eastAsia" w:ascii="宋体" w:hAnsi="宋体" w:eastAsia="宋体" w:cs="宋体"/>
                <w:bCs/>
                <w:color w:val="auto"/>
                <w:sz w:val="24"/>
                <w:szCs w:val="24"/>
                <w:highlight w:val="none"/>
                <w:lang w:eastAsia="zh-CN"/>
              </w:rPr>
              <w:t>（须提供合同复印件</w:t>
            </w:r>
            <w:r>
              <w:rPr>
                <w:rFonts w:hint="eastAsia" w:ascii="宋体" w:hAnsi="宋体" w:eastAsia="宋体" w:cs="宋体"/>
                <w:color w:val="auto"/>
                <w:spacing w:val="14"/>
                <w:sz w:val="24"/>
                <w:szCs w:val="24"/>
                <w:lang w:eastAsia="zh-CN"/>
              </w:rPr>
              <w:t>及</w:t>
            </w:r>
            <w:r>
              <w:rPr>
                <w:rFonts w:hint="eastAsia" w:ascii="宋体" w:hAnsi="宋体" w:eastAsia="宋体" w:cs="宋体"/>
                <w:bCs/>
                <w:color w:val="auto"/>
                <w:sz w:val="24"/>
                <w:szCs w:val="24"/>
                <w:highlight w:val="none"/>
              </w:rPr>
              <w:t>验收证明材料</w:t>
            </w:r>
            <w:r>
              <w:rPr>
                <w:rFonts w:hint="eastAsia" w:ascii="宋体" w:hAnsi="宋体" w:eastAsia="宋体" w:cs="宋体"/>
                <w:bCs/>
                <w:color w:val="auto"/>
                <w:sz w:val="24"/>
                <w:szCs w:val="24"/>
                <w:highlight w:val="none"/>
                <w:lang w:eastAsia="zh-CN"/>
              </w:rPr>
              <w:t>复印</w:t>
            </w:r>
            <w:r>
              <w:rPr>
                <w:rFonts w:hint="eastAsia" w:ascii="宋体" w:hAnsi="宋体" w:eastAsia="宋体" w:cs="宋体"/>
                <w:bCs/>
                <w:color w:val="auto"/>
                <w:sz w:val="24"/>
                <w:szCs w:val="24"/>
                <w:highlight w:val="none"/>
              </w:rPr>
              <w:t>件加盖公章</w:t>
            </w:r>
            <w:r>
              <w:rPr>
                <w:rFonts w:hint="eastAsia" w:ascii="宋体" w:hAnsi="宋体" w:eastAsia="宋体" w:cs="宋体"/>
                <w:bCs/>
                <w:color w:val="auto"/>
                <w:sz w:val="24"/>
                <w:szCs w:val="24"/>
                <w:highlight w:val="none"/>
                <w:lang w:eastAsia="zh-CN"/>
              </w:rPr>
              <w:t>，未提供不</w:t>
            </w:r>
            <w:r>
              <w:rPr>
                <w:rFonts w:hint="eastAsia" w:ascii="宋体" w:hAnsi="宋体" w:eastAsia="宋体" w:cs="宋体"/>
                <w:bCs/>
                <w:color w:val="auto"/>
                <w:sz w:val="24"/>
                <w:szCs w:val="24"/>
                <w:highlight w:val="none"/>
              </w:rPr>
              <w:t>得分</w:t>
            </w:r>
            <w:r>
              <w:rPr>
                <w:rFonts w:hint="eastAsia" w:ascii="宋体" w:hAnsi="宋体" w:eastAsia="宋体" w:cs="宋体"/>
                <w:bCs/>
                <w:color w:val="auto"/>
                <w:sz w:val="24"/>
                <w:szCs w:val="24"/>
                <w:highlight w:val="none"/>
                <w:lang w:eastAsia="zh-CN"/>
              </w:rPr>
              <w:t>）</w:t>
            </w:r>
          </w:p>
        </w:tc>
        <w:tc>
          <w:tcPr>
            <w:tcW w:w="720" w:type="dxa"/>
            <w:noWrap w:val="0"/>
            <w:vAlign w:val="center"/>
          </w:tcPr>
          <w:p>
            <w:pPr>
              <w:adjustRightInd/>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p>
        </w:tc>
        <w:tc>
          <w:tcPr>
            <w:tcW w:w="1005" w:type="dxa"/>
            <w:noWrap w:val="0"/>
            <w:vAlign w:val="center"/>
          </w:tcPr>
          <w:p>
            <w:pPr>
              <w:adjustRightInd/>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1665" w:type="dxa"/>
            <w:noWrap w:val="0"/>
            <w:vAlign w:val="center"/>
          </w:tcPr>
          <w:p>
            <w:pPr>
              <w:adjustRightInd/>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同类项目案例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35"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w:t>
            </w:r>
          </w:p>
        </w:tc>
        <w:tc>
          <w:tcPr>
            <w:tcW w:w="6360" w:type="dxa"/>
            <w:noWrap w:val="0"/>
            <w:vAlign w:val="center"/>
          </w:tcPr>
          <w:p>
            <w:pPr>
              <w:adjustRightInd/>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投标人通过ISO9001质量认证且在有效期内的得1分；</w:t>
            </w:r>
          </w:p>
          <w:p>
            <w:pPr>
              <w:adjustRightInd/>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投标人通过ISO14001环境管理体系认证且在有效期内的得1分；</w:t>
            </w:r>
          </w:p>
          <w:p>
            <w:pPr>
              <w:adjustRightInd/>
              <w:jc w:val="lef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投标人通过OHSAS18001或ISO45001职业健康安全管理体系认证且在有效期内的得1分，最高得3分</w:t>
            </w:r>
            <w:r>
              <w:rPr>
                <w:rFonts w:hint="eastAsia" w:ascii="宋体" w:hAnsi="宋体" w:cs="宋体"/>
                <w:color w:val="auto"/>
                <w:sz w:val="24"/>
                <w:szCs w:val="24"/>
                <w:highlight w:val="none"/>
                <w:lang w:eastAsia="zh-CN"/>
              </w:rPr>
              <w:t>。</w:t>
            </w:r>
          </w:p>
          <w:p>
            <w:pPr>
              <w:adjustRightInd/>
              <w:jc w:val="left"/>
              <w:rPr>
                <w:rFonts w:hint="eastAsia" w:ascii="宋体" w:hAnsi="宋体" w:eastAsia="宋体" w:cs="宋体"/>
                <w:b/>
                <w:color w:val="auto"/>
                <w:kern w:val="2"/>
                <w:sz w:val="24"/>
                <w:szCs w:val="24"/>
                <w:lang w:val="en-US" w:eastAsia="zh-CN" w:bidi="ar-SA"/>
              </w:rPr>
            </w:pP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以提供的</w:t>
            </w:r>
            <w:r>
              <w:rPr>
                <w:rFonts w:hint="eastAsia" w:ascii="宋体" w:hAnsi="宋体" w:eastAsia="宋体" w:cs="宋体"/>
                <w:b/>
                <w:bCs/>
                <w:color w:val="auto"/>
                <w:sz w:val="24"/>
                <w:szCs w:val="24"/>
                <w:highlight w:val="none"/>
                <w:lang w:eastAsia="zh-CN"/>
              </w:rPr>
              <w:t>证书</w:t>
            </w:r>
            <w:r>
              <w:rPr>
                <w:rFonts w:hint="eastAsia" w:ascii="宋体" w:hAnsi="宋体" w:eastAsia="宋体" w:cs="宋体"/>
                <w:b/>
                <w:bCs/>
                <w:color w:val="auto"/>
                <w:sz w:val="24"/>
                <w:szCs w:val="24"/>
                <w:highlight w:val="none"/>
                <w:lang w:val="en-US" w:eastAsia="zh-CN"/>
              </w:rPr>
              <w:t>复印件</w:t>
            </w:r>
            <w:r>
              <w:rPr>
                <w:rFonts w:hint="eastAsia" w:ascii="宋体" w:hAnsi="宋体" w:eastAsia="宋体" w:cs="宋体"/>
                <w:b/>
                <w:bCs/>
                <w:color w:val="auto"/>
                <w:sz w:val="24"/>
                <w:szCs w:val="24"/>
                <w:highlight w:val="none"/>
                <w:lang w:eastAsia="zh-CN"/>
              </w:rPr>
              <w:t>及全国认证认可信息公共服务平台“认证结果”查询截图为准</w:t>
            </w:r>
            <w:r>
              <w:rPr>
                <w:rFonts w:hint="eastAsia" w:ascii="宋体" w:hAnsi="宋体" w:eastAsia="宋体" w:cs="宋体"/>
                <w:color w:val="auto"/>
                <w:sz w:val="24"/>
                <w:szCs w:val="24"/>
                <w:highlight w:val="none"/>
                <w:lang w:val="en-US" w:eastAsia="zh-CN"/>
              </w:rPr>
              <w:t>）</w:t>
            </w:r>
          </w:p>
        </w:tc>
        <w:tc>
          <w:tcPr>
            <w:tcW w:w="720" w:type="dxa"/>
            <w:noWrap w:val="0"/>
            <w:vAlign w:val="center"/>
          </w:tcPr>
          <w:p>
            <w:pPr>
              <w:adjustRightInd/>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1005" w:type="dxa"/>
            <w:noWrap w:val="0"/>
            <w:vAlign w:val="center"/>
          </w:tcPr>
          <w:p>
            <w:pPr>
              <w:adjustRightInd/>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1665" w:type="dxa"/>
            <w:noWrap w:val="0"/>
            <w:vAlign w:val="center"/>
          </w:tcPr>
          <w:p>
            <w:pPr>
              <w:adjustRightInd/>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权威认证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35" w:type="dxa"/>
            <w:noWrap w:val="0"/>
            <w:vAlign w:val="center"/>
          </w:tcPr>
          <w:p>
            <w:pPr>
              <w:adjustRightInd/>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w:t>
            </w:r>
          </w:p>
        </w:tc>
        <w:tc>
          <w:tcPr>
            <w:tcW w:w="6360" w:type="dxa"/>
            <w:noWrap w:val="0"/>
            <w:vAlign w:val="center"/>
          </w:tcPr>
          <w:p>
            <w:pPr>
              <w:adjustRightInd/>
              <w:jc w:val="left"/>
              <w:rPr>
                <w:rFonts w:hint="eastAsia" w:ascii="宋体" w:hAnsi="宋体" w:eastAsia="宋体" w:cs="宋体"/>
                <w:b/>
                <w:color w:val="auto"/>
                <w:kern w:val="2"/>
                <w:sz w:val="24"/>
                <w:szCs w:val="24"/>
                <w:lang w:val="en-US" w:eastAsia="zh-CN" w:bidi="ar-SA"/>
              </w:rPr>
            </w:pPr>
            <w:r>
              <w:rPr>
                <w:rFonts w:hint="eastAsia" w:ascii="宋体" w:hAnsi="宋体" w:eastAsia="宋体" w:cs="宋体"/>
                <w:color w:val="auto"/>
                <w:sz w:val="24"/>
                <w:szCs w:val="24"/>
                <w:lang w:eastAsia="zh-CN"/>
              </w:rPr>
              <w:t>质保期满足</w:t>
            </w:r>
            <w:r>
              <w:rPr>
                <w:rFonts w:hint="eastAsia" w:ascii="宋体" w:hAnsi="宋体" w:eastAsia="宋体" w:cs="宋体"/>
                <w:color w:val="auto"/>
                <w:sz w:val="24"/>
                <w:szCs w:val="24"/>
              </w:rPr>
              <w:t>招标文件</w:t>
            </w:r>
            <w:r>
              <w:rPr>
                <w:rFonts w:hint="eastAsia" w:ascii="宋体" w:hAnsi="宋体" w:eastAsia="宋体" w:cs="宋体"/>
                <w:color w:val="auto"/>
                <w:sz w:val="24"/>
                <w:szCs w:val="24"/>
                <w:lang w:eastAsia="zh-CN"/>
              </w:rPr>
              <w:t>要求基础上</w:t>
            </w:r>
            <w:r>
              <w:rPr>
                <w:rFonts w:hint="eastAsia" w:ascii="宋体" w:hAnsi="宋体" w:eastAsia="宋体" w:cs="宋体"/>
                <w:color w:val="auto"/>
                <w:sz w:val="24"/>
                <w:szCs w:val="24"/>
              </w:rPr>
              <w:t>每增加一年得</w:t>
            </w:r>
            <w:r>
              <w:rPr>
                <w:rFonts w:hint="eastAsia" w:ascii="宋体" w:hAnsi="宋体" w:eastAsia="宋体" w:cs="宋体"/>
                <w:color w:val="auto"/>
                <w:sz w:val="24"/>
                <w:szCs w:val="24"/>
                <w:u w:val="none"/>
              </w:rPr>
              <w:t xml:space="preserve"> 1 分</w:t>
            </w:r>
            <w:r>
              <w:rPr>
                <w:rFonts w:hint="eastAsia" w:ascii="宋体" w:hAnsi="宋体" w:eastAsia="宋体" w:cs="宋体"/>
                <w:color w:val="auto"/>
                <w:sz w:val="24"/>
                <w:szCs w:val="24"/>
                <w:u w:val="none"/>
                <w:lang w:eastAsia="zh-CN"/>
              </w:rPr>
              <w:t>，本项</w:t>
            </w:r>
            <w:r>
              <w:rPr>
                <w:rFonts w:hint="eastAsia" w:ascii="宋体" w:hAnsi="宋体" w:eastAsia="宋体" w:cs="宋体"/>
                <w:color w:val="auto"/>
                <w:sz w:val="24"/>
                <w:szCs w:val="24"/>
                <w:u w:val="none"/>
              </w:rPr>
              <w:t>最</w:t>
            </w:r>
            <w:r>
              <w:rPr>
                <w:rFonts w:hint="eastAsia" w:ascii="宋体" w:hAnsi="宋体" w:eastAsia="宋体" w:cs="宋体"/>
                <w:color w:val="auto"/>
                <w:sz w:val="24"/>
                <w:szCs w:val="24"/>
                <w:u w:val="none"/>
                <w:lang w:eastAsia="zh-CN"/>
              </w:rPr>
              <w:t>高</w:t>
            </w:r>
            <w:r>
              <w:rPr>
                <w:rFonts w:hint="eastAsia" w:ascii="宋体" w:hAnsi="宋体" w:eastAsia="宋体" w:cs="宋体"/>
                <w:color w:val="auto"/>
                <w:sz w:val="24"/>
                <w:szCs w:val="24"/>
                <w:u w:val="none"/>
              </w:rPr>
              <w:t>得2分</w:t>
            </w:r>
            <w:r>
              <w:rPr>
                <w:rFonts w:hint="eastAsia" w:ascii="宋体" w:hAnsi="宋体" w:eastAsia="宋体" w:cs="宋体"/>
                <w:color w:val="auto"/>
                <w:sz w:val="24"/>
                <w:szCs w:val="24"/>
                <w:u w:val="none"/>
                <w:lang w:eastAsia="zh-CN"/>
              </w:rPr>
              <w:t>。</w:t>
            </w:r>
          </w:p>
        </w:tc>
        <w:tc>
          <w:tcPr>
            <w:tcW w:w="720" w:type="dxa"/>
            <w:noWrap w:val="0"/>
            <w:vAlign w:val="center"/>
          </w:tcPr>
          <w:p>
            <w:pPr>
              <w:adjustRightInd/>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p>
        </w:tc>
        <w:tc>
          <w:tcPr>
            <w:tcW w:w="1005" w:type="dxa"/>
            <w:noWrap w:val="0"/>
            <w:vAlign w:val="center"/>
          </w:tcPr>
          <w:p>
            <w:pPr>
              <w:adjustRightInd/>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1665" w:type="dxa"/>
            <w:noWrap w:val="0"/>
            <w:vAlign w:val="center"/>
          </w:tcPr>
          <w:p>
            <w:pPr>
              <w:adjustRightInd/>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735" w:type="dxa"/>
            <w:noWrap w:val="0"/>
            <w:vAlign w:val="center"/>
          </w:tcPr>
          <w:p>
            <w:pPr>
              <w:adjustRightInd/>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6360" w:type="dxa"/>
            <w:noWrap w:val="0"/>
            <w:vAlign w:val="center"/>
          </w:tcPr>
          <w:p>
            <w:pPr>
              <w:adjustRightInd/>
              <w:jc w:val="left"/>
              <w:rPr>
                <w:rFonts w:ascii="宋体" w:hAnsi="宋体" w:cs="宋体"/>
                <w:color w:val="auto"/>
                <w:sz w:val="24"/>
                <w:szCs w:val="24"/>
                <w:highlight w:val="none"/>
              </w:rPr>
            </w:pPr>
            <w:r>
              <w:rPr>
                <w:rFonts w:hint="eastAsia" w:ascii="宋体" w:hAnsi="宋体" w:cs="宋体"/>
                <w:color w:val="auto"/>
                <w:sz w:val="24"/>
                <w:szCs w:val="24"/>
                <w:highlight w:val="none"/>
              </w:rPr>
              <w:t>有效投标报价的最低价作为评标基准价，其最低报价为满分；按［投标报价得分=（评标基准价/投标报价）*40］的计算公式计算。</w:t>
            </w:r>
          </w:p>
          <w:p>
            <w:pPr>
              <w:adjustRightInd/>
              <w:jc w:val="left"/>
              <w:rPr>
                <w:rFonts w:ascii="宋体" w:hAnsi="宋体" w:cs="宋体"/>
                <w:color w:val="auto"/>
                <w:sz w:val="24"/>
                <w:szCs w:val="24"/>
                <w:highlight w:val="none"/>
              </w:rPr>
            </w:pPr>
            <w:r>
              <w:rPr>
                <w:rFonts w:hint="eastAsia" w:ascii="宋体" w:hAnsi="宋体" w:cs="宋体"/>
                <w:color w:val="auto"/>
                <w:sz w:val="24"/>
                <w:szCs w:val="24"/>
                <w:highlight w:val="none"/>
              </w:rPr>
              <w:t>评标过程中，不得去掉报价中的最高报价和最低报价。</w:t>
            </w:r>
          </w:p>
          <w:p>
            <w:pPr>
              <w:adjustRightInd/>
              <w:jc w:val="left"/>
              <w:rPr>
                <w:rFonts w:ascii="宋体" w:hAnsi="宋体" w:cs="宋体"/>
                <w:color w:val="auto"/>
                <w:sz w:val="24"/>
                <w:szCs w:val="24"/>
                <w:highlight w:val="none"/>
              </w:rPr>
            </w:pPr>
            <w:r>
              <w:rPr>
                <w:rFonts w:hint="eastAsia" w:ascii="宋体" w:hAnsi="宋体" w:cs="宋体"/>
                <w:color w:val="auto"/>
                <w:sz w:val="24"/>
                <w:szCs w:val="24"/>
                <w:highlight w:val="none"/>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720" w:type="dxa"/>
            <w:noWrap w:val="0"/>
            <w:vAlign w:val="center"/>
          </w:tcPr>
          <w:p>
            <w:pPr>
              <w:adjustRightInd/>
              <w:jc w:val="center"/>
              <w:rPr>
                <w:rFonts w:ascii="宋体" w:hAnsi="宋体" w:cs="宋体"/>
                <w:color w:val="auto"/>
                <w:sz w:val="24"/>
                <w:szCs w:val="24"/>
                <w:highlight w:val="none"/>
              </w:rPr>
            </w:pPr>
            <w:r>
              <w:rPr>
                <w:rFonts w:hint="eastAsia" w:ascii="宋体" w:hAnsi="宋体" w:cs="宋体"/>
                <w:color w:val="auto"/>
                <w:sz w:val="24"/>
                <w:szCs w:val="24"/>
                <w:highlight w:val="none"/>
              </w:rPr>
              <w:t>40</w:t>
            </w:r>
          </w:p>
        </w:tc>
        <w:tc>
          <w:tcPr>
            <w:tcW w:w="1005" w:type="dxa"/>
            <w:noWrap w:val="0"/>
            <w:vAlign w:val="center"/>
          </w:tcPr>
          <w:p>
            <w:pPr>
              <w:adjustRightInd/>
              <w:jc w:val="left"/>
              <w:rPr>
                <w:rFonts w:ascii="宋体" w:hAnsi="宋体" w:cs="宋体"/>
                <w:color w:val="auto"/>
                <w:sz w:val="24"/>
                <w:szCs w:val="24"/>
                <w:highlight w:val="none"/>
              </w:rPr>
            </w:pPr>
            <w:r>
              <w:rPr>
                <w:rFonts w:hint="eastAsia" w:ascii="宋体" w:hAnsi="宋体" w:cs="宋体"/>
                <w:color w:val="auto"/>
                <w:sz w:val="24"/>
                <w:szCs w:val="24"/>
                <w:highlight w:val="none"/>
              </w:rPr>
              <w:t>价格分</w:t>
            </w:r>
          </w:p>
        </w:tc>
        <w:tc>
          <w:tcPr>
            <w:tcW w:w="1665" w:type="dxa"/>
            <w:noWrap w:val="0"/>
            <w:vAlign w:val="center"/>
          </w:tcPr>
          <w:p>
            <w:pPr>
              <w:adjustRightInd/>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r>
    </w:tbl>
    <w:p>
      <w:pPr>
        <w:rPr>
          <w:color w:val="auto"/>
          <w:highlight w:val="none"/>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3"/>
        <w:tabs>
          <w:tab w:val="left" w:pos="0"/>
          <w:tab w:val="clear" w:pos="432"/>
        </w:tabs>
        <w:ind w:left="0" w:firstLine="428"/>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投标人未提供样品或提供的样品不满足采购需求实质性条件的，投标无效；</w:t>
      </w:r>
    </w:p>
    <w:p>
      <w:pPr>
        <w:pStyle w:val="3"/>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4.2.14投标文件不满足招标文件的其它实质性要求的；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1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16"/>
        <w:snapToGrid w:val="0"/>
        <w:spacing w:line="360" w:lineRule="auto"/>
        <w:rPr>
          <w:rFonts w:cs="宋体"/>
        </w:rPr>
      </w:pPr>
      <w:r>
        <w:rPr>
          <w:rFonts w:hint="eastAsia" w:cs="宋体"/>
        </w:rPr>
        <w:t>5.1符合专业条件的供应商或者对招标文件作实质响应的供应商不足3家的；</w:t>
      </w:r>
    </w:p>
    <w:p>
      <w:pPr>
        <w:pStyle w:val="16"/>
        <w:snapToGrid w:val="0"/>
        <w:spacing w:line="360" w:lineRule="auto"/>
        <w:rPr>
          <w:rFonts w:cs="宋体"/>
        </w:rPr>
      </w:pPr>
      <w:r>
        <w:rPr>
          <w:rFonts w:hint="eastAsia" w:cs="宋体"/>
        </w:rPr>
        <w:t>5.2出现影响采购公正的违法、违规行为的；</w:t>
      </w:r>
    </w:p>
    <w:p>
      <w:pPr>
        <w:pStyle w:val="16"/>
        <w:snapToGrid w:val="0"/>
        <w:spacing w:line="360" w:lineRule="auto"/>
        <w:rPr>
          <w:rFonts w:cs="宋体"/>
        </w:rPr>
      </w:pPr>
      <w:r>
        <w:rPr>
          <w:rFonts w:hint="eastAsia" w:cs="宋体"/>
        </w:rPr>
        <w:t>5.3投标人的报价均超过了采购预算，采购人不能支付的；</w:t>
      </w:r>
    </w:p>
    <w:p>
      <w:pPr>
        <w:pStyle w:val="16"/>
        <w:snapToGrid w:val="0"/>
        <w:spacing w:line="360" w:lineRule="auto"/>
        <w:rPr>
          <w:rFonts w:cs="宋体"/>
        </w:rPr>
      </w:pPr>
      <w:r>
        <w:rPr>
          <w:rFonts w:hint="eastAsia" w:cs="宋体"/>
        </w:rPr>
        <w:t>5.4因重大变故，采购任务取消的。</w:t>
      </w:r>
    </w:p>
    <w:p>
      <w:pPr>
        <w:pStyle w:val="16"/>
        <w:snapToGrid w:val="0"/>
        <w:spacing w:line="360" w:lineRule="auto"/>
        <w:rPr>
          <w:rFonts w:cs="宋体"/>
        </w:rPr>
      </w:pPr>
      <w:r>
        <w:rPr>
          <w:rFonts w:hint="eastAsia" w:cs="宋体"/>
        </w:rPr>
        <w:t>废标后，采购代理机构应当将废标理由通知所有投标人。</w:t>
      </w:r>
    </w:p>
    <w:p>
      <w:pPr>
        <w:pStyle w:val="1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16"/>
        <w:snapToGrid w:val="0"/>
        <w:spacing w:line="360" w:lineRule="auto"/>
        <w:rPr>
          <w:rFonts w:cs="宋体"/>
        </w:rPr>
      </w:pPr>
      <w:r>
        <w:rPr>
          <w:rFonts w:hint="eastAsia" w:cs="宋体"/>
        </w:rPr>
        <w:t>7.1未确定中标供应商的，终止本次政府采购活动，重新开展政府采购活动。</w:t>
      </w:r>
    </w:p>
    <w:p>
      <w:pPr>
        <w:pStyle w:val="1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1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16"/>
        <w:snapToGrid w:val="0"/>
        <w:spacing w:line="360" w:lineRule="auto"/>
        <w:rPr>
          <w:rFonts w:cs="宋体"/>
        </w:rPr>
      </w:pPr>
      <w:r>
        <w:rPr>
          <w:rFonts w:hint="eastAsia" w:cs="宋体"/>
        </w:rPr>
        <w:t>7.4政府采购合同已经履行，给采购人、供应商造成损失的，由责任人承担赔偿责任。</w:t>
      </w:r>
    </w:p>
    <w:p>
      <w:pPr>
        <w:pStyle w:val="16"/>
        <w:snapToGrid w:val="0"/>
        <w:spacing w:line="360" w:lineRule="auto"/>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31"/>
      <w:bookmarkStart w:id="399" w:name="第五部分"/>
      <w:bookmarkStart w:id="400" w:name="_Toc86217003"/>
    </w:p>
    <w:p>
      <w:pPr>
        <w:jc w:val="center"/>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701"/>
        <w:rPr>
          <w:rFonts w:ascii="宋体" w:hAnsi="宋体" w:cs="宋体"/>
          <w:szCs w:val="24"/>
        </w:rPr>
      </w:pPr>
    </w:p>
    <w:p>
      <w:pPr>
        <w:pStyle w:val="701"/>
        <w:rPr>
          <w:rFonts w:ascii="宋体" w:hAnsi="宋体" w:cs="宋体"/>
          <w:szCs w:val="24"/>
        </w:rPr>
      </w:pPr>
    </w:p>
    <w:p>
      <w:pPr>
        <w:pStyle w:val="701"/>
        <w:jc w:val="center"/>
        <w:rPr>
          <w:rFonts w:ascii="宋体" w:hAnsi="宋体" w:cs="宋体"/>
          <w:szCs w:val="24"/>
        </w:rPr>
      </w:pPr>
    </w:p>
    <w:p>
      <w:pPr>
        <w:pStyle w:val="701"/>
        <w:ind w:firstLine="2843" w:firstLineChars="1180"/>
        <w:rPr>
          <w:rFonts w:ascii="宋体" w:hAnsi="宋体" w:cs="宋体"/>
          <w:b/>
          <w:szCs w:val="24"/>
        </w:rPr>
      </w:pPr>
      <w:r>
        <w:rPr>
          <w:rFonts w:hint="eastAsia" w:ascii="宋体" w:hAnsi="宋体" w:cs="宋体"/>
          <w:b/>
          <w:szCs w:val="24"/>
        </w:rPr>
        <w:t>第一部分 合同书</w:t>
      </w:r>
    </w:p>
    <w:p>
      <w:pPr>
        <w:pStyle w:val="701"/>
        <w:rPr>
          <w:rFonts w:ascii="宋体" w:hAnsi="宋体" w:cs="宋体"/>
          <w:szCs w:val="24"/>
        </w:rPr>
      </w:pPr>
    </w:p>
    <w:p>
      <w:pPr>
        <w:pStyle w:val="701"/>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8"/>
        <w:spacing w:before="120" w:line="22" w:lineRule="atLeast"/>
        <w:rPr>
          <w:rFonts w:ascii="宋体" w:hAnsi="宋体" w:eastAsia="宋体" w:cs="宋体"/>
          <w:szCs w:val="24"/>
        </w:rPr>
      </w:pPr>
    </w:p>
    <w:p>
      <w:pPr>
        <w:pStyle w:val="598"/>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361" w:bottom="1474" w:left="1361"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（采购人）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（项目名称、编号）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401" w:name="_Toc2232"/>
      <w:bookmarkStart w:id="402" w:name="_Toc3029"/>
      <w:bookmarkStart w:id="403" w:name="_Toc24059"/>
      <w:r>
        <w:rPr>
          <w:rFonts w:hint="eastAsia" w:ascii="宋体" w:hAnsi="宋体" w:cs="宋体"/>
          <w:b/>
          <w:sz w:val="24"/>
        </w:rPr>
        <w:t>1.1 合同组成部分</w:t>
      </w:r>
      <w:bookmarkEnd w:id="401"/>
      <w:bookmarkEnd w:id="402"/>
      <w:bookmarkEnd w:id="403"/>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4" w:name="_Toc21295"/>
      <w:bookmarkStart w:id="405" w:name="_Toc27126"/>
      <w:bookmarkStart w:id="406" w:name="_Toc24300"/>
      <w:r>
        <w:rPr>
          <w:rFonts w:hint="eastAsia" w:ascii="宋体" w:hAnsi="宋体" w:cs="宋体"/>
          <w:b/>
          <w:sz w:val="24"/>
        </w:rPr>
        <w:t>1.2 货物</w:t>
      </w:r>
      <w:bookmarkEnd w:id="404"/>
      <w:bookmarkEnd w:id="405"/>
      <w:bookmarkEnd w:id="406"/>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7" w:name="_Toc21551"/>
      <w:bookmarkStart w:id="408" w:name="_Toc21631"/>
      <w:bookmarkStart w:id="409" w:name="_Toc23292"/>
      <w:r>
        <w:rPr>
          <w:rFonts w:hint="eastAsia" w:ascii="宋体" w:hAnsi="宋体" w:cs="宋体"/>
          <w:b/>
          <w:sz w:val="24"/>
        </w:rPr>
        <w:t>1.3 价款</w:t>
      </w:r>
      <w:bookmarkEnd w:id="407"/>
      <w:bookmarkEnd w:id="408"/>
      <w:bookmarkEnd w:id="409"/>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r>
    </w:tbl>
    <w:p>
      <w:pPr>
        <w:pStyle w:val="959"/>
        <w:spacing w:before="0" w:beforeAutospacing="0" w:after="0" w:afterAutospacing="0" w:line="360" w:lineRule="auto"/>
        <w:ind w:firstLine="480"/>
        <w:rPr>
          <w:b/>
        </w:rPr>
      </w:pPr>
      <w:bookmarkStart w:id="410" w:name="_Toc1814"/>
      <w:bookmarkStart w:id="411" w:name="_Toc22618"/>
      <w:bookmarkStart w:id="412" w:name="_Toc10340"/>
      <w:r>
        <w:rPr>
          <w:rFonts w:hint="eastAsia"/>
          <w:b/>
        </w:rPr>
        <w:t>1.4履约保证金</w:t>
      </w:r>
    </w:p>
    <w:p>
      <w:pPr>
        <w:pStyle w:val="95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0"/>
      <w:bookmarkEnd w:id="411"/>
      <w:bookmarkEnd w:id="412"/>
      <w:r>
        <w:rPr>
          <w:rFonts w:hint="eastAsia" w:ascii="宋体" w:hAnsi="宋体" w:cs="宋体"/>
          <w:b/>
          <w:sz w:val="24"/>
        </w:rPr>
        <w:t>预付款</w:t>
      </w:r>
    </w:p>
    <w:p>
      <w:pPr>
        <w:pStyle w:val="95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b/>
          <w:bCs/>
        </w:rPr>
      </w:pPr>
      <w:r>
        <w:rPr>
          <w:rFonts w:hint="eastAsia"/>
          <w:b/>
          <w:bCs/>
        </w:rPr>
        <w:t>1.6资金支付</w:t>
      </w:r>
    </w:p>
    <w:p>
      <w:pPr>
        <w:pStyle w:val="95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3" w:name="_Toc2846"/>
      <w:bookmarkStart w:id="414" w:name="_Toc19304"/>
      <w:bookmarkStart w:id="415" w:name="_Toc32071"/>
      <w:r>
        <w:rPr>
          <w:rFonts w:hint="eastAsia" w:ascii="宋体" w:hAnsi="宋体" w:cs="宋体"/>
          <w:b/>
          <w:sz w:val="24"/>
        </w:rPr>
        <w:t>1.7货物交付期限、地点和方式</w:t>
      </w:r>
      <w:bookmarkEnd w:id="413"/>
      <w:bookmarkEnd w:id="414"/>
      <w:bookmarkEnd w:id="415"/>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6" w:name="_Toc21423"/>
      <w:bookmarkStart w:id="417" w:name="_Toc19554"/>
      <w:bookmarkStart w:id="418" w:name="_Toc27250"/>
      <w:r>
        <w:rPr>
          <w:rFonts w:hint="eastAsia" w:ascii="宋体" w:hAnsi="宋体" w:cs="宋体"/>
          <w:b/>
          <w:sz w:val="24"/>
        </w:rPr>
        <w:t>1.8违约责任</w:t>
      </w:r>
      <w:bookmarkEnd w:id="416"/>
      <w:bookmarkEnd w:id="417"/>
      <w:bookmarkEnd w:id="418"/>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9" w:name="_Toc15583"/>
      <w:bookmarkStart w:id="420" w:name="_Toc28375"/>
      <w:bookmarkStart w:id="421" w:name="_Toc16021"/>
      <w:r>
        <w:rPr>
          <w:rFonts w:hint="eastAsia" w:ascii="宋体" w:hAnsi="宋体" w:cs="宋体"/>
          <w:b/>
          <w:sz w:val="24"/>
        </w:rPr>
        <w:t>1.9合同争议的解决</w:t>
      </w:r>
      <w:bookmarkEnd w:id="419"/>
      <w:bookmarkEnd w:id="420"/>
      <w:bookmarkEnd w:id="421"/>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2" w:name="_Toc15322"/>
      <w:bookmarkStart w:id="423" w:name="_Toc7245"/>
      <w:bookmarkStart w:id="424" w:name="_Toc11173"/>
      <w:r>
        <w:rPr>
          <w:rFonts w:hint="eastAsia" w:ascii="宋体" w:hAnsi="宋体" w:cs="宋体"/>
          <w:b/>
          <w:sz w:val="24"/>
        </w:rPr>
        <w:t>2.0 合同生效</w:t>
      </w:r>
      <w:bookmarkEnd w:id="422"/>
      <w:bookmarkEnd w:id="423"/>
      <w:bookmarkEnd w:id="424"/>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ind w:firstLine="480" w:firstLineChars="200"/>
        <w:rPr>
          <w:rFonts w:ascii="宋体" w:hAnsi="宋体" w:cs="宋体"/>
          <w:sz w:val="24"/>
          <w:lang w:val="zh-CN"/>
        </w:rPr>
      </w:pPr>
      <w:r>
        <w:rPr>
          <w:rFonts w:ascii="宋体" w:hAnsi="宋体" w:cs="宋体"/>
          <w:sz w:val="24"/>
          <w:lang w:val="zh-CN"/>
        </w:rPr>
        <w:t>（注：本合同不强制现场签订，</w:t>
      </w:r>
      <w:r>
        <w:rPr>
          <w:rFonts w:hint="eastAsia" w:ascii="宋体" w:hAnsi="宋体" w:cs="宋体"/>
          <w:sz w:val="24"/>
          <w:lang w:val="zh-CN"/>
        </w:rPr>
        <w:t>可</w:t>
      </w:r>
      <w:r>
        <w:rPr>
          <w:rFonts w:ascii="宋体" w:hAnsi="宋体" w:cs="宋体"/>
          <w:sz w:val="24"/>
          <w:lang w:val="zh-CN"/>
        </w:rPr>
        <w:t>盖章后</w:t>
      </w:r>
      <w:r>
        <w:rPr>
          <w:rFonts w:hint="eastAsia" w:ascii="宋体" w:hAnsi="宋体" w:cs="宋体"/>
          <w:sz w:val="24"/>
          <w:lang w:val="zh-CN"/>
        </w:rPr>
        <w:t>邮寄送达</w:t>
      </w:r>
      <w:r>
        <w:rPr>
          <w:rFonts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3"/>
        <w:rPr>
          <w:rFonts w:ascii="宋体" w:hAnsi="宋体" w:cs="宋体"/>
          <w:sz w:val="24"/>
        </w:rPr>
      </w:pPr>
    </w:p>
    <w:p>
      <w:pPr>
        <w:rPr>
          <w:rFonts w:ascii="宋体" w:hAnsi="宋体" w:cs="宋体"/>
          <w:sz w:val="24"/>
        </w:rPr>
      </w:pPr>
    </w:p>
    <w:p>
      <w:pPr>
        <w:pStyle w:val="3"/>
        <w:rPr>
          <w:rFonts w:ascii="宋体" w:hAnsi="宋体" w:cs="宋体"/>
          <w:sz w:val="24"/>
        </w:rPr>
      </w:pPr>
    </w:p>
    <w:p>
      <w:pPr>
        <w:rPr>
          <w:rFonts w:ascii="宋体" w:hAnsi="宋体" w:cs="宋体"/>
          <w:sz w:val="24"/>
        </w:rPr>
      </w:pPr>
    </w:p>
    <w:p>
      <w:pPr>
        <w:pStyle w:val="3"/>
        <w:rPr>
          <w:rFonts w:ascii="宋体" w:hAnsi="宋体" w:cs="宋体"/>
          <w:sz w:val="24"/>
        </w:rPr>
      </w:pPr>
    </w:p>
    <w:p>
      <w:pPr>
        <w:rPr>
          <w:rFonts w:ascii="宋体" w:hAnsi="宋体" w:cs="宋体"/>
          <w:sz w:val="24"/>
        </w:rPr>
      </w:pPr>
    </w:p>
    <w:p>
      <w:pPr>
        <w:pStyle w:val="701"/>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25" w:name="_Toc28763"/>
      <w:bookmarkStart w:id="426" w:name="_Toc259093669"/>
      <w:bookmarkStart w:id="427" w:name="_Ref467378499"/>
      <w:bookmarkStart w:id="428" w:name="_Ref467379109"/>
      <w:bookmarkStart w:id="429" w:name="_Ref467378404"/>
      <w:bookmarkStart w:id="430" w:name="_Ref467379094"/>
      <w:bookmarkStart w:id="431" w:name="_Ref467379195"/>
      <w:bookmarkStart w:id="432" w:name="_Toc279701240"/>
      <w:bookmarkStart w:id="433" w:name="_Toc16917"/>
      <w:bookmarkStart w:id="434" w:name="_Toc487900349"/>
      <w:bookmarkStart w:id="435" w:name="_Toc19614"/>
      <w:bookmarkStart w:id="436" w:name="_Ref467379225"/>
      <w:bookmarkStart w:id="437" w:name="_Ref467378463"/>
      <w:bookmarkStart w:id="438" w:name="_Ref467379205"/>
      <w:bookmarkStart w:id="439" w:name="_Ref467379101"/>
      <w:bookmarkStart w:id="440" w:name="_Ref467379214"/>
      <w:r>
        <w:rPr>
          <w:rFonts w:hint="eastAsia" w:ascii="宋体" w:hAnsi="宋体" w:cs="宋体"/>
          <w:b/>
          <w:sz w:val="24"/>
        </w:rPr>
        <w:t>2.1 定义</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41" w:name="_Ref467378840"/>
      <w:r>
        <w:rPr>
          <w:rFonts w:hint="eastAsia" w:ascii="宋体" w:hAnsi="宋体" w:cs="宋体"/>
          <w:sz w:val="24"/>
        </w:rPr>
        <w:t>2.1.4 “甲方”系指与中标或成交供应商签署合同的采购人</w:t>
      </w:r>
      <w:bookmarkEnd w:id="441"/>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2" w:name="_Ref467379400"/>
      <w:r>
        <w:rPr>
          <w:rFonts w:hint="eastAsia" w:ascii="宋体" w:hAnsi="宋体" w:cs="宋体"/>
          <w:sz w:val="24"/>
        </w:rPr>
        <w:t>2.1.5 “乙方”系指根据合同约定交付货物的中标或成交供应商</w:t>
      </w:r>
      <w:bookmarkEnd w:id="442"/>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3" w:name="_Ref467379436"/>
      <w:r>
        <w:rPr>
          <w:rFonts w:hint="eastAsia" w:ascii="宋体" w:hAnsi="宋体" w:cs="宋体"/>
          <w:sz w:val="24"/>
        </w:rPr>
        <w:t>2.1.6 “现场”系指合同约定货物将要运至或者安装的地点。</w:t>
      </w:r>
      <w:bookmarkEnd w:id="443"/>
    </w:p>
    <w:p>
      <w:pPr>
        <w:spacing w:line="560" w:lineRule="exact"/>
        <w:ind w:firstLine="482" w:firstLineChars="200"/>
        <w:outlineLvl w:val="0"/>
        <w:rPr>
          <w:rFonts w:ascii="宋体" w:hAnsi="宋体" w:cs="宋体"/>
          <w:b/>
          <w:sz w:val="24"/>
        </w:rPr>
      </w:pPr>
      <w:bookmarkStart w:id="444" w:name="_Toc27635"/>
      <w:bookmarkStart w:id="445" w:name="_Toc487900350"/>
      <w:bookmarkStart w:id="446" w:name="_Toc32504"/>
      <w:bookmarkStart w:id="447" w:name="_Toc259093670"/>
      <w:bookmarkStart w:id="448" w:name="_Toc13336"/>
      <w:bookmarkStart w:id="449" w:name="_Toc279701241"/>
      <w:r>
        <w:rPr>
          <w:rFonts w:hint="eastAsia" w:ascii="宋体" w:hAnsi="宋体" w:cs="宋体"/>
          <w:b/>
          <w:sz w:val="24"/>
        </w:rPr>
        <w:t>2.2 技术规范</w:t>
      </w:r>
      <w:bookmarkEnd w:id="444"/>
      <w:bookmarkEnd w:id="445"/>
      <w:bookmarkEnd w:id="446"/>
      <w:bookmarkEnd w:id="447"/>
      <w:bookmarkEnd w:id="448"/>
      <w:bookmarkEnd w:id="449"/>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50" w:name="_Toc487900351"/>
      <w:bookmarkStart w:id="451" w:name="_Toc9829"/>
      <w:bookmarkStart w:id="452" w:name="_Toc31634"/>
      <w:bookmarkStart w:id="453" w:name="_Toc27853"/>
      <w:bookmarkStart w:id="454" w:name="_Toc259093671"/>
      <w:bookmarkStart w:id="455" w:name="_Toc279701242"/>
      <w:r>
        <w:rPr>
          <w:rFonts w:hint="eastAsia" w:ascii="宋体" w:hAnsi="宋体" w:cs="宋体"/>
          <w:b/>
          <w:sz w:val="24"/>
        </w:rPr>
        <w:t>2.3 知识产权</w:t>
      </w:r>
      <w:bookmarkEnd w:id="450"/>
      <w:bookmarkEnd w:id="451"/>
      <w:bookmarkEnd w:id="452"/>
      <w:bookmarkEnd w:id="453"/>
      <w:bookmarkEnd w:id="454"/>
      <w:bookmarkEnd w:id="455"/>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6" w:name="_Toc29149"/>
      <w:bookmarkStart w:id="457" w:name="_Toc4194"/>
      <w:bookmarkStart w:id="458" w:name="_Toc11932"/>
      <w:r>
        <w:rPr>
          <w:rFonts w:hint="eastAsia" w:ascii="宋体" w:hAnsi="宋体" w:cs="宋体"/>
          <w:b/>
          <w:sz w:val="24"/>
        </w:rPr>
        <w:t>2.4 包装和装运</w:t>
      </w:r>
      <w:bookmarkEnd w:id="456"/>
      <w:bookmarkEnd w:id="457"/>
      <w:bookmarkEnd w:id="458"/>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9" w:name="_Ref467379542"/>
      <w:bookmarkStart w:id="460" w:name="_Ref467379527"/>
      <w:bookmarkStart w:id="461" w:name="_Toc487900354"/>
      <w:bookmarkStart w:id="462" w:name="_Ref467378591"/>
      <w:bookmarkStart w:id="463" w:name="_Ref467379536"/>
      <w:bookmarkStart w:id="464" w:name="_Ref467378541"/>
      <w:bookmarkStart w:id="465" w:name="_Toc259093674"/>
      <w:bookmarkStart w:id="466" w:name="_Toc279701245"/>
      <w:bookmarkStart w:id="467" w:name="_Toc26182"/>
      <w:bookmarkStart w:id="468" w:name="_Toc19074"/>
      <w:bookmarkStart w:id="469" w:name="_Toc30272"/>
      <w:r>
        <w:rPr>
          <w:rFonts w:hint="eastAsia" w:ascii="宋体" w:hAnsi="宋体" w:cs="宋体"/>
          <w:b/>
          <w:sz w:val="24"/>
        </w:rPr>
        <w:t>2.</w:t>
      </w:r>
      <w:bookmarkEnd w:id="459"/>
      <w:bookmarkEnd w:id="460"/>
      <w:bookmarkEnd w:id="461"/>
      <w:bookmarkEnd w:id="462"/>
      <w:bookmarkEnd w:id="463"/>
      <w:bookmarkEnd w:id="464"/>
      <w:bookmarkEnd w:id="465"/>
      <w:bookmarkEnd w:id="466"/>
      <w:r>
        <w:rPr>
          <w:rFonts w:hint="eastAsia" w:ascii="宋体" w:hAnsi="宋体" w:cs="宋体"/>
          <w:b/>
          <w:sz w:val="24"/>
        </w:rPr>
        <w:t>5 履约检查和问题反馈</w:t>
      </w:r>
      <w:bookmarkEnd w:id="467"/>
      <w:bookmarkEnd w:id="468"/>
      <w:bookmarkEnd w:id="469"/>
    </w:p>
    <w:p>
      <w:pPr>
        <w:spacing w:line="560" w:lineRule="exact"/>
        <w:ind w:firstLine="480" w:firstLineChars="200"/>
        <w:rPr>
          <w:rFonts w:ascii="宋体" w:hAnsi="宋体" w:cs="宋体"/>
          <w:sz w:val="24"/>
        </w:rPr>
      </w:pPr>
      <w:bookmarkStart w:id="470" w:name="_Ref467379657"/>
      <w:r>
        <w:rPr>
          <w:rFonts w:hint="eastAsia" w:ascii="宋体" w:hAnsi="宋体" w:cs="宋体"/>
          <w:sz w:val="24"/>
        </w:rPr>
        <w:t>2.5.1</w:t>
      </w:r>
      <w:bookmarkEnd w:id="470"/>
      <w:bookmarkStart w:id="471" w:name="_Toc186431854"/>
      <w:bookmarkStart w:id="472" w:name="_Ref467379793"/>
      <w:bookmarkStart w:id="473" w:name="_Toc259093676"/>
      <w:bookmarkStart w:id="474" w:name="_Ref467379807"/>
      <w:bookmarkStart w:id="475" w:name="_Toc279701247"/>
      <w:bookmarkStart w:id="476" w:name="_Toc48790035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71"/>
      <w:bookmarkStart w:id="477" w:name="_Toc186431855"/>
      <w:r>
        <w:rPr>
          <w:rFonts w:hint="eastAsia" w:ascii="宋体" w:hAnsi="宋体" w:cs="宋体"/>
          <w:sz w:val="24"/>
        </w:rPr>
        <w:t>。</w:t>
      </w:r>
    </w:p>
    <w:bookmarkEnd w:id="472"/>
    <w:bookmarkEnd w:id="473"/>
    <w:bookmarkEnd w:id="474"/>
    <w:bookmarkEnd w:id="475"/>
    <w:bookmarkEnd w:id="476"/>
    <w:bookmarkEnd w:id="477"/>
    <w:p>
      <w:pPr>
        <w:spacing w:line="560" w:lineRule="exact"/>
        <w:ind w:firstLine="482" w:firstLineChars="200"/>
        <w:outlineLvl w:val="0"/>
        <w:rPr>
          <w:rFonts w:ascii="宋体" w:hAnsi="宋体" w:cs="宋体"/>
          <w:b/>
          <w:sz w:val="24"/>
        </w:rPr>
      </w:pPr>
      <w:bookmarkStart w:id="478" w:name="_Toc259093677"/>
      <w:bookmarkStart w:id="479" w:name="_Ref467379863"/>
      <w:bookmarkStart w:id="480" w:name="_Toc279701248"/>
      <w:bookmarkStart w:id="481" w:name="_Ref467379852"/>
      <w:bookmarkStart w:id="482" w:name="_Ref467379923"/>
      <w:bookmarkStart w:id="483" w:name="_Toc487900358"/>
      <w:bookmarkStart w:id="484" w:name="_Toc774"/>
      <w:bookmarkStart w:id="485" w:name="_Toc3225"/>
      <w:bookmarkStart w:id="486" w:name="_Toc16110"/>
      <w:r>
        <w:rPr>
          <w:rFonts w:hint="eastAsia" w:ascii="宋体" w:hAnsi="宋体" w:cs="宋体"/>
          <w:b/>
          <w:sz w:val="24"/>
        </w:rPr>
        <w:t>2.6 技术资料</w:t>
      </w:r>
      <w:bookmarkEnd w:id="478"/>
      <w:bookmarkEnd w:id="479"/>
      <w:bookmarkEnd w:id="480"/>
      <w:bookmarkEnd w:id="481"/>
      <w:bookmarkEnd w:id="482"/>
      <w:bookmarkEnd w:id="483"/>
      <w:r>
        <w:rPr>
          <w:rFonts w:hint="eastAsia" w:ascii="宋体" w:hAnsi="宋体" w:cs="宋体"/>
          <w:b/>
          <w:sz w:val="24"/>
        </w:rPr>
        <w:t>和保密义务</w:t>
      </w:r>
      <w:bookmarkEnd w:id="484"/>
      <w:bookmarkEnd w:id="485"/>
      <w:bookmarkEnd w:id="486"/>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7" w:name="_Toc7860"/>
      <w:r>
        <w:rPr>
          <w:rFonts w:hint="eastAsia" w:ascii="宋体" w:hAnsi="宋体" w:cs="宋体"/>
          <w:b/>
          <w:sz w:val="24"/>
        </w:rPr>
        <w:t>2.7 质量保证</w:t>
      </w:r>
      <w:bookmarkEnd w:id="487"/>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8" w:name="_Toc17244"/>
      <w:bookmarkStart w:id="489" w:name="_Toc487900362"/>
      <w:bookmarkStart w:id="490" w:name="_Toc259093681"/>
      <w:bookmarkStart w:id="491" w:name="_Toc279701252"/>
      <w:r>
        <w:rPr>
          <w:rFonts w:hint="eastAsia" w:ascii="宋体" w:hAnsi="宋体" w:cs="宋体"/>
          <w:b/>
          <w:sz w:val="24"/>
        </w:rPr>
        <w:t>2.8 货物的风险负担</w:t>
      </w:r>
      <w:bookmarkEnd w:id="488"/>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2" w:name="_Toc14055"/>
      <w:r>
        <w:rPr>
          <w:rFonts w:hint="eastAsia" w:ascii="宋体" w:hAnsi="宋体" w:cs="宋体"/>
          <w:b/>
          <w:sz w:val="24"/>
        </w:rPr>
        <w:t>2.9 延迟交货</w:t>
      </w:r>
      <w:bookmarkEnd w:id="489"/>
      <w:bookmarkEnd w:id="490"/>
      <w:bookmarkEnd w:id="491"/>
      <w:bookmarkEnd w:id="492"/>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3" w:name="_Toc7502"/>
      <w:bookmarkStart w:id="494" w:name="_Toc279701254"/>
      <w:bookmarkStart w:id="495" w:name="_Toc487900364"/>
      <w:bookmarkStart w:id="496" w:name="_Ref467378121"/>
      <w:bookmarkStart w:id="497" w:name="_Toc259093683"/>
      <w:r>
        <w:rPr>
          <w:rFonts w:hint="eastAsia" w:ascii="宋体" w:hAnsi="宋体" w:cs="宋体"/>
          <w:b/>
          <w:sz w:val="24"/>
        </w:rPr>
        <w:t>2.10 合同变更</w:t>
      </w:r>
      <w:bookmarkEnd w:id="493"/>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8" w:name="_Toc259093688"/>
      <w:bookmarkStart w:id="499" w:name="_Toc279701259"/>
      <w:bookmarkStart w:id="500" w:name="_Toc487900369"/>
    </w:p>
    <w:p>
      <w:pPr>
        <w:spacing w:line="560" w:lineRule="exact"/>
        <w:ind w:firstLine="482" w:firstLineChars="200"/>
        <w:outlineLvl w:val="0"/>
        <w:rPr>
          <w:rFonts w:ascii="宋体" w:hAnsi="宋体" w:cs="宋体"/>
          <w:b/>
          <w:sz w:val="24"/>
        </w:rPr>
      </w:pPr>
      <w:bookmarkStart w:id="501" w:name="_Toc15237"/>
      <w:bookmarkStart w:id="502" w:name="_Toc22955"/>
      <w:bookmarkStart w:id="503" w:name="_Toc10366"/>
      <w:r>
        <w:rPr>
          <w:rFonts w:hint="eastAsia" w:ascii="宋体" w:hAnsi="宋体" w:cs="宋体"/>
          <w:b/>
          <w:sz w:val="24"/>
        </w:rPr>
        <w:t>2.11 合同转让</w:t>
      </w:r>
      <w:bookmarkEnd w:id="498"/>
      <w:bookmarkEnd w:id="499"/>
      <w:bookmarkEnd w:id="500"/>
      <w:r>
        <w:rPr>
          <w:rFonts w:hint="eastAsia" w:ascii="宋体" w:hAnsi="宋体" w:cs="宋体"/>
          <w:b/>
          <w:sz w:val="24"/>
        </w:rPr>
        <w:t>和分包</w:t>
      </w:r>
      <w:bookmarkEnd w:id="501"/>
      <w:bookmarkEnd w:id="502"/>
      <w:bookmarkEnd w:id="503"/>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4" w:name="_Toc13566"/>
      <w:bookmarkStart w:id="505" w:name="_Toc14066"/>
      <w:bookmarkStart w:id="506" w:name="_Toc16508"/>
      <w:r>
        <w:rPr>
          <w:rFonts w:hint="eastAsia" w:ascii="宋体" w:hAnsi="宋体" w:cs="宋体"/>
          <w:b/>
          <w:sz w:val="24"/>
        </w:rPr>
        <w:t>2.12 不可抗力</w:t>
      </w:r>
      <w:bookmarkEnd w:id="504"/>
      <w:bookmarkEnd w:id="505"/>
      <w:bookmarkEnd w:id="506"/>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7" w:name="_Toc279701255"/>
      <w:bookmarkStart w:id="508" w:name="_Toc487900365"/>
      <w:bookmarkStart w:id="509" w:name="_Toc30676"/>
      <w:bookmarkStart w:id="510" w:name="_Toc689"/>
      <w:bookmarkStart w:id="511" w:name="_Toc259093684"/>
      <w:bookmarkStart w:id="512" w:name="_Toc6969"/>
      <w:r>
        <w:rPr>
          <w:rFonts w:hint="eastAsia" w:ascii="宋体" w:hAnsi="宋体" w:cs="宋体"/>
          <w:b/>
          <w:sz w:val="24"/>
        </w:rPr>
        <w:t>2.13 税费</w:t>
      </w:r>
      <w:bookmarkEnd w:id="507"/>
      <w:bookmarkEnd w:id="508"/>
      <w:bookmarkEnd w:id="509"/>
      <w:bookmarkEnd w:id="510"/>
      <w:bookmarkEnd w:id="511"/>
      <w:bookmarkEnd w:id="512"/>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3" w:name="_Toc487900368"/>
      <w:bookmarkStart w:id="514" w:name="_Toc8298"/>
      <w:bookmarkStart w:id="515" w:name="_Toc279701258"/>
      <w:bookmarkStart w:id="516" w:name="_Toc259093687"/>
      <w:bookmarkStart w:id="517" w:name="_Toc16959"/>
      <w:bookmarkStart w:id="518" w:name="_Toc7102"/>
      <w:r>
        <w:rPr>
          <w:rFonts w:hint="eastAsia" w:ascii="宋体" w:hAnsi="宋体" w:cs="宋体"/>
          <w:b/>
          <w:sz w:val="24"/>
        </w:rPr>
        <w:t>2.14乙方破产</w:t>
      </w:r>
      <w:bookmarkEnd w:id="513"/>
      <w:bookmarkEnd w:id="514"/>
      <w:bookmarkEnd w:id="515"/>
      <w:bookmarkEnd w:id="516"/>
      <w:bookmarkEnd w:id="517"/>
      <w:bookmarkEnd w:id="518"/>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9" w:name="_Toc29333"/>
      <w:bookmarkStart w:id="520" w:name="_Toc15387"/>
      <w:bookmarkStart w:id="521" w:name="_Toc6134"/>
      <w:r>
        <w:rPr>
          <w:rFonts w:hint="eastAsia" w:ascii="宋体" w:hAnsi="宋体" w:cs="宋体"/>
          <w:b/>
          <w:sz w:val="24"/>
        </w:rPr>
        <w:t>2.15 合同中止、终止</w:t>
      </w:r>
      <w:bookmarkEnd w:id="519"/>
      <w:bookmarkEnd w:id="520"/>
      <w:bookmarkEnd w:id="521"/>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2" w:name="_Toc14563"/>
      <w:bookmarkStart w:id="523" w:name="_Toc6596"/>
      <w:bookmarkStart w:id="524" w:name="_Toc1125"/>
      <w:r>
        <w:rPr>
          <w:rFonts w:hint="eastAsia" w:ascii="宋体" w:hAnsi="宋体" w:cs="宋体"/>
          <w:b/>
          <w:sz w:val="24"/>
        </w:rPr>
        <w:t>2.16检验和验收</w:t>
      </w:r>
      <w:bookmarkEnd w:id="522"/>
      <w:bookmarkEnd w:id="523"/>
      <w:bookmarkEnd w:id="524"/>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4"/>
    <w:bookmarkEnd w:id="495"/>
    <w:bookmarkEnd w:id="496"/>
    <w:bookmarkEnd w:id="497"/>
    <w:p>
      <w:pPr>
        <w:spacing w:line="560" w:lineRule="exact"/>
        <w:ind w:firstLine="482" w:firstLineChars="200"/>
        <w:outlineLvl w:val="0"/>
        <w:rPr>
          <w:rFonts w:ascii="宋体" w:hAnsi="宋体" w:cs="宋体"/>
          <w:b/>
          <w:sz w:val="24"/>
        </w:rPr>
      </w:pPr>
      <w:bookmarkStart w:id="525" w:name="_Toc487900371"/>
      <w:bookmarkStart w:id="526" w:name="_Toc279701261"/>
      <w:bookmarkStart w:id="527" w:name="_Toc259093690"/>
      <w:bookmarkStart w:id="528" w:name="_Toc11284"/>
      <w:bookmarkStart w:id="529" w:name="_Toc19604"/>
      <w:bookmarkStart w:id="530" w:name="_Toc25182"/>
      <w:r>
        <w:rPr>
          <w:rFonts w:hint="eastAsia" w:ascii="宋体" w:hAnsi="宋体" w:cs="宋体"/>
          <w:b/>
          <w:sz w:val="24"/>
        </w:rPr>
        <w:t>2.17 通知</w:t>
      </w:r>
      <w:bookmarkEnd w:id="525"/>
      <w:bookmarkEnd w:id="526"/>
      <w:bookmarkEnd w:id="527"/>
      <w:r>
        <w:rPr>
          <w:rFonts w:hint="eastAsia" w:ascii="宋体" w:hAnsi="宋体" w:cs="宋体"/>
          <w:b/>
          <w:sz w:val="24"/>
        </w:rPr>
        <w:t>和送达</w:t>
      </w:r>
      <w:bookmarkEnd w:id="528"/>
      <w:bookmarkEnd w:id="529"/>
      <w:bookmarkEnd w:id="530"/>
    </w:p>
    <w:p>
      <w:pPr>
        <w:spacing w:line="560" w:lineRule="exact"/>
        <w:ind w:firstLine="480" w:firstLineChars="200"/>
        <w:rPr>
          <w:rFonts w:ascii="宋体" w:hAnsi="宋体" w:cs="宋体"/>
          <w:sz w:val="24"/>
        </w:rPr>
      </w:pPr>
      <w:bookmarkStart w:id="531" w:name="_Toc3135"/>
      <w:bookmarkStart w:id="532" w:name="_Toc6698"/>
      <w:bookmarkStart w:id="533" w:name="_Toc279701262"/>
      <w:bookmarkStart w:id="534" w:name="_Toc259093691"/>
      <w:bookmarkStart w:id="535" w:name="_Toc48790037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31"/>
      <w:bookmarkEnd w:id="532"/>
    </w:p>
    <w:p>
      <w:pPr>
        <w:spacing w:line="560" w:lineRule="exact"/>
        <w:ind w:firstLine="480" w:firstLineChars="200"/>
        <w:rPr>
          <w:rFonts w:ascii="宋体" w:hAnsi="宋体" w:cs="宋体"/>
          <w:sz w:val="24"/>
        </w:rPr>
      </w:pPr>
      <w:bookmarkStart w:id="536" w:name="_Toc23128"/>
      <w:bookmarkStart w:id="537"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6"/>
      <w:bookmarkEnd w:id="537"/>
    </w:p>
    <w:p>
      <w:pPr>
        <w:spacing w:line="560" w:lineRule="exact"/>
        <w:ind w:firstLine="482" w:firstLineChars="200"/>
        <w:outlineLvl w:val="0"/>
        <w:rPr>
          <w:rFonts w:ascii="宋体" w:hAnsi="宋体" w:cs="宋体"/>
          <w:b/>
          <w:sz w:val="24"/>
        </w:rPr>
      </w:pPr>
      <w:bookmarkStart w:id="538" w:name="_Toc4355"/>
      <w:bookmarkStart w:id="539" w:name="_Toc18540"/>
      <w:bookmarkStart w:id="540" w:name="_Toc30599"/>
      <w:r>
        <w:rPr>
          <w:rFonts w:hint="eastAsia" w:ascii="宋体" w:hAnsi="宋体" w:cs="宋体"/>
          <w:b/>
          <w:sz w:val="24"/>
        </w:rPr>
        <w:t>2.18 计量单位</w:t>
      </w:r>
      <w:bookmarkEnd w:id="533"/>
      <w:bookmarkEnd w:id="534"/>
      <w:bookmarkEnd w:id="535"/>
      <w:bookmarkEnd w:id="538"/>
      <w:bookmarkEnd w:id="539"/>
      <w:bookmarkEnd w:id="540"/>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41" w:name="_Toc259093692"/>
      <w:bookmarkStart w:id="542" w:name="_Toc12773"/>
      <w:bookmarkStart w:id="543" w:name="_Toc10330"/>
      <w:bookmarkStart w:id="544" w:name="_Toc487900373"/>
      <w:bookmarkStart w:id="545" w:name="_Toc18567"/>
      <w:bookmarkStart w:id="546" w:name="_Toc279701263"/>
      <w:r>
        <w:rPr>
          <w:rFonts w:hint="eastAsia" w:ascii="宋体" w:hAnsi="宋体" w:cs="宋体"/>
          <w:b/>
          <w:sz w:val="24"/>
        </w:rPr>
        <w:t>2.19 合同使用的文字和适用的法律</w:t>
      </w:r>
      <w:bookmarkEnd w:id="541"/>
      <w:bookmarkEnd w:id="542"/>
      <w:bookmarkEnd w:id="543"/>
      <w:bookmarkEnd w:id="544"/>
      <w:bookmarkEnd w:id="545"/>
      <w:bookmarkEnd w:id="546"/>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7" w:name="_Toc6885"/>
      <w:bookmarkStart w:id="548" w:name="_Toc19890"/>
      <w:bookmarkStart w:id="549" w:name="_Toc14001"/>
      <w:r>
        <w:rPr>
          <w:rFonts w:hint="eastAsia" w:ascii="宋体" w:hAnsi="宋体" w:cs="宋体"/>
          <w:b/>
          <w:sz w:val="24"/>
        </w:rPr>
        <w:t>2.20 合同份数</w:t>
      </w:r>
      <w:bookmarkEnd w:id="547"/>
      <w:bookmarkEnd w:id="548"/>
      <w:bookmarkEnd w:id="549"/>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spacing w:line="360" w:lineRule="auto"/>
              <w:rPr>
                <w:rFonts w:ascii="宋体" w:hAnsi="宋体" w:cs="宋体"/>
                <w:sz w:val="24"/>
              </w:rPr>
            </w:pPr>
            <w:r>
              <w:rPr>
                <w:rFonts w:hint="eastAsia" w:ascii="宋体" w:hAnsi="宋体" w:cs="宋体"/>
                <w:kern w:val="0"/>
                <w:sz w:val="24"/>
              </w:rPr>
              <w:t>履约保证金支付方式：</w:t>
            </w:r>
            <w:r>
              <w:rPr>
                <w:rFonts w:hint="eastAsia" w:ascii="宋体" w:hAnsi="宋体" w:cs="仿宋"/>
                <w:color w:val="000000" w:themeColor="text1"/>
                <w:sz w:val="24"/>
                <w14:textFill>
                  <w14:solidFill>
                    <w14:schemeClr w14:val="tx1"/>
                  </w14:solidFill>
                </w14:textFill>
              </w:rPr>
              <w:t>中标供应商以支票、汇票、本票或者金融机构、担保机构出具的保函等非现金形式提交履约保证金。合同签时缴纳合同价</w:t>
            </w:r>
            <w:r>
              <w:rPr>
                <w:rFonts w:ascii="宋体" w:hAnsi="宋体" w:cs="仿宋"/>
                <w:color w:val="000000" w:themeColor="text1"/>
                <w:sz w:val="24"/>
                <w14:textFill>
                  <w14:solidFill>
                    <w14:schemeClr w14:val="tx1"/>
                  </w14:solidFill>
                </w14:textFill>
              </w:rPr>
              <w:t>1%履约保证金,交至采购单位。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cs="宋体"/>
                <w:sz w:val="24"/>
              </w:rPr>
            </w:pPr>
            <w:r>
              <w:rPr>
                <w:rFonts w:hint="eastAsia" w:ascii="宋体" w:hAnsi="宋体" w:cs="宋体"/>
                <w:kern w:val="0"/>
                <w:sz w:val="24"/>
              </w:rPr>
              <w:t>预付款比例、支付方式、时间：</w:t>
            </w:r>
            <w:r>
              <w:rPr>
                <w:rFonts w:hint="eastAsia" w:ascii="宋体" w:hAnsi="宋体" w:cs="Arial"/>
                <w:color w:val="000000" w:themeColor="text1"/>
                <w:kern w:val="0"/>
                <w:sz w:val="24"/>
                <w14:textFill>
                  <w14:solidFill>
                    <w14:schemeClr w14:val="tx1"/>
                  </w14:solidFill>
                </w14:textFill>
              </w:rPr>
              <w:t>双方合同签订生效、具备实施条件并经财政审批后预付合同价的</w:t>
            </w:r>
            <w:r>
              <w:rPr>
                <w:rFonts w:ascii="宋体" w:hAnsi="宋体" w:cs="Arial"/>
                <w:color w:val="000000" w:themeColor="text1"/>
                <w:kern w:val="0"/>
                <w:sz w:val="24"/>
                <w14:textFill>
                  <w14:solidFill>
                    <w14:schemeClr w14:val="tx1"/>
                  </w14:solidFill>
                </w14:textFill>
              </w:rPr>
              <w:t>50%</w:t>
            </w:r>
            <w:r>
              <w:rPr>
                <w:rFonts w:hint="eastAsia" w:ascii="宋体" w:hAnsi="宋体" w:cs="Arial"/>
                <w:color w:val="000000" w:themeColor="text1"/>
                <w:kern w:val="0"/>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ascii="宋体" w:hAnsi="宋体" w:cs="宋体"/>
                <w:sz w:val="24"/>
              </w:rPr>
            </w:pPr>
            <w:r>
              <w:rPr>
                <w:rFonts w:hint="eastAsia" w:ascii="宋体" w:hAnsi="宋体" w:cs="宋体"/>
                <w:kern w:val="0"/>
                <w:sz w:val="24"/>
              </w:rPr>
              <w:t>预付款的扣回方式：不扣回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ascii="宋体" w:hAnsi="宋体" w:cs="宋体"/>
                <w:sz w:val="24"/>
              </w:rPr>
            </w:pPr>
            <w:r>
              <w:rPr>
                <w:rFonts w:hint="eastAsia" w:ascii="宋体" w:hAnsi="宋体"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spacing w:line="360" w:lineRule="auto"/>
              <w:rPr>
                <w:rFonts w:ascii="宋体" w:hAnsi="宋体" w:cs="宋体"/>
                <w:sz w:val="24"/>
              </w:rPr>
            </w:pPr>
            <w:r>
              <w:rPr>
                <w:rFonts w:hint="eastAsia" w:ascii="宋体" w:hAnsi="宋体" w:cs="宋体"/>
                <w:kern w:val="0"/>
                <w:sz w:val="24"/>
              </w:rPr>
              <w:t xml:space="preserve">资金支付的方式、时间和条件： </w:t>
            </w:r>
            <w:r>
              <w:rPr>
                <w:rFonts w:hint="eastAsia" w:ascii="宋体" w:hAnsi="宋体" w:cs="Arial"/>
                <w:color w:val="000000" w:themeColor="text1"/>
                <w:kern w:val="0"/>
                <w:sz w:val="24"/>
                <w14:textFill>
                  <w14:solidFill>
                    <w14:schemeClr w14:val="tx1"/>
                  </w14:solidFill>
                </w14:textFill>
              </w:rPr>
              <w:t>双方合同签订生效、具备实施条件并经财政审批后预付合同价的</w:t>
            </w:r>
            <w:r>
              <w:rPr>
                <w:rFonts w:ascii="宋体" w:hAnsi="宋体" w:cs="Arial"/>
                <w:color w:val="000000" w:themeColor="text1"/>
                <w:kern w:val="0"/>
                <w:sz w:val="24"/>
                <w14:textFill>
                  <w14:solidFill>
                    <w14:schemeClr w14:val="tx1"/>
                  </w14:solidFill>
                </w14:textFill>
              </w:rPr>
              <w:t>50%，货物全部安装、调试到位并验收合格、资料归档后报财政审批支付合同价款的50%。整体验收不合格，则需整改至合格后再付款。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b w:val="0"/>
                <w:bCs w:val="0"/>
                <w:sz w:val="24"/>
              </w:rPr>
            </w:pPr>
            <w:r>
              <w:rPr>
                <w:rFonts w:hint="eastAsia" w:ascii="宋体" w:hAnsi="宋体" w:cs="宋体"/>
                <w:b w:val="0"/>
                <w:bCs w:val="0"/>
                <w:sz w:val="24"/>
              </w:rPr>
              <w:t>1.7.1</w:t>
            </w:r>
          </w:p>
        </w:tc>
        <w:tc>
          <w:tcPr>
            <w:tcW w:w="4534" w:type="pct"/>
            <w:vAlign w:val="center"/>
          </w:tcPr>
          <w:p>
            <w:pPr>
              <w:spacing w:line="360" w:lineRule="auto"/>
              <w:rPr>
                <w:rFonts w:ascii="宋体" w:hAnsi="宋体" w:cs="宋体"/>
                <w:b w:val="0"/>
                <w:bCs w:val="0"/>
                <w:sz w:val="24"/>
              </w:rPr>
            </w:pPr>
            <w:r>
              <w:rPr>
                <w:rFonts w:hint="eastAsia" w:hAnsi="宋体" w:cs="宋体"/>
                <w:b w:val="0"/>
                <w:bCs w:val="0"/>
                <w:snapToGrid/>
                <w:color w:val="000000" w:themeColor="text1"/>
                <w:kern w:val="2"/>
                <w:sz w:val="24"/>
                <w:szCs w:val="24"/>
                <w14:textFill>
                  <w14:solidFill>
                    <w14:schemeClr w14:val="tx1"/>
                  </w14:solidFill>
                </w14:textFill>
              </w:rPr>
              <w:t>合同履约期限</w:t>
            </w:r>
            <w:r>
              <w:rPr>
                <w:rFonts w:hint="eastAsia" w:hAnsi="宋体" w:cs="宋体"/>
                <w:b w:val="0"/>
                <w:bCs w:val="0"/>
                <w:snapToGrid/>
                <w:color w:val="000000" w:themeColor="text1"/>
                <w:kern w:val="2"/>
                <w:sz w:val="24"/>
                <w:szCs w:val="24"/>
                <w:highlight w:val="none"/>
                <w14:textFill>
                  <w14:solidFill>
                    <w14:schemeClr w14:val="tx1"/>
                  </w14:solidFill>
                </w14:textFill>
              </w:rPr>
              <w:t>：</w:t>
            </w:r>
            <w:r>
              <w:rPr>
                <w:rFonts w:hint="eastAsia" w:ascii="宋体" w:hAnsi="宋体" w:eastAsia="宋体" w:cs="宋体"/>
                <w:b w:val="0"/>
                <w:bCs w:val="0"/>
                <w:color w:val="auto"/>
                <w:sz w:val="24"/>
                <w:szCs w:val="24"/>
                <w:highlight w:val="none"/>
              </w:rPr>
              <w:t>合同签订且接采购人通知后</w:t>
            </w:r>
            <w:r>
              <w:rPr>
                <w:rFonts w:hint="eastAsia" w:hAnsi="宋体" w:cs="宋体"/>
                <w:b w:val="0"/>
                <w:bCs w:val="0"/>
                <w:color w:val="auto"/>
                <w:sz w:val="24"/>
                <w:szCs w:val="24"/>
                <w:highlight w:val="none"/>
                <w:lang w:val="en-US" w:eastAsia="zh-CN"/>
              </w:rPr>
              <w:t>45</w:t>
            </w:r>
            <w:r>
              <w:rPr>
                <w:rFonts w:hint="eastAsia" w:ascii="宋体" w:hAnsi="宋体" w:eastAsia="宋体" w:cs="宋体"/>
                <w:b w:val="0"/>
                <w:bCs w:val="0"/>
                <w:color w:val="auto"/>
                <w:sz w:val="24"/>
                <w:szCs w:val="24"/>
                <w:highlight w:val="none"/>
              </w:rPr>
              <w:t>天内到货并安装完成。</w:t>
            </w:r>
            <w:r>
              <w:rPr>
                <w:rFonts w:hint="eastAsia" w:hAnsi="宋体" w:cs="仿宋"/>
                <w:b w:val="0"/>
                <w:bCs w:val="0"/>
                <w:color w:val="FF0000"/>
                <w:sz w:val="24"/>
                <w:szCs w:val="24"/>
                <w:highlight w:val="none"/>
                <w:lang w:val="en-US" w:eastAsia="zh-CN"/>
              </w:rPr>
              <w:t xml:space="preserve"> </w:t>
            </w:r>
            <w:r>
              <w:rPr>
                <w:rFonts w:hint="eastAsia" w:ascii="宋体" w:hAnsi="宋体" w:cs="宋体"/>
                <w:b w:val="0"/>
                <w:bCs w:val="0"/>
                <w:color w:val="000000" w:themeColor="text1"/>
                <w:sz w:val="24"/>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r>
              <w:rPr>
                <w:rFonts w:hint="eastAsia" w:ascii="宋体" w:hAnsi="宋体"/>
                <w:kern w:val="0"/>
                <w:sz w:val="24"/>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sz w:val="24"/>
              </w:rPr>
            </w:pPr>
            <w:r>
              <w:rPr>
                <w:rFonts w:hint="eastAsia" w:ascii="宋体" w:hAnsi="宋体" w:cs="宋体"/>
                <w:sz w:val="24"/>
              </w:rPr>
              <w:t>按采购人要求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85"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sz w:val="24"/>
              </w:rPr>
            </w:pPr>
            <w:r>
              <w:rPr>
                <w:rFonts w:hint="eastAsia"/>
                <w:sz w:val="24"/>
              </w:rPr>
              <w:t>其他违约条款（可自行补充）</w:t>
            </w:r>
          </w:p>
          <w:p>
            <w:pPr>
              <w:numPr>
                <w:ilvl w:val="0"/>
                <w:numId w:val="4"/>
              </w:numPr>
              <w:spacing w:line="360" w:lineRule="auto"/>
              <w:rPr>
                <w:sz w:val="24"/>
              </w:rPr>
            </w:pPr>
            <w:r>
              <w:rPr>
                <w:rFonts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rPr>
                <w:rFonts w:ascii="宋体" w:hAnsi="宋体" w:cs="宋体"/>
                <w:sz w:val="24"/>
              </w:rPr>
            </w:pPr>
            <w:r>
              <w:rPr>
                <w:rFonts w:hint="eastAsia" w:ascii="宋体" w:hAnsi="宋体" w:cs="宋体"/>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cs="宋体"/>
                <w:sz w:val="24"/>
              </w:rPr>
            </w:pPr>
            <w:r>
              <w:rPr>
                <w:rFonts w:hint="eastAsia" w:ascii="宋体" w:hAnsi="宋体" w:cs="宋体"/>
                <w:sz w:val="24"/>
              </w:rPr>
              <w:t>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534" w:type="pct"/>
            <w:vAlign w:val="center"/>
          </w:tcPr>
          <w:p>
            <w:pPr>
              <w:spacing w:line="360" w:lineRule="auto"/>
              <w:rPr>
                <w:rFonts w:ascii="宋体" w:hAnsi="宋体" w:cs="宋体"/>
                <w:sz w:val="24"/>
              </w:rPr>
            </w:pPr>
            <w:r>
              <w:rPr>
                <w:rFonts w:hint="eastAsia" w:ascii="宋体" w:hAnsi="宋体" w:cs="宋体"/>
                <w:sz w:val="24"/>
              </w:rPr>
              <w:t>项目所在地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36" w:lineRule="auto"/>
              <w:rPr>
                <w:rFonts w:ascii="宋体" w:hAnsi="宋体"/>
                <w:sz w:val="24"/>
              </w:rPr>
            </w:pPr>
            <w:r>
              <w:rPr>
                <w:rFonts w:hint="eastAsia" w:ascii="宋体" w:hAnsi="宋体"/>
                <w:sz w:val="24"/>
              </w:rPr>
              <w:t>本项目成果知识产权归属采购人。（除厂商原已申报所得的知识产权除外）</w:t>
            </w:r>
          </w:p>
          <w:p>
            <w:pPr>
              <w:spacing w:line="360" w:lineRule="auto"/>
              <w:ind w:left="-420" w:leftChars="-200" w:right="-420" w:rightChars="-200" w:firstLine="480" w:firstLineChars="200"/>
              <w:rPr>
                <w:rFonts w:ascii="宋体" w:hAnsi="宋体" w:cs="宋体"/>
                <w:sz w:val="24"/>
              </w:rPr>
            </w:pPr>
            <w:r>
              <w:rPr>
                <w:rFonts w:hint="eastAsia" w:ascii="宋体" w:hAnsi="宋体"/>
                <w:sz w:val="24"/>
              </w:rPr>
              <w:t>乙方应保证提供服务过程中不会侵犯任何第三方的知识产权。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r>
              <w:rPr>
                <w:rFonts w:hint="eastAsia" w:ascii="宋体" w:hAnsi="宋体" w:cs="宋体"/>
                <w:sz w:val="24"/>
              </w:rPr>
              <w:t>非甲方人为故意损坏情况外，均由乙方承担。货物到达甲方指点地点至安装交付前均由乙方做好防护工作，直至验收合格移交甲方。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r>
              <w:rPr>
                <w:rFonts w:hint="eastAsia" w:ascii="宋体" w:hAnsi="宋体"/>
                <w:sz w:val="24"/>
              </w:rPr>
              <w:t>不可抗力时间发生后7天内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sz w:val="24"/>
              </w:rPr>
            </w:pPr>
            <w:r>
              <w:rPr>
                <w:rFonts w:hint="eastAsia" w:ascii="宋体" w:hAnsi="宋体"/>
                <w:sz w:val="24"/>
              </w:rPr>
              <w:t>不可抗力时间发生后7内天，14天内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sz w:val="24"/>
              </w:rPr>
            </w:pPr>
            <w:r>
              <w:rPr>
                <w:rFonts w:hint="eastAsia" w:ascii="宋体" w:hAnsi="宋体" w:cs="宋体"/>
                <w:sz w:val="24"/>
              </w:rPr>
              <w:t>乙方提交验收申请</w:t>
            </w:r>
            <w:r>
              <w:rPr>
                <w:rFonts w:ascii="宋体" w:hAnsi="宋体" w:cs="宋体"/>
                <w:sz w:val="24"/>
              </w:rPr>
              <w:t>1</w:t>
            </w:r>
            <w:r>
              <w:rPr>
                <w:rFonts w:hint="eastAsia" w:ascii="宋体" w:hAnsi="宋体" w:cs="宋体"/>
                <w:sz w:val="24"/>
              </w:rPr>
              <w:t>0天内组织验收会议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sz w:val="24"/>
              </w:rPr>
            </w:pPr>
            <w:r>
              <w:rPr>
                <w:rFonts w:hint="eastAsia" w:ascii="宋体" w:hAnsi="宋体"/>
                <w:sz w:val="24"/>
              </w:rPr>
              <w:t>检验和验收标准，以及前述验收文件的有效性以招标采购需求为准。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cs="宋体"/>
                <w:sz w:val="24"/>
              </w:rPr>
            </w:pPr>
            <w:r>
              <w:rPr>
                <w:rFonts w:ascii="宋体" w:hAnsi="宋体"/>
                <w:sz w:val="24"/>
              </w:rPr>
              <w:t>本合同一式【</w:t>
            </w:r>
            <w:r>
              <w:rPr>
                <w:rFonts w:hint="eastAsia" w:ascii="宋体" w:hAnsi="宋体"/>
                <w:sz w:val="24"/>
              </w:rPr>
              <w:t>伍</w:t>
            </w:r>
            <w:r>
              <w:rPr>
                <w:rFonts w:ascii="宋体" w:hAnsi="宋体"/>
                <w:sz w:val="24"/>
              </w:rPr>
              <w:t>】份，甲方执【</w:t>
            </w:r>
            <w:r>
              <w:rPr>
                <w:rFonts w:hint="eastAsia" w:ascii="宋体" w:hAnsi="宋体"/>
                <w:sz w:val="24"/>
              </w:rPr>
              <w:t>贰</w:t>
            </w:r>
            <w:r>
              <w:rPr>
                <w:rFonts w:ascii="宋体" w:hAnsi="宋体"/>
                <w:sz w:val="24"/>
              </w:rPr>
              <w:t>】份，乙方执【贰】份</w:t>
            </w:r>
            <w:r>
              <w:rPr>
                <w:rFonts w:hint="eastAsia" w:ascii="宋体" w:hAnsi="宋体"/>
                <w:sz w:val="24"/>
              </w:rPr>
              <w:t>，代理机构执</w:t>
            </w:r>
            <w:r>
              <w:rPr>
                <w:rFonts w:ascii="宋体" w:hAnsi="宋体"/>
                <w:sz w:val="24"/>
              </w:rPr>
              <w:t>【</w:t>
            </w:r>
            <w:r>
              <w:rPr>
                <w:rFonts w:hint="eastAsia" w:ascii="宋体" w:hAnsi="宋体"/>
                <w:sz w:val="24"/>
              </w:rPr>
              <w:t>壹</w:t>
            </w:r>
            <w:r>
              <w:rPr>
                <w:rFonts w:ascii="宋体" w:hAnsi="宋体"/>
                <w:sz w:val="24"/>
              </w:rPr>
              <w:t>】</w:t>
            </w:r>
            <w:r>
              <w:rPr>
                <w:rFonts w:hint="eastAsia" w:ascii="宋体" w:hAnsi="宋体"/>
                <w:sz w:val="24"/>
              </w:rPr>
              <w:t>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3"/>
      </w:pPr>
    </w:p>
    <w:p/>
    <w:p>
      <w:pPr>
        <w:rPr>
          <w:rFonts w:ascii="宋体" w:hAnsi="宋体" w:cs="宋体"/>
          <w:b/>
          <w:sz w:val="36"/>
          <w:szCs w:val="20"/>
        </w:rPr>
      </w:pPr>
      <w:r>
        <w:rPr>
          <w:rFonts w:hint="eastAsia" w:ascii="宋体" w:hAnsi="宋体" w:cs="宋体"/>
          <w:b/>
          <w:sz w:val="36"/>
          <w:szCs w:val="20"/>
        </w:rPr>
        <w:br w:type="page"/>
      </w: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9"/>
      <w:r>
        <w:rPr>
          <w:rFonts w:hint="eastAsia" w:ascii="宋体" w:hAnsi="宋体" w:cs="宋体"/>
          <w:b/>
          <w:sz w:val="36"/>
          <w:szCs w:val="20"/>
        </w:rPr>
        <w:t xml:space="preserve"> </w:t>
      </w:r>
      <w:bookmarkEnd w:id="400"/>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rPr>
          <w:rFonts w:ascii="宋体" w:hAnsi="宋体" w:cs="宋体"/>
          <w:sz w:val="24"/>
        </w:rPr>
      </w:pPr>
      <w:r>
        <w:rPr>
          <w:rFonts w:hint="eastAsia" w:ascii="宋体" w:hAnsi="宋体" w:cs="宋体"/>
          <w:sz w:val="24"/>
        </w:rPr>
        <w:t>（5）中小企业声明函………………………………………………………（页码）</w:t>
      </w: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lang w:eastAsia="zh-CN"/>
        </w:rPr>
        <w:t>淳安县汾口镇人民政府</w:t>
      </w:r>
      <w:r>
        <w:rPr>
          <w:rFonts w:hint="eastAsia" w:ascii="宋体" w:hAnsi="宋体" w:cs="宋体"/>
          <w:sz w:val="24"/>
        </w:rPr>
        <w:t>、浙江科佳工程咨询有限公司：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lang w:eastAsia="zh-CN"/>
        </w:rPr>
        <w:t>淳安县汾口镇自来水厂增压泵设备采购项目</w:t>
      </w:r>
      <w:r>
        <w:rPr>
          <w:rFonts w:hint="eastAsia" w:ascii="宋体" w:hAnsi="宋体" w:cs="宋体"/>
          <w:sz w:val="24"/>
        </w:rPr>
        <w:t>【招标编号：</w:t>
      </w:r>
      <w:r>
        <w:rPr>
          <w:rFonts w:hint="eastAsia" w:ascii="宋体" w:hAnsi="宋体" w:cs="宋体"/>
          <w:sz w:val="24"/>
          <w:lang w:eastAsia="zh-CN"/>
        </w:rPr>
        <w:t>ZJKJCA[2024]004号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482" w:firstLineChars="200"/>
        <w:rPr>
          <w:rFonts w:hint="eastAsia" w:ascii="宋体" w:hAnsi="宋体" w:cs="宋体"/>
          <w:b/>
          <w:kern w:val="0"/>
          <w:sz w:val="32"/>
          <w:szCs w:val="32"/>
        </w:rPr>
      </w:pPr>
      <w:r>
        <w:rPr>
          <w:rFonts w:hint="eastAsia" w:ascii="宋体" w:hAnsi="宋体" w:cs="宋体"/>
          <w:b/>
          <w:kern w:val="0"/>
          <w:sz w:val="24"/>
        </w:rPr>
        <w:t>注：</w:t>
      </w:r>
      <w:r>
        <w:rPr>
          <w:rFonts w:hint="eastAsia" w:ascii="宋体" w:hAnsi="宋体" w:cs="宋体"/>
          <w:sz w:val="24"/>
        </w:rPr>
        <w:t>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宋体"/>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pStyle w:val="692"/>
        <w:keepNext w:val="0"/>
        <w:pageBreakBefore w:val="0"/>
        <w:tabs>
          <w:tab w:val="clear" w:pos="720"/>
        </w:tabs>
        <w:snapToGrid w:val="0"/>
        <w:spacing w:before="120" w:after="120"/>
        <w:ind w:firstLine="643"/>
        <w:outlineLvl w:val="9"/>
        <w:rPr>
          <w:rFonts w:ascii="宋体" w:hAnsi="宋体" w:eastAsia="宋体" w:cs="宋体"/>
          <w:sz w:val="32"/>
          <w:szCs w:val="32"/>
        </w:rPr>
      </w:pPr>
      <w:r>
        <w:rPr>
          <w:rFonts w:ascii="宋体" w:hAnsi="宋体" w:cs="宋体"/>
          <w:kern w:val="0"/>
          <w:sz w:val="32"/>
          <w:szCs w:val="32"/>
        </w:rPr>
        <w:br w:type="page"/>
      </w:r>
      <w:r>
        <w:rPr>
          <w:rFonts w:hint="eastAsia" w:ascii="宋体" w:hAnsi="宋体" w:eastAsia="宋体" w:cs="宋体"/>
          <w:kern w:val="2"/>
          <w:sz w:val="32"/>
          <w:szCs w:val="32"/>
        </w:rPr>
        <w:t>五、</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widowControl/>
        <w:adjustRightInd/>
        <w:jc w:val="left"/>
        <w:rPr>
          <w:rFonts w:ascii="宋体" w:hAnsi="宋体" w:cs="宋体"/>
          <w:b/>
          <w:kern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3"/>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lang w:eastAsia="zh-CN"/>
        </w:rPr>
        <w:t>淳安县汾口镇人民政府</w:t>
      </w:r>
      <w:r>
        <w:rPr>
          <w:rFonts w:hint="eastAsia" w:ascii="宋体" w:hAnsi="宋体" w:cs="宋体"/>
          <w:sz w:val="24"/>
        </w:rPr>
        <w:t>、浙江科佳工程咨询有限公司：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lang w:eastAsia="zh-CN"/>
        </w:rPr>
        <w:t>淳安县汾口镇自来水厂增压泵设备采购项目</w:t>
      </w:r>
      <w:r>
        <w:rPr>
          <w:rFonts w:hint="eastAsia" w:ascii="宋体" w:hAnsi="宋体" w:cs="宋体"/>
          <w:sz w:val="24"/>
        </w:rPr>
        <w:t>【招标编号：</w:t>
      </w:r>
      <w:r>
        <w:rPr>
          <w:rFonts w:hint="eastAsia" w:ascii="宋体" w:hAnsi="宋体" w:cs="宋体"/>
          <w:sz w:val="24"/>
          <w:lang w:eastAsia="zh-CN"/>
        </w:rPr>
        <w:t>ZJKJCA[2024]004号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2.1.5中小企业声明函</w:t>
      </w:r>
      <w:r>
        <w:rPr>
          <w:rFonts w:hint="eastAsia" w:ascii="宋体" w:hAnsi="宋体" w:cs="宋体"/>
          <w:snapToGrid w:val="0"/>
          <w:kern w:val="28"/>
          <w:sz w:val="24"/>
          <w:szCs w:val="20"/>
        </w:rPr>
        <w:t>（如果有）。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lang w:eastAsia="zh-CN"/>
        </w:rPr>
        <w:t>淳安县汾口镇人民政府</w:t>
      </w:r>
      <w:r>
        <w:rPr>
          <w:rFonts w:hint="eastAsia" w:ascii="宋体" w:hAnsi="宋体" w:cs="宋体"/>
          <w:sz w:val="24"/>
        </w:rPr>
        <w:t>、浙江科佳工程咨询有限公司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lang w:eastAsia="zh-CN"/>
        </w:rPr>
        <w:t>淳安县汾口镇自来水厂增压泵设备采购项目</w:t>
      </w:r>
      <w:r>
        <w:rPr>
          <w:rFonts w:hint="eastAsia" w:ascii="宋体" w:hAnsi="宋体" w:cs="宋体"/>
          <w:sz w:val="24"/>
        </w:rPr>
        <w:t>【招标编号：</w:t>
      </w:r>
      <w:r>
        <w:rPr>
          <w:rFonts w:hint="eastAsia" w:ascii="宋体" w:hAnsi="宋体" w:cs="宋体"/>
          <w:sz w:val="24"/>
          <w:lang w:eastAsia="zh-CN"/>
        </w:rPr>
        <w:t>ZJKJCA[2024]004号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lang w:eastAsia="zh-CN"/>
        </w:rPr>
        <w:t>淳安县汾口镇人民政府</w:t>
      </w:r>
      <w:r>
        <w:rPr>
          <w:rFonts w:hint="eastAsia" w:ascii="宋体" w:hAnsi="宋体" w:cs="宋体"/>
          <w:sz w:val="24"/>
        </w:rPr>
        <w:t>、浙江科佳工程咨询有限公司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lang w:eastAsia="zh-CN"/>
        </w:rPr>
        <w:t>淳安县汾口镇自来水厂增压泵设备采购项目</w:t>
      </w:r>
      <w:r>
        <w:rPr>
          <w:rFonts w:hint="eastAsia" w:ascii="宋体" w:hAnsi="宋体" w:cs="宋体"/>
          <w:sz w:val="24"/>
        </w:rPr>
        <w:t>【招标编号：</w:t>
      </w:r>
      <w:r>
        <w:rPr>
          <w:rFonts w:hint="eastAsia" w:ascii="宋体" w:hAnsi="宋体" w:cs="宋体"/>
          <w:sz w:val="24"/>
          <w:lang w:eastAsia="zh-CN"/>
        </w:rPr>
        <w:t>ZJKJCA[2024]004号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ind w:firstLine="482" w:firstLineChars="200"/>
        <w:rPr>
          <w:rFonts w:ascii="宋体" w:hAnsi="宋体" w:cs="宋体"/>
          <w:b/>
          <w:kern w:val="0"/>
          <w:sz w:val="32"/>
          <w:szCs w:val="32"/>
          <w:lang w:val="zh-CN"/>
        </w:rPr>
      </w:pPr>
      <w:r>
        <w:rPr>
          <w:rFonts w:hint="eastAsia" w:ascii="宋体" w:hAnsi="宋体" w:cs="宋体"/>
          <w:b/>
          <w:kern w:val="0"/>
          <w:sz w:val="24"/>
        </w:rPr>
        <w:t>注</w:t>
      </w:r>
      <w:r>
        <w:rPr>
          <w:rFonts w:hint="eastAsia" w:ascii="宋体" w:hAnsi="宋体" w:cs="宋体"/>
          <w:kern w:val="0"/>
          <w:sz w:val="24"/>
          <w:lang w:val="zh-CN"/>
        </w:rPr>
        <w:t>：▲供应商委派不在本单位缴纳社保的人员作为授权代表（代理人）的，应当在投标（响应）文件中，说明具体原因、授权代表缴纳社保的单位，并附列该授权代表缴纳社保清单。</w:t>
      </w:r>
      <w:r>
        <w:rPr>
          <w:rFonts w:hint="eastAsia" w:ascii="宋体" w:hAnsi="宋体" w:cs="宋体"/>
          <w:b/>
          <w:kern w:val="0"/>
          <w:sz w:val="32"/>
          <w:szCs w:val="32"/>
          <w:lang w:val="zh-CN"/>
        </w:rPr>
        <w:br w:type="page"/>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550"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50"/>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3"/>
        <w:rPr>
          <w:lang w:val="en-US"/>
        </w:rPr>
      </w:pPr>
    </w:p>
    <w:p/>
    <w:p>
      <w:pPr>
        <w:pStyle w:val="3"/>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hint="eastAsia" w:ascii="宋体" w:hAnsi="宋体" w:cs="宋体"/>
                <w:sz w:val="24"/>
              </w:rPr>
            </w:pPr>
          </w:p>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2066"/>
        <w:gridCol w:w="1605"/>
        <w:gridCol w:w="1478"/>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20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品牌（如果有）</w:t>
            </w: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06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06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06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lang w:eastAsia="zh-CN"/>
        </w:rPr>
        <w:t>淳安县汾口镇人民政府</w:t>
      </w:r>
      <w:r>
        <w:rPr>
          <w:rFonts w:hint="eastAsia" w:ascii="宋体" w:hAnsi="宋体" w:cs="宋体"/>
          <w:sz w:val="24"/>
        </w:rPr>
        <w:t>、浙江科佳工程咨询有限公司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pStyle w:val="84"/>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lang w:eastAsia="zh-CN"/>
        </w:rPr>
        <w:t>淳安县汾口镇人民政府</w:t>
      </w:r>
      <w:r>
        <w:rPr>
          <w:rFonts w:hint="eastAsia" w:ascii="宋体" w:hAnsi="宋体" w:cs="宋体"/>
          <w:sz w:val="24"/>
        </w:rPr>
        <w:t>、浙江科佳工程咨询有限公司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淳安县汾口镇自来水厂增压泵设备采购项目</w:t>
      </w:r>
      <w:r>
        <w:rPr>
          <w:rFonts w:hint="eastAsia" w:ascii="宋体" w:hAnsi="宋体" w:cs="宋体"/>
          <w:kern w:val="0"/>
          <w:sz w:val="24"/>
          <w:lang w:val="zh-CN"/>
        </w:rPr>
        <w:t>【招标编号：</w:t>
      </w:r>
      <w:r>
        <w:rPr>
          <w:rFonts w:hint="eastAsia" w:ascii="宋体" w:hAnsi="宋体" w:cs="宋体"/>
          <w:sz w:val="24"/>
          <w:lang w:eastAsia="zh-CN"/>
        </w:rPr>
        <w:t>ZJKJCA[2024]004号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2293"/>
        <w:gridCol w:w="2668"/>
        <w:gridCol w:w="1622"/>
        <w:gridCol w:w="1350"/>
        <w:gridCol w:w="156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9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266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1622"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350"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56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93" w:type="dxa"/>
            <w:vAlign w:val="center"/>
          </w:tcPr>
          <w:p>
            <w:pPr>
              <w:snapToGrid w:val="0"/>
              <w:spacing w:line="360" w:lineRule="auto"/>
              <w:jc w:val="center"/>
              <w:rPr>
                <w:rFonts w:ascii="宋体" w:hAnsi="宋体" w:cs="宋体"/>
                <w:sz w:val="24"/>
              </w:rPr>
            </w:pPr>
          </w:p>
        </w:tc>
        <w:tc>
          <w:tcPr>
            <w:tcW w:w="2668" w:type="dxa"/>
            <w:vAlign w:val="center"/>
          </w:tcPr>
          <w:p>
            <w:pPr>
              <w:snapToGrid w:val="0"/>
              <w:spacing w:line="360" w:lineRule="auto"/>
              <w:jc w:val="center"/>
              <w:rPr>
                <w:rFonts w:ascii="宋体" w:hAnsi="宋体" w:cs="宋体"/>
                <w:sz w:val="24"/>
              </w:rPr>
            </w:pPr>
          </w:p>
        </w:tc>
        <w:tc>
          <w:tcPr>
            <w:tcW w:w="1622" w:type="dxa"/>
            <w:vAlign w:val="center"/>
          </w:tcPr>
          <w:p>
            <w:pPr>
              <w:snapToGrid w:val="0"/>
              <w:spacing w:line="360" w:lineRule="auto"/>
              <w:jc w:val="center"/>
              <w:rPr>
                <w:rFonts w:ascii="宋体" w:hAnsi="宋体" w:cs="宋体"/>
                <w:sz w:val="24"/>
              </w:rPr>
            </w:pPr>
          </w:p>
        </w:tc>
        <w:tc>
          <w:tcPr>
            <w:tcW w:w="1350" w:type="dxa"/>
            <w:vAlign w:val="center"/>
          </w:tcPr>
          <w:p>
            <w:pPr>
              <w:spacing w:line="360" w:lineRule="auto"/>
              <w:jc w:val="center"/>
              <w:rPr>
                <w:rFonts w:ascii="宋体" w:hAnsi="宋体" w:cs="宋体"/>
                <w:sz w:val="24"/>
              </w:rPr>
            </w:pPr>
          </w:p>
        </w:tc>
        <w:tc>
          <w:tcPr>
            <w:tcW w:w="156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93" w:type="dxa"/>
            <w:vAlign w:val="center"/>
          </w:tcPr>
          <w:p>
            <w:pPr>
              <w:snapToGrid w:val="0"/>
              <w:spacing w:line="360" w:lineRule="auto"/>
              <w:jc w:val="center"/>
              <w:rPr>
                <w:rFonts w:ascii="宋体" w:hAnsi="宋体" w:cs="宋体"/>
                <w:sz w:val="24"/>
              </w:rPr>
            </w:pPr>
          </w:p>
        </w:tc>
        <w:tc>
          <w:tcPr>
            <w:tcW w:w="2668" w:type="dxa"/>
            <w:vAlign w:val="center"/>
          </w:tcPr>
          <w:p>
            <w:pPr>
              <w:snapToGrid w:val="0"/>
              <w:spacing w:line="360" w:lineRule="auto"/>
              <w:jc w:val="center"/>
              <w:rPr>
                <w:rFonts w:ascii="宋体" w:hAnsi="宋体" w:cs="宋体"/>
                <w:sz w:val="24"/>
              </w:rPr>
            </w:pPr>
          </w:p>
        </w:tc>
        <w:tc>
          <w:tcPr>
            <w:tcW w:w="1622" w:type="dxa"/>
            <w:vAlign w:val="center"/>
          </w:tcPr>
          <w:p>
            <w:pPr>
              <w:snapToGrid w:val="0"/>
              <w:spacing w:line="360" w:lineRule="auto"/>
              <w:jc w:val="center"/>
              <w:rPr>
                <w:rFonts w:ascii="宋体" w:hAnsi="宋体" w:cs="宋体"/>
                <w:sz w:val="24"/>
              </w:rPr>
            </w:pPr>
          </w:p>
        </w:tc>
        <w:tc>
          <w:tcPr>
            <w:tcW w:w="1350" w:type="dxa"/>
            <w:vAlign w:val="center"/>
          </w:tcPr>
          <w:p>
            <w:pPr>
              <w:spacing w:line="360" w:lineRule="auto"/>
              <w:jc w:val="center"/>
              <w:rPr>
                <w:rFonts w:ascii="宋体" w:hAnsi="宋体" w:cs="宋体"/>
                <w:sz w:val="24"/>
              </w:rPr>
            </w:pPr>
          </w:p>
        </w:tc>
        <w:tc>
          <w:tcPr>
            <w:tcW w:w="156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2293" w:type="dxa"/>
            <w:vAlign w:val="center"/>
          </w:tcPr>
          <w:p>
            <w:pPr>
              <w:snapToGrid w:val="0"/>
              <w:spacing w:line="360" w:lineRule="auto"/>
              <w:jc w:val="center"/>
              <w:rPr>
                <w:rFonts w:ascii="宋体" w:hAnsi="宋体" w:cs="宋体"/>
                <w:sz w:val="24"/>
              </w:rPr>
            </w:pPr>
          </w:p>
        </w:tc>
        <w:tc>
          <w:tcPr>
            <w:tcW w:w="2668" w:type="dxa"/>
            <w:vAlign w:val="center"/>
          </w:tcPr>
          <w:p>
            <w:pPr>
              <w:snapToGrid w:val="0"/>
              <w:spacing w:line="360" w:lineRule="auto"/>
              <w:jc w:val="center"/>
              <w:rPr>
                <w:rFonts w:ascii="宋体" w:hAnsi="宋体" w:cs="宋体"/>
                <w:sz w:val="24"/>
              </w:rPr>
            </w:pPr>
          </w:p>
        </w:tc>
        <w:tc>
          <w:tcPr>
            <w:tcW w:w="1622" w:type="dxa"/>
            <w:vAlign w:val="center"/>
          </w:tcPr>
          <w:p>
            <w:pPr>
              <w:snapToGrid w:val="0"/>
              <w:spacing w:line="360" w:lineRule="auto"/>
              <w:jc w:val="center"/>
              <w:rPr>
                <w:rFonts w:ascii="宋体" w:hAnsi="宋体" w:cs="宋体"/>
                <w:sz w:val="24"/>
              </w:rPr>
            </w:pPr>
          </w:p>
        </w:tc>
        <w:tc>
          <w:tcPr>
            <w:tcW w:w="1350" w:type="dxa"/>
            <w:vAlign w:val="center"/>
          </w:tcPr>
          <w:p>
            <w:pPr>
              <w:spacing w:line="360" w:lineRule="auto"/>
              <w:jc w:val="center"/>
              <w:rPr>
                <w:rFonts w:ascii="宋体" w:hAnsi="宋体" w:cs="宋体"/>
                <w:sz w:val="24"/>
              </w:rPr>
            </w:pPr>
          </w:p>
        </w:tc>
        <w:tc>
          <w:tcPr>
            <w:tcW w:w="156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2293" w:type="dxa"/>
            <w:vAlign w:val="center"/>
          </w:tcPr>
          <w:p>
            <w:pPr>
              <w:snapToGrid w:val="0"/>
              <w:spacing w:line="360" w:lineRule="auto"/>
              <w:jc w:val="center"/>
              <w:rPr>
                <w:rFonts w:ascii="宋体" w:hAnsi="宋体" w:cs="宋体"/>
                <w:sz w:val="24"/>
              </w:rPr>
            </w:pPr>
          </w:p>
        </w:tc>
        <w:tc>
          <w:tcPr>
            <w:tcW w:w="2668" w:type="dxa"/>
            <w:vAlign w:val="center"/>
          </w:tcPr>
          <w:p>
            <w:pPr>
              <w:snapToGrid w:val="0"/>
              <w:spacing w:line="360" w:lineRule="auto"/>
              <w:jc w:val="center"/>
              <w:rPr>
                <w:rFonts w:ascii="宋体" w:hAnsi="宋体" w:cs="宋体"/>
                <w:sz w:val="24"/>
              </w:rPr>
            </w:pPr>
          </w:p>
        </w:tc>
        <w:tc>
          <w:tcPr>
            <w:tcW w:w="1622" w:type="dxa"/>
            <w:vAlign w:val="center"/>
          </w:tcPr>
          <w:p>
            <w:pPr>
              <w:snapToGrid w:val="0"/>
              <w:spacing w:line="360" w:lineRule="auto"/>
              <w:jc w:val="center"/>
              <w:rPr>
                <w:rFonts w:ascii="宋体" w:hAnsi="宋体" w:cs="宋体"/>
                <w:sz w:val="24"/>
              </w:rPr>
            </w:pPr>
          </w:p>
        </w:tc>
        <w:tc>
          <w:tcPr>
            <w:tcW w:w="1350" w:type="dxa"/>
            <w:vAlign w:val="center"/>
          </w:tcPr>
          <w:p>
            <w:pPr>
              <w:spacing w:line="360" w:lineRule="auto"/>
              <w:jc w:val="center"/>
              <w:rPr>
                <w:rFonts w:ascii="宋体" w:hAnsi="宋体" w:cs="宋体"/>
                <w:sz w:val="24"/>
              </w:rPr>
            </w:pPr>
          </w:p>
        </w:tc>
        <w:tc>
          <w:tcPr>
            <w:tcW w:w="156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2293" w:type="dxa"/>
            <w:vAlign w:val="center"/>
          </w:tcPr>
          <w:p>
            <w:pPr>
              <w:snapToGrid w:val="0"/>
              <w:spacing w:line="360" w:lineRule="auto"/>
              <w:jc w:val="center"/>
              <w:rPr>
                <w:rFonts w:ascii="宋体" w:hAnsi="宋体" w:cs="宋体"/>
                <w:sz w:val="24"/>
              </w:rPr>
            </w:pPr>
          </w:p>
        </w:tc>
        <w:tc>
          <w:tcPr>
            <w:tcW w:w="2668" w:type="dxa"/>
            <w:vAlign w:val="center"/>
          </w:tcPr>
          <w:p>
            <w:pPr>
              <w:snapToGrid w:val="0"/>
              <w:spacing w:line="360" w:lineRule="auto"/>
              <w:jc w:val="center"/>
              <w:rPr>
                <w:rFonts w:ascii="宋体" w:hAnsi="宋体" w:cs="宋体"/>
                <w:sz w:val="24"/>
              </w:rPr>
            </w:pPr>
          </w:p>
        </w:tc>
        <w:tc>
          <w:tcPr>
            <w:tcW w:w="1622" w:type="dxa"/>
            <w:vAlign w:val="center"/>
          </w:tcPr>
          <w:p>
            <w:pPr>
              <w:snapToGrid w:val="0"/>
              <w:spacing w:line="360" w:lineRule="auto"/>
              <w:jc w:val="center"/>
              <w:rPr>
                <w:rFonts w:ascii="宋体" w:hAnsi="宋体" w:cs="宋体"/>
                <w:sz w:val="24"/>
              </w:rPr>
            </w:pPr>
          </w:p>
        </w:tc>
        <w:tc>
          <w:tcPr>
            <w:tcW w:w="1350" w:type="dxa"/>
            <w:vAlign w:val="center"/>
          </w:tcPr>
          <w:p>
            <w:pPr>
              <w:spacing w:line="360" w:lineRule="auto"/>
              <w:jc w:val="center"/>
              <w:rPr>
                <w:rFonts w:ascii="宋体" w:hAnsi="宋体" w:cs="宋体"/>
                <w:sz w:val="24"/>
              </w:rPr>
            </w:pPr>
          </w:p>
        </w:tc>
        <w:tc>
          <w:tcPr>
            <w:tcW w:w="156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2、有关本项目实施所涉及的一切费用均计入报价。总价不为零，报价明细表中部分产品、服务单价为零的，视作已包含在总价中。</w:t>
      </w:r>
      <w:r>
        <w:rPr>
          <w:rFonts w:hint="eastAsia" w:ascii="宋体" w:hAnsi="宋体" w:cs="宋体"/>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sectPr>
          <w:pgSz w:w="16838" w:h="11906" w:orient="landscape"/>
          <w:pgMar w:top="1418" w:right="1247" w:bottom="1418" w:left="1276" w:header="851" w:footer="992" w:gutter="0"/>
          <w:cols w:space="720" w:num="1"/>
          <w:titlePg/>
          <w:docGrid w:linePitch="312" w:charSpace="0"/>
        </w:sectPr>
      </w:pPr>
      <w:r>
        <w:rPr>
          <w:rFonts w:hint="eastAsia" w:ascii="宋体" w:hAnsi="宋体" w:cs="宋体"/>
          <w:kern w:val="0"/>
          <w:sz w:val="24"/>
        </w:rPr>
        <w:t>5</w:t>
      </w:r>
      <w:r>
        <w:rPr>
          <w:rFonts w:hint="eastAsia" w:ascii="宋体" w:hAnsi="宋体" w:cs="宋体"/>
          <w:b/>
          <w:bCs/>
          <w:kern w:val="0"/>
          <w:sz w:val="24"/>
        </w:rPr>
        <w:t>、特别说明:</w:t>
      </w:r>
      <w:r>
        <w:rPr>
          <w:rFonts w:hint="eastAsia" w:ascii="微软雅黑" w:hAnsi="微软雅黑" w:eastAsia="微软雅黑" w:cs="微软雅黑"/>
          <w:b/>
          <w:bCs/>
          <w:kern w:val="0"/>
          <w:sz w:val="24"/>
        </w:rPr>
        <w:t>▲</w:t>
      </w:r>
      <w:r>
        <w:rPr>
          <w:rFonts w:hint="eastAsia" w:ascii="宋体" w:hAnsi="宋体" w:cs="宋体"/>
          <w:b/>
          <w:bCs/>
          <w:kern w:val="0"/>
          <w:sz w:val="24"/>
        </w:rPr>
        <w:t>供应商报价低于项目预算 50%的，应当在报价文件中详细阐述不影响产品质量或者诚信履约的具体原因。</w:t>
      </w: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51" w:name="_Toc465665161"/>
      <w:r>
        <w:rPr>
          <w:rFonts w:hint="eastAsia" w:ascii="宋体" w:hAnsi="宋体" w:cs="宋体"/>
        </w:rPr>
        <w:t>附件</w:t>
      </w:r>
      <w:bookmarkEnd w:id="551"/>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2" w:name="OLE_LINK13"/>
      <w:bookmarkStart w:id="553" w:name="OLE_LINK14"/>
      <w:r>
        <w:rPr>
          <w:rFonts w:hint="eastAsia" w:ascii="宋体" w:hAnsi="宋体" w:cs="宋体"/>
          <w:b/>
          <w:spacing w:val="6"/>
          <w:sz w:val="32"/>
          <w:szCs w:val="32"/>
        </w:rPr>
        <w:t>残疾人福利性单位声明函</w:t>
      </w:r>
    </w:p>
    <w:bookmarkEnd w:id="552"/>
    <w:bookmarkEnd w:id="553"/>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pStyle w:val="26"/>
        <w:rPr>
          <w:rFonts w:ascii="宋体" w:hAnsi="宋体" w:cs="宋体"/>
          <w:b/>
          <w:spacing w:val="6"/>
          <w:sz w:val="32"/>
          <w:szCs w:val="32"/>
        </w:rPr>
      </w:pPr>
    </w:p>
    <w:p>
      <w:pPr>
        <w:pStyle w:val="62"/>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635" b="0"/>
                <wp:wrapNone/>
                <wp:docPr id="1997053497" name="矩形 2"/>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矩形 2"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1kA8/2AAAAAoBAAAPAAAAAAAAAAEAIAAAACIAAABkcnMv&#10;ZG93bnJldi54bWxQSwECFAAUAAAACACHTuJA6c/koTwCAAB5BAAADgAAAAAAAAABACAAAAAnAQAA&#10;ZHJzL2Uyb0RvYy54bWxQSwUGAAAAAAYABgBZAQAA1QUAAAAA&#10;">
                <v:fill on="t" focussize="0,0"/>
                <v:stroke color="#000000" miterlimit="2" joinstyle="miter"/>
                <v:imagedata o:title=""/>
                <o:lock v:ext="edit" aspectratio="f"/>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1239748750"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矩形 1"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ZjEem2AAAAAoBAAAPAAAAAAAAAAEAIAAAACIAAABkcnMvZG93&#10;bnJldi54bWxQSwECFAAUAAAACACHTuJAk2zWijkCAAB5BAAADgAAAAAAAAABACAAAAAnAQAAZHJz&#10;L2Uyb0RvYy54bWxQSwUGAAAAAAYABgBZAQAA0g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both"/>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54"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54"/>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6"/>
        <w:rPr>
          <w:rFonts w:ascii="宋体" w:hAnsi="宋体" w:cs="宋体"/>
          <w:b/>
          <w:spacing w:val="6"/>
          <w:sz w:val="32"/>
          <w:szCs w:val="32"/>
        </w:rPr>
      </w:pPr>
    </w:p>
    <w:p>
      <w:pPr>
        <w:pStyle w:val="62"/>
        <w:rPr>
          <w:rFonts w:ascii="宋体" w:hAnsi="宋体" w:cs="宋体"/>
          <w:b/>
          <w:spacing w:val="6"/>
          <w:sz w:val="32"/>
          <w:szCs w:val="32"/>
        </w:rPr>
      </w:pPr>
    </w:p>
    <w:p>
      <w:pPr>
        <w:rPr>
          <w:rFonts w:ascii="宋体" w:hAnsi="宋体" w:cs="宋体"/>
          <w:b/>
          <w:spacing w:val="6"/>
          <w:sz w:val="32"/>
          <w:szCs w:val="32"/>
        </w:rPr>
      </w:pPr>
    </w:p>
    <w:p>
      <w:pPr>
        <w:pStyle w:val="26"/>
        <w:rPr>
          <w:rFonts w:ascii="宋体" w:hAnsi="宋体" w:cs="宋体"/>
          <w:b/>
          <w:spacing w:val="6"/>
          <w:sz w:val="32"/>
          <w:szCs w:val="32"/>
        </w:rPr>
      </w:pPr>
    </w:p>
    <w:p>
      <w:pPr>
        <w:pStyle w:val="62"/>
        <w:rPr>
          <w:rFonts w:ascii="宋体" w:hAnsi="宋体" w:cs="宋体"/>
          <w:b/>
          <w:spacing w:val="6"/>
          <w:sz w:val="32"/>
          <w:szCs w:val="32"/>
        </w:rPr>
      </w:pPr>
    </w:p>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5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5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hint="eastAsia"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left="5758" w:leftChars="342" w:hanging="5040" w:hangingChars="2100"/>
        <w:jc w:val="right"/>
        <w:rPr>
          <w:rFonts w:ascii="宋体" w:hAnsi="宋体" w:cs="宋体"/>
          <w:kern w:val="0"/>
          <w:sz w:val="24"/>
          <w:lang w:val="zh-CN"/>
        </w:rPr>
      </w:pPr>
      <w:r>
        <w:rPr>
          <w:rFonts w:hint="eastAsia" w:ascii="宋体" w:hAnsi="宋体" w:cs="宋体"/>
          <w:kern w:val="0"/>
          <w:sz w:val="24"/>
          <w:lang w:val="zh-CN"/>
        </w:rPr>
        <w:t>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6"/>
        <w:rPr>
          <w:rFonts w:ascii="宋体" w:hAnsi="宋体" w:cs="宋体"/>
          <w:b/>
          <w:spacing w:val="6"/>
          <w:sz w:val="32"/>
          <w:szCs w:val="32"/>
        </w:rPr>
      </w:pPr>
    </w:p>
    <w:p>
      <w:pPr>
        <w:pStyle w:val="62"/>
        <w:rPr>
          <w:rFonts w:ascii="宋体" w:hAnsi="宋体" w:cs="宋体"/>
          <w:b/>
          <w:spacing w:val="6"/>
          <w:sz w:val="32"/>
          <w:szCs w:val="32"/>
        </w:rPr>
      </w:pPr>
    </w:p>
    <w:p>
      <w:pPr>
        <w:rPr>
          <w:rFonts w:ascii="宋体" w:hAnsi="宋体" w:cs="宋体"/>
          <w:b/>
          <w:spacing w:val="6"/>
          <w:sz w:val="32"/>
          <w:szCs w:val="32"/>
        </w:rPr>
      </w:pPr>
    </w:p>
    <w:p>
      <w:pPr>
        <w:pStyle w:val="26"/>
        <w:rPr>
          <w:rFonts w:ascii="宋体" w:hAnsi="宋体" w:cs="宋体"/>
          <w:b/>
          <w:spacing w:val="6"/>
          <w:sz w:val="32"/>
          <w:szCs w:val="32"/>
        </w:rPr>
      </w:pPr>
    </w:p>
    <w:p>
      <w:pPr>
        <w:pStyle w:val="62"/>
        <w:rPr>
          <w:rFonts w:ascii="宋体" w:hAnsi="宋体" w:cs="宋体"/>
          <w:b/>
          <w:spacing w:val="6"/>
          <w:sz w:val="32"/>
          <w:szCs w:val="32"/>
        </w:rPr>
      </w:pPr>
    </w:p>
    <w:p>
      <w:pPr>
        <w:rPr>
          <w:rFonts w:ascii="宋体" w:hAnsi="宋体" w:cs="宋体"/>
          <w:b/>
          <w:spacing w:val="6"/>
          <w:sz w:val="32"/>
          <w:szCs w:val="32"/>
        </w:rPr>
      </w:pPr>
    </w:p>
    <w:p>
      <w:pPr>
        <w:pStyle w:val="62"/>
        <w:ind w:left="0" w:leftChars="0" w:firstLine="0" w:firstLineChars="0"/>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center"/>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color w:val="auto"/>
          <w:sz w:val="24"/>
        </w:rPr>
      </w:pPr>
      <w:r>
        <w:rPr>
          <w:rFonts w:hint="eastAsia" w:ascii="宋体" w:hAnsi="宋体" w:cs="宋体"/>
          <w:sz w:val="24"/>
        </w:rPr>
        <w:t>本公司（联合体）郑重声明，根据《政府</w:t>
      </w:r>
      <w:r>
        <w:rPr>
          <w:rFonts w:hint="eastAsia" w:ascii="宋体" w:hAnsi="宋体" w:cs="宋体"/>
          <w:color w:val="auto"/>
          <w:sz w:val="24"/>
        </w:rPr>
        <w:t xml:space="preserve">采购促进中小企业发展管理办法》（财库﹝2020﹞46 号）的规定，本公司（联合体）参加 </w:t>
      </w:r>
      <w:r>
        <w:rPr>
          <w:rFonts w:hint="eastAsia" w:ascii="宋体" w:hAnsi="宋体" w:cs="宋体"/>
          <w:color w:val="auto"/>
          <w:sz w:val="24"/>
          <w:u w:val="single"/>
          <w:lang w:eastAsia="zh-CN"/>
        </w:rPr>
        <w:t>淳安县林业局</w:t>
      </w:r>
      <w:r>
        <w:rPr>
          <w:rFonts w:hint="eastAsia" w:ascii="宋体" w:hAnsi="宋体" w:cs="宋体"/>
          <w:color w:val="auto"/>
          <w:sz w:val="24"/>
          <w:u w:val="single"/>
        </w:rPr>
        <w:t xml:space="preserve"> </w:t>
      </w:r>
      <w:r>
        <w:rPr>
          <w:rFonts w:hint="eastAsia" w:ascii="宋体" w:hAnsi="宋体" w:cs="宋体"/>
          <w:color w:val="auto"/>
          <w:sz w:val="24"/>
        </w:rPr>
        <w:t xml:space="preserve">的 </w:t>
      </w:r>
      <w:r>
        <w:rPr>
          <w:rFonts w:hint="eastAsia" w:ascii="宋体" w:hAnsi="宋体" w:cs="宋体"/>
          <w:color w:val="auto"/>
          <w:sz w:val="24"/>
          <w:u w:val="single"/>
          <w:lang w:eastAsia="zh-CN"/>
        </w:rPr>
        <w:t>护林员服装及背心采购项目</w:t>
      </w:r>
      <w:r>
        <w:rPr>
          <w:rFonts w:hint="eastAsia" w:ascii="宋体" w:hAnsi="宋体" w:cs="宋体"/>
          <w:color w:val="auto"/>
          <w:sz w:val="24"/>
        </w:rPr>
        <w:t xml:space="preserve"> 采购活动，提供的货物全部由符合政策要求的中小企业制造。相关企业（含联合体中的中小企业、签订分包意向协议的中小企业）的具体情况如下：</w:t>
      </w:r>
    </w:p>
    <w:p>
      <w:pPr>
        <w:numPr>
          <w:ilvl w:val="0"/>
          <w:numId w:val="5"/>
        </w:numPr>
        <w:spacing w:line="360" w:lineRule="auto"/>
        <w:ind w:firstLine="480" w:firstLineChars="200"/>
        <w:rPr>
          <w:rFonts w:hint="default" w:eastAsia="仿宋_GB2312"/>
          <w:lang w:val="en-US" w:eastAsia="zh-CN"/>
        </w:rPr>
      </w:pPr>
      <w:r>
        <w:rPr>
          <w:rStyle w:val="80"/>
          <w:rFonts w:hint="eastAsia" w:ascii="宋体" w:hAnsi="宋体" w:eastAsia="宋体" w:cs="宋体"/>
          <w:sz w:val="24"/>
          <w:szCs w:val="24"/>
          <w:u w:val="single"/>
        </w:rPr>
        <w:t>一体化无负压管道增压泵</w:t>
      </w:r>
      <w:r>
        <w:rPr>
          <w:rStyle w:val="80"/>
          <w:rFonts w:hint="eastAsia" w:ascii="宋体" w:hAnsi="宋体" w:eastAsia="宋体" w:cs="宋体"/>
          <w:sz w:val="24"/>
          <w:szCs w:val="24"/>
          <w:u w:val="single"/>
          <w:lang w:val="en-US" w:eastAsia="zh-CN"/>
        </w:rPr>
        <w:t xml:space="preserve"> </w:t>
      </w:r>
      <w:r>
        <w:rPr>
          <w:rFonts w:hint="eastAsia" w:ascii="宋体" w:hAnsi="宋体" w:eastAsia="宋体" w:cs="宋体"/>
          <w:b/>
          <w:kern w:val="0"/>
          <w:sz w:val="24"/>
          <w:szCs w:val="24"/>
          <w:lang w:val="en-US" w:eastAsia="zh-CN"/>
        </w:rPr>
        <w:t xml:space="preserve"> ，</w:t>
      </w:r>
      <w:r>
        <w:rPr>
          <w:rFonts w:hint="eastAsia" w:ascii="宋体" w:hAnsi="宋体" w:cs="宋体"/>
          <w:color w:val="auto"/>
          <w:sz w:val="24"/>
        </w:rPr>
        <w:t xml:space="preserve">属于 </w:t>
      </w:r>
      <w:r>
        <w:rPr>
          <w:rFonts w:hint="eastAsia" w:ascii="宋体" w:hAnsi="宋体" w:cs="宋体"/>
          <w:color w:val="auto"/>
          <w:sz w:val="24"/>
          <w:u w:val="single"/>
          <w:lang w:eastAsia="zh-CN"/>
        </w:rPr>
        <w:t>工</w:t>
      </w:r>
      <w:r>
        <w:rPr>
          <w:rFonts w:hint="eastAsia" w:ascii="宋体" w:hAnsi="宋体" w:cs="宋体"/>
          <w:color w:val="auto"/>
          <w:sz w:val="24"/>
          <w:u w:val="single"/>
        </w:rPr>
        <w:t>业</w:t>
      </w:r>
      <w:r>
        <w:rPr>
          <w:rFonts w:hint="eastAsia" w:ascii="宋体" w:hAnsi="宋体" w:cs="宋体"/>
          <w:color w:val="auto"/>
          <w:sz w:val="24"/>
          <w:u w:val="single"/>
          <w:lang w:val="en-US" w:eastAsia="zh-CN"/>
        </w:rPr>
        <w:t xml:space="preserve"> </w:t>
      </w:r>
      <w:r>
        <w:rPr>
          <w:rFonts w:hint="eastAsia" w:ascii="宋体" w:hAnsi="宋体" w:cs="宋体"/>
          <w:color w:val="auto"/>
          <w:sz w:val="24"/>
        </w:rPr>
        <w:t xml:space="preserve">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b/>
          <w:sz w:val="32"/>
          <w:szCs w:val="32"/>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Trebuchet MS"/>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ksdb"/>
    <w:panose1 w:val="020B0502020202020204"/>
    <w:charset w:val="00"/>
    <w:family w:val="swiss"/>
    <w:pitch w:val="default"/>
    <w:sig w:usb0="00000000" w:usb1="00000000" w:usb2="00000000" w:usb3="00000000" w:csb0="0000009F" w:csb1="00000000"/>
  </w:font>
  <w:font w:name="Aldine401 BT">
    <w:altName w:val="Courier New"/>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Trebuchet MS">
    <w:panose1 w:val="020B0603020202020204"/>
    <w:charset w:val="00"/>
    <w:family w:val="auto"/>
    <w:pitch w:val="default"/>
    <w:sig w:usb0="00000287" w:usb1="00000000" w:usb2="00000000" w:usb3="00000000" w:csb0="2000009F" w:csb1="0000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556" w:name="_Toc91899912"/>
    <w:bookmarkStart w:id="557" w:name="_Toc36110187"/>
    <w:bookmarkStart w:id="558" w:name="_Toc131845147"/>
    <w:bookmarkStart w:id="559" w:name="_Toc164085800"/>
    <w:r>
      <w:rPr>
        <w:rFonts w:hint="eastAsia" w:ascii="仿宋_GB2312" w:eastAsia="仿宋_GB2312"/>
        <w:kern w:val="0"/>
        <w:szCs w:val="21"/>
      </w:rPr>
      <w:t xml:space="preserve"> 页</w:t>
    </w:r>
    <w:bookmarkEnd w:id="556"/>
    <w:bookmarkEnd w:id="557"/>
    <w:bookmarkEnd w:id="558"/>
    <w:bookmarkEnd w:id="55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3D5BA"/>
    <w:multiLevelType w:val="singleLevel"/>
    <w:tmpl w:val="88A3D5BA"/>
    <w:lvl w:ilvl="0" w:tentative="0">
      <w:start w:val="1"/>
      <w:numFmt w:val="decimal"/>
      <w:suff w:val="nothing"/>
      <w:lvlText w:val="%1）"/>
      <w:lvlJc w:val="left"/>
    </w:lvl>
  </w:abstractNum>
  <w:abstractNum w:abstractNumId="1">
    <w:nsid w:val="A59676D9"/>
    <w:multiLevelType w:val="singleLevel"/>
    <w:tmpl w:val="A59676D9"/>
    <w:lvl w:ilvl="0" w:tentative="0">
      <w:start w:val="1"/>
      <w:numFmt w:val="decimal"/>
      <w:suff w:val="space"/>
      <w:lvlText w:val="%1."/>
      <w:lvlJc w:val="left"/>
    </w:lvl>
  </w:abstractNum>
  <w:abstractNum w:abstractNumId="2">
    <w:nsid w:val="A7FDC951"/>
    <w:multiLevelType w:val="singleLevel"/>
    <w:tmpl w:val="A7FDC951"/>
    <w:lvl w:ilvl="0" w:tentative="0">
      <w:start w:val="1"/>
      <w:numFmt w:val="decimal"/>
      <w:suff w:val="space"/>
      <w:lvlText w:val="(%1)"/>
      <w:lvlJc w:val="left"/>
    </w:lvl>
  </w:abstractNum>
  <w:abstractNum w:abstractNumId="3">
    <w:nsid w:val="02A7B64A"/>
    <w:multiLevelType w:val="singleLevel"/>
    <w:tmpl w:val="02A7B64A"/>
    <w:lvl w:ilvl="0" w:tentative="0">
      <w:start w:val="2"/>
      <w:numFmt w:val="decimal"/>
      <w:suff w:val="nothing"/>
      <w:lvlText w:val="（%1）"/>
      <w:lvlJc w:val="left"/>
    </w:lvl>
  </w:abstractNum>
  <w:abstractNum w:abstractNumId="4">
    <w:nsid w:val="2FB8CBD7"/>
    <w:multiLevelType w:val="singleLevel"/>
    <w:tmpl w:val="2FB8CBD7"/>
    <w:lvl w:ilvl="0" w:tentative="0">
      <w:start w:val="3"/>
      <w:numFmt w:val="chineseCounting"/>
      <w:suff w:val="space"/>
      <w:lvlText w:val="第%1部分"/>
      <w:lvlJc w:val="left"/>
      <w:rPr>
        <w:rFonts w:hint="eastAsi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xZmRlNjhlMDM1Zjk1YjYzNTA2MjJmYjFiM2Y5M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9B"/>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2E6"/>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5B"/>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3449"/>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72D"/>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9E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2B9"/>
    <w:rsid w:val="00153859"/>
    <w:rsid w:val="00153915"/>
    <w:rsid w:val="001539F0"/>
    <w:rsid w:val="00154BBA"/>
    <w:rsid w:val="00155B95"/>
    <w:rsid w:val="00156853"/>
    <w:rsid w:val="00157432"/>
    <w:rsid w:val="00161185"/>
    <w:rsid w:val="001620BA"/>
    <w:rsid w:val="001623AC"/>
    <w:rsid w:val="00162BAA"/>
    <w:rsid w:val="00163C40"/>
    <w:rsid w:val="00164241"/>
    <w:rsid w:val="0016488B"/>
    <w:rsid w:val="00165758"/>
    <w:rsid w:val="00165A65"/>
    <w:rsid w:val="00166317"/>
    <w:rsid w:val="0016647F"/>
    <w:rsid w:val="00166B6A"/>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C23"/>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849"/>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CF6"/>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6CF0"/>
    <w:rsid w:val="00277196"/>
    <w:rsid w:val="002775ED"/>
    <w:rsid w:val="0027779C"/>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BFD"/>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0B49"/>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6F0A"/>
    <w:rsid w:val="003272A3"/>
    <w:rsid w:val="003272E4"/>
    <w:rsid w:val="00327B71"/>
    <w:rsid w:val="00331461"/>
    <w:rsid w:val="003316A8"/>
    <w:rsid w:val="00331C80"/>
    <w:rsid w:val="00331CC9"/>
    <w:rsid w:val="003320D7"/>
    <w:rsid w:val="00332265"/>
    <w:rsid w:val="00332862"/>
    <w:rsid w:val="00332D52"/>
    <w:rsid w:val="00333337"/>
    <w:rsid w:val="003336F1"/>
    <w:rsid w:val="00333A28"/>
    <w:rsid w:val="00333A2A"/>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43A"/>
    <w:rsid w:val="003B69CE"/>
    <w:rsid w:val="003B7403"/>
    <w:rsid w:val="003C011C"/>
    <w:rsid w:val="003C0E32"/>
    <w:rsid w:val="003C11B0"/>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3850"/>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0D1"/>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7D9"/>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1FCF"/>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167"/>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3EC"/>
    <w:rsid w:val="00561412"/>
    <w:rsid w:val="00561903"/>
    <w:rsid w:val="00561A9B"/>
    <w:rsid w:val="00561E54"/>
    <w:rsid w:val="00561F73"/>
    <w:rsid w:val="005621F7"/>
    <w:rsid w:val="0056278F"/>
    <w:rsid w:val="00562FB1"/>
    <w:rsid w:val="00563068"/>
    <w:rsid w:val="0056376A"/>
    <w:rsid w:val="00563B3C"/>
    <w:rsid w:val="00563E22"/>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2B2"/>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5B4"/>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3E3F"/>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0EF4"/>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5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C7F27"/>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6C6F"/>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ED9"/>
    <w:rsid w:val="00825441"/>
    <w:rsid w:val="00826855"/>
    <w:rsid w:val="00830052"/>
    <w:rsid w:val="008300D0"/>
    <w:rsid w:val="008308D8"/>
    <w:rsid w:val="008320D2"/>
    <w:rsid w:val="008321CE"/>
    <w:rsid w:val="008324B0"/>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5BA4"/>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0DD"/>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1A2"/>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177A6"/>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7FA"/>
    <w:rsid w:val="009307CA"/>
    <w:rsid w:val="009312F9"/>
    <w:rsid w:val="00931445"/>
    <w:rsid w:val="00931AB8"/>
    <w:rsid w:val="00931C19"/>
    <w:rsid w:val="00931C48"/>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29A"/>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0F0E"/>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E50"/>
    <w:rsid w:val="00A71FA0"/>
    <w:rsid w:val="00A71FBD"/>
    <w:rsid w:val="00A72727"/>
    <w:rsid w:val="00A727D8"/>
    <w:rsid w:val="00A72C1A"/>
    <w:rsid w:val="00A732FB"/>
    <w:rsid w:val="00A7463E"/>
    <w:rsid w:val="00A75185"/>
    <w:rsid w:val="00A758E2"/>
    <w:rsid w:val="00A765B1"/>
    <w:rsid w:val="00A76EFB"/>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E40"/>
    <w:rsid w:val="00AD5F0A"/>
    <w:rsid w:val="00AD6A5B"/>
    <w:rsid w:val="00AD6B4F"/>
    <w:rsid w:val="00AD6D19"/>
    <w:rsid w:val="00AD7812"/>
    <w:rsid w:val="00AD7C42"/>
    <w:rsid w:val="00AD7CFA"/>
    <w:rsid w:val="00AE06B0"/>
    <w:rsid w:val="00AE0BD6"/>
    <w:rsid w:val="00AE0E72"/>
    <w:rsid w:val="00AE11A3"/>
    <w:rsid w:val="00AE11C1"/>
    <w:rsid w:val="00AE163D"/>
    <w:rsid w:val="00AE1A42"/>
    <w:rsid w:val="00AE1C1B"/>
    <w:rsid w:val="00AE1C1D"/>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0A05"/>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4EE7"/>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6E6"/>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0A4"/>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9F6"/>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86D"/>
    <w:rsid w:val="00C75A8F"/>
    <w:rsid w:val="00C75EC6"/>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AB"/>
    <w:rsid w:val="00C87BBA"/>
    <w:rsid w:val="00C87BD0"/>
    <w:rsid w:val="00C905E5"/>
    <w:rsid w:val="00C90754"/>
    <w:rsid w:val="00C90B95"/>
    <w:rsid w:val="00C90BC4"/>
    <w:rsid w:val="00C90CA9"/>
    <w:rsid w:val="00C91802"/>
    <w:rsid w:val="00C92E41"/>
    <w:rsid w:val="00C92F62"/>
    <w:rsid w:val="00C93097"/>
    <w:rsid w:val="00C93B40"/>
    <w:rsid w:val="00C93DB5"/>
    <w:rsid w:val="00C9468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13C"/>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0A"/>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4FF0"/>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97F65"/>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1D1F"/>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86F"/>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741"/>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4C4"/>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2E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1D12"/>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6F31"/>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871"/>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4063FE"/>
    <w:rsid w:val="01457570"/>
    <w:rsid w:val="015276D0"/>
    <w:rsid w:val="0170404F"/>
    <w:rsid w:val="018362EB"/>
    <w:rsid w:val="01846195"/>
    <w:rsid w:val="01877B89"/>
    <w:rsid w:val="0192199C"/>
    <w:rsid w:val="019F7441"/>
    <w:rsid w:val="01B37585"/>
    <w:rsid w:val="01BB5A85"/>
    <w:rsid w:val="01C0309B"/>
    <w:rsid w:val="01D55165"/>
    <w:rsid w:val="01DF6BF8"/>
    <w:rsid w:val="01EC2C57"/>
    <w:rsid w:val="01F61949"/>
    <w:rsid w:val="01F66ABD"/>
    <w:rsid w:val="01F74B6B"/>
    <w:rsid w:val="02117D9A"/>
    <w:rsid w:val="02311644"/>
    <w:rsid w:val="02313A80"/>
    <w:rsid w:val="02331ABF"/>
    <w:rsid w:val="024B6E08"/>
    <w:rsid w:val="025D6B3C"/>
    <w:rsid w:val="025E43F1"/>
    <w:rsid w:val="025F0711"/>
    <w:rsid w:val="026B2E25"/>
    <w:rsid w:val="0273497C"/>
    <w:rsid w:val="027520D7"/>
    <w:rsid w:val="02813C31"/>
    <w:rsid w:val="02824D4D"/>
    <w:rsid w:val="02902A6D"/>
    <w:rsid w:val="0292101E"/>
    <w:rsid w:val="02D36DFE"/>
    <w:rsid w:val="02DA1F3A"/>
    <w:rsid w:val="02DC4B10"/>
    <w:rsid w:val="02DD76CE"/>
    <w:rsid w:val="02F36323"/>
    <w:rsid w:val="02F5619C"/>
    <w:rsid w:val="03062FF8"/>
    <w:rsid w:val="031F3DF1"/>
    <w:rsid w:val="0326446A"/>
    <w:rsid w:val="032D5555"/>
    <w:rsid w:val="032E11DD"/>
    <w:rsid w:val="03321D76"/>
    <w:rsid w:val="0349110B"/>
    <w:rsid w:val="03591445"/>
    <w:rsid w:val="036634D2"/>
    <w:rsid w:val="036C1F86"/>
    <w:rsid w:val="03830824"/>
    <w:rsid w:val="0385634A"/>
    <w:rsid w:val="03A72272"/>
    <w:rsid w:val="03AB3D90"/>
    <w:rsid w:val="03C010C1"/>
    <w:rsid w:val="03DD35E4"/>
    <w:rsid w:val="03E05C76"/>
    <w:rsid w:val="03E33071"/>
    <w:rsid w:val="03E72B61"/>
    <w:rsid w:val="03E94B2B"/>
    <w:rsid w:val="03EA07D4"/>
    <w:rsid w:val="03EA5E52"/>
    <w:rsid w:val="04051239"/>
    <w:rsid w:val="04076900"/>
    <w:rsid w:val="041A5A3B"/>
    <w:rsid w:val="042311BA"/>
    <w:rsid w:val="042B157A"/>
    <w:rsid w:val="0431202E"/>
    <w:rsid w:val="044C3AEC"/>
    <w:rsid w:val="046E6DDE"/>
    <w:rsid w:val="048B5BE2"/>
    <w:rsid w:val="048F763B"/>
    <w:rsid w:val="04936845"/>
    <w:rsid w:val="049F330E"/>
    <w:rsid w:val="04A66578"/>
    <w:rsid w:val="04A96068"/>
    <w:rsid w:val="04AA775C"/>
    <w:rsid w:val="04AC5B58"/>
    <w:rsid w:val="04AF1889"/>
    <w:rsid w:val="04C3537C"/>
    <w:rsid w:val="04E35219"/>
    <w:rsid w:val="04EB6681"/>
    <w:rsid w:val="04F25E57"/>
    <w:rsid w:val="04F66F48"/>
    <w:rsid w:val="050C4624"/>
    <w:rsid w:val="05251E14"/>
    <w:rsid w:val="054344C3"/>
    <w:rsid w:val="05542478"/>
    <w:rsid w:val="056A1C9B"/>
    <w:rsid w:val="0570617A"/>
    <w:rsid w:val="05A16594"/>
    <w:rsid w:val="05A72378"/>
    <w:rsid w:val="05A7762D"/>
    <w:rsid w:val="05AD3367"/>
    <w:rsid w:val="05C07B0D"/>
    <w:rsid w:val="05EA2DDC"/>
    <w:rsid w:val="05F17CC7"/>
    <w:rsid w:val="060E5941"/>
    <w:rsid w:val="06110FAF"/>
    <w:rsid w:val="06147E59"/>
    <w:rsid w:val="06367DD0"/>
    <w:rsid w:val="0643687B"/>
    <w:rsid w:val="06493CA7"/>
    <w:rsid w:val="065A6178"/>
    <w:rsid w:val="066E57BB"/>
    <w:rsid w:val="066F1CF3"/>
    <w:rsid w:val="06930BB8"/>
    <w:rsid w:val="069845E6"/>
    <w:rsid w:val="069B5E85"/>
    <w:rsid w:val="06B55CF7"/>
    <w:rsid w:val="06F2019A"/>
    <w:rsid w:val="06F832D7"/>
    <w:rsid w:val="0708351A"/>
    <w:rsid w:val="071023CF"/>
    <w:rsid w:val="07245D42"/>
    <w:rsid w:val="07264C62"/>
    <w:rsid w:val="072D11D3"/>
    <w:rsid w:val="07342561"/>
    <w:rsid w:val="074309F6"/>
    <w:rsid w:val="0779354C"/>
    <w:rsid w:val="07852DBD"/>
    <w:rsid w:val="07AB0349"/>
    <w:rsid w:val="07B33F30"/>
    <w:rsid w:val="07D63618"/>
    <w:rsid w:val="08033CE1"/>
    <w:rsid w:val="08061376"/>
    <w:rsid w:val="0808754A"/>
    <w:rsid w:val="080F490D"/>
    <w:rsid w:val="082B64B4"/>
    <w:rsid w:val="083F0BB7"/>
    <w:rsid w:val="08452D77"/>
    <w:rsid w:val="08514A4D"/>
    <w:rsid w:val="08536A17"/>
    <w:rsid w:val="08634780"/>
    <w:rsid w:val="086401F8"/>
    <w:rsid w:val="08751CAA"/>
    <w:rsid w:val="087E4C40"/>
    <w:rsid w:val="08955281"/>
    <w:rsid w:val="08A871D0"/>
    <w:rsid w:val="08AC25CB"/>
    <w:rsid w:val="08BB636A"/>
    <w:rsid w:val="08D13DE0"/>
    <w:rsid w:val="08D66AD6"/>
    <w:rsid w:val="08DA33A3"/>
    <w:rsid w:val="08E80F13"/>
    <w:rsid w:val="08E81855"/>
    <w:rsid w:val="08F1670A"/>
    <w:rsid w:val="08F55D20"/>
    <w:rsid w:val="090760C7"/>
    <w:rsid w:val="09335624"/>
    <w:rsid w:val="093C394F"/>
    <w:rsid w:val="0944690F"/>
    <w:rsid w:val="09510A7C"/>
    <w:rsid w:val="09535675"/>
    <w:rsid w:val="095F057D"/>
    <w:rsid w:val="09642282"/>
    <w:rsid w:val="09727371"/>
    <w:rsid w:val="09733572"/>
    <w:rsid w:val="09772C16"/>
    <w:rsid w:val="098353B5"/>
    <w:rsid w:val="099C619C"/>
    <w:rsid w:val="09A92330"/>
    <w:rsid w:val="09B06B87"/>
    <w:rsid w:val="09B83033"/>
    <w:rsid w:val="09C13146"/>
    <w:rsid w:val="09C66F48"/>
    <w:rsid w:val="09E04166"/>
    <w:rsid w:val="09E44048"/>
    <w:rsid w:val="09E900F9"/>
    <w:rsid w:val="09EF6C13"/>
    <w:rsid w:val="0A1C0718"/>
    <w:rsid w:val="0A31572F"/>
    <w:rsid w:val="0A3E7710"/>
    <w:rsid w:val="0A5B7E63"/>
    <w:rsid w:val="0A79472F"/>
    <w:rsid w:val="0A7F0C27"/>
    <w:rsid w:val="0A911A78"/>
    <w:rsid w:val="0AA30457"/>
    <w:rsid w:val="0AA374A5"/>
    <w:rsid w:val="0AA86594"/>
    <w:rsid w:val="0AAB7649"/>
    <w:rsid w:val="0ABC5606"/>
    <w:rsid w:val="0ADD2775"/>
    <w:rsid w:val="0B1C1CD1"/>
    <w:rsid w:val="0B257E23"/>
    <w:rsid w:val="0B2A50AC"/>
    <w:rsid w:val="0B30404E"/>
    <w:rsid w:val="0B4C6C14"/>
    <w:rsid w:val="0B547599"/>
    <w:rsid w:val="0B631A88"/>
    <w:rsid w:val="0B683D45"/>
    <w:rsid w:val="0B7A250D"/>
    <w:rsid w:val="0B7F3F11"/>
    <w:rsid w:val="0B884417"/>
    <w:rsid w:val="0B9D7C24"/>
    <w:rsid w:val="0BA32927"/>
    <w:rsid w:val="0BB008A4"/>
    <w:rsid w:val="0BBE2F55"/>
    <w:rsid w:val="0BC53019"/>
    <w:rsid w:val="0BD25EA5"/>
    <w:rsid w:val="0BE06C8F"/>
    <w:rsid w:val="0BF6188C"/>
    <w:rsid w:val="0BF73C91"/>
    <w:rsid w:val="0C1607C9"/>
    <w:rsid w:val="0C170175"/>
    <w:rsid w:val="0C48260B"/>
    <w:rsid w:val="0C525237"/>
    <w:rsid w:val="0C571A41"/>
    <w:rsid w:val="0C5B0590"/>
    <w:rsid w:val="0C5C1171"/>
    <w:rsid w:val="0C5E1CBC"/>
    <w:rsid w:val="0C615B50"/>
    <w:rsid w:val="0C71390F"/>
    <w:rsid w:val="0C776A4C"/>
    <w:rsid w:val="0C8445DA"/>
    <w:rsid w:val="0C87121B"/>
    <w:rsid w:val="0C9C64B3"/>
    <w:rsid w:val="0CA05FA3"/>
    <w:rsid w:val="0CAC0DEC"/>
    <w:rsid w:val="0CB161A2"/>
    <w:rsid w:val="0CB90E13"/>
    <w:rsid w:val="0CC007F7"/>
    <w:rsid w:val="0CC617AC"/>
    <w:rsid w:val="0CD56D97"/>
    <w:rsid w:val="0CE618DF"/>
    <w:rsid w:val="0CFE707A"/>
    <w:rsid w:val="0D063BDA"/>
    <w:rsid w:val="0D08375F"/>
    <w:rsid w:val="0D103C70"/>
    <w:rsid w:val="0D184CFB"/>
    <w:rsid w:val="0D352B8F"/>
    <w:rsid w:val="0D4A7419"/>
    <w:rsid w:val="0D613984"/>
    <w:rsid w:val="0D632246"/>
    <w:rsid w:val="0D827401"/>
    <w:rsid w:val="0D84094E"/>
    <w:rsid w:val="0D880ADF"/>
    <w:rsid w:val="0D8A00E9"/>
    <w:rsid w:val="0D8D589E"/>
    <w:rsid w:val="0DA01C73"/>
    <w:rsid w:val="0DD63300"/>
    <w:rsid w:val="0DEB76F2"/>
    <w:rsid w:val="0DF023FD"/>
    <w:rsid w:val="0DF02F5A"/>
    <w:rsid w:val="0DF50604"/>
    <w:rsid w:val="0DF657C0"/>
    <w:rsid w:val="0DF702FE"/>
    <w:rsid w:val="0E060E51"/>
    <w:rsid w:val="0E1529C0"/>
    <w:rsid w:val="0E1924B1"/>
    <w:rsid w:val="0E2226D9"/>
    <w:rsid w:val="0E2624D8"/>
    <w:rsid w:val="0E2B5D40"/>
    <w:rsid w:val="0E342E47"/>
    <w:rsid w:val="0E3C619F"/>
    <w:rsid w:val="0E3E235A"/>
    <w:rsid w:val="0E5604B2"/>
    <w:rsid w:val="0E5B4561"/>
    <w:rsid w:val="0E660134"/>
    <w:rsid w:val="0E6D5D79"/>
    <w:rsid w:val="0E826C28"/>
    <w:rsid w:val="0E833DCE"/>
    <w:rsid w:val="0E9C36D3"/>
    <w:rsid w:val="0E9D0089"/>
    <w:rsid w:val="0EB803EE"/>
    <w:rsid w:val="0EC20452"/>
    <w:rsid w:val="0EF2313F"/>
    <w:rsid w:val="0EF4744A"/>
    <w:rsid w:val="0EF94D4B"/>
    <w:rsid w:val="0EFF16A6"/>
    <w:rsid w:val="0F172328"/>
    <w:rsid w:val="0F2904D1"/>
    <w:rsid w:val="0F30513C"/>
    <w:rsid w:val="0F4277E5"/>
    <w:rsid w:val="0F451083"/>
    <w:rsid w:val="0F4958DC"/>
    <w:rsid w:val="0F4B48EC"/>
    <w:rsid w:val="0F515DF7"/>
    <w:rsid w:val="0F596BA8"/>
    <w:rsid w:val="0F6248D2"/>
    <w:rsid w:val="0F657030"/>
    <w:rsid w:val="0F693536"/>
    <w:rsid w:val="0F7B0511"/>
    <w:rsid w:val="0F7B76D9"/>
    <w:rsid w:val="0F816ACD"/>
    <w:rsid w:val="0F9832DB"/>
    <w:rsid w:val="0FA80C52"/>
    <w:rsid w:val="0FB81855"/>
    <w:rsid w:val="0FBA381F"/>
    <w:rsid w:val="0FBF3FD2"/>
    <w:rsid w:val="0FBF7FF3"/>
    <w:rsid w:val="0FF02D9D"/>
    <w:rsid w:val="0FF7237E"/>
    <w:rsid w:val="0FFC7994"/>
    <w:rsid w:val="1034712E"/>
    <w:rsid w:val="104F3F68"/>
    <w:rsid w:val="105944A8"/>
    <w:rsid w:val="10646583"/>
    <w:rsid w:val="107D4B15"/>
    <w:rsid w:val="108A3C80"/>
    <w:rsid w:val="1090632E"/>
    <w:rsid w:val="10C26171"/>
    <w:rsid w:val="10C30782"/>
    <w:rsid w:val="10DA1F09"/>
    <w:rsid w:val="10F33360"/>
    <w:rsid w:val="10FC16EA"/>
    <w:rsid w:val="110F1D40"/>
    <w:rsid w:val="110F6583"/>
    <w:rsid w:val="11266F33"/>
    <w:rsid w:val="11477694"/>
    <w:rsid w:val="118963A1"/>
    <w:rsid w:val="119D6F55"/>
    <w:rsid w:val="119F0F1F"/>
    <w:rsid w:val="11B76268"/>
    <w:rsid w:val="11BA3663"/>
    <w:rsid w:val="11C6522A"/>
    <w:rsid w:val="11C807A4"/>
    <w:rsid w:val="11E104CC"/>
    <w:rsid w:val="11E20309"/>
    <w:rsid w:val="11E437F0"/>
    <w:rsid w:val="11F36B75"/>
    <w:rsid w:val="12255233"/>
    <w:rsid w:val="12530213"/>
    <w:rsid w:val="126F6B43"/>
    <w:rsid w:val="127723A9"/>
    <w:rsid w:val="12855694"/>
    <w:rsid w:val="12862074"/>
    <w:rsid w:val="12883966"/>
    <w:rsid w:val="12887C05"/>
    <w:rsid w:val="1299771C"/>
    <w:rsid w:val="129E45B4"/>
    <w:rsid w:val="12BE3627"/>
    <w:rsid w:val="12C66037"/>
    <w:rsid w:val="12D2051E"/>
    <w:rsid w:val="12D81596"/>
    <w:rsid w:val="12EF1582"/>
    <w:rsid w:val="12FE72B7"/>
    <w:rsid w:val="13072A44"/>
    <w:rsid w:val="13076E00"/>
    <w:rsid w:val="130A23C8"/>
    <w:rsid w:val="13294F44"/>
    <w:rsid w:val="13313C63"/>
    <w:rsid w:val="133B4C77"/>
    <w:rsid w:val="134F427F"/>
    <w:rsid w:val="135F4BE2"/>
    <w:rsid w:val="136612DA"/>
    <w:rsid w:val="137331E2"/>
    <w:rsid w:val="138B5F5B"/>
    <w:rsid w:val="13994B64"/>
    <w:rsid w:val="139B1A0A"/>
    <w:rsid w:val="139D25C7"/>
    <w:rsid w:val="13A37121"/>
    <w:rsid w:val="13B567D8"/>
    <w:rsid w:val="13BC0318"/>
    <w:rsid w:val="13BF3CE4"/>
    <w:rsid w:val="13C66767"/>
    <w:rsid w:val="13DC50E5"/>
    <w:rsid w:val="13F4249E"/>
    <w:rsid w:val="13FF3EF7"/>
    <w:rsid w:val="13FF5CA5"/>
    <w:rsid w:val="1404125E"/>
    <w:rsid w:val="14060DE1"/>
    <w:rsid w:val="141008D8"/>
    <w:rsid w:val="14125FE6"/>
    <w:rsid w:val="14490FB4"/>
    <w:rsid w:val="146D0E60"/>
    <w:rsid w:val="146D271E"/>
    <w:rsid w:val="14982588"/>
    <w:rsid w:val="149A5AD9"/>
    <w:rsid w:val="14A7619D"/>
    <w:rsid w:val="14AE5849"/>
    <w:rsid w:val="14BB370C"/>
    <w:rsid w:val="14BF323B"/>
    <w:rsid w:val="14C302A8"/>
    <w:rsid w:val="14CB3DB4"/>
    <w:rsid w:val="14D62AEF"/>
    <w:rsid w:val="150536C3"/>
    <w:rsid w:val="150C1963"/>
    <w:rsid w:val="151447A0"/>
    <w:rsid w:val="151700EF"/>
    <w:rsid w:val="153E3DB5"/>
    <w:rsid w:val="154A6454"/>
    <w:rsid w:val="156A53A0"/>
    <w:rsid w:val="156F794B"/>
    <w:rsid w:val="15762120"/>
    <w:rsid w:val="15787A38"/>
    <w:rsid w:val="158C247F"/>
    <w:rsid w:val="158D108E"/>
    <w:rsid w:val="159F696C"/>
    <w:rsid w:val="15A20FDE"/>
    <w:rsid w:val="15BF74D2"/>
    <w:rsid w:val="161731D1"/>
    <w:rsid w:val="1618304E"/>
    <w:rsid w:val="16184DFC"/>
    <w:rsid w:val="161D082A"/>
    <w:rsid w:val="16300397"/>
    <w:rsid w:val="164A298B"/>
    <w:rsid w:val="166B13D0"/>
    <w:rsid w:val="166D2940"/>
    <w:rsid w:val="1682607B"/>
    <w:rsid w:val="16A8729C"/>
    <w:rsid w:val="16AE750E"/>
    <w:rsid w:val="16B33777"/>
    <w:rsid w:val="16BC70A7"/>
    <w:rsid w:val="16BE3B17"/>
    <w:rsid w:val="16C6339E"/>
    <w:rsid w:val="16D57191"/>
    <w:rsid w:val="16FB6BF7"/>
    <w:rsid w:val="170A4468"/>
    <w:rsid w:val="17107FB0"/>
    <w:rsid w:val="171528FD"/>
    <w:rsid w:val="171862DF"/>
    <w:rsid w:val="172F2D79"/>
    <w:rsid w:val="17326391"/>
    <w:rsid w:val="1740285C"/>
    <w:rsid w:val="17552A13"/>
    <w:rsid w:val="17557BEF"/>
    <w:rsid w:val="17793FC0"/>
    <w:rsid w:val="1787577D"/>
    <w:rsid w:val="179F3DDF"/>
    <w:rsid w:val="17C50FB3"/>
    <w:rsid w:val="17D349C1"/>
    <w:rsid w:val="180970F2"/>
    <w:rsid w:val="18244F26"/>
    <w:rsid w:val="182C1032"/>
    <w:rsid w:val="1830729E"/>
    <w:rsid w:val="18381785"/>
    <w:rsid w:val="184A3267"/>
    <w:rsid w:val="186E164B"/>
    <w:rsid w:val="1870062C"/>
    <w:rsid w:val="18817102"/>
    <w:rsid w:val="18830A15"/>
    <w:rsid w:val="18852B28"/>
    <w:rsid w:val="188B5321"/>
    <w:rsid w:val="189C1D14"/>
    <w:rsid w:val="189F7A56"/>
    <w:rsid w:val="18A53B42"/>
    <w:rsid w:val="18AB1F57"/>
    <w:rsid w:val="18AC6F2D"/>
    <w:rsid w:val="18FE3B41"/>
    <w:rsid w:val="191F5BC5"/>
    <w:rsid w:val="19324427"/>
    <w:rsid w:val="193D0B06"/>
    <w:rsid w:val="195E6FCA"/>
    <w:rsid w:val="19706CFD"/>
    <w:rsid w:val="19797CEE"/>
    <w:rsid w:val="19831126"/>
    <w:rsid w:val="19932372"/>
    <w:rsid w:val="19A20DD5"/>
    <w:rsid w:val="19AA66B3"/>
    <w:rsid w:val="19AE03F1"/>
    <w:rsid w:val="19B66E06"/>
    <w:rsid w:val="19F93196"/>
    <w:rsid w:val="19FD67E3"/>
    <w:rsid w:val="1A071A03"/>
    <w:rsid w:val="1A1A55E6"/>
    <w:rsid w:val="1A1F16AE"/>
    <w:rsid w:val="1A1F770F"/>
    <w:rsid w:val="1A2C531A"/>
    <w:rsid w:val="1A3B5C77"/>
    <w:rsid w:val="1A69644B"/>
    <w:rsid w:val="1A7D3DC7"/>
    <w:rsid w:val="1A7D7923"/>
    <w:rsid w:val="1A8A3DEE"/>
    <w:rsid w:val="1A8E6609"/>
    <w:rsid w:val="1A984BAD"/>
    <w:rsid w:val="1AB56E12"/>
    <w:rsid w:val="1AB8220E"/>
    <w:rsid w:val="1AC94917"/>
    <w:rsid w:val="1ACD0468"/>
    <w:rsid w:val="1AE4166C"/>
    <w:rsid w:val="1AF06CFB"/>
    <w:rsid w:val="1AF11B8D"/>
    <w:rsid w:val="1AFD1D0F"/>
    <w:rsid w:val="1B0A57DA"/>
    <w:rsid w:val="1B0F0EC3"/>
    <w:rsid w:val="1B11359C"/>
    <w:rsid w:val="1B183D2A"/>
    <w:rsid w:val="1B193AF0"/>
    <w:rsid w:val="1B2A271F"/>
    <w:rsid w:val="1B32070E"/>
    <w:rsid w:val="1B3E5305"/>
    <w:rsid w:val="1B530544"/>
    <w:rsid w:val="1B713184"/>
    <w:rsid w:val="1B7927E1"/>
    <w:rsid w:val="1B80591D"/>
    <w:rsid w:val="1BA209CF"/>
    <w:rsid w:val="1BAE5A03"/>
    <w:rsid w:val="1BB4777D"/>
    <w:rsid w:val="1BD75AB8"/>
    <w:rsid w:val="1BEA2D97"/>
    <w:rsid w:val="1BFB7752"/>
    <w:rsid w:val="1C034AE3"/>
    <w:rsid w:val="1C0459C2"/>
    <w:rsid w:val="1C1B3B4A"/>
    <w:rsid w:val="1C214349"/>
    <w:rsid w:val="1C2300FD"/>
    <w:rsid w:val="1C267973"/>
    <w:rsid w:val="1C3B1F07"/>
    <w:rsid w:val="1C4A7CD9"/>
    <w:rsid w:val="1C7D3C0B"/>
    <w:rsid w:val="1C8054A9"/>
    <w:rsid w:val="1C88086E"/>
    <w:rsid w:val="1C890801"/>
    <w:rsid w:val="1CA94A00"/>
    <w:rsid w:val="1CBD494F"/>
    <w:rsid w:val="1CC932F4"/>
    <w:rsid w:val="1CD81789"/>
    <w:rsid w:val="1CF64607"/>
    <w:rsid w:val="1D1C6CA8"/>
    <w:rsid w:val="1D1D4C55"/>
    <w:rsid w:val="1D266CE1"/>
    <w:rsid w:val="1D293D92"/>
    <w:rsid w:val="1D3963AF"/>
    <w:rsid w:val="1D3B2B2A"/>
    <w:rsid w:val="1D6A673C"/>
    <w:rsid w:val="1D9247AE"/>
    <w:rsid w:val="1D930211"/>
    <w:rsid w:val="1D9748A1"/>
    <w:rsid w:val="1DA90A2F"/>
    <w:rsid w:val="1DAA6C81"/>
    <w:rsid w:val="1DB418AE"/>
    <w:rsid w:val="1DB567EC"/>
    <w:rsid w:val="1DCC309C"/>
    <w:rsid w:val="1DE63A32"/>
    <w:rsid w:val="1DE657E0"/>
    <w:rsid w:val="1DF51A98"/>
    <w:rsid w:val="1DFE6FCD"/>
    <w:rsid w:val="1E051CD9"/>
    <w:rsid w:val="1E0748AD"/>
    <w:rsid w:val="1E0D415C"/>
    <w:rsid w:val="1E0F11DA"/>
    <w:rsid w:val="1E2529BB"/>
    <w:rsid w:val="1E370E0A"/>
    <w:rsid w:val="1E3D060F"/>
    <w:rsid w:val="1E3F7D2E"/>
    <w:rsid w:val="1E4134E4"/>
    <w:rsid w:val="1E5062B3"/>
    <w:rsid w:val="1E523514"/>
    <w:rsid w:val="1E6A4663"/>
    <w:rsid w:val="1E70796D"/>
    <w:rsid w:val="1E714A66"/>
    <w:rsid w:val="1E786D7F"/>
    <w:rsid w:val="1E802593"/>
    <w:rsid w:val="1E890F8D"/>
    <w:rsid w:val="1E8B6156"/>
    <w:rsid w:val="1EA703CC"/>
    <w:rsid w:val="1EAA31E7"/>
    <w:rsid w:val="1EB7330C"/>
    <w:rsid w:val="1EE7180F"/>
    <w:rsid w:val="1EEB57A3"/>
    <w:rsid w:val="1EF8106D"/>
    <w:rsid w:val="1F0A0FF3"/>
    <w:rsid w:val="1F0D396C"/>
    <w:rsid w:val="1F1A1BE5"/>
    <w:rsid w:val="1F2962CC"/>
    <w:rsid w:val="1F301A7A"/>
    <w:rsid w:val="1F4153C3"/>
    <w:rsid w:val="1F4F6B54"/>
    <w:rsid w:val="1F537687"/>
    <w:rsid w:val="1F5771FF"/>
    <w:rsid w:val="1F947BE9"/>
    <w:rsid w:val="1F973235"/>
    <w:rsid w:val="1FA309D9"/>
    <w:rsid w:val="1FB21E1D"/>
    <w:rsid w:val="1FD52574"/>
    <w:rsid w:val="1FE346CD"/>
    <w:rsid w:val="1FE868A9"/>
    <w:rsid w:val="20034907"/>
    <w:rsid w:val="200B777F"/>
    <w:rsid w:val="20146634"/>
    <w:rsid w:val="20173E4B"/>
    <w:rsid w:val="202E527E"/>
    <w:rsid w:val="203F4421"/>
    <w:rsid w:val="204E48BC"/>
    <w:rsid w:val="2059498F"/>
    <w:rsid w:val="206155F1"/>
    <w:rsid w:val="206B3938"/>
    <w:rsid w:val="208921B3"/>
    <w:rsid w:val="20973DEB"/>
    <w:rsid w:val="20A26336"/>
    <w:rsid w:val="20AA5D86"/>
    <w:rsid w:val="20B201A1"/>
    <w:rsid w:val="20B26522"/>
    <w:rsid w:val="20B44310"/>
    <w:rsid w:val="20E40888"/>
    <w:rsid w:val="20EF2BFD"/>
    <w:rsid w:val="211116EB"/>
    <w:rsid w:val="211E5CE0"/>
    <w:rsid w:val="212B64F1"/>
    <w:rsid w:val="213B275C"/>
    <w:rsid w:val="215B0B99"/>
    <w:rsid w:val="216133FC"/>
    <w:rsid w:val="21725D08"/>
    <w:rsid w:val="21997739"/>
    <w:rsid w:val="219A700D"/>
    <w:rsid w:val="21B225A8"/>
    <w:rsid w:val="21B4101C"/>
    <w:rsid w:val="21B67D02"/>
    <w:rsid w:val="21D56769"/>
    <w:rsid w:val="21E52EF3"/>
    <w:rsid w:val="21EB7868"/>
    <w:rsid w:val="21FB5D7B"/>
    <w:rsid w:val="21FC7CC7"/>
    <w:rsid w:val="22001566"/>
    <w:rsid w:val="22015E94"/>
    <w:rsid w:val="2205092A"/>
    <w:rsid w:val="220B1C3D"/>
    <w:rsid w:val="221D1D20"/>
    <w:rsid w:val="22334A87"/>
    <w:rsid w:val="223B4631"/>
    <w:rsid w:val="2254134E"/>
    <w:rsid w:val="226A69DF"/>
    <w:rsid w:val="22714212"/>
    <w:rsid w:val="22774617"/>
    <w:rsid w:val="227E37BA"/>
    <w:rsid w:val="22883309"/>
    <w:rsid w:val="228E4DC3"/>
    <w:rsid w:val="2290363B"/>
    <w:rsid w:val="22B1686E"/>
    <w:rsid w:val="22B45EAC"/>
    <w:rsid w:val="22BD7457"/>
    <w:rsid w:val="22BE6801"/>
    <w:rsid w:val="22D84291"/>
    <w:rsid w:val="230526F9"/>
    <w:rsid w:val="233500BF"/>
    <w:rsid w:val="23377FF7"/>
    <w:rsid w:val="23396B62"/>
    <w:rsid w:val="234436D4"/>
    <w:rsid w:val="234A05BF"/>
    <w:rsid w:val="234F5BD5"/>
    <w:rsid w:val="235B53C5"/>
    <w:rsid w:val="236B425F"/>
    <w:rsid w:val="23732ED5"/>
    <w:rsid w:val="23836192"/>
    <w:rsid w:val="23901F29"/>
    <w:rsid w:val="239C0061"/>
    <w:rsid w:val="23B908A4"/>
    <w:rsid w:val="23B95E70"/>
    <w:rsid w:val="23BC326A"/>
    <w:rsid w:val="23D2264D"/>
    <w:rsid w:val="23DF33FD"/>
    <w:rsid w:val="23E95BEF"/>
    <w:rsid w:val="23FD0064"/>
    <w:rsid w:val="24262DDA"/>
    <w:rsid w:val="2452597D"/>
    <w:rsid w:val="245375B0"/>
    <w:rsid w:val="24547620"/>
    <w:rsid w:val="24642C0A"/>
    <w:rsid w:val="24A3267C"/>
    <w:rsid w:val="24AA7C6D"/>
    <w:rsid w:val="24B22173"/>
    <w:rsid w:val="24B95AD9"/>
    <w:rsid w:val="24BE24DA"/>
    <w:rsid w:val="24CC3981"/>
    <w:rsid w:val="24CF5825"/>
    <w:rsid w:val="24D663E6"/>
    <w:rsid w:val="24D77F2B"/>
    <w:rsid w:val="24DD793C"/>
    <w:rsid w:val="24E0567E"/>
    <w:rsid w:val="2503311B"/>
    <w:rsid w:val="25063208"/>
    <w:rsid w:val="256E2C8A"/>
    <w:rsid w:val="257C53A7"/>
    <w:rsid w:val="258B00E2"/>
    <w:rsid w:val="25A22934"/>
    <w:rsid w:val="25A90A4A"/>
    <w:rsid w:val="25A917A6"/>
    <w:rsid w:val="25AB23F1"/>
    <w:rsid w:val="25BE27CC"/>
    <w:rsid w:val="25CE14DE"/>
    <w:rsid w:val="25D63233"/>
    <w:rsid w:val="25E1345C"/>
    <w:rsid w:val="25F74A5C"/>
    <w:rsid w:val="26064C71"/>
    <w:rsid w:val="2609650F"/>
    <w:rsid w:val="26263565"/>
    <w:rsid w:val="2628662C"/>
    <w:rsid w:val="262D45DE"/>
    <w:rsid w:val="26597496"/>
    <w:rsid w:val="265A4FBD"/>
    <w:rsid w:val="26633A17"/>
    <w:rsid w:val="2665210A"/>
    <w:rsid w:val="26871DC8"/>
    <w:rsid w:val="269B1593"/>
    <w:rsid w:val="26A53152"/>
    <w:rsid w:val="26A53EF9"/>
    <w:rsid w:val="26A94201"/>
    <w:rsid w:val="26AC274F"/>
    <w:rsid w:val="26C64400"/>
    <w:rsid w:val="26D16E89"/>
    <w:rsid w:val="26E0050C"/>
    <w:rsid w:val="27044A29"/>
    <w:rsid w:val="270B6DDE"/>
    <w:rsid w:val="271D34C8"/>
    <w:rsid w:val="272B6381"/>
    <w:rsid w:val="27315D1D"/>
    <w:rsid w:val="273F6CDC"/>
    <w:rsid w:val="274C0BB8"/>
    <w:rsid w:val="27565784"/>
    <w:rsid w:val="276142BF"/>
    <w:rsid w:val="276F4994"/>
    <w:rsid w:val="27783712"/>
    <w:rsid w:val="27907362"/>
    <w:rsid w:val="27A24E6D"/>
    <w:rsid w:val="27D8088F"/>
    <w:rsid w:val="27DD40F7"/>
    <w:rsid w:val="28137B19"/>
    <w:rsid w:val="28333E1D"/>
    <w:rsid w:val="28454BD6"/>
    <w:rsid w:val="28455253"/>
    <w:rsid w:val="28551971"/>
    <w:rsid w:val="285A5748"/>
    <w:rsid w:val="285B1C53"/>
    <w:rsid w:val="28754330"/>
    <w:rsid w:val="288602EB"/>
    <w:rsid w:val="28921F7A"/>
    <w:rsid w:val="289F7086"/>
    <w:rsid w:val="28B906C0"/>
    <w:rsid w:val="28BE1833"/>
    <w:rsid w:val="28C32028"/>
    <w:rsid w:val="28C464D2"/>
    <w:rsid w:val="28CC03F4"/>
    <w:rsid w:val="28CC490F"/>
    <w:rsid w:val="28DA0C24"/>
    <w:rsid w:val="28DE40AA"/>
    <w:rsid w:val="292A6C7C"/>
    <w:rsid w:val="29345E77"/>
    <w:rsid w:val="293B433D"/>
    <w:rsid w:val="294361DC"/>
    <w:rsid w:val="294C65AD"/>
    <w:rsid w:val="29565711"/>
    <w:rsid w:val="29734F00"/>
    <w:rsid w:val="29806583"/>
    <w:rsid w:val="298B3C4C"/>
    <w:rsid w:val="29E11C9C"/>
    <w:rsid w:val="29F26D24"/>
    <w:rsid w:val="2A15033F"/>
    <w:rsid w:val="2A151926"/>
    <w:rsid w:val="2A1533E8"/>
    <w:rsid w:val="2A1662C1"/>
    <w:rsid w:val="2A1C7367"/>
    <w:rsid w:val="2A1D07DB"/>
    <w:rsid w:val="2A1F09F7"/>
    <w:rsid w:val="2A24768D"/>
    <w:rsid w:val="2A2815FA"/>
    <w:rsid w:val="2A391AB9"/>
    <w:rsid w:val="2A522B7B"/>
    <w:rsid w:val="2A6D6092"/>
    <w:rsid w:val="2A7C42F5"/>
    <w:rsid w:val="2A7D76B4"/>
    <w:rsid w:val="2A861E00"/>
    <w:rsid w:val="2A8742B8"/>
    <w:rsid w:val="2A9D36CA"/>
    <w:rsid w:val="2A9F070C"/>
    <w:rsid w:val="2AA9206F"/>
    <w:rsid w:val="2AB90504"/>
    <w:rsid w:val="2ABC7FF4"/>
    <w:rsid w:val="2ADE61BC"/>
    <w:rsid w:val="2AF81428"/>
    <w:rsid w:val="2AFB6D6E"/>
    <w:rsid w:val="2B3B1F97"/>
    <w:rsid w:val="2B437463"/>
    <w:rsid w:val="2B520958"/>
    <w:rsid w:val="2B5F17DD"/>
    <w:rsid w:val="2B7301EA"/>
    <w:rsid w:val="2B77090E"/>
    <w:rsid w:val="2B7807EE"/>
    <w:rsid w:val="2B856638"/>
    <w:rsid w:val="2B9461CF"/>
    <w:rsid w:val="2B9706C4"/>
    <w:rsid w:val="2BA016C4"/>
    <w:rsid w:val="2BA411B4"/>
    <w:rsid w:val="2BA50BF7"/>
    <w:rsid w:val="2BB138D1"/>
    <w:rsid w:val="2BBF00EC"/>
    <w:rsid w:val="2BC10457"/>
    <w:rsid w:val="2BC37CFD"/>
    <w:rsid w:val="2BD5237F"/>
    <w:rsid w:val="2BD80E5D"/>
    <w:rsid w:val="2BE536CE"/>
    <w:rsid w:val="2BE758D9"/>
    <w:rsid w:val="2BF346BB"/>
    <w:rsid w:val="2C09049E"/>
    <w:rsid w:val="2C0A653C"/>
    <w:rsid w:val="2C191F85"/>
    <w:rsid w:val="2C1A3224"/>
    <w:rsid w:val="2C1E4A51"/>
    <w:rsid w:val="2C2C73FB"/>
    <w:rsid w:val="2C302A3A"/>
    <w:rsid w:val="2C55425C"/>
    <w:rsid w:val="2C594167"/>
    <w:rsid w:val="2C6F400B"/>
    <w:rsid w:val="2C7020EF"/>
    <w:rsid w:val="2C864D5D"/>
    <w:rsid w:val="2CC1215A"/>
    <w:rsid w:val="2CCB451E"/>
    <w:rsid w:val="2CE82D6F"/>
    <w:rsid w:val="2CF25F4F"/>
    <w:rsid w:val="2D11398A"/>
    <w:rsid w:val="2D343236"/>
    <w:rsid w:val="2D3B5B48"/>
    <w:rsid w:val="2D40315E"/>
    <w:rsid w:val="2D4401B9"/>
    <w:rsid w:val="2D4C3936"/>
    <w:rsid w:val="2D575011"/>
    <w:rsid w:val="2D76092E"/>
    <w:rsid w:val="2D8172D3"/>
    <w:rsid w:val="2D9B0395"/>
    <w:rsid w:val="2DA60AE7"/>
    <w:rsid w:val="2DAD2F54"/>
    <w:rsid w:val="2DCB59DC"/>
    <w:rsid w:val="2DD15014"/>
    <w:rsid w:val="2DDA2305"/>
    <w:rsid w:val="2DEF41EC"/>
    <w:rsid w:val="2DF47AA5"/>
    <w:rsid w:val="2DF72DE4"/>
    <w:rsid w:val="2E0220AF"/>
    <w:rsid w:val="2E24336B"/>
    <w:rsid w:val="2E33681F"/>
    <w:rsid w:val="2E344345"/>
    <w:rsid w:val="2E4B082A"/>
    <w:rsid w:val="2E5C5D76"/>
    <w:rsid w:val="2E5D4E86"/>
    <w:rsid w:val="2E5D790B"/>
    <w:rsid w:val="2E620EB2"/>
    <w:rsid w:val="2E7035CF"/>
    <w:rsid w:val="2E731311"/>
    <w:rsid w:val="2E9A3C18"/>
    <w:rsid w:val="2EAC037F"/>
    <w:rsid w:val="2EBB0FEE"/>
    <w:rsid w:val="2EC0262B"/>
    <w:rsid w:val="2EC63002"/>
    <w:rsid w:val="2ECB6A58"/>
    <w:rsid w:val="2ED2702B"/>
    <w:rsid w:val="2EE6563F"/>
    <w:rsid w:val="2EF51D26"/>
    <w:rsid w:val="2EFD3195"/>
    <w:rsid w:val="2EFE507F"/>
    <w:rsid w:val="2F0A6B38"/>
    <w:rsid w:val="2F104DB2"/>
    <w:rsid w:val="2F2443BA"/>
    <w:rsid w:val="2F300FB0"/>
    <w:rsid w:val="2F3960B7"/>
    <w:rsid w:val="2F3C1703"/>
    <w:rsid w:val="2F5527C5"/>
    <w:rsid w:val="2F7610B9"/>
    <w:rsid w:val="2F7A6D74"/>
    <w:rsid w:val="2F7F3D3E"/>
    <w:rsid w:val="2F844B71"/>
    <w:rsid w:val="2F946CCB"/>
    <w:rsid w:val="2FC06036"/>
    <w:rsid w:val="2FCD4A51"/>
    <w:rsid w:val="2FCD67FF"/>
    <w:rsid w:val="2FD25781"/>
    <w:rsid w:val="2FDB4215"/>
    <w:rsid w:val="2FDC745C"/>
    <w:rsid w:val="2FE51D9B"/>
    <w:rsid w:val="2FFD7934"/>
    <w:rsid w:val="30183F1E"/>
    <w:rsid w:val="30186FC0"/>
    <w:rsid w:val="301A5EE8"/>
    <w:rsid w:val="3054441E"/>
    <w:rsid w:val="306313BD"/>
    <w:rsid w:val="306732B1"/>
    <w:rsid w:val="306C1ED4"/>
    <w:rsid w:val="30703D5A"/>
    <w:rsid w:val="30733ACD"/>
    <w:rsid w:val="308271CF"/>
    <w:rsid w:val="308725A7"/>
    <w:rsid w:val="308C3862"/>
    <w:rsid w:val="309379D8"/>
    <w:rsid w:val="309A2B85"/>
    <w:rsid w:val="30A270F7"/>
    <w:rsid w:val="30BD4AC6"/>
    <w:rsid w:val="30C220DC"/>
    <w:rsid w:val="30C67CE3"/>
    <w:rsid w:val="30C916BD"/>
    <w:rsid w:val="30D14FE9"/>
    <w:rsid w:val="30D75B88"/>
    <w:rsid w:val="30DF1478"/>
    <w:rsid w:val="30E7479C"/>
    <w:rsid w:val="30EC586F"/>
    <w:rsid w:val="310D77FB"/>
    <w:rsid w:val="31140B8A"/>
    <w:rsid w:val="311A1F18"/>
    <w:rsid w:val="31224929"/>
    <w:rsid w:val="315E0057"/>
    <w:rsid w:val="318957DA"/>
    <w:rsid w:val="319C6071"/>
    <w:rsid w:val="31A517E2"/>
    <w:rsid w:val="31AC537E"/>
    <w:rsid w:val="31D2634F"/>
    <w:rsid w:val="31E3679B"/>
    <w:rsid w:val="31E71DFA"/>
    <w:rsid w:val="31E732FD"/>
    <w:rsid w:val="31F34414"/>
    <w:rsid w:val="31FF4AA5"/>
    <w:rsid w:val="3203475A"/>
    <w:rsid w:val="3216448E"/>
    <w:rsid w:val="321D601F"/>
    <w:rsid w:val="3240775C"/>
    <w:rsid w:val="324B208A"/>
    <w:rsid w:val="32517576"/>
    <w:rsid w:val="3257675E"/>
    <w:rsid w:val="32BE5C2C"/>
    <w:rsid w:val="32D60752"/>
    <w:rsid w:val="32E20814"/>
    <w:rsid w:val="32FB6478"/>
    <w:rsid w:val="32FD11AA"/>
    <w:rsid w:val="33187B3D"/>
    <w:rsid w:val="33263B3F"/>
    <w:rsid w:val="334F5F8B"/>
    <w:rsid w:val="336963EB"/>
    <w:rsid w:val="3379413F"/>
    <w:rsid w:val="33816EEB"/>
    <w:rsid w:val="33A15FD9"/>
    <w:rsid w:val="33AF4B9A"/>
    <w:rsid w:val="33B20E45"/>
    <w:rsid w:val="33D70E08"/>
    <w:rsid w:val="33E52C5E"/>
    <w:rsid w:val="33EB55CD"/>
    <w:rsid w:val="33EC4C02"/>
    <w:rsid w:val="33ED56C2"/>
    <w:rsid w:val="340C3D14"/>
    <w:rsid w:val="340D2360"/>
    <w:rsid w:val="3410665D"/>
    <w:rsid w:val="34211214"/>
    <w:rsid w:val="342E63AB"/>
    <w:rsid w:val="344935CA"/>
    <w:rsid w:val="3460797A"/>
    <w:rsid w:val="346E1575"/>
    <w:rsid w:val="348F1F54"/>
    <w:rsid w:val="348F6779"/>
    <w:rsid w:val="34950E68"/>
    <w:rsid w:val="34986E94"/>
    <w:rsid w:val="34A22009"/>
    <w:rsid w:val="34AF62C9"/>
    <w:rsid w:val="34BB3B84"/>
    <w:rsid w:val="34CB4388"/>
    <w:rsid w:val="34CD3CC3"/>
    <w:rsid w:val="34DF0332"/>
    <w:rsid w:val="34EB57E4"/>
    <w:rsid w:val="34EE16F2"/>
    <w:rsid w:val="34F62354"/>
    <w:rsid w:val="34FA6E12"/>
    <w:rsid w:val="35064C8D"/>
    <w:rsid w:val="35123632"/>
    <w:rsid w:val="35143BC8"/>
    <w:rsid w:val="351729F7"/>
    <w:rsid w:val="35284C04"/>
    <w:rsid w:val="35474EB4"/>
    <w:rsid w:val="354D7158"/>
    <w:rsid w:val="35657195"/>
    <w:rsid w:val="356B689E"/>
    <w:rsid w:val="358D5588"/>
    <w:rsid w:val="359F479A"/>
    <w:rsid w:val="35DA1C76"/>
    <w:rsid w:val="361E5010"/>
    <w:rsid w:val="362652E7"/>
    <w:rsid w:val="363A3B40"/>
    <w:rsid w:val="365302AE"/>
    <w:rsid w:val="36607A0A"/>
    <w:rsid w:val="366854D4"/>
    <w:rsid w:val="366E227C"/>
    <w:rsid w:val="366F2E0D"/>
    <w:rsid w:val="36772830"/>
    <w:rsid w:val="367B6A5C"/>
    <w:rsid w:val="367E2601"/>
    <w:rsid w:val="36820E79"/>
    <w:rsid w:val="36976979"/>
    <w:rsid w:val="36A74ADA"/>
    <w:rsid w:val="36AD60D5"/>
    <w:rsid w:val="36B224F9"/>
    <w:rsid w:val="36B81FB7"/>
    <w:rsid w:val="36EC0CC9"/>
    <w:rsid w:val="37024FE0"/>
    <w:rsid w:val="370276D6"/>
    <w:rsid w:val="372C16B6"/>
    <w:rsid w:val="37307DA0"/>
    <w:rsid w:val="373F410B"/>
    <w:rsid w:val="3742470D"/>
    <w:rsid w:val="37572950"/>
    <w:rsid w:val="378325C5"/>
    <w:rsid w:val="378E4AC6"/>
    <w:rsid w:val="37A41494"/>
    <w:rsid w:val="37E6344F"/>
    <w:rsid w:val="37EE7094"/>
    <w:rsid w:val="38080D1C"/>
    <w:rsid w:val="381451E0"/>
    <w:rsid w:val="38203594"/>
    <w:rsid w:val="38296C89"/>
    <w:rsid w:val="383002EB"/>
    <w:rsid w:val="385201EA"/>
    <w:rsid w:val="38586797"/>
    <w:rsid w:val="385D15DF"/>
    <w:rsid w:val="386341A5"/>
    <w:rsid w:val="388154BB"/>
    <w:rsid w:val="38B53D66"/>
    <w:rsid w:val="38BC0149"/>
    <w:rsid w:val="38D87D1C"/>
    <w:rsid w:val="38DE55D9"/>
    <w:rsid w:val="38E16CDA"/>
    <w:rsid w:val="38F1355F"/>
    <w:rsid w:val="3905525C"/>
    <w:rsid w:val="391334D5"/>
    <w:rsid w:val="3922196A"/>
    <w:rsid w:val="3958538C"/>
    <w:rsid w:val="39636459"/>
    <w:rsid w:val="39651E35"/>
    <w:rsid w:val="39684403"/>
    <w:rsid w:val="396B7F6C"/>
    <w:rsid w:val="396F26D5"/>
    <w:rsid w:val="39A95BE7"/>
    <w:rsid w:val="39B417A9"/>
    <w:rsid w:val="39C11183"/>
    <w:rsid w:val="39C649EB"/>
    <w:rsid w:val="39E15381"/>
    <w:rsid w:val="39F77DF1"/>
    <w:rsid w:val="39FC5695"/>
    <w:rsid w:val="3A006D8E"/>
    <w:rsid w:val="3A0B0650"/>
    <w:rsid w:val="3A3651E5"/>
    <w:rsid w:val="3A6D130B"/>
    <w:rsid w:val="3A6E4E2D"/>
    <w:rsid w:val="3A744481"/>
    <w:rsid w:val="3A8C7BEF"/>
    <w:rsid w:val="3A906246"/>
    <w:rsid w:val="3A982231"/>
    <w:rsid w:val="3AAC0AC2"/>
    <w:rsid w:val="3AAD7959"/>
    <w:rsid w:val="3AEE41FA"/>
    <w:rsid w:val="3AF8522A"/>
    <w:rsid w:val="3B033680"/>
    <w:rsid w:val="3B2349B7"/>
    <w:rsid w:val="3B245E6D"/>
    <w:rsid w:val="3B53405D"/>
    <w:rsid w:val="3B616CFF"/>
    <w:rsid w:val="3B6259F6"/>
    <w:rsid w:val="3B857640"/>
    <w:rsid w:val="3B911029"/>
    <w:rsid w:val="3B976654"/>
    <w:rsid w:val="3B9F72A2"/>
    <w:rsid w:val="3BB371F1"/>
    <w:rsid w:val="3BB865B6"/>
    <w:rsid w:val="3BBA7DC9"/>
    <w:rsid w:val="3BC01EFC"/>
    <w:rsid w:val="3BCA786A"/>
    <w:rsid w:val="3BD31E2F"/>
    <w:rsid w:val="3BEB24E7"/>
    <w:rsid w:val="3BEC58CB"/>
    <w:rsid w:val="3BF15831"/>
    <w:rsid w:val="3BF50ADF"/>
    <w:rsid w:val="3BF91819"/>
    <w:rsid w:val="3BFF5F92"/>
    <w:rsid w:val="3C0D7BA2"/>
    <w:rsid w:val="3C105946"/>
    <w:rsid w:val="3C177780"/>
    <w:rsid w:val="3C471448"/>
    <w:rsid w:val="3C4A3E53"/>
    <w:rsid w:val="3C5F759A"/>
    <w:rsid w:val="3C65673D"/>
    <w:rsid w:val="3C6C525A"/>
    <w:rsid w:val="3C991F43"/>
    <w:rsid w:val="3CAB699A"/>
    <w:rsid w:val="3CCE23CB"/>
    <w:rsid w:val="3CD17D17"/>
    <w:rsid w:val="3CE268B5"/>
    <w:rsid w:val="3D000214"/>
    <w:rsid w:val="3D115F7D"/>
    <w:rsid w:val="3D1D0DC6"/>
    <w:rsid w:val="3D1E49D2"/>
    <w:rsid w:val="3D2C53C9"/>
    <w:rsid w:val="3D3C7F39"/>
    <w:rsid w:val="3D440F09"/>
    <w:rsid w:val="3D4504A0"/>
    <w:rsid w:val="3D7226C2"/>
    <w:rsid w:val="3D7D7AB7"/>
    <w:rsid w:val="3D826E7B"/>
    <w:rsid w:val="3D8734BB"/>
    <w:rsid w:val="3D874491"/>
    <w:rsid w:val="3D9A11D4"/>
    <w:rsid w:val="3D9B0B83"/>
    <w:rsid w:val="3DA16D89"/>
    <w:rsid w:val="3DA364BE"/>
    <w:rsid w:val="3DD75419"/>
    <w:rsid w:val="3DDD67A7"/>
    <w:rsid w:val="3DE041CB"/>
    <w:rsid w:val="3DF15DAF"/>
    <w:rsid w:val="3E0B50C2"/>
    <w:rsid w:val="3E0D48F6"/>
    <w:rsid w:val="3E1868B4"/>
    <w:rsid w:val="3E377251"/>
    <w:rsid w:val="3E42664B"/>
    <w:rsid w:val="3E4405D4"/>
    <w:rsid w:val="3E5A7334"/>
    <w:rsid w:val="3E5D7C28"/>
    <w:rsid w:val="3E704F26"/>
    <w:rsid w:val="3E7B5D6B"/>
    <w:rsid w:val="3E8346A9"/>
    <w:rsid w:val="3E843E66"/>
    <w:rsid w:val="3E8F51FE"/>
    <w:rsid w:val="3E926F87"/>
    <w:rsid w:val="3E9A59DE"/>
    <w:rsid w:val="3EA572C5"/>
    <w:rsid w:val="3EA61955"/>
    <w:rsid w:val="3EAD3381"/>
    <w:rsid w:val="3EAF4836"/>
    <w:rsid w:val="3EC33DFA"/>
    <w:rsid w:val="3EC66625"/>
    <w:rsid w:val="3EC84D62"/>
    <w:rsid w:val="3EE15E23"/>
    <w:rsid w:val="3EEF6792"/>
    <w:rsid w:val="3EF913BF"/>
    <w:rsid w:val="3F060E16"/>
    <w:rsid w:val="3F0A7128"/>
    <w:rsid w:val="3F185E50"/>
    <w:rsid w:val="3F1D1096"/>
    <w:rsid w:val="3F2F0234"/>
    <w:rsid w:val="3F4915A0"/>
    <w:rsid w:val="3F496996"/>
    <w:rsid w:val="3F6363FE"/>
    <w:rsid w:val="3F6C0DC4"/>
    <w:rsid w:val="3F756B8F"/>
    <w:rsid w:val="3F7B1DD4"/>
    <w:rsid w:val="3F84512C"/>
    <w:rsid w:val="3F95482B"/>
    <w:rsid w:val="3FB14D9D"/>
    <w:rsid w:val="3FB47094"/>
    <w:rsid w:val="3FDB7239"/>
    <w:rsid w:val="3FE83137"/>
    <w:rsid w:val="3FF611F3"/>
    <w:rsid w:val="3FF658FE"/>
    <w:rsid w:val="400967AA"/>
    <w:rsid w:val="4019356B"/>
    <w:rsid w:val="4027468A"/>
    <w:rsid w:val="40275A35"/>
    <w:rsid w:val="403A57EB"/>
    <w:rsid w:val="404B3E9C"/>
    <w:rsid w:val="40583EC3"/>
    <w:rsid w:val="40592157"/>
    <w:rsid w:val="405B7F8E"/>
    <w:rsid w:val="406E1CAE"/>
    <w:rsid w:val="40970E8F"/>
    <w:rsid w:val="40A0133A"/>
    <w:rsid w:val="40B76E3C"/>
    <w:rsid w:val="40C31A53"/>
    <w:rsid w:val="40CA6165"/>
    <w:rsid w:val="40F0008D"/>
    <w:rsid w:val="40FF545D"/>
    <w:rsid w:val="410067C8"/>
    <w:rsid w:val="412D3063"/>
    <w:rsid w:val="41395AA3"/>
    <w:rsid w:val="416666BA"/>
    <w:rsid w:val="41764F37"/>
    <w:rsid w:val="418C5269"/>
    <w:rsid w:val="418F0D2A"/>
    <w:rsid w:val="41A64489"/>
    <w:rsid w:val="41B25855"/>
    <w:rsid w:val="41C1562E"/>
    <w:rsid w:val="41D01505"/>
    <w:rsid w:val="42175486"/>
    <w:rsid w:val="42295B17"/>
    <w:rsid w:val="42474939"/>
    <w:rsid w:val="424C3C57"/>
    <w:rsid w:val="425A3900"/>
    <w:rsid w:val="425D7EB7"/>
    <w:rsid w:val="42613FF3"/>
    <w:rsid w:val="42660D96"/>
    <w:rsid w:val="428667D2"/>
    <w:rsid w:val="42A66399"/>
    <w:rsid w:val="42AE413A"/>
    <w:rsid w:val="42C442A5"/>
    <w:rsid w:val="42CD1CE0"/>
    <w:rsid w:val="42E02EA1"/>
    <w:rsid w:val="42E1381E"/>
    <w:rsid w:val="42E7166E"/>
    <w:rsid w:val="42ED6459"/>
    <w:rsid w:val="42F7190A"/>
    <w:rsid w:val="42FE58DD"/>
    <w:rsid w:val="43174B3D"/>
    <w:rsid w:val="433724B6"/>
    <w:rsid w:val="434B790E"/>
    <w:rsid w:val="4360274F"/>
    <w:rsid w:val="43776717"/>
    <w:rsid w:val="4379360A"/>
    <w:rsid w:val="438F22F2"/>
    <w:rsid w:val="43977AB6"/>
    <w:rsid w:val="43A3342B"/>
    <w:rsid w:val="43AD05F5"/>
    <w:rsid w:val="43C26223"/>
    <w:rsid w:val="43C77C27"/>
    <w:rsid w:val="43CC2BFE"/>
    <w:rsid w:val="43D63A7D"/>
    <w:rsid w:val="43D9536F"/>
    <w:rsid w:val="43DE09EE"/>
    <w:rsid w:val="43E97C54"/>
    <w:rsid w:val="43F73405"/>
    <w:rsid w:val="43FE010A"/>
    <w:rsid w:val="44002FAD"/>
    <w:rsid w:val="440C3942"/>
    <w:rsid w:val="44185E43"/>
    <w:rsid w:val="442B201D"/>
    <w:rsid w:val="444839AE"/>
    <w:rsid w:val="44562E10"/>
    <w:rsid w:val="44720397"/>
    <w:rsid w:val="4483615A"/>
    <w:rsid w:val="449101DD"/>
    <w:rsid w:val="44992438"/>
    <w:rsid w:val="44A539D3"/>
    <w:rsid w:val="44AE67A8"/>
    <w:rsid w:val="44DE1391"/>
    <w:rsid w:val="44FD59C0"/>
    <w:rsid w:val="44FF0DB1"/>
    <w:rsid w:val="451341CF"/>
    <w:rsid w:val="45135F9D"/>
    <w:rsid w:val="451B225C"/>
    <w:rsid w:val="452410C9"/>
    <w:rsid w:val="452B1BA6"/>
    <w:rsid w:val="45317DFB"/>
    <w:rsid w:val="45321187"/>
    <w:rsid w:val="453273D9"/>
    <w:rsid w:val="45330E97"/>
    <w:rsid w:val="45433394"/>
    <w:rsid w:val="455410FD"/>
    <w:rsid w:val="456D3CE4"/>
    <w:rsid w:val="4572694C"/>
    <w:rsid w:val="4579042C"/>
    <w:rsid w:val="457F0571"/>
    <w:rsid w:val="45851176"/>
    <w:rsid w:val="4588349D"/>
    <w:rsid w:val="45A55DFD"/>
    <w:rsid w:val="45A831F7"/>
    <w:rsid w:val="45AC2160"/>
    <w:rsid w:val="45B44292"/>
    <w:rsid w:val="45B71E2A"/>
    <w:rsid w:val="45B918A8"/>
    <w:rsid w:val="45C63332"/>
    <w:rsid w:val="45C63B94"/>
    <w:rsid w:val="45CF4A34"/>
    <w:rsid w:val="45DB537A"/>
    <w:rsid w:val="460E7DA5"/>
    <w:rsid w:val="46162D06"/>
    <w:rsid w:val="461940F5"/>
    <w:rsid w:val="46277FC8"/>
    <w:rsid w:val="46422483"/>
    <w:rsid w:val="46565349"/>
    <w:rsid w:val="4659254A"/>
    <w:rsid w:val="465B0637"/>
    <w:rsid w:val="465E3F0D"/>
    <w:rsid w:val="46664EA7"/>
    <w:rsid w:val="466A16E6"/>
    <w:rsid w:val="466B47A5"/>
    <w:rsid w:val="46714E0A"/>
    <w:rsid w:val="46893F2B"/>
    <w:rsid w:val="46AB11F1"/>
    <w:rsid w:val="46B243CF"/>
    <w:rsid w:val="46C4686E"/>
    <w:rsid w:val="46FC1A4C"/>
    <w:rsid w:val="4712341D"/>
    <w:rsid w:val="47315921"/>
    <w:rsid w:val="47743CD8"/>
    <w:rsid w:val="477B778F"/>
    <w:rsid w:val="478203EC"/>
    <w:rsid w:val="47B025FA"/>
    <w:rsid w:val="47C84024"/>
    <w:rsid w:val="47D429C9"/>
    <w:rsid w:val="47EE7BFC"/>
    <w:rsid w:val="47EF4BBA"/>
    <w:rsid w:val="48030BB8"/>
    <w:rsid w:val="4809698F"/>
    <w:rsid w:val="4811697D"/>
    <w:rsid w:val="482079BC"/>
    <w:rsid w:val="484511D1"/>
    <w:rsid w:val="48496F13"/>
    <w:rsid w:val="485B27A2"/>
    <w:rsid w:val="48727FD7"/>
    <w:rsid w:val="48762D9F"/>
    <w:rsid w:val="487A3E25"/>
    <w:rsid w:val="48882838"/>
    <w:rsid w:val="488B5503"/>
    <w:rsid w:val="48937E21"/>
    <w:rsid w:val="489A0361"/>
    <w:rsid w:val="48A40712"/>
    <w:rsid w:val="48B94FF3"/>
    <w:rsid w:val="48CB5B7A"/>
    <w:rsid w:val="48CE7418"/>
    <w:rsid w:val="48CF2CF3"/>
    <w:rsid w:val="48D57D98"/>
    <w:rsid w:val="48E37AAB"/>
    <w:rsid w:val="48EC083D"/>
    <w:rsid w:val="48F13107"/>
    <w:rsid w:val="48FD4B4C"/>
    <w:rsid w:val="49064E04"/>
    <w:rsid w:val="490A68E0"/>
    <w:rsid w:val="491055FE"/>
    <w:rsid w:val="49251FD1"/>
    <w:rsid w:val="49390915"/>
    <w:rsid w:val="494616A5"/>
    <w:rsid w:val="495E69EE"/>
    <w:rsid w:val="495F5B3E"/>
    <w:rsid w:val="49647D7D"/>
    <w:rsid w:val="496739FA"/>
    <w:rsid w:val="496F77D7"/>
    <w:rsid w:val="497654FD"/>
    <w:rsid w:val="497C50C6"/>
    <w:rsid w:val="497E0E3E"/>
    <w:rsid w:val="499046CE"/>
    <w:rsid w:val="49A91813"/>
    <w:rsid w:val="49AA17E5"/>
    <w:rsid w:val="49B64211"/>
    <w:rsid w:val="49E30CA1"/>
    <w:rsid w:val="49E52C6C"/>
    <w:rsid w:val="49F42EAF"/>
    <w:rsid w:val="49F6167F"/>
    <w:rsid w:val="4A064FA0"/>
    <w:rsid w:val="4A162E25"/>
    <w:rsid w:val="4A16615C"/>
    <w:rsid w:val="4A17094B"/>
    <w:rsid w:val="4A4424D7"/>
    <w:rsid w:val="4A9F106C"/>
    <w:rsid w:val="4AB82D0F"/>
    <w:rsid w:val="4AB97C54"/>
    <w:rsid w:val="4AEB7664"/>
    <w:rsid w:val="4AFD7C19"/>
    <w:rsid w:val="4B02784D"/>
    <w:rsid w:val="4B0567D1"/>
    <w:rsid w:val="4B236AAE"/>
    <w:rsid w:val="4B3D6AD7"/>
    <w:rsid w:val="4B594003"/>
    <w:rsid w:val="4B5C51AF"/>
    <w:rsid w:val="4B5D1ECA"/>
    <w:rsid w:val="4B707271"/>
    <w:rsid w:val="4B971D44"/>
    <w:rsid w:val="4B9739F7"/>
    <w:rsid w:val="4BA34B8C"/>
    <w:rsid w:val="4BB46D99"/>
    <w:rsid w:val="4BB52B12"/>
    <w:rsid w:val="4BDC009E"/>
    <w:rsid w:val="4BE807F1"/>
    <w:rsid w:val="4BEE2503"/>
    <w:rsid w:val="4C151C89"/>
    <w:rsid w:val="4C1F5F2B"/>
    <w:rsid w:val="4C245A30"/>
    <w:rsid w:val="4C5C2F8D"/>
    <w:rsid w:val="4C6205A3"/>
    <w:rsid w:val="4C9C4C9B"/>
    <w:rsid w:val="4CA0731E"/>
    <w:rsid w:val="4CB47B69"/>
    <w:rsid w:val="4CB6685F"/>
    <w:rsid w:val="4CC367FE"/>
    <w:rsid w:val="4CC528E0"/>
    <w:rsid w:val="4CCD0FCE"/>
    <w:rsid w:val="4CDE0A90"/>
    <w:rsid w:val="4D007DBC"/>
    <w:rsid w:val="4D077F3C"/>
    <w:rsid w:val="4D0C6E76"/>
    <w:rsid w:val="4D113D78"/>
    <w:rsid w:val="4D123355"/>
    <w:rsid w:val="4D13189E"/>
    <w:rsid w:val="4D2A3B31"/>
    <w:rsid w:val="4D312C52"/>
    <w:rsid w:val="4D4759EB"/>
    <w:rsid w:val="4D6B589F"/>
    <w:rsid w:val="4D905305"/>
    <w:rsid w:val="4D964A72"/>
    <w:rsid w:val="4D9C1254"/>
    <w:rsid w:val="4DA370C6"/>
    <w:rsid w:val="4DD1086D"/>
    <w:rsid w:val="4DDE18EF"/>
    <w:rsid w:val="4DEF230B"/>
    <w:rsid w:val="4DF25957"/>
    <w:rsid w:val="4DF54677"/>
    <w:rsid w:val="4E3221F7"/>
    <w:rsid w:val="4E352585"/>
    <w:rsid w:val="4E524648"/>
    <w:rsid w:val="4E534A5B"/>
    <w:rsid w:val="4E5403C0"/>
    <w:rsid w:val="4E575B61"/>
    <w:rsid w:val="4E6277F3"/>
    <w:rsid w:val="4E683F8E"/>
    <w:rsid w:val="4E720846"/>
    <w:rsid w:val="4E793892"/>
    <w:rsid w:val="4E800872"/>
    <w:rsid w:val="4EC569ED"/>
    <w:rsid w:val="4ED50EA1"/>
    <w:rsid w:val="4EEC050C"/>
    <w:rsid w:val="4F0919DC"/>
    <w:rsid w:val="4F104EC3"/>
    <w:rsid w:val="4F161CFC"/>
    <w:rsid w:val="4F2002A2"/>
    <w:rsid w:val="4F2953A8"/>
    <w:rsid w:val="4F3A5808"/>
    <w:rsid w:val="4F47354A"/>
    <w:rsid w:val="4F5A37B4"/>
    <w:rsid w:val="4F5A6E3D"/>
    <w:rsid w:val="4F74239C"/>
    <w:rsid w:val="4F911C54"/>
    <w:rsid w:val="4F9F13E0"/>
    <w:rsid w:val="4FA26F09"/>
    <w:rsid w:val="4FB05245"/>
    <w:rsid w:val="4FBE01E7"/>
    <w:rsid w:val="4FD33566"/>
    <w:rsid w:val="4FDC68BF"/>
    <w:rsid w:val="4FE625E0"/>
    <w:rsid w:val="501C4F0D"/>
    <w:rsid w:val="5021480F"/>
    <w:rsid w:val="503D341D"/>
    <w:rsid w:val="5054258B"/>
    <w:rsid w:val="505A2E77"/>
    <w:rsid w:val="506E2F3A"/>
    <w:rsid w:val="50836D3A"/>
    <w:rsid w:val="508D3FA3"/>
    <w:rsid w:val="508D5E0B"/>
    <w:rsid w:val="508F539B"/>
    <w:rsid w:val="50962ECB"/>
    <w:rsid w:val="50A13664"/>
    <w:rsid w:val="50A42E38"/>
    <w:rsid w:val="50A4577F"/>
    <w:rsid w:val="50B73D1F"/>
    <w:rsid w:val="50B82E88"/>
    <w:rsid w:val="50BD5BC9"/>
    <w:rsid w:val="50C11EEE"/>
    <w:rsid w:val="50C86E43"/>
    <w:rsid w:val="50DD28EE"/>
    <w:rsid w:val="50E97CFC"/>
    <w:rsid w:val="50FA4028"/>
    <w:rsid w:val="510D65B7"/>
    <w:rsid w:val="511110DA"/>
    <w:rsid w:val="511157AB"/>
    <w:rsid w:val="51143E36"/>
    <w:rsid w:val="51145BE4"/>
    <w:rsid w:val="511B41EA"/>
    <w:rsid w:val="51234079"/>
    <w:rsid w:val="5142540C"/>
    <w:rsid w:val="5153495F"/>
    <w:rsid w:val="516B614C"/>
    <w:rsid w:val="51844B18"/>
    <w:rsid w:val="518832C8"/>
    <w:rsid w:val="519B483E"/>
    <w:rsid w:val="519D3C50"/>
    <w:rsid w:val="519D5BDA"/>
    <w:rsid w:val="51A0432A"/>
    <w:rsid w:val="51A86090"/>
    <w:rsid w:val="51AF3000"/>
    <w:rsid w:val="51B7396D"/>
    <w:rsid w:val="51E655A8"/>
    <w:rsid w:val="51FA127E"/>
    <w:rsid w:val="5201085F"/>
    <w:rsid w:val="520E2460"/>
    <w:rsid w:val="521C2FA3"/>
    <w:rsid w:val="522104E3"/>
    <w:rsid w:val="522E4CC3"/>
    <w:rsid w:val="52306A4E"/>
    <w:rsid w:val="52383B1A"/>
    <w:rsid w:val="5244713B"/>
    <w:rsid w:val="52615633"/>
    <w:rsid w:val="526F4DE4"/>
    <w:rsid w:val="528037B2"/>
    <w:rsid w:val="5284301A"/>
    <w:rsid w:val="528B1ED6"/>
    <w:rsid w:val="5292702A"/>
    <w:rsid w:val="52946FDD"/>
    <w:rsid w:val="52977FD4"/>
    <w:rsid w:val="52A25790"/>
    <w:rsid w:val="52A5743C"/>
    <w:rsid w:val="52A96B6F"/>
    <w:rsid w:val="52B45975"/>
    <w:rsid w:val="52C378C2"/>
    <w:rsid w:val="52C527A1"/>
    <w:rsid w:val="52D675F5"/>
    <w:rsid w:val="52D94AA4"/>
    <w:rsid w:val="52EA3A62"/>
    <w:rsid w:val="52F50BB8"/>
    <w:rsid w:val="52F87BCB"/>
    <w:rsid w:val="53035F10"/>
    <w:rsid w:val="53097272"/>
    <w:rsid w:val="53264EE9"/>
    <w:rsid w:val="533B7DA0"/>
    <w:rsid w:val="533F2CEC"/>
    <w:rsid w:val="534A1D91"/>
    <w:rsid w:val="53544462"/>
    <w:rsid w:val="536410A5"/>
    <w:rsid w:val="53642E53"/>
    <w:rsid w:val="5367660C"/>
    <w:rsid w:val="5390475C"/>
    <w:rsid w:val="5397158E"/>
    <w:rsid w:val="53980933"/>
    <w:rsid w:val="53CF5C6C"/>
    <w:rsid w:val="53D55AFF"/>
    <w:rsid w:val="53F11286"/>
    <w:rsid w:val="54013861"/>
    <w:rsid w:val="541703D8"/>
    <w:rsid w:val="54270277"/>
    <w:rsid w:val="54395992"/>
    <w:rsid w:val="54487265"/>
    <w:rsid w:val="544D6070"/>
    <w:rsid w:val="54605E1E"/>
    <w:rsid w:val="54644702"/>
    <w:rsid w:val="546B0211"/>
    <w:rsid w:val="546B1CAB"/>
    <w:rsid w:val="546D21DB"/>
    <w:rsid w:val="54703A7A"/>
    <w:rsid w:val="54A33EAF"/>
    <w:rsid w:val="54A656ED"/>
    <w:rsid w:val="54B3506A"/>
    <w:rsid w:val="54B43966"/>
    <w:rsid w:val="54BE2A37"/>
    <w:rsid w:val="54C618EB"/>
    <w:rsid w:val="54CA0D16"/>
    <w:rsid w:val="54DB0905"/>
    <w:rsid w:val="54DD4057"/>
    <w:rsid w:val="54E7490F"/>
    <w:rsid w:val="550764A4"/>
    <w:rsid w:val="550B2BF6"/>
    <w:rsid w:val="55183075"/>
    <w:rsid w:val="5519038A"/>
    <w:rsid w:val="55214EB5"/>
    <w:rsid w:val="55284354"/>
    <w:rsid w:val="552D54C7"/>
    <w:rsid w:val="5536081F"/>
    <w:rsid w:val="55364EFD"/>
    <w:rsid w:val="553F04A9"/>
    <w:rsid w:val="554C3B9F"/>
    <w:rsid w:val="554D5B69"/>
    <w:rsid w:val="555962BC"/>
    <w:rsid w:val="555D4828"/>
    <w:rsid w:val="555D5DAC"/>
    <w:rsid w:val="557A4C8B"/>
    <w:rsid w:val="558931E1"/>
    <w:rsid w:val="55923347"/>
    <w:rsid w:val="55925180"/>
    <w:rsid w:val="55983B1B"/>
    <w:rsid w:val="55A8376B"/>
    <w:rsid w:val="55BE25C3"/>
    <w:rsid w:val="55DC29B6"/>
    <w:rsid w:val="55DD4241"/>
    <w:rsid w:val="55FD758F"/>
    <w:rsid w:val="5607156D"/>
    <w:rsid w:val="562C1760"/>
    <w:rsid w:val="564B743F"/>
    <w:rsid w:val="564D49A1"/>
    <w:rsid w:val="565371AF"/>
    <w:rsid w:val="566B6D1E"/>
    <w:rsid w:val="568B4B9B"/>
    <w:rsid w:val="56B04DF0"/>
    <w:rsid w:val="56D27DD8"/>
    <w:rsid w:val="56E32CE5"/>
    <w:rsid w:val="57032A2C"/>
    <w:rsid w:val="570F5219"/>
    <w:rsid w:val="5714693E"/>
    <w:rsid w:val="571E156B"/>
    <w:rsid w:val="5726041F"/>
    <w:rsid w:val="573862A7"/>
    <w:rsid w:val="57433A98"/>
    <w:rsid w:val="575D12B5"/>
    <w:rsid w:val="57610A87"/>
    <w:rsid w:val="577675F9"/>
    <w:rsid w:val="577B1140"/>
    <w:rsid w:val="577B7F21"/>
    <w:rsid w:val="577F181B"/>
    <w:rsid w:val="57921984"/>
    <w:rsid w:val="579737F0"/>
    <w:rsid w:val="579B2BBB"/>
    <w:rsid w:val="57AB7B30"/>
    <w:rsid w:val="57AE0B41"/>
    <w:rsid w:val="57AF5251"/>
    <w:rsid w:val="57B26373"/>
    <w:rsid w:val="57B44C4C"/>
    <w:rsid w:val="57B63F04"/>
    <w:rsid w:val="57CD20C2"/>
    <w:rsid w:val="57D675AB"/>
    <w:rsid w:val="57D73717"/>
    <w:rsid w:val="57D95FDD"/>
    <w:rsid w:val="57E5509B"/>
    <w:rsid w:val="582B03E3"/>
    <w:rsid w:val="583077A8"/>
    <w:rsid w:val="585F008D"/>
    <w:rsid w:val="58795707"/>
    <w:rsid w:val="58823D7B"/>
    <w:rsid w:val="58917D2F"/>
    <w:rsid w:val="5894085C"/>
    <w:rsid w:val="589567DF"/>
    <w:rsid w:val="58A106A5"/>
    <w:rsid w:val="58AE4F0C"/>
    <w:rsid w:val="58B32187"/>
    <w:rsid w:val="58B85899"/>
    <w:rsid w:val="58E363A9"/>
    <w:rsid w:val="58FC1D80"/>
    <w:rsid w:val="59166304"/>
    <w:rsid w:val="59305585"/>
    <w:rsid w:val="593C03CE"/>
    <w:rsid w:val="593D6EE9"/>
    <w:rsid w:val="594A6647"/>
    <w:rsid w:val="595E02A4"/>
    <w:rsid w:val="595E1678"/>
    <w:rsid w:val="596B0AF9"/>
    <w:rsid w:val="596D5BD4"/>
    <w:rsid w:val="597162CA"/>
    <w:rsid w:val="597E3DD8"/>
    <w:rsid w:val="598F602C"/>
    <w:rsid w:val="59922BB6"/>
    <w:rsid w:val="59AF6DF2"/>
    <w:rsid w:val="59CB2973"/>
    <w:rsid w:val="59CC5901"/>
    <w:rsid w:val="59D953C5"/>
    <w:rsid w:val="59EE502A"/>
    <w:rsid w:val="59F80043"/>
    <w:rsid w:val="59FA70CE"/>
    <w:rsid w:val="5A0802B0"/>
    <w:rsid w:val="5A09252F"/>
    <w:rsid w:val="5A0B2778"/>
    <w:rsid w:val="5A160C1F"/>
    <w:rsid w:val="5A1629CD"/>
    <w:rsid w:val="5A1924BD"/>
    <w:rsid w:val="5A2A7C7B"/>
    <w:rsid w:val="5A3612C1"/>
    <w:rsid w:val="5A3B0686"/>
    <w:rsid w:val="5A3E2560"/>
    <w:rsid w:val="5A405C9C"/>
    <w:rsid w:val="5A49078D"/>
    <w:rsid w:val="5A5D3B6E"/>
    <w:rsid w:val="5A637A76"/>
    <w:rsid w:val="5A6D33BA"/>
    <w:rsid w:val="5A6E45B7"/>
    <w:rsid w:val="5A767910"/>
    <w:rsid w:val="5A792B1F"/>
    <w:rsid w:val="5A7B6CD4"/>
    <w:rsid w:val="5A874767"/>
    <w:rsid w:val="5AA85BE2"/>
    <w:rsid w:val="5AAC3332"/>
    <w:rsid w:val="5AAD6F28"/>
    <w:rsid w:val="5AD52888"/>
    <w:rsid w:val="5AD63A24"/>
    <w:rsid w:val="5AF0321E"/>
    <w:rsid w:val="5B2E1A1D"/>
    <w:rsid w:val="5B3C2907"/>
    <w:rsid w:val="5B3F7D02"/>
    <w:rsid w:val="5B7B5D04"/>
    <w:rsid w:val="5B843A1C"/>
    <w:rsid w:val="5B873E3F"/>
    <w:rsid w:val="5BBF57BC"/>
    <w:rsid w:val="5BC0071A"/>
    <w:rsid w:val="5BC76675"/>
    <w:rsid w:val="5BD67CFD"/>
    <w:rsid w:val="5BE10DB9"/>
    <w:rsid w:val="5BF94355"/>
    <w:rsid w:val="5BFA06A9"/>
    <w:rsid w:val="5C007491"/>
    <w:rsid w:val="5C02690E"/>
    <w:rsid w:val="5C050B30"/>
    <w:rsid w:val="5C095A4F"/>
    <w:rsid w:val="5C163158"/>
    <w:rsid w:val="5C196DA7"/>
    <w:rsid w:val="5C2A048C"/>
    <w:rsid w:val="5C602626"/>
    <w:rsid w:val="5C62639E"/>
    <w:rsid w:val="5C643EC4"/>
    <w:rsid w:val="5C6C0FCA"/>
    <w:rsid w:val="5C7A4BBC"/>
    <w:rsid w:val="5C7D4A92"/>
    <w:rsid w:val="5C7D6D34"/>
    <w:rsid w:val="5C80234E"/>
    <w:rsid w:val="5C8A680C"/>
    <w:rsid w:val="5C8C51C9"/>
    <w:rsid w:val="5CA63B51"/>
    <w:rsid w:val="5CCC7122"/>
    <w:rsid w:val="5CD31049"/>
    <w:rsid w:val="5CDA23D8"/>
    <w:rsid w:val="5CE72C34"/>
    <w:rsid w:val="5CEE378D"/>
    <w:rsid w:val="5CF444AA"/>
    <w:rsid w:val="5D0C4701"/>
    <w:rsid w:val="5D0F0395"/>
    <w:rsid w:val="5D221076"/>
    <w:rsid w:val="5D397964"/>
    <w:rsid w:val="5D431D2B"/>
    <w:rsid w:val="5D5A391C"/>
    <w:rsid w:val="5D5F10C0"/>
    <w:rsid w:val="5D720862"/>
    <w:rsid w:val="5D891B7B"/>
    <w:rsid w:val="5D9407D9"/>
    <w:rsid w:val="5DAD38EE"/>
    <w:rsid w:val="5DB40020"/>
    <w:rsid w:val="5DBF7F0F"/>
    <w:rsid w:val="5DC34C1A"/>
    <w:rsid w:val="5DFD1BC3"/>
    <w:rsid w:val="5E006862"/>
    <w:rsid w:val="5E0207B9"/>
    <w:rsid w:val="5E1834A1"/>
    <w:rsid w:val="5E1C432A"/>
    <w:rsid w:val="5E261785"/>
    <w:rsid w:val="5E2F3045"/>
    <w:rsid w:val="5E4A7017"/>
    <w:rsid w:val="5E552BBA"/>
    <w:rsid w:val="5E56783C"/>
    <w:rsid w:val="5E5A37D0"/>
    <w:rsid w:val="5E5D6E1D"/>
    <w:rsid w:val="5E611C10"/>
    <w:rsid w:val="5E7A0F3F"/>
    <w:rsid w:val="5E8670CC"/>
    <w:rsid w:val="5E9B7945"/>
    <w:rsid w:val="5E9F5687"/>
    <w:rsid w:val="5EBD3D5F"/>
    <w:rsid w:val="5EFC7377"/>
    <w:rsid w:val="5F06174D"/>
    <w:rsid w:val="5F0E6369"/>
    <w:rsid w:val="5F1A6ABC"/>
    <w:rsid w:val="5F221E14"/>
    <w:rsid w:val="5F28567D"/>
    <w:rsid w:val="5F3A3602"/>
    <w:rsid w:val="5F3E2C38"/>
    <w:rsid w:val="5F45733B"/>
    <w:rsid w:val="5F5F1B1D"/>
    <w:rsid w:val="5F6277C6"/>
    <w:rsid w:val="5F6D0B1D"/>
    <w:rsid w:val="5F776DCD"/>
    <w:rsid w:val="5F7C1524"/>
    <w:rsid w:val="5F7F7267"/>
    <w:rsid w:val="5F8328B3"/>
    <w:rsid w:val="5F8D0B82"/>
    <w:rsid w:val="5FA67FA5"/>
    <w:rsid w:val="5FCC5339"/>
    <w:rsid w:val="5FD70E51"/>
    <w:rsid w:val="5FE34A5B"/>
    <w:rsid w:val="5FE45BA0"/>
    <w:rsid w:val="5FFE1E36"/>
    <w:rsid w:val="60031C46"/>
    <w:rsid w:val="60124620"/>
    <w:rsid w:val="601A3BEE"/>
    <w:rsid w:val="60232584"/>
    <w:rsid w:val="602970B6"/>
    <w:rsid w:val="602D4BBE"/>
    <w:rsid w:val="604A63EF"/>
    <w:rsid w:val="607330CE"/>
    <w:rsid w:val="60825176"/>
    <w:rsid w:val="60903F90"/>
    <w:rsid w:val="609F2AC4"/>
    <w:rsid w:val="60A814F8"/>
    <w:rsid w:val="60AA20C1"/>
    <w:rsid w:val="60B30256"/>
    <w:rsid w:val="60B82A30"/>
    <w:rsid w:val="60CF45B9"/>
    <w:rsid w:val="60DA0BF8"/>
    <w:rsid w:val="60FA2EE8"/>
    <w:rsid w:val="61054A27"/>
    <w:rsid w:val="610712C2"/>
    <w:rsid w:val="610A52BC"/>
    <w:rsid w:val="61112140"/>
    <w:rsid w:val="611D2366"/>
    <w:rsid w:val="613250B2"/>
    <w:rsid w:val="613A1697"/>
    <w:rsid w:val="61421856"/>
    <w:rsid w:val="615227C4"/>
    <w:rsid w:val="61654E3F"/>
    <w:rsid w:val="618163CD"/>
    <w:rsid w:val="6182292A"/>
    <w:rsid w:val="619F7F92"/>
    <w:rsid w:val="61BA4586"/>
    <w:rsid w:val="61C61984"/>
    <w:rsid w:val="61C64CD9"/>
    <w:rsid w:val="61D72388"/>
    <w:rsid w:val="61F94C26"/>
    <w:rsid w:val="62000E56"/>
    <w:rsid w:val="62065A1D"/>
    <w:rsid w:val="621517BC"/>
    <w:rsid w:val="62287742"/>
    <w:rsid w:val="624F3E49"/>
    <w:rsid w:val="625247BE"/>
    <w:rsid w:val="625D689B"/>
    <w:rsid w:val="62632286"/>
    <w:rsid w:val="628467DA"/>
    <w:rsid w:val="628759A7"/>
    <w:rsid w:val="62885958"/>
    <w:rsid w:val="62954DC9"/>
    <w:rsid w:val="629628FD"/>
    <w:rsid w:val="62F40B65"/>
    <w:rsid w:val="62FB4E56"/>
    <w:rsid w:val="62FC2CFE"/>
    <w:rsid w:val="63024505"/>
    <w:rsid w:val="63141A64"/>
    <w:rsid w:val="633B7348"/>
    <w:rsid w:val="633D0FCB"/>
    <w:rsid w:val="63424833"/>
    <w:rsid w:val="634C5ADC"/>
    <w:rsid w:val="635600A5"/>
    <w:rsid w:val="635B1DB5"/>
    <w:rsid w:val="63711FED"/>
    <w:rsid w:val="637569B7"/>
    <w:rsid w:val="637F3391"/>
    <w:rsid w:val="63880DDC"/>
    <w:rsid w:val="638D54C3"/>
    <w:rsid w:val="638D750D"/>
    <w:rsid w:val="63972DD1"/>
    <w:rsid w:val="63A24A86"/>
    <w:rsid w:val="63A31776"/>
    <w:rsid w:val="63AC6CC0"/>
    <w:rsid w:val="63AD6150"/>
    <w:rsid w:val="63C139AA"/>
    <w:rsid w:val="63D82C43"/>
    <w:rsid w:val="63EA73A4"/>
    <w:rsid w:val="63EB4ECB"/>
    <w:rsid w:val="63FC7BF7"/>
    <w:rsid w:val="64055776"/>
    <w:rsid w:val="64240056"/>
    <w:rsid w:val="643E143A"/>
    <w:rsid w:val="64405216"/>
    <w:rsid w:val="64491666"/>
    <w:rsid w:val="646A2293"/>
    <w:rsid w:val="646E3B0C"/>
    <w:rsid w:val="646F3406"/>
    <w:rsid w:val="647B0286"/>
    <w:rsid w:val="648B6EEF"/>
    <w:rsid w:val="64992B79"/>
    <w:rsid w:val="64C158BF"/>
    <w:rsid w:val="64CE2EAA"/>
    <w:rsid w:val="64D27793"/>
    <w:rsid w:val="64EA1BF5"/>
    <w:rsid w:val="64ED4648"/>
    <w:rsid w:val="64FA4731"/>
    <w:rsid w:val="65044496"/>
    <w:rsid w:val="65136487"/>
    <w:rsid w:val="65363F24"/>
    <w:rsid w:val="653C3090"/>
    <w:rsid w:val="65442AE4"/>
    <w:rsid w:val="655B398A"/>
    <w:rsid w:val="657F58CB"/>
    <w:rsid w:val="65854376"/>
    <w:rsid w:val="658767BE"/>
    <w:rsid w:val="65892531"/>
    <w:rsid w:val="65935552"/>
    <w:rsid w:val="65A90B99"/>
    <w:rsid w:val="65C71020"/>
    <w:rsid w:val="65C71669"/>
    <w:rsid w:val="65E57700"/>
    <w:rsid w:val="66031847"/>
    <w:rsid w:val="6612673F"/>
    <w:rsid w:val="66195831"/>
    <w:rsid w:val="661D7F87"/>
    <w:rsid w:val="661F0E5C"/>
    <w:rsid w:val="66206FE2"/>
    <w:rsid w:val="66287884"/>
    <w:rsid w:val="662E75B1"/>
    <w:rsid w:val="66342C2E"/>
    <w:rsid w:val="66377F53"/>
    <w:rsid w:val="663E784C"/>
    <w:rsid w:val="664C6DB5"/>
    <w:rsid w:val="668B6A45"/>
    <w:rsid w:val="6692162D"/>
    <w:rsid w:val="669730E8"/>
    <w:rsid w:val="66AB4063"/>
    <w:rsid w:val="66B65E8F"/>
    <w:rsid w:val="66CC2AA0"/>
    <w:rsid w:val="66FA2A8D"/>
    <w:rsid w:val="66FE4F15"/>
    <w:rsid w:val="6716225F"/>
    <w:rsid w:val="672F3F24"/>
    <w:rsid w:val="673646AF"/>
    <w:rsid w:val="673E055F"/>
    <w:rsid w:val="67551CE3"/>
    <w:rsid w:val="675F3C06"/>
    <w:rsid w:val="678371C8"/>
    <w:rsid w:val="67A22552"/>
    <w:rsid w:val="67B22DCC"/>
    <w:rsid w:val="67BE71AA"/>
    <w:rsid w:val="67D31EFE"/>
    <w:rsid w:val="67D67714"/>
    <w:rsid w:val="67D90273"/>
    <w:rsid w:val="67DB4029"/>
    <w:rsid w:val="67DE5875"/>
    <w:rsid w:val="67E55852"/>
    <w:rsid w:val="67EB1AB4"/>
    <w:rsid w:val="67FA1285"/>
    <w:rsid w:val="681F3395"/>
    <w:rsid w:val="68551F4F"/>
    <w:rsid w:val="687C10C9"/>
    <w:rsid w:val="68840C16"/>
    <w:rsid w:val="68876EFB"/>
    <w:rsid w:val="68884654"/>
    <w:rsid w:val="689F444F"/>
    <w:rsid w:val="68B0223F"/>
    <w:rsid w:val="68B96DBB"/>
    <w:rsid w:val="68CA2805"/>
    <w:rsid w:val="68CE05B5"/>
    <w:rsid w:val="68E1460C"/>
    <w:rsid w:val="68E937A3"/>
    <w:rsid w:val="68F47BF7"/>
    <w:rsid w:val="69140A20"/>
    <w:rsid w:val="69255B71"/>
    <w:rsid w:val="693A6677"/>
    <w:rsid w:val="693E15D3"/>
    <w:rsid w:val="69627681"/>
    <w:rsid w:val="6977531D"/>
    <w:rsid w:val="699B3AEE"/>
    <w:rsid w:val="69C73CE4"/>
    <w:rsid w:val="69CC2BFF"/>
    <w:rsid w:val="69F0323B"/>
    <w:rsid w:val="69F07C18"/>
    <w:rsid w:val="69FD55B8"/>
    <w:rsid w:val="6A0B1C62"/>
    <w:rsid w:val="6A1A0F4D"/>
    <w:rsid w:val="6A2406C8"/>
    <w:rsid w:val="6A773014"/>
    <w:rsid w:val="6A865ED7"/>
    <w:rsid w:val="6A8C423E"/>
    <w:rsid w:val="6AD469F5"/>
    <w:rsid w:val="6ADE0BD1"/>
    <w:rsid w:val="6AE96859"/>
    <w:rsid w:val="6AEB57B0"/>
    <w:rsid w:val="6AF25D71"/>
    <w:rsid w:val="6B0D2DCF"/>
    <w:rsid w:val="6B147746"/>
    <w:rsid w:val="6B1E1FF2"/>
    <w:rsid w:val="6B24787C"/>
    <w:rsid w:val="6B2C7D5D"/>
    <w:rsid w:val="6B364752"/>
    <w:rsid w:val="6B474083"/>
    <w:rsid w:val="6B5537BD"/>
    <w:rsid w:val="6B573233"/>
    <w:rsid w:val="6B5B6274"/>
    <w:rsid w:val="6B637A3C"/>
    <w:rsid w:val="6B784F82"/>
    <w:rsid w:val="6B7B4D86"/>
    <w:rsid w:val="6B8A2CE2"/>
    <w:rsid w:val="6B935D53"/>
    <w:rsid w:val="6BC95AF1"/>
    <w:rsid w:val="6BCA714F"/>
    <w:rsid w:val="6BEE123C"/>
    <w:rsid w:val="6BF3491C"/>
    <w:rsid w:val="6BF81F0B"/>
    <w:rsid w:val="6C0B435C"/>
    <w:rsid w:val="6C196F71"/>
    <w:rsid w:val="6C1B3E73"/>
    <w:rsid w:val="6C226FCB"/>
    <w:rsid w:val="6C31226F"/>
    <w:rsid w:val="6C353187"/>
    <w:rsid w:val="6C4E249B"/>
    <w:rsid w:val="6C552F0B"/>
    <w:rsid w:val="6C7C27FC"/>
    <w:rsid w:val="6C89702F"/>
    <w:rsid w:val="6C8C67B7"/>
    <w:rsid w:val="6C9D744C"/>
    <w:rsid w:val="6CB021EB"/>
    <w:rsid w:val="6CD33C10"/>
    <w:rsid w:val="6CD81D64"/>
    <w:rsid w:val="6D064B23"/>
    <w:rsid w:val="6D0C087E"/>
    <w:rsid w:val="6D167928"/>
    <w:rsid w:val="6D26299B"/>
    <w:rsid w:val="6D2F7BD6"/>
    <w:rsid w:val="6D4772EC"/>
    <w:rsid w:val="6D773828"/>
    <w:rsid w:val="6D9078AF"/>
    <w:rsid w:val="6D9A25E5"/>
    <w:rsid w:val="6D9D1A0B"/>
    <w:rsid w:val="6DA46816"/>
    <w:rsid w:val="6DA57E98"/>
    <w:rsid w:val="6DAA1953"/>
    <w:rsid w:val="6DAA3FEF"/>
    <w:rsid w:val="6DBE71AC"/>
    <w:rsid w:val="6DC01176"/>
    <w:rsid w:val="6DC0172B"/>
    <w:rsid w:val="6DCB690C"/>
    <w:rsid w:val="6DD41A5B"/>
    <w:rsid w:val="6DF43C2E"/>
    <w:rsid w:val="6DF51CA3"/>
    <w:rsid w:val="6E045E75"/>
    <w:rsid w:val="6E070465"/>
    <w:rsid w:val="6E0948CB"/>
    <w:rsid w:val="6E1A0886"/>
    <w:rsid w:val="6E506D2B"/>
    <w:rsid w:val="6E6935BC"/>
    <w:rsid w:val="6E8335BD"/>
    <w:rsid w:val="6E847CFA"/>
    <w:rsid w:val="6E8E12EF"/>
    <w:rsid w:val="6E8E4DD0"/>
    <w:rsid w:val="6E972936"/>
    <w:rsid w:val="6E992F41"/>
    <w:rsid w:val="6E9F2B3A"/>
    <w:rsid w:val="6ED446C5"/>
    <w:rsid w:val="6EF2710D"/>
    <w:rsid w:val="6F0743A9"/>
    <w:rsid w:val="6F2A7D94"/>
    <w:rsid w:val="6F5D5C83"/>
    <w:rsid w:val="6F83245B"/>
    <w:rsid w:val="6F8331F1"/>
    <w:rsid w:val="6F834209"/>
    <w:rsid w:val="6FA026B5"/>
    <w:rsid w:val="6FAE1A09"/>
    <w:rsid w:val="6FB42615"/>
    <w:rsid w:val="6FBB7E47"/>
    <w:rsid w:val="6FD75BF8"/>
    <w:rsid w:val="6FEA08BF"/>
    <w:rsid w:val="6FED5B27"/>
    <w:rsid w:val="6FF60E7F"/>
    <w:rsid w:val="6FFB6495"/>
    <w:rsid w:val="700C2451"/>
    <w:rsid w:val="70223A22"/>
    <w:rsid w:val="703A5210"/>
    <w:rsid w:val="707723D0"/>
    <w:rsid w:val="707A1AB0"/>
    <w:rsid w:val="708B5A6B"/>
    <w:rsid w:val="70C5356E"/>
    <w:rsid w:val="70D94A29"/>
    <w:rsid w:val="70F51137"/>
    <w:rsid w:val="70F5661B"/>
    <w:rsid w:val="70FF1FB5"/>
    <w:rsid w:val="71031EDC"/>
    <w:rsid w:val="710949C4"/>
    <w:rsid w:val="71360107"/>
    <w:rsid w:val="713B688E"/>
    <w:rsid w:val="71445C1A"/>
    <w:rsid w:val="715F07A7"/>
    <w:rsid w:val="716965A9"/>
    <w:rsid w:val="716D5ECF"/>
    <w:rsid w:val="717F78E2"/>
    <w:rsid w:val="71810C1C"/>
    <w:rsid w:val="71BE53A3"/>
    <w:rsid w:val="71D43752"/>
    <w:rsid w:val="71D84CE0"/>
    <w:rsid w:val="71DB5169"/>
    <w:rsid w:val="71DD0CC4"/>
    <w:rsid w:val="71E5508E"/>
    <w:rsid w:val="71F1796A"/>
    <w:rsid w:val="72154626"/>
    <w:rsid w:val="721E46BD"/>
    <w:rsid w:val="72262B5D"/>
    <w:rsid w:val="72283FF7"/>
    <w:rsid w:val="722E7212"/>
    <w:rsid w:val="722F68CA"/>
    <w:rsid w:val="723A0474"/>
    <w:rsid w:val="723A07D2"/>
    <w:rsid w:val="725923E4"/>
    <w:rsid w:val="725A217C"/>
    <w:rsid w:val="725E4ABA"/>
    <w:rsid w:val="72730565"/>
    <w:rsid w:val="72864BF7"/>
    <w:rsid w:val="729023FC"/>
    <w:rsid w:val="72BB015E"/>
    <w:rsid w:val="72DB610A"/>
    <w:rsid w:val="72EE24A7"/>
    <w:rsid w:val="73117D7E"/>
    <w:rsid w:val="73561688"/>
    <w:rsid w:val="73591E51"/>
    <w:rsid w:val="738A025C"/>
    <w:rsid w:val="73A84C21"/>
    <w:rsid w:val="73B21B10"/>
    <w:rsid w:val="73B76B77"/>
    <w:rsid w:val="73B960ED"/>
    <w:rsid w:val="73C0646E"/>
    <w:rsid w:val="73E41790"/>
    <w:rsid w:val="73F751C6"/>
    <w:rsid w:val="741A346E"/>
    <w:rsid w:val="741E0EF6"/>
    <w:rsid w:val="742222F5"/>
    <w:rsid w:val="74476126"/>
    <w:rsid w:val="745A0A67"/>
    <w:rsid w:val="74706664"/>
    <w:rsid w:val="747800B5"/>
    <w:rsid w:val="747F3682"/>
    <w:rsid w:val="749C4185"/>
    <w:rsid w:val="74B26A33"/>
    <w:rsid w:val="74BF24B7"/>
    <w:rsid w:val="74DF6386"/>
    <w:rsid w:val="75067759"/>
    <w:rsid w:val="750D2EF3"/>
    <w:rsid w:val="75232716"/>
    <w:rsid w:val="752E6DCD"/>
    <w:rsid w:val="7546652E"/>
    <w:rsid w:val="754C03E1"/>
    <w:rsid w:val="7551380D"/>
    <w:rsid w:val="75600BE5"/>
    <w:rsid w:val="75634C4B"/>
    <w:rsid w:val="7564475C"/>
    <w:rsid w:val="757977E9"/>
    <w:rsid w:val="7583797F"/>
    <w:rsid w:val="75846F2D"/>
    <w:rsid w:val="75880E08"/>
    <w:rsid w:val="75881403"/>
    <w:rsid w:val="75C51A4F"/>
    <w:rsid w:val="75D02172"/>
    <w:rsid w:val="75D05CCE"/>
    <w:rsid w:val="75D20F1D"/>
    <w:rsid w:val="75D81002"/>
    <w:rsid w:val="75DA2C18"/>
    <w:rsid w:val="75E83E72"/>
    <w:rsid w:val="75F54412"/>
    <w:rsid w:val="761D08E0"/>
    <w:rsid w:val="762F0C9A"/>
    <w:rsid w:val="76377AFB"/>
    <w:rsid w:val="763F1BE0"/>
    <w:rsid w:val="764939EC"/>
    <w:rsid w:val="764F25EE"/>
    <w:rsid w:val="764F4EB3"/>
    <w:rsid w:val="7657019E"/>
    <w:rsid w:val="765D347C"/>
    <w:rsid w:val="76625B29"/>
    <w:rsid w:val="766308F1"/>
    <w:rsid w:val="76760624"/>
    <w:rsid w:val="76826699"/>
    <w:rsid w:val="7683168D"/>
    <w:rsid w:val="76984A3E"/>
    <w:rsid w:val="76A66583"/>
    <w:rsid w:val="76BA5152"/>
    <w:rsid w:val="76C87133"/>
    <w:rsid w:val="76CD08D5"/>
    <w:rsid w:val="76D014F3"/>
    <w:rsid w:val="76DB4B92"/>
    <w:rsid w:val="77052AA4"/>
    <w:rsid w:val="77136511"/>
    <w:rsid w:val="77340A39"/>
    <w:rsid w:val="77351FD0"/>
    <w:rsid w:val="773C7ABF"/>
    <w:rsid w:val="77472422"/>
    <w:rsid w:val="774F3C86"/>
    <w:rsid w:val="777864A6"/>
    <w:rsid w:val="777E5E61"/>
    <w:rsid w:val="777F31F2"/>
    <w:rsid w:val="77A411C1"/>
    <w:rsid w:val="77B04009"/>
    <w:rsid w:val="77C875A5"/>
    <w:rsid w:val="77D1700D"/>
    <w:rsid w:val="77D91E1B"/>
    <w:rsid w:val="77EC04CC"/>
    <w:rsid w:val="77F57C6E"/>
    <w:rsid w:val="78034139"/>
    <w:rsid w:val="78220C56"/>
    <w:rsid w:val="782247FB"/>
    <w:rsid w:val="782642CC"/>
    <w:rsid w:val="78362761"/>
    <w:rsid w:val="78775729"/>
    <w:rsid w:val="78782B86"/>
    <w:rsid w:val="78A42DB0"/>
    <w:rsid w:val="78A656AB"/>
    <w:rsid w:val="78B2245C"/>
    <w:rsid w:val="78B96EEE"/>
    <w:rsid w:val="78E172CC"/>
    <w:rsid w:val="78EA1D1F"/>
    <w:rsid w:val="78EB13BA"/>
    <w:rsid w:val="78F47F26"/>
    <w:rsid w:val="7904172F"/>
    <w:rsid w:val="790C526F"/>
    <w:rsid w:val="790C6B06"/>
    <w:rsid w:val="790F7E27"/>
    <w:rsid w:val="79295E21"/>
    <w:rsid w:val="792A231A"/>
    <w:rsid w:val="79316829"/>
    <w:rsid w:val="793F73F3"/>
    <w:rsid w:val="79660E24"/>
    <w:rsid w:val="79667075"/>
    <w:rsid w:val="797E66A9"/>
    <w:rsid w:val="79833541"/>
    <w:rsid w:val="7984574E"/>
    <w:rsid w:val="798518A4"/>
    <w:rsid w:val="799A6D1F"/>
    <w:rsid w:val="79A13C0A"/>
    <w:rsid w:val="79A27982"/>
    <w:rsid w:val="79A97383"/>
    <w:rsid w:val="79C92818"/>
    <w:rsid w:val="79CD2C51"/>
    <w:rsid w:val="79E25534"/>
    <w:rsid w:val="79E27E8B"/>
    <w:rsid w:val="79E86F17"/>
    <w:rsid w:val="79F24465"/>
    <w:rsid w:val="79F70EE0"/>
    <w:rsid w:val="79F850CE"/>
    <w:rsid w:val="79FD443C"/>
    <w:rsid w:val="7A195E96"/>
    <w:rsid w:val="7A1A146C"/>
    <w:rsid w:val="7A1D1975"/>
    <w:rsid w:val="7A1E34AC"/>
    <w:rsid w:val="7A304F8E"/>
    <w:rsid w:val="7A305301"/>
    <w:rsid w:val="7A3E5150"/>
    <w:rsid w:val="7A4670D6"/>
    <w:rsid w:val="7A48677B"/>
    <w:rsid w:val="7A534B63"/>
    <w:rsid w:val="7A615382"/>
    <w:rsid w:val="7A64618C"/>
    <w:rsid w:val="7A6531B2"/>
    <w:rsid w:val="7A653295"/>
    <w:rsid w:val="7A67303B"/>
    <w:rsid w:val="7A94376E"/>
    <w:rsid w:val="7A9B4AFD"/>
    <w:rsid w:val="7AAB1D04"/>
    <w:rsid w:val="7ABA4368"/>
    <w:rsid w:val="7ABD0F17"/>
    <w:rsid w:val="7AD05746"/>
    <w:rsid w:val="7AD324E9"/>
    <w:rsid w:val="7AE91F44"/>
    <w:rsid w:val="7B072192"/>
    <w:rsid w:val="7B1D5512"/>
    <w:rsid w:val="7B1E128A"/>
    <w:rsid w:val="7B257FFD"/>
    <w:rsid w:val="7B332F87"/>
    <w:rsid w:val="7B343476"/>
    <w:rsid w:val="7B3D7962"/>
    <w:rsid w:val="7B4334C7"/>
    <w:rsid w:val="7B5353D8"/>
    <w:rsid w:val="7B5A2978"/>
    <w:rsid w:val="7B5A7E4C"/>
    <w:rsid w:val="7B610C8A"/>
    <w:rsid w:val="7B667AF9"/>
    <w:rsid w:val="7B7468F8"/>
    <w:rsid w:val="7B8437E3"/>
    <w:rsid w:val="7B966FA7"/>
    <w:rsid w:val="7BA07EF1"/>
    <w:rsid w:val="7BA1716A"/>
    <w:rsid w:val="7BA774D1"/>
    <w:rsid w:val="7BAD6BCB"/>
    <w:rsid w:val="7BB971A8"/>
    <w:rsid w:val="7BE20509"/>
    <w:rsid w:val="7BEA7FE3"/>
    <w:rsid w:val="7BEE0103"/>
    <w:rsid w:val="7BFC5A6F"/>
    <w:rsid w:val="7C0A0FE4"/>
    <w:rsid w:val="7C180DE7"/>
    <w:rsid w:val="7C1E3C37"/>
    <w:rsid w:val="7C246D74"/>
    <w:rsid w:val="7C254906"/>
    <w:rsid w:val="7C280AA5"/>
    <w:rsid w:val="7C492337"/>
    <w:rsid w:val="7C590818"/>
    <w:rsid w:val="7C7C10F6"/>
    <w:rsid w:val="7C853BEA"/>
    <w:rsid w:val="7C881368"/>
    <w:rsid w:val="7CA659DB"/>
    <w:rsid w:val="7CA73C2D"/>
    <w:rsid w:val="7CB955CF"/>
    <w:rsid w:val="7CD205F5"/>
    <w:rsid w:val="7CE27788"/>
    <w:rsid w:val="7CE81B50"/>
    <w:rsid w:val="7CF40BB7"/>
    <w:rsid w:val="7D0C32F1"/>
    <w:rsid w:val="7D0F408D"/>
    <w:rsid w:val="7D376633"/>
    <w:rsid w:val="7D425CFC"/>
    <w:rsid w:val="7D491C6C"/>
    <w:rsid w:val="7D4A45B8"/>
    <w:rsid w:val="7D4C20DE"/>
    <w:rsid w:val="7D5429C0"/>
    <w:rsid w:val="7D6E6D43"/>
    <w:rsid w:val="7D7A180C"/>
    <w:rsid w:val="7D7D237A"/>
    <w:rsid w:val="7DA43CC8"/>
    <w:rsid w:val="7DA737B9"/>
    <w:rsid w:val="7DB57A34"/>
    <w:rsid w:val="7DCC321F"/>
    <w:rsid w:val="7DDF3C22"/>
    <w:rsid w:val="7DE60973"/>
    <w:rsid w:val="7DEB7AC7"/>
    <w:rsid w:val="7DEF0916"/>
    <w:rsid w:val="7DF22C3A"/>
    <w:rsid w:val="7E081E8A"/>
    <w:rsid w:val="7E1A042F"/>
    <w:rsid w:val="7E1E5218"/>
    <w:rsid w:val="7E237231"/>
    <w:rsid w:val="7E492AC2"/>
    <w:rsid w:val="7E802ECE"/>
    <w:rsid w:val="7E9247D6"/>
    <w:rsid w:val="7E926217"/>
    <w:rsid w:val="7E9A4E1F"/>
    <w:rsid w:val="7EA7723A"/>
    <w:rsid w:val="7ECD0FB9"/>
    <w:rsid w:val="7EF56FBB"/>
    <w:rsid w:val="7F0768EB"/>
    <w:rsid w:val="7F0F5AB9"/>
    <w:rsid w:val="7F143BEC"/>
    <w:rsid w:val="7F182BC0"/>
    <w:rsid w:val="7F2257ED"/>
    <w:rsid w:val="7F2A644F"/>
    <w:rsid w:val="7F446008"/>
    <w:rsid w:val="7F547970"/>
    <w:rsid w:val="7F5636E8"/>
    <w:rsid w:val="7F5D0C0C"/>
    <w:rsid w:val="7F715AF2"/>
    <w:rsid w:val="7F727969"/>
    <w:rsid w:val="7F7B13D4"/>
    <w:rsid w:val="7F7B442D"/>
    <w:rsid w:val="7F853FCE"/>
    <w:rsid w:val="7F886E69"/>
    <w:rsid w:val="7F8C0EB8"/>
    <w:rsid w:val="7F9D4E73"/>
    <w:rsid w:val="7FB14DC3"/>
    <w:rsid w:val="7FC35D4D"/>
    <w:rsid w:val="7FC543CA"/>
    <w:rsid w:val="7FC94858"/>
    <w:rsid w:val="7FF16F6D"/>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6"/>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7"/>
    <w:link w:val="264"/>
    <w:autoRedefine/>
    <w:qFormat/>
    <w:uiPriority w:val="0"/>
    <w:pPr>
      <w:spacing w:line="480" w:lineRule="exact"/>
      <w:ind w:firstLine="480" w:firstLineChars="200"/>
    </w:pPr>
    <w:rPr>
      <w:rFonts w:ascii="宋体" w:hAnsi="宋体"/>
      <w:sz w:val="24"/>
    </w:rPr>
  </w:style>
  <w:style w:type="paragraph" w:styleId="17">
    <w:name w:val="envelope return"/>
    <w:basedOn w:val="1"/>
    <w:autoRedefine/>
    <w:qFormat/>
    <w:uiPriority w:val="0"/>
    <w:pPr>
      <w:snapToGrid w:val="0"/>
    </w:pPr>
    <w:rPr>
      <w:rFonts w:ascii="Arial" w:hAnsi="Arial" w:cs="Arial"/>
      <w:sz w:val="24"/>
    </w:rPr>
  </w:style>
  <w:style w:type="paragraph" w:styleId="18">
    <w:name w:val="caption"/>
    <w:basedOn w:val="1"/>
    <w:next w:val="1"/>
    <w:link w:val="228"/>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1"/>
    <w:autoRedefine/>
    <w:qFormat/>
    <w:uiPriority w:val="0"/>
    <w:pPr>
      <w:shd w:val="clear" w:color="auto" w:fill="000080"/>
    </w:pPr>
  </w:style>
  <w:style w:type="paragraph" w:styleId="21">
    <w:name w:val="annotation text"/>
    <w:basedOn w:val="1"/>
    <w:link w:val="343"/>
    <w:autoRedefine/>
    <w:qFormat/>
    <w:uiPriority w:val="99"/>
    <w:pPr>
      <w:jc w:val="left"/>
    </w:pPr>
  </w:style>
  <w:style w:type="paragraph" w:styleId="22">
    <w:name w:val="Salutation"/>
    <w:basedOn w:val="1"/>
    <w:next w:val="1"/>
    <w:link w:val="297"/>
    <w:autoRedefine/>
    <w:qFormat/>
    <w:uiPriority w:val="0"/>
    <w:rPr>
      <w:rFonts w:ascii="仿宋_GB2312" w:eastAsia="仿宋_GB2312"/>
      <w:sz w:val="28"/>
      <w:szCs w:val="20"/>
    </w:rPr>
  </w:style>
  <w:style w:type="paragraph" w:styleId="23">
    <w:name w:val="Body Text 3"/>
    <w:basedOn w:val="1"/>
    <w:link w:val="329"/>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20"/>
    <w:autoRedefine/>
    <w:qFormat/>
    <w:uiPriority w:val="0"/>
    <w:pPr>
      <w:ind w:firstLine="420"/>
    </w:pPr>
    <w:rPr>
      <w:rFonts w:hAnsi="Calibri" w:cs="Times New Roman"/>
      <w:snapToGrid/>
      <w:szCs w:val="20"/>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4"/>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0"/>
    <w:autoRedefine/>
    <w:qFormat/>
    <w:uiPriority w:val="0"/>
    <w:pPr>
      <w:ind w:left="100" w:leftChars="2500"/>
    </w:pPr>
    <w:rPr>
      <w:rFonts w:ascii="宋体"/>
      <w:sz w:val="24"/>
      <w:szCs w:val="21"/>
      <w:lang w:val="zh-CN"/>
    </w:rPr>
  </w:style>
  <w:style w:type="paragraph" w:styleId="38">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1"/>
    <w:autoRedefine/>
    <w:qFormat/>
    <w:uiPriority w:val="0"/>
    <w:rPr>
      <w:lang w:val="zh-CN"/>
    </w:rPr>
  </w:style>
  <w:style w:type="paragraph" w:styleId="40">
    <w:name w:val="Balloon Text"/>
    <w:basedOn w:val="1"/>
    <w:link w:val="187"/>
    <w:autoRedefine/>
    <w:qFormat/>
    <w:uiPriority w:val="0"/>
    <w:rPr>
      <w:sz w:val="18"/>
      <w:szCs w:val="18"/>
    </w:rPr>
  </w:style>
  <w:style w:type="paragraph" w:styleId="41">
    <w:name w:val="footer"/>
    <w:basedOn w:val="1"/>
    <w:link w:val="382"/>
    <w:autoRedefine/>
    <w:qFormat/>
    <w:uiPriority w:val="99"/>
    <w:pPr>
      <w:tabs>
        <w:tab w:val="center" w:pos="4153"/>
        <w:tab w:val="right" w:pos="8306"/>
      </w:tabs>
      <w:snapToGrid w:val="0"/>
      <w:jc w:val="left"/>
    </w:pPr>
    <w:rPr>
      <w:sz w:val="18"/>
      <w:szCs w:val="18"/>
    </w:rPr>
  </w:style>
  <w:style w:type="paragraph" w:styleId="42">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4"/>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1"/>
    <w:autoRedefine/>
    <w:qFormat/>
    <w:uiPriority w:val="0"/>
    <w:pPr>
      <w:spacing w:after="120" w:line="480" w:lineRule="auto"/>
    </w:pPr>
  </w:style>
  <w:style w:type="paragraph" w:styleId="58">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5"/>
    <w:autoRedefine/>
    <w:qFormat/>
    <w:uiPriority w:val="0"/>
    <w:rPr>
      <w:b/>
      <w:bCs/>
    </w:rPr>
  </w:style>
  <w:style w:type="paragraph" w:styleId="62">
    <w:name w:val="Body Text First Indent 2"/>
    <w:basedOn w:val="16"/>
    <w:next w:val="1"/>
    <w:link w:val="120"/>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character" w:styleId="80">
    <w:name w:val="HTML Sample"/>
    <w:basedOn w:val="70"/>
    <w:autoRedefine/>
    <w:qFormat/>
    <w:uiPriority w:val="0"/>
    <w:rPr>
      <w:rFonts w:ascii="Courier New" w:hAnsi="Courier New"/>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61"/>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2"/>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0"/>
    <w:autoRedefine/>
    <w:qFormat/>
    <w:uiPriority w:val="0"/>
    <w:rPr>
      <w:rFonts w:ascii="Arial" w:hAnsi="Arial" w:eastAsia="黑体" w:cs="Arial"/>
      <w:snapToGrid w:val="0"/>
      <w:kern w:val="0"/>
      <w:szCs w:val="21"/>
    </w:rPr>
  </w:style>
  <w:style w:type="character" w:customStyle="1" w:styleId="124">
    <w:name w:val="纯文本 字符1"/>
    <w:link w:val="34"/>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8"/>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7"/>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7"/>
    <w:autoRedefine/>
    <w:qFormat/>
    <w:uiPriority w:val="0"/>
    <w:rPr>
      <w:rFonts w:ascii="宋体"/>
      <w:kern w:val="2"/>
      <w:sz w:val="24"/>
      <w:szCs w:val="21"/>
      <w:lang w:val="zh-CN"/>
    </w:rPr>
  </w:style>
  <w:style w:type="character" w:customStyle="1" w:styleId="181">
    <w:name w:val="标题 9 字符"/>
    <w:link w:val="10"/>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0"/>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40"/>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1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20"/>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0"/>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31"/>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5"/>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8"/>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16"/>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2"/>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60"/>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6"/>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2"/>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8"/>
    <w:autoRedefine/>
    <w:qFormat/>
    <w:uiPriority w:val="0"/>
    <w:rPr>
      <w:rFonts w:ascii="黑体" w:hAnsi="Courier New" w:eastAsia="黑体"/>
    </w:rPr>
  </w:style>
  <w:style w:type="character" w:customStyle="1" w:styleId="301">
    <w:name w:val="正文文本 2 字符1"/>
    <w:link w:val="57"/>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5"/>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8"/>
    <w:autoRedefine/>
    <w:qFormat/>
    <w:uiPriority w:val="0"/>
    <w:rPr>
      <w:b/>
      <w:bCs/>
      <w:kern w:val="2"/>
      <w:sz w:val="24"/>
      <w:szCs w:val="24"/>
    </w:rPr>
  </w:style>
  <w:style w:type="character" w:customStyle="1" w:styleId="307">
    <w:name w:val="正文文本缩进 2 字符"/>
    <w:link w:val="38"/>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51"/>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26"/>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5"/>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3"/>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1"/>
    <w:autoRedefine/>
    <w:qFormat/>
    <w:uiPriority w:val="0"/>
    <w:rPr>
      <w:kern w:val="2"/>
      <w:sz w:val="21"/>
      <w:szCs w:val="24"/>
    </w:rPr>
  </w:style>
  <w:style w:type="character" w:customStyle="1" w:styleId="344">
    <w:name w:val="签名 字符"/>
    <w:link w:val="43"/>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9"/>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4"/>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1"/>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2"/>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0"/>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1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5"/>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0"/>
    <w:autoRedefine/>
    <w:qFormat/>
    <w:uiPriority w:val="0"/>
    <w:rPr>
      <w:rFonts w:ascii="Arial" w:hAnsi="Arial" w:eastAsia="黑体" w:cs="Arial"/>
      <w:snapToGrid w:val="0"/>
      <w:kern w:val="0"/>
      <w:szCs w:val="21"/>
    </w:rPr>
  </w:style>
  <w:style w:type="character" w:customStyle="1" w:styleId="431">
    <w:name w:val="hui"/>
    <w:basedOn w:val="70"/>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1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outlineLvl w:val="5"/>
    </w:pPr>
  </w:style>
  <w:style w:type="paragraph" w:customStyle="1" w:styleId="473">
    <w:name w:val="5级标题"/>
    <w:basedOn w:val="474"/>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6"/>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6"/>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1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1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2"/>
    <w:autoRedefine/>
    <w:qFormat/>
    <w:uiPriority w:val="0"/>
    <w:pPr>
      <w:tabs>
        <w:tab w:val="left" w:pos="840"/>
      </w:tabs>
      <w:adjustRightInd/>
      <w:ind w:left="840" w:hanging="420"/>
    </w:pPr>
  </w:style>
  <w:style w:type="paragraph" w:customStyle="1" w:styleId="625">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Lines="0" w:afterLines="0"/>
      <w:ind w:left="1680"/>
      <w:outlineLvl w:val="2"/>
    </w:pPr>
  </w:style>
  <w:style w:type="paragraph" w:customStyle="1" w:styleId="657">
    <w:name w:val="章标题"/>
    <w:next w:val="639"/>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1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1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1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autoRedefine/>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20"/>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autoRedefine/>
    <w:qFormat/>
    <w:uiPriority w:val="0"/>
    <w:pPr>
      <w:tabs>
        <w:tab w:val="left" w:pos="1080"/>
      </w:tabs>
      <w:ind w:left="1080" w:hanging="1080"/>
    </w:pPr>
  </w:style>
  <w:style w:type="paragraph" w:customStyle="1" w:styleId="896">
    <w:name w:val="数字标题1"/>
    <w:basedOn w:val="2"/>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9"/>
    <w:autoRedefine/>
    <w:qFormat/>
    <w:uiPriority w:val="0"/>
    <w:rPr>
      <w:kern w:val="2"/>
      <w:sz w:val="21"/>
      <w:szCs w:val="24"/>
      <w:lang w:val="zh-CN"/>
    </w:rPr>
  </w:style>
  <w:style w:type="character" w:customStyle="1" w:styleId="932">
    <w:name w:val="无间隔 字符"/>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_Style 49"/>
    <w:basedOn w:val="1"/>
    <w:next w:val="34"/>
    <w:autoRedefine/>
    <w:qFormat/>
    <w:uiPriority w:val="0"/>
    <w:rPr>
      <w:rFonts w:ascii="宋体" w:hAnsi="Courier New"/>
      <w:kern w:val="0"/>
      <w:sz w:val="24"/>
    </w:rPr>
  </w:style>
  <w:style w:type="paragraph" w:customStyle="1" w:styleId="965">
    <w:name w:val="样式 样式5 + 五号 左 左侧:  0.01 厘米 右侧:  -0.03 厘米"/>
    <w:basedOn w:val="1"/>
    <w:autoRedefine/>
    <w:qFormat/>
    <w:uiPriority w:val="0"/>
    <w:pPr>
      <w:adjustRightInd/>
      <w:spacing w:line="360" w:lineRule="auto"/>
      <w:ind w:left="4" w:right="-16" w:firstLine="420" w:firstLineChars="200"/>
      <w:jc w:val="left"/>
    </w:pPr>
    <w:rPr>
      <w:rFonts w:ascii="仿宋" w:hAnsi="仿宋" w:eastAsia="仿宋" w:cs="宋体"/>
      <w:kern w:val="3"/>
      <w:sz w:val="24"/>
    </w:rPr>
  </w:style>
  <w:style w:type="character" w:customStyle="1" w:styleId="966">
    <w:name w:val="未处理的提及2"/>
    <w:basedOn w:val="70"/>
    <w:autoRedefine/>
    <w:semiHidden/>
    <w:unhideWhenUsed/>
    <w:qFormat/>
    <w:uiPriority w:val="99"/>
    <w:rPr>
      <w:color w:val="605E5C"/>
      <w:shd w:val="clear" w:color="auto" w:fill="E1DFDD"/>
    </w:rPr>
  </w:style>
  <w:style w:type="paragraph" w:customStyle="1" w:styleId="967">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112</Pages>
  <Words>11468</Words>
  <Characters>65373</Characters>
  <Lines>544</Lines>
  <Paragraphs>153</Paragraphs>
  <TotalTime>149</TotalTime>
  <ScaleCrop>false</ScaleCrop>
  <LinksUpToDate>false</LinksUpToDate>
  <CharactersWithSpaces>76688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2023-11-06T09:07:00Z</dcterms:created>
  <dc:creator>玥</dc:creator>
  <cp:lastModifiedBy>Administrator</cp:lastModifiedBy>
  <cp:lastPrinted>2023-08-18T00:26:00Z</cp:lastPrinted>
  <dcterms:modified xsi:type="dcterms:W3CDTF">2024-03-28T08:34:41Z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9449D92D615B4C86B8147BC3C40AE709</vt:lpwstr>
  </property>
</Properties>
</file>