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p>
    <w:p>
      <w:pPr>
        <w:adjustRightInd/>
        <w:spacing w:line="700" w:lineRule="exact"/>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杭州市萧山区第一人民医院医共体总院（杭州市萧山区第一人民医院）中央空调系统智能化改造项目</w:t>
      </w:r>
    </w:p>
    <w:p>
      <w:pPr>
        <w:adjustRightInd/>
        <w:spacing w:line="360" w:lineRule="auto"/>
        <w:jc w:val="center"/>
        <w:rPr>
          <w:rFonts w:ascii="仿宋" w:hAnsi="仿宋" w:eastAsia="仿宋" w:cs="仿宋"/>
          <w:color w:val="auto"/>
          <w:sz w:val="48"/>
          <w:szCs w:val="48"/>
          <w:highlight w:val="none"/>
        </w:rPr>
      </w:pPr>
    </w:p>
    <w:p>
      <w:pPr>
        <w:adjustRightInd/>
        <w:spacing w:line="360" w:lineRule="auto"/>
        <w:jc w:val="center"/>
        <w:rPr>
          <w:rFonts w:ascii="仿宋" w:hAnsi="仿宋" w:eastAsia="仿宋" w:cs="仿宋"/>
          <w:color w:val="auto"/>
          <w:sz w:val="48"/>
          <w:szCs w:val="48"/>
          <w:highlight w:val="none"/>
        </w:rPr>
      </w:pPr>
    </w:p>
    <w:p>
      <w:pPr>
        <w:adjustRightInd/>
        <w:spacing w:line="360" w:lineRule="auto"/>
        <w:jc w:val="center"/>
        <w:rPr>
          <w:rFonts w:ascii="仿宋" w:hAnsi="仿宋" w:eastAsia="仿宋" w:cs="仿宋"/>
          <w:color w:val="auto"/>
          <w:sz w:val="48"/>
          <w:szCs w:val="48"/>
          <w:highlight w:val="none"/>
        </w:rPr>
      </w:pPr>
      <w:r>
        <w:rPr>
          <w:rFonts w:hint="eastAsia" w:ascii="仿宋" w:hAnsi="仿宋" w:eastAsia="仿宋" w:cs="仿宋"/>
          <w:color w:val="auto"/>
          <w:sz w:val="48"/>
          <w:szCs w:val="48"/>
          <w:highlight w:val="none"/>
        </w:rPr>
        <w:t xml:space="preserve">招标文件 </w:t>
      </w:r>
    </w:p>
    <w:p>
      <w:pPr>
        <w:adjustRightInd/>
        <w:spacing w:line="360" w:lineRule="auto"/>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snapToGrid w:val="0"/>
        <w:spacing w:line="360" w:lineRule="auto"/>
        <w:jc w:val="center"/>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项目编号:XSYY2024-GK-</w:t>
      </w:r>
      <w:r>
        <w:rPr>
          <w:rFonts w:hint="eastAsia" w:ascii="仿宋" w:hAnsi="仿宋" w:eastAsia="仿宋" w:cs="仿宋"/>
          <w:color w:val="auto"/>
          <w:sz w:val="30"/>
          <w:szCs w:val="30"/>
          <w:highlight w:val="none"/>
          <w:lang w:val="en-US" w:eastAsia="zh-CN"/>
        </w:rPr>
        <w:t>002</w:t>
      </w:r>
    </w:p>
    <w:p>
      <w:pPr>
        <w:adjustRightInd/>
        <w:spacing w:line="360" w:lineRule="auto"/>
        <w:rPr>
          <w:rFonts w:ascii="仿宋" w:hAnsi="仿宋" w:eastAsia="仿宋" w:cs="仿宋"/>
          <w:color w:val="auto"/>
          <w:sz w:val="28"/>
          <w:szCs w:val="20"/>
          <w:highlight w:val="none"/>
        </w:rPr>
      </w:pPr>
    </w:p>
    <w:p>
      <w:pPr>
        <w:spacing w:line="360" w:lineRule="auto"/>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ascii="仿宋" w:hAnsi="仿宋" w:eastAsia="仿宋" w:cs="仿宋"/>
          <w:b/>
          <w:color w:val="auto"/>
          <w:sz w:val="44"/>
          <w:szCs w:val="44"/>
          <w:highlight w:val="none"/>
        </w:rPr>
      </w:pPr>
    </w:p>
    <w:p>
      <w:pPr>
        <w:spacing w:line="360" w:lineRule="auto"/>
        <w:jc w:val="center"/>
        <w:rPr>
          <w:rFonts w:ascii="仿宋" w:hAnsi="仿宋" w:eastAsia="仿宋" w:cs="仿宋"/>
          <w:color w:val="auto"/>
          <w:sz w:val="24"/>
          <w:highlight w:val="none"/>
        </w:rPr>
      </w:pPr>
    </w:p>
    <w:p>
      <w:pPr>
        <w:spacing w:line="360" w:lineRule="auto"/>
        <w:jc w:val="center"/>
        <w:rPr>
          <w:rFonts w:ascii="仿宋" w:hAnsi="仿宋" w:eastAsia="仿宋" w:cs="仿宋"/>
          <w:color w:val="auto"/>
          <w:sz w:val="24"/>
          <w:highlight w:val="none"/>
        </w:rPr>
      </w:pPr>
    </w:p>
    <w:p>
      <w:pPr>
        <w:spacing w:line="360" w:lineRule="auto"/>
        <w:rPr>
          <w:rFonts w:ascii="仿宋" w:hAnsi="仿宋" w:eastAsia="仿宋" w:cs="仿宋"/>
          <w:color w:val="auto"/>
          <w:sz w:val="32"/>
          <w:szCs w:val="32"/>
          <w:highlight w:val="none"/>
        </w:rPr>
      </w:pPr>
    </w:p>
    <w:p>
      <w:pPr>
        <w:spacing w:line="360" w:lineRule="auto"/>
        <w:jc w:val="center"/>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杭州市萧山区第一人民医院医共体总院</w:t>
      </w:r>
    </w:p>
    <w:p>
      <w:pPr>
        <w:spacing w:line="360" w:lineRule="auto"/>
        <w:jc w:val="center"/>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（杭州市萧山区第一人民医院）</w:t>
      </w:r>
    </w:p>
    <w:p>
      <w:pPr>
        <w:snapToGrid w:val="0"/>
        <w:spacing w:line="360" w:lineRule="auto"/>
        <w:jc w:val="center"/>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杭州博望建设工程招标投标代理有限公司</w:t>
      </w:r>
    </w:p>
    <w:p>
      <w:pPr>
        <w:snapToGrid w:val="0"/>
        <w:spacing w:line="360" w:lineRule="auto"/>
        <w:jc w:val="center"/>
        <w:rPr>
          <w:rFonts w:ascii="仿宋" w:hAnsi="仿宋" w:eastAsia="仿宋" w:cs="仿宋"/>
          <w:color w:val="auto"/>
          <w:sz w:val="24"/>
          <w:highlight w:val="none"/>
        </w:rPr>
      </w:pPr>
      <w:r>
        <w:rPr>
          <w:rFonts w:hint="eastAsia" w:ascii="仿宋" w:hAnsi="仿宋" w:eastAsia="仿宋" w:cs="仿宋"/>
          <w:bCs/>
          <w:color w:val="auto"/>
          <w:sz w:val="32"/>
          <w:szCs w:val="32"/>
          <w:highlight w:val="none"/>
        </w:rPr>
        <w:t>2024年0</w:t>
      </w:r>
      <w:r>
        <w:rPr>
          <w:rFonts w:hint="eastAsia" w:ascii="仿宋" w:hAnsi="仿宋" w:eastAsia="仿宋" w:cs="仿宋"/>
          <w:bCs/>
          <w:color w:val="auto"/>
          <w:sz w:val="32"/>
          <w:szCs w:val="32"/>
          <w:highlight w:val="none"/>
          <w:lang w:val="en-US" w:eastAsia="zh-CN"/>
        </w:rPr>
        <w:t>2</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06</w:t>
      </w:r>
      <w:r>
        <w:rPr>
          <w:rFonts w:hint="eastAsia" w:ascii="仿宋" w:hAnsi="仿宋" w:eastAsia="仿宋" w:cs="仿宋"/>
          <w:bCs/>
          <w:color w:val="auto"/>
          <w:sz w:val="32"/>
          <w:szCs w:val="32"/>
          <w:highlight w:val="none"/>
        </w:rPr>
        <w:t>日</w:t>
      </w:r>
      <w:r>
        <w:rPr>
          <w:rFonts w:hint="eastAsia" w:ascii="仿宋" w:hAnsi="仿宋" w:eastAsia="仿宋" w:cs="仿宋"/>
          <w:color w:val="auto"/>
          <w:sz w:val="24"/>
          <w:highlight w:val="none"/>
        </w:rPr>
        <w:br w:type="page"/>
      </w:r>
      <w:bookmarkStart w:id="0" w:name="_Hlt67893495"/>
      <w:bookmarkEnd w:id="0"/>
    </w:p>
    <w:p>
      <w:pPr>
        <w:spacing w:line="360" w:lineRule="auto"/>
        <w:jc w:val="center"/>
        <w:rPr>
          <w:rFonts w:ascii="仿宋" w:hAnsi="仿宋" w:eastAsia="仿宋" w:cs="仿宋"/>
          <w:color w:val="auto"/>
          <w:sz w:val="24"/>
          <w:highlight w:val="none"/>
        </w:rPr>
      </w:pPr>
    </w:p>
    <w:p>
      <w:pPr>
        <w:spacing w:line="360" w:lineRule="auto"/>
        <w:jc w:val="center"/>
        <w:rPr>
          <w:rFonts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adjustRightInd/>
        <w:spacing w:line="360" w:lineRule="auto"/>
        <w:jc w:val="center"/>
        <w:outlineLvl w:val="0"/>
        <w:rPr>
          <w:rFonts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（杭州市萧山区第一人民医院医共体总院（杭州市萧山区第一人民医院）中央空调系统智能化改造项目）</w:t>
      </w:r>
      <w:r>
        <w:rPr>
          <w:rFonts w:hint="eastAsia" w:ascii="仿宋" w:hAnsi="仿宋" w:eastAsia="仿宋" w:cs="仿宋"/>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hint="eastAsia" w:ascii="仿宋" w:hAnsi="仿宋" w:eastAsia="仿宋" w:cs="仿宋"/>
          <w:snapToGrid/>
          <w:color w:val="auto"/>
          <w:kern w:val="2"/>
          <w:sz w:val="24"/>
          <w:szCs w:val="24"/>
          <w:highlight w:val="none"/>
        </w:rPr>
        <w:t>https://www.zcygov.cn/）获取（下载）招标文件，并于</w:t>
      </w:r>
      <w:r>
        <w:rPr>
          <w:rStyle w:val="77"/>
          <w:rFonts w:hint="eastAsia" w:ascii="仿宋" w:hAnsi="仿宋" w:eastAsia="仿宋" w:cs="仿宋"/>
          <w:snapToGrid/>
          <w:color w:val="auto"/>
          <w:kern w:val="2"/>
          <w:sz w:val="24"/>
          <w:szCs w:val="24"/>
          <w:highlight w:val="none"/>
        </w:rPr>
        <w:t>2024年</w:t>
      </w:r>
      <w:r>
        <w:rPr>
          <w:rStyle w:val="77"/>
          <w:rFonts w:hint="eastAsia" w:ascii="仿宋" w:hAnsi="仿宋" w:eastAsia="仿宋" w:cs="仿宋"/>
          <w:snapToGrid/>
          <w:color w:val="auto"/>
          <w:kern w:val="2"/>
          <w:sz w:val="24"/>
          <w:szCs w:val="24"/>
          <w:highlight w:val="none"/>
          <w:lang w:val="en-US" w:eastAsia="zh-CN"/>
        </w:rPr>
        <w:t>02</w:t>
      </w:r>
      <w:r>
        <w:rPr>
          <w:rStyle w:val="77"/>
          <w:rFonts w:hint="eastAsia" w:ascii="仿宋" w:hAnsi="仿宋" w:eastAsia="仿宋" w:cs="仿宋"/>
          <w:snapToGrid/>
          <w:color w:val="auto"/>
          <w:kern w:val="2"/>
          <w:sz w:val="24"/>
          <w:szCs w:val="24"/>
          <w:highlight w:val="none"/>
        </w:rPr>
        <w:t>月</w:t>
      </w:r>
      <w:r>
        <w:rPr>
          <w:rStyle w:val="77"/>
          <w:rFonts w:hint="eastAsia" w:ascii="仿宋" w:hAnsi="仿宋" w:eastAsia="仿宋" w:cs="仿宋"/>
          <w:snapToGrid/>
          <w:color w:val="auto"/>
          <w:kern w:val="2"/>
          <w:sz w:val="24"/>
          <w:szCs w:val="24"/>
          <w:highlight w:val="none"/>
          <w:lang w:val="en-US" w:eastAsia="zh-CN"/>
        </w:rPr>
        <w:t>29</w:t>
      </w:r>
      <w:r>
        <w:rPr>
          <w:rStyle w:val="77"/>
          <w:rFonts w:hint="eastAsia" w:ascii="仿宋" w:hAnsi="仿宋" w:eastAsia="仿宋" w:cs="仿宋"/>
          <w:snapToGrid/>
          <w:color w:val="auto"/>
          <w:kern w:val="2"/>
          <w:sz w:val="24"/>
          <w:szCs w:val="24"/>
          <w:highlight w:val="none"/>
        </w:rPr>
        <w:t>日09点00分</w:t>
      </w:r>
      <w:r>
        <w:rPr>
          <w:rStyle w:val="77"/>
          <w:rFonts w:hint="eastAsia" w:ascii="仿宋" w:hAnsi="仿宋" w:eastAsia="仿宋" w:cs="仿宋"/>
          <w:bCs/>
          <w:snapToGrid/>
          <w:color w:val="auto"/>
          <w:kern w:val="2"/>
          <w:sz w:val="24"/>
          <w:szCs w:val="24"/>
          <w:highlight w:val="none"/>
        </w:rPr>
        <w:t>00秒</w:t>
      </w:r>
      <w:r>
        <w:rPr>
          <w:rStyle w:val="77"/>
          <w:rFonts w:hint="eastAsia" w:ascii="仿宋" w:hAnsi="仿宋" w:eastAsia="仿宋" w:cs="仿宋"/>
          <w:bCs/>
          <w:snapToGrid/>
          <w:color w:val="auto"/>
          <w:kern w:val="2"/>
          <w:sz w:val="24"/>
          <w:szCs w:val="24"/>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bCs/>
          <w:color w:val="auto"/>
          <w:sz w:val="24"/>
          <w:highlight w:val="none"/>
        </w:rPr>
        <w:t>XSYY2024-GK-</w:t>
      </w:r>
      <w:r>
        <w:rPr>
          <w:rFonts w:hint="eastAsia" w:ascii="仿宋" w:hAnsi="仿宋" w:eastAsia="仿宋" w:cs="仿宋"/>
          <w:bCs/>
          <w:color w:val="auto"/>
          <w:sz w:val="24"/>
          <w:highlight w:val="none"/>
          <w:lang w:val="en-US" w:eastAsia="zh-CN"/>
        </w:rPr>
        <w:t>002</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项目名称：</w:t>
      </w:r>
      <w:r>
        <w:rPr>
          <w:rFonts w:hint="eastAsia" w:ascii="仿宋" w:hAnsi="仿宋" w:eastAsia="仿宋" w:cs="仿宋"/>
          <w:bCs/>
          <w:color w:val="auto"/>
          <w:sz w:val="24"/>
          <w:highlight w:val="none"/>
        </w:rPr>
        <w:t>杭州市萧山区第一人民医院医共体总院（杭州市萧山区第一人民医院）中央空调系统智能化改造项目</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w:t>
      </w:r>
      <w:r>
        <w:rPr>
          <w:rFonts w:hint="eastAsia" w:ascii="仿宋" w:hAnsi="仿宋" w:eastAsia="仿宋" w:cs="仿宋"/>
          <w:bCs/>
          <w:color w:val="auto"/>
          <w:sz w:val="24"/>
          <w:highlight w:val="none"/>
        </w:rPr>
        <w:t xml:space="preserve">800000.00 </w:t>
      </w:r>
    </w:p>
    <w:p>
      <w:pPr>
        <w:pStyle w:val="16"/>
        <w:spacing w:line="360" w:lineRule="auto"/>
        <w:ind w:firstLine="480"/>
        <w:rPr>
          <w:rFonts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bCs/>
          <w:color w:val="auto"/>
          <w:sz w:val="24"/>
          <w:highlight w:val="none"/>
        </w:rPr>
        <w:t>800000.00</w:t>
      </w:r>
      <w:r>
        <w:rPr>
          <w:rFonts w:hint="eastAsia" w:ascii="仿宋" w:hAnsi="仿宋" w:eastAsia="仿宋" w:cs="仿宋"/>
          <w:color w:val="auto"/>
          <w:sz w:val="24"/>
          <w:highlight w:val="none"/>
        </w:rPr>
        <w:t xml:space="preserve"> </w:t>
      </w:r>
    </w:p>
    <w:p>
      <w:pPr>
        <w:pStyle w:val="16"/>
        <w:spacing w:line="360" w:lineRule="auto"/>
        <w:ind w:firstLine="480"/>
        <w:rPr>
          <w:rFonts w:ascii="仿宋" w:hAnsi="仿宋" w:eastAsia="仿宋" w:cs="仿宋"/>
          <w:bCs/>
          <w:snapToGrid/>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Cs/>
          <w:snapToGrid/>
          <w:color w:val="auto"/>
          <w:kern w:val="2"/>
          <w:sz w:val="24"/>
          <w:szCs w:val="24"/>
          <w:highlight w:val="none"/>
        </w:rPr>
        <w:t>（</w:t>
      </w:r>
      <w:r>
        <w:rPr>
          <w:rFonts w:hint="eastAsia" w:ascii="仿宋" w:hAnsi="仿宋" w:eastAsia="仿宋" w:cs="仿宋"/>
          <w:bCs/>
          <w:color w:val="auto"/>
          <w:sz w:val="24"/>
          <w:highlight w:val="none"/>
        </w:rPr>
        <w:t>杭州市萧山区第一人民医院医共体总院（杭州市萧山区第一人民医院）中央空调系统智能化改造项目</w:t>
      </w:r>
      <w:r>
        <w:rPr>
          <w:rFonts w:hint="eastAsia" w:ascii="仿宋" w:hAnsi="仿宋" w:eastAsia="仿宋" w:cs="仿宋"/>
          <w:bCs/>
          <w:snapToGrid/>
          <w:color w:val="auto"/>
          <w:kern w:val="2"/>
          <w:sz w:val="24"/>
          <w:szCs w:val="24"/>
          <w:highlight w:val="none"/>
        </w:rPr>
        <w:t>）主要内容：</w:t>
      </w:r>
      <w:r>
        <w:rPr>
          <w:rFonts w:hint="eastAsia" w:ascii="仿宋" w:hAnsi="仿宋" w:eastAsia="仿宋" w:cs="仿宋"/>
          <w:bCs/>
          <w:color w:val="auto"/>
          <w:sz w:val="24"/>
          <w:highlight w:val="none"/>
        </w:rPr>
        <w:t>中央空调系统智能化改造项目</w:t>
      </w:r>
      <w:r>
        <w:rPr>
          <w:rFonts w:hint="eastAsia" w:ascii="仿宋" w:hAnsi="仿宋" w:eastAsia="仿宋" w:cs="仿宋"/>
          <w:bCs/>
          <w:snapToGrid/>
          <w:color w:val="auto"/>
          <w:kern w:val="2"/>
          <w:sz w:val="24"/>
          <w:szCs w:val="24"/>
          <w:highlight w:val="none"/>
        </w:rPr>
        <w:t>。</w:t>
      </w:r>
      <w:r>
        <w:rPr>
          <w:rFonts w:hint="eastAsia" w:ascii="仿宋" w:hAnsi="仿宋" w:eastAsia="仿宋" w:cs="仿宋"/>
          <w:snapToGrid/>
          <w:color w:val="auto"/>
          <w:kern w:val="2"/>
          <w:sz w:val="24"/>
          <w:szCs w:val="24"/>
          <w:highlight w:val="none"/>
        </w:rPr>
        <w:t>具体以招标文件第三部分采购需求为准，供应商可点击本公告下方“浏览采购文件”查看采购需求。</w:t>
      </w:r>
    </w:p>
    <w:p>
      <w:pPr>
        <w:pStyle w:val="129"/>
        <w:ind w:firstLine="482"/>
        <w:outlineLvl w:val="2"/>
        <w:rPr>
          <w:rFonts w:ascii="仿宋" w:hAnsi="仿宋" w:eastAsia="仿宋" w:cs="仿宋"/>
          <w:color w:val="auto"/>
          <w:highlight w:val="none"/>
        </w:rPr>
      </w:pPr>
      <w:r>
        <w:rPr>
          <w:rFonts w:hint="eastAsia" w:ascii="仿宋" w:hAnsi="仿宋" w:eastAsia="仿宋" w:cs="仿宋"/>
          <w:b/>
          <w:color w:val="auto"/>
          <w:highlight w:val="none"/>
        </w:rPr>
        <w:t>合同履约期限：</w:t>
      </w:r>
      <w:r>
        <w:rPr>
          <w:rFonts w:hint="eastAsia" w:ascii="仿宋" w:hAnsi="仿宋" w:eastAsia="仿宋" w:cs="仿宋"/>
          <w:bCs/>
          <w:color w:val="auto"/>
          <w:highlight w:val="none"/>
        </w:rPr>
        <w:t>详见采购需求。</w:t>
      </w:r>
    </w:p>
    <w:p>
      <w:pPr>
        <w:pStyle w:val="16"/>
        <w:spacing w:line="360" w:lineRule="auto"/>
        <w:ind w:firstLine="480"/>
        <w:rPr>
          <w:rFonts w:ascii="仿宋" w:hAnsi="仿宋" w:eastAsia="仿宋" w:cs="仿宋"/>
          <w:color w:val="auto"/>
          <w:kern w:val="0"/>
          <w:sz w:val="24"/>
          <w:highlight w:val="none"/>
        </w:rPr>
      </w:pPr>
      <w:r>
        <w:rPr>
          <w:rFonts w:hint="eastAsia" w:ascii="仿宋" w:hAnsi="仿宋" w:eastAsia="仿宋" w:cs="仿宋"/>
          <w:b/>
          <w:color w:val="auto"/>
          <w:sz w:val="24"/>
          <w:highlight w:val="none"/>
        </w:rPr>
        <w:t>本项目接受联合体投标：</w:t>
      </w:r>
      <w:sdt>
        <w:sdtPr>
          <w:rPr>
            <w:rFonts w:hint="eastAsia" w:ascii="仿宋" w:hAnsi="仿宋" w:eastAsia="仿宋" w:cs="仿宋"/>
            <w:color w:val="auto"/>
            <w:kern w:val="0"/>
            <w:sz w:val="24"/>
            <w:highlight w:val="none"/>
          </w:rPr>
          <w:id w:val="4648"/>
          <w14:checkbox>
            <w14:checked w14:val="1"/>
            <w14:checkedState w14:val="00FE" w14:font="Wingdings"/>
            <w14:uncheckedState w14:val="2610" w14:font="MS Gothic"/>
          </w14:checkbox>
        </w:sdtPr>
        <w:sdtEndPr>
          <w:rPr>
            <w:rFonts w:hint="eastAsia" w:ascii="仿宋" w:hAnsi="仿宋" w:eastAsia="仿宋" w:cs="仿宋"/>
            <w:snapToGrid/>
            <w:color w:val="auto"/>
            <w:kern w:val="2"/>
            <w:sz w:val="24"/>
            <w:szCs w:val="24"/>
            <w:highlight w:val="none"/>
          </w:rPr>
        </w:sdtEndPr>
        <w:sdtContent>
          <w:r>
            <w:rPr>
              <w:rFonts w:hint="eastAsia" w:ascii="Wingdings" w:hAnsi="Wingdings" w:eastAsia="仿宋" w:cs="仿宋"/>
              <w:snapToGrid/>
              <w:color w:val="auto"/>
              <w:kern w:val="2"/>
              <w:sz w:val="24"/>
              <w:szCs w:val="24"/>
              <w:highlight w:val="none"/>
            </w:rPr>
            <w:t>þ</w:t>
          </w:r>
        </w:sdtContent>
      </w:sdt>
      <w:r>
        <w:rPr>
          <w:rFonts w:hint="eastAsia" w:ascii="仿宋" w:hAnsi="仿宋" w:eastAsia="仿宋" w:cs="仿宋"/>
          <w:snapToGrid/>
          <w:color w:val="auto"/>
          <w:kern w:val="2"/>
          <w:sz w:val="24"/>
          <w:szCs w:val="24"/>
          <w:highlight w:val="none"/>
        </w:rPr>
        <w:t xml:space="preserve"> 是</w:t>
      </w:r>
      <w:r>
        <w:rPr>
          <w:rFonts w:hint="eastAsia" w:ascii="仿宋" w:hAnsi="仿宋" w:eastAsia="仿宋" w:cs="仿宋"/>
          <w:snapToGrid/>
          <w:color w:val="auto"/>
          <w:kern w:val="2"/>
          <w:sz w:val="24"/>
          <w:szCs w:val="24"/>
          <w:highlight w:val="none"/>
        </w:rPr>
        <w:t>；</w:t>
      </w:r>
      <w:sdt>
        <w:sdtPr>
          <w:rPr>
            <w:rFonts w:hint="eastAsia" w:ascii="仿宋" w:hAnsi="仿宋" w:eastAsia="仿宋" w:cs="仿宋"/>
            <w:snapToGrid/>
            <w:color w:val="auto"/>
            <w:kern w:val="2"/>
            <w:sz w:val="24"/>
            <w:szCs w:val="24"/>
            <w:highlight w:val="none"/>
          </w:rPr>
          <w:id w:val="4649"/>
          <w14:checkbox>
            <w14:checked w14:val="0"/>
            <w14:checkedState w14:val="00FE" w14:font="Wingdings"/>
            <w14:uncheckedState w14:val="2610" w14:font="MS Gothic"/>
          </w14:checkbox>
        </w:sdtPr>
        <w:sdtEndPr>
          <w:rPr>
            <w:rFonts w:hint="eastAsia" w:ascii="仿宋" w:hAnsi="仿宋" w:eastAsia="仿宋" w:cs="仿宋"/>
            <w:snapToGrid/>
            <w:color w:val="auto"/>
            <w:kern w:val="2"/>
            <w:sz w:val="24"/>
            <w:szCs w:val="24"/>
            <w:highlight w:val="none"/>
          </w:rPr>
        </w:sdtEndPr>
        <w:sdtContent>
          <w:r>
            <w:rPr>
              <w:rFonts w:hint="eastAsia" w:ascii="仿宋" w:hAnsi="仿宋" w:eastAsia="仿宋" w:cs="仿宋"/>
              <w:snapToGrid/>
              <w:color w:val="auto"/>
              <w:kern w:val="2"/>
              <w:sz w:val="24"/>
              <w:szCs w:val="24"/>
              <w:highlight w:val="none"/>
            </w:rPr>
            <w:t>☐</w:t>
          </w:r>
        </w:sdtContent>
      </w:sdt>
      <w:r>
        <w:rPr>
          <w:rFonts w:hint="eastAsia" w:ascii="仿宋" w:hAnsi="仿宋" w:eastAsia="仿宋" w:cs="仿宋"/>
          <w:snapToGrid/>
          <w:color w:val="auto"/>
          <w:kern w:val="2"/>
          <w:sz w:val="24"/>
          <w:szCs w:val="24"/>
          <w:highlight w:val="none"/>
        </w:rPr>
        <w:t xml:space="preserve"> 否</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二、</w:t>
      </w:r>
      <w:bookmarkStart w:id="11" w:name="_Hlk101132948"/>
      <w:r>
        <w:rPr>
          <w:rFonts w:hint="eastAsia" w:ascii="仿宋" w:hAnsi="仿宋" w:eastAsia="仿宋" w:cs="仿宋"/>
          <w:b/>
          <w:color w:val="auto"/>
          <w:sz w:val="24"/>
          <w:highlight w:val="none"/>
        </w:rPr>
        <w:t>申请人的资格要求</w:t>
      </w:r>
      <w:bookmarkEnd w:id="11"/>
      <w:r>
        <w:rPr>
          <w:rFonts w:hint="eastAsia" w:ascii="仿宋" w:hAnsi="仿宋" w:eastAsia="仿宋" w:cs="仿宋"/>
          <w:b/>
          <w:color w:val="auto"/>
          <w:sz w:val="24"/>
          <w:highlight w:val="none"/>
        </w:rPr>
        <w:t>：</w:t>
      </w:r>
    </w:p>
    <w:p>
      <w:pPr>
        <w:spacing w:line="360" w:lineRule="auto"/>
        <w:ind w:firstLine="480"/>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w:t>
      </w:r>
      <w:r>
        <w:rPr>
          <w:rFonts w:hint="eastAsia" w:ascii="仿宋" w:hAnsi="仿宋" w:eastAsia="仿宋" w:cs="仿宋"/>
          <w:color w:val="auto"/>
          <w:highlight w:val="none"/>
        </w:rPr>
        <w:t xml:space="preserve"> </w:t>
      </w:r>
      <w:r>
        <w:rPr>
          <w:rFonts w:hint="eastAsia" w:ascii="仿宋" w:hAnsi="仿宋" w:eastAsia="仿宋" w:cs="仿宋"/>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3.落实政府采购政策需满足的资格要求：</w:t>
      </w:r>
    </w:p>
    <w:p>
      <w:pPr>
        <w:spacing w:line="360" w:lineRule="auto"/>
        <w:ind w:firstLine="480" w:firstLineChars="200"/>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4650"/>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kern w:val="0"/>
          <w:sz w:val="24"/>
          <w:highlight w:val="none"/>
        </w:rPr>
        <w:t xml:space="preserve"> </w:t>
      </w:r>
      <w:r>
        <w:rPr>
          <w:rFonts w:hint="eastAsia" w:ascii="仿宋" w:hAnsi="仿宋" w:eastAsia="仿宋" w:cs="仿宋"/>
          <w:color w:val="auto"/>
          <w:sz w:val="24"/>
          <w:highlight w:val="none"/>
        </w:rPr>
        <w:t>无</w:t>
      </w:r>
      <w:r>
        <w:rPr>
          <w:rFonts w:hint="eastAsia" w:ascii="仿宋" w:hAnsi="仿宋" w:eastAsia="仿宋" w:cs="仿宋"/>
          <w:snapToGrid w:val="0"/>
          <w:color w:val="auto"/>
          <w:kern w:val="28"/>
          <w:sz w:val="24"/>
          <w:szCs w:val="20"/>
          <w:highlight w:val="none"/>
        </w:rPr>
        <w:t>（注：不得限制大中型企业与小微企业组成联合体参与投标）</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4651"/>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 xml:space="preserve"> 专</w:t>
      </w:r>
      <w:r>
        <w:rPr>
          <w:rFonts w:hint="eastAsia" w:ascii="仿宋" w:hAnsi="仿宋" w:eastAsia="仿宋" w:cs="仿宋"/>
          <w:color w:val="auto"/>
          <w:sz w:val="24"/>
          <w:highlight w:val="none"/>
        </w:rPr>
        <w:t>门面向中小企业</w:t>
      </w:r>
    </w:p>
    <w:p>
      <w:pPr>
        <w:spacing w:line="360" w:lineRule="auto"/>
        <w:ind w:firstLine="897" w:firstLineChars="374"/>
        <w:rPr>
          <w:rFonts w:ascii="仿宋" w:hAnsi="仿宋" w:eastAsia="仿宋" w:cs="仿宋"/>
          <w:color w:val="auto"/>
          <w:sz w:val="24"/>
          <w:highlight w:val="none"/>
          <w:u w:val="single"/>
        </w:rPr>
      </w:pPr>
      <w:sdt>
        <w:sdtPr>
          <w:rPr>
            <w:rFonts w:hint="eastAsia" w:ascii="仿宋" w:hAnsi="仿宋" w:eastAsia="仿宋" w:cs="仿宋"/>
            <w:color w:val="auto"/>
            <w:kern w:val="0"/>
            <w:sz w:val="24"/>
            <w:highlight w:val="none"/>
          </w:rPr>
          <w:id w:val="4652"/>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 xml:space="preserve"> </w:t>
      </w:r>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897" w:firstLineChars="374"/>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465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 xml:space="preserve"> </w:t>
      </w:r>
      <w:r>
        <w:rPr>
          <w:rFonts w:hint="eastAsia" w:ascii="仿宋" w:hAnsi="仿宋" w:eastAsia="仿宋" w:cs="仿宋"/>
          <w:color w:val="auto"/>
          <w:sz w:val="24"/>
          <w:highlight w:val="none"/>
        </w:rPr>
        <w:t>货物全部由符合政策要求的小微企业制造，提供中小企业声明函；</w:t>
      </w:r>
    </w:p>
    <w:p>
      <w:pPr>
        <w:spacing w:line="360" w:lineRule="auto"/>
        <w:ind w:firstLine="480" w:firstLineChars="200"/>
        <w:rPr>
          <w:rFonts w:ascii="仿宋" w:hAnsi="仿宋" w:eastAsia="仿宋" w:cs="仿宋"/>
          <w:color w:val="auto"/>
          <w:sz w:val="24"/>
          <w:highlight w:val="none"/>
        </w:rPr>
      </w:pPr>
      <w:bookmarkStart w:id="12" w:name="_Hlk101132524"/>
      <w:sdt>
        <w:sdtPr>
          <w:rPr>
            <w:rFonts w:hint="eastAsia" w:ascii="仿宋" w:hAnsi="仿宋" w:eastAsia="仿宋" w:cs="仿宋"/>
            <w:color w:val="auto"/>
            <w:kern w:val="0"/>
            <w:sz w:val="24"/>
            <w:highlight w:val="none"/>
          </w:rPr>
          <w:id w:val="465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 xml:space="preserve"> </w:t>
      </w:r>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auto"/>
          <w:sz w:val="24"/>
          <w:highlight w:val="none"/>
        </w:rPr>
        <w:t>；</w:t>
      </w:r>
    </w:p>
    <w:bookmarkEnd w:id="12"/>
    <w:p>
      <w:pPr>
        <w:spacing w:line="360" w:lineRule="auto"/>
        <w:ind w:firstLine="480" w:firstLineChars="200"/>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465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 xml:space="preserve"> </w:t>
      </w:r>
      <w:r>
        <w:rPr>
          <w:rFonts w:hint="eastAsia" w:ascii="仿宋" w:hAnsi="仿宋" w:eastAsia="仿宋" w:cs="仿宋"/>
          <w:color w:val="auto"/>
          <w:sz w:val="24"/>
          <w:highlight w:val="none"/>
        </w:rPr>
        <w:t>要求合同分包，提供分包意向协议和中小企业声明函，分包意向协议中中小企业合同金额应当达到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，其中小微企业合同金额应当达到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highlight w:val="none"/>
        </w:rPr>
        <w:t>；</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4.本项目的特定资格要求：</w:t>
      </w:r>
      <w:sdt>
        <w:sdtPr>
          <w:rPr>
            <w:rFonts w:hint="eastAsia" w:ascii="仿宋" w:hAnsi="仿宋" w:eastAsia="仿宋" w:cs="仿宋"/>
            <w:color w:val="auto"/>
            <w:kern w:val="0"/>
            <w:sz w:val="24"/>
            <w:highlight w:val="none"/>
          </w:rPr>
          <w:id w:val="465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kern w:val="0"/>
          <w:sz w:val="24"/>
          <w:highlight w:val="none"/>
        </w:rPr>
        <w:t>无</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2024年</w:t>
      </w:r>
      <w:r>
        <w:rPr>
          <w:rFonts w:hint="eastAsia" w:ascii="仿宋" w:hAnsi="仿宋" w:eastAsia="仿宋" w:cs="仿宋"/>
          <w:color w:val="auto"/>
          <w:sz w:val="24"/>
          <w:highlight w:val="none"/>
          <w:u w:val="single"/>
          <w:lang w:val="en-US" w:eastAsia="zh-CN"/>
        </w:rPr>
        <w:t>02</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29</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2024年</w:t>
      </w:r>
      <w:r>
        <w:rPr>
          <w:rFonts w:hint="eastAsia" w:ascii="仿宋" w:hAnsi="仿宋" w:eastAsia="仿宋" w:cs="仿宋"/>
          <w:color w:val="auto"/>
          <w:sz w:val="24"/>
          <w:highlight w:val="none"/>
          <w:u w:val="single"/>
          <w:lang w:val="en-US" w:eastAsia="zh-CN"/>
        </w:rPr>
        <w:t>02</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29</w:t>
      </w:r>
      <w:r>
        <w:rPr>
          <w:rFonts w:hint="eastAsia" w:ascii="仿宋" w:hAnsi="仿宋" w:eastAsia="仿宋" w:cs="仿宋"/>
          <w:color w:val="auto"/>
          <w:sz w:val="24"/>
          <w:highlight w:val="none"/>
          <w:u w:val="single"/>
        </w:rPr>
        <w:t>日09点00分00秒</w:t>
      </w:r>
      <w:r>
        <w:rPr>
          <w:rFonts w:hint="eastAsia" w:ascii="仿宋" w:hAnsi="仿宋" w:eastAsia="仿宋" w:cs="仿宋"/>
          <w:color w:val="auto"/>
          <w:sz w:val="24"/>
          <w:highlight w:val="none"/>
        </w:rPr>
        <w:t>（北京时间）</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2024年</w:t>
      </w:r>
      <w:r>
        <w:rPr>
          <w:rFonts w:hint="eastAsia" w:ascii="仿宋" w:hAnsi="仿宋" w:eastAsia="仿宋" w:cs="仿宋"/>
          <w:color w:val="auto"/>
          <w:sz w:val="24"/>
          <w:highlight w:val="none"/>
          <w:u w:val="single"/>
          <w:lang w:val="en-US" w:eastAsia="zh-CN"/>
        </w:rPr>
        <w:t>02</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29</w:t>
      </w:r>
      <w:r>
        <w:rPr>
          <w:rFonts w:hint="eastAsia" w:ascii="仿宋" w:hAnsi="仿宋" w:eastAsia="仿宋" w:cs="仿宋"/>
          <w:color w:val="auto"/>
          <w:sz w:val="24"/>
          <w:highlight w:val="none"/>
          <w:u w:val="single"/>
        </w:rPr>
        <w:t>日09点00分00秒</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 1. 《浙江省财政厅关于进一步发挥政府采购政策功能全力推动经济稳进提质的通知》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项目是否接收备份文件，以前附表说明为准。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rPr>
        <w:t xml:space="preserve"> 1.采购人信息</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名称：杭州市萧山区第一人民医院医共体总院（杭州市萧山区第一人民医院）</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地址：杭州市萧山区城厢街道市心南路199号</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传真：/</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项目联系人（询问）：吴冰</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项目联系方式（询问）：0571-83807145</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质疑联系人：孔国飞</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质疑联系方式：0571-83807076</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名称：杭州博望建设工程招标投标代理有限公司</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地址：杭州市萧山区金城路433号天汇园一幢A座5楼</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传真：0571-83881208</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项目联系人（询问）：范梦迪</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项目联系方式（询问）：0571-83881208</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质疑联系人：高华萍</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质疑联系方式：0571-83881218</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名称：萧山区财政局、浙江省政府采购行政裁决服务中心（杭州）</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地址：杭州市上城区四季青街道新业路市民之家G03办公室（快递仅限ems或顺丰）</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传真：/</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联系人：朱女士/王女士</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监督投诉电话：0571-85252453</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政策咨询电话：0571-82756122（汤先生）</w:t>
      </w:r>
    </w:p>
    <w:p>
      <w:pPr>
        <w:spacing w:line="360" w:lineRule="auto"/>
        <w:rPr>
          <w:rFonts w:ascii="仿宋" w:hAnsi="仿宋" w:eastAsia="仿宋" w:cs="仿宋"/>
          <w:color w:val="auto"/>
          <w:sz w:val="24"/>
          <w:highlight w:val="none"/>
        </w:rPr>
      </w:pP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pStyle w:val="34"/>
        <w:spacing w:line="360" w:lineRule="auto"/>
        <w:jc w:val="left"/>
        <w:rPr>
          <w:rFonts w:ascii="仿宋" w:hAnsi="仿宋" w:eastAsia="仿宋" w:cs="仿宋"/>
          <w:b/>
          <w:color w:val="auto"/>
          <w:sz w:val="36"/>
          <w:szCs w:val="20"/>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36"/>
          <w:szCs w:val="20"/>
          <w:highlight w:val="none"/>
        </w:rPr>
        <w:t xml:space="preserve"> </w:t>
      </w:r>
    </w:p>
    <w:p>
      <w:pPr>
        <w:pStyle w:val="2"/>
        <w:rPr>
          <w:rFonts w:ascii="仿宋" w:eastAsia="仿宋" w:cs="仿宋"/>
          <w:snapToGrid w:val="0"/>
          <w:color w:val="auto"/>
          <w:highlight w:val="none"/>
        </w:rPr>
      </w:pPr>
      <w:r>
        <w:rPr>
          <w:rFonts w:hint="eastAsia" w:ascii="仿宋" w:eastAsia="仿宋" w:cs="仿宋"/>
          <w:color w:val="auto"/>
          <w:highlight w:val="none"/>
        </w:rPr>
        <w:br w:type="page"/>
      </w:r>
    </w:p>
    <w:p>
      <w:pPr>
        <w:adjustRightInd/>
        <w:spacing w:line="360" w:lineRule="auto"/>
        <w:jc w:val="center"/>
        <w:outlineLvl w:val="0"/>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adjustRightInd/>
        <w:spacing w:line="360" w:lineRule="auto"/>
        <w:ind w:firstLine="3845" w:firstLineChars="1197"/>
        <w:outlineLvl w:val="0"/>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kern w:val="0"/>
                <w:sz w:val="24"/>
                <w:highlight w:val="none"/>
                <w:u w:val="single"/>
              </w:rPr>
              <w:t>冷源群控控制柜</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（1）标的：</w:t>
            </w:r>
            <w:r>
              <w:rPr>
                <w:rFonts w:hint="eastAsia" w:ascii="仿宋" w:hAnsi="仿宋" w:eastAsia="仿宋" w:cs="仿宋"/>
                <w:color w:val="auto"/>
                <w:sz w:val="24"/>
                <w:highlight w:val="none"/>
                <w:u w:val="single"/>
              </w:rPr>
              <w:t>杭州市萧山区第一人民医院医共体总院（杭州市萧山区第一人民医院）中央空调系统智能化改造项目</w:t>
            </w:r>
            <w:r>
              <w:rPr>
                <w:rFonts w:hint="eastAsia" w:ascii="仿宋" w:hAnsi="仿宋" w:eastAsia="仿宋" w:cs="仿宋"/>
                <w:color w:val="auto"/>
                <w:sz w:val="24"/>
                <w:highlight w:val="none"/>
              </w:rPr>
              <w:t>，</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工业 </w:t>
            </w:r>
            <w:r>
              <w:rPr>
                <w:rFonts w:hint="eastAsia" w:ascii="仿宋" w:hAnsi="仿宋" w:eastAsia="仿宋" w:cs="仿宋"/>
                <w:color w:val="auto"/>
                <w:sz w:val="24"/>
                <w:highlight w:val="none"/>
              </w:rPr>
              <w:t>行业；</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1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sdt>
              <w:sdtPr>
                <w:rPr>
                  <w:rFonts w:hint="eastAsia" w:ascii="仿宋" w:hAnsi="仿宋" w:eastAsia="仿宋" w:cs="仿宋"/>
                  <w:color w:val="auto"/>
                  <w:sz w:val="24"/>
                  <w:highlight w:val="none"/>
                </w:rPr>
                <w:id w:val="4658"/>
                <w14:checkbox>
                  <w14:checked w14:val="1"/>
                  <w14:checkedState w14:val="00FE" w14:font="Wingdings"/>
                  <w14:uncheckedState w14:val="2610" w14:font="MS Gothic"/>
                </w14:checkbox>
              </w:sdtPr>
              <w:sdtEndPr>
                <w:rPr>
                  <w:rFonts w:hint="eastAsia" w:ascii="仿宋" w:hAnsi="仿宋" w:eastAsia="仿宋" w:cs="仿宋"/>
                  <w:color w:val="auto"/>
                  <w:sz w:val="24"/>
                  <w:highlight w:val="none"/>
                </w:rPr>
              </w:sdtEndPr>
              <w:sdtContent>
                <w:r>
                  <w:rPr>
                    <w:rFonts w:hint="eastAsia" w:ascii="仿宋" w:hAnsi="仿宋" w:eastAsia="仿宋" w:cs="仿宋"/>
                    <w:color w:val="auto"/>
                    <w:sz w:val="24"/>
                    <w:highlight w:val="none"/>
                  </w:rPr>
                  <w:sym w:font="Wingdings" w:char="F0FE"/>
                </w:r>
              </w:sdtContent>
            </w:sdt>
            <w:r>
              <w:rPr>
                <w:rFonts w:hint="eastAsia" w:ascii="仿宋" w:hAnsi="仿宋" w:eastAsia="仿宋" w:cs="仿宋"/>
                <w:color w:val="auto"/>
                <w:sz w:val="24"/>
                <w:highlight w:val="none"/>
              </w:rPr>
              <w:t>本项目不允许采购进口产品。</w:t>
            </w:r>
          </w:p>
          <w:p>
            <w:pPr>
              <w:spacing w:line="400" w:lineRule="exact"/>
              <w:rPr>
                <w:rFonts w:ascii="仿宋" w:hAnsi="仿宋" w:eastAsia="仿宋" w:cs="仿宋"/>
                <w:color w:val="auto"/>
                <w:sz w:val="24"/>
                <w:highlight w:val="none"/>
              </w:rPr>
            </w:pPr>
            <w:sdt>
              <w:sdtPr>
                <w:rPr>
                  <w:rFonts w:hint="eastAsia" w:ascii="仿宋" w:hAnsi="仿宋" w:eastAsia="仿宋" w:cs="仿宋"/>
                  <w:color w:val="auto"/>
                  <w:sz w:val="24"/>
                  <w:highlight w:val="none"/>
                </w:rPr>
                <w:id w:val="4659"/>
                <w14:checkbox>
                  <w14:checked w14:val="0"/>
                  <w14:checkedState w14:val="00FE" w14:font="Wingdings"/>
                  <w14:uncheckedState w14:val="2610" w14:font="MS Gothic"/>
                </w14:checkbox>
              </w:sdtPr>
              <w:sdtEndPr>
                <w:rPr>
                  <w:rFonts w:hint="eastAsia" w:ascii="仿宋" w:hAnsi="仿宋" w:eastAsia="仿宋" w:cs="仿宋"/>
                  <w:color w:val="auto"/>
                  <w:sz w:val="24"/>
                  <w:highlight w:val="none"/>
                </w:rPr>
              </w:sdtEndPr>
              <w:sdtContent>
                <w:r>
                  <w:rPr>
                    <w:rFonts w:hint="eastAsia" w:ascii="仿宋" w:hAnsi="仿宋" w:eastAsia="仿宋" w:cs="仿宋"/>
                    <w:color w:val="auto"/>
                    <w:sz w:val="24"/>
                    <w:highlight w:val="none"/>
                  </w:rPr>
                  <w:t>☐</w:t>
                </w:r>
              </w:sdtContent>
            </w:sdt>
            <w:r>
              <w:rPr>
                <w:rFonts w:hint="eastAsia" w:ascii="仿宋" w:hAnsi="仿宋" w:eastAsia="仿宋" w:cs="仿宋"/>
                <w:color w:val="auto"/>
                <w:sz w:val="24"/>
                <w:highlight w:val="none"/>
              </w:rPr>
              <w:t>可以就</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采购进口产品。</w:t>
            </w:r>
            <w:r>
              <w:rPr>
                <w:rFonts w:hint="eastAsia" w:ascii="仿宋" w:hAnsi="仿宋" w:eastAsia="仿宋" w:cs="仿宋"/>
                <w:color w:val="auto"/>
                <w:kern w:val="0"/>
                <w:sz w:val="24"/>
                <w:highlight w:val="none"/>
              </w:rPr>
              <w:t>优先采购向我国企业转让技术、与我国企业签订消化吸收再创新方案的供应商的进口产品，详见</w:t>
            </w:r>
            <w:r>
              <w:rPr>
                <w:rFonts w:hint="eastAsia" w:ascii="仿宋" w:hAnsi="仿宋" w:eastAsia="仿宋" w:cs="仿宋"/>
                <w:color w:val="auto"/>
                <w:kern w:val="0"/>
                <w:sz w:val="24"/>
                <w:highlight w:val="none"/>
                <w:u w:val="single"/>
              </w:rPr>
              <w:t>评分标准</w:t>
            </w:r>
            <w:r>
              <w:rPr>
                <w:rFonts w:hint="eastAsia" w:ascii="仿宋" w:hAnsi="仿宋" w:eastAsia="仿宋" w:cs="仿宋"/>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4660"/>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kern w:val="0"/>
                <w:sz w:val="24"/>
                <w:highlight w:val="none"/>
              </w:rPr>
              <w:t xml:space="preserve"> A</w:t>
            </w:r>
            <w:r>
              <w:rPr>
                <w:rFonts w:hint="eastAsia" w:ascii="仿宋" w:hAnsi="仿宋" w:eastAsia="仿宋" w:cs="仿宋"/>
                <w:color w:val="auto"/>
                <w:sz w:val="24"/>
                <w:highlight w:val="none"/>
              </w:rPr>
              <w:t>同意将非主体、非关键性的</w:t>
            </w:r>
            <w:r>
              <w:rPr>
                <w:rFonts w:hint="eastAsia" w:ascii="仿宋" w:hAnsi="仿宋" w:eastAsia="仿宋" w:cs="仿宋"/>
                <w:color w:val="auto"/>
                <w:sz w:val="24"/>
                <w:highlight w:val="none"/>
                <w:u w:val="single"/>
              </w:rPr>
              <w:t xml:space="preserve">    运输    </w:t>
            </w:r>
            <w:r>
              <w:rPr>
                <w:rFonts w:hint="eastAsia" w:ascii="仿宋" w:hAnsi="仿宋" w:eastAsia="仿宋" w:cs="仿宋"/>
                <w:color w:val="auto"/>
                <w:sz w:val="24"/>
                <w:highlight w:val="none"/>
              </w:rPr>
              <w:t>工作分包。</w:t>
            </w:r>
            <w:sdt>
              <w:sdtPr>
                <w:rPr>
                  <w:rFonts w:hint="eastAsia" w:ascii="仿宋" w:hAnsi="仿宋" w:eastAsia="仿宋" w:cs="仿宋"/>
                  <w:color w:val="auto"/>
                  <w:kern w:val="0"/>
                  <w:sz w:val="24"/>
                  <w:highlight w:val="none"/>
                </w:rPr>
                <w:id w:val="4661"/>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4662"/>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400" w:lineRule="exact"/>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466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1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sdt>
              <w:sdtPr>
                <w:rPr>
                  <w:rFonts w:hint="eastAsia" w:ascii="仿宋" w:hAnsi="仿宋" w:eastAsia="仿宋" w:cs="仿宋"/>
                  <w:color w:val="auto"/>
                  <w:sz w:val="24"/>
                  <w:highlight w:val="none"/>
                </w:rPr>
                <w:id w:val="4664"/>
                <w14:checkbox>
                  <w14:checked w14:val="1"/>
                  <w14:checkedState w14:val="00FE" w14:font="Wingdings"/>
                  <w14:uncheckedState w14:val="2610" w14:font="MS Gothic"/>
                </w14:checkbox>
              </w:sdtPr>
              <w:sdtEndPr>
                <w:rPr>
                  <w:rFonts w:hint="eastAsia" w:ascii="仿宋" w:hAnsi="仿宋" w:eastAsia="仿宋" w:cs="仿宋"/>
                  <w:color w:val="auto"/>
                  <w:sz w:val="24"/>
                  <w:highlight w:val="none"/>
                </w:rPr>
              </w:sdtEndPr>
              <w:sdtContent>
                <w:r>
                  <w:rPr>
                    <w:rFonts w:hint="eastAsia" w:ascii="Wingdings" w:hAnsi="Wingdings" w:eastAsia="仿宋" w:cs="仿宋"/>
                    <w:color w:val="auto"/>
                    <w:sz w:val="24"/>
                    <w:highlight w:val="none"/>
                  </w:rPr>
                  <w:t>þ</w:t>
                </w:r>
              </w:sdtContent>
            </w:sdt>
            <w:r>
              <w:rPr>
                <w:rFonts w:hint="eastAsia" w:ascii="仿宋" w:hAnsi="仿宋" w:eastAsia="仿宋" w:cs="仿宋"/>
                <w:color w:val="auto"/>
                <w:sz w:val="24"/>
                <w:highlight w:val="none"/>
              </w:rPr>
              <w:t>A不要求提供。</w:t>
            </w:r>
          </w:p>
          <w:p>
            <w:pPr>
              <w:spacing w:line="400" w:lineRule="exact"/>
              <w:rPr>
                <w:rFonts w:ascii="仿宋" w:hAnsi="仿宋" w:eastAsia="仿宋" w:cs="仿宋"/>
                <w:color w:val="auto"/>
                <w:sz w:val="24"/>
                <w:highlight w:val="none"/>
              </w:rPr>
            </w:pPr>
            <w:sdt>
              <w:sdtPr>
                <w:rPr>
                  <w:rFonts w:hint="eastAsia" w:ascii="仿宋" w:hAnsi="仿宋" w:eastAsia="仿宋" w:cs="仿宋"/>
                  <w:color w:val="auto"/>
                  <w:sz w:val="24"/>
                  <w:highlight w:val="none"/>
                </w:rPr>
                <w:id w:val="1026831988"/>
                <w14:checkbox>
                  <w14:checked w14:val="0"/>
                  <w14:checkedState w14:val="00FE" w14:font="Wingdings"/>
                  <w14:uncheckedState w14:val="2610" w14:font="MS Gothic"/>
                </w14:checkbox>
              </w:sdtPr>
              <w:sdtEndPr>
                <w:rPr>
                  <w:rFonts w:hint="eastAsia" w:ascii="仿宋" w:hAnsi="仿宋" w:eastAsia="仿宋" w:cs="仿宋"/>
                  <w:color w:val="auto"/>
                  <w:sz w:val="24"/>
                  <w:highlight w:val="none"/>
                </w:rPr>
              </w:sdtEndPr>
              <w:sdtContent>
                <w:r>
                  <w:rPr>
                    <w:rFonts w:hint="eastAsia" w:ascii="仿宋" w:hAnsi="仿宋" w:eastAsia="仿宋" w:cs="仿宋"/>
                    <w:color w:val="auto"/>
                    <w:sz w:val="24"/>
                    <w:highlight w:val="none"/>
                  </w:rPr>
                  <w:t>☐</w:t>
                </w:r>
              </w:sdtContent>
            </w:sdt>
            <w:r>
              <w:rPr>
                <w:rFonts w:hint="eastAsia" w:ascii="仿宋" w:hAnsi="仿宋" w:eastAsia="仿宋" w:cs="仿宋"/>
                <w:color w:val="auto"/>
                <w:sz w:val="24"/>
                <w:highlight w:val="none"/>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4670"/>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400" w:lineRule="exact"/>
              <w:rPr>
                <w:rFonts w:ascii="仿宋" w:hAnsi="仿宋" w:eastAsia="仿宋" w:cs="仿宋"/>
                <w:b/>
                <w:color w:val="auto"/>
                <w:kern w:val="0"/>
                <w:sz w:val="24"/>
                <w:highlight w:val="none"/>
                <w:lang w:val="zh-CN"/>
              </w:rPr>
            </w:pPr>
            <w:sdt>
              <w:sdtPr>
                <w:rPr>
                  <w:rFonts w:hint="eastAsia" w:ascii="仿宋" w:hAnsi="仿宋" w:eastAsia="仿宋" w:cs="仿宋"/>
                  <w:color w:val="auto"/>
                  <w:kern w:val="0"/>
                  <w:sz w:val="24"/>
                  <w:highlight w:val="none"/>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spacing w:line="400" w:lineRule="exact"/>
              <w:rPr>
                <w:rFonts w:ascii="仿宋" w:hAnsi="仿宋" w:eastAsia="仿宋" w:cs="仿宋"/>
                <w:snapToGrid w:val="0"/>
                <w:color w:val="auto"/>
                <w:kern w:val="0"/>
                <w:sz w:val="24"/>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400" w:lineRule="exact"/>
              <w:jc w:val="center"/>
              <w:rPr>
                <w:rFonts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left"/>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b/>
                <w:bCs/>
                <w:color w:val="auto"/>
                <w:kern w:val="0"/>
                <w:sz w:val="24"/>
                <w:highlight w:val="none"/>
                <w:lang w:val="zh-CN"/>
              </w:rPr>
              <w:t>投标文件</w:t>
            </w:r>
            <w:r>
              <w:rPr>
                <w:rFonts w:hint="eastAsia" w:ascii="仿宋" w:hAnsi="仿宋" w:eastAsia="仿宋" w:cs="仿宋"/>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snapToGrid w:val="0"/>
              <w:spacing w:line="400" w:lineRule="exact"/>
              <w:jc w:val="left"/>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snapToGrid w:val="0"/>
              <w:spacing w:line="400" w:lineRule="exact"/>
              <w:ind w:firstLine="241" w:firstLineChars="100"/>
              <w:jc w:val="left"/>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snapToGrid w:val="0"/>
              <w:spacing w:line="400" w:lineRule="exact"/>
              <w:ind w:firstLine="241" w:firstLineChars="100"/>
              <w:jc w:val="left"/>
              <w:rPr>
                <w:rFonts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spacing w:line="400" w:lineRule="exact"/>
              <w:ind w:firstLine="241" w:firstLineChars="100"/>
              <w:rPr>
                <w:rFonts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highlight w:val="none"/>
              </w:rPr>
              <w:t>;</w:t>
            </w:r>
          </w:p>
          <w:p>
            <w:pPr>
              <w:spacing w:line="400" w:lineRule="exact"/>
              <w:ind w:firstLine="241" w:firstLineChars="100"/>
              <w:rPr>
                <w:rFonts w:ascii="仿宋" w:hAnsi="仿宋" w:eastAsia="仿宋" w:cs="仿宋"/>
                <w:color w:val="auto"/>
                <w:sz w:val="24"/>
                <w:highlight w:val="none"/>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本项目支持《杭州市萧山区政府采购支持中小企业信用融资暂行办法》。</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有融资需求的中标供应商可参照相关规定及银行方案凭政府采购合同向相关合作银行提出信用融资（贷款）申请。详见</w:t>
            </w:r>
            <w:r>
              <w:rPr>
                <w:color w:val="auto"/>
                <w:highlight w:val="none"/>
              </w:rPr>
              <w:fldChar w:fldCharType="begin"/>
            </w:r>
            <w:r>
              <w:rPr>
                <w:color w:val="auto"/>
                <w:highlight w:val="none"/>
              </w:rPr>
              <w:instrText xml:space="preserve"> HYPERLINK "http://www.xiaoshan.gov.cn/art/2018/12/20/art_1229293109_1559514.html" </w:instrText>
            </w:r>
            <w:r>
              <w:rPr>
                <w:color w:val="auto"/>
                <w:highlight w:val="none"/>
              </w:rPr>
              <w:fldChar w:fldCharType="separate"/>
            </w:r>
            <w:r>
              <w:rPr>
                <w:rStyle w:val="77"/>
                <w:rFonts w:hint="eastAsia" w:ascii="仿宋" w:hAnsi="仿宋" w:eastAsia="仿宋" w:cs="仿宋"/>
                <w:snapToGrid/>
                <w:color w:val="auto"/>
                <w:sz w:val="24"/>
                <w:szCs w:val="24"/>
                <w:highlight w:val="none"/>
              </w:rPr>
              <w:t>http://www.xiaoshan.gov.cn/art/2018/12/20/art_1229293109_1559514.html</w:t>
            </w:r>
            <w:r>
              <w:rPr>
                <w:rStyle w:val="77"/>
                <w:rFonts w:hint="eastAsia" w:ascii="仿宋" w:hAnsi="仿宋" w:eastAsia="仿宋" w:cs="仿宋"/>
                <w:snapToGrid/>
                <w:color w:val="auto"/>
                <w:sz w:val="24"/>
                <w:szCs w:val="24"/>
                <w:highlight w:val="none"/>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400" w:lineRule="exact"/>
              <w:rPr>
                <w:rFonts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本项目备份文件是否收取：不收取</w:t>
            </w:r>
          </w:p>
          <w:p>
            <w:pPr>
              <w:pStyle w:val="34"/>
              <w:spacing w:line="400" w:lineRule="exact"/>
              <w:rPr>
                <w:rFonts w:ascii="仿宋" w:hAnsi="仿宋" w:eastAsia="仿宋" w:cs="仿宋"/>
                <w:color w:val="auto"/>
                <w:sz w:val="24"/>
                <w:szCs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pStyle w:val="34"/>
              <w:spacing w:line="400" w:lineRule="exact"/>
              <w:rPr>
                <w:rFonts w:ascii="仿宋" w:hAnsi="仿宋" w:eastAsia="仿宋" w:cs="仿宋"/>
                <w:color w:val="auto"/>
                <w:kern w:val="28"/>
                <w:sz w:val="24"/>
                <w:szCs w:val="24"/>
                <w:highlight w:val="none"/>
              </w:rPr>
            </w:pPr>
            <w:r>
              <w:rPr>
                <w:rFonts w:hint="eastAsia" w:ascii="仿宋" w:hAnsi="仿宋" w:eastAsia="仿宋" w:cs="仿宋"/>
                <w:b/>
                <w:color w:val="auto"/>
                <w:sz w:val="24"/>
                <w:szCs w:val="24"/>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b/>
                <w:color w:val="auto"/>
                <w:sz w:val="24"/>
                <w:highlight w:val="none"/>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8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lang w:val="zh-CN"/>
              </w:rPr>
              <w:t>本项目采购代理费由中标人支付。</w:t>
            </w:r>
            <w:r>
              <w:rPr>
                <w:rFonts w:hint="eastAsia" w:ascii="仿宋" w:hAnsi="仿宋" w:eastAsia="仿宋" w:cs="仿宋"/>
                <w:color w:val="auto"/>
                <w:sz w:val="24"/>
                <w:highlight w:val="none"/>
              </w:rPr>
              <w:t>本次招标委托代理费按国家发展计划委员会的计价格[2002]1980号文件收费标准下浮70%结算收取（单项不足2000元的按2000元计算，最高不超过15000元）。</w:t>
            </w:r>
          </w:p>
          <w:p>
            <w:pPr>
              <w:spacing w:line="480" w:lineRule="exact"/>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服务费缴纳账号：</w:t>
            </w:r>
          </w:p>
          <w:p>
            <w:pPr>
              <w:spacing w:line="480" w:lineRule="exact"/>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开户银行：上海浦东发展银行萧山支行</w:t>
            </w:r>
          </w:p>
          <w:p>
            <w:pPr>
              <w:spacing w:line="480" w:lineRule="exact"/>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账户名称：杭州博望建设工程招标投标代理有限公司</w:t>
            </w:r>
          </w:p>
          <w:p>
            <w:pPr>
              <w:spacing w:line="480" w:lineRule="exact"/>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银行账号：95070154740001005</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联系电话：0571-82373980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b/>
                <w:color w:val="auto"/>
                <w:sz w:val="24"/>
                <w:highlight w:val="none"/>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采购人、采购机构质疑接收人、联系方式：详见公告</w:t>
            </w:r>
          </w:p>
          <w:p>
            <w:pPr>
              <w:snapToGrid w:val="0"/>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线上提交质疑方式：政采云线上质疑路径：项目采购-询问质疑投诉-质疑列表。请使用ca签章在每一页质疑文件中加盖电子公章，上传完整附件。</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本项目涉及资格条件、采购需求、评分办法及采购过程中有关现场考察或开标前答疑会等事项由采购人进行答复。</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履约验收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后已有新文件规定，按照最新文件执行）。存在隐蔽工程的项目，采购单位及供应商应在货物到货并将实施安装前，申请进行初验收。</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联系电话: 0571-83587785/0571-82816012  联系地址: 萧山区通惠北路2-1号302室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17</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400" w:lineRule="exact"/>
              <w:jc w:val="center"/>
              <w:rPr>
                <w:rFonts w:ascii="仿宋" w:hAnsi="仿宋" w:eastAsia="仿宋" w:cs="仿宋"/>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sdt>
              <w:sdtPr>
                <w:rPr>
                  <w:rFonts w:hint="eastAsia" w:ascii="仿宋" w:hAnsi="仿宋" w:eastAsia="仿宋" w:cs="仿宋"/>
                  <w:color w:val="auto"/>
                  <w:sz w:val="24"/>
                  <w:highlight w:val="none"/>
                </w:rPr>
                <w:id w:val="4672"/>
                <w14:checkbox>
                  <w14:checked w14:val="0"/>
                  <w14:checkedState w14:val="00FE" w14:font="Wingdings"/>
                  <w14:uncheckedState w14:val="2610" w14:font="MS Gothic"/>
                </w14:checkbox>
              </w:sdtPr>
              <w:sdtEndPr>
                <w:rPr>
                  <w:rFonts w:hint="eastAsia" w:ascii="仿宋" w:hAnsi="仿宋" w:eastAsia="仿宋" w:cs="仿宋"/>
                  <w:color w:val="auto"/>
                  <w:sz w:val="24"/>
                  <w:highlight w:val="none"/>
                </w:rPr>
              </w:sdtEndPr>
              <w:sdtContent>
                <w:r>
                  <w:rPr>
                    <w:rFonts w:hint="eastAsia" w:ascii="仿宋" w:hAnsi="仿宋" w:eastAsia="仿宋" w:cs="仿宋"/>
                    <w:color w:val="auto"/>
                    <w:sz w:val="24"/>
                    <w:highlight w:val="none"/>
                  </w:rPr>
                  <w:t>☐</w:t>
                </w:r>
              </w:sdtContent>
            </w:sdt>
            <w:r>
              <w:rPr>
                <w:rFonts w:hint="eastAsia" w:ascii="仿宋" w:hAnsi="仿宋" w:eastAsia="仿宋" w:cs="仿宋"/>
                <w:color w:val="auto"/>
                <w:sz w:val="24"/>
                <w:highlight w:val="none"/>
              </w:rPr>
              <w:t>联合体投标的，联合体各方均需按招标文件第四部分评标标准要求提供资信证明文件，否则视为不符合相关要求。</w:t>
            </w:r>
          </w:p>
          <w:p>
            <w:pPr>
              <w:spacing w:line="400" w:lineRule="exact"/>
              <w:rPr>
                <w:rFonts w:ascii="仿宋" w:hAnsi="仿宋" w:eastAsia="仿宋" w:cs="仿宋"/>
                <w:color w:val="auto"/>
                <w:sz w:val="24"/>
                <w:highlight w:val="none"/>
              </w:rPr>
            </w:pPr>
            <w:sdt>
              <w:sdtPr>
                <w:rPr>
                  <w:rFonts w:hint="eastAsia" w:ascii="仿宋" w:hAnsi="仿宋" w:eastAsia="仿宋" w:cs="仿宋"/>
                  <w:color w:val="auto"/>
                  <w:sz w:val="24"/>
                  <w:highlight w:val="none"/>
                </w:rPr>
                <w:id w:val="1052570136"/>
                <w14:checkbox>
                  <w14:checked w14:val="1"/>
                  <w14:checkedState w14:val="00FE" w14:font="Wingdings"/>
                  <w14:uncheckedState w14:val="2610" w14:font="MS Gothic"/>
                </w14:checkbox>
              </w:sdtPr>
              <w:sdtEndPr>
                <w:rPr>
                  <w:rFonts w:hint="eastAsia" w:ascii="仿宋" w:hAnsi="仿宋" w:eastAsia="仿宋" w:cs="仿宋"/>
                  <w:color w:val="auto"/>
                  <w:sz w:val="24"/>
                  <w:highlight w:val="none"/>
                </w:rPr>
              </w:sdtEndPr>
              <w:sdtContent>
                <w:r>
                  <w:rPr>
                    <w:rFonts w:hint="eastAsia" w:ascii="仿宋" w:hAnsi="仿宋" w:eastAsia="仿宋" w:cs="仿宋"/>
                    <w:color w:val="auto"/>
                    <w:sz w:val="24"/>
                    <w:highlight w:val="none"/>
                  </w:rPr>
                  <w:sym w:font="Wingdings" w:char="F0FE"/>
                </w:r>
              </w:sdtContent>
            </w:sdt>
            <w:r>
              <w:rPr>
                <w:rFonts w:hint="eastAsia" w:ascii="仿宋" w:hAnsi="仿宋" w:eastAsia="仿宋" w:cs="仿宋"/>
                <w:color w:val="auto"/>
                <w:sz w:val="24"/>
                <w:highlight w:val="none"/>
              </w:rPr>
              <w:t>联合体投标的，联合体中有一方或者联合体成员根据分工按招标文件第四部分评标标准要求提供资信证明文件的，视为符合了相关要求。</w:t>
            </w:r>
          </w:p>
          <w:p>
            <w:pPr>
              <w:spacing w:line="400" w:lineRule="exact"/>
              <w:rPr>
                <w:rFonts w:ascii="仿宋" w:hAnsi="仿宋" w:eastAsia="仿宋" w:cs="仿宋"/>
                <w:color w:val="auto"/>
                <w:sz w:val="24"/>
                <w:highlight w:val="none"/>
              </w:rPr>
            </w:pPr>
            <w:r>
              <w:rPr>
                <w:rFonts w:hint="eastAsia" w:ascii="仿宋" w:hAnsi="仿宋" w:eastAsia="仿宋" w:cs="仿宋"/>
                <w:color w:val="auto"/>
                <w:kern w:val="0"/>
                <w:sz w:val="24"/>
                <w:highlight w:val="none"/>
              </w:rPr>
              <w:t>评审因素对应的要求视为采购需求的一部分。</w:t>
            </w:r>
          </w:p>
          <w:p>
            <w:pPr>
              <w:spacing w:line="4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严格执行预算限价，项目如涉及办公用房装修、通用办公设备家具的不得超限额标准。（萧财国资【2019】389号）</w:t>
            </w:r>
          </w:p>
          <w:p>
            <w:pPr>
              <w:spacing w:line="400" w:lineRule="exact"/>
              <w:rPr>
                <w:rFonts w:ascii="仿宋" w:hAnsi="仿宋" w:eastAsia="仿宋" w:cs="仿宋"/>
                <w:color w:val="auto"/>
                <w:sz w:val="24"/>
                <w:highlight w:val="none"/>
              </w:rPr>
            </w:pPr>
            <w:r>
              <w:rPr>
                <w:rFonts w:hint="eastAsia" w:ascii="仿宋" w:hAnsi="仿宋" w:eastAsia="仿宋" w:cs="仿宋"/>
                <w:b/>
                <w:bCs/>
                <w:color w:val="auto"/>
                <w:sz w:val="24"/>
                <w:highlight w:val="none"/>
              </w:rPr>
              <w:t>本项目通用总则条款与前附表等专用特别规定有冲突之处，以专用条款（特别规定）为准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2"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400" w:lineRule="exact"/>
              <w:jc w:val="center"/>
              <w:rPr>
                <w:rFonts w:ascii="仿宋" w:hAnsi="仿宋" w:eastAsia="仿宋" w:cs="仿宋"/>
                <w:color w:val="auto"/>
                <w:sz w:val="24"/>
                <w:highlight w:val="none"/>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4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本项目每个标项推荐中标候选人数量：1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2" w:hRule="atLeast"/>
          <w:tblHeader/>
        </w:trPr>
        <w:tc>
          <w:tcPr>
            <w:tcW w:w="62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18</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中标人注意事项</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b/>
                <w:bCs/>
                <w:color w:val="auto"/>
                <w:sz w:val="24"/>
                <w:highlight w:val="none"/>
              </w:rPr>
            </w:pPr>
            <w:r>
              <w:rPr>
                <w:rFonts w:hint="eastAsia" w:ascii="仿宋" w:hAnsi="仿宋" w:eastAsia="仿宋" w:cs="仿宋"/>
                <w:b/>
                <w:bCs/>
                <w:color w:val="auto"/>
                <w:kern w:val="28"/>
                <w:sz w:val="24"/>
                <w:highlight w:val="none"/>
              </w:rPr>
              <w:t>中标人在</w:t>
            </w:r>
            <w:r>
              <w:rPr>
                <w:rFonts w:hint="eastAsia" w:ascii="仿宋" w:hAnsi="仿宋" w:eastAsia="仿宋" w:cs="仿宋"/>
                <w:b/>
                <w:bCs/>
                <w:color w:val="auto"/>
                <w:sz w:val="24"/>
                <w:highlight w:val="none"/>
              </w:rPr>
              <w:t>看到中标结果公示的</w:t>
            </w:r>
            <w:r>
              <w:rPr>
                <w:rFonts w:hint="eastAsia" w:ascii="仿宋" w:hAnsi="仿宋" w:eastAsia="仿宋" w:cs="仿宋"/>
                <w:b/>
                <w:bCs/>
                <w:color w:val="auto"/>
                <w:kern w:val="28"/>
                <w:sz w:val="24"/>
                <w:highlight w:val="none"/>
              </w:rPr>
              <w:t>三天内提供纸质投标文件一正二副。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2" w:hRule="atLeast"/>
          <w:tblHeader/>
        </w:trPr>
        <w:tc>
          <w:tcPr>
            <w:tcW w:w="629" w:type="dxa"/>
            <w:vMerge w:val="continue"/>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仿宋" w:hAnsi="仿宋" w:eastAsia="仿宋" w:cs="仿宋"/>
                <w:color w:val="auto"/>
                <w:sz w:val="24"/>
                <w:highlight w:val="non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color w:val="auto"/>
                <w:sz w:val="24"/>
                <w:highlight w:val="none"/>
              </w:rPr>
            </w:pPr>
          </w:p>
        </w:tc>
        <w:tc>
          <w:tcPr>
            <w:tcW w:w="609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招标人邮箱：xsyyzb@126.com(中标人看到中标结果公示的3天内须将医疗设备产品电子说明书和项目负责人的姓名和电话及公司名称、开户银行、帐号、地址、税号等发该邮箱，方便加快合同签订流程。)</w:t>
            </w:r>
          </w:p>
        </w:tc>
      </w:tr>
    </w:tbl>
    <w:p>
      <w:pPr>
        <w:snapToGrid w:val="0"/>
        <w:spacing w:line="360" w:lineRule="auto"/>
        <w:jc w:val="center"/>
        <w:rPr>
          <w:rFonts w:ascii="仿宋" w:hAnsi="仿宋" w:eastAsia="仿宋" w:cs="仿宋"/>
          <w:b/>
          <w:color w:val="auto"/>
          <w:sz w:val="32"/>
          <w:szCs w:val="20"/>
          <w:highlight w:val="none"/>
        </w:rPr>
      </w:pPr>
    </w:p>
    <w:bookmarkEnd w:id="10"/>
    <w:p>
      <w:pPr>
        <w:rPr>
          <w:rFonts w:ascii="仿宋" w:hAnsi="仿宋" w:eastAsia="仿宋" w:cs="仿宋"/>
          <w:b/>
          <w:color w:val="auto"/>
          <w:sz w:val="32"/>
          <w:szCs w:val="20"/>
          <w:highlight w:val="none"/>
        </w:rPr>
      </w:pPr>
      <w:bookmarkStart w:id="13" w:name="_Toc164416483"/>
      <w:bookmarkStart w:id="14" w:name="第三部分"/>
      <w:r>
        <w:rPr>
          <w:rFonts w:hint="eastAsia" w:ascii="仿宋" w:hAnsi="仿宋" w:eastAsia="仿宋" w:cs="仿宋"/>
          <w:b/>
          <w:color w:val="auto"/>
          <w:sz w:val="32"/>
          <w:szCs w:val="20"/>
          <w:highlight w:val="none"/>
        </w:rPr>
        <w:br w:type="page"/>
      </w:r>
    </w:p>
    <w:p>
      <w:pPr>
        <w:adjustRightInd/>
        <w:spacing w:line="360" w:lineRule="auto"/>
        <w:ind w:firstLine="3845" w:firstLineChars="1197"/>
        <w:outlineLvl w:val="0"/>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jc w:val="left"/>
        <w:outlineLvl w:val="1"/>
        <w:rPr>
          <w:rFonts w:ascii="仿宋" w:hAnsi="仿宋" w:eastAsia="仿宋" w:cs="仿宋"/>
          <w:b/>
          <w:color w:val="auto"/>
          <w:sz w:val="24"/>
          <w:highlight w:val="none"/>
        </w:rPr>
      </w:pPr>
      <w:r>
        <w:rPr>
          <w:rFonts w:hint="eastAsia" w:ascii="仿宋" w:hAnsi="仿宋" w:eastAsia="仿宋" w:cs="仿宋"/>
          <w:b/>
          <w:color w:val="auto"/>
          <w:sz w:val="24"/>
          <w:highlight w:val="none"/>
        </w:rPr>
        <w:t>1.适用范围</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2.定义</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 “采购代理机构”系指招标公告中载明的本项目的采购代理机构。</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2.6“电子交易平台”系指本项目政府采购活动所依托的政府采购云平台（https://www.zcygov.cn/）。</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 “▲” 系指实质性要求条款，“</w:t>
      </w:r>
      <w:sdt>
        <w:sdtPr>
          <w:rPr>
            <w:rFonts w:hint="eastAsia" w:ascii="仿宋" w:hAnsi="仿宋" w:eastAsia="仿宋" w:cs="仿宋"/>
            <w:color w:val="auto"/>
            <w:kern w:val="0"/>
            <w:sz w:val="24"/>
            <w:highlight w:val="none"/>
          </w:rPr>
          <w:id w:val="51297023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sz w:val="24"/>
          <w:highlight w:val="none"/>
        </w:rPr>
        <w:t>” 系指适用本项目的要求，“</w:t>
      </w:r>
      <w:sdt>
        <w:sdtPr>
          <w:rPr>
            <w:rFonts w:hint="eastAsia" w:ascii="仿宋" w:hAnsi="仿宋" w:eastAsia="仿宋" w:cs="仿宋"/>
            <w:color w:val="auto"/>
            <w:kern w:val="0"/>
            <w:sz w:val="24"/>
            <w:highlight w:val="none"/>
          </w:rPr>
          <w:id w:val="40488885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 系指不适用本项目的要求。</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3.采购项目需要落实的政府采购政策</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仿宋" w:hAnsi="仿宋" w:eastAsia="仿宋" w:cs="仿宋"/>
          <w:color w:val="auto"/>
          <w:kern w:val="0"/>
          <w:sz w:val="24"/>
          <w:highlight w:val="none"/>
        </w:rPr>
        <w:t>优先采购向我国企业转让技术、与我国企业签订消化吸收再创新方案的供应商的进口产品</w:t>
      </w:r>
      <w:r>
        <w:rPr>
          <w:rFonts w:hint="eastAsia" w:ascii="仿宋" w:hAnsi="仿宋" w:eastAsia="仿宋" w:cs="仿宋"/>
          <w:color w:val="auto"/>
          <w:sz w:val="24"/>
          <w:highlight w:val="none"/>
        </w:rPr>
        <w:t>。</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仿宋" w:hAnsi="仿宋" w:eastAsia="仿宋" w:cs="仿宋"/>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3.3.3对于未预留份额专门面向中小企业的政府采购货物项目，以及预留份额政府采购货物项目中的非预留部分标项，对小型和微型企业的投标报价给予10%-20%的扣除（</w:t>
      </w:r>
      <w:r>
        <w:rPr>
          <w:rFonts w:hint="eastAsia" w:ascii="仿宋" w:hAnsi="仿宋" w:eastAsia="仿宋" w:cs="仿宋"/>
          <w:snapToGrid w:val="0"/>
          <w:color w:val="auto"/>
          <w:kern w:val="28"/>
          <w:sz w:val="24"/>
          <w:highlight w:val="none"/>
        </w:rPr>
        <w:t>招标文件第四部分</w:t>
      </w:r>
      <w:r>
        <w:rPr>
          <w:rFonts w:hint="eastAsia" w:ascii="仿宋" w:hAnsi="仿宋" w:eastAsia="仿宋" w:cs="仿宋"/>
          <w:color w:val="auto"/>
          <w:sz w:val="24"/>
          <w:highlight w:val="none"/>
          <w:u w:val="single"/>
        </w:rPr>
        <w:t>评标办法明确具体的扣除比例，未明确的，</w:t>
      </w:r>
      <w:r>
        <w:rPr>
          <w:rFonts w:hint="eastAsia" w:ascii="仿宋" w:hAnsi="仿宋" w:eastAsia="仿宋" w:cs="仿宋"/>
          <w:color w:val="auto"/>
          <w:sz w:val="24"/>
          <w:highlight w:val="none"/>
        </w:rPr>
        <w:t>给予20%的扣除），用扣除后的价格参与评审。接受大中型企业与小微企业组成联合体或者允许大中型企业向一家或者多家小微企业分包的政府采购货物项目，对于</w:t>
      </w:r>
      <w:bookmarkStart w:id="16" w:name="_Hlk101132181"/>
      <w:r>
        <w:rPr>
          <w:rFonts w:hint="eastAsia" w:ascii="仿宋" w:hAnsi="仿宋" w:eastAsia="仿宋" w:cs="仿宋"/>
          <w:color w:val="auto"/>
          <w:sz w:val="24"/>
          <w:highlight w:val="none"/>
        </w:rPr>
        <w:t>联合协议或者分包意向协议约定小微企业的合同份额占到合同总金额30%以上的</w:t>
      </w:r>
      <w:bookmarkEnd w:id="16"/>
      <w:r>
        <w:rPr>
          <w:rFonts w:hint="eastAsia" w:ascii="仿宋" w:hAnsi="仿宋" w:eastAsia="仿宋" w:cs="仿宋"/>
          <w:color w:val="auto"/>
          <w:sz w:val="24"/>
          <w:highlight w:val="none"/>
        </w:rPr>
        <w:t>，对联合体或者大中型企业的报价给予4%-6%（</w:t>
      </w:r>
      <w:r>
        <w:rPr>
          <w:rFonts w:hint="eastAsia" w:ascii="仿宋" w:hAnsi="仿宋" w:eastAsia="仿宋" w:cs="仿宋"/>
          <w:snapToGrid w:val="0"/>
          <w:color w:val="auto"/>
          <w:kern w:val="28"/>
          <w:sz w:val="24"/>
          <w:highlight w:val="none"/>
        </w:rPr>
        <w:t>招标文件第四部分</w:t>
      </w:r>
      <w:r>
        <w:rPr>
          <w:rFonts w:hint="eastAsia" w:ascii="仿宋" w:hAnsi="仿宋" w:eastAsia="仿宋" w:cs="仿宋"/>
          <w:color w:val="auto"/>
          <w:sz w:val="24"/>
          <w:highlight w:val="none"/>
          <w:u w:val="single"/>
        </w:rPr>
        <w:t>评标办法明确具体的扣除比例，未明确的，</w:t>
      </w:r>
      <w:r>
        <w:rPr>
          <w:rFonts w:hint="eastAsia" w:ascii="仿宋" w:hAnsi="仿宋" w:eastAsia="仿宋" w:cs="仿宋"/>
          <w:color w:val="auto"/>
          <w:sz w:val="24"/>
          <w:highlight w:val="none"/>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3.5平等对待内外资企业和符合条件的破产重整企业</w:t>
      </w:r>
    </w:p>
    <w:p>
      <w:pPr>
        <w:spacing w:line="360" w:lineRule="auto"/>
        <w:ind w:firstLine="480" w:firstLineChars="200"/>
        <w:rPr>
          <w:rFonts w:ascii="仿宋" w:hAnsi="仿宋" w:eastAsia="仿宋" w:cs="仿宋"/>
          <w:b/>
          <w:color w:val="auto"/>
          <w:highlight w:val="none"/>
        </w:rPr>
      </w:pPr>
      <w:r>
        <w:rPr>
          <w:rFonts w:hint="eastAsia" w:ascii="仿宋" w:hAnsi="仿宋" w:eastAsia="仿宋" w:cs="仿宋"/>
          <w:color w:val="auto"/>
          <w:sz w:val="24"/>
          <w:highlight w:val="none"/>
        </w:rPr>
        <w:t>平等对待内外资企业和符合条件的破产重整企业，切实保障企业公平竞争，平等维护企业的合法利益。</w:t>
      </w:r>
      <w:r>
        <w:rPr>
          <w:rFonts w:hint="eastAsia" w:ascii="仿宋" w:hAnsi="仿宋" w:eastAsia="仿宋" w:cs="仿宋"/>
          <w:color w:val="auto"/>
          <w:sz w:val="24"/>
          <w:highlight w:val="none"/>
        </w:rPr>
        <w:cr/>
      </w:r>
      <w:r>
        <w:rPr>
          <w:rFonts w:hint="eastAsia" w:ascii="仿宋" w:hAnsi="仿宋" w:eastAsia="仿宋" w:cs="仿宋"/>
          <w:b/>
          <w:color w:val="auto"/>
          <w:highlight w:val="none"/>
        </w:rPr>
        <w:t>4.询问、质疑、投诉</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lang w:val="zh-CN"/>
        </w:rPr>
      </w:pPr>
      <w:r>
        <w:rPr>
          <w:rFonts w:hint="eastAsia" w:ascii="仿宋" w:hAnsi="仿宋" w:eastAsia="仿宋" w:cs="仿宋"/>
          <w:color w:val="auto"/>
          <w:highlight w:val="none"/>
          <w:lang w:val="zh-CN"/>
        </w:rPr>
        <w:t>4.1在线询问、质疑、投诉</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lang w:val="zh-CN"/>
        </w:rPr>
      </w:pPr>
      <w:r>
        <w:rPr>
          <w:rFonts w:hint="eastAsia" w:ascii="仿宋" w:hAnsi="仿宋" w:eastAsia="仿宋" w:cs="仿宋"/>
          <w:color w:val="auto"/>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4.2供应商询问</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4.3供应商质疑</w:t>
      </w:r>
    </w:p>
    <w:p>
      <w:pPr>
        <w:pStyle w:val="3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6"/>
        <w:spacing w:line="360" w:lineRule="auto"/>
        <w:ind w:firstLine="480" w:firstLineChars="200"/>
        <w:rPr>
          <w:rFonts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ascii="仿宋" w:hAnsi="仿宋" w:eastAsia="仿宋" w:cs="仿宋"/>
          <w:color w:val="auto"/>
          <w:sz w:val="24"/>
          <w:highlight w:val="none"/>
        </w:rPr>
      </w:pPr>
      <w:r>
        <w:rPr>
          <w:rFonts w:hint="eastAsia" w:ascii="仿宋" w:hAnsi="仿宋" w:eastAsia="仿宋" w:cs="仿宋"/>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w:t>
      </w:r>
      <w:r>
        <w:rPr>
          <w:rFonts w:hint="eastAsia" w:ascii="仿宋" w:hAnsi="仿宋" w:eastAsia="仿宋" w:cs="仿宋"/>
          <w:color w:val="auto"/>
          <w:sz w:val="24"/>
          <w:highlight w:val="none"/>
        </w:rPr>
        <w:t>供应商提出质疑应当提交质疑函和必要的证明材料。质疑函应当包括下列内容：</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4.3.3.1供应商的姓名或者名称、地址、邮编、联系人及联系电话；</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4.3.3.2质疑项目的名称、编号；</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4.3.3.3具体、明确的质疑事项和与质疑事项相关的请求；</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4.3.3.4事实依据；</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4.3.3.5必要的法律依据；</w:t>
      </w:r>
    </w:p>
    <w:p>
      <w:pPr>
        <w:pStyle w:val="34"/>
        <w:spacing w:line="360" w:lineRule="auto"/>
        <w:ind w:firstLine="960" w:firstLineChars="4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 w:hAnsi="仿宋" w:eastAsia="仿宋" w:cs="仿宋"/>
          <w:color w:val="auto"/>
          <w:highlight w:val="none"/>
          <w:lang w:val="zh-CN"/>
        </w:rPr>
      </w:pPr>
      <w:r>
        <w:rPr>
          <w:rFonts w:hint="eastAsia" w:ascii="仿宋" w:hAnsi="仿宋" w:eastAsia="仿宋" w:cs="仿宋"/>
          <w:color w:val="auto"/>
          <w:highlight w:val="none"/>
          <w:lang w:val="zh-CN"/>
        </w:rPr>
        <w:t>4.4供应商投诉</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4.4.</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129"/>
        <w:snapToGrid w:val="0"/>
        <w:spacing w:before="0"/>
        <w:ind w:firstLine="360"/>
        <w:rPr>
          <w:rFonts w:ascii="仿宋" w:hAnsi="仿宋" w:eastAsia="仿宋" w:cs="仿宋"/>
          <w:color w:val="auto"/>
          <w:sz w:val="18"/>
          <w:szCs w:val="18"/>
          <w:highlight w:val="none"/>
        </w:rPr>
      </w:pPr>
    </w:p>
    <w:p>
      <w:pPr>
        <w:adjustRightInd/>
        <w:spacing w:line="360" w:lineRule="auto"/>
        <w:jc w:val="center"/>
        <w:outlineLvl w:val="0"/>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6.招标文件的澄清、修改</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6.1已获取招标文件的潜在投标人，若有问题需要澄清，应于投标截止时间前，以书面形式向采购代理机构提出。</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7.招标文件的获取</w:t>
      </w:r>
    </w:p>
    <w:p>
      <w:pPr>
        <w:spacing w:line="360" w:lineRule="auto"/>
        <w:ind w:firstLine="480" w:firstLineChars="200"/>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16"/>
        <w:spacing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10.投标文件的语言</w:t>
      </w:r>
    </w:p>
    <w:p>
      <w:pPr>
        <w:autoSpaceDE w:val="0"/>
        <w:autoSpaceDN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11.投标文件的组成</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11.1.2</w:t>
      </w:r>
      <w:bookmarkStart w:id="17" w:name="_Hlk101259339"/>
      <w:r>
        <w:rPr>
          <w:rFonts w:hint="eastAsia" w:ascii="仿宋" w:hAnsi="仿宋" w:eastAsia="仿宋" w:cs="仿宋"/>
          <w:snapToGrid w:val="0"/>
          <w:color w:val="auto"/>
          <w:kern w:val="28"/>
          <w:sz w:val="24"/>
          <w:szCs w:val="20"/>
          <w:highlight w:val="none"/>
        </w:rPr>
        <w:t>联合协议</w:t>
      </w:r>
      <w:bookmarkEnd w:id="17"/>
      <w:r>
        <w:rPr>
          <w:rFonts w:hint="eastAsia" w:ascii="仿宋" w:hAnsi="仿宋" w:eastAsia="仿宋" w:cs="仿宋"/>
          <w:snapToGrid w:val="0"/>
          <w:color w:val="auto"/>
          <w:kern w:val="28"/>
          <w:sz w:val="24"/>
          <w:szCs w:val="20"/>
          <w:highlight w:val="none"/>
        </w:rPr>
        <w:t>（如果有)；</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11.1.3落实政府采购政策需满足的资格要求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11.1.4本项目的特定资格要求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11.2.3分包意向协议</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11.2.4符合性审查资料；</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11.2.5评标标准相应的商务技术资料；</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11.2.6投标标的清单；</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0" w:firstLineChars="200"/>
        <w:rPr>
          <w:rFonts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360" w:lineRule="auto"/>
        <w:ind w:firstLine="723" w:firstLineChars="300"/>
        <w:rPr>
          <w:rFonts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129"/>
        <w:snapToGrid w:val="0"/>
        <w:spacing w:before="0"/>
        <w:ind w:firstLine="0" w:firstLineChars="0"/>
        <w:outlineLvl w:val="0"/>
        <w:rPr>
          <w:rFonts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w:t>
      </w:r>
      <w:r>
        <w:rPr>
          <w:rFonts w:hint="eastAsia" w:ascii="仿宋" w:hAnsi="仿宋" w:eastAsia="仿宋" w:cs="仿宋"/>
          <w:b/>
          <w:color w:val="auto"/>
          <w:szCs w:val="24"/>
          <w:highlight w:val="none"/>
        </w:rPr>
        <w:t>投标文件的编制</w:t>
      </w:r>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129"/>
        <w:snapToGrid w:val="0"/>
        <w:spacing w:before="0"/>
        <w:ind w:firstLine="480"/>
        <w:rPr>
          <w:rFonts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129"/>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14.投标文件的提交、补充、修改、撤回</w:t>
      </w:r>
    </w:p>
    <w:p>
      <w:pPr>
        <w:pStyle w:val="129"/>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9"/>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4"/>
        <w:spacing w:line="360" w:lineRule="auto"/>
        <w:ind w:firstLine="360" w:firstLineChars="15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但采购人、采购代理机构不强制或变相强制投标人提交备份投标文件。</w:t>
      </w:r>
    </w:p>
    <w:p>
      <w:pPr>
        <w:pStyle w:val="34"/>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DVD光盘等存储介质</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15.5投标人仅提交备份投标文件，未在电子交易平台传输递交投标文件的，投标无效。</w:t>
      </w:r>
    </w:p>
    <w:p>
      <w:pPr>
        <w:pStyle w:val="129"/>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5"/>
        <w:spacing w:line="360" w:lineRule="auto"/>
        <w:ind w:firstLine="360" w:firstLineChars="150"/>
        <w:rPr>
          <w:rFonts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rPr>
        <w:t>4.2规定</w:t>
      </w:r>
      <w:r>
        <w:rPr>
          <w:rFonts w:hint="eastAsia" w:ascii="仿宋" w:hAnsi="仿宋" w:eastAsia="仿宋" w:cs="仿宋"/>
          <w:color w:val="auto"/>
          <w:szCs w:val="21"/>
          <w:highlight w:val="none"/>
        </w:rPr>
        <w:t>的情形之一的，投标无效：</w:t>
      </w:r>
    </w:p>
    <w:p>
      <w:pPr>
        <w:pStyle w:val="129"/>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129"/>
        <w:spacing w:before="0"/>
        <w:ind w:firstLine="480"/>
        <w:rPr>
          <w:rFonts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29"/>
        <w:spacing w:before="0"/>
        <w:ind w:firstLine="480"/>
        <w:rPr>
          <w:rFonts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9"/>
        <w:spacing w:before="0"/>
        <w:ind w:firstLine="480"/>
        <w:rPr>
          <w:rFonts w:ascii="仿宋" w:hAnsi="仿宋" w:eastAsia="仿宋" w:cs="仿宋"/>
          <w:color w:val="auto"/>
          <w:highlight w:val="none"/>
        </w:rPr>
      </w:pPr>
      <w:r>
        <w:rPr>
          <w:rFonts w:hint="eastAsia" w:ascii="仿宋" w:hAnsi="仿宋" w:eastAsia="仿宋" w:cs="仿宋"/>
          <w:color w:val="auto"/>
          <w:highlight w:val="none"/>
        </w:rPr>
        <w:t>17.4在投标截止时间起至投标有效期届满，供应商投标文件不可撤销。</w:t>
      </w:r>
    </w:p>
    <w:p>
      <w:pPr>
        <w:pStyle w:val="129"/>
        <w:spacing w:before="0"/>
        <w:ind w:firstLine="480"/>
        <w:rPr>
          <w:rFonts w:ascii="仿宋" w:hAnsi="仿宋" w:eastAsia="仿宋" w:cs="仿宋"/>
          <w:color w:val="auto"/>
          <w:highlight w:val="none"/>
        </w:rPr>
      </w:pPr>
    </w:p>
    <w:p>
      <w:pPr>
        <w:pStyle w:val="129"/>
        <w:spacing w:before="0"/>
        <w:ind w:firstLine="643"/>
        <w:rPr>
          <w:rFonts w:ascii="仿宋" w:hAnsi="仿宋" w:eastAsia="仿宋" w:cs="仿宋"/>
          <w:b/>
          <w:color w:val="auto"/>
          <w:sz w:val="32"/>
          <w:highlight w:val="none"/>
        </w:rPr>
      </w:pPr>
    </w:p>
    <w:p>
      <w:pPr>
        <w:pStyle w:val="129"/>
        <w:spacing w:before="0"/>
        <w:ind w:firstLine="1928" w:firstLineChars="600"/>
        <w:rPr>
          <w:rFonts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4"/>
        <w:spacing w:before="0" w:line="360" w:lineRule="auto"/>
        <w:ind w:left="0" w:firstLine="0"/>
        <w:contextualSpacing/>
        <w:rPr>
          <w:rFonts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554"/>
        <w:spacing w:before="0" w:line="360" w:lineRule="auto"/>
        <w:ind w:left="0" w:firstLine="480" w:firstLineChars="2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18.1采购代理机构按照招标文件规定的时间通过电子交易平台组织开标，所有投标人均应当准时在线参加。投标人不足3家的，不得开标。</w:t>
      </w:r>
    </w:p>
    <w:p>
      <w:pPr>
        <w:pStyle w:val="554"/>
        <w:spacing w:before="0" w:line="360" w:lineRule="auto"/>
        <w:ind w:left="0" w:firstLine="480" w:firstLineChars="2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18.2开标时，电子交易平台按开标时间自动提取所有投标文件。采购代理机构依托电子交易平台发起开始解密指令，投标人按照平台提示和招标文件的规定在半小时内完成在线解密。</w:t>
      </w:r>
    </w:p>
    <w:p>
      <w:pPr>
        <w:pStyle w:val="554"/>
        <w:spacing w:before="0" w:line="360" w:lineRule="auto"/>
        <w:ind w:left="0" w:firstLine="482" w:firstLineChars="200"/>
        <w:contextualSpacing/>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18.3投标文件未按时解密，投标人提供了备份投标文件的，以备份投标文件作为依据，否则视为投标文件撤回。投标文件已按时解密的，备份投标文件自动失效。</w:t>
      </w:r>
    </w:p>
    <w:p>
      <w:pPr>
        <w:pStyle w:val="554"/>
        <w:spacing w:before="0" w:line="360" w:lineRule="auto"/>
        <w:ind w:left="0" w:firstLine="0"/>
        <w:contextualSpacing/>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19、资格审查</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t>19.1</w:t>
      </w:r>
      <w:r>
        <w:rPr>
          <w:rFonts w:hint="eastAsia" w:ascii="仿宋" w:hAnsi="仿宋" w:eastAsia="仿宋" w:cs="仿宋"/>
          <w:color w:val="auto"/>
          <w:sz w:val="24"/>
          <w:highlight w:val="none"/>
        </w:rPr>
        <w:t>采购人或采购代理机构依据法律法规和招标文件的规定，对投标人的资格进行审查。</w:t>
      </w:r>
    </w:p>
    <w:p>
      <w:pPr>
        <w:pStyle w:val="129"/>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19.2投标人未按照招标文件要求提供与</w:t>
      </w:r>
      <w:r>
        <w:rPr>
          <w:rFonts w:hint="eastAsia" w:ascii="仿宋" w:hAnsi="仿宋" w:eastAsia="仿宋" w:cs="仿宋"/>
          <w:color w:val="auto"/>
          <w:highlight w:val="none"/>
        </w:rPr>
        <w:t>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129"/>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3对未通过资格审查的投标人，采购人或采购代理机构告知其未通过的原因。</w:t>
      </w:r>
    </w:p>
    <w:p>
      <w:pPr>
        <w:pStyle w:val="129"/>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4合格投标人不足3家的，不再评标。</w:t>
      </w:r>
    </w:p>
    <w:p>
      <w:pPr>
        <w:pStyle w:val="129"/>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129"/>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20.1信用信息查询渠道及截止时间：采购人或采购代理机构将在资格审查时通过“信用中国”网站(www.creditchina.gov.cn)、中国政府采购网(www.ccgp.gov.cn)渠道查询投标人接受资格审查时的信用记录。</w:t>
      </w:r>
    </w:p>
    <w:p>
      <w:pPr>
        <w:pStyle w:val="129"/>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129"/>
        <w:spacing w:before="0"/>
        <w:ind w:firstLine="0" w:firstLineChars="0"/>
        <w:rPr>
          <w:rFonts w:ascii="仿宋" w:hAnsi="仿宋" w:eastAsia="仿宋" w:cs="仿宋"/>
          <w:color w:val="auto"/>
          <w:kern w:val="0"/>
          <w:szCs w:val="24"/>
          <w:highlight w:val="none"/>
        </w:rPr>
      </w:pPr>
    </w:p>
    <w:p>
      <w:pPr>
        <w:snapToGrid w:val="0"/>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ascii="仿宋" w:hAnsi="仿宋" w:eastAsia="仿宋" w:cs="仿宋"/>
          <w:b/>
          <w:color w:val="auto"/>
          <w:sz w:val="24"/>
          <w:highlight w:val="none"/>
        </w:rPr>
      </w:pPr>
      <w:bookmarkStart w:id="18"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ascii="仿宋" w:hAnsi="仿宋" w:eastAsia="仿宋" w:cs="仿宋"/>
          <w:b/>
          <w:color w:val="auto"/>
          <w:sz w:val="24"/>
          <w:highlight w:val="none"/>
        </w:rPr>
      </w:pPr>
    </w:p>
    <w:p>
      <w:pPr>
        <w:snapToGrid w:val="0"/>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5"/>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22.确定中标供应商</w:t>
      </w:r>
    </w:p>
    <w:p>
      <w:pPr>
        <w:pStyle w:val="129"/>
        <w:snapToGrid w:val="0"/>
        <w:spacing w:before="0"/>
        <w:ind w:firstLine="480"/>
        <w:rPr>
          <w:rFonts w:ascii="仿宋" w:hAnsi="仿宋" w:eastAsia="仿宋" w:cs="仿宋"/>
          <w:b/>
          <w:color w:val="auto"/>
          <w:szCs w:val="24"/>
          <w:highlight w:val="none"/>
        </w:rPr>
      </w:pPr>
      <w:r>
        <w:rPr>
          <w:rFonts w:hint="eastAsia" w:ascii="仿宋" w:hAnsi="仿宋" w:eastAsia="仿宋" w:cs="仿宋"/>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napToGrid w:val="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23.中标通知与中标结果公告</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ascii="仿宋" w:hAnsi="仿宋" w:eastAsia="仿宋" w:cs="仿宋"/>
          <w:b/>
          <w:color w:val="auto"/>
          <w:sz w:val="32"/>
          <w:highlight w:val="none"/>
        </w:rPr>
      </w:pPr>
    </w:p>
    <w:p>
      <w:pPr>
        <w:snapToGrid w:val="0"/>
        <w:spacing w:line="360" w:lineRule="auto"/>
        <w:ind w:left="120" w:leftChars="57" w:firstLine="482" w:firstLineChars="150"/>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5"/>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24.</w:t>
      </w:r>
      <w:r>
        <w:rPr>
          <w:rFonts w:hint="eastAsia" w:ascii="仿宋" w:hAnsi="仿宋" w:eastAsia="仿宋" w:cs="仿宋"/>
          <w:color w:val="auto"/>
          <w:highlight w:val="none"/>
        </w:rPr>
        <w:t>合同主要条款详见第五部分拟签订的合同文本。</w:t>
      </w:r>
    </w:p>
    <w:p>
      <w:pPr>
        <w:pStyle w:val="25"/>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25.合同的签订</w:t>
      </w:r>
    </w:p>
    <w:p>
      <w:pPr>
        <w:widowControl/>
        <w:shd w:val="clear" w:color="auto" w:fill="FFFFFF"/>
        <w:spacing w:line="360" w:lineRule="auto"/>
        <w:ind w:firstLine="48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26.履约保证金</w:t>
      </w:r>
    </w:p>
    <w:p>
      <w:pPr>
        <w:tabs>
          <w:tab w:val="left" w:pos="0"/>
        </w:tabs>
        <w:spacing w:line="360" w:lineRule="auto"/>
        <w:ind w:firstLine="482"/>
        <w:rPr>
          <w:rFonts w:ascii="仿宋" w:hAnsi="仿宋" w:eastAsia="仿宋" w:cs="仿宋"/>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2"/>
        <w:ind w:left="0" w:firstLine="480" w:firstLineChars="200"/>
        <w:rPr>
          <w:rFonts w:ascii="仿宋" w:eastAsia="仿宋" w:cs="仿宋"/>
          <w:b w:val="0"/>
          <w:bCs w:val="0"/>
          <w:snapToGrid w:val="0"/>
          <w:color w:val="auto"/>
          <w:kern w:val="28"/>
          <w:sz w:val="24"/>
          <w:highlight w:val="none"/>
        </w:rPr>
      </w:pPr>
      <w:r>
        <w:rPr>
          <w:rFonts w:hint="eastAsia" w:ascii="仿宋" w:eastAsia="仿宋" w:cs="仿宋"/>
          <w:b w:val="0"/>
          <w:bCs w:val="0"/>
          <w:snapToGrid w:val="0"/>
          <w:color w:val="auto"/>
          <w:kern w:val="28"/>
          <w:sz w:val="24"/>
          <w:highlight w:val="none"/>
        </w:rPr>
        <w:t>供应商</w:t>
      </w:r>
      <w:r>
        <w:rPr>
          <w:rFonts w:hint="eastAsia" w:ascii="仿宋" w:eastAsia="仿宋" w:cs="仿宋"/>
          <w:b w:val="0"/>
          <w:bCs w:val="0"/>
          <w:snapToGrid w:val="0"/>
          <w:color w:val="auto"/>
          <w:kern w:val="28"/>
          <w:sz w:val="24"/>
          <w:highlight w:val="none"/>
          <w:lang w:val="en-US"/>
        </w:rPr>
        <w:t>可</w:t>
      </w:r>
      <w:r>
        <w:rPr>
          <w:rFonts w:hint="eastAsia" w:asci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rFonts w:ascii="仿宋" w:eastAsia="仿宋" w:cs="仿宋"/>
          <w:color w:val="auto"/>
          <w:highlight w:val="none"/>
        </w:rPr>
      </w:pPr>
      <w:r>
        <w:rPr>
          <w:rFonts w:hint="eastAsia" w:ascii="仿宋" w:eastAsia="仿宋" w:cs="仿宋"/>
          <w:color w:val="auto"/>
          <w:sz w:val="24"/>
          <w:highlight w:val="none"/>
          <w:lang w:val="en-US"/>
        </w:rPr>
        <w:t>27.预付款</w:t>
      </w:r>
    </w:p>
    <w:p>
      <w:pPr>
        <w:adjustRightInd/>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ascii="仿宋" w:hAnsi="仿宋" w:eastAsia="仿宋" w:cs="仿宋"/>
          <w:color w:val="auto"/>
          <w:highlight w:val="none"/>
        </w:rPr>
      </w:pPr>
    </w:p>
    <w:p>
      <w:pPr>
        <w:snapToGrid w:val="0"/>
        <w:spacing w:line="360" w:lineRule="auto"/>
        <w:ind w:firstLine="3357" w:firstLineChars="1045"/>
        <w:rPr>
          <w:rFonts w:ascii="仿宋" w:hAnsi="仿宋" w:eastAsia="仿宋" w:cs="仿宋"/>
          <w:b/>
          <w:color w:val="auto"/>
          <w:sz w:val="32"/>
          <w:highlight w:val="none"/>
        </w:rPr>
      </w:pPr>
    </w:p>
    <w:p>
      <w:pPr>
        <w:snapToGrid w:val="0"/>
        <w:spacing w:line="360" w:lineRule="auto"/>
        <w:ind w:firstLine="3357" w:firstLineChars="1045"/>
        <w:rPr>
          <w:rFonts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29"/>
        <w:snapToGrid w:val="0"/>
        <w:spacing w:before="0"/>
        <w:ind w:firstLine="0" w:firstLineChars="0"/>
        <w:rPr>
          <w:rFonts w:ascii="仿宋" w:hAnsi="仿宋" w:eastAsia="仿宋" w:cs="仿宋"/>
          <w:color w:val="auto"/>
          <w:highlight w:val="none"/>
        </w:rPr>
      </w:pPr>
      <w:r>
        <w:rPr>
          <w:rFonts w:hint="eastAsia" w:ascii="仿宋" w:hAnsi="仿宋" w:eastAsia="仿宋" w:cs="仿宋"/>
          <w:b/>
          <w:bCs/>
          <w:color w:val="auto"/>
          <w:highlight w:val="none"/>
        </w:rPr>
        <w:t>2</w:t>
      </w:r>
      <w:r>
        <w:rPr>
          <w:rFonts w:hint="eastAsia" w:ascii="仿宋" w:hAnsi="仿宋" w:eastAsia="仿宋" w:cs="仿宋"/>
          <w:b/>
          <w:bCs/>
          <w:color w:val="auto"/>
          <w:szCs w:val="24"/>
          <w:highlight w:val="none"/>
        </w:rPr>
        <w:t>8</w:t>
      </w:r>
      <w:r>
        <w:rPr>
          <w:rFonts w:hint="eastAsia" w:ascii="仿宋" w:hAnsi="仿宋" w:eastAsia="仿宋" w:cs="仿宋"/>
          <w:b/>
          <w:color w:val="auto"/>
          <w:szCs w:val="24"/>
          <w:highlight w:val="none"/>
        </w:rPr>
        <w:t>.电子交易活动的中止。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采购过程中出现以下情形，导致电子交易平台无法正常运行，或者无法保证电子交易的公平、公正和安全时，采购代理机构可中止电子交易活动：</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 xml:space="preserve">28.1电子交易平台发生故障而无法登录访问的； </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28.2电子交易平台应用或数据库出现错误，不能进行正常操作的；</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28.3电子交易平台发现严重安全漏洞，有潜在泄密危险的；</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 xml:space="preserve">28.4病毒发作导致不能进行正常操作的； </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28.5其他无法保证电子交易的公平、公正和安全的情况。</w:t>
      </w:r>
    </w:p>
    <w:p>
      <w:pPr>
        <w:pStyle w:val="129"/>
        <w:snapToGrid w:val="0"/>
        <w:spacing w:before="0"/>
        <w:ind w:firstLine="0" w:firstLineChars="0"/>
        <w:rPr>
          <w:rFonts w:ascii="仿宋" w:hAnsi="仿宋" w:eastAsia="仿宋" w:cs="仿宋"/>
          <w:color w:val="auto"/>
          <w:highlight w:val="none"/>
        </w:rPr>
      </w:pPr>
      <w:r>
        <w:rPr>
          <w:rFonts w:hint="eastAsia" w:ascii="仿宋" w:hAnsi="仿宋" w:eastAsia="仿宋" w:cs="仿宋"/>
          <w:b/>
          <w:bCs/>
          <w:color w:val="auto"/>
          <w:highlight w:val="none"/>
        </w:rPr>
        <w:t>29.</w:t>
      </w:r>
      <w:r>
        <w:rPr>
          <w:rFonts w:hint="eastAsia" w:ascii="仿宋" w:hAnsi="仿宋" w:eastAsia="仿宋" w:cs="仿宋"/>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color w:val="auto"/>
          <w:sz w:val="24"/>
          <w:highlight w:val="none"/>
        </w:rPr>
      </w:pPr>
    </w:p>
    <w:p>
      <w:pPr>
        <w:snapToGrid w:val="0"/>
        <w:spacing w:line="360" w:lineRule="auto"/>
        <w:ind w:left="120" w:leftChars="57" w:firstLine="482" w:firstLineChars="150"/>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5"/>
        <w:spacing w:line="360" w:lineRule="auto"/>
        <w:ind w:firstLine="0" w:firstLineChars="0"/>
        <w:rPr>
          <w:rFonts w:ascii="仿宋" w:hAnsi="仿宋" w:eastAsia="仿宋" w:cs="仿宋"/>
          <w:b/>
          <w:color w:val="auto"/>
          <w:highlight w:val="none"/>
        </w:rPr>
      </w:pPr>
      <w:r>
        <w:rPr>
          <w:rFonts w:hint="eastAsia" w:ascii="仿宋" w:hAnsi="仿宋" w:eastAsia="仿宋" w:cs="仿宋"/>
          <w:b/>
          <w:color w:val="auto"/>
          <w:highlight w:val="none"/>
        </w:rPr>
        <w:t>30.验收</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color w:val="auto"/>
          <w:sz w:val="18"/>
          <w:szCs w:val="18"/>
          <w:highlight w:val="none"/>
        </w:rPr>
      </w:pPr>
      <w:r>
        <w:rPr>
          <w:rFonts w:hint="eastAsia" w:ascii="仿宋" w:hAnsi="仿宋" w:eastAsia="仿宋" w:cs="仿宋"/>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68073093"/>
      <w:bookmarkEnd w:id="19"/>
      <w:bookmarkStart w:id="20" w:name="_Hlt75236101"/>
      <w:bookmarkEnd w:id="20"/>
      <w:bookmarkStart w:id="21" w:name="_Hlt68072990"/>
      <w:bookmarkEnd w:id="21"/>
      <w:bookmarkStart w:id="22" w:name="_Hlt68057669"/>
      <w:bookmarkEnd w:id="22"/>
      <w:bookmarkStart w:id="23" w:name="_Hlt74707468"/>
      <w:bookmarkEnd w:id="23"/>
      <w:bookmarkStart w:id="24" w:name="_Hlt68072998"/>
      <w:bookmarkEnd w:id="24"/>
      <w:bookmarkStart w:id="25" w:name="_Hlt74729768"/>
      <w:bookmarkEnd w:id="25"/>
      <w:bookmarkStart w:id="26" w:name="_Hlt68403820"/>
      <w:bookmarkEnd w:id="26"/>
      <w:bookmarkStart w:id="27" w:name="_Hlt74730295"/>
      <w:bookmarkEnd w:id="27"/>
      <w:bookmarkStart w:id="28" w:name="_Hlt75236290"/>
      <w:bookmarkEnd w:id="28"/>
      <w:bookmarkStart w:id="29" w:name="_Hlt75236011"/>
      <w:bookmarkEnd w:id="29"/>
      <w:bookmarkStart w:id="30" w:name="_Hlt74714665"/>
      <w:bookmarkEnd w:id="30"/>
    </w:p>
    <w:bookmarkEnd w:id="13"/>
    <w:bookmarkEnd w:id="14"/>
    <w:p>
      <w:pPr>
        <w:spacing w:line="360" w:lineRule="auto"/>
        <w:jc w:val="center"/>
        <w:outlineLvl w:val="0"/>
        <w:rPr>
          <w:rFonts w:ascii="仿宋" w:hAnsi="仿宋" w:eastAsia="仿宋" w:cs="仿宋"/>
          <w:b/>
          <w:color w:val="auto"/>
          <w:sz w:val="36"/>
          <w:szCs w:val="36"/>
          <w:highlight w:val="none"/>
        </w:rPr>
      </w:pPr>
      <w:bookmarkStart w:id="31" w:name="第四部分"/>
      <w:r>
        <w:rPr>
          <w:rFonts w:hint="eastAsia" w:ascii="仿宋" w:hAnsi="仿宋" w:eastAsia="仿宋" w:cs="仿宋"/>
          <w:b/>
          <w:color w:val="auto"/>
          <w:sz w:val="36"/>
          <w:szCs w:val="36"/>
          <w:highlight w:val="none"/>
        </w:rPr>
        <w:t>第三部分   采购需求</w:t>
      </w:r>
    </w:p>
    <w:p>
      <w:pPr>
        <w:snapToGrid w:val="0"/>
        <w:rPr>
          <w:rStyle w:val="962"/>
          <w:rFonts w:ascii="仿宋" w:hAnsi="仿宋" w:eastAsia="仿宋" w:cs="仿宋"/>
          <w:color w:val="auto"/>
          <w:highlight w:val="none"/>
        </w:rPr>
      </w:pPr>
      <w:r>
        <w:rPr>
          <w:rStyle w:val="962"/>
          <w:rFonts w:hint="eastAsia" w:ascii="仿宋" w:hAnsi="仿宋" w:eastAsia="仿宋" w:cs="仿宋"/>
          <w:color w:val="auto"/>
          <w:highlight w:val="none"/>
        </w:rPr>
        <w:t>属于实质性要求条款的，请用符号“▲”标明，否则属于非实质性要求。</w:t>
      </w:r>
    </w:p>
    <w:p>
      <w:pPr>
        <w:snapToGrid w:val="0"/>
        <w:rPr>
          <w:rStyle w:val="962"/>
          <w:rFonts w:ascii="仿宋" w:hAnsi="仿宋" w:eastAsia="仿宋" w:cs="仿宋"/>
          <w:color w:val="auto"/>
          <w:highlight w:val="none"/>
        </w:rPr>
      </w:pPr>
      <w:r>
        <w:rPr>
          <w:rStyle w:val="962"/>
          <w:rFonts w:hint="eastAsia" w:ascii="仿宋" w:hAnsi="仿宋" w:eastAsia="仿宋" w:cs="仿宋"/>
          <w:color w:val="auto"/>
          <w:highlight w:val="none"/>
        </w:rPr>
        <w:t>“★”系产品采购项目中单一产品或核心产品。</w:t>
      </w:r>
    </w:p>
    <w:p>
      <w:pPr>
        <w:pStyle w:val="2"/>
        <w:rPr>
          <w:rFonts w:ascii="仿宋" w:eastAsia="仿宋" w:cs="仿宋"/>
          <w:color w:val="auto"/>
          <w:highlight w:val="none"/>
        </w:rPr>
      </w:pPr>
    </w:p>
    <w:p>
      <w:pPr>
        <w:pStyle w:val="2"/>
        <w:ind w:left="630" w:hanging="630"/>
        <w:jc w:val="center"/>
        <w:rPr>
          <w:rFonts w:ascii="仿宋" w:eastAsia="仿宋" w:cs="仿宋"/>
          <w:color w:val="auto"/>
          <w:highlight w:val="none"/>
        </w:rPr>
      </w:pPr>
      <w:r>
        <w:rPr>
          <w:rFonts w:ascii="仿宋" w:eastAsia="仿宋" w:cs="仿宋"/>
          <w:color w:val="auto"/>
          <w:highlight w:val="none"/>
        </w:rPr>
        <w:t>一、</w:t>
      </w:r>
      <w:r>
        <w:rPr>
          <w:rFonts w:hint="eastAsia" w:ascii="仿宋" w:eastAsia="仿宋" w:cs="仿宋"/>
          <w:color w:val="auto"/>
          <w:highlight w:val="none"/>
        </w:rPr>
        <w:t>招标一览表</w:t>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标项一：杭州市萧山区第一人民医院医共体总院（杭州市萧山区第一人民医院）中央空调系统智能化改造项目 </w:t>
      </w:r>
    </w:p>
    <w:tbl>
      <w:tblPr>
        <w:tblStyle w:val="63"/>
        <w:tblpPr w:leftFromText="180" w:rightFromText="180" w:vertAnchor="text" w:horzAnchor="margin" w:tblpY="63"/>
        <w:tblOverlap w:val="never"/>
        <w:tblW w:w="8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9"/>
        <w:gridCol w:w="2907"/>
        <w:gridCol w:w="758"/>
        <w:gridCol w:w="664"/>
        <w:gridCol w:w="1270"/>
        <w:gridCol w:w="1460"/>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5" w:hRule="atLeast"/>
        </w:trPr>
        <w:tc>
          <w:tcPr>
            <w:tcW w:w="529" w:type="dxa"/>
            <w:tcMar>
              <w:top w:w="15" w:type="dxa"/>
              <w:left w:w="15" w:type="dxa"/>
              <w:bottom w:w="0" w:type="dxa"/>
              <w:right w:w="15" w:type="dxa"/>
            </w:tcMar>
            <w:vAlign w:val="center"/>
          </w:tcPr>
          <w:p>
            <w:pPr>
              <w:tabs>
                <w:tab w:val="left" w:pos="0"/>
              </w:tabs>
              <w:snapToGrid w:val="0"/>
              <w:jc w:val="center"/>
              <w:rPr>
                <w:rFonts w:ascii="仿宋" w:hAnsi="仿宋" w:eastAsia="仿宋" w:cs="仿宋"/>
                <w:color w:val="auto"/>
                <w:highlight w:val="none"/>
              </w:rPr>
            </w:pPr>
            <w:r>
              <w:rPr>
                <w:rFonts w:hint="eastAsia" w:ascii="仿宋" w:hAnsi="仿宋" w:eastAsia="仿宋" w:cs="仿宋"/>
                <w:color w:val="auto"/>
                <w:highlight w:val="none"/>
              </w:rPr>
              <w:t>序号</w:t>
            </w:r>
          </w:p>
        </w:tc>
        <w:tc>
          <w:tcPr>
            <w:tcW w:w="2907" w:type="dxa"/>
            <w:tcMar>
              <w:top w:w="15" w:type="dxa"/>
              <w:left w:w="15" w:type="dxa"/>
              <w:bottom w:w="0" w:type="dxa"/>
              <w:right w:w="15" w:type="dxa"/>
            </w:tcMar>
            <w:vAlign w:val="center"/>
          </w:tcPr>
          <w:p>
            <w:pPr>
              <w:tabs>
                <w:tab w:val="left" w:pos="0"/>
              </w:tabs>
              <w:snapToGrid w:val="0"/>
              <w:jc w:val="center"/>
              <w:rPr>
                <w:rFonts w:ascii="仿宋" w:hAnsi="仿宋" w:eastAsia="仿宋" w:cs="仿宋"/>
                <w:color w:val="auto"/>
                <w:highlight w:val="none"/>
              </w:rPr>
            </w:pPr>
            <w:r>
              <w:rPr>
                <w:rFonts w:hint="eastAsia" w:ascii="仿宋" w:hAnsi="仿宋" w:eastAsia="仿宋" w:cs="仿宋"/>
                <w:color w:val="auto"/>
                <w:highlight w:val="none"/>
              </w:rPr>
              <w:t>名称</w:t>
            </w:r>
          </w:p>
        </w:tc>
        <w:tc>
          <w:tcPr>
            <w:tcW w:w="758" w:type="dxa"/>
            <w:tcMar>
              <w:top w:w="15" w:type="dxa"/>
              <w:left w:w="15" w:type="dxa"/>
              <w:bottom w:w="0" w:type="dxa"/>
              <w:right w:w="15" w:type="dxa"/>
            </w:tcMar>
            <w:vAlign w:val="center"/>
          </w:tcPr>
          <w:p>
            <w:pPr>
              <w:tabs>
                <w:tab w:val="left" w:pos="0"/>
              </w:tabs>
              <w:snapToGrid w:val="0"/>
              <w:jc w:val="center"/>
              <w:rPr>
                <w:rFonts w:ascii="仿宋" w:hAnsi="仿宋" w:eastAsia="仿宋" w:cs="仿宋"/>
                <w:color w:val="auto"/>
                <w:highlight w:val="none"/>
              </w:rPr>
            </w:pPr>
            <w:r>
              <w:rPr>
                <w:rFonts w:hint="eastAsia" w:ascii="仿宋" w:hAnsi="仿宋" w:eastAsia="仿宋" w:cs="仿宋"/>
                <w:color w:val="auto"/>
                <w:highlight w:val="none"/>
              </w:rPr>
              <w:t>数量</w:t>
            </w:r>
          </w:p>
        </w:tc>
        <w:tc>
          <w:tcPr>
            <w:tcW w:w="664" w:type="dxa"/>
            <w:tcMar>
              <w:top w:w="15" w:type="dxa"/>
              <w:left w:w="15" w:type="dxa"/>
              <w:bottom w:w="0" w:type="dxa"/>
              <w:right w:w="15" w:type="dxa"/>
            </w:tcMar>
            <w:vAlign w:val="center"/>
          </w:tcPr>
          <w:p>
            <w:pPr>
              <w:tabs>
                <w:tab w:val="left" w:pos="0"/>
              </w:tabs>
              <w:snapToGrid w:val="0"/>
              <w:jc w:val="center"/>
              <w:rPr>
                <w:rFonts w:ascii="仿宋" w:hAnsi="仿宋" w:eastAsia="仿宋" w:cs="仿宋"/>
                <w:color w:val="auto"/>
                <w:highlight w:val="none"/>
              </w:rPr>
            </w:pPr>
            <w:r>
              <w:rPr>
                <w:rFonts w:hint="eastAsia" w:ascii="仿宋" w:hAnsi="仿宋" w:eastAsia="仿宋" w:cs="仿宋"/>
                <w:color w:val="auto"/>
                <w:highlight w:val="none"/>
              </w:rPr>
              <w:t>单位</w:t>
            </w:r>
          </w:p>
        </w:tc>
        <w:tc>
          <w:tcPr>
            <w:tcW w:w="1270" w:type="dxa"/>
            <w:vAlign w:val="center"/>
          </w:tcPr>
          <w:p>
            <w:pPr>
              <w:tabs>
                <w:tab w:val="left" w:pos="0"/>
              </w:tabs>
              <w:snapToGrid w:val="0"/>
              <w:jc w:val="center"/>
              <w:rPr>
                <w:rFonts w:ascii="仿宋" w:hAnsi="仿宋" w:eastAsia="仿宋" w:cs="仿宋"/>
                <w:color w:val="auto"/>
                <w:highlight w:val="none"/>
              </w:rPr>
            </w:pPr>
            <w:r>
              <w:rPr>
                <w:rFonts w:hint="eastAsia" w:ascii="仿宋" w:hAnsi="仿宋" w:eastAsia="仿宋" w:cs="仿宋"/>
                <w:color w:val="auto"/>
                <w:highlight w:val="none"/>
              </w:rPr>
              <w:t>预算</w:t>
            </w:r>
          </w:p>
          <w:p>
            <w:pPr>
              <w:tabs>
                <w:tab w:val="left" w:pos="0"/>
              </w:tabs>
              <w:snapToGrid w:val="0"/>
              <w:jc w:val="center"/>
              <w:rPr>
                <w:rFonts w:ascii="仿宋" w:hAnsi="仿宋" w:eastAsia="仿宋" w:cs="仿宋"/>
                <w:color w:val="auto"/>
                <w:highlight w:val="none"/>
              </w:rPr>
            </w:pPr>
            <w:r>
              <w:rPr>
                <w:rFonts w:hint="eastAsia" w:ascii="仿宋" w:hAnsi="仿宋" w:eastAsia="仿宋" w:cs="仿宋"/>
                <w:color w:val="auto"/>
                <w:highlight w:val="none"/>
              </w:rPr>
              <w:t>（单位：元）</w:t>
            </w:r>
          </w:p>
        </w:tc>
        <w:tc>
          <w:tcPr>
            <w:tcW w:w="1460" w:type="dxa"/>
            <w:vAlign w:val="center"/>
          </w:tcPr>
          <w:p>
            <w:pPr>
              <w:tabs>
                <w:tab w:val="left" w:pos="0"/>
              </w:tabs>
              <w:snapToGrid w:val="0"/>
              <w:jc w:val="center"/>
              <w:rPr>
                <w:rFonts w:ascii="仿宋" w:hAnsi="仿宋" w:eastAsia="仿宋" w:cs="仿宋"/>
                <w:color w:val="auto"/>
                <w:highlight w:val="none"/>
              </w:rPr>
            </w:pPr>
            <w:r>
              <w:rPr>
                <w:rFonts w:hint="eastAsia" w:ascii="仿宋" w:hAnsi="仿宋" w:eastAsia="仿宋" w:cs="仿宋"/>
                <w:color w:val="auto"/>
                <w:highlight w:val="none"/>
              </w:rPr>
              <w:t>简要规格描述或基本情况介绍</w:t>
            </w:r>
          </w:p>
        </w:tc>
        <w:tc>
          <w:tcPr>
            <w:tcW w:w="1188" w:type="dxa"/>
            <w:vAlign w:val="center"/>
          </w:tcPr>
          <w:p>
            <w:pPr>
              <w:tabs>
                <w:tab w:val="left" w:pos="0"/>
              </w:tabs>
              <w:snapToGrid w:val="0"/>
              <w:jc w:val="center"/>
              <w:rPr>
                <w:rFonts w:ascii="仿宋" w:hAnsi="仿宋" w:eastAsia="仿宋" w:cs="仿宋"/>
                <w:color w:val="auto"/>
                <w:highlight w:val="none"/>
              </w:rPr>
            </w:pPr>
            <w:r>
              <w:rPr>
                <w:rFonts w:hint="eastAsia" w:ascii="仿宋" w:hAnsi="仿宋" w:eastAsia="仿宋" w:cs="仿宋"/>
                <w:color w:val="auto"/>
                <w:highlight w:val="none"/>
              </w:rPr>
              <w:t>最高限价</w:t>
            </w:r>
          </w:p>
          <w:p>
            <w:pPr>
              <w:tabs>
                <w:tab w:val="left" w:pos="0"/>
              </w:tabs>
              <w:snapToGrid w:val="0"/>
              <w:jc w:val="center"/>
              <w:rPr>
                <w:rFonts w:ascii="仿宋" w:hAnsi="仿宋" w:eastAsia="仿宋" w:cs="仿宋"/>
                <w:color w:val="auto"/>
                <w:highlight w:val="none"/>
              </w:rPr>
            </w:pPr>
            <w:r>
              <w:rPr>
                <w:rFonts w:hint="eastAsia" w:ascii="仿宋" w:hAnsi="仿宋" w:eastAsia="仿宋" w:cs="仿宋"/>
                <w:color w:val="auto"/>
                <w:highlight w:val="none"/>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3" w:hRule="atLeast"/>
        </w:trPr>
        <w:tc>
          <w:tcPr>
            <w:tcW w:w="529" w:type="dxa"/>
            <w:tcMar>
              <w:top w:w="15" w:type="dxa"/>
              <w:left w:w="15" w:type="dxa"/>
              <w:bottom w:w="0" w:type="dxa"/>
              <w:right w:w="15" w:type="dxa"/>
            </w:tcMar>
            <w:vAlign w:val="center"/>
          </w:tcPr>
          <w:p>
            <w:pPr>
              <w:tabs>
                <w:tab w:val="left" w:pos="0"/>
              </w:tabs>
              <w:jc w:val="center"/>
              <w:rPr>
                <w:rFonts w:ascii="仿宋" w:hAnsi="仿宋" w:eastAsia="仿宋" w:cs="仿宋"/>
                <w:color w:val="auto"/>
                <w:highlight w:val="none"/>
              </w:rPr>
            </w:pPr>
            <w:r>
              <w:rPr>
                <w:rFonts w:hint="eastAsia" w:ascii="仿宋" w:hAnsi="仿宋" w:eastAsia="仿宋" w:cs="仿宋"/>
                <w:color w:val="auto"/>
                <w:highlight w:val="none"/>
              </w:rPr>
              <w:t>1</w:t>
            </w:r>
          </w:p>
        </w:tc>
        <w:tc>
          <w:tcPr>
            <w:tcW w:w="2907" w:type="dxa"/>
            <w:tcMar>
              <w:top w:w="15" w:type="dxa"/>
              <w:left w:w="15" w:type="dxa"/>
              <w:bottom w:w="0" w:type="dxa"/>
              <w:right w:w="15" w:type="dxa"/>
            </w:tcMar>
            <w:vAlign w:val="center"/>
          </w:tcPr>
          <w:p>
            <w:pPr>
              <w:jc w:val="center"/>
              <w:rPr>
                <w:rFonts w:ascii="仿宋" w:hAnsi="仿宋" w:eastAsia="仿宋" w:cs="仿宋"/>
                <w:color w:val="auto"/>
                <w:highlight w:val="none"/>
              </w:rPr>
            </w:pPr>
            <w:r>
              <w:rPr>
                <w:rFonts w:hint="eastAsia" w:ascii="仿宋" w:hAnsi="仿宋" w:eastAsia="仿宋" w:cs="仿宋"/>
                <w:color w:val="auto"/>
                <w:highlight w:val="none"/>
              </w:rPr>
              <w:t xml:space="preserve">杭州市萧山区第一人民医院医共体总院（杭州市萧山区第一人民医院）中央空调系统智能化改造项目 </w:t>
            </w:r>
          </w:p>
        </w:tc>
        <w:tc>
          <w:tcPr>
            <w:tcW w:w="758" w:type="dxa"/>
            <w:tcMar>
              <w:top w:w="15" w:type="dxa"/>
              <w:left w:w="15" w:type="dxa"/>
              <w:bottom w:w="0" w:type="dxa"/>
              <w:right w:w="15" w:type="dxa"/>
            </w:tcMar>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1</w:t>
            </w:r>
          </w:p>
        </w:tc>
        <w:tc>
          <w:tcPr>
            <w:tcW w:w="664" w:type="dxa"/>
            <w:tcMar>
              <w:top w:w="15" w:type="dxa"/>
              <w:left w:w="15" w:type="dxa"/>
              <w:bottom w:w="0" w:type="dxa"/>
              <w:right w:w="15" w:type="dxa"/>
            </w:tcMar>
            <w:vAlign w:val="center"/>
          </w:tcPr>
          <w:p>
            <w:pPr>
              <w:jc w:val="center"/>
              <w:textAlignment w:val="center"/>
              <w:rPr>
                <w:rFonts w:ascii="仿宋" w:hAnsi="仿宋" w:eastAsia="仿宋" w:cs="仿宋"/>
                <w:color w:val="auto"/>
                <w:highlight w:val="none"/>
              </w:rPr>
            </w:pPr>
            <w:r>
              <w:rPr>
                <w:rFonts w:hint="eastAsia" w:ascii="仿宋" w:hAnsi="仿宋" w:eastAsia="仿宋" w:cs="仿宋"/>
                <w:color w:val="auto"/>
                <w:highlight w:val="none"/>
              </w:rPr>
              <w:t>批</w:t>
            </w:r>
          </w:p>
        </w:tc>
        <w:tc>
          <w:tcPr>
            <w:tcW w:w="1270" w:type="dxa"/>
            <w:vAlign w:val="center"/>
          </w:tcPr>
          <w:p>
            <w:pPr>
              <w:jc w:val="center"/>
              <w:rPr>
                <w:rFonts w:ascii="仿宋" w:hAnsi="仿宋" w:eastAsia="仿宋" w:cs="仿宋"/>
                <w:color w:val="auto"/>
                <w:highlight w:val="none"/>
              </w:rPr>
            </w:pPr>
            <w:r>
              <w:rPr>
                <w:rFonts w:hint="eastAsia" w:ascii="仿宋" w:hAnsi="仿宋" w:eastAsia="仿宋" w:cs="仿宋"/>
                <w:color w:val="auto"/>
                <w:highlight w:val="none"/>
              </w:rPr>
              <w:t>800000.00</w:t>
            </w:r>
          </w:p>
        </w:tc>
        <w:tc>
          <w:tcPr>
            <w:tcW w:w="1460" w:type="dxa"/>
            <w:vAlign w:val="center"/>
          </w:tcPr>
          <w:p>
            <w:pPr>
              <w:tabs>
                <w:tab w:val="left" w:pos="0"/>
              </w:tabs>
              <w:jc w:val="center"/>
              <w:rPr>
                <w:rFonts w:ascii="仿宋" w:hAnsi="仿宋" w:eastAsia="仿宋" w:cs="仿宋"/>
                <w:color w:val="auto"/>
                <w:highlight w:val="none"/>
              </w:rPr>
            </w:pPr>
            <w:r>
              <w:rPr>
                <w:rFonts w:hint="eastAsia" w:ascii="仿宋" w:hAnsi="仿宋" w:eastAsia="仿宋" w:cs="仿宋"/>
                <w:color w:val="auto"/>
                <w:highlight w:val="none"/>
              </w:rPr>
              <w:t>详见采购需求</w:t>
            </w:r>
          </w:p>
        </w:tc>
        <w:tc>
          <w:tcPr>
            <w:tcW w:w="1188" w:type="dxa"/>
            <w:vAlign w:val="center"/>
          </w:tcPr>
          <w:p>
            <w:pPr>
              <w:jc w:val="center"/>
              <w:rPr>
                <w:rFonts w:ascii="仿宋" w:hAnsi="仿宋" w:eastAsia="仿宋" w:cs="仿宋"/>
                <w:color w:val="auto"/>
                <w:highlight w:val="none"/>
              </w:rPr>
            </w:pPr>
            <w:r>
              <w:rPr>
                <w:rFonts w:hint="eastAsia" w:ascii="仿宋" w:hAnsi="仿宋" w:eastAsia="仿宋" w:cs="仿宋"/>
                <w:color w:val="auto"/>
                <w:highlight w:val="none"/>
              </w:rPr>
              <w:t>800000.00</w:t>
            </w:r>
          </w:p>
        </w:tc>
      </w:tr>
    </w:tbl>
    <w:p>
      <w:pPr>
        <w:pStyle w:val="2"/>
        <w:ind w:left="630" w:hanging="630"/>
        <w:jc w:val="center"/>
        <w:rPr>
          <w:rFonts w:ascii="仿宋" w:eastAsia="仿宋" w:cs="仿宋"/>
          <w:color w:val="auto"/>
          <w:highlight w:val="none"/>
        </w:rPr>
      </w:pPr>
    </w:p>
    <w:p>
      <w:pPr>
        <w:pStyle w:val="2"/>
        <w:ind w:left="630" w:hanging="630"/>
        <w:jc w:val="center"/>
        <w:rPr>
          <w:rFonts w:ascii="仿宋" w:eastAsia="仿宋" w:cs="仿宋"/>
          <w:color w:val="auto"/>
          <w:highlight w:val="none"/>
        </w:rPr>
      </w:pPr>
      <w:r>
        <w:rPr>
          <w:rFonts w:ascii="仿宋" w:eastAsia="仿宋" w:cs="仿宋"/>
          <w:color w:val="auto"/>
          <w:highlight w:val="none"/>
        </w:rPr>
        <w:t>二、</w:t>
      </w:r>
      <w:r>
        <w:rPr>
          <w:rFonts w:hint="eastAsia" w:ascii="仿宋" w:eastAsia="仿宋" w:cs="仿宋"/>
          <w:color w:val="auto"/>
          <w:highlight w:val="none"/>
        </w:rPr>
        <w:t>采购需求</w:t>
      </w:r>
    </w:p>
    <w:p>
      <w:pPr>
        <w:rPr>
          <w:rFonts w:ascii="仿宋" w:hAnsi="仿宋" w:eastAsia="仿宋" w:cs="仿宋"/>
          <w:color w:val="auto"/>
          <w:highlight w:val="none"/>
        </w:rPr>
      </w:pPr>
    </w:p>
    <w:p>
      <w:pPr>
        <w:widowControl/>
        <w:tabs>
          <w:tab w:val="left" w:pos="0"/>
        </w:tabs>
        <w:snapToGrid w:val="0"/>
        <w:spacing w:line="50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（一）技术需求：</w:t>
      </w:r>
    </w:p>
    <w:p>
      <w:pPr>
        <w:spacing w:line="500" w:lineRule="exact"/>
        <w:rPr>
          <w:rFonts w:ascii="仿宋" w:hAnsi="仿宋" w:eastAsia="仿宋" w:cs="仿宋"/>
          <w:b/>
          <w:bCs/>
          <w:color w:val="auto"/>
          <w:sz w:val="24"/>
          <w:highlight w:val="none"/>
        </w:rPr>
      </w:pPr>
      <w:bookmarkStart w:id="32" w:name="_Toc145329803"/>
      <w:r>
        <w:rPr>
          <w:rFonts w:hint="eastAsia" w:ascii="仿宋" w:hAnsi="仿宋" w:eastAsia="仿宋" w:cs="仿宋"/>
          <w:b/>
          <w:bCs/>
          <w:color w:val="auto"/>
          <w:sz w:val="24"/>
          <w:highlight w:val="none"/>
        </w:rPr>
        <w:t>1、项目内容</w:t>
      </w:r>
      <w:bookmarkEnd w:id="32"/>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通过优化改造，提升冷源系统的控制方式和效率，包括但不限于以下方面：</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（1）系统监控与数据采集：引入先进的监控系统，实现对冷源系统的实时监测和数据采集；</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（2）控制策略优化：根据医院的实际需求，优化和改进冷源系统的控制策略，提高系统的运行效率；</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（3）设备更新与升级：对冷源系统的关键设备进行必要的更新和升级，提高设备的性能和可靠性。</w:t>
      </w:r>
    </w:p>
    <w:p>
      <w:pPr>
        <w:spacing w:line="500" w:lineRule="exact"/>
        <w:rPr>
          <w:rFonts w:ascii="仿宋" w:hAnsi="仿宋" w:eastAsia="仿宋" w:cs="仿宋"/>
          <w:b/>
          <w:bCs/>
          <w:color w:val="auto"/>
          <w:sz w:val="24"/>
          <w:highlight w:val="none"/>
        </w:rPr>
      </w:pPr>
      <w:bookmarkStart w:id="33" w:name="_Toc145329804"/>
      <w:r>
        <w:rPr>
          <w:rFonts w:hint="eastAsia" w:ascii="仿宋" w:hAnsi="仿宋" w:eastAsia="仿宋" w:cs="仿宋"/>
          <w:b/>
          <w:bCs/>
          <w:color w:val="auto"/>
          <w:sz w:val="24"/>
          <w:highlight w:val="none"/>
        </w:rPr>
        <w:t>2、项目要求</w:t>
      </w:r>
      <w:bookmarkEnd w:id="33"/>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1）本项目为改造本院1套冷源群控系统，控制系统采用独立的控制装置。投标人必须提供系统内完整的软、硬件（包括群控系统内部及外部的全部通讯光缆和电缆）设备，满足采购人以及冷站实际运行工况要求。</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（2）节能群控系统范围（包括但不限于）：</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①制冷机组及辅助设备的监测和自动控制；</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②能源计量、能源管理等功能。</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ascii="仿宋" w:hAnsi="仿宋" w:eastAsia="仿宋" w:cs="仿宋"/>
          <w:color w:val="auto"/>
          <w:sz w:val="24"/>
          <w:highlight w:val="none"/>
        </w:rPr>
        <w:t>3）</w:t>
      </w:r>
      <w:r>
        <w:rPr>
          <w:rFonts w:hint="eastAsia" w:ascii="仿宋" w:hAnsi="仿宋" w:eastAsia="仿宋" w:cs="仿宋"/>
          <w:color w:val="auto"/>
          <w:sz w:val="24"/>
          <w:highlight w:val="none"/>
        </w:rPr>
        <w:t>节能群控系统应易于组态、易于使用、易于扩展，采用</w:t>
      </w:r>
      <w:r>
        <w:rPr>
          <w:rFonts w:ascii="仿宋" w:hAnsi="仿宋" w:eastAsia="仿宋" w:cs="仿宋"/>
          <w:color w:val="auto"/>
          <w:sz w:val="24"/>
          <w:highlight w:val="none"/>
        </w:rPr>
        <w:t>B/S（浏览器/服务器）网络结构，系统为两层网络结构，分别为管理层和控制层，两层网络均应具有足够的开放性且应易于扩展。投标人必须为将来运营和维护中可能发生的变化提供便利，并预留与其他系统的通讯接口。</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（4）投标人提供的设备，其质量标准应一致，要求机柜尺寸、颜色、外形结构相同，其机柜颜色由采购人指定。所有外部接线至少满足1mm 2线芯截面的接线要求。如采购人发现投标人所供节能群控系统不满足本项目的技术条款，采购人有权要求投标人修改或增加，为此引起的一切费用和后果由投标人承担。</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（5）应按照集中管理和分散控制的原则，每台智能控制柜中，均应包含独立的主智能控制单元、低压控制回路、低压配电回路、变频器回路，宜为电气及控制一体化产品。</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（6）节能群控系统应是先进、可靠的，且性能稳定的。所选产品应通过3C认证，并被证明具有成熟的技术和成功的运行案例。</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（7）控制系统对操作的要求应满足:</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①控制系统设备应遵循“人性化”的设计理念，系统软、硬件设计都应从操作使用的方便出发，提供中文软件界面，以及非常直观的图形和图表,使操作人员易懂、易学、易用，让不熟悉计算机的人员也能快速掌握和操作整个系统，很快胜任运行管理工作。</w:t>
      </w:r>
    </w:p>
    <w:p>
      <w:pPr>
        <w:spacing w:line="500" w:lineRule="exact"/>
        <w:ind w:firstLine="420" w:firstLineChars="175"/>
        <w:rPr>
          <w:rFonts w:hint="eastAsia" w:ascii="仿宋" w:hAnsi="仿宋" w:eastAsia="仿宋" w:cs="仿宋"/>
          <w:color w:val="auto"/>
          <w:sz w:val="24"/>
          <w:highlight w:val="none"/>
        </w:rPr>
      </w:pPr>
      <w:r>
        <w:rPr>
          <w:rFonts w:hint="eastAsia" w:ascii="仿宋" w:hAnsi="仿宋" w:eastAsia="仿宋" w:cs="仿宋"/>
          <w:color w:val="auto"/>
          <w:sz w:val="24"/>
          <w:highlight w:val="none"/>
        </w:rPr>
        <w:t>②提供功能化的组态软件，可实现相关设备关联控制方案的调整或变更。具备较高的灵活性，现场无须二次编程，以设备工厂阶段已进行仿真模拟调试最佳，避免工程的繁琐性。</w:t>
      </w:r>
    </w:p>
    <w:p>
      <w:pPr>
        <w:spacing w:line="500" w:lineRule="exact"/>
        <w:ind w:firstLine="422" w:firstLineChars="175"/>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lang w:val="en-US" w:eastAsia="zh-CN"/>
        </w:rPr>
        <w:t>8</w:t>
      </w: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lang w:val="en-US" w:eastAsia="zh-CN"/>
        </w:rPr>
        <w:t>团队人员要求</w:t>
      </w:r>
    </w:p>
    <w:p>
      <w:pPr>
        <w:spacing w:line="500" w:lineRule="exact"/>
        <w:ind w:firstLine="420" w:firstLineChars="17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要求投标人</w:t>
      </w:r>
      <w:r>
        <w:rPr>
          <w:rFonts w:hint="eastAsia" w:ascii="仿宋" w:hAnsi="仿宋" w:eastAsia="仿宋" w:cs="仿宋"/>
          <w:color w:val="auto"/>
          <w:sz w:val="24"/>
          <w:highlight w:val="none"/>
        </w:rPr>
        <w:t>派驻现场项目经理1人</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安全员1人</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技术负责人1人</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现场施工</w:t>
      </w:r>
      <w:r>
        <w:rPr>
          <w:rFonts w:hint="eastAsia" w:ascii="仿宋" w:hAnsi="仿宋" w:eastAsia="仿宋" w:cs="仿宋"/>
          <w:color w:val="auto"/>
          <w:sz w:val="24"/>
          <w:highlight w:val="none"/>
          <w:lang w:val="en-US" w:eastAsia="zh-CN"/>
        </w:rPr>
        <w:t>人员</w:t>
      </w:r>
      <w:r>
        <w:rPr>
          <w:rFonts w:hint="eastAsia" w:ascii="仿宋" w:hAnsi="仿宋" w:eastAsia="仿宋" w:cs="仿宋"/>
          <w:color w:val="auto"/>
          <w:sz w:val="24"/>
          <w:highlight w:val="none"/>
        </w:rPr>
        <w:t>不少于5人</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且</w:t>
      </w:r>
      <w:r>
        <w:rPr>
          <w:rFonts w:hint="eastAsia" w:ascii="仿宋" w:hAnsi="仿宋" w:eastAsia="仿宋" w:cs="仿宋"/>
          <w:color w:val="auto"/>
          <w:sz w:val="24"/>
          <w:highlight w:val="none"/>
          <w:lang w:val="en-US" w:eastAsia="zh-CN"/>
        </w:rPr>
        <w:t>人员需按照国家或行业标准</w:t>
      </w:r>
      <w:r>
        <w:rPr>
          <w:rFonts w:hint="eastAsia" w:ascii="仿宋" w:hAnsi="仿宋" w:eastAsia="仿宋" w:cs="仿宋"/>
          <w:color w:val="auto"/>
          <w:sz w:val="24"/>
          <w:highlight w:val="none"/>
        </w:rPr>
        <w:t>具备</w:t>
      </w:r>
      <w:r>
        <w:rPr>
          <w:rFonts w:hint="eastAsia" w:ascii="仿宋" w:hAnsi="仿宋" w:eastAsia="仿宋" w:cs="仿宋"/>
          <w:color w:val="auto"/>
          <w:sz w:val="24"/>
          <w:highlight w:val="none"/>
          <w:lang w:val="en-US" w:eastAsia="zh-CN"/>
        </w:rPr>
        <w:t>对应的</w:t>
      </w:r>
      <w:r>
        <w:rPr>
          <w:rFonts w:hint="eastAsia" w:ascii="仿宋" w:hAnsi="仿宋" w:eastAsia="仿宋" w:cs="仿宋"/>
          <w:color w:val="auto"/>
          <w:sz w:val="24"/>
          <w:highlight w:val="none"/>
        </w:rPr>
        <w:t>证书</w:t>
      </w:r>
      <w:r>
        <w:rPr>
          <w:rFonts w:hint="eastAsia" w:ascii="仿宋" w:hAnsi="仿宋" w:eastAsia="仿宋" w:cs="仿宋"/>
          <w:color w:val="auto"/>
          <w:sz w:val="24"/>
          <w:highlight w:val="none"/>
          <w:lang w:eastAsia="zh-CN"/>
        </w:rPr>
        <w:t>。</w:t>
      </w:r>
    </w:p>
    <w:p>
      <w:pPr>
        <w:spacing w:line="500" w:lineRule="exact"/>
        <w:rPr>
          <w:rFonts w:ascii="仿宋" w:hAnsi="仿宋" w:eastAsia="仿宋" w:cs="仿宋"/>
          <w:b/>
          <w:bCs/>
          <w:color w:val="auto"/>
          <w:sz w:val="24"/>
          <w:highlight w:val="none"/>
        </w:rPr>
      </w:pPr>
      <w:bookmarkStart w:id="34" w:name="_Toc145329805"/>
      <w:r>
        <w:rPr>
          <w:rFonts w:hint="eastAsia" w:ascii="仿宋" w:hAnsi="仿宋" w:eastAsia="仿宋" w:cs="仿宋"/>
          <w:b/>
          <w:bCs/>
          <w:color w:val="auto"/>
          <w:sz w:val="24"/>
          <w:highlight w:val="none"/>
        </w:rPr>
        <w:t>3、改造范围</w:t>
      </w:r>
      <w:bookmarkEnd w:id="34"/>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杭州市萧山区第一人民医院1号楼冷源机房</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杭州市萧山区第一人民医院2、3号楼住院病房空调</w:t>
      </w:r>
    </w:p>
    <w:p>
      <w:pPr>
        <w:spacing w:line="500" w:lineRule="exact"/>
        <w:rPr>
          <w:rFonts w:ascii="仿宋" w:hAnsi="仿宋" w:eastAsia="仿宋" w:cs="仿宋"/>
          <w:b/>
          <w:bCs/>
          <w:color w:val="auto"/>
          <w:sz w:val="24"/>
          <w:highlight w:val="none"/>
        </w:rPr>
      </w:pPr>
      <w:bookmarkStart w:id="35" w:name="_Toc13144323"/>
      <w:bookmarkStart w:id="36" w:name="_Toc145329806"/>
      <w:r>
        <w:rPr>
          <w:rFonts w:hint="eastAsia" w:ascii="仿宋" w:hAnsi="仿宋" w:eastAsia="仿宋" w:cs="仿宋"/>
          <w:b/>
          <w:bCs/>
          <w:color w:val="auto"/>
          <w:sz w:val="24"/>
          <w:highlight w:val="none"/>
        </w:rPr>
        <w:t>4、工作</w:t>
      </w:r>
      <w:bookmarkEnd w:id="35"/>
      <w:r>
        <w:rPr>
          <w:rFonts w:hint="eastAsia" w:ascii="仿宋" w:hAnsi="仿宋" w:eastAsia="仿宋" w:cs="仿宋"/>
          <w:b/>
          <w:bCs/>
          <w:color w:val="auto"/>
          <w:sz w:val="24"/>
          <w:highlight w:val="none"/>
        </w:rPr>
        <w:t>界面</w:t>
      </w:r>
      <w:bookmarkEnd w:id="36"/>
    </w:p>
    <w:p>
      <w:pPr>
        <w:spacing w:line="500" w:lineRule="exact"/>
        <w:ind w:firstLine="422" w:firstLineChars="175"/>
        <w:rPr>
          <w:rFonts w:ascii="仿宋" w:hAnsi="仿宋" w:eastAsia="仿宋" w:cs="仿宋"/>
          <w:b/>
          <w:bCs/>
          <w:color w:val="auto"/>
          <w:sz w:val="24"/>
          <w:highlight w:val="none"/>
        </w:rPr>
      </w:pPr>
      <w:r>
        <w:rPr>
          <w:rFonts w:hint="eastAsia" w:ascii="仿宋" w:hAnsi="仿宋" w:eastAsia="仿宋" w:cs="仿宋"/>
          <w:b/>
          <w:bCs/>
          <w:color w:val="auto"/>
          <w:sz w:val="24"/>
          <w:highlight w:val="none"/>
        </w:rPr>
        <w:t>（1）机房的节能改造及远程集中控制管理：</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负责PLC控制柜的供货及调试；</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负责相关仪表、阀门的供货及安装；</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负责校验现有电动阀门的故障校验及接线；</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负责PLC控制柜、水泵控制柜相关的桥架、线缆的敷设与接线；</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（2）负责实现通过1号楼冷源控制系统监管2、3号楼多联机（包含新风机）能通过冷源机房计算机监管病房中温控面板，保证冬季温度设定≤20℃、夏季温度设定≥26℃限制；</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（3）负责中央集中控制系统搭建及编程、组态、调试工作；</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（4）负责所提供软件、控制器、执行器、仪表等设备的运输、保管；</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（5）负责所有系统的成品保护；</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（6）负责改造内容所有的线缆、线管和桥架的施工和采购。</w:t>
      </w:r>
    </w:p>
    <w:p>
      <w:pPr>
        <w:spacing w:line="500" w:lineRule="exact"/>
        <w:rPr>
          <w:rFonts w:ascii="仿宋" w:hAnsi="仿宋" w:eastAsia="仿宋" w:cs="仿宋"/>
          <w:b/>
          <w:bCs/>
          <w:color w:val="auto"/>
          <w:sz w:val="24"/>
          <w:highlight w:val="none"/>
        </w:rPr>
      </w:pPr>
      <w:bookmarkStart w:id="37" w:name="_Toc145329808"/>
      <w:r>
        <w:rPr>
          <w:rFonts w:hint="eastAsia" w:ascii="仿宋" w:hAnsi="仿宋" w:eastAsia="仿宋" w:cs="仿宋"/>
          <w:b/>
          <w:bCs/>
          <w:color w:val="auto"/>
          <w:sz w:val="24"/>
          <w:highlight w:val="none"/>
        </w:rPr>
        <w:t>5、技术要求</w:t>
      </w:r>
      <w:bookmarkEnd w:id="37"/>
      <w:bookmarkStart w:id="38" w:name="_Toc383676378"/>
      <w:bookmarkStart w:id="39" w:name="_Toc483659843"/>
      <w:bookmarkStart w:id="40" w:name="_Toc419443366"/>
    </w:p>
    <w:bookmarkEnd w:id="38"/>
    <w:bookmarkEnd w:id="39"/>
    <w:bookmarkEnd w:id="40"/>
    <w:tbl>
      <w:tblPr>
        <w:tblStyle w:val="63"/>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7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10" w:type="pct"/>
            <w:shd w:val="clear" w:color="auto" w:fill="auto"/>
            <w:noWrap/>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4589" w:type="pct"/>
            <w:shd w:val="clear" w:color="auto" w:fill="auto"/>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10" w:type="pct"/>
            <w:shd w:val="clear" w:color="auto" w:fill="auto"/>
            <w:noWrap/>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w:t>
            </w:r>
          </w:p>
        </w:tc>
        <w:tc>
          <w:tcPr>
            <w:tcW w:w="4589" w:type="pct"/>
            <w:shd w:val="clear" w:color="auto" w:fill="auto"/>
            <w:vAlign w:val="center"/>
          </w:tcPr>
          <w:p>
            <w:pPr>
              <w:keepLines/>
              <w:widowControl/>
              <w:adjustRightInd/>
              <w:spacing w:line="360" w:lineRule="exact"/>
              <w:jc w:val="left"/>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▲目标实现机房整体全年冷源综合能效指标</w:t>
            </w:r>
            <w:r>
              <w:rPr>
                <w:rFonts w:ascii="仿宋" w:hAnsi="仿宋" w:eastAsia="仿宋" w:cs="仿宋"/>
                <w:b/>
                <w:bCs/>
                <w:color w:val="auto"/>
                <w:kern w:val="0"/>
                <w:sz w:val="24"/>
                <w:szCs w:val="24"/>
                <w:highlight w:val="none"/>
              </w:rPr>
              <w:t>SCOP达到4.0，计算方式为SCOP=全年制冷量/（冷水机组全年耗电量+冷冻水泵全年耗电量+冷却水泵全年耗电量+冷却塔全年耗电量）。</w:t>
            </w:r>
            <w:r>
              <w:rPr>
                <w:rFonts w:hint="eastAsia" w:ascii="仿宋" w:hAnsi="仿宋" w:eastAsia="仿宋" w:cs="仿宋"/>
                <w:b/>
                <w:bCs/>
                <w:color w:val="auto"/>
                <w:kern w:val="0"/>
                <w:sz w:val="24"/>
                <w:highlight w:val="none"/>
              </w:rPr>
              <w:t>（投标人需在商务技术文件中以承诺的形式响应，承诺格式自拟。）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10" w:type="pct"/>
            <w:shd w:val="clear" w:color="auto" w:fill="auto"/>
            <w:noWrap/>
            <w:vAlign w:val="center"/>
          </w:tcPr>
          <w:p>
            <w:pPr>
              <w:keepLines/>
              <w:widowControl/>
              <w:adjustRightInd/>
              <w:spacing w:line="36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2</w:t>
            </w:r>
          </w:p>
        </w:tc>
        <w:tc>
          <w:tcPr>
            <w:tcW w:w="4589" w:type="pct"/>
            <w:shd w:val="clear" w:color="auto" w:fill="auto"/>
            <w:vAlign w:val="center"/>
          </w:tcPr>
          <w:p>
            <w:pPr>
              <w:keepLines/>
              <w:widowControl/>
              <w:adjustRightInd/>
              <w:spacing w:line="360" w:lineRule="exact"/>
              <w:jc w:val="left"/>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▲软件产品不得使用盗版，中标后需提供相关厂家软件授权书，自主产品提供相关软件著作权</w:t>
            </w:r>
            <w:r>
              <w:rPr>
                <w:rFonts w:hint="eastAsia" w:ascii="仿宋" w:hAnsi="仿宋" w:eastAsia="仿宋" w:cs="仿宋"/>
                <w:b/>
                <w:bCs/>
                <w:color w:val="auto"/>
                <w:kern w:val="0"/>
                <w:sz w:val="24"/>
                <w:highlight w:val="none"/>
              </w:rPr>
              <w:t>。（投标人需在商务技术文件中以承诺的形式响应，承诺函格式自拟。）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10" w:type="pct"/>
            <w:shd w:val="clear" w:color="auto" w:fill="auto"/>
            <w:noWrap/>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4589" w:type="pct"/>
            <w:shd w:val="clear" w:color="auto" w:fill="auto"/>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0" w:hRule="atLeast"/>
        </w:trPr>
        <w:tc>
          <w:tcPr>
            <w:tcW w:w="410" w:type="pct"/>
            <w:shd w:val="clear" w:color="auto" w:fill="auto"/>
            <w:noWrap/>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w:t>
            </w:r>
          </w:p>
        </w:tc>
        <w:tc>
          <w:tcPr>
            <w:tcW w:w="4589" w:type="pct"/>
            <w:shd w:val="clear" w:color="auto" w:fill="auto"/>
            <w:vAlign w:val="center"/>
          </w:tcPr>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系统对节能控制的要求应达到</w:t>
            </w:r>
            <w:r>
              <w:rPr>
                <w:rFonts w:ascii="仿宋" w:hAnsi="仿宋" w:eastAsia="仿宋" w:cs="仿宋"/>
                <w:color w:val="auto"/>
                <w:kern w:val="0"/>
                <w:sz w:val="24"/>
                <w:szCs w:val="24"/>
                <w:highlight w:val="none"/>
              </w:rPr>
              <w:t>:</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①控制软件应突出节能降耗的特性，具有专门的节能优化算法模块，通过有效的能量优化算法及控制方式，达到较高的节能效果，降低空调系统冷量生产的能耗成本，提高系统长期运行的经济性。</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②本系统采用变流量控制。自控系统采用基于实时负荷需求的自动控制运行系统，对冷源机房进行高效节能控制，自动耦合运行、调节，实现负荷需求与供给能量相匹配从而达到最大限度的节能。</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③对冷水机组、冷却塔及冷冻冷却水泵进行集群控制，通过寻找最佳冷却水工况，从而使冷源机房整体设备效率最高，达到系统能效比最高。</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④能根据冷水机组、水泵和冷却塔的最佳性能及系统实时负荷需求自动决定设备运行台数及最佳组合方式，从而实现设备优选控制，达到运行效率最高。</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⑤系统实现在线机组能效监测，实时进行测量和分析，保证系统整体高效运行。测量内容包括但不限于以下内容：</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szCs w:val="24"/>
                <w:highlight w:val="none"/>
              </w:rPr>
              <w:t>制冷机房系统的总用电量；</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highlight w:val="none"/>
              </w:rPr>
              <w:t>2）</w:t>
            </w:r>
            <w:r>
              <w:rPr>
                <w:rFonts w:hint="eastAsia" w:ascii="仿宋" w:hAnsi="仿宋" w:eastAsia="仿宋" w:cs="仿宋"/>
                <w:color w:val="auto"/>
                <w:kern w:val="0"/>
                <w:sz w:val="24"/>
                <w:szCs w:val="24"/>
                <w:highlight w:val="none"/>
              </w:rPr>
              <w:t>冷水供水温度、回水温度、流量；</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szCs w:val="24"/>
                <w:highlight w:val="none"/>
              </w:rPr>
              <w:t>冷却水供水温度、回水温度、流量、冷却水补水量；</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highlight w:val="none"/>
              </w:rPr>
              <w:t>4）</w:t>
            </w:r>
            <w:r>
              <w:rPr>
                <w:rFonts w:hint="eastAsia" w:ascii="仿宋" w:hAnsi="仿宋" w:eastAsia="仿宋" w:cs="仿宋"/>
                <w:color w:val="auto"/>
                <w:kern w:val="0"/>
                <w:sz w:val="24"/>
                <w:szCs w:val="24"/>
                <w:highlight w:val="none"/>
              </w:rPr>
              <w:t>室外空气干球温度和湿球温度；</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highlight w:val="none"/>
              </w:rPr>
              <w:t>5）</w:t>
            </w:r>
            <w:r>
              <w:rPr>
                <w:rFonts w:hint="eastAsia" w:ascii="仿宋" w:hAnsi="仿宋" w:eastAsia="仿宋" w:cs="仿宋"/>
                <w:color w:val="auto"/>
                <w:kern w:val="0"/>
                <w:sz w:val="24"/>
                <w:szCs w:val="24"/>
                <w:highlight w:val="none"/>
              </w:rPr>
              <w:t>各台冷水机组的用电量；</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highlight w:val="none"/>
              </w:rPr>
              <w:t>6）</w:t>
            </w:r>
            <w:r>
              <w:rPr>
                <w:rFonts w:hint="eastAsia" w:ascii="仿宋" w:hAnsi="仿宋" w:eastAsia="仿宋" w:cs="仿宋"/>
                <w:color w:val="auto"/>
                <w:kern w:val="0"/>
                <w:sz w:val="24"/>
                <w:szCs w:val="24"/>
                <w:highlight w:val="none"/>
              </w:rPr>
              <w:t>各台冷水机组的冷水供水温度、回水温度、供回水压差、流量；</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highlight w:val="none"/>
              </w:rPr>
              <w:t>7）</w:t>
            </w:r>
            <w:r>
              <w:rPr>
                <w:rFonts w:hint="eastAsia" w:ascii="仿宋" w:hAnsi="仿宋" w:eastAsia="仿宋" w:cs="仿宋"/>
                <w:color w:val="auto"/>
                <w:kern w:val="0"/>
                <w:sz w:val="24"/>
                <w:szCs w:val="24"/>
                <w:highlight w:val="none"/>
              </w:rPr>
              <w:t>各台冷水机组的冷却水供水温度、回水温度、供回水压差、流量；</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highlight w:val="none"/>
              </w:rPr>
              <w:t>8）</w:t>
            </w:r>
            <w:r>
              <w:rPr>
                <w:rFonts w:hint="eastAsia" w:ascii="仿宋" w:hAnsi="仿宋" w:eastAsia="仿宋" w:cs="仿宋"/>
                <w:color w:val="auto"/>
                <w:kern w:val="0"/>
                <w:sz w:val="24"/>
                <w:szCs w:val="24"/>
                <w:highlight w:val="none"/>
              </w:rPr>
              <w:t>各台冷水泵和冷却水泵的用电量、运行频率、进出口压差；</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highlight w:val="none"/>
              </w:rPr>
              <w:t>9）</w:t>
            </w:r>
            <w:r>
              <w:rPr>
                <w:rFonts w:hint="eastAsia" w:ascii="仿宋" w:hAnsi="仿宋" w:eastAsia="仿宋" w:cs="仿宋"/>
                <w:color w:val="auto"/>
                <w:kern w:val="0"/>
                <w:sz w:val="24"/>
                <w:szCs w:val="24"/>
                <w:highlight w:val="none"/>
              </w:rPr>
              <w:t>各台冷却塔的冷却水进水温度、出水温度；</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highlight w:val="none"/>
              </w:rPr>
              <w:t>10）</w:t>
            </w:r>
            <w:r>
              <w:rPr>
                <w:rFonts w:hint="eastAsia" w:ascii="仿宋" w:hAnsi="仿宋" w:eastAsia="仿宋" w:cs="仿宋"/>
                <w:color w:val="auto"/>
                <w:kern w:val="0"/>
                <w:sz w:val="24"/>
                <w:szCs w:val="24"/>
                <w:highlight w:val="none"/>
              </w:rPr>
              <w:t>各台冷却塔风机的用电量、运行频率。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10" w:type="pct"/>
            <w:shd w:val="clear" w:color="auto" w:fill="auto"/>
            <w:noWrap/>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2</w:t>
            </w:r>
          </w:p>
        </w:tc>
        <w:tc>
          <w:tcPr>
            <w:tcW w:w="4589" w:type="pct"/>
            <w:shd w:val="clear" w:color="auto" w:fill="auto"/>
            <w:vAlign w:val="center"/>
          </w:tcPr>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人采用的自控系统及设备应具有先进性、稳定性、安全性、开放性。必须保证冷水机组、冷却塔、冷水泵、冷却水泵、电动阀门及传感器在设计要求的参数下安全可靠地运行，并能达到降低冷源系统整体能耗及经济运行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0" w:type="pct"/>
            <w:shd w:val="clear" w:color="auto" w:fill="auto"/>
            <w:noWrap/>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3</w:t>
            </w:r>
          </w:p>
        </w:tc>
        <w:tc>
          <w:tcPr>
            <w:tcW w:w="4589" w:type="pct"/>
            <w:shd w:val="clear" w:color="auto" w:fill="auto"/>
            <w:vAlign w:val="center"/>
          </w:tcPr>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节能群控系统所用的元器件，应符合相关的标准。应尽可能采用标准元器件。</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1.1温度传感器（水系统）：供电：24VDC/AC，兼容三线制电流、电压、RS485输出，温度测量范围-20～80℃，温度精度不低于：±0.2℃，探头长度150mm，壳体采用ABS+PC的材质，防火等级UL94-V0,防护等级IP65,管道式安装。</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1.2压力传感器（水系统）：24V DC供电，输出：4～20mA二线制，测量范围：0～1.2Mpa，精度不低于：±0.25%FS，工作温度：-20~80 </w:t>
            </w:r>
            <w:r>
              <w:rPr>
                <w:rFonts w:hint="eastAsia" w:ascii="仿宋" w:hAnsi="仿宋" w:eastAsia="仿宋" w:cs="仿宋"/>
                <w:color w:val="auto"/>
                <w:kern w:val="0"/>
                <w:sz w:val="24"/>
                <w:szCs w:val="24"/>
                <w:highlight w:val="none"/>
              </w:rPr>
              <w:t>℃，螺纹接口</w:t>
            </w:r>
            <w:r>
              <w:rPr>
                <w:rFonts w:ascii="仿宋" w:hAnsi="仿宋" w:eastAsia="仿宋" w:cs="仿宋"/>
                <w:color w:val="auto"/>
                <w:kern w:val="0"/>
                <w:sz w:val="24"/>
                <w:szCs w:val="24"/>
                <w:highlight w:val="none"/>
              </w:rPr>
              <w:t>G1/2，IP65。</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1.3干湿球温度监测仪：供电电压：DC24V输出信号：4-20mA，室外温度测量范围与精度：-40-60℃，精度不低于±0.3℃，室外湿度测量范围与精度：0-100%RH，精度不低于±3% RH防护等级：IP65配置室外防护罩，保障传感器的环境可靠性。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410" w:type="pct"/>
            <w:shd w:val="clear" w:color="auto" w:fill="auto"/>
            <w:noWrap/>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4</w:t>
            </w:r>
          </w:p>
        </w:tc>
        <w:tc>
          <w:tcPr>
            <w:tcW w:w="4589" w:type="pct"/>
            <w:shd w:val="clear" w:color="auto" w:fill="auto"/>
            <w:vAlign w:val="center"/>
          </w:tcPr>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控制柜要求</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控制柜内都应配置有独立的电源，</w:t>
            </w:r>
            <w:r>
              <w:rPr>
                <w:rFonts w:ascii="仿宋" w:hAnsi="仿宋" w:eastAsia="仿宋" w:cs="仿宋"/>
                <w:color w:val="auto"/>
                <w:kern w:val="0"/>
                <w:sz w:val="24"/>
                <w:szCs w:val="24"/>
                <w:highlight w:val="none"/>
              </w:rPr>
              <w:t>I/O接口模块、通讯模块等，控制柜内都应配置、开关器件、断路器、接触器、指示灯等。</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1）控制柜全部柜架及内层隔板钢板厚度不小于2mm</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2）所有电气部件都要使用编号标签（如继电器，开关等）。编号标签需打印清晰，不允许使用手写。编号标签要放在安装板上便于操作人员辨认的地方。</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3）控制柜内有专门盛放图纸的卡槽。</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4）柜体防护等级不应低于IP45,在柜体上开槽开孔时不应降低柜体原有的防护等级。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10" w:type="pct"/>
            <w:shd w:val="clear" w:color="auto" w:fill="auto"/>
            <w:noWrap/>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5</w:t>
            </w:r>
          </w:p>
        </w:tc>
        <w:tc>
          <w:tcPr>
            <w:tcW w:w="4589" w:type="pct"/>
            <w:shd w:val="clear" w:color="auto" w:fill="auto"/>
            <w:vAlign w:val="center"/>
          </w:tcPr>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节能群控系统的人机接口应采用计算机显示和输入操作的方式，并提供全中文的软件界面，以及直观的图形和图表，使操作人员易懂、易学、易用。系统具有友好的、易于操作的中文图形用户界面（</w:t>
            </w:r>
            <w:r>
              <w:rPr>
                <w:rFonts w:ascii="仿宋" w:hAnsi="仿宋" w:eastAsia="仿宋" w:cs="仿宋"/>
                <w:color w:val="auto"/>
                <w:kern w:val="0"/>
                <w:sz w:val="24"/>
                <w:szCs w:val="24"/>
                <w:highlight w:val="none"/>
              </w:rPr>
              <w:t>GUI）。</w:t>
            </w:r>
            <w:r>
              <w:rPr>
                <w:rFonts w:hint="eastAsia" w:ascii="仿宋" w:hAnsi="仿宋" w:eastAsia="仿宋" w:cs="仿宋"/>
                <w:color w:val="auto"/>
                <w:kern w:val="0"/>
                <w:sz w:val="24"/>
                <w:highlight w:val="none"/>
              </w:rPr>
              <w:t>集中控制柜上设不小于</w:t>
            </w:r>
            <w:r>
              <w:rPr>
                <w:rFonts w:ascii="仿宋" w:hAnsi="仿宋" w:eastAsia="仿宋" w:cs="仿宋"/>
                <w:color w:val="auto"/>
                <w:kern w:val="0"/>
                <w:sz w:val="24"/>
                <w:highlight w:val="none"/>
              </w:rPr>
              <w:t>15寸真彩触摸屏</w:t>
            </w:r>
            <w:r>
              <w:rPr>
                <w:rFonts w:hint="eastAsia" w:ascii="仿宋" w:hAnsi="仿宋" w:eastAsia="仿宋" w:cs="仿宋"/>
                <w:color w:val="auto"/>
                <w:kern w:val="0"/>
                <w:sz w:val="24"/>
                <w:highlight w:val="none"/>
              </w:rPr>
              <w:t>作为就地控制设备的人机界面，用于设置各运行参数，并实时显示冷源系统运行流程图和及运行数据和曲线。人机界面能够点对点对冷源系统内的设备进行操作。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410" w:type="pct"/>
            <w:shd w:val="clear" w:color="auto" w:fill="auto"/>
            <w:noWrap/>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6</w:t>
            </w:r>
          </w:p>
        </w:tc>
        <w:tc>
          <w:tcPr>
            <w:tcW w:w="4589" w:type="pct"/>
            <w:shd w:val="clear" w:color="auto" w:fill="auto"/>
            <w:vAlign w:val="center"/>
          </w:tcPr>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点控与群控</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采用基于实时负荷需求的自动控制系统，实现对冷水机组、冷却塔、冷水泵、冷却水泵、电动阀门等的设备启</w:t>
            </w:r>
            <w:r>
              <w:rPr>
                <w:rFonts w:ascii="仿宋" w:hAnsi="仿宋" w:eastAsia="仿宋" w:cs="仿宋"/>
                <w:color w:val="auto"/>
                <w:kern w:val="0"/>
                <w:sz w:val="24"/>
                <w:szCs w:val="24"/>
                <w:highlight w:val="none"/>
              </w:rPr>
              <w:t>/停机控制及状态、信号的监视，各设备之间的联动、连锁保护，实现对冷源系统的“一键启停”功能。能够实时根据末端实际负荷需求在保证同类设备累计运行时间相对平衡的前提下对即将开启运行的设备进行合理的组合及调整，并实现无人值守。同时能点对点对单台设备进行启停操作以及运行参数的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410" w:type="pct"/>
            <w:shd w:val="clear" w:color="auto" w:fill="auto"/>
            <w:noWrap/>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7</w:t>
            </w:r>
          </w:p>
        </w:tc>
        <w:tc>
          <w:tcPr>
            <w:tcW w:w="4589" w:type="pct"/>
            <w:shd w:val="clear" w:color="auto" w:fill="auto"/>
            <w:vAlign w:val="center"/>
          </w:tcPr>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节能运行</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直接采集冷水供水温度、回水温度、流量以及冷水供回水压差传感器实时参数，冷却水供水温度、回水温度、流量传感器实时参数，按时间预设和程序预设（根据外部传感器采集数据，在保证同类设备累计运行时间相对平衡的前提下通过各设备的性能曲线进行系统性的功耗分析对比，进行设备及设备运行负荷的合理组合，并保证所启动设备组运行功耗最低，满足节能需求。）控制冷源系统设备的启动、停止、加减载运行，使系统安全可靠运行并保持运行费用最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10" w:type="pct"/>
            <w:shd w:val="clear" w:color="auto" w:fill="auto"/>
            <w:noWrap/>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8</w:t>
            </w:r>
          </w:p>
        </w:tc>
        <w:tc>
          <w:tcPr>
            <w:tcW w:w="4589" w:type="pct"/>
            <w:shd w:val="clear" w:color="auto" w:fill="auto"/>
            <w:vAlign w:val="center"/>
          </w:tcPr>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组态功能</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的控制软件应能根据中央空调系统设备（冷水机组、冷水泵、冷却水泵、冷却塔、电动阀门等）的配置，以组态方式灵活添加或修改受控设备对象（投标人须在满足实时负荷需求条件下，对设备不同组合方式进行系统性的功耗分析对比，保证组态设备运行功耗最低），并设置其属性，确保控制系统的通用性和可扩展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0" w:type="pct"/>
            <w:shd w:val="clear" w:color="auto" w:fill="auto"/>
            <w:noWrap/>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9</w:t>
            </w:r>
          </w:p>
        </w:tc>
        <w:tc>
          <w:tcPr>
            <w:tcW w:w="4589" w:type="pct"/>
            <w:shd w:val="clear" w:color="auto" w:fill="auto"/>
            <w:vAlign w:val="center"/>
          </w:tcPr>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节能群控系统提供以下功能，对中央空调水系统进行节能控制：</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1）冷水/冷却水变流量运行控制。节能群控系统应能根据空调负荷的变化动态调整冷水和冷却水流量，保持冷水系统始终处于经济运行状态。</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2）冷量动态分配控制。节能群控系统宜具有冷量动态分配控制功能，能够通过对冷水各个环路负荷的实时检测，动态分配和控制各个环路的冷水流量，使各个环路实现冷量供需平衡和空调效果均衡。</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3）冷水机组由中央控制、就地控制组成，就地控制具有优先权。综合监控系统通过空调水系统节能群控系统实现远程控制，接口位置在冷水机的群控柜的RS-485接口处。就地控制由冷水机组自带的控制柜实现，在冷水机组控制柜处进行操作，供冷水机组安装、调试、检修时在现场使用。</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4）冷水机组台数控制。根据冷冻水供回水温度、流量和机组的运行状况，自动计算末端实际所需冷负荷量。根据实际所需冷负荷量，自动调整冷水机组运行台数，达到最佳节能的目的。</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5）冷却水温控制。根据冷却水温度，自动控制冷却塔风机的运行台数，控制冷却水温度在设定范围内。</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6）节能群控系统应配备必要的传感器实现冷冻水泵变流量控制，可以采用冷冻水供回水压差调节冷冻泵频率，也可以采用冷冻水供回水温差调节冷冻泵频率，冷冻泵的变流量控制策略具体以投标人提供的成熟控制方案为准。</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7）节能群控系统应配备必要的传感器实现冷却水泵变流量控制，可以采用冷却水出水温度调节冷却泵频率，也可以采用冷却水供回水温差调节冷却泵频率，冷却泵的变流量控制策略具体以投标人提供的成熟控制方案为准。</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8）节能群控系统在调节冷冻水泵频率和冷却水泵频率还有冷却塔数量时，必须整体考量整个冷冻机房的耗电量和整体COP，不能因为节省了冷冻水泵或冷却水泵的电量而导致冷水机组的COP值降太多。</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9）节能群控系统应根据冷冻水供、回水温度传感器的测量值和冷冻水供水总管流量计的测量值自动计算站点所需的冷负荷依据实际所需动态冷负荷量，自动增减冷水机组的运行台数，达到最佳的节能效果，降低运营成本。</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10）节能群控系统应根据冷冻水的供/回水压差，调节旁通阀，维持系统的冷冻水压差稳定，从而保证负荷侧充足的水量。</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11）节能群控系统应能记录冷水机组的工作状态，能记录冷冻机房COP值，所需冷负荷发生变化时可以根据冷水机组的COP特性曲线主动调整冷水机组的工作状态，保持冷水机组在高效区间运转，节能群控系统应具有主动寻优控制算法，能够根据记录的数据库主动调整冷冻机房各设备的工作点，主动寻找当前冷负荷下最优的工况点并保持在这一工况点下运行。</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12）冷却塔的控制应根据机组的冷凝压力或者冷却水的回水温度，联合变频，同时具备台数开启策略，并装自力式装置达到水力平衡，达到系统节能的目的。</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13）解决冷水机组正常和低温启动时的自动运行问题，投标人可不仅限于通过调节冷却塔风机开启数量以及控制冷机冷却水进水口或出水口或进出水管之间的电动阀门这样的措施（但冷却塔、电动阀门必须列入监控对象），也可辅助以其它的控制手段，各投标人应根据各自冷机特点确定控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410" w:type="pct"/>
            <w:shd w:val="clear" w:color="auto" w:fill="auto"/>
            <w:noWrap/>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10</w:t>
            </w:r>
          </w:p>
        </w:tc>
        <w:tc>
          <w:tcPr>
            <w:tcW w:w="4589" w:type="pct"/>
            <w:shd w:val="clear" w:color="auto" w:fill="auto"/>
            <w:vAlign w:val="center"/>
          </w:tcPr>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节能群控系统的控制软件中应能对系统运行参数值进行设置，包括自动控制时的初始参数设置和远程手动控制参数设置。</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节能群控系统的控制软件中应能对下列保护参数值进行设置：</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1）冷水低流量保护下限值；</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2）冷水低温保护下限值；</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3）冷水低压差保护下限值；</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4）冷水高压差保护上限值；</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5）冷却水出水高温保护上限值；</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6）冷却水进水低温保护下限值。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410" w:type="pct"/>
            <w:shd w:val="clear" w:color="auto" w:fill="auto"/>
            <w:noWrap/>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11</w:t>
            </w:r>
          </w:p>
        </w:tc>
        <w:tc>
          <w:tcPr>
            <w:tcW w:w="4589" w:type="pct"/>
            <w:shd w:val="clear" w:color="auto" w:fill="auto"/>
            <w:vAlign w:val="center"/>
          </w:tcPr>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监测与显示功能</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①冷水机组的监测</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1）主机运行状态：运行、停止、故障、运行模式。</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2）各台冷水机组负荷、能耗。</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3）冷水机组冷水侧的进出口温度。</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4）冷水机组冷却水侧的进出口温度。</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②冷水系统的监测</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1）运行状态监测：水泵及变频器的运行、停止、故障；节能群控系统的远程/就地控制模式。</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2）运行参量监测：供回水压差、供回水温度、总流量、水泵电机运行频率、运行电流、累计运行时间、累计耗电量、累计供冷量、分时耗电量、分时供冷量、电动阀阀位等。</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③冷却水系统的监测</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1）运行状态监测：水泵及变频器的运行、停止、故障；节能群控系统的远程/就地控制模式。</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2）运行参量监测：供回水温度、总流量、水泵电机运行频率、冷却水泵运行电流、累计运行时间、累计耗电量、分时耗电量、电动阀阀位等。</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④冷却塔的监测</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1）运行状态监测：风机的运行、停止、故障；节能群控系统的远程/就地控制模式。</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2）运行参量监测：冷却塔风机电机运行台数、运行电流、累计运行时间、累计耗电量、分时耗电量等。</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⑤系统能效比曲线</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节能群控系统应能根据空调系统能效比的变化情况正确绘制系统能效比曲线，并能查询和显示。</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⑥负载曲线</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节能群控系统应能根据各受控设备功率消耗的变化情况正确绘制各设备的负载曲线，并能查询和显示。</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⑦供冷量曲线</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节能群控系统应能根据冷源系统及各台冷水机组实际输出的冷量正确绘制冷源系统及各台冷水机组的逐时供冷量曲线，并能查询和显示。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0" w:hRule="atLeast"/>
        </w:trPr>
        <w:tc>
          <w:tcPr>
            <w:tcW w:w="410" w:type="pct"/>
            <w:shd w:val="clear" w:color="auto" w:fill="auto"/>
            <w:noWrap/>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12</w:t>
            </w:r>
          </w:p>
        </w:tc>
        <w:tc>
          <w:tcPr>
            <w:tcW w:w="4589" w:type="pct"/>
            <w:shd w:val="clear" w:color="auto" w:fill="auto"/>
            <w:vAlign w:val="center"/>
          </w:tcPr>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数据处理功能</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①数据记录</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1）能耗记录</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节能群控系统应对包括各受控设备（如冷水泵、冷却水泵、冷却塔风机等）和冷水机组在内的能耗进行记录。</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2）操作记录</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节能群控系统应对操作人员、操作内容、操作行为发生日期和时间等进行记录。</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3）故障记录</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节能群控系统应对故障发生日期和时间、故障设备及故障类型等进行记录。</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4）基本参数记录</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节能群控系统应对冷水机组进出口温度及能耗、冷水流量等进行记录。</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②数据的存储、输出与删除</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1）数据的存贮</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节能群控系统应对所记录的数据进行存贮，存贮时间不得少于</w:t>
            </w:r>
            <w:r>
              <w:rPr>
                <w:rFonts w:ascii="仿宋" w:hAnsi="仿宋" w:eastAsia="仿宋" w:cs="仿宋"/>
                <w:color w:val="auto"/>
                <w:kern w:val="0"/>
                <w:sz w:val="24"/>
                <w:szCs w:val="24"/>
                <w:highlight w:val="none"/>
              </w:rPr>
              <w:t>1年。</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2）数据的输出</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节能群控系统对所记录的数据应能灵活生成必要的数据报表、曲线，提供数据下载、查询。</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3）数据的删除</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节能群控系统所存贮历史数据的删除，可采用定数删除、定时删除或人工删除。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0" w:hRule="atLeast"/>
        </w:trPr>
        <w:tc>
          <w:tcPr>
            <w:tcW w:w="410" w:type="pct"/>
            <w:shd w:val="clear" w:color="auto" w:fill="auto"/>
            <w:noWrap/>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13</w:t>
            </w:r>
          </w:p>
        </w:tc>
        <w:tc>
          <w:tcPr>
            <w:tcW w:w="4589" w:type="pct"/>
            <w:shd w:val="clear" w:color="auto" w:fill="auto"/>
            <w:vAlign w:val="center"/>
          </w:tcPr>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安全保护功能</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①冷水低流量保护</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当制冷机组冷水流量低于设定的下限值时，节能群控系统自动采取措施以保障制冷机组蒸发器的安全运行。</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②冷水低温保护</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当制冷机组蒸发器的出水（即冷水的供水）温度低于设定的下限值时，节能群控系统自动采取措施以保障制冷机组蒸发器的安全运行。</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③冷水低压差保护</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当冷水供回水压差Δ</w:t>
            </w:r>
            <w:r>
              <w:rPr>
                <w:rFonts w:ascii="仿宋" w:hAnsi="仿宋" w:eastAsia="仿宋" w:cs="仿宋"/>
                <w:color w:val="auto"/>
                <w:kern w:val="0"/>
                <w:sz w:val="24"/>
                <w:szCs w:val="24"/>
                <w:highlight w:val="none"/>
              </w:rPr>
              <w:t>P小于设定的下限值时，节能群控系统应自动采取措施以保障末端空调设备所需的水流量。</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④冷水高压差保护</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当冷水供回水压差Δ</w:t>
            </w:r>
            <w:r>
              <w:rPr>
                <w:rFonts w:ascii="仿宋" w:hAnsi="仿宋" w:eastAsia="仿宋" w:cs="仿宋"/>
                <w:color w:val="auto"/>
                <w:kern w:val="0"/>
                <w:sz w:val="24"/>
                <w:szCs w:val="24"/>
                <w:highlight w:val="none"/>
              </w:rPr>
              <w:t>P大于设定的上限值时，节能群控系统应自动采取措施以保障空调系统的安全运行。</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⑤冷水出水高温保护</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当制冷机组冷凝器的冷却水出水温度高于其设定的上限值时，节能群控系统应自动采取措施以保障制冷机组的安全运行。</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⑥冷水进水低温保护</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当冷水机组冷凝器的冷却水进水温度低于其设定的下限值时，节能群控系统应自动采取措施以保障冷水机组的正常运行。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trPr>
        <w:tc>
          <w:tcPr>
            <w:tcW w:w="410" w:type="pct"/>
            <w:shd w:val="clear" w:color="auto" w:fill="auto"/>
            <w:noWrap/>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14</w:t>
            </w:r>
          </w:p>
        </w:tc>
        <w:tc>
          <w:tcPr>
            <w:tcW w:w="4589" w:type="pct"/>
            <w:shd w:val="clear" w:color="auto" w:fill="auto"/>
            <w:vAlign w:val="center"/>
          </w:tcPr>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故障报警功能</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①故障报警分类</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节能群控系统应设有短路、接地故障、过载、缺相故障、参数越限报警。</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②故障报警方式</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1）声光提示报警</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节能群控系统应设置报警电铃，以发出声音报警。</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节能群控系统应设置相应的故障指示灯，以灯光提示报警。</w:t>
            </w:r>
          </w:p>
          <w:p>
            <w:pPr>
              <w:keepLines/>
              <w:widowControl/>
              <w:adjustRightInd/>
              <w:spacing w:line="360" w:lineRule="exact"/>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2）显示器画面报警</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在声光报警的同时，节能群控系统上位机的显示器还应弹出报警窗口，显示相应的报警信息。</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③故障报警的处置</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所有报警直至引发报警的条件消失（如运行参数恢复正常）或经操作人员检视并处理后，方可消除报警。</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节能群控系统应对所有故障报警信息进行记录并存贮，以供分析原因及排查故障。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trPr>
        <w:tc>
          <w:tcPr>
            <w:tcW w:w="410" w:type="pct"/>
            <w:shd w:val="clear" w:color="auto" w:fill="auto"/>
            <w:noWrap/>
            <w:vAlign w:val="center"/>
          </w:tcPr>
          <w:p>
            <w:pPr>
              <w:keepLines/>
              <w:widowControl/>
              <w:adjustRightInd/>
              <w:spacing w:line="360" w:lineRule="exact"/>
              <w:jc w:val="cente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15</w:t>
            </w:r>
          </w:p>
        </w:tc>
        <w:tc>
          <w:tcPr>
            <w:tcW w:w="4589" w:type="pct"/>
            <w:shd w:val="clear" w:color="auto" w:fill="auto"/>
            <w:vAlign w:val="center"/>
          </w:tcPr>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系统管理功能</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①用户验证与管理</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节能群控系统应具有“用户验证”和“用户管理”功能，以实现对用户操作人员的管理，防止无关人员的随意操作，确保中央空调系统运行管理的安全性。</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“用户验证”用于对操作人员的身份进行验证，只有在其用户名、密码验证通过后方可对系统设备进行操作。</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“用户管理”用于对用户操作人员进行管理，如添加用户、修改用户和删除用户等。</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②设备维护管理</w:t>
            </w:r>
          </w:p>
          <w:p>
            <w:pPr>
              <w:keepLines/>
              <w:widowControl/>
              <w:adjustRightInd/>
              <w:spacing w:line="360" w:lineRule="exact"/>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能群控系统宜能根据中央空调系统设备的累计运行时间及运行参数变化，在显示器上对冷水机组、冷冻泵、冷却水泵、冷却塔风机等设备给出维护提示；用户对设备进行维护后，可在设备维修记录表上对维护情况进行记录，以备今后追溯或查询。</w:t>
            </w:r>
          </w:p>
        </w:tc>
      </w:tr>
    </w:tbl>
    <w:p>
      <w:pPr>
        <w:spacing w:line="5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6、费用组成：</w:t>
      </w:r>
    </w:p>
    <w:tbl>
      <w:tblPr>
        <w:tblStyle w:val="64"/>
        <w:tblW w:w="8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1564"/>
        <w:gridCol w:w="3693"/>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78"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564"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369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内容</w:t>
            </w:r>
          </w:p>
        </w:tc>
        <w:tc>
          <w:tcPr>
            <w:tcW w:w="2722"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78"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564" w:type="dxa"/>
            <w:vMerge w:val="restart"/>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1号楼冷源机房节能改造</w:t>
            </w:r>
          </w:p>
        </w:tc>
        <w:tc>
          <w:tcPr>
            <w:tcW w:w="369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节能管理平台</w:t>
            </w:r>
          </w:p>
        </w:tc>
        <w:tc>
          <w:tcPr>
            <w:tcW w:w="2722"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78"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564" w:type="dxa"/>
            <w:vMerge w:val="continue"/>
            <w:vAlign w:val="center"/>
          </w:tcPr>
          <w:p>
            <w:pPr>
              <w:jc w:val="center"/>
              <w:rPr>
                <w:rFonts w:ascii="仿宋" w:hAnsi="仿宋" w:eastAsia="仿宋" w:cs="仿宋"/>
                <w:color w:val="auto"/>
                <w:sz w:val="24"/>
                <w:szCs w:val="24"/>
                <w:highlight w:val="none"/>
              </w:rPr>
            </w:pPr>
          </w:p>
        </w:tc>
        <w:tc>
          <w:tcPr>
            <w:tcW w:w="369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冷源节能群控控制柜</w:t>
            </w:r>
          </w:p>
        </w:tc>
        <w:tc>
          <w:tcPr>
            <w:tcW w:w="2722" w:type="dxa"/>
            <w:vMerge w:val="restart"/>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78"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564" w:type="dxa"/>
            <w:vMerge w:val="continue"/>
            <w:vAlign w:val="center"/>
          </w:tcPr>
          <w:p>
            <w:pPr>
              <w:jc w:val="center"/>
              <w:rPr>
                <w:rFonts w:ascii="仿宋" w:hAnsi="仿宋" w:eastAsia="仿宋" w:cs="仿宋"/>
                <w:color w:val="auto"/>
                <w:sz w:val="24"/>
                <w:szCs w:val="24"/>
                <w:highlight w:val="none"/>
              </w:rPr>
            </w:pPr>
          </w:p>
        </w:tc>
        <w:tc>
          <w:tcPr>
            <w:tcW w:w="369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冷却塔智能控制柜</w:t>
            </w:r>
          </w:p>
        </w:tc>
        <w:tc>
          <w:tcPr>
            <w:tcW w:w="2722" w:type="dxa"/>
            <w:vMerge w:val="continue"/>
            <w:vAlign w:val="center"/>
          </w:tcPr>
          <w:p>
            <w:pPr>
              <w:widowControl/>
              <w:jc w:val="center"/>
              <w:textAlignment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78"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564" w:type="dxa"/>
            <w:vMerge w:val="continue"/>
            <w:vAlign w:val="center"/>
          </w:tcPr>
          <w:p>
            <w:pPr>
              <w:jc w:val="center"/>
              <w:rPr>
                <w:rFonts w:ascii="仿宋" w:hAnsi="仿宋" w:eastAsia="仿宋" w:cs="仿宋"/>
                <w:color w:val="auto"/>
                <w:sz w:val="24"/>
                <w:szCs w:val="24"/>
                <w:highlight w:val="none"/>
              </w:rPr>
            </w:pPr>
          </w:p>
        </w:tc>
        <w:tc>
          <w:tcPr>
            <w:tcW w:w="369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主机智能电表箱</w:t>
            </w:r>
          </w:p>
        </w:tc>
        <w:tc>
          <w:tcPr>
            <w:tcW w:w="2722" w:type="dxa"/>
            <w:vMerge w:val="continue"/>
            <w:vAlign w:val="center"/>
          </w:tcPr>
          <w:p>
            <w:pPr>
              <w:widowControl/>
              <w:jc w:val="center"/>
              <w:textAlignment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78"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564" w:type="dxa"/>
            <w:vMerge w:val="continue"/>
            <w:vAlign w:val="center"/>
          </w:tcPr>
          <w:p>
            <w:pPr>
              <w:jc w:val="center"/>
              <w:rPr>
                <w:rFonts w:ascii="仿宋" w:hAnsi="仿宋" w:eastAsia="仿宋" w:cs="仿宋"/>
                <w:color w:val="auto"/>
                <w:sz w:val="24"/>
                <w:szCs w:val="24"/>
                <w:highlight w:val="none"/>
              </w:rPr>
            </w:pPr>
          </w:p>
        </w:tc>
        <w:tc>
          <w:tcPr>
            <w:tcW w:w="369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冷冻/冷却泵智能电表箱</w:t>
            </w:r>
          </w:p>
        </w:tc>
        <w:tc>
          <w:tcPr>
            <w:tcW w:w="2722" w:type="dxa"/>
            <w:vMerge w:val="continue"/>
            <w:vAlign w:val="center"/>
          </w:tcPr>
          <w:p>
            <w:pPr>
              <w:widowControl/>
              <w:jc w:val="center"/>
              <w:textAlignment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78"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564" w:type="dxa"/>
            <w:vMerge w:val="continue"/>
            <w:vAlign w:val="center"/>
          </w:tcPr>
          <w:p>
            <w:pPr>
              <w:jc w:val="center"/>
              <w:rPr>
                <w:rFonts w:ascii="仿宋" w:hAnsi="仿宋" w:eastAsia="仿宋" w:cs="仿宋"/>
                <w:color w:val="auto"/>
                <w:sz w:val="24"/>
                <w:szCs w:val="24"/>
                <w:highlight w:val="none"/>
              </w:rPr>
            </w:pPr>
          </w:p>
        </w:tc>
        <w:tc>
          <w:tcPr>
            <w:tcW w:w="369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热水泵智能电表箱</w:t>
            </w:r>
          </w:p>
        </w:tc>
        <w:tc>
          <w:tcPr>
            <w:tcW w:w="2722" w:type="dxa"/>
            <w:vMerge w:val="continue"/>
            <w:vAlign w:val="center"/>
          </w:tcPr>
          <w:p>
            <w:pPr>
              <w:widowControl/>
              <w:jc w:val="center"/>
              <w:textAlignment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78"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564" w:type="dxa"/>
            <w:vMerge w:val="continue"/>
            <w:vAlign w:val="center"/>
          </w:tcPr>
          <w:p>
            <w:pPr>
              <w:jc w:val="center"/>
              <w:rPr>
                <w:rFonts w:ascii="仿宋" w:hAnsi="仿宋" w:eastAsia="仿宋" w:cs="仿宋"/>
                <w:color w:val="auto"/>
                <w:sz w:val="24"/>
                <w:szCs w:val="24"/>
                <w:highlight w:val="none"/>
              </w:rPr>
            </w:pPr>
          </w:p>
        </w:tc>
        <w:tc>
          <w:tcPr>
            <w:tcW w:w="369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仪表阀门</w:t>
            </w:r>
          </w:p>
        </w:tc>
        <w:tc>
          <w:tcPr>
            <w:tcW w:w="2722" w:type="dxa"/>
            <w:vMerge w:val="continue"/>
            <w:vAlign w:val="center"/>
          </w:tcPr>
          <w:p>
            <w:pPr>
              <w:widowControl/>
              <w:jc w:val="center"/>
              <w:textAlignment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78"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564" w:type="dxa"/>
            <w:vMerge w:val="continue"/>
            <w:vAlign w:val="center"/>
          </w:tcPr>
          <w:p>
            <w:pPr>
              <w:jc w:val="center"/>
              <w:rPr>
                <w:rFonts w:ascii="仿宋" w:hAnsi="仿宋" w:eastAsia="仿宋" w:cs="仿宋"/>
                <w:color w:val="auto"/>
                <w:sz w:val="24"/>
                <w:szCs w:val="24"/>
                <w:highlight w:val="none"/>
              </w:rPr>
            </w:pPr>
          </w:p>
        </w:tc>
        <w:tc>
          <w:tcPr>
            <w:tcW w:w="369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现场安装与施工</w:t>
            </w:r>
          </w:p>
        </w:tc>
        <w:tc>
          <w:tcPr>
            <w:tcW w:w="2722" w:type="dxa"/>
            <w:vMerge w:val="continue"/>
            <w:vAlign w:val="center"/>
          </w:tcPr>
          <w:p>
            <w:pPr>
              <w:widowControl/>
              <w:jc w:val="center"/>
              <w:textAlignment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78"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564" w:type="dxa"/>
            <w:vMerge w:val="continue"/>
            <w:vAlign w:val="center"/>
          </w:tcPr>
          <w:p>
            <w:pPr>
              <w:jc w:val="center"/>
              <w:rPr>
                <w:rFonts w:ascii="仿宋" w:hAnsi="仿宋" w:eastAsia="仿宋" w:cs="仿宋"/>
                <w:color w:val="auto"/>
                <w:sz w:val="24"/>
                <w:szCs w:val="24"/>
                <w:highlight w:val="none"/>
              </w:rPr>
            </w:pPr>
          </w:p>
        </w:tc>
        <w:tc>
          <w:tcPr>
            <w:tcW w:w="369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群控节能系统调试</w:t>
            </w:r>
          </w:p>
        </w:tc>
        <w:tc>
          <w:tcPr>
            <w:tcW w:w="2722" w:type="dxa"/>
            <w:vMerge w:val="continue"/>
            <w:vAlign w:val="center"/>
          </w:tcPr>
          <w:p>
            <w:pPr>
              <w:widowControl/>
              <w:jc w:val="center"/>
              <w:textAlignment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78"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564" w:type="dxa"/>
            <w:vMerge w:val="restart"/>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2、3号楼空调集中管控</w:t>
            </w:r>
          </w:p>
        </w:tc>
        <w:tc>
          <w:tcPr>
            <w:tcW w:w="369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与1号楼冷源平台集成</w:t>
            </w:r>
          </w:p>
        </w:tc>
        <w:tc>
          <w:tcPr>
            <w:tcW w:w="2722" w:type="dxa"/>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费用含在节能管理平台内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78"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564" w:type="dxa"/>
            <w:vMerge w:val="continue"/>
            <w:vAlign w:val="center"/>
          </w:tcPr>
          <w:p>
            <w:pPr>
              <w:jc w:val="center"/>
              <w:rPr>
                <w:rFonts w:ascii="仿宋" w:hAnsi="仿宋" w:eastAsia="仿宋" w:cs="仿宋"/>
                <w:color w:val="auto"/>
                <w:sz w:val="24"/>
                <w:szCs w:val="24"/>
                <w:highlight w:val="none"/>
              </w:rPr>
            </w:pPr>
          </w:p>
        </w:tc>
        <w:tc>
          <w:tcPr>
            <w:tcW w:w="369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2号楼屋顶数据采集箱</w:t>
            </w:r>
          </w:p>
        </w:tc>
        <w:tc>
          <w:tcPr>
            <w:tcW w:w="2722" w:type="dxa"/>
            <w:vMerge w:val="restart"/>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17.00万元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78"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564" w:type="dxa"/>
            <w:vMerge w:val="continue"/>
            <w:vAlign w:val="center"/>
          </w:tcPr>
          <w:p>
            <w:pPr>
              <w:jc w:val="center"/>
              <w:rPr>
                <w:rFonts w:ascii="仿宋" w:hAnsi="仿宋" w:eastAsia="仿宋" w:cs="仿宋"/>
                <w:color w:val="auto"/>
                <w:sz w:val="24"/>
                <w:szCs w:val="24"/>
                <w:highlight w:val="none"/>
              </w:rPr>
            </w:pPr>
          </w:p>
        </w:tc>
        <w:tc>
          <w:tcPr>
            <w:tcW w:w="369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2号楼三层东侧数据采集箱</w:t>
            </w:r>
          </w:p>
        </w:tc>
        <w:tc>
          <w:tcPr>
            <w:tcW w:w="2722" w:type="dxa"/>
            <w:vMerge w:val="continue"/>
            <w:vAlign w:val="center"/>
          </w:tcPr>
          <w:p>
            <w:pPr>
              <w:widowControl/>
              <w:jc w:val="center"/>
              <w:textAlignment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78"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1564" w:type="dxa"/>
            <w:vMerge w:val="continue"/>
            <w:vAlign w:val="center"/>
          </w:tcPr>
          <w:p>
            <w:pPr>
              <w:jc w:val="center"/>
              <w:rPr>
                <w:rFonts w:ascii="仿宋" w:hAnsi="仿宋" w:eastAsia="仿宋" w:cs="仿宋"/>
                <w:color w:val="auto"/>
                <w:sz w:val="24"/>
                <w:szCs w:val="24"/>
                <w:highlight w:val="none"/>
              </w:rPr>
            </w:pPr>
          </w:p>
        </w:tc>
        <w:tc>
          <w:tcPr>
            <w:tcW w:w="369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2号楼三层西侧数据采集箱</w:t>
            </w:r>
          </w:p>
        </w:tc>
        <w:tc>
          <w:tcPr>
            <w:tcW w:w="2722" w:type="dxa"/>
            <w:vMerge w:val="continue"/>
            <w:vAlign w:val="center"/>
          </w:tcPr>
          <w:p>
            <w:pPr>
              <w:widowControl/>
              <w:jc w:val="center"/>
              <w:textAlignment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78"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1564" w:type="dxa"/>
            <w:vMerge w:val="continue"/>
            <w:vAlign w:val="center"/>
          </w:tcPr>
          <w:p>
            <w:pPr>
              <w:jc w:val="center"/>
              <w:rPr>
                <w:rFonts w:ascii="仿宋" w:hAnsi="仿宋" w:eastAsia="仿宋" w:cs="仿宋"/>
                <w:color w:val="auto"/>
                <w:sz w:val="24"/>
                <w:szCs w:val="24"/>
                <w:highlight w:val="none"/>
              </w:rPr>
            </w:pPr>
          </w:p>
        </w:tc>
        <w:tc>
          <w:tcPr>
            <w:tcW w:w="369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3号楼屋顶数据采集箱</w:t>
            </w:r>
          </w:p>
        </w:tc>
        <w:tc>
          <w:tcPr>
            <w:tcW w:w="2722" w:type="dxa"/>
            <w:vMerge w:val="continue"/>
            <w:vAlign w:val="center"/>
          </w:tcPr>
          <w:p>
            <w:pPr>
              <w:widowControl/>
              <w:jc w:val="center"/>
              <w:textAlignment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4" w:hRule="atLeast"/>
        </w:trPr>
        <w:tc>
          <w:tcPr>
            <w:tcW w:w="678"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1564" w:type="dxa"/>
            <w:vMerge w:val="continue"/>
            <w:vAlign w:val="center"/>
          </w:tcPr>
          <w:p>
            <w:pPr>
              <w:jc w:val="center"/>
              <w:rPr>
                <w:rFonts w:ascii="仿宋" w:hAnsi="仿宋" w:eastAsia="仿宋" w:cs="仿宋"/>
                <w:color w:val="auto"/>
                <w:sz w:val="24"/>
                <w:szCs w:val="24"/>
                <w:highlight w:val="none"/>
              </w:rPr>
            </w:pPr>
          </w:p>
        </w:tc>
        <w:tc>
          <w:tcPr>
            <w:tcW w:w="369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现场安装与施工</w:t>
            </w:r>
          </w:p>
        </w:tc>
        <w:tc>
          <w:tcPr>
            <w:tcW w:w="2722" w:type="dxa"/>
            <w:vMerge w:val="continue"/>
            <w:vAlign w:val="center"/>
          </w:tcPr>
          <w:p>
            <w:pPr>
              <w:widowControl/>
              <w:jc w:val="center"/>
              <w:textAlignment w:val="center"/>
              <w:rPr>
                <w:rFonts w:ascii="仿宋" w:hAnsi="仿宋" w:eastAsia="仿宋" w:cs="仿宋"/>
                <w:color w:val="auto"/>
                <w:sz w:val="24"/>
                <w:szCs w:val="24"/>
                <w:highlight w:val="none"/>
              </w:rPr>
            </w:pPr>
          </w:p>
        </w:tc>
      </w:tr>
    </w:tbl>
    <w:p>
      <w:pPr>
        <w:spacing w:line="360" w:lineRule="auto"/>
        <w:rPr>
          <w:rFonts w:hint="eastAsia" w:ascii="仿宋" w:hAnsi="仿宋" w:eastAsia="仿宋" w:cs="仿宋"/>
          <w:b/>
          <w:bCs/>
          <w:color w:val="auto"/>
          <w:sz w:val="24"/>
          <w:szCs w:val="32"/>
          <w:highlight w:val="none"/>
        </w:rPr>
      </w:pPr>
      <w:r>
        <w:rPr>
          <w:rFonts w:hint="eastAsia" w:ascii="仿宋" w:hAnsi="仿宋" w:eastAsia="仿宋" w:cs="仿宋"/>
          <w:b/>
          <w:bCs/>
          <w:color w:val="auto"/>
          <w:sz w:val="24"/>
          <w:szCs w:val="32"/>
          <w:highlight w:val="none"/>
        </w:rPr>
        <w:t>注：</w:t>
      </w:r>
      <w:r>
        <w:rPr>
          <w:rFonts w:hint="eastAsia" w:ascii="仿宋" w:hAnsi="仿宋" w:eastAsia="仿宋" w:cs="仿宋"/>
          <w:b/>
          <w:bCs/>
          <w:color w:val="auto"/>
          <w:sz w:val="24"/>
          <w:szCs w:val="32"/>
          <w:highlight w:val="none"/>
          <w:lang w:val="en-US" w:eastAsia="zh-CN"/>
        </w:rPr>
        <w:t>（1）</w:t>
      </w:r>
      <w:r>
        <w:rPr>
          <w:rFonts w:hint="eastAsia" w:ascii="仿宋" w:hAnsi="仿宋" w:eastAsia="仿宋" w:cs="仿宋"/>
          <w:b/>
          <w:bCs/>
          <w:color w:val="auto"/>
          <w:sz w:val="24"/>
          <w:szCs w:val="32"/>
          <w:highlight w:val="none"/>
        </w:rPr>
        <w:t>具体清单后附。</w:t>
      </w:r>
    </w:p>
    <w:p>
      <w:pPr>
        <w:spacing w:line="360" w:lineRule="auto"/>
        <w:ind w:firstLine="482" w:firstLineChars="200"/>
        <w:rPr>
          <w:rFonts w:hint="eastAsia" w:ascii="仿宋" w:hAnsi="仿宋" w:eastAsia="仿宋" w:cs="仿宋"/>
          <w:b/>
          <w:bCs/>
          <w:color w:val="auto"/>
          <w:sz w:val="24"/>
          <w:szCs w:val="32"/>
          <w:highlight w:val="none"/>
          <w:lang w:val="en-US" w:eastAsia="zh-CN"/>
        </w:rPr>
        <w:sectPr>
          <w:pgSz w:w="11907" w:h="16840"/>
          <w:pgMar w:top="1474" w:right="1814" w:bottom="1474" w:left="1814" w:header="851" w:footer="851" w:gutter="0"/>
          <w:cols w:space="720" w:num="1"/>
        </w:sectPr>
      </w:pPr>
      <w:r>
        <w:rPr>
          <w:rFonts w:hint="eastAsia" w:ascii="仿宋" w:hAnsi="仿宋" w:eastAsia="仿宋" w:cs="仿宋"/>
          <w:b/>
          <w:bCs/>
          <w:color w:val="auto"/>
          <w:sz w:val="24"/>
          <w:szCs w:val="32"/>
          <w:highlight w:val="none"/>
          <w:lang w:val="en-US" w:eastAsia="zh-CN"/>
        </w:rPr>
        <w:t>（2）投标人需在投标(开标)一览表中明确投标报价（总价）及以上各分项小计报价，各分项小计报价不得超过上表各最高限价，投标总价不能超过80万元。</w:t>
      </w:r>
      <w:bookmarkStart w:id="59" w:name="_GoBack"/>
      <w:bookmarkEnd w:id="59"/>
    </w:p>
    <w:p>
      <w:pPr>
        <w:rPr>
          <w:rFonts w:ascii="仿宋" w:hAnsi="仿宋" w:eastAsia="仿宋" w:cs="仿宋"/>
          <w:b/>
          <w:bCs/>
          <w:color w:val="auto"/>
          <w:sz w:val="28"/>
          <w:szCs w:val="28"/>
          <w:highlight w:val="none"/>
        </w:rPr>
      </w:pPr>
      <w:bookmarkStart w:id="41" w:name="_Toc145329823"/>
      <w:r>
        <w:rPr>
          <w:rFonts w:hint="eastAsia" w:ascii="仿宋" w:hAnsi="仿宋" w:eastAsia="仿宋" w:cs="仿宋"/>
          <w:b/>
          <w:bCs/>
          <w:color w:val="auto"/>
          <w:sz w:val="28"/>
          <w:szCs w:val="28"/>
          <w:highlight w:val="none"/>
        </w:rPr>
        <w:t>（1）1号楼冷源机房节能改造清单</w:t>
      </w:r>
      <w:bookmarkEnd w:id="41"/>
    </w:p>
    <w:tbl>
      <w:tblPr>
        <w:tblStyle w:val="63"/>
        <w:tblW w:w="145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280"/>
        <w:gridCol w:w="7823"/>
        <w:gridCol w:w="773"/>
        <w:gridCol w:w="577"/>
        <w:gridCol w:w="1604"/>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588" w:type="dxa"/>
            <w:vMerge w:val="restart"/>
            <w:shd w:val="clear" w:color="000000" w:fill="FFFFFF"/>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序号</w:t>
            </w:r>
          </w:p>
        </w:tc>
        <w:tc>
          <w:tcPr>
            <w:tcW w:w="1280" w:type="dxa"/>
            <w:vMerge w:val="restart"/>
            <w:shd w:val="clear" w:color="000000" w:fill="FFFFFF"/>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项目名称</w:t>
            </w:r>
          </w:p>
        </w:tc>
        <w:tc>
          <w:tcPr>
            <w:tcW w:w="7823" w:type="dxa"/>
            <w:vMerge w:val="restart"/>
            <w:shd w:val="clear" w:color="000000" w:fill="FFFFFF"/>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项目特征描述</w:t>
            </w:r>
          </w:p>
        </w:tc>
        <w:tc>
          <w:tcPr>
            <w:tcW w:w="773" w:type="dxa"/>
            <w:vMerge w:val="restart"/>
            <w:shd w:val="clear" w:color="000000" w:fill="FFFFFF"/>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计量单位</w:t>
            </w:r>
          </w:p>
        </w:tc>
        <w:tc>
          <w:tcPr>
            <w:tcW w:w="577" w:type="dxa"/>
            <w:vMerge w:val="restart"/>
            <w:shd w:val="clear" w:color="000000" w:fill="FFFFFF"/>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数量</w:t>
            </w:r>
          </w:p>
        </w:tc>
        <w:tc>
          <w:tcPr>
            <w:tcW w:w="1604" w:type="dxa"/>
            <w:vMerge w:val="restart"/>
            <w:shd w:val="clear" w:color="000000" w:fill="FFFFFF"/>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参考品牌</w:t>
            </w:r>
          </w:p>
        </w:tc>
        <w:tc>
          <w:tcPr>
            <w:tcW w:w="1916" w:type="dxa"/>
            <w:vMerge w:val="restart"/>
            <w:shd w:val="clear" w:color="000000" w:fill="FFFFFF"/>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588" w:type="dxa"/>
            <w:vMerge w:val="continue"/>
            <w:vAlign w:val="center"/>
          </w:tcPr>
          <w:p>
            <w:pPr>
              <w:widowControl/>
              <w:jc w:val="left"/>
              <w:rPr>
                <w:rFonts w:ascii="仿宋" w:hAnsi="仿宋" w:eastAsia="仿宋" w:cs="仿宋"/>
                <w:b/>
                <w:bCs/>
                <w:color w:val="auto"/>
                <w:kern w:val="0"/>
                <w:sz w:val="24"/>
                <w:highlight w:val="none"/>
              </w:rPr>
            </w:pPr>
          </w:p>
        </w:tc>
        <w:tc>
          <w:tcPr>
            <w:tcW w:w="1280" w:type="dxa"/>
            <w:vMerge w:val="continue"/>
            <w:vAlign w:val="center"/>
          </w:tcPr>
          <w:p>
            <w:pPr>
              <w:widowControl/>
              <w:jc w:val="left"/>
              <w:rPr>
                <w:rFonts w:ascii="仿宋" w:hAnsi="仿宋" w:eastAsia="仿宋" w:cs="仿宋"/>
                <w:b/>
                <w:bCs/>
                <w:color w:val="auto"/>
                <w:kern w:val="0"/>
                <w:sz w:val="24"/>
                <w:highlight w:val="none"/>
              </w:rPr>
            </w:pPr>
          </w:p>
        </w:tc>
        <w:tc>
          <w:tcPr>
            <w:tcW w:w="7823" w:type="dxa"/>
            <w:vMerge w:val="continue"/>
            <w:vAlign w:val="center"/>
          </w:tcPr>
          <w:p>
            <w:pPr>
              <w:widowControl/>
              <w:jc w:val="left"/>
              <w:rPr>
                <w:rFonts w:ascii="仿宋" w:hAnsi="仿宋" w:eastAsia="仿宋" w:cs="仿宋"/>
                <w:b/>
                <w:bCs/>
                <w:color w:val="auto"/>
                <w:kern w:val="0"/>
                <w:sz w:val="24"/>
                <w:highlight w:val="none"/>
              </w:rPr>
            </w:pPr>
          </w:p>
        </w:tc>
        <w:tc>
          <w:tcPr>
            <w:tcW w:w="773" w:type="dxa"/>
            <w:vMerge w:val="continue"/>
            <w:vAlign w:val="center"/>
          </w:tcPr>
          <w:p>
            <w:pPr>
              <w:widowControl/>
              <w:jc w:val="left"/>
              <w:rPr>
                <w:rFonts w:ascii="仿宋" w:hAnsi="仿宋" w:eastAsia="仿宋" w:cs="仿宋"/>
                <w:b/>
                <w:bCs/>
                <w:color w:val="auto"/>
                <w:kern w:val="0"/>
                <w:sz w:val="24"/>
                <w:highlight w:val="none"/>
              </w:rPr>
            </w:pPr>
          </w:p>
        </w:tc>
        <w:tc>
          <w:tcPr>
            <w:tcW w:w="577" w:type="dxa"/>
            <w:vMerge w:val="continue"/>
            <w:vAlign w:val="center"/>
          </w:tcPr>
          <w:p>
            <w:pPr>
              <w:widowControl/>
              <w:jc w:val="left"/>
              <w:rPr>
                <w:rFonts w:ascii="仿宋" w:hAnsi="仿宋" w:eastAsia="仿宋" w:cs="仿宋"/>
                <w:b/>
                <w:bCs/>
                <w:color w:val="auto"/>
                <w:kern w:val="0"/>
                <w:sz w:val="24"/>
                <w:highlight w:val="none"/>
              </w:rPr>
            </w:pPr>
          </w:p>
        </w:tc>
        <w:tc>
          <w:tcPr>
            <w:tcW w:w="1604" w:type="dxa"/>
            <w:vMerge w:val="continue"/>
            <w:vAlign w:val="center"/>
          </w:tcPr>
          <w:p>
            <w:pPr>
              <w:widowControl/>
              <w:jc w:val="left"/>
              <w:rPr>
                <w:rFonts w:ascii="仿宋" w:hAnsi="仿宋" w:eastAsia="仿宋" w:cs="仿宋"/>
                <w:b/>
                <w:bCs/>
                <w:color w:val="auto"/>
                <w:kern w:val="0"/>
                <w:sz w:val="24"/>
                <w:highlight w:val="none"/>
              </w:rPr>
            </w:pPr>
          </w:p>
        </w:tc>
        <w:tc>
          <w:tcPr>
            <w:tcW w:w="1916" w:type="dxa"/>
            <w:vMerge w:val="continue"/>
            <w:vAlign w:val="center"/>
          </w:tcPr>
          <w:p>
            <w:pPr>
              <w:widowControl/>
              <w:jc w:val="left"/>
              <w:rPr>
                <w:rFonts w:ascii="仿宋" w:hAnsi="仿宋" w:eastAsia="仿宋" w:cs="仿宋"/>
                <w:b/>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一</w:t>
            </w:r>
          </w:p>
        </w:tc>
        <w:tc>
          <w:tcPr>
            <w:tcW w:w="9876" w:type="dxa"/>
            <w:gridSpan w:val="3"/>
            <w:shd w:val="clear" w:color="000000" w:fill="FFFFFF"/>
            <w:vAlign w:val="center"/>
          </w:tcPr>
          <w:p>
            <w:pPr>
              <w:widowControl/>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节能管理平台</w:t>
            </w:r>
          </w:p>
        </w:tc>
        <w:tc>
          <w:tcPr>
            <w:tcW w:w="577" w:type="dxa"/>
            <w:shd w:val="clear" w:color="000000" w:fill="FFFFFF"/>
            <w:vAlign w:val="center"/>
          </w:tcPr>
          <w:p>
            <w:pPr>
              <w:widowControl/>
              <w:jc w:val="center"/>
              <w:rPr>
                <w:rFonts w:ascii="仿宋" w:hAnsi="仿宋" w:eastAsia="仿宋" w:cs="仿宋"/>
                <w:b/>
                <w:bCs/>
                <w:color w:val="auto"/>
                <w:kern w:val="0"/>
                <w:sz w:val="24"/>
                <w:highlight w:val="none"/>
              </w:rPr>
            </w:pPr>
          </w:p>
        </w:tc>
        <w:tc>
          <w:tcPr>
            <w:tcW w:w="1604" w:type="dxa"/>
            <w:shd w:val="clear" w:color="000000" w:fill="FFFFFF"/>
            <w:noWrap/>
            <w:vAlign w:val="center"/>
          </w:tcPr>
          <w:p>
            <w:pPr>
              <w:widowControl/>
              <w:jc w:val="center"/>
              <w:rPr>
                <w:rFonts w:ascii="仿宋" w:hAnsi="仿宋" w:eastAsia="仿宋" w:cs="仿宋"/>
                <w:color w:val="auto"/>
                <w:kern w:val="0"/>
                <w:sz w:val="24"/>
                <w:highlight w:val="none"/>
              </w:rPr>
            </w:pPr>
          </w:p>
        </w:tc>
        <w:tc>
          <w:tcPr>
            <w:tcW w:w="1916" w:type="dxa"/>
            <w:shd w:val="clear" w:color="000000" w:fill="FFFFFF"/>
            <w:noWrap/>
            <w:vAlign w:val="center"/>
          </w:tcPr>
          <w:p>
            <w:pPr>
              <w:widowControl/>
              <w:jc w:val="center"/>
              <w:rPr>
                <w:rFonts w:ascii="仿宋" w:hAnsi="仿宋" w:eastAsia="仿宋" w:cs="仿宋"/>
                <w:b/>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监控中心</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Intel 四核1.44GhzCPU/内存:16G DDRIII/ 存储设备:512G SSD /千兆2个网卡/ USB2.0接口:3个/USB3.0接口:1个/ 分辨率: DP接口1920x1200@60Hz/带键盘鼠标套装/配23英寸,支持HDMI，VGA，DP接口，1920*1080。</w:t>
            </w:r>
          </w:p>
        </w:tc>
        <w:tc>
          <w:tcPr>
            <w:tcW w:w="773"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台</w:t>
            </w:r>
          </w:p>
        </w:tc>
        <w:tc>
          <w:tcPr>
            <w:tcW w:w="577"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联想/DELL/HP</w:t>
            </w:r>
          </w:p>
        </w:tc>
        <w:tc>
          <w:tcPr>
            <w:tcW w:w="1916" w:type="dxa"/>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能源管理系统</w:t>
            </w:r>
          </w:p>
        </w:tc>
        <w:tc>
          <w:tcPr>
            <w:tcW w:w="7823" w:type="dxa"/>
            <w:shd w:val="clear" w:color="000000" w:fill="FFFFFF"/>
            <w:vAlign w:val="center"/>
          </w:tcPr>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1、基于网页访问的系统平台，支持对水表、电表、气表在内的数据集中采集与分析，对能耗进行细分和统计，形成直观的数据和图表，实现远程抄表功能；</w:t>
            </w:r>
          </w:p>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2、基于机理模型建立优化控制算法，以算法驱动冷源系统能效最高的最优控制策略，并发下优化后参数。</w:t>
            </w:r>
          </w:p>
        </w:tc>
        <w:tc>
          <w:tcPr>
            <w:tcW w:w="773"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577"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p>
        </w:tc>
        <w:tc>
          <w:tcPr>
            <w:tcW w:w="1916" w:type="dxa"/>
            <w:shd w:val="clear" w:color="000000" w:fill="FFFFFF"/>
            <w:vAlign w:val="center"/>
          </w:tcPr>
          <w:p>
            <w:pPr>
              <w:widowControl/>
              <w:jc w:val="center"/>
              <w:rPr>
                <w:rFonts w:hint="eastAsia" w:ascii="仿宋" w:hAnsi="仿宋" w:eastAsia="仿宋" w:cs="仿宋"/>
                <w:b/>
                <w:bCs/>
                <w:color w:val="auto"/>
                <w:kern w:val="0"/>
                <w:sz w:val="24"/>
                <w:highlight w:val="none"/>
                <w:lang w:eastAsia="zh-CN"/>
              </w:rPr>
            </w:pPr>
            <w:r>
              <w:rPr>
                <w:rFonts w:hint="eastAsia" w:ascii="仿宋" w:hAnsi="仿宋" w:eastAsia="仿宋" w:cs="仿宋"/>
                <w:b/>
                <w:bCs/>
                <w:color w:val="auto"/>
                <w:kern w:val="0"/>
                <w:sz w:val="24"/>
                <w:highlight w:val="none"/>
              </w:rPr>
              <w:t>自主软件需具备软件著作权</w:t>
            </w:r>
          </w:p>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非自主软件需具备厂家授权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冷源群控管理平台</w:t>
            </w:r>
          </w:p>
        </w:tc>
        <w:tc>
          <w:tcPr>
            <w:tcW w:w="7823" w:type="dxa"/>
            <w:shd w:val="clear" w:color="000000" w:fill="FFFFFF"/>
            <w:vAlign w:val="center"/>
          </w:tcPr>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1、全中文，指令输入及菜单选择的方式；图形及文字显示；多方面资料的显示；</w:t>
            </w:r>
          </w:p>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2、可在显示屏显示或打印出来，并可存放在硬盘内，便于查询；软件程序能在系统内自动运行而不需要操作人员的介入；</w:t>
            </w:r>
          </w:p>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3、软件有足够的灵活性，让用户根据现场情况而做出修订；</w:t>
            </w:r>
          </w:p>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 xml:space="preserve">4、软件主要配置：用户端软件、系统设置工具、管理器、导出应用软件、数据库管理软件等； </w:t>
            </w:r>
          </w:p>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5、软件功能：趋势数据分析、汇总报告、界面监控、报警处理、安全机制、程序调试等；</w:t>
            </w:r>
          </w:p>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6、每1000条指令执行时间&lt;10ms；</w:t>
            </w:r>
          </w:p>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7、模拟量信号从输入到显示的时间&lt;3s；</w:t>
            </w:r>
          </w:p>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8、开关量信号从输入到显示的时间&lt;3s；</w:t>
            </w:r>
          </w:p>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9、从上位机操作到模拟信号的输出时间&lt;2s；</w:t>
            </w:r>
          </w:p>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10、从上位机操作到开关量信号的输出时间&lt;2s。</w:t>
            </w:r>
          </w:p>
        </w:tc>
        <w:tc>
          <w:tcPr>
            <w:tcW w:w="773"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577"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p>
        </w:tc>
        <w:tc>
          <w:tcPr>
            <w:tcW w:w="1916" w:type="dxa"/>
            <w:shd w:val="clear" w:color="000000" w:fill="FFFFFF"/>
            <w:vAlign w:val="center"/>
          </w:tcPr>
          <w:p>
            <w:pPr>
              <w:widowControl/>
              <w:jc w:val="center"/>
              <w:rPr>
                <w:rFonts w:hint="eastAsia" w:ascii="仿宋" w:hAnsi="仿宋" w:eastAsia="仿宋" w:cs="仿宋"/>
                <w:b/>
                <w:bCs/>
                <w:color w:val="auto"/>
                <w:kern w:val="0"/>
                <w:sz w:val="24"/>
                <w:highlight w:val="none"/>
                <w:lang w:eastAsia="zh-CN"/>
              </w:rPr>
            </w:pPr>
            <w:r>
              <w:rPr>
                <w:rFonts w:hint="eastAsia" w:ascii="仿宋" w:hAnsi="仿宋" w:eastAsia="仿宋" w:cs="仿宋"/>
                <w:b/>
                <w:bCs/>
                <w:color w:val="auto"/>
                <w:kern w:val="0"/>
                <w:sz w:val="24"/>
                <w:highlight w:val="none"/>
              </w:rPr>
              <w:t>自主软件需具备软件著作权</w:t>
            </w:r>
          </w:p>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非自主软件需具备厂家授权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工业交换机</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导轨安装，4个千兆电口，2个千兆光口，传输距离20公里，工业宽温型-40°C到+80°C，电源电压12~36VDC。</w:t>
            </w:r>
          </w:p>
        </w:tc>
        <w:tc>
          <w:tcPr>
            <w:tcW w:w="773"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577"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华为/华三/TP-LINK</w:t>
            </w:r>
          </w:p>
        </w:tc>
        <w:tc>
          <w:tcPr>
            <w:tcW w:w="1916" w:type="dxa"/>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w:t>
            </w:r>
          </w:p>
        </w:tc>
        <w:tc>
          <w:tcPr>
            <w:tcW w:w="9876" w:type="dxa"/>
            <w:gridSpan w:val="3"/>
            <w:shd w:val="clear" w:color="000000" w:fill="FFFFFF"/>
            <w:vAlign w:val="center"/>
          </w:tcPr>
          <w:p>
            <w:pPr>
              <w:widowControl/>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冷源节能群控控制柜</w:t>
            </w:r>
          </w:p>
        </w:tc>
        <w:tc>
          <w:tcPr>
            <w:tcW w:w="577" w:type="dxa"/>
            <w:shd w:val="clear" w:color="000000" w:fill="FFFFFF"/>
            <w:vAlign w:val="center"/>
          </w:tcPr>
          <w:p>
            <w:pPr>
              <w:widowControl/>
              <w:jc w:val="center"/>
              <w:rPr>
                <w:rFonts w:ascii="仿宋" w:hAnsi="仿宋" w:eastAsia="仿宋" w:cs="仿宋"/>
                <w:b/>
                <w:bCs/>
                <w:color w:val="auto"/>
                <w:kern w:val="0"/>
                <w:sz w:val="24"/>
                <w:highlight w:val="none"/>
              </w:rPr>
            </w:pPr>
          </w:p>
        </w:tc>
        <w:tc>
          <w:tcPr>
            <w:tcW w:w="1604" w:type="dxa"/>
            <w:shd w:val="clear" w:color="000000" w:fill="FFFFFF"/>
            <w:noWrap/>
            <w:vAlign w:val="center"/>
          </w:tcPr>
          <w:p>
            <w:pPr>
              <w:widowControl/>
              <w:jc w:val="center"/>
              <w:rPr>
                <w:rFonts w:ascii="仿宋" w:hAnsi="仿宋" w:eastAsia="仿宋" w:cs="仿宋"/>
                <w:color w:val="auto"/>
                <w:kern w:val="0"/>
                <w:sz w:val="24"/>
                <w:highlight w:val="none"/>
              </w:rPr>
            </w:pPr>
          </w:p>
        </w:tc>
        <w:tc>
          <w:tcPr>
            <w:tcW w:w="1916" w:type="dxa"/>
            <w:shd w:val="clear" w:color="000000" w:fill="FFFFFF"/>
            <w:noWrap/>
            <w:vAlign w:val="center"/>
          </w:tcPr>
          <w:p>
            <w:pPr>
              <w:widowControl/>
              <w:jc w:val="center"/>
              <w:rPr>
                <w:rFonts w:ascii="仿宋" w:hAnsi="仿宋" w:eastAsia="仿宋" w:cs="仿宋"/>
                <w:b/>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color w:val="auto"/>
                <w:highlight w:val="none"/>
              </w:rPr>
              <w:t>★</w:t>
            </w:r>
            <w:r>
              <w:rPr>
                <w:rFonts w:hint="eastAsia" w:ascii="仿宋" w:hAnsi="仿宋" w:eastAsia="仿宋" w:cs="仿宋"/>
                <w:color w:val="auto"/>
                <w:kern w:val="0"/>
                <w:sz w:val="24"/>
                <w:highlight w:val="none"/>
              </w:rPr>
              <w:t>冷源群控控制柜</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根据控制要求、图纸、国家规范进行细化设计；该控制柜控制主机、冷冻冷却泵、热水泵以及相关阀门仪表的监控，具体点位见点位配置单;控制柜尺寸2000*800*600mm一套分布式PLC CPU及I/O模块、满足每个盘柜内I/O总量的同时预留10%各类型的I/O接口、通讯模块、电源模块及配套辅料设施（柜内IO点数DI:56点、DO:32点、AI:19点、AO:10点)。</w:t>
            </w:r>
          </w:p>
        </w:tc>
        <w:tc>
          <w:tcPr>
            <w:tcW w:w="773"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577"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傲拓/源创智控/汇川</w:t>
            </w:r>
          </w:p>
        </w:tc>
        <w:tc>
          <w:tcPr>
            <w:tcW w:w="1916" w:type="dxa"/>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15寸触摸屏</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门板安装，15寸TFT，1网口1RS485串口，分辨率1024*600，支持256点</w:t>
            </w:r>
          </w:p>
        </w:tc>
        <w:tc>
          <w:tcPr>
            <w:tcW w:w="773"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577"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MCGS/迅饶/研华</w:t>
            </w:r>
          </w:p>
        </w:tc>
        <w:tc>
          <w:tcPr>
            <w:tcW w:w="1916" w:type="dxa"/>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w:t>
            </w:r>
          </w:p>
        </w:tc>
        <w:tc>
          <w:tcPr>
            <w:tcW w:w="9876" w:type="dxa"/>
            <w:gridSpan w:val="3"/>
            <w:shd w:val="clear" w:color="000000" w:fill="FFFFFF"/>
            <w:vAlign w:val="center"/>
          </w:tcPr>
          <w:p>
            <w:pPr>
              <w:widowControl/>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冷却塔智能控制柜</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p>
        </w:tc>
        <w:tc>
          <w:tcPr>
            <w:tcW w:w="1604" w:type="dxa"/>
            <w:shd w:val="clear" w:color="000000" w:fill="FFFFFF"/>
            <w:noWrap/>
            <w:vAlign w:val="center"/>
          </w:tcPr>
          <w:p>
            <w:pPr>
              <w:widowControl/>
              <w:jc w:val="center"/>
              <w:rPr>
                <w:rFonts w:ascii="仿宋" w:hAnsi="仿宋" w:eastAsia="仿宋" w:cs="仿宋"/>
                <w:color w:val="auto"/>
                <w:kern w:val="0"/>
                <w:sz w:val="24"/>
                <w:highlight w:val="none"/>
              </w:rPr>
            </w:pPr>
          </w:p>
        </w:tc>
        <w:tc>
          <w:tcPr>
            <w:tcW w:w="1916" w:type="dxa"/>
            <w:shd w:val="clear" w:color="000000" w:fill="FFFFFF"/>
            <w:noWrap/>
            <w:vAlign w:val="bottom"/>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冷却塔智能控制柜</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根据控制要求、图纸、国家规范进行细化设计；该控制柜控制主机、冷冻冷却泵、热水泵以及相关阀门仪表的监控，具体点位见点位配置单;控制柜尺寸2200*800*600mm，一套分布式PLC CPU及I/O模块、满足每个盘柜内I/O总量的同时预留10%各类型的I/O接口、通讯模块、电源模块及配套辅料设施（柜内IO点数DI:60点、DO:36点、AI:8点、AO:3点)</w:t>
            </w:r>
          </w:p>
        </w:tc>
        <w:tc>
          <w:tcPr>
            <w:tcW w:w="773"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577"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傲拓/源创智控/汇川</w:t>
            </w:r>
          </w:p>
        </w:tc>
        <w:tc>
          <w:tcPr>
            <w:tcW w:w="1916" w:type="dxa"/>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智能电表</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测量功能：实时检测和显示单相电压、单相电流、有功功率、无功功率、视在功率、功率因数、有功电度、无功电度、频率；测量精度：电压、电流、功率、功率因数0.5级，频率1级，有功电度1.0级，无功电度2.0级；具有数据远传功能，带有RS485标准串行电气接口，采用MODBUS-RTU标准开放协议或符合《多功能电能表通信规约》中的有关规定。</w:t>
            </w:r>
          </w:p>
        </w:tc>
        <w:tc>
          <w:tcPr>
            <w:tcW w:w="773"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577"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安科瑞/纳宇/正泰</w:t>
            </w:r>
          </w:p>
        </w:tc>
        <w:tc>
          <w:tcPr>
            <w:tcW w:w="1916" w:type="dxa"/>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rPr>
              <w:t>四</w:t>
            </w:r>
          </w:p>
        </w:tc>
        <w:tc>
          <w:tcPr>
            <w:tcW w:w="9876" w:type="dxa"/>
            <w:gridSpan w:val="3"/>
            <w:shd w:val="clear" w:color="000000" w:fill="FFFFFF"/>
            <w:vAlign w:val="center"/>
          </w:tcPr>
          <w:p>
            <w:pPr>
              <w:widowControl/>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主机智能电表箱</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p>
        </w:tc>
        <w:tc>
          <w:tcPr>
            <w:tcW w:w="1604" w:type="dxa"/>
            <w:shd w:val="clear" w:color="000000" w:fill="FFFFFF"/>
            <w:noWrap/>
            <w:vAlign w:val="center"/>
          </w:tcPr>
          <w:p>
            <w:pPr>
              <w:widowControl/>
              <w:jc w:val="center"/>
              <w:rPr>
                <w:rFonts w:ascii="仿宋" w:hAnsi="仿宋" w:eastAsia="仿宋" w:cs="仿宋"/>
                <w:color w:val="auto"/>
                <w:kern w:val="0"/>
                <w:sz w:val="24"/>
                <w:highlight w:val="none"/>
              </w:rPr>
            </w:pPr>
          </w:p>
        </w:tc>
        <w:tc>
          <w:tcPr>
            <w:tcW w:w="1916" w:type="dxa"/>
            <w:shd w:val="clear" w:color="000000" w:fill="FFFFFF"/>
            <w:noWrap/>
            <w:vAlign w:val="bottom"/>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主机智能电表箱</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根据控制要求、图纸、国家规范进行细化设计；该控制箱仅安装相关智能电表，用于监测能耗数据;控制箱尺寸600*300*250mm，需包含配套辅料设施</w:t>
            </w:r>
          </w:p>
        </w:tc>
        <w:tc>
          <w:tcPr>
            <w:tcW w:w="773"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577"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p>
        </w:tc>
        <w:tc>
          <w:tcPr>
            <w:tcW w:w="1916" w:type="dxa"/>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智能电表</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测量功能：实时检测和显示单相电压、单相电流、有功功率、无功功率、视在功率、功率因数、有功电度、无功电度、频率；测量精度：电压、电流、功率、功率因数0.5级，频率1级，有功电度1.0级，无功电度2.0级；具有数据远传功能，带有RS485标准串行电气接口，采用MODBUS-RTU标准开放协议或符合《多功能电能表通信规约》中的有关规定。</w:t>
            </w:r>
          </w:p>
        </w:tc>
        <w:tc>
          <w:tcPr>
            <w:tcW w:w="773"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577"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安科瑞/纳宇/正泰</w:t>
            </w:r>
          </w:p>
        </w:tc>
        <w:tc>
          <w:tcPr>
            <w:tcW w:w="1916" w:type="dxa"/>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rPr>
              <w:t>五</w:t>
            </w:r>
          </w:p>
        </w:tc>
        <w:tc>
          <w:tcPr>
            <w:tcW w:w="9876" w:type="dxa"/>
            <w:gridSpan w:val="3"/>
            <w:shd w:val="clear" w:color="000000" w:fill="FFFFFF"/>
            <w:vAlign w:val="center"/>
          </w:tcPr>
          <w:p>
            <w:pPr>
              <w:widowControl/>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冷冻/冷却泵智能电表箱</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c>
          <w:tcPr>
            <w:tcW w:w="1604"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c>
          <w:tcPr>
            <w:tcW w:w="1916" w:type="dxa"/>
            <w:shd w:val="clear" w:color="000000" w:fill="FFFFFF"/>
            <w:noWrap/>
            <w:vAlign w:val="bottom"/>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冷冻/冷却泵智能电表箱</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由厂商根据控制要求、图纸、国家规范进行细化设计；该控制箱仅安装相关智能电表，用于监测能耗数据;控制箱尺寸600*300*250mm，需包含配套辅料设施</w:t>
            </w:r>
          </w:p>
        </w:tc>
        <w:tc>
          <w:tcPr>
            <w:tcW w:w="773"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577"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p>
        </w:tc>
        <w:tc>
          <w:tcPr>
            <w:tcW w:w="1916"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智能电表</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测量功能：实时检测和显示单相电压、单相电流、有功功率、无功功率、视在功率、功率因数、有功电度、无功电度、频率；测量精度：电压、电流、功率、功率因数0.5级，频率1级，有功电度1.0级，无功电度2.0级；具有数据远传功能，带有RS485标准串行电气接口，采用MODBUS-RTU标准开放协议或符合《多功能电能表通信规约》中的有关规定。</w:t>
            </w:r>
          </w:p>
        </w:tc>
        <w:tc>
          <w:tcPr>
            <w:tcW w:w="773"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577"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安科瑞/纳宇/正泰</w:t>
            </w:r>
          </w:p>
        </w:tc>
        <w:tc>
          <w:tcPr>
            <w:tcW w:w="1916"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rPr>
              <w:t>六</w:t>
            </w:r>
          </w:p>
        </w:tc>
        <w:tc>
          <w:tcPr>
            <w:tcW w:w="9876" w:type="dxa"/>
            <w:gridSpan w:val="3"/>
            <w:shd w:val="clear" w:color="000000" w:fill="FFFFFF"/>
            <w:vAlign w:val="center"/>
          </w:tcPr>
          <w:p>
            <w:pPr>
              <w:widowControl/>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热水泵智能电表箱</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c>
          <w:tcPr>
            <w:tcW w:w="1604"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c>
          <w:tcPr>
            <w:tcW w:w="1916" w:type="dxa"/>
            <w:shd w:val="clear" w:color="000000" w:fill="FFFFFF"/>
            <w:noWrap/>
            <w:vAlign w:val="bottom"/>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热水泵智能电表箱</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根据控制要求、图纸、国家规范进行细化设计；该控制箱仅安装相关智能电表，用于监测能耗数据;控制箱尺寸600*300*250mm，需包含配套辅料设施</w:t>
            </w:r>
          </w:p>
        </w:tc>
        <w:tc>
          <w:tcPr>
            <w:tcW w:w="773"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577"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p>
        </w:tc>
        <w:tc>
          <w:tcPr>
            <w:tcW w:w="1916"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智能电表</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测量功能：实时检测和显示单相电压、单相电流、有功功率、无功功率、视在功率、功率因数、有功电度、无功电度、频率；测量精度：电压、电流、功率、功率因数0.5级，频率1级，有功电度1.0级，无功电度2.0级；具有数据远传功能，带有RS485标准串行电气接口，采用MODBUS-RTU标准开放协议或符合《多功能电能表通信规约》中的有关规定。</w:t>
            </w:r>
          </w:p>
        </w:tc>
        <w:tc>
          <w:tcPr>
            <w:tcW w:w="773"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577"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安科瑞/纳宇/正泰</w:t>
            </w:r>
          </w:p>
        </w:tc>
        <w:tc>
          <w:tcPr>
            <w:tcW w:w="1916"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rPr>
              <w:t>七</w:t>
            </w:r>
          </w:p>
        </w:tc>
        <w:tc>
          <w:tcPr>
            <w:tcW w:w="9876" w:type="dxa"/>
            <w:gridSpan w:val="3"/>
            <w:shd w:val="clear" w:color="000000" w:fill="FFFFFF"/>
            <w:vAlign w:val="center"/>
          </w:tcPr>
          <w:p>
            <w:pPr>
              <w:widowControl/>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仪表阀门</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c>
          <w:tcPr>
            <w:tcW w:w="1604"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c>
          <w:tcPr>
            <w:tcW w:w="1916" w:type="dxa"/>
            <w:shd w:val="clear" w:color="000000" w:fill="FFFFFF"/>
            <w:noWrap/>
            <w:vAlign w:val="bottom"/>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水管温度传感器</w:t>
            </w:r>
          </w:p>
        </w:tc>
        <w:tc>
          <w:tcPr>
            <w:tcW w:w="7823" w:type="dxa"/>
            <w:shd w:val="clear" w:color="000000" w:fill="FFFFFF"/>
            <w:vAlign w:val="center"/>
          </w:tcPr>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1、量程：-50～100℃</w:t>
            </w:r>
          </w:p>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2、信号输出：PT1000</w:t>
            </w:r>
          </w:p>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3、含安装套管，探头长度：125mm</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个</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源创智控/英格玛/精优达</w:t>
            </w:r>
          </w:p>
        </w:tc>
        <w:tc>
          <w:tcPr>
            <w:tcW w:w="1916" w:type="dxa"/>
            <w:shd w:val="clear" w:color="000000" w:fill="FFFFFF"/>
            <w:noWrap/>
            <w:vAlign w:val="bottom"/>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水管压力传感器</w:t>
            </w:r>
          </w:p>
        </w:tc>
        <w:tc>
          <w:tcPr>
            <w:tcW w:w="7823" w:type="dxa"/>
            <w:shd w:val="clear" w:color="000000" w:fill="FFFFFF"/>
            <w:vAlign w:val="center"/>
          </w:tcPr>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1、供电：DC24V</w:t>
            </w:r>
          </w:p>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2、量程：0～1.6MPa</w:t>
            </w:r>
          </w:p>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3、精度：±0.</w:t>
            </w:r>
            <w:r>
              <w:rPr>
                <w:rFonts w:ascii="仿宋" w:hAnsi="仿宋" w:eastAsia="仿宋" w:cs="仿宋"/>
                <w:color w:val="auto"/>
                <w:kern w:val="0"/>
                <w:sz w:val="24"/>
                <w:highlight w:val="none"/>
              </w:rPr>
              <w:t>2</w:t>
            </w:r>
            <w:r>
              <w:rPr>
                <w:rFonts w:hint="eastAsia" w:ascii="仿宋" w:hAnsi="仿宋" w:eastAsia="仿宋" w:cs="仿宋"/>
                <w:color w:val="auto"/>
                <w:kern w:val="0"/>
                <w:sz w:val="24"/>
                <w:highlight w:val="none"/>
              </w:rPr>
              <w:t>5%FS</w:t>
            </w:r>
          </w:p>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4、信号输出：二线制4～20mA</w:t>
            </w:r>
          </w:p>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5、防护级：IP65</w:t>
            </w:r>
          </w:p>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6、兼容气体和液体的压力检测</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个</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2 </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源创智控/英格玛/精优达</w:t>
            </w:r>
          </w:p>
        </w:tc>
        <w:tc>
          <w:tcPr>
            <w:tcW w:w="1916" w:type="dxa"/>
            <w:shd w:val="clear" w:color="000000" w:fill="FFFFFF"/>
            <w:noWrap/>
            <w:vAlign w:val="bottom"/>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电磁流量计</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电磁流量计（DN400），一体式，橡胶衬里，316L 电极，耐温 60 度耐压 1.0MPA，常规流量范围，精度 2%，法兰安装，4-20mA 输出，485 通讯，220V 供电，两只，深插是管径的 1/3-2/3</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个</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1 </w:t>
            </w:r>
          </w:p>
        </w:tc>
        <w:tc>
          <w:tcPr>
            <w:tcW w:w="1604"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西尼尔/科坤/米科</w:t>
            </w:r>
          </w:p>
        </w:tc>
        <w:tc>
          <w:tcPr>
            <w:tcW w:w="1916" w:type="dxa"/>
            <w:shd w:val="clear" w:color="000000" w:fill="FFFFFF"/>
            <w:noWrap/>
            <w:vAlign w:val="bottom"/>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液位传感器</w:t>
            </w:r>
          </w:p>
        </w:tc>
        <w:tc>
          <w:tcPr>
            <w:tcW w:w="7823" w:type="dxa"/>
            <w:shd w:val="clear" w:color="000000" w:fill="FFFFFF"/>
            <w:vAlign w:val="center"/>
          </w:tcPr>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1、供电：DC24V</w:t>
            </w:r>
          </w:p>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2、量程：0～3m</w:t>
            </w:r>
          </w:p>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3、精度：0.5%FS</w:t>
            </w:r>
          </w:p>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4、信号输出：0～10V</w:t>
            </w:r>
          </w:p>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5、防护级：防水：室外安装 </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个</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3 </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源创智控/英格玛/精优达</w:t>
            </w:r>
          </w:p>
        </w:tc>
        <w:tc>
          <w:tcPr>
            <w:tcW w:w="1916" w:type="dxa"/>
            <w:shd w:val="clear" w:color="000000" w:fill="FFFFFF"/>
            <w:noWrap/>
            <w:vAlign w:val="bottom"/>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室外温湿度传感器</w:t>
            </w:r>
          </w:p>
        </w:tc>
        <w:tc>
          <w:tcPr>
            <w:tcW w:w="7823" w:type="dxa"/>
            <w:shd w:val="clear" w:color="000000" w:fill="FFFFFF"/>
            <w:vAlign w:val="center"/>
          </w:tcPr>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1、供电：DC24V</w:t>
            </w:r>
          </w:p>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2、量程：0～100%RH,-50～100℃</w:t>
            </w:r>
          </w:p>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3、精度：±</w:t>
            </w:r>
            <w:r>
              <w:rPr>
                <w:rFonts w:ascii="仿宋" w:hAnsi="仿宋" w:eastAsia="仿宋" w:cs="仿宋"/>
                <w:color w:val="auto"/>
                <w:kern w:val="0"/>
                <w:sz w:val="24"/>
                <w:highlight w:val="none"/>
              </w:rPr>
              <w:t>3</w:t>
            </w:r>
            <w:r>
              <w:rPr>
                <w:rFonts w:hint="eastAsia" w:ascii="仿宋" w:hAnsi="仿宋" w:eastAsia="仿宋" w:cs="仿宋"/>
                <w:color w:val="auto"/>
                <w:kern w:val="0"/>
                <w:sz w:val="24"/>
                <w:highlight w:val="none"/>
              </w:rPr>
              <w:t>%RH，±0.</w:t>
            </w:r>
            <w:r>
              <w:rPr>
                <w:rFonts w:ascii="仿宋" w:hAnsi="仿宋" w:eastAsia="仿宋" w:cs="仿宋"/>
                <w:color w:val="auto"/>
                <w:kern w:val="0"/>
                <w:sz w:val="24"/>
                <w:highlight w:val="none"/>
              </w:rPr>
              <w:t>2</w:t>
            </w:r>
            <w:r>
              <w:rPr>
                <w:rFonts w:hint="eastAsia" w:ascii="仿宋" w:hAnsi="仿宋" w:eastAsia="仿宋" w:cs="仿宋"/>
                <w:color w:val="auto"/>
                <w:kern w:val="0"/>
                <w:sz w:val="24"/>
                <w:highlight w:val="none"/>
              </w:rPr>
              <w:t>℃</w:t>
            </w:r>
          </w:p>
          <w:p>
            <w:pPr>
              <w:widowControl/>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4、信号输出：湿度:0～10V，温度：PT1000</w:t>
            </w:r>
          </w:p>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5、防护级：IP43</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个</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1 </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源创智控/英格玛/精优达</w:t>
            </w:r>
          </w:p>
        </w:tc>
        <w:tc>
          <w:tcPr>
            <w:tcW w:w="1916" w:type="dxa"/>
            <w:shd w:val="clear" w:color="000000" w:fill="FFFFFF"/>
            <w:noWrap/>
            <w:vAlign w:val="bottom"/>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电动开关蝶阀</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DN200，球墨铸铁，PN16，水，-10~80℃，执行器工作电压AC220V</w:t>
            </w:r>
          </w:p>
        </w:tc>
        <w:tc>
          <w:tcPr>
            <w:tcW w:w="773" w:type="dxa"/>
            <w:shd w:val="clear" w:color="000000" w:fill="FFFFFF"/>
            <w:vAlign w:val="center"/>
          </w:tcPr>
          <w:p>
            <w:pPr>
              <w:widowControl/>
              <w:jc w:val="left"/>
              <w:rPr>
                <w:rFonts w:ascii="仿宋" w:hAnsi="仿宋" w:eastAsia="仿宋" w:cs="仿宋"/>
                <w:b/>
                <w:bCs/>
                <w:color w:val="auto"/>
                <w:kern w:val="0"/>
                <w:sz w:val="24"/>
                <w:highlight w:val="none"/>
              </w:rPr>
            </w:pP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1 </w:t>
            </w:r>
          </w:p>
        </w:tc>
        <w:tc>
          <w:tcPr>
            <w:tcW w:w="1604"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哲达/伊硕/泰德尔</w:t>
            </w:r>
          </w:p>
        </w:tc>
        <w:tc>
          <w:tcPr>
            <w:tcW w:w="1916" w:type="dxa"/>
            <w:shd w:val="clear" w:color="000000" w:fill="FFFFFF"/>
            <w:noWrap/>
            <w:vAlign w:val="bottom"/>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电动开关蝶阀</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DN250，球墨铸铁，PN16，水，-10~80℃，执行器工作电压AC220V</w:t>
            </w:r>
          </w:p>
        </w:tc>
        <w:tc>
          <w:tcPr>
            <w:tcW w:w="773" w:type="dxa"/>
            <w:shd w:val="clear" w:color="000000" w:fill="FFFFFF"/>
            <w:vAlign w:val="center"/>
          </w:tcPr>
          <w:p>
            <w:pPr>
              <w:widowControl/>
              <w:jc w:val="left"/>
              <w:rPr>
                <w:rFonts w:ascii="仿宋" w:hAnsi="仿宋" w:eastAsia="仿宋" w:cs="仿宋"/>
                <w:b/>
                <w:bCs/>
                <w:color w:val="auto"/>
                <w:kern w:val="0"/>
                <w:sz w:val="24"/>
                <w:highlight w:val="none"/>
              </w:rPr>
            </w:pP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1 </w:t>
            </w:r>
          </w:p>
        </w:tc>
        <w:tc>
          <w:tcPr>
            <w:tcW w:w="1604"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哲达/伊硕/泰德尔</w:t>
            </w:r>
          </w:p>
        </w:tc>
        <w:tc>
          <w:tcPr>
            <w:tcW w:w="1916" w:type="dxa"/>
            <w:shd w:val="clear" w:color="000000" w:fill="FFFFFF"/>
            <w:noWrap/>
            <w:vAlign w:val="bottom"/>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电动开关蝶阀</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DN300，球墨铸铁，PN16，水，-10~80℃，执行器工作电压AC220V</w:t>
            </w:r>
          </w:p>
        </w:tc>
        <w:tc>
          <w:tcPr>
            <w:tcW w:w="773" w:type="dxa"/>
            <w:shd w:val="clear" w:color="000000" w:fill="FFFFFF"/>
            <w:vAlign w:val="center"/>
          </w:tcPr>
          <w:p>
            <w:pPr>
              <w:widowControl/>
              <w:jc w:val="left"/>
              <w:rPr>
                <w:rFonts w:ascii="仿宋" w:hAnsi="仿宋" w:eastAsia="仿宋" w:cs="仿宋"/>
                <w:b/>
                <w:bCs/>
                <w:color w:val="auto"/>
                <w:kern w:val="0"/>
                <w:sz w:val="24"/>
                <w:highlight w:val="none"/>
              </w:rPr>
            </w:pP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6 </w:t>
            </w:r>
          </w:p>
        </w:tc>
        <w:tc>
          <w:tcPr>
            <w:tcW w:w="1604"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哲达/伊硕/泰德尔</w:t>
            </w:r>
          </w:p>
        </w:tc>
        <w:tc>
          <w:tcPr>
            <w:tcW w:w="1916" w:type="dxa"/>
            <w:shd w:val="clear" w:color="000000" w:fill="FFFFFF"/>
            <w:noWrap/>
            <w:vAlign w:val="bottom"/>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电动开关蝶阀</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DN350，球墨铸铁，PN16，水，-10~80℃，执行器工作电压AC220V</w:t>
            </w:r>
          </w:p>
        </w:tc>
        <w:tc>
          <w:tcPr>
            <w:tcW w:w="773" w:type="dxa"/>
            <w:shd w:val="clear" w:color="000000" w:fill="FFFFFF"/>
            <w:vAlign w:val="center"/>
          </w:tcPr>
          <w:p>
            <w:pPr>
              <w:widowControl/>
              <w:jc w:val="left"/>
              <w:rPr>
                <w:rFonts w:ascii="仿宋" w:hAnsi="仿宋" w:eastAsia="仿宋" w:cs="仿宋"/>
                <w:b/>
                <w:bCs/>
                <w:color w:val="auto"/>
                <w:kern w:val="0"/>
                <w:sz w:val="24"/>
                <w:highlight w:val="none"/>
              </w:rPr>
            </w:pP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2 </w:t>
            </w:r>
          </w:p>
        </w:tc>
        <w:tc>
          <w:tcPr>
            <w:tcW w:w="1604"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哲达/伊硕/泰德尔</w:t>
            </w:r>
          </w:p>
        </w:tc>
        <w:tc>
          <w:tcPr>
            <w:tcW w:w="1916" w:type="dxa"/>
            <w:shd w:val="clear" w:color="000000" w:fill="FFFFFF"/>
            <w:noWrap/>
            <w:vAlign w:val="bottom"/>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电动比例积分阀</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调节座阀，DN150，球墨铸铁，PN16，水，-10~80℃，执行器工作电压AC220V</w:t>
            </w:r>
          </w:p>
        </w:tc>
        <w:tc>
          <w:tcPr>
            <w:tcW w:w="773" w:type="dxa"/>
            <w:shd w:val="clear" w:color="000000" w:fill="FFFFFF"/>
            <w:vAlign w:val="center"/>
          </w:tcPr>
          <w:p>
            <w:pPr>
              <w:widowControl/>
              <w:jc w:val="left"/>
              <w:rPr>
                <w:rFonts w:ascii="仿宋" w:hAnsi="仿宋" w:eastAsia="仿宋" w:cs="仿宋"/>
                <w:b/>
                <w:bCs/>
                <w:color w:val="auto"/>
                <w:kern w:val="0"/>
                <w:sz w:val="24"/>
                <w:highlight w:val="none"/>
              </w:rPr>
            </w:pP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1 </w:t>
            </w:r>
          </w:p>
        </w:tc>
        <w:tc>
          <w:tcPr>
            <w:tcW w:w="1604"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哲达/伊硕/泰德尔</w:t>
            </w:r>
          </w:p>
        </w:tc>
        <w:tc>
          <w:tcPr>
            <w:tcW w:w="1916" w:type="dxa"/>
            <w:shd w:val="clear" w:color="000000" w:fill="FFFFFF"/>
            <w:noWrap/>
            <w:vAlign w:val="bottom"/>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11</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电动比例积分阀</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调节座阀，DN250，球墨铸铁，PN16，水，-10~80℃，执行器工作电压AC220V</w:t>
            </w:r>
          </w:p>
        </w:tc>
        <w:tc>
          <w:tcPr>
            <w:tcW w:w="773" w:type="dxa"/>
            <w:shd w:val="clear" w:color="000000" w:fill="FFFFFF"/>
            <w:vAlign w:val="center"/>
          </w:tcPr>
          <w:p>
            <w:pPr>
              <w:widowControl/>
              <w:jc w:val="left"/>
              <w:rPr>
                <w:rFonts w:ascii="仿宋" w:hAnsi="仿宋" w:eastAsia="仿宋" w:cs="仿宋"/>
                <w:b/>
                <w:bCs/>
                <w:color w:val="auto"/>
                <w:kern w:val="0"/>
                <w:sz w:val="24"/>
                <w:highlight w:val="none"/>
              </w:rPr>
            </w:pP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1 </w:t>
            </w:r>
          </w:p>
        </w:tc>
        <w:tc>
          <w:tcPr>
            <w:tcW w:w="1604"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哲达/伊硕/泰德尔</w:t>
            </w:r>
          </w:p>
        </w:tc>
        <w:tc>
          <w:tcPr>
            <w:tcW w:w="1916" w:type="dxa"/>
            <w:shd w:val="clear" w:color="000000" w:fill="FFFFFF"/>
            <w:noWrap/>
            <w:vAlign w:val="bottom"/>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12</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电动比例积分阀</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调节座阀，DN300，球墨铸铁，PN16，水，-10~80℃，执行器工作电压AC220V</w:t>
            </w:r>
          </w:p>
        </w:tc>
        <w:tc>
          <w:tcPr>
            <w:tcW w:w="773" w:type="dxa"/>
            <w:shd w:val="clear" w:color="000000" w:fill="FFFFFF"/>
            <w:vAlign w:val="center"/>
          </w:tcPr>
          <w:p>
            <w:pPr>
              <w:widowControl/>
              <w:jc w:val="left"/>
              <w:rPr>
                <w:rFonts w:ascii="仿宋" w:hAnsi="仿宋" w:eastAsia="仿宋" w:cs="仿宋"/>
                <w:b/>
                <w:bCs/>
                <w:color w:val="auto"/>
                <w:kern w:val="0"/>
                <w:sz w:val="24"/>
                <w:highlight w:val="none"/>
              </w:rPr>
            </w:pP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2 </w:t>
            </w:r>
          </w:p>
        </w:tc>
        <w:tc>
          <w:tcPr>
            <w:tcW w:w="1604"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哲达/伊硕/泰德尔</w:t>
            </w:r>
          </w:p>
        </w:tc>
        <w:tc>
          <w:tcPr>
            <w:tcW w:w="1916" w:type="dxa"/>
            <w:shd w:val="clear" w:color="000000" w:fill="FFFFFF"/>
            <w:noWrap/>
            <w:vAlign w:val="bottom"/>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八</w:t>
            </w:r>
          </w:p>
        </w:tc>
        <w:tc>
          <w:tcPr>
            <w:tcW w:w="10453" w:type="dxa"/>
            <w:gridSpan w:val="4"/>
            <w:shd w:val="clear" w:color="000000" w:fill="FFFFFF"/>
            <w:vAlign w:val="center"/>
          </w:tcPr>
          <w:p>
            <w:pPr>
              <w:widowControl/>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现场安装与施工</w:t>
            </w:r>
          </w:p>
        </w:tc>
        <w:tc>
          <w:tcPr>
            <w:tcW w:w="1604" w:type="dxa"/>
            <w:shd w:val="clear" w:color="000000" w:fill="FFFFFF"/>
            <w:noWrap/>
            <w:vAlign w:val="center"/>
          </w:tcPr>
          <w:p>
            <w:pPr>
              <w:widowControl/>
              <w:jc w:val="center"/>
              <w:rPr>
                <w:rFonts w:ascii="仿宋" w:hAnsi="仿宋" w:eastAsia="仿宋" w:cs="仿宋"/>
                <w:color w:val="auto"/>
                <w:kern w:val="0"/>
                <w:sz w:val="24"/>
                <w:highlight w:val="none"/>
              </w:rPr>
            </w:pPr>
          </w:p>
        </w:tc>
        <w:tc>
          <w:tcPr>
            <w:tcW w:w="1916" w:type="dxa"/>
            <w:shd w:val="clear" w:color="000000" w:fill="FFFFFF"/>
            <w:noWrap/>
            <w:vAlign w:val="center"/>
          </w:tcPr>
          <w:p>
            <w:pPr>
              <w:widowControl/>
              <w:jc w:val="center"/>
              <w:rPr>
                <w:rFonts w:ascii="仿宋" w:hAnsi="仿宋" w:eastAsia="仿宋" w:cs="仿宋"/>
                <w:b/>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桥架</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200*100，壁厚1.0</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米</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 xml:space="preserve">200 </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美特/万奇/欧宝</w:t>
            </w:r>
          </w:p>
        </w:tc>
        <w:tc>
          <w:tcPr>
            <w:tcW w:w="1916" w:type="dxa"/>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安装支架</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角钢、槽钢、吊筋等供货、加工、安装</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公斤</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 xml:space="preserve">360 </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美特/万奇/欧宝</w:t>
            </w:r>
          </w:p>
        </w:tc>
        <w:tc>
          <w:tcPr>
            <w:tcW w:w="1916" w:type="dxa"/>
            <w:shd w:val="clear" w:color="000000" w:fill="FFFFFF"/>
            <w:noWrap/>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KBG镀锌钢管</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（φ25）</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米</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 xml:space="preserve">700 </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美特/万奇/欧宝</w:t>
            </w:r>
          </w:p>
        </w:tc>
        <w:tc>
          <w:tcPr>
            <w:tcW w:w="1916" w:type="dxa"/>
            <w:shd w:val="clear" w:color="000000" w:fill="FFFFFF"/>
            <w:noWrap/>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金属软管</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（φ25）</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米</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 xml:space="preserve">65 </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美特/万奇/欧宝</w:t>
            </w:r>
          </w:p>
        </w:tc>
        <w:tc>
          <w:tcPr>
            <w:tcW w:w="1916" w:type="dxa"/>
            <w:shd w:val="clear" w:color="000000" w:fill="FFFFFF"/>
            <w:noWrap/>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通讯电缆</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超6类网线</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米</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 xml:space="preserve">200 </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康普/亨通/康宁</w:t>
            </w:r>
          </w:p>
        </w:tc>
        <w:tc>
          <w:tcPr>
            <w:tcW w:w="1916" w:type="dxa"/>
            <w:shd w:val="clear" w:color="000000" w:fill="FFFFFF"/>
            <w:noWrap/>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通讯电缆</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RVSP 2*1.0mm2</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米</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 xml:space="preserve">100 </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康普/亨通/康宁</w:t>
            </w:r>
          </w:p>
        </w:tc>
        <w:tc>
          <w:tcPr>
            <w:tcW w:w="1916" w:type="dxa"/>
            <w:shd w:val="clear" w:color="000000" w:fill="FFFFFF"/>
            <w:noWrap/>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通讯电缆</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4芯 单模</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米</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 xml:space="preserve">200 </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康普/亨通/康宁</w:t>
            </w:r>
          </w:p>
        </w:tc>
        <w:tc>
          <w:tcPr>
            <w:tcW w:w="1916" w:type="dxa"/>
            <w:shd w:val="clear" w:color="000000" w:fill="FFFFFF"/>
            <w:noWrap/>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控制电缆</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RVV-8*1.0</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米</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 xml:space="preserve">1000 </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上上/远东/起帆</w:t>
            </w:r>
          </w:p>
        </w:tc>
        <w:tc>
          <w:tcPr>
            <w:tcW w:w="1916" w:type="dxa"/>
            <w:shd w:val="clear" w:color="000000" w:fill="FFFFFF"/>
            <w:noWrap/>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控制电缆</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RVV-6*1.0</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米</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 xml:space="preserve">800 </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上上/远东/起帆</w:t>
            </w:r>
          </w:p>
        </w:tc>
        <w:tc>
          <w:tcPr>
            <w:tcW w:w="1916" w:type="dxa"/>
            <w:shd w:val="clear" w:color="000000" w:fill="FFFFFF"/>
            <w:noWrap/>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控制电缆</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RVVP-4*1.0</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米</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 xml:space="preserve">450 </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上上/远东/起帆</w:t>
            </w:r>
          </w:p>
        </w:tc>
        <w:tc>
          <w:tcPr>
            <w:tcW w:w="1916" w:type="dxa"/>
            <w:shd w:val="clear" w:color="000000" w:fill="FFFFFF"/>
            <w:noWrap/>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11</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控制电缆</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RVVP-3*1.0</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米</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 xml:space="preserve">450 </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上上/远东/起帆</w:t>
            </w:r>
          </w:p>
        </w:tc>
        <w:tc>
          <w:tcPr>
            <w:tcW w:w="1916" w:type="dxa"/>
            <w:shd w:val="clear" w:color="000000" w:fill="FFFFFF"/>
            <w:noWrap/>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12</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接线端子及其他辅材</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优质</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项</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 xml:space="preserve">1 </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上上/远东/起帆</w:t>
            </w:r>
          </w:p>
        </w:tc>
        <w:tc>
          <w:tcPr>
            <w:tcW w:w="1916" w:type="dxa"/>
            <w:shd w:val="clear" w:color="000000" w:fill="FFFFFF"/>
            <w:noWrap/>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仪表传感器接线安装调试</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温湿度、压力、液位、温度</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项</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 xml:space="preserve">13 </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p>
        </w:tc>
        <w:tc>
          <w:tcPr>
            <w:tcW w:w="1916" w:type="dxa"/>
            <w:shd w:val="clear" w:color="000000" w:fill="FFFFFF"/>
            <w:noWrap/>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阀门接线安装调试</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含法兰及管道焊接</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项</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 xml:space="preserve">14 </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p>
        </w:tc>
        <w:tc>
          <w:tcPr>
            <w:tcW w:w="1916" w:type="dxa"/>
            <w:shd w:val="clear" w:color="000000" w:fill="FFFFFF"/>
            <w:noWrap/>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控制盘接线安装调试</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2000*800*600</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项</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 xml:space="preserve">2 </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p>
        </w:tc>
        <w:tc>
          <w:tcPr>
            <w:tcW w:w="1916" w:type="dxa"/>
            <w:shd w:val="clear" w:color="000000" w:fill="FFFFFF"/>
            <w:noWrap/>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88" w:type="dxa"/>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16</w:t>
            </w:r>
          </w:p>
        </w:tc>
        <w:tc>
          <w:tcPr>
            <w:tcW w:w="1280"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控制柜接线安装调试</w:t>
            </w:r>
          </w:p>
        </w:tc>
        <w:tc>
          <w:tcPr>
            <w:tcW w:w="7823" w:type="dxa"/>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600*300*250</w:t>
            </w:r>
          </w:p>
        </w:tc>
        <w:tc>
          <w:tcPr>
            <w:tcW w:w="773"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项</w:t>
            </w:r>
          </w:p>
        </w:tc>
        <w:tc>
          <w:tcPr>
            <w:tcW w:w="577" w:type="dxa"/>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sz w:val="24"/>
                <w:highlight w:val="none"/>
              </w:rPr>
              <w:t xml:space="preserve">3 </w:t>
            </w:r>
          </w:p>
        </w:tc>
        <w:tc>
          <w:tcPr>
            <w:tcW w:w="1604" w:type="dxa"/>
            <w:shd w:val="clear" w:color="000000" w:fill="FFFFFF"/>
            <w:vAlign w:val="center"/>
          </w:tcPr>
          <w:p>
            <w:pPr>
              <w:widowControl/>
              <w:jc w:val="center"/>
              <w:rPr>
                <w:rFonts w:ascii="仿宋" w:hAnsi="仿宋" w:eastAsia="仿宋" w:cs="仿宋"/>
                <w:color w:val="auto"/>
                <w:kern w:val="0"/>
                <w:sz w:val="24"/>
                <w:highlight w:val="none"/>
              </w:rPr>
            </w:pPr>
          </w:p>
        </w:tc>
        <w:tc>
          <w:tcPr>
            <w:tcW w:w="1916" w:type="dxa"/>
            <w:shd w:val="clear" w:color="000000" w:fill="FFFFFF"/>
            <w:noWrap/>
          </w:tcPr>
          <w:p>
            <w:pPr>
              <w:widowControl/>
              <w:jc w:val="center"/>
              <w:rPr>
                <w:rFonts w:ascii="仿宋" w:hAnsi="仿宋" w:eastAsia="仿宋" w:cs="仿宋"/>
                <w:color w:val="auto"/>
                <w:kern w:val="0"/>
                <w:sz w:val="24"/>
                <w:highlight w:val="none"/>
              </w:rPr>
            </w:pPr>
          </w:p>
        </w:tc>
      </w:tr>
    </w:tbl>
    <w:p>
      <w:pPr>
        <w:ind w:firstLine="480"/>
        <w:rPr>
          <w:color w:val="auto"/>
          <w:highlight w:val="none"/>
        </w:rPr>
      </w:pPr>
    </w:p>
    <w:p>
      <w:pPr>
        <w:widowControl/>
        <w:jc w:val="left"/>
        <w:rPr>
          <w:color w:val="auto"/>
          <w:highlight w:val="none"/>
        </w:rPr>
      </w:pPr>
      <w:r>
        <w:rPr>
          <w:color w:val="auto"/>
          <w:highlight w:val="none"/>
        </w:rPr>
        <w:br w:type="page"/>
      </w:r>
    </w:p>
    <w:p>
      <w:pPr>
        <w:spacing w:line="360" w:lineRule="auto"/>
        <w:rPr>
          <w:rFonts w:ascii="仿宋" w:hAnsi="仿宋" w:eastAsia="仿宋" w:cs="仿宋"/>
          <w:b/>
          <w:bCs/>
          <w:color w:val="auto"/>
          <w:sz w:val="28"/>
          <w:szCs w:val="28"/>
          <w:highlight w:val="none"/>
        </w:rPr>
      </w:pPr>
      <w:bookmarkStart w:id="42" w:name="_Toc145329824"/>
      <w:r>
        <w:rPr>
          <w:rFonts w:hint="eastAsia" w:ascii="仿宋" w:hAnsi="仿宋" w:eastAsia="仿宋" w:cs="仿宋"/>
          <w:b/>
          <w:bCs/>
          <w:color w:val="auto"/>
          <w:sz w:val="28"/>
          <w:szCs w:val="28"/>
          <w:highlight w:val="none"/>
        </w:rPr>
        <w:t>（2）冷源控制系统点位明细</w:t>
      </w:r>
      <w:bookmarkEnd w:id="42"/>
    </w:p>
    <w:tbl>
      <w:tblPr>
        <w:tblStyle w:val="63"/>
        <w:tblW w:w="5000" w:type="pct"/>
        <w:tblInd w:w="0" w:type="dxa"/>
        <w:tblLayout w:type="autofit"/>
        <w:tblCellMar>
          <w:top w:w="0" w:type="dxa"/>
          <w:left w:w="108" w:type="dxa"/>
          <w:bottom w:w="0" w:type="dxa"/>
          <w:right w:w="108" w:type="dxa"/>
        </w:tblCellMar>
      </w:tblPr>
      <w:tblGrid>
        <w:gridCol w:w="1013"/>
        <w:gridCol w:w="28"/>
        <w:gridCol w:w="4000"/>
        <w:gridCol w:w="68"/>
        <w:gridCol w:w="2089"/>
        <w:gridCol w:w="723"/>
        <w:gridCol w:w="3244"/>
        <w:gridCol w:w="71"/>
        <w:gridCol w:w="663"/>
        <w:gridCol w:w="54"/>
        <w:gridCol w:w="678"/>
        <w:gridCol w:w="40"/>
        <w:gridCol w:w="695"/>
        <w:gridCol w:w="25"/>
        <w:gridCol w:w="717"/>
      </w:tblGrid>
      <w:tr>
        <w:tblPrEx>
          <w:tblCellMar>
            <w:top w:w="0" w:type="dxa"/>
            <w:left w:w="108" w:type="dxa"/>
            <w:bottom w:w="0" w:type="dxa"/>
            <w:right w:w="108" w:type="dxa"/>
          </w:tblCellMar>
        </w:tblPrEx>
        <w:trPr>
          <w:trHeight w:val="310" w:hRule="atLeast"/>
        </w:trPr>
        <w:tc>
          <w:tcPr>
            <w:tcW w:w="1810" w:type="pct"/>
            <w:gridSpan w:val="4"/>
            <w:tcBorders>
              <w:top w:val="nil"/>
              <w:left w:val="nil"/>
              <w:bottom w:val="single" w:color="auto" w:sz="4" w:space="0"/>
              <w:right w:val="nil"/>
            </w:tcBorders>
            <w:shd w:val="clear" w:color="auto" w:fill="auto"/>
            <w:noWrap/>
            <w:vAlign w:val="center"/>
          </w:tcPr>
          <w:p>
            <w:pPr>
              <w:widowControl/>
              <w:spacing w:line="360" w:lineRule="auto"/>
              <w:jc w:val="left"/>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rPr>
              <w:t>1）冷源群控控制柜点位明细：</w:t>
            </w:r>
          </w:p>
        </w:tc>
        <w:tc>
          <w:tcPr>
            <w:tcW w:w="740" w:type="pct"/>
            <w:tcBorders>
              <w:top w:val="nil"/>
              <w:left w:val="nil"/>
              <w:bottom w:val="single" w:color="auto" w:sz="4" w:space="0"/>
              <w:right w:val="nil"/>
            </w:tcBorders>
            <w:shd w:val="clear" w:color="auto" w:fill="auto"/>
            <w:noWrap/>
            <w:vAlign w:val="center"/>
          </w:tcPr>
          <w:p>
            <w:pPr>
              <w:widowControl/>
              <w:spacing w:line="360" w:lineRule="auto"/>
              <w:jc w:val="left"/>
              <w:rPr>
                <w:rFonts w:ascii="仿宋" w:hAnsi="仿宋" w:eastAsia="仿宋" w:cs="仿宋"/>
                <w:color w:val="auto"/>
                <w:kern w:val="0"/>
                <w:sz w:val="24"/>
                <w:highlight w:val="none"/>
              </w:rPr>
            </w:pPr>
          </w:p>
        </w:tc>
        <w:tc>
          <w:tcPr>
            <w:tcW w:w="256" w:type="pct"/>
            <w:tcBorders>
              <w:top w:val="nil"/>
              <w:left w:val="nil"/>
              <w:bottom w:val="single" w:color="auto" w:sz="4" w:space="0"/>
              <w:right w:val="nil"/>
            </w:tcBorders>
            <w:shd w:val="clear" w:color="auto" w:fill="auto"/>
            <w:noWrap/>
            <w:vAlign w:val="center"/>
          </w:tcPr>
          <w:p>
            <w:pPr>
              <w:widowControl/>
              <w:spacing w:line="360" w:lineRule="auto"/>
              <w:jc w:val="left"/>
              <w:rPr>
                <w:rFonts w:ascii="仿宋" w:hAnsi="仿宋" w:eastAsia="仿宋" w:cs="仿宋"/>
                <w:color w:val="auto"/>
                <w:kern w:val="0"/>
                <w:sz w:val="24"/>
                <w:highlight w:val="none"/>
              </w:rPr>
            </w:pPr>
          </w:p>
        </w:tc>
        <w:tc>
          <w:tcPr>
            <w:tcW w:w="1174" w:type="pct"/>
            <w:gridSpan w:val="2"/>
            <w:tcBorders>
              <w:top w:val="nil"/>
              <w:left w:val="nil"/>
              <w:bottom w:val="single" w:color="auto" w:sz="4" w:space="0"/>
              <w:right w:val="nil"/>
            </w:tcBorders>
            <w:shd w:val="clear" w:color="auto" w:fill="auto"/>
            <w:noWrap/>
            <w:vAlign w:val="center"/>
          </w:tcPr>
          <w:p>
            <w:pPr>
              <w:widowControl/>
              <w:spacing w:line="360" w:lineRule="auto"/>
              <w:jc w:val="left"/>
              <w:rPr>
                <w:rFonts w:ascii="仿宋" w:hAnsi="仿宋" w:eastAsia="仿宋" w:cs="仿宋"/>
                <w:color w:val="auto"/>
                <w:kern w:val="0"/>
                <w:sz w:val="24"/>
                <w:highlight w:val="none"/>
              </w:rPr>
            </w:pPr>
          </w:p>
        </w:tc>
        <w:tc>
          <w:tcPr>
            <w:tcW w:w="254" w:type="pct"/>
            <w:gridSpan w:val="2"/>
            <w:tcBorders>
              <w:top w:val="nil"/>
              <w:left w:val="nil"/>
              <w:bottom w:val="single" w:color="auto" w:sz="4" w:space="0"/>
              <w:right w:val="nil"/>
            </w:tcBorders>
            <w:shd w:val="clear" w:color="auto" w:fill="auto"/>
            <w:noWrap/>
            <w:vAlign w:val="bottom"/>
          </w:tcPr>
          <w:p>
            <w:pPr>
              <w:widowControl/>
              <w:spacing w:line="360" w:lineRule="auto"/>
              <w:jc w:val="left"/>
              <w:rPr>
                <w:rFonts w:ascii="仿宋" w:hAnsi="仿宋" w:eastAsia="仿宋" w:cs="仿宋"/>
                <w:color w:val="auto"/>
                <w:kern w:val="0"/>
                <w:sz w:val="24"/>
                <w:highlight w:val="none"/>
              </w:rPr>
            </w:pPr>
          </w:p>
        </w:tc>
        <w:tc>
          <w:tcPr>
            <w:tcW w:w="254" w:type="pct"/>
            <w:gridSpan w:val="2"/>
            <w:tcBorders>
              <w:top w:val="nil"/>
              <w:left w:val="nil"/>
              <w:bottom w:val="single" w:color="auto" w:sz="4" w:space="0"/>
              <w:right w:val="nil"/>
            </w:tcBorders>
            <w:shd w:val="clear" w:color="auto" w:fill="auto"/>
            <w:noWrap/>
            <w:vAlign w:val="bottom"/>
          </w:tcPr>
          <w:p>
            <w:pPr>
              <w:widowControl/>
              <w:spacing w:line="360" w:lineRule="auto"/>
              <w:jc w:val="left"/>
              <w:rPr>
                <w:rFonts w:ascii="仿宋" w:hAnsi="仿宋" w:eastAsia="仿宋" w:cs="仿宋"/>
                <w:color w:val="auto"/>
                <w:kern w:val="0"/>
                <w:sz w:val="24"/>
                <w:highlight w:val="none"/>
              </w:rPr>
            </w:pPr>
          </w:p>
        </w:tc>
        <w:tc>
          <w:tcPr>
            <w:tcW w:w="255" w:type="pct"/>
            <w:gridSpan w:val="2"/>
            <w:tcBorders>
              <w:top w:val="nil"/>
              <w:left w:val="nil"/>
              <w:bottom w:val="single" w:color="auto" w:sz="4" w:space="0"/>
              <w:right w:val="nil"/>
            </w:tcBorders>
            <w:shd w:val="clear" w:color="auto" w:fill="auto"/>
            <w:noWrap/>
            <w:vAlign w:val="bottom"/>
          </w:tcPr>
          <w:p>
            <w:pPr>
              <w:widowControl/>
              <w:spacing w:line="360" w:lineRule="auto"/>
              <w:jc w:val="left"/>
              <w:rPr>
                <w:rFonts w:ascii="仿宋" w:hAnsi="仿宋" w:eastAsia="仿宋" w:cs="仿宋"/>
                <w:color w:val="auto"/>
                <w:kern w:val="0"/>
                <w:sz w:val="24"/>
                <w:highlight w:val="none"/>
              </w:rPr>
            </w:pPr>
          </w:p>
        </w:tc>
        <w:tc>
          <w:tcPr>
            <w:tcW w:w="254" w:type="pct"/>
            <w:tcBorders>
              <w:top w:val="nil"/>
              <w:left w:val="nil"/>
              <w:bottom w:val="single" w:color="auto" w:sz="4" w:space="0"/>
              <w:right w:val="nil"/>
            </w:tcBorders>
            <w:shd w:val="clear" w:color="auto" w:fill="auto"/>
            <w:noWrap/>
            <w:vAlign w:val="bottom"/>
          </w:tcPr>
          <w:p>
            <w:pPr>
              <w:widowControl/>
              <w:spacing w:line="360" w:lineRule="auto"/>
              <w:jc w:val="left"/>
              <w:rPr>
                <w:rFonts w:ascii="仿宋" w:hAnsi="仿宋" w:eastAsia="仿宋" w:cs="仿宋"/>
                <w:color w:val="auto"/>
                <w:kern w:val="0"/>
                <w:sz w:val="24"/>
                <w:highlight w:val="none"/>
              </w:rPr>
            </w:pPr>
          </w:p>
        </w:tc>
      </w:tr>
      <w:tr>
        <w:tblPrEx>
          <w:tblCellMar>
            <w:top w:w="0" w:type="dxa"/>
            <w:left w:w="108" w:type="dxa"/>
            <w:bottom w:w="0" w:type="dxa"/>
            <w:right w:w="108" w:type="dxa"/>
          </w:tblCellMar>
        </w:tblPrEx>
        <w:trPr>
          <w:trHeight w:val="300" w:hRule="atLeast"/>
        </w:trPr>
        <w:tc>
          <w:tcPr>
            <w:tcW w:w="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145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材料名称</w:t>
            </w:r>
          </w:p>
        </w:tc>
        <w:tc>
          <w:tcPr>
            <w:tcW w:w="7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设备情况</w:t>
            </w:r>
          </w:p>
        </w:tc>
        <w:tc>
          <w:tcPr>
            <w:tcW w:w="2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数量</w:t>
            </w:r>
          </w:p>
        </w:tc>
        <w:tc>
          <w:tcPr>
            <w:tcW w:w="117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备注</w:t>
            </w: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DI</w:t>
            </w: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DO</w:t>
            </w:r>
          </w:p>
        </w:tc>
        <w:tc>
          <w:tcPr>
            <w:tcW w:w="25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AI</w:t>
            </w:r>
          </w:p>
        </w:tc>
        <w:tc>
          <w:tcPr>
            <w:tcW w:w="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AO</w:t>
            </w:r>
          </w:p>
        </w:tc>
      </w:tr>
      <w:tr>
        <w:tblPrEx>
          <w:tblCellMar>
            <w:top w:w="0" w:type="dxa"/>
            <w:left w:w="108" w:type="dxa"/>
            <w:bottom w:w="0" w:type="dxa"/>
            <w:right w:w="108" w:type="dxa"/>
          </w:tblCellMar>
        </w:tblPrEx>
        <w:trPr>
          <w:trHeight w:val="300" w:hRule="atLeast"/>
        </w:trPr>
        <w:tc>
          <w:tcPr>
            <w:tcW w:w="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45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水管温度传感器监测点</w:t>
            </w:r>
          </w:p>
        </w:tc>
        <w:tc>
          <w:tcPr>
            <w:tcW w:w="7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新增仪表监测</w:t>
            </w:r>
          </w:p>
        </w:tc>
        <w:tc>
          <w:tcPr>
            <w:tcW w:w="2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117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冷冻水供/回水主管 </w:t>
            </w: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5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r>
      <w:tr>
        <w:tblPrEx>
          <w:tblCellMar>
            <w:top w:w="0" w:type="dxa"/>
            <w:left w:w="108" w:type="dxa"/>
            <w:bottom w:w="0" w:type="dxa"/>
            <w:right w:w="108" w:type="dxa"/>
          </w:tblCellMar>
        </w:tblPrEx>
        <w:trPr>
          <w:trHeight w:val="300" w:hRule="atLeast"/>
        </w:trPr>
        <w:tc>
          <w:tcPr>
            <w:tcW w:w="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145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水管压力传感器监测点</w:t>
            </w:r>
          </w:p>
        </w:tc>
        <w:tc>
          <w:tcPr>
            <w:tcW w:w="7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新增仪表监测</w:t>
            </w:r>
          </w:p>
        </w:tc>
        <w:tc>
          <w:tcPr>
            <w:tcW w:w="2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117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冷冻水供/回水主管 </w:t>
            </w: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5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r>
      <w:tr>
        <w:tblPrEx>
          <w:tblCellMar>
            <w:top w:w="0" w:type="dxa"/>
            <w:left w:w="108" w:type="dxa"/>
            <w:bottom w:w="0" w:type="dxa"/>
            <w:right w:w="108" w:type="dxa"/>
          </w:tblCellMar>
        </w:tblPrEx>
        <w:trPr>
          <w:trHeight w:val="300" w:hRule="atLeast"/>
        </w:trPr>
        <w:tc>
          <w:tcPr>
            <w:tcW w:w="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45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水管温度传感器监测点</w:t>
            </w:r>
          </w:p>
        </w:tc>
        <w:tc>
          <w:tcPr>
            <w:tcW w:w="7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新增仪表监测</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117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冷却水供/回水主管 </w:t>
            </w: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5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r>
      <w:tr>
        <w:tblPrEx>
          <w:tblCellMar>
            <w:top w:w="0" w:type="dxa"/>
            <w:left w:w="108" w:type="dxa"/>
            <w:bottom w:w="0" w:type="dxa"/>
            <w:right w:w="108" w:type="dxa"/>
          </w:tblCellMar>
        </w:tblPrEx>
        <w:trPr>
          <w:trHeight w:val="300" w:hRule="atLeast"/>
        </w:trPr>
        <w:tc>
          <w:tcPr>
            <w:tcW w:w="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145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电磁流量计监测点</w:t>
            </w:r>
          </w:p>
        </w:tc>
        <w:tc>
          <w:tcPr>
            <w:tcW w:w="7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新增仪表监测</w:t>
            </w:r>
          </w:p>
        </w:tc>
        <w:tc>
          <w:tcPr>
            <w:tcW w:w="2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17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冷冻水回水主管</w:t>
            </w: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5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r>
      <w:tr>
        <w:tblPrEx>
          <w:tblCellMar>
            <w:top w:w="0" w:type="dxa"/>
            <w:left w:w="108" w:type="dxa"/>
            <w:bottom w:w="0" w:type="dxa"/>
            <w:right w:w="108" w:type="dxa"/>
          </w:tblCellMar>
        </w:tblPrEx>
        <w:trPr>
          <w:trHeight w:val="300" w:hRule="atLeast"/>
        </w:trPr>
        <w:tc>
          <w:tcPr>
            <w:tcW w:w="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w:t>
            </w:r>
          </w:p>
        </w:tc>
        <w:tc>
          <w:tcPr>
            <w:tcW w:w="145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冷水机组控制点</w:t>
            </w:r>
          </w:p>
        </w:tc>
        <w:tc>
          <w:tcPr>
            <w:tcW w:w="7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原设备点位监测</w:t>
            </w:r>
          </w:p>
        </w:tc>
        <w:tc>
          <w:tcPr>
            <w:tcW w:w="2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17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RS485（硬接线备用）</w:t>
            </w: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w:t>
            </w: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25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r>
      <w:tr>
        <w:tblPrEx>
          <w:tblCellMar>
            <w:top w:w="0" w:type="dxa"/>
            <w:left w:w="108" w:type="dxa"/>
            <w:bottom w:w="0" w:type="dxa"/>
            <w:right w:w="108" w:type="dxa"/>
          </w:tblCellMar>
        </w:tblPrEx>
        <w:trPr>
          <w:trHeight w:val="300" w:hRule="atLeast"/>
        </w:trPr>
        <w:tc>
          <w:tcPr>
            <w:tcW w:w="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w:t>
            </w:r>
          </w:p>
        </w:tc>
        <w:tc>
          <w:tcPr>
            <w:tcW w:w="145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蒸发器侧电动蝶阀监控点</w:t>
            </w:r>
          </w:p>
        </w:tc>
        <w:tc>
          <w:tcPr>
            <w:tcW w:w="7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新增阀门监控</w:t>
            </w:r>
          </w:p>
        </w:tc>
        <w:tc>
          <w:tcPr>
            <w:tcW w:w="2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17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w:t>
            </w: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w:t>
            </w:r>
          </w:p>
        </w:tc>
        <w:tc>
          <w:tcPr>
            <w:tcW w:w="25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r>
      <w:tr>
        <w:tblPrEx>
          <w:tblCellMar>
            <w:top w:w="0" w:type="dxa"/>
            <w:left w:w="108" w:type="dxa"/>
            <w:bottom w:w="0" w:type="dxa"/>
            <w:right w:w="108" w:type="dxa"/>
          </w:tblCellMar>
        </w:tblPrEx>
        <w:trPr>
          <w:trHeight w:val="300" w:hRule="atLeast"/>
        </w:trPr>
        <w:tc>
          <w:tcPr>
            <w:tcW w:w="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w:t>
            </w:r>
          </w:p>
        </w:tc>
        <w:tc>
          <w:tcPr>
            <w:tcW w:w="145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冷凝器侧电动蝶阀监控点</w:t>
            </w:r>
          </w:p>
        </w:tc>
        <w:tc>
          <w:tcPr>
            <w:tcW w:w="7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新增阀门监控</w:t>
            </w:r>
          </w:p>
        </w:tc>
        <w:tc>
          <w:tcPr>
            <w:tcW w:w="2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17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w:t>
            </w: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w:t>
            </w:r>
          </w:p>
        </w:tc>
        <w:tc>
          <w:tcPr>
            <w:tcW w:w="25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r>
      <w:tr>
        <w:tblPrEx>
          <w:tblCellMar>
            <w:top w:w="0" w:type="dxa"/>
            <w:left w:w="108" w:type="dxa"/>
            <w:bottom w:w="0" w:type="dxa"/>
            <w:right w:w="108" w:type="dxa"/>
          </w:tblCellMar>
        </w:tblPrEx>
        <w:trPr>
          <w:trHeight w:val="300" w:hRule="atLeast"/>
        </w:trPr>
        <w:tc>
          <w:tcPr>
            <w:tcW w:w="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w:t>
            </w:r>
          </w:p>
        </w:tc>
        <w:tc>
          <w:tcPr>
            <w:tcW w:w="145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压差旁通阀联锁控制点</w:t>
            </w:r>
          </w:p>
        </w:tc>
        <w:tc>
          <w:tcPr>
            <w:tcW w:w="7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新增阀门监控</w:t>
            </w:r>
          </w:p>
        </w:tc>
        <w:tc>
          <w:tcPr>
            <w:tcW w:w="2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17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5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r>
      <w:tr>
        <w:tblPrEx>
          <w:tblCellMar>
            <w:top w:w="0" w:type="dxa"/>
            <w:left w:w="108" w:type="dxa"/>
            <w:bottom w:w="0" w:type="dxa"/>
            <w:right w:w="108" w:type="dxa"/>
          </w:tblCellMar>
        </w:tblPrEx>
        <w:trPr>
          <w:trHeight w:val="300" w:hRule="atLeast"/>
        </w:trPr>
        <w:tc>
          <w:tcPr>
            <w:tcW w:w="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w:t>
            </w:r>
          </w:p>
        </w:tc>
        <w:tc>
          <w:tcPr>
            <w:tcW w:w="145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冷冻水泵变频监控点</w:t>
            </w:r>
          </w:p>
        </w:tc>
        <w:tc>
          <w:tcPr>
            <w:tcW w:w="7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原设备点位监测</w:t>
            </w:r>
          </w:p>
        </w:tc>
        <w:tc>
          <w:tcPr>
            <w:tcW w:w="2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17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w:t>
            </w: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25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r>
      <w:tr>
        <w:tblPrEx>
          <w:tblCellMar>
            <w:top w:w="0" w:type="dxa"/>
            <w:left w:w="108" w:type="dxa"/>
            <w:bottom w:w="0" w:type="dxa"/>
            <w:right w:w="108" w:type="dxa"/>
          </w:tblCellMar>
        </w:tblPrEx>
        <w:trPr>
          <w:trHeight w:val="300" w:hRule="atLeast"/>
        </w:trPr>
        <w:tc>
          <w:tcPr>
            <w:tcW w:w="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w:t>
            </w:r>
          </w:p>
        </w:tc>
        <w:tc>
          <w:tcPr>
            <w:tcW w:w="145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冷却水泵变频监控点</w:t>
            </w:r>
          </w:p>
        </w:tc>
        <w:tc>
          <w:tcPr>
            <w:tcW w:w="7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原设备点位监测</w:t>
            </w:r>
          </w:p>
        </w:tc>
        <w:tc>
          <w:tcPr>
            <w:tcW w:w="2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17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w:t>
            </w: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25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r>
      <w:tr>
        <w:tblPrEx>
          <w:tblCellMar>
            <w:top w:w="0" w:type="dxa"/>
            <w:left w:w="108" w:type="dxa"/>
            <w:bottom w:w="0" w:type="dxa"/>
            <w:right w:w="108" w:type="dxa"/>
          </w:tblCellMar>
        </w:tblPrEx>
        <w:trPr>
          <w:trHeight w:val="300" w:hRule="atLeast"/>
        </w:trPr>
        <w:tc>
          <w:tcPr>
            <w:tcW w:w="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11</w:t>
            </w:r>
          </w:p>
        </w:tc>
        <w:tc>
          <w:tcPr>
            <w:tcW w:w="145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热水泵变频监控点</w:t>
            </w:r>
          </w:p>
        </w:tc>
        <w:tc>
          <w:tcPr>
            <w:tcW w:w="7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原设备点位监测</w:t>
            </w:r>
          </w:p>
        </w:tc>
        <w:tc>
          <w:tcPr>
            <w:tcW w:w="2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17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w:t>
            </w: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25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r>
      <w:tr>
        <w:tblPrEx>
          <w:tblCellMar>
            <w:top w:w="0" w:type="dxa"/>
            <w:left w:w="108" w:type="dxa"/>
            <w:bottom w:w="0" w:type="dxa"/>
            <w:right w:w="108" w:type="dxa"/>
          </w:tblCellMar>
        </w:tblPrEx>
        <w:trPr>
          <w:trHeight w:val="310" w:hRule="atLeast"/>
        </w:trPr>
        <w:tc>
          <w:tcPr>
            <w:tcW w:w="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12</w:t>
            </w:r>
          </w:p>
        </w:tc>
        <w:tc>
          <w:tcPr>
            <w:tcW w:w="145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冷热水切换电动蝶阀监控点</w:t>
            </w:r>
          </w:p>
        </w:tc>
        <w:tc>
          <w:tcPr>
            <w:tcW w:w="7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新增阀门监控</w:t>
            </w:r>
          </w:p>
        </w:tc>
        <w:tc>
          <w:tcPr>
            <w:tcW w:w="2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117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w:t>
            </w:r>
          </w:p>
        </w:tc>
        <w:tc>
          <w:tcPr>
            <w:tcW w:w="25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w:t>
            </w:r>
          </w:p>
        </w:tc>
        <w:tc>
          <w:tcPr>
            <w:tcW w:w="25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r>
      <w:tr>
        <w:tblPrEx>
          <w:tblCellMar>
            <w:top w:w="0" w:type="dxa"/>
            <w:left w:w="108" w:type="dxa"/>
            <w:bottom w:w="0" w:type="dxa"/>
            <w:right w:w="108" w:type="dxa"/>
          </w:tblCellMar>
        </w:tblPrEx>
        <w:trPr>
          <w:trHeight w:val="310" w:hRule="atLeast"/>
        </w:trPr>
        <w:tc>
          <w:tcPr>
            <w:tcW w:w="1786" w:type="pct"/>
            <w:gridSpan w:val="3"/>
            <w:tcBorders>
              <w:top w:val="nil"/>
              <w:left w:val="nil"/>
              <w:bottom w:val="single" w:color="auto" w:sz="8" w:space="0"/>
              <w:right w:val="nil"/>
            </w:tcBorders>
            <w:shd w:val="clear" w:color="auto" w:fill="auto"/>
            <w:noWrap/>
            <w:vAlign w:val="center"/>
          </w:tcPr>
          <w:p>
            <w:pPr>
              <w:widowControl/>
              <w:jc w:val="left"/>
              <w:rPr>
                <w:rFonts w:ascii="仿宋" w:hAnsi="仿宋" w:eastAsia="仿宋" w:cs="仿宋"/>
                <w:b/>
                <w:bCs/>
                <w:color w:val="auto"/>
                <w:kern w:val="0"/>
                <w:sz w:val="24"/>
                <w:highlight w:val="none"/>
              </w:rPr>
            </w:pPr>
          </w:p>
          <w:p>
            <w:pPr>
              <w:widowControl/>
              <w:jc w:val="left"/>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rPr>
              <w:t>2）冷却塔智能控制柜点位明细：</w:t>
            </w:r>
          </w:p>
        </w:tc>
        <w:tc>
          <w:tcPr>
            <w:tcW w:w="764" w:type="pct"/>
            <w:gridSpan w:val="2"/>
            <w:tcBorders>
              <w:top w:val="nil"/>
              <w:left w:val="nil"/>
              <w:bottom w:val="single" w:color="auto" w:sz="8" w:space="0"/>
              <w:right w:val="nil"/>
            </w:tcBorders>
            <w:shd w:val="clear" w:color="auto" w:fill="auto"/>
            <w:noWrap/>
            <w:vAlign w:val="center"/>
          </w:tcPr>
          <w:p>
            <w:pPr>
              <w:widowControl/>
              <w:jc w:val="left"/>
              <w:rPr>
                <w:rFonts w:ascii="仿宋" w:hAnsi="仿宋" w:eastAsia="仿宋" w:cs="仿宋"/>
                <w:color w:val="auto"/>
                <w:kern w:val="0"/>
                <w:sz w:val="24"/>
                <w:highlight w:val="none"/>
              </w:rPr>
            </w:pPr>
          </w:p>
        </w:tc>
        <w:tc>
          <w:tcPr>
            <w:tcW w:w="256" w:type="pct"/>
            <w:tcBorders>
              <w:top w:val="nil"/>
              <w:left w:val="nil"/>
              <w:bottom w:val="single" w:color="auto" w:sz="8" w:space="0"/>
              <w:right w:val="nil"/>
            </w:tcBorders>
            <w:shd w:val="clear" w:color="auto" w:fill="auto"/>
            <w:noWrap/>
            <w:vAlign w:val="center"/>
          </w:tcPr>
          <w:p>
            <w:pPr>
              <w:widowControl/>
              <w:jc w:val="left"/>
              <w:rPr>
                <w:rFonts w:ascii="仿宋" w:hAnsi="仿宋" w:eastAsia="仿宋" w:cs="仿宋"/>
                <w:color w:val="auto"/>
                <w:kern w:val="0"/>
                <w:sz w:val="24"/>
                <w:highlight w:val="none"/>
              </w:rPr>
            </w:pPr>
          </w:p>
        </w:tc>
        <w:tc>
          <w:tcPr>
            <w:tcW w:w="1149" w:type="pct"/>
            <w:tcBorders>
              <w:top w:val="nil"/>
              <w:left w:val="nil"/>
              <w:bottom w:val="single" w:color="auto" w:sz="8" w:space="0"/>
              <w:right w:val="nil"/>
            </w:tcBorders>
            <w:shd w:val="clear" w:color="auto" w:fill="auto"/>
            <w:noWrap/>
            <w:vAlign w:val="center"/>
          </w:tcPr>
          <w:p>
            <w:pPr>
              <w:widowControl/>
              <w:jc w:val="left"/>
              <w:rPr>
                <w:rFonts w:ascii="仿宋" w:hAnsi="仿宋" w:eastAsia="仿宋" w:cs="仿宋"/>
                <w:color w:val="auto"/>
                <w:kern w:val="0"/>
                <w:sz w:val="24"/>
                <w:highlight w:val="none"/>
              </w:rPr>
            </w:pPr>
          </w:p>
        </w:tc>
        <w:tc>
          <w:tcPr>
            <w:tcW w:w="260" w:type="pct"/>
            <w:gridSpan w:val="2"/>
            <w:tcBorders>
              <w:top w:val="nil"/>
              <w:left w:val="nil"/>
              <w:bottom w:val="nil"/>
              <w:right w:val="nil"/>
            </w:tcBorders>
            <w:shd w:val="clear" w:color="auto" w:fill="auto"/>
            <w:noWrap/>
            <w:vAlign w:val="bottom"/>
          </w:tcPr>
          <w:p>
            <w:pPr>
              <w:widowControl/>
              <w:jc w:val="left"/>
              <w:rPr>
                <w:rFonts w:ascii="仿宋" w:hAnsi="仿宋" w:eastAsia="仿宋" w:cs="仿宋"/>
                <w:color w:val="auto"/>
                <w:kern w:val="0"/>
                <w:sz w:val="24"/>
                <w:highlight w:val="none"/>
              </w:rPr>
            </w:pPr>
          </w:p>
        </w:tc>
        <w:tc>
          <w:tcPr>
            <w:tcW w:w="259" w:type="pct"/>
            <w:gridSpan w:val="2"/>
            <w:tcBorders>
              <w:top w:val="nil"/>
              <w:left w:val="nil"/>
              <w:bottom w:val="nil"/>
              <w:right w:val="nil"/>
            </w:tcBorders>
            <w:shd w:val="clear" w:color="auto" w:fill="auto"/>
            <w:noWrap/>
            <w:vAlign w:val="bottom"/>
          </w:tcPr>
          <w:p>
            <w:pPr>
              <w:widowControl/>
              <w:jc w:val="left"/>
              <w:rPr>
                <w:rFonts w:ascii="仿宋" w:hAnsi="仿宋" w:eastAsia="仿宋" w:cs="仿宋"/>
                <w:color w:val="auto"/>
                <w:kern w:val="0"/>
                <w:sz w:val="24"/>
                <w:highlight w:val="none"/>
              </w:rPr>
            </w:pPr>
          </w:p>
        </w:tc>
        <w:tc>
          <w:tcPr>
            <w:tcW w:w="260" w:type="pct"/>
            <w:gridSpan w:val="2"/>
            <w:tcBorders>
              <w:top w:val="nil"/>
              <w:left w:val="nil"/>
              <w:bottom w:val="nil"/>
              <w:right w:val="nil"/>
            </w:tcBorders>
            <w:shd w:val="clear" w:color="auto" w:fill="auto"/>
            <w:noWrap/>
            <w:vAlign w:val="bottom"/>
          </w:tcPr>
          <w:p>
            <w:pPr>
              <w:widowControl/>
              <w:jc w:val="left"/>
              <w:rPr>
                <w:rFonts w:ascii="仿宋" w:hAnsi="仿宋" w:eastAsia="仿宋" w:cs="仿宋"/>
                <w:color w:val="auto"/>
                <w:kern w:val="0"/>
                <w:sz w:val="24"/>
                <w:highlight w:val="none"/>
              </w:rPr>
            </w:pPr>
          </w:p>
        </w:tc>
        <w:tc>
          <w:tcPr>
            <w:tcW w:w="262" w:type="pct"/>
            <w:gridSpan w:val="2"/>
            <w:tcBorders>
              <w:top w:val="nil"/>
              <w:left w:val="nil"/>
              <w:bottom w:val="nil"/>
              <w:right w:val="nil"/>
            </w:tcBorders>
            <w:shd w:val="clear" w:color="auto" w:fill="auto"/>
            <w:noWrap/>
            <w:vAlign w:val="bottom"/>
          </w:tcPr>
          <w:p>
            <w:pPr>
              <w:widowControl/>
              <w:jc w:val="left"/>
              <w:rPr>
                <w:rFonts w:ascii="仿宋" w:hAnsi="仿宋" w:eastAsia="仿宋" w:cs="仿宋"/>
                <w:color w:val="auto"/>
                <w:kern w:val="0"/>
                <w:sz w:val="24"/>
                <w:highlight w:val="none"/>
              </w:rPr>
            </w:pPr>
          </w:p>
        </w:tc>
      </w:tr>
      <w:tr>
        <w:tblPrEx>
          <w:tblCellMar>
            <w:top w:w="0" w:type="dxa"/>
            <w:left w:w="108" w:type="dxa"/>
            <w:bottom w:w="0" w:type="dxa"/>
            <w:right w:w="108" w:type="dxa"/>
          </w:tblCellMar>
        </w:tblPrEx>
        <w:trPr>
          <w:trHeight w:val="310" w:hRule="atLeast"/>
        </w:trPr>
        <w:tc>
          <w:tcPr>
            <w:tcW w:w="369" w:type="pct"/>
            <w:gridSpan w:val="2"/>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141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材料名称</w:t>
            </w:r>
          </w:p>
        </w:tc>
        <w:tc>
          <w:tcPr>
            <w:tcW w:w="764"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设备情况</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数量</w:t>
            </w:r>
          </w:p>
        </w:tc>
        <w:tc>
          <w:tcPr>
            <w:tcW w:w="1149" w:type="pct"/>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备注</w:t>
            </w:r>
          </w:p>
        </w:tc>
        <w:tc>
          <w:tcPr>
            <w:tcW w:w="26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DI</w:t>
            </w:r>
          </w:p>
        </w:tc>
        <w:tc>
          <w:tcPr>
            <w:tcW w:w="25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DO</w:t>
            </w:r>
          </w:p>
        </w:tc>
        <w:tc>
          <w:tcPr>
            <w:tcW w:w="26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AI</w:t>
            </w:r>
          </w:p>
        </w:tc>
        <w:tc>
          <w:tcPr>
            <w:tcW w:w="26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AO</w:t>
            </w:r>
          </w:p>
        </w:tc>
      </w:tr>
      <w:tr>
        <w:tblPrEx>
          <w:tblCellMar>
            <w:top w:w="0" w:type="dxa"/>
            <w:left w:w="108" w:type="dxa"/>
            <w:bottom w:w="0" w:type="dxa"/>
            <w:right w:w="108" w:type="dxa"/>
          </w:tblCellMar>
        </w:tblPrEx>
        <w:trPr>
          <w:trHeight w:val="300" w:hRule="atLeast"/>
        </w:trPr>
        <w:tc>
          <w:tcPr>
            <w:tcW w:w="369" w:type="pct"/>
            <w:gridSpan w:val="2"/>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41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室外温湿度传感器监控点</w:t>
            </w:r>
          </w:p>
        </w:tc>
        <w:tc>
          <w:tcPr>
            <w:tcW w:w="76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新增仪表监测</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149" w:type="pct"/>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仿宋"/>
                <w:color w:val="auto"/>
                <w:kern w:val="0"/>
                <w:sz w:val="24"/>
                <w:highlight w:val="none"/>
              </w:rPr>
            </w:pPr>
          </w:p>
        </w:tc>
        <w:tc>
          <w:tcPr>
            <w:tcW w:w="260"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59"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60"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26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r>
      <w:tr>
        <w:tblPrEx>
          <w:tblCellMar>
            <w:top w:w="0" w:type="dxa"/>
            <w:left w:w="108" w:type="dxa"/>
            <w:bottom w:w="0" w:type="dxa"/>
            <w:right w:w="108" w:type="dxa"/>
          </w:tblCellMar>
        </w:tblPrEx>
        <w:trPr>
          <w:trHeight w:val="300" w:hRule="atLeast"/>
        </w:trPr>
        <w:tc>
          <w:tcPr>
            <w:tcW w:w="369" w:type="pct"/>
            <w:gridSpan w:val="2"/>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1416"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冷却塔风机工频监控点</w:t>
            </w:r>
          </w:p>
        </w:tc>
        <w:tc>
          <w:tcPr>
            <w:tcW w:w="764"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原设备点位监测</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12</w:t>
            </w:r>
          </w:p>
        </w:tc>
        <w:tc>
          <w:tcPr>
            <w:tcW w:w="1149" w:type="pct"/>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仿宋"/>
                <w:color w:val="auto"/>
                <w:kern w:val="0"/>
                <w:sz w:val="24"/>
                <w:highlight w:val="none"/>
              </w:rPr>
            </w:pPr>
          </w:p>
        </w:tc>
        <w:tc>
          <w:tcPr>
            <w:tcW w:w="260"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36</w:t>
            </w:r>
          </w:p>
        </w:tc>
        <w:tc>
          <w:tcPr>
            <w:tcW w:w="259"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12</w:t>
            </w:r>
          </w:p>
        </w:tc>
        <w:tc>
          <w:tcPr>
            <w:tcW w:w="260"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6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r>
      <w:tr>
        <w:tblPrEx>
          <w:tblCellMar>
            <w:top w:w="0" w:type="dxa"/>
            <w:left w:w="108" w:type="dxa"/>
            <w:bottom w:w="0" w:type="dxa"/>
            <w:right w:w="108" w:type="dxa"/>
          </w:tblCellMar>
        </w:tblPrEx>
        <w:trPr>
          <w:trHeight w:val="300" w:hRule="atLeast"/>
        </w:trPr>
        <w:tc>
          <w:tcPr>
            <w:tcW w:w="369" w:type="pct"/>
            <w:gridSpan w:val="2"/>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416"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冷却塔进水蝶阀监控点</w:t>
            </w:r>
          </w:p>
        </w:tc>
        <w:tc>
          <w:tcPr>
            <w:tcW w:w="764"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原设备点位监测</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12</w:t>
            </w:r>
          </w:p>
        </w:tc>
        <w:tc>
          <w:tcPr>
            <w:tcW w:w="1149" w:type="pct"/>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开关量</w:t>
            </w:r>
          </w:p>
        </w:tc>
        <w:tc>
          <w:tcPr>
            <w:tcW w:w="260"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24</w:t>
            </w:r>
          </w:p>
        </w:tc>
        <w:tc>
          <w:tcPr>
            <w:tcW w:w="259"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24</w:t>
            </w:r>
          </w:p>
        </w:tc>
        <w:tc>
          <w:tcPr>
            <w:tcW w:w="260"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6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r>
      <w:tr>
        <w:tblPrEx>
          <w:tblCellMar>
            <w:top w:w="0" w:type="dxa"/>
            <w:left w:w="108" w:type="dxa"/>
            <w:bottom w:w="0" w:type="dxa"/>
            <w:right w:w="108" w:type="dxa"/>
          </w:tblCellMar>
        </w:tblPrEx>
        <w:trPr>
          <w:trHeight w:val="310" w:hRule="atLeast"/>
        </w:trPr>
        <w:tc>
          <w:tcPr>
            <w:tcW w:w="369" w:type="pct"/>
            <w:gridSpan w:val="2"/>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1416"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集水盘液位传感器监控点</w:t>
            </w:r>
          </w:p>
        </w:tc>
        <w:tc>
          <w:tcPr>
            <w:tcW w:w="764"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新增仪表监测</w:t>
            </w:r>
          </w:p>
        </w:tc>
        <w:tc>
          <w:tcPr>
            <w:tcW w:w="25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149" w:type="pct"/>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仿宋"/>
                <w:color w:val="auto"/>
                <w:kern w:val="0"/>
                <w:sz w:val="24"/>
                <w:highlight w:val="none"/>
              </w:rPr>
            </w:pPr>
          </w:p>
        </w:tc>
        <w:tc>
          <w:tcPr>
            <w:tcW w:w="260"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59"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60"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26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r>
      <w:tr>
        <w:tblPrEx>
          <w:tblCellMar>
            <w:top w:w="0" w:type="dxa"/>
            <w:left w:w="108" w:type="dxa"/>
            <w:bottom w:w="0" w:type="dxa"/>
            <w:right w:w="108" w:type="dxa"/>
          </w:tblCellMar>
        </w:tblPrEx>
        <w:trPr>
          <w:trHeight w:val="320" w:hRule="atLeast"/>
        </w:trPr>
        <w:tc>
          <w:tcPr>
            <w:tcW w:w="369" w:type="pct"/>
            <w:gridSpan w:val="2"/>
            <w:tcBorders>
              <w:top w:val="nil"/>
              <w:left w:val="single" w:color="auto" w:sz="8" w:space="0"/>
              <w:bottom w:val="single" w:color="auto" w:sz="8"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w:t>
            </w:r>
          </w:p>
        </w:tc>
        <w:tc>
          <w:tcPr>
            <w:tcW w:w="1416" w:type="pct"/>
            <w:tcBorders>
              <w:top w:val="single" w:color="auto" w:sz="4" w:space="0"/>
              <w:left w:val="nil"/>
              <w:bottom w:val="single" w:color="auto" w:sz="8" w:space="0"/>
              <w:right w:val="single" w:color="auto" w:sz="4" w:space="0"/>
            </w:tcBorders>
            <w:shd w:val="clear" w:color="auto" w:fill="auto"/>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冷却塔出水主管调节阀联锁监控点</w:t>
            </w:r>
          </w:p>
        </w:tc>
        <w:tc>
          <w:tcPr>
            <w:tcW w:w="764" w:type="pct"/>
            <w:gridSpan w:val="2"/>
            <w:tcBorders>
              <w:top w:val="nil"/>
              <w:left w:val="nil"/>
              <w:bottom w:val="single" w:color="auto" w:sz="8"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新增阀门监控</w:t>
            </w:r>
          </w:p>
        </w:tc>
        <w:tc>
          <w:tcPr>
            <w:tcW w:w="256" w:type="pct"/>
            <w:tcBorders>
              <w:top w:val="nil"/>
              <w:left w:val="nil"/>
              <w:bottom w:val="single" w:color="auto" w:sz="8" w:space="0"/>
              <w:right w:val="single" w:color="auto" w:sz="4"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149" w:type="pct"/>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模拟量</w:t>
            </w:r>
          </w:p>
        </w:tc>
        <w:tc>
          <w:tcPr>
            <w:tcW w:w="260"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59"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p>
        </w:tc>
        <w:tc>
          <w:tcPr>
            <w:tcW w:w="260"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26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r>
    </w:tbl>
    <w:p>
      <w:pPr>
        <w:widowControl/>
        <w:jc w:val="left"/>
        <w:rPr>
          <w:color w:val="auto"/>
          <w:highlight w:val="none"/>
        </w:rPr>
      </w:pPr>
      <w:r>
        <w:rPr>
          <w:color w:val="auto"/>
          <w:highlight w:val="none"/>
        </w:rPr>
        <w:br w:type="page"/>
      </w:r>
    </w:p>
    <w:p>
      <w:pPr>
        <w:spacing w:line="360" w:lineRule="auto"/>
        <w:rPr>
          <w:rFonts w:ascii="仿宋" w:hAnsi="仿宋" w:eastAsia="仿宋" w:cs="仿宋"/>
          <w:b/>
          <w:bCs/>
          <w:color w:val="auto"/>
          <w:sz w:val="28"/>
          <w:szCs w:val="28"/>
          <w:highlight w:val="none"/>
        </w:rPr>
      </w:pPr>
      <w:bookmarkStart w:id="43" w:name="_Toc145329825"/>
      <w:r>
        <w:rPr>
          <w:rFonts w:hint="eastAsia" w:ascii="仿宋" w:hAnsi="仿宋" w:eastAsia="仿宋" w:cs="仿宋"/>
          <w:b/>
          <w:bCs/>
          <w:color w:val="auto"/>
          <w:sz w:val="28"/>
          <w:szCs w:val="28"/>
          <w:highlight w:val="none"/>
        </w:rPr>
        <w:t>（3）1号楼冷源整体改造方案架构</w:t>
      </w:r>
      <w:bookmarkEnd w:id="43"/>
    </w:p>
    <w:p>
      <w:pPr>
        <w:widowControl/>
        <w:jc w:val="left"/>
        <w:rPr>
          <w:color w:val="auto"/>
          <w:highlight w:val="none"/>
        </w:rPr>
      </w:pPr>
      <w:r>
        <w:rPr>
          <w:color w:val="auto"/>
          <w:highlight w:val="none"/>
        </w:rPr>
        <w:drawing>
          <wp:inline distT="0" distB="0" distL="0" distR="0">
            <wp:extent cx="8804275" cy="4752340"/>
            <wp:effectExtent l="0" t="0" r="15875" b="10160"/>
            <wp:docPr id="8818897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889720" name="图片 1"/>
                    <pic:cNvPicPr>
                      <a:picLocks noChangeAspect="1"/>
                    </pic:cNvPicPr>
                  </pic:nvPicPr>
                  <pic:blipFill>
                    <a:blip r:embed="rId26"/>
                    <a:stretch>
                      <a:fillRect/>
                    </a:stretch>
                  </pic:blipFill>
                  <pic:spPr>
                    <a:xfrm>
                      <a:off x="0" y="0"/>
                      <a:ext cx="8804275" cy="4752340"/>
                    </a:xfrm>
                    <a:prstGeom prst="rect">
                      <a:avLst/>
                    </a:prstGeom>
                  </pic:spPr>
                </pic:pic>
              </a:graphicData>
            </a:graphic>
          </wp:inline>
        </w:drawing>
      </w:r>
    </w:p>
    <w:p>
      <w:pPr>
        <w:widowControl/>
        <w:jc w:val="left"/>
        <w:rPr>
          <w:color w:val="auto"/>
          <w:highlight w:val="none"/>
        </w:rPr>
      </w:pPr>
      <w:r>
        <w:rPr>
          <w:color w:val="auto"/>
          <w:highlight w:val="none"/>
        </w:rPr>
        <w:br w:type="page"/>
      </w:r>
    </w:p>
    <w:p>
      <w:pPr>
        <w:spacing w:line="360" w:lineRule="auto"/>
        <w:rPr>
          <w:rFonts w:ascii="仿宋" w:hAnsi="仿宋" w:eastAsia="仿宋" w:cs="仿宋"/>
          <w:b/>
          <w:bCs/>
          <w:color w:val="auto"/>
          <w:sz w:val="28"/>
          <w:szCs w:val="28"/>
          <w:highlight w:val="none"/>
        </w:rPr>
      </w:pPr>
      <w:bookmarkStart w:id="44" w:name="_Toc145329827"/>
      <w:r>
        <w:rPr>
          <w:rFonts w:hint="eastAsia" w:ascii="仿宋" w:hAnsi="仿宋" w:eastAsia="仿宋" w:cs="仿宋"/>
          <w:b/>
          <w:bCs/>
          <w:color w:val="auto"/>
          <w:sz w:val="28"/>
          <w:szCs w:val="28"/>
          <w:highlight w:val="none"/>
        </w:rPr>
        <w:t>（4）2、3号楼空调集中控制清单</w:t>
      </w:r>
      <w:bookmarkEnd w:id="44"/>
    </w:p>
    <w:tbl>
      <w:tblPr>
        <w:tblStyle w:val="63"/>
        <w:tblW w:w="48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1146"/>
        <w:gridCol w:w="8402"/>
        <w:gridCol w:w="769"/>
        <w:gridCol w:w="816"/>
        <w:gridCol w:w="1355"/>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78" w:type="pct"/>
            <w:vMerge w:val="restart"/>
            <w:shd w:val="clear" w:color="000000" w:fill="FFFFFF"/>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序号</w:t>
            </w:r>
          </w:p>
        </w:tc>
        <w:tc>
          <w:tcPr>
            <w:tcW w:w="415" w:type="pct"/>
            <w:vMerge w:val="restart"/>
            <w:shd w:val="clear" w:color="000000" w:fill="FFFFFF"/>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名称</w:t>
            </w:r>
          </w:p>
        </w:tc>
        <w:tc>
          <w:tcPr>
            <w:tcW w:w="3039" w:type="pct"/>
            <w:vMerge w:val="restart"/>
            <w:shd w:val="clear" w:color="000000" w:fill="FFFFFF"/>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项目特征描述</w:t>
            </w:r>
          </w:p>
        </w:tc>
        <w:tc>
          <w:tcPr>
            <w:tcW w:w="278" w:type="pct"/>
            <w:vMerge w:val="restart"/>
            <w:shd w:val="clear" w:color="000000" w:fill="FFFFFF"/>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计量单位</w:t>
            </w:r>
          </w:p>
        </w:tc>
        <w:tc>
          <w:tcPr>
            <w:tcW w:w="295" w:type="pct"/>
            <w:vMerge w:val="restart"/>
            <w:shd w:val="clear" w:color="000000" w:fill="FFFFFF"/>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数量</w:t>
            </w:r>
          </w:p>
        </w:tc>
        <w:tc>
          <w:tcPr>
            <w:tcW w:w="490" w:type="pct"/>
            <w:vMerge w:val="restart"/>
            <w:shd w:val="clear" w:color="000000" w:fill="FFFFFF"/>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参考品牌</w:t>
            </w:r>
          </w:p>
        </w:tc>
        <w:tc>
          <w:tcPr>
            <w:tcW w:w="202" w:type="pct"/>
            <w:vMerge w:val="restart"/>
            <w:shd w:val="clear" w:color="000000" w:fill="FFFFFF"/>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78" w:type="pct"/>
            <w:vMerge w:val="continue"/>
            <w:vAlign w:val="center"/>
          </w:tcPr>
          <w:p>
            <w:pPr>
              <w:widowControl/>
              <w:jc w:val="left"/>
              <w:rPr>
                <w:rFonts w:ascii="仿宋" w:hAnsi="仿宋" w:eastAsia="仿宋" w:cs="仿宋"/>
                <w:b/>
                <w:bCs/>
                <w:color w:val="auto"/>
                <w:kern w:val="0"/>
                <w:sz w:val="24"/>
                <w:highlight w:val="none"/>
              </w:rPr>
            </w:pPr>
          </w:p>
        </w:tc>
        <w:tc>
          <w:tcPr>
            <w:tcW w:w="415" w:type="pct"/>
            <w:vMerge w:val="continue"/>
            <w:vAlign w:val="center"/>
          </w:tcPr>
          <w:p>
            <w:pPr>
              <w:widowControl/>
              <w:jc w:val="left"/>
              <w:rPr>
                <w:rFonts w:ascii="仿宋" w:hAnsi="仿宋" w:eastAsia="仿宋" w:cs="仿宋"/>
                <w:b/>
                <w:bCs/>
                <w:color w:val="auto"/>
                <w:kern w:val="0"/>
                <w:sz w:val="24"/>
                <w:highlight w:val="none"/>
              </w:rPr>
            </w:pPr>
          </w:p>
        </w:tc>
        <w:tc>
          <w:tcPr>
            <w:tcW w:w="3039" w:type="pct"/>
            <w:vMerge w:val="continue"/>
            <w:vAlign w:val="center"/>
          </w:tcPr>
          <w:p>
            <w:pPr>
              <w:widowControl/>
              <w:jc w:val="left"/>
              <w:rPr>
                <w:rFonts w:ascii="仿宋" w:hAnsi="仿宋" w:eastAsia="仿宋" w:cs="仿宋"/>
                <w:b/>
                <w:bCs/>
                <w:color w:val="auto"/>
                <w:kern w:val="0"/>
                <w:sz w:val="24"/>
                <w:highlight w:val="none"/>
              </w:rPr>
            </w:pPr>
          </w:p>
        </w:tc>
        <w:tc>
          <w:tcPr>
            <w:tcW w:w="278" w:type="pct"/>
            <w:vMerge w:val="continue"/>
            <w:vAlign w:val="center"/>
          </w:tcPr>
          <w:p>
            <w:pPr>
              <w:widowControl/>
              <w:jc w:val="left"/>
              <w:rPr>
                <w:rFonts w:ascii="仿宋" w:hAnsi="仿宋" w:eastAsia="仿宋" w:cs="仿宋"/>
                <w:b/>
                <w:bCs/>
                <w:color w:val="auto"/>
                <w:kern w:val="0"/>
                <w:sz w:val="24"/>
                <w:highlight w:val="none"/>
              </w:rPr>
            </w:pPr>
          </w:p>
        </w:tc>
        <w:tc>
          <w:tcPr>
            <w:tcW w:w="295" w:type="pct"/>
            <w:vMerge w:val="continue"/>
            <w:vAlign w:val="center"/>
          </w:tcPr>
          <w:p>
            <w:pPr>
              <w:widowControl/>
              <w:jc w:val="left"/>
              <w:rPr>
                <w:rFonts w:ascii="仿宋" w:hAnsi="仿宋" w:eastAsia="仿宋" w:cs="仿宋"/>
                <w:b/>
                <w:bCs/>
                <w:color w:val="auto"/>
                <w:kern w:val="0"/>
                <w:sz w:val="24"/>
                <w:highlight w:val="none"/>
              </w:rPr>
            </w:pPr>
          </w:p>
        </w:tc>
        <w:tc>
          <w:tcPr>
            <w:tcW w:w="490" w:type="pct"/>
            <w:vMerge w:val="continue"/>
            <w:vAlign w:val="center"/>
          </w:tcPr>
          <w:p>
            <w:pPr>
              <w:widowControl/>
              <w:jc w:val="left"/>
              <w:rPr>
                <w:rFonts w:ascii="仿宋" w:hAnsi="仿宋" w:eastAsia="仿宋" w:cs="仿宋"/>
                <w:b/>
                <w:bCs/>
                <w:color w:val="auto"/>
                <w:kern w:val="0"/>
                <w:sz w:val="24"/>
                <w:highlight w:val="none"/>
              </w:rPr>
            </w:pPr>
          </w:p>
        </w:tc>
        <w:tc>
          <w:tcPr>
            <w:tcW w:w="202" w:type="pct"/>
            <w:vMerge w:val="continue"/>
            <w:vAlign w:val="center"/>
          </w:tcPr>
          <w:p>
            <w:pPr>
              <w:widowControl/>
              <w:jc w:val="left"/>
              <w:rPr>
                <w:rFonts w:ascii="仿宋" w:hAnsi="仿宋" w:eastAsia="仿宋" w:cs="仿宋"/>
                <w:b/>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一</w:t>
            </w:r>
          </w:p>
        </w:tc>
        <w:tc>
          <w:tcPr>
            <w:tcW w:w="4721" w:type="pct"/>
            <w:gridSpan w:val="6"/>
            <w:shd w:val="clear" w:color="000000" w:fill="FFFFFF"/>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与1号楼冷源平台集成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界面开发</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实现2、3号楼能通过1号楼冷源控制系统监管每层病房中控制面板，保证冬季温度设定≤20℃、夏季温度设定≥26℃；平台需要针对各楼层病房做细分处理，需要监测到任何一个楼层的任何一台内机状态。界面需要做到分楼层，分病房号进行远程控制及监测，并且能实现一键设定温度及远程进行模式切换。</w:t>
            </w:r>
          </w:p>
        </w:tc>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台</w:t>
            </w:r>
          </w:p>
        </w:tc>
        <w:tc>
          <w:tcPr>
            <w:tcW w:w="295"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定制</w:t>
            </w: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w:t>
            </w:r>
          </w:p>
        </w:tc>
        <w:tc>
          <w:tcPr>
            <w:tcW w:w="4721" w:type="pct"/>
            <w:gridSpan w:val="6"/>
            <w:shd w:val="clear" w:color="000000" w:fill="FFFFFF"/>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2号楼屋顶数据采集箱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控制柜</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根据控制要求、图纸、国家规范进行细化设计；该控制箱仅安装相关通讯网关用于与外机进行通讯;控制箱尺寸1000×800×200mm，需包含配套辅料设施。</w:t>
            </w:r>
          </w:p>
        </w:tc>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295"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非管理交换机</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导轨安装，8个百兆电口，工业宽温型-30°C到+70°C，电源电压12~36VDC，铁质外壳。</w:t>
            </w:r>
          </w:p>
        </w:tc>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295"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华为/华三/TP-LINK</w:t>
            </w: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室外机通讯网关</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与美的外机通讯。</w:t>
            </w:r>
          </w:p>
        </w:tc>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295"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24</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通讯控制器</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DC24V供电，1路RS232，2路RS422/485通用，1个10/100Mbps自适应以太网口；支持协议SDCP，SECP，Modbus RTU/TCP。</w:t>
            </w:r>
          </w:p>
        </w:tc>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295"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宇泰/源创智控/迅饶</w:t>
            </w: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w:t>
            </w:r>
          </w:p>
        </w:tc>
        <w:tc>
          <w:tcPr>
            <w:tcW w:w="4721" w:type="pct"/>
            <w:gridSpan w:val="6"/>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rPr>
              <w:t>2号楼三层东侧数据采集箱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控制柜</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由投标人根据控制要求、图纸、国家规范进行细化设计；该控制箱仅安装相关通讯网关用于与外机进行通讯;控制箱尺寸1000×800×200mm，需包含配套辅料设施。</w:t>
            </w:r>
          </w:p>
        </w:tc>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295"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非管理交换机</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导轨安装，8个百兆电口，工业宽温型-30°C到+70°C，电源电压12~36VDC，铁质外壳。</w:t>
            </w:r>
          </w:p>
        </w:tc>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295"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华为/华三/TP-LINK</w:t>
            </w: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室外机通讯网关</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与美的外机通讯。</w:t>
            </w:r>
          </w:p>
        </w:tc>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295"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18</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通讯控制器</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DC24V供电，1路RS232，2路RS422/485通用，1个10/100Mbps自适应以太网口；支持协议SDCP，SECP，Modbus RTU/TCP。</w:t>
            </w:r>
          </w:p>
        </w:tc>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295"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宇泰/源创智控/迅饶</w:t>
            </w: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rPr>
              <w:t>四</w:t>
            </w:r>
          </w:p>
        </w:tc>
        <w:tc>
          <w:tcPr>
            <w:tcW w:w="4721" w:type="pct"/>
            <w:gridSpan w:val="6"/>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rPr>
              <w:t>2号楼三层西侧数据采集箱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控制柜</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由投标人根据控制要求、图纸、国家规范进行细化设计；该控制箱仅安装相关通讯网关用于与外机进行通讯;控制箱尺寸1000×800×200mm，需包含配套辅料设施。</w:t>
            </w:r>
          </w:p>
        </w:tc>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295"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仿威图</w:t>
            </w: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非管理交换机</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导轨安装，8个百兆电口，工业宽温型-30°C到+70°C，电源电压12~36VDC，铁质外壳。</w:t>
            </w:r>
          </w:p>
        </w:tc>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295"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华为/华三/TP-LINK</w:t>
            </w: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室外机通讯网关</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与美的外机通讯。</w:t>
            </w:r>
          </w:p>
        </w:tc>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295"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通讯控制器</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DC24V供电，1路RS232，2路RS422/485通用，1个10/100Mbps自适应以太网口；支持协议SDCP，SECP，Modbus RTU/TCP。</w:t>
            </w:r>
          </w:p>
        </w:tc>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295"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宇泰/源创智控/迅饶</w:t>
            </w: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rPr>
              <w:t>五</w:t>
            </w:r>
          </w:p>
        </w:tc>
        <w:tc>
          <w:tcPr>
            <w:tcW w:w="4721" w:type="pct"/>
            <w:gridSpan w:val="6"/>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rPr>
              <w:t>3号楼屋顶数据采集箱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控制柜</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由投标人根据控制要求、图纸、国家规范进行细化设计；该控制箱仅安装相关通讯网关用于与外机进行通讯;控制箱尺寸1000×800×200mm，需包含配套辅料设施。</w:t>
            </w:r>
          </w:p>
        </w:tc>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295"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非管理交换机</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导轨安装，8个百兆电口，工业宽温型-30°C到+70°C，电源电压12~36VDC，铁质外壳。</w:t>
            </w:r>
          </w:p>
        </w:tc>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295"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华为/华三/TP-LINK</w:t>
            </w: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室外机通讯网关</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与日立外机通讯。</w:t>
            </w:r>
          </w:p>
        </w:tc>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295"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12</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通讯控制器</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DC24V供电，1路RS232，2路RS422/485通用，1个10/100Mbps自适应以太网口；支持协议SDCP，SECP，Modbus RTU/TCP。</w:t>
            </w:r>
          </w:p>
        </w:tc>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套</w:t>
            </w:r>
          </w:p>
        </w:tc>
        <w:tc>
          <w:tcPr>
            <w:tcW w:w="295"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宇泰/源创智控/迅饶</w:t>
            </w: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六</w:t>
            </w:r>
          </w:p>
        </w:tc>
        <w:tc>
          <w:tcPr>
            <w:tcW w:w="4721" w:type="pct"/>
            <w:gridSpan w:val="6"/>
            <w:shd w:val="clear" w:color="000000" w:fill="FFFFFF"/>
            <w:vAlign w:val="center"/>
          </w:tcPr>
          <w:p>
            <w:pPr>
              <w:widowControl/>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现场安装与施工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KBG镀锌钢管</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（φ25）</w:t>
            </w:r>
          </w:p>
        </w:tc>
        <w:tc>
          <w:tcPr>
            <w:tcW w:w="278" w:type="pct"/>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米</w:t>
            </w:r>
          </w:p>
        </w:tc>
        <w:tc>
          <w:tcPr>
            <w:tcW w:w="295" w:type="pct"/>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400 </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美特/万奇/欧宝</w:t>
            </w: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金属软管</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（φ25）</w:t>
            </w:r>
          </w:p>
        </w:tc>
        <w:tc>
          <w:tcPr>
            <w:tcW w:w="278" w:type="pct"/>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米</w:t>
            </w:r>
          </w:p>
        </w:tc>
        <w:tc>
          <w:tcPr>
            <w:tcW w:w="295" w:type="pct"/>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80 </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美特/万奇/欧宝</w:t>
            </w: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通讯电缆</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超6类网线</w:t>
            </w:r>
          </w:p>
        </w:tc>
        <w:tc>
          <w:tcPr>
            <w:tcW w:w="278" w:type="pct"/>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米</w:t>
            </w:r>
          </w:p>
        </w:tc>
        <w:tc>
          <w:tcPr>
            <w:tcW w:w="295" w:type="pct"/>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300 </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康普/亨通/康宁</w:t>
            </w: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通讯电缆</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RVSP 2*1.0mm2</w:t>
            </w:r>
          </w:p>
        </w:tc>
        <w:tc>
          <w:tcPr>
            <w:tcW w:w="278" w:type="pct"/>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米</w:t>
            </w:r>
          </w:p>
        </w:tc>
        <w:tc>
          <w:tcPr>
            <w:tcW w:w="295" w:type="pct"/>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4,000 </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康普/亨通/康宁</w:t>
            </w: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动力电缆</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YJV 3×2.5+2×1.5</w:t>
            </w:r>
          </w:p>
        </w:tc>
        <w:tc>
          <w:tcPr>
            <w:tcW w:w="278" w:type="pct"/>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米</w:t>
            </w:r>
          </w:p>
        </w:tc>
        <w:tc>
          <w:tcPr>
            <w:tcW w:w="295" w:type="pct"/>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100 </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康普/亨通/康宁</w:t>
            </w: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接线端子及其他辅材</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优质</w:t>
            </w:r>
          </w:p>
        </w:tc>
        <w:tc>
          <w:tcPr>
            <w:tcW w:w="278" w:type="pct"/>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项</w:t>
            </w:r>
          </w:p>
        </w:tc>
        <w:tc>
          <w:tcPr>
            <w:tcW w:w="295" w:type="pct"/>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1 </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上上/远东/起帆</w:t>
            </w: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78" w:type="pct"/>
            <w:shd w:val="clear" w:color="000000" w:fill="FFFFFF"/>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w:t>
            </w:r>
          </w:p>
        </w:tc>
        <w:tc>
          <w:tcPr>
            <w:tcW w:w="415"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控制柜接线安装调试</w:t>
            </w:r>
          </w:p>
        </w:tc>
        <w:tc>
          <w:tcPr>
            <w:tcW w:w="3039" w:type="pct"/>
            <w:shd w:val="clear" w:color="000000" w:fill="FFFFFF"/>
            <w:vAlign w:val="center"/>
          </w:tcPr>
          <w:p>
            <w:pPr>
              <w:widowControl/>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1000×800×200</w:t>
            </w:r>
          </w:p>
        </w:tc>
        <w:tc>
          <w:tcPr>
            <w:tcW w:w="278" w:type="pct"/>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项</w:t>
            </w:r>
          </w:p>
        </w:tc>
        <w:tc>
          <w:tcPr>
            <w:tcW w:w="295" w:type="pct"/>
            <w:shd w:val="clear" w:color="000000" w:fill="FFFFFF"/>
            <w:noWrap/>
            <w:vAlign w:val="center"/>
          </w:tcPr>
          <w:p>
            <w:pPr>
              <w:widowControl/>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4 </w:t>
            </w:r>
          </w:p>
        </w:tc>
        <w:tc>
          <w:tcPr>
            <w:tcW w:w="490" w:type="pct"/>
            <w:shd w:val="clear" w:color="000000" w:fill="FFFFFF"/>
            <w:vAlign w:val="center"/>
          </w:tcPr>
          <w:p>
            <w:pPr>
              <w:widowControl/>
              <w:jc w:val="center"/>
              <w:rPr>
                <w:rFonts w:ascii="仿宋" w:hAnsi="仿宋" w:eastAsia="仿宋" w:cs="仿宋"/>
                <w:color w:val="auto"/>
                <w:kern w:val="0"/>
                <w:sz w:val="24"/>
                <w:highlight w:val="none"/>
              </w:rPr>
            </w:pPr>
          </w:p>
        </w:tc>
        <w:tc>
          <w:tcPr>
            <w:tcW w:w="202" w:type="pct"/>
            <w:shd w:val="clear" w:color="000000" w:fill="FFFFFF"/>
            <w:noWrap/>
            <w:vAlign w:val="center"/>
          </w:tcPr>
          <w:p>
            <w:pPr>
              <w:widowControl/>
              <w:jc w:val="center"/>
              <w:rPr>
                <w:rFonts w:ascii="仿宋" w:hAnsi="仿宋" w:eastAsia="仿宋" w:cs="仿宋"/>
                <w:color w:val="auto"/>
                <w:kern w:val="0"/>
                <w:sz w:val="24"/>
                <w:highlight w:val="none"/>
              </w:rPr>
            </w:pPr>
          </w:p>
        </w:tc>
      </w:tr>
    </w:tbl>
    <w:p>
      <w:pPr>
        <w:rPr>
          <w:rFonts w:ascii="仿宋" w:hAnsi="仿宋" w:eastAsia="仿宋" w:cs="仿宋"/>
          <w:color w:val="auto"/>
          <w:highlight w:val="none"/>
        </w:rPr>
        <w:sectPr>
          <w:pgSz w:w="16840" w:h="11907" w:orient="landscape"/>
          <w:pgMar w:top="1814" w:right="1474" w:bottom="1814" w:left="1474" w:header="851" w:footer="851" w:gutter="0"/>
          <w:cols w:space="720" w:num="1"/>
        </w:sectPr>
      </w:pPr>
    </w:p>
    <w:p>
      <w:pPr>
        <w:spacing w:line="500" w:lineRule="exact"/>
        <w:rPr>
          <w:rFonts w:ascii="仿宋" w:hAnsi="仿宋" w:eastAsia="仿宋" w:cs="仿宋"/>
          <w:b/>
          <w:bCs/>
          <w:color w:val="auto"/>
          <w:sz w:val="24"/>
          <w:highlight w:val="none"/>
        </w:rPr>
      </w:pPr>
      <w:bookmarkStart w:id="45" w:name="_Toc145329828"/>
      <w:r>
        <w:rPr>
          <w:rFonts w:hint="eastAsia" w:ascii="仿宋" w:hAnsi="仿宋" w:eastAsia="仿宋" w:cs="仿宋"/>
          <w:b/>
          <w:bCs/>
          <w:color w:val="auto"/>
          <w:sz w:val="24"/>
          <w:highlight w:val="none"/>
        </w:rPr>
        <w:t>（5）2、3号楼住院病房空调集中管控改造方案</w:t>
      </w:r>
      <w:bookmarkEnd w:id="45"/>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主要目的实现2、3号楼能通过1号楼冷源控制系统监管每层病房中控制面板，保证冬季温度设定≤20℃、夏季温度设定≥26℃。</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现场情况：2号楼病房控制面板采用美的KJR-10B/DP(T)-TJ线控制器进行室内温度控制，线控器本体不包含远程通讯接口，故而无法直接进行远程控制，现计划增加室外机通讯网关与室外机进行通讯，通过外机控制室内机的方式；现已与信息化部门沟通，允许使用内部局域网进行楼栋之间的信号传输，投标人负责采集外机通讯后汇总信号转为以太网TCP/IP传输到一号楼冷源集中控制平台进行集中管控。</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目前外机共四个区域，信息化部门各区域仅预留1个网口用于通讯，故而投标人需要自行配置交换机做信号集中处理。</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现场室外机分布：2号楼三层东侧18台美的室外机，2号楼西侧19台美的室外机，2号楼屋顶24台美的室外机，3号楼屋顶12台日立室外机，现考虑分为四个数据采集柜分别采集，最终通过内网集中到1号楼冷源管理平台统一集成监管。</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通讯至平台后，平台需要针对各楼层病房做细分处理，需要监测到任何一个楼层的任何一台内机状态。界面需要做到分楼层，分病房号进行远程控制及监测，并且能实现一键设定温度及远程进行模式切换。</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如下为网络架构示意图（仅供报价参考）：</w:t>
      </w:r>
    </w:p>
    <w:p>
      <w:pPr>
        <w:spacing w:line="500" w:lineRule="exact"/>
        <w:ind w:firstLine="420" w:firstLineChars="175"/>
        <w:rPr>
          <w:rFonts w:ascii="仿宋" w:hAnsi="仿宋" w:eastAsia="仿宋" w:cs="仿宋"/>
          <w:color w:val="auto"/>
          <w:sz w:val="24"/>
          <w:highlight w:val="none"/>
        </w:rPr>
        <w:sectPr>
          <w:pgSz w:w="11907" w:h="16840"/>
          <w:pgMar w:top="1474" w:right="1814" w:bottom="1474" w:left="1814" w:header="851" w:footer="851" w:gutter="0"/>
          <w:cols w:space="720" w:num="1"/>
        </w:sectPr>
      </w:pPr>
    </w:p>
    <w:p>
      <w:pPr>
        <w:spacing w:line="500" w:lineRule="exact"/>
        <w:rPr>
          <w:rFonts w:ascii="仿宋" w:hAnsi="仿宋" w:eastAsia="仿宋" w:cs="仿宋"/>
          <w:color w:val="auto"/>
          <w:sz w:val="24"/>
          <w:highlight w:val="none"/>
        </w:rPr>
        <w:sectPr>
          <w:pgSz w:w="16840" w:h="11907" w:orient="landscape"/>
          <w:pgMar w:top="1814" w:right="1474" w:bottom="1814" w:left="1474" w:header="851" w:footer="851" w:gutter="0"/>
          <w:cols w:space="720" w:num="1"/>
        </w:sectPr>
      </w:pPr>
      <w:r>
        <w:rPr>
          <w:color w:val="auto"/>
          <w:highlight w:val="none"/>
        </w:rPr>
        <w:drawing>
          <wp:anchor distT="0" distB="0" distL="0" distR="0" simplePos="0" relativeHeight="251661312" behindDoc="0" locked="0" layoutInCell="1" allowOverlap="1">
            <wp:simplePos x="0" y="0"/>
            <wp:positionH relativeFrom="column">
              <wp:posOffset>-190500</wp:posOffset>
            </wp:positionH>
            <wp:positionV relativeFrom="paragraph">
              <wp:posOffset>149225</wp:posOffset>
            </wp:positionV>
            <wp:extent cx="9071610" cy="5382260"/>
            <wp:effectExtent l="0" t="0" r="15240" b="8890"/>
            <wp:wrapTopAndBottom/>
            <wp:docPr id="1172628427" name="图片 1172628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628427" name="图片 1172628427"/>
                    <pic:cNvPicPr>
                      <a:picLocks noChangeAspect="1"/>
                    </pic:cNvPicPr>
                  </pic:nvPicPr>
                  <pic:blipFill>
                    <a:blip r:embed="rId27"/>
                    <a:stretch>
                      <a:fillRect/>
                    </a:stretch>
                  </pic:blipFill>
                  <pic:spPr>
                    <a:xfrm>
                      <a:off x="0" y="0"/>
                      <a:ext cx="9071610" cy="5382653"/>
                    </a:xfrm>
                    <a:prstGeom prst="rect">
                      <a:avLst/>
                    </a:prstGeom>
                  </pic:spPr>
                </pic:pic>
              </a:graphicData>
            </a:graphic>
          </wp:anchor>
        </w:drawing>
      </w:r>
    </w:p>
    <w:p>
      <w:pPr>
        <w:spacing w:line="5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（二）商务需求</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1、交货期：合同签订之日起60日内交货并安装完毕。</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2、交货地点：采购人指定地点。</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3、质量标准：达到国家相关质量验收标准。</w:t>
      </w:r>
    </w:p>
    <w:p>
      <w:pPr>
        <w:spacing w:line="500" w:lineRule="exact"/>
        <w:ind w:firstLine="420" w:firstLineChars="175"/>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4、质量保证期：从项目验收合格之日起不少于</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空调类物品须满足2个完整的制冷和供暖周期</w:t>
      </w:r>
      <w:r>
        <w:rPr>
          <w:rFonts w:hint="eastAsia" w:ascii="仿宋" w:hAnsi="仿宋" w:eastAsia="仿宋" w:cs="仿宋"/>
          <w:color w:val="auto"/>
          <w:sz w:val="24"/>
          <w:highlight w:val="none"/>
          <w:lang w:eastAsia="zh-CN"/>
        </w:rPr>
        <w:t>）。</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5、售后服务要求：在质保期内所提供产品发生质量问题,中标人应在1小时内响应，2小时内到达现场，12小时内完成采购人提出维修要求的服务。</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6、系统需预留对外第三方系统通讯接口，如智慧后勤系统等第三方系统需要采集本系统数据必须无条件配合，后续不得因对外开放通讯而另外收取费用，需出具相关承诺函（格式自拟）。</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7、质保期满后，维保费不超过软件费用的10%。</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付款方式：</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（1）合同签订后，采购人在收到中标人提供的正式发票后7个工作日内支付中标人</w:t>
      </w:r>
      <w:r>
        <w:rPr>
          <w:rFonts w:hint="eastAsia" w:ascii="仿宋" w:hAnsi="仿宋" w:eastAsia="仿宋" w:cs="仿宋"/>
          <w:color w:val="auto"/>
          <w:sz w:val="24"/>
          <w:highlight w:val="none"/>
          <w:lang w:val="en-US" w:eastAsia="zh-CN"/>
        </w:rPr>
        <w:t>设备</w:t>
      </w:r>
      <w:r>
        <w:rPr>
          <w:rFonts w:hint="eastAsia" w:ascii="仿宋" w:hAnsi="仿宋" w:eastAsia="仿宋" w:cs="仿宋"/>
          <w:color w:val="auto"/>
          <w:sz w:val="24"/>
          <w:highlight w:val="none"/>
        </w:rPr>
        <w:t>总价的</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0%作为预付款；</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（2）系统安装调试完毕，功能除</w:t>
      </w:r>
      <w:r>
        <w:rPr>
          <w:rFonts w:ascii="仿宋" w:hAnsi="仿宋" w:eastAsia="仿宋" w:cs="仿宋"/>
          <w:color w:val="auto"/>
          <w:sz w:val="24"/>
          <w:highlight w:val="none"/>
        </w:rPr>
        <w:t>SCOP</w:t>
      </w:r>
      <w:r>
        <w:rPr>
          <w:rFonts w:hint="eastAsia" w:ascii="仿宋" w:hAnsi="仿宋" w:eastAsia="仿宋" w:cs="仿宋"/>
          <w:color w:val="auto"/>
          <w:sz w:val="24"/>
          <w:highlight w:val="none"/>
        </w:rPr>
        <w:t>指标外与技术要求内容一致，经采购人验收合格后，采购人收到中标人提供的正式发票后7个工作日内支付中标人合同总价的</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w:t>
      </w:r>
    </w:p>
    <w:p>
      <w:pPr>
        <w:spacing w:line="500" w:lineRule="exact"/>
        <w:ind w:firstLine="420" w:firstLineChars="175"/>
        <w:rPr>
          <w:rFonts w:hint="eastAsia"/>
          <w:color w:val="auto"/>
          <w:highlight w:val="none"/>
        </w:rPr>
      </w:pPr>
      <w:r>
        <w:rPr>
          <w:rFonts w:hint="eastAsia" w:ascii="仿宋" w:hAnsi="仿宋" w:eastAsia="仿宋" w:cs="仿宋"/>
          <w:color w:val="auto"/>
          <w:sz w:val="24"/>
          <w:highlight w:val="none"/>
        </w:rPr>
        <w:t>（3）系统运行满</w:t>
      </w:r>
      <w:r>
        <w:rPr>
          <w:rFonts w:ascii="仿宋" w:hAnsi="仿宋" w:eastAsia="仿宋" w:cs="仿宋"/>
          <w:color w:val="auto"/>
          <w:sz w:val="24"/>
          <w:highlight w:val="none"/>
        </w:rPr>
        <w:t>1</w:t>
      </w:r>
      <w:r>
        <w:rPr>
          <w:rFonts w:hint="eastAsia" w:ascii="仿宋" w:hAnsi="仿宋" w:eastAsia="仿宋" w:cs="仿宋"/>
          <w:color w:val="auto"/>
          <w:sz w:val="24"/>
          <w:highlight w:val="none"/>
        </w:rPr>
        <w:t>个制冷周期，达到承诺</w:t>
      </w:r>
      <w:r>
        <w:rPr>
          <w:rFonts w:ascii="仿宋" w:hAnsi="仿宋" w:eastAsia="仿宋" w:cs="仿宋"/>
          <w:color w:val="auto"/>
          <w:sz w:val="24"/>
          <w:highlight w:val="none"/>
        </w:rPr>
        <w:t>SCOP</w:t>
      </w:r>
      <w:r>
        <w:rPr>
          <w:rFonts w:hint="eastAsia" w:ascii="仿宋" w:hAnsi="仿宋" w:eastAsia="仿宋" w:cs="仿宋"/>
          <w:color w:val="auto"/>
          <w:sz w:val="24"/>
          <w:highlight w:val="none"/>
        </w:rPr>
        <w:t>指标后，采购人收到中标人提供的正式发票后7个工作日内付</w:t>
      </w:r>
      <w:r>
        <w:rPr>
          <w:rFonts w:hint="eastAsia" w:ascii="仿宋" w:hAnsi="仿宋" w:eastAsia="仿宋" w:cs="仿宋"/>
          <w:color w:val="auto"/>
          <w:sz w:val="24"/>
          <w:highlight w:val="none"/>
          <w:lang w:val="en-US" w:eastAsia="zh-CN"/>
        </w:rPr>
        <w:t>至</w:t>
      </w:r>
      <w:r>
        <w:rPr>
          <w:rFonts w:hint="eastAsia" w:ascii="仿宋" w:hAnsi="仿宋" w:eastAsia="仿宋" w:cs="仿宋"/>
          <w:color w:val="auto"/>
          <w:sz w:val="24"/>
          <w:highlight w:val="none"/>
        </w:rPr>
        <w:t>中标人合同总价的</w:t>
      </w:r>
      <w:r>
        <w:rPr>
          <w:rFonts w:hint="eastAsia" w:ascii="仿宋" w:hAnsi="仿宋" w:eastAsia="仿宋" w:cs="仿宋"/>
          <w:color w:val="auto"/>
          <w:sz w:val="24"/>
          <w:highlight w:val="none"/>
          <w:lang w:val="en-US" w:eastAsia="zh-CN"/>
        </w:rPr>
        <w:t>70</w:t>
      </w:r>
      <w:r>
        <w:rPr>
          <w:rFonts w:hint="eastAsia" w:ascii="仿宋" w:hAnsi="仿宋" w:eastAsia="仿宋" w:cs="仿宋"/>
          <w:color w:val="auto"/>
          <w:sz w:val="24"/>
          <w:highlight w:val="none"/>
        </w:rPr>
        <w:t>%。经采购人最终验收后，采购人收到中标人提供的正式发票后7个工作日内支付</w:t>
      </w:r>
      <w:r>
        <w:rPr>
          <w:rFonts w:hint="eastAsia" w:ascii="仿宋" w:hAnsi="仿宋" w:eastAsia="仿宋" w:cs="仿宋"/>
          <w:color w:val="auto"/>
          <w:sz w:val="24"/>
          <w:highlight w:val="none"/>
          <w:lang w:val="en-US" w:eastAsia="zh-CN"/>
        </w:rPr>
        <w:t>剩余款项</w:t>
      </w:r>
      <w:r>
        <w:rPr>
          <w:rFonts w:hint="eastAsia" w:ascii="仿宋" w:hAnsi="仿宋" w:eastAsia="仿宋" w:cs="仿宋"/>
          <w:color w:val="auto"/>
          <w:sz w:val="24"/>
          <w:highlight w:val="none"/>
        </w:rPr>
        <w:t>（如</w:t>
      </w:r>
      <w:r>
        <w:rPr>
          <w:rFonts w:hint="eastAsia" w:ascii="仿宋" w:hAnsi="仿宋" w:eastAsia="仿宋" w:cs="仿宋"/>
          <w:color w:val="auto"/>
          <w:sz w:val="24"/>
          <w:highlight w:val="none"/>
          <w:lang w:val="en-US" w:eastAsia="zh-CN"/>
        </w:rPr>
        <w:t>合同期内</w:t>
      </w:r>
      <w:r>
        <w:rPr>
          <w:rFonts w:hint="eastAsia" w:ascii="仿宋" w:hAnsi="仿宋" w:eastAsia="仿宋" w:cs="仿宋"/>
          <w:color w:val="auto"/>
          <w:sz w:val="24"/>
          <w:highlight w:val="none"/>
        </w:rPr>
        <w:t>仍未达标指标</w:t>
      </w:r>
      <w:r>
        <w:rPr>
          <w:rFonts w:hint="eastAsia" w:ascii="仿宋" w:hAnsi="仿宋" w:eastAsia="仿宋" w:cs="仿宋"/>
          <w:color w:val="auto"/>
          <w:sz w:val="24"/>
          <w:highlight w:val="none"/>
          <w:lang w:eastAsia="zh-CN"/>
        </w:rPr>
        <w:t>的，</w:t>
      </w:r>
      <w:r>
        <w:rPr>
          <w:rFonts w:hint="eastAsia" w:ascii="仿宋" w:hAnsi="仿宋" w:eastAsia="仿宋" w:cs="仿宋"/>
          <w:color w:val="auto"/>
          <w:sz w:val="24"/>
          <w:highlight w:val="none"/>
          <w:lang w:val="en-US" w:eastAsia="zh-CN"/>
        </w:rPr>
        <w:t>中标人须在下一个制冷和供暖周期后完成</w:t>
      </w:r>
      <w:r>
        <w:rPr>
          <w:rFonts w:ascii="仿宋" w:hAnsi="仿宋" w:eastAsia="仿宋" w:cs="仿宋"/>
          <w:color w:val="auto"/>
          <w:sz w:val="24"/>
          <w:highlight w:val="none"/>
        </w:rPr>
        <w:t>SCOP</w:t>
      </w:r>
      <w:r>
        <w:rPr>
          <w:rFonts w:hint="eastAsia" w:ascii="仿宋" w:hAnsi="仿宋" w:eastAsia="仿宋" w:cs="仿宋"/>
          <w:color w:val="auto"/>
          <w:sz w:val="24"/>
          <w:highlight w:val="none"/>
        </w:rPr>
        <w:t>指标</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采购方有权收取不超过合同总价的20%的违约金</w:t>
      </w:r>
      <w:r>
        <w:rPr>
          <w:rFonts w:hint="eastAsia" w:ascii="仿宋" w:hAnsi="仿宋" w:eastAsia="仿宋" w:cs="仿宋"/>
          <w:color w:val="auto"/>
          <w:sz w:val="24"/>
          <w:highlight w:val="none"/>
        </w:rPr>
        <w:t>）。</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注：1、如有附图，仅作参考。</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2、打▲内容为实质性要求，不允许有负偏离，否则将以涉及无效投标条款作无效投标。</w:t>
      </w:r>
    </w:p>
    <w:p>
      <w:pPr>
        <w:spacing w:line="50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3、中标人所提供的货物、服务须与投标承诺一致，不得以次充好、偷工减料，若在项目验收中发现有上述情况，将向有关部门举报，根据相关规定进行处理。</w:t>
      </w:r>
    </w:p>
    <w:p>
      <w:pP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第四部分   评标办法</w:t>
      </w:r>
    </w:p>
    <w:p>
      <w:pPr>
        <w:spacing w:line="360" w:lineRule="auto"/>
        <w:jc w:val="center"/>
        <w:rPr>
          <w:rFonts w:ascii="仿宋" w:hAnsi="仿宋" w:eastAsia="仿宋" w:cs="仿宋"/>
          <w:color w:val="auto"/>
          <w:sz w:val="20"/>
          <w:szCs w:val="20"/>
          <w:highlight w:val="none"/>
          <w:shd w:val="clear" w:color="auto" w:fill="FFFFFF"/>
        </w:rPr>
      </w:pPr>
      <w:r>
        <w:rPr>
          <w:rFonts w:hint="eastAsia" w:ascii="仿宋" w:hAnsi="仿宋" w:eastAsia="仿宋" w:cs="仿宋"/>
          <w:b/>
          <w:color w:val="auto"/>
          <w:sz w:val="32"/>
          <w:szCs w:val="20"/>
          <w:highlight w:val="none"/>
        </w:rPr>
        <w:t>评标办法前附表</w:t>
      </w:r>
    </w:p>
    <w:tbl>
      <w:tblPr>
        <w:tblStyle w:val="64"/>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108"/>
        <w:gridCol w:w="4517"/>
        <w:gridCol w:w="101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5625" w:type="dxa"/>
            <w:gridSpan w:val="2"/>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评标标准</w:t>
            </w:r>
          </w:p>
        </w:tc>
        <w:tc>
          <w:tcPr>
            <w:tcW w:w="1014"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分值区间</w:t>
            </w:r>
          </w:p>
        </w:tc>
        <w:tc>
          <w:tcPr>
            <w:tcW w:w="1134" w:type="dxa"/>
            <w:vAlign w:val="center"/>
          </w:tcPr>
          <w:p>
            <w:pPr>
              <w:snapToGrid w:val="0"/>
              <w:spacing w:line="40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主观分/客观分属性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5625" w:type="dxa"/>
            <w:gridSpan w:val="2"/>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核心产品</w:t>
            </w:r>
            <w:r>
              <w:rPr>
                <w:rFonts w:hint="eastAsia" w:ascii="仿宋" w:hAnsi="仿宋" w:eastAsia="仿宋" w:cs="仿宋"/>
                <w:color w:val="auto"/>
                <w:sz w:val="24"/>
                <w:highlight w:val="none"/>
              </w:rPr>
              <w:t>列入财政部公布的《关于印发节能产品政府采购品目清单的通知》的优先采购品目的（非★强制采购类目），提供上述产品及国家确定的认证机构出具的、处于有效期之内的节能产品认证证书，每个核心产品得1分，没有证书不得分。</w:t>
            </w:r>
          </w:p>
        </w:tc>
        <w:tc>
          <w:tcPr>
            <w:tcW w:w="1014"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0-1分</w:t>
            </w:r>
          </w:p>
        </w:tc>
        <w:tc>
          <w:tcPr>
            <w:tcW w:w="1134"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5625" w:type="dxa"/>
            <w:gridSpan w:val="2"/>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投标人自2020年1月1日以来成功实施的同类项目的业绩或案例证明。每提供一个类似业绩的证明材料，得1分，本项最高得3分。提供合同复印件，不提供不得分。</w:t>
            </w:r>
          </w:p>
        </w:tc>
        <w:tc>
          <w:tcPr>
            <w:tcW w:w="1014"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0-3分</w:t>
            </w:r>
          </w:p>
        </w:tc>
        <w:tc>
          <w:tcPr>
            <w:tcW w:w="1134"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2"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5625" w:type="dxa"/>
            <w:gridSpan w:val="2"/>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投标人具有有效质量管理体系认证证书、环境管理体系认证证书、职业健康安全管理体系认证证书的，每提供1项得1分，本项最高得3分。</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（证书须由通过中国国家认证认可监督管理委员会备案通过的认证机构颁发且在全国认证认可信息公共服务平台（www.cnca.gov.cn）可查询。须提供认证证书的复印件和网页截图，否则不得分）。</w:t>
            </w:r>
          </w:p>
        </w:tc>
        <w:tc>
          <w:tcPr>
            <w:tcW w:w="1014"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0-3分</w:t>
            </w:r>
          </w:p>
        </w:tc>
        <w:tc>
          <w:tcPr>
            <w:tcW w:w="1134"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5625" w:type="dxa"/>
            <w:gridSpan w:val="2"/>
          </w:tcPr>
          <w:p>
            <w:pPr>
              <w:spacing w:line="4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技术参数响应情况：</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根据采购需求“</w:t>
            </w:r>
            <w:r>
              <w:rPr>
                <w:rFonts w:hint="eastAsia" w:ascii="仿宋" w:hAnsi="仿宋" w:eastAsia="仿宋" w:cs="仿宋"/>
                <w:color w:val="auto"/>
                <w:sz w:val="24"/>
                <w:highlight w:val="none"/>
              </w:rPr>
              <w:t>5、技术要求</w:t>
            </w:r>
            <w:r>
              <w:rPr>
                <w:rFonts w:hint="eastAsia" w:ascii="仿宋" w:hAnsi="仿宋" w:eastAsia="仿宋" w:cs="仿宋"/>
                <w:color w:val="auto"/>
                <w:sz w:val="24"/>
                <w:highlight w:val="none"/>
              </w:rPr>
              <w:t>”的要求，完全满足技术要求的，得基本分30分。</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1、技术指标中打“▲”的为实质性指标，凡有负偏离的，做无效标处理；</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2、其他每出现负偏离的，每项扣</w:t>
            </w:r>
            <w:r>
              <w:rPr>
                <w:rFonts w:ascii="仿宋" w:hAnsi="仿宋" w:eastAsia="仿宋" w:cs="仿宋"/>
                <w:color w:val="auto"/>
                <w:sz w:val="24"/>
                <w:highlight w:val="none"/>
              </w:rPr>
              <w:t>0.5</w:t>
            </w:r>
            <w:r>
              <w:rPr>
                <w:rFonts w:hint="eastAsia" w:ascii="仿宋" w:hAnsi="仿宋" w:eastAsia="仿宋" w:cs="仿宋"/>
                <w:color w:val="auto"/>
                <w:sz w:val="24"/>
                <w:highlight w:val="none"/>
              </w:rPr>
              <w:t>分,扣完为止。</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若发现有虚假应答的技术偏离项，则作无效标处理。</w:t>
            </w:r>
          </w:p>
        </w:tc>
        <w:tc>
          <w:tcPr>
            <w:tcW w:w="1014"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0-30分</w:t>
            </w:r>
          </w:p>
        </w:tc>
        <w:tc>
          <w:tcPr>
            <w:tcW w:w="1134"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5625" w:type="dxa"/>
            <w:gridSpan w:val="2"/>
          </w:tcPr>
          <w:p>
            <w:pPr>
              <w:spacing w:line="4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项目难点重点分析:</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根据投标人针对本项目提供的项目难点重点分析内容方案，由评委进行评分：方案详实、完整、合理可行的得4分；方案相对详细完善的得3分，方；方案部分详实、部分合理可行的得2分；方案阐述简短的得1分；其余情况不得分。</w:t>
            </w:r>
          </w:p>
        </w:tc>
        <w:tc>
          <w:tcPr>
            <w:tcW w:w="1014"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0-4分</w:t>
            </w:r>
          </w:p>
        </w:tc>
        <w:tc>
          <w:tcPr>
            <w:tcW w:w="1134" w:type="dxa"/>
            <w:vAlign w:val="center"/>
          </w:tcPr>
          <w:p>
            <w:pPr>
              <w:snapToGrid w:val="0"/>
              <w:spacing w:line="400" w:lineRule="exact"/>
              <w:jc w:val="center"/>
              <w:rPr>
                <w:rFonts w:ascii="仿宋" w:hAnsi="仿宋" w:eastAsia="仿宋" w:cs="仿宋"/>
                <w:color w:val="auto"/>
                <w:kern w:val="0"/>
                <w:sz w:val="24"/>
                <w:highlight w:val="none"/>
                <w:lang w:bidi="ar"/>
              </w:rPr>
            </w:pPr>
            <w:r>
              <w:rPr>
                <w:rFonts w:hint="eastAsia" w:ascii="仿宋" w:hAnsi="仿宋" w:eastAsia="仿宋" w:cs="仿宋"/>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5625" w:type="dxa"/>
            <w:gridSpan w:val="2"/>
            <w:vAlign w:val="center"/>
          </w:tcPr>
          <w:p>
            <w:pPr>
              <w:spacing w:line="4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团队人员配备：</w:t>
            </w:r>
          </w:p>
          <w:p>
            <w:pPr>
              <w:spacing w:line="400" w:lineRule="exact"/>
              <w:rPr>
                <w:rFonts w:hint="eastAsia" w:ascii="仿宋" w:hAnsi="仿宋" w:eastAsia="仿宋" w:cs="仿宋"/>
                <w:color w:val="auto"/>
                <w:sz w:val="24"/>
                <w:highlight w:val="none"/>
                <w:lang w:eastAsia="zh-CN"/>
              </w:rPr>
            </w:pPr>
            <w:r>
              <w:rPr>
                <w:rFonts w:ascii="仿宋" w:hAnsi="仿宋" w:eastAsia="仿宋" w:cs="仿宋"/>
                <w:color w:val="auto"/>
                <w:sz w:val="24"/>
                <w:highlight w:val="none"/>
              </w:rPr>
              <w:t>派驻现场的</w:t>
            </w:r>
            <w:r>
              <w:rPr>
                <w:rFonts w:hint="eastAsia" w:ascii="仿宋" w:hAnsi="仿宋" w:eastAsia="仿宋" w:cs="仿宋"/>
                <w:color w:val="auto"/>
                <w:sz w:val="24"/>
                <w:highlight w:val="none"/>
              </w:rPr>
              <w:t>项目经理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具备二级建造师及以上证书</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得1分；</w:t>
            </w:r>
            <w:r>
              <w:rPr>
                <w:rFonts w:ascii="仿宋" w:hAnsi="仿宋" w:eastAsia="仿宋" w:cs="仿宋"/>
                <w:color w:val="auto"/>
                <w:sz w:val="24"/>
                <w:highlight w:val="none"/>
              </w:rPr>
              <w:t>派驻现场的项目组人员的</w:t>
            </w:r>
            <w:r>
              <w:rPr>
                <w:rFonts w:hint="eastAsia" w:ascii="仿宋" w:hAnsi="仿宋" w:eastAsia="仿宋" w:cs="仿宋"/>
                <w:color w:val="auto"/>
                <w:sz w:val="24"/>
                <w:highlight w:val="none"/>
              </w:rPr>
              <w:t>安全员</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具备安全员证书</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得1分；</w:t>
            </w:r>
            <w:r>
              <w:rPr>
                <w:rFonts w:ascii="仿宋" w:hAnsi="仿宋" w:eastAsia="仿宋" w:cs="仿宋"/>
                <w:color w:val="auto"/>
                <w:sz w:val="24"/>
                <w:highlight w:val="none"/>
              </w:rPr>
              <w:t>派驻现场的</w:t>
            </w:r>
            <w:r>
              <w:rPr>
                <w:rFonts w:hint="eastAsia" w:ascii="仿宋" w:hAnsi="仿宋" w:eastAsia="仿宋" w:cs="仿宋"/>
                <w:color w:val="auto"/>
                <w:sz w:val="24"/>
                <w:highlight w:val="none"/>
              </w:rPr>
              <w:t>技术负责人</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具备高级工程师职称</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得1分；</w:t>
            </w:r>
            <w:r>
              <w:rPr>
                <w:rFonts w:hint="eastAsia" w:ascii="仿宋" w:hAnsi="仿宋" w:eastAsia="仿宋" w:cs="仿宋"/>
                <w:color w:val="auto"/>
                <w:sz w:val="24"/>
                <w:highlight w:val="none"/>
              </w:rPr>
              <w:t>现场施工不少于</w:t>
            </w:r>
            <w:r>
              <w:rPr>
                <w:rFonts w:ascii="仿宋" w:hAnsi="仿宋" w:eastAsia="仿宋" w:cs="仿宋"/>
                <w:color w:val="auto"/>
                <w:sz w:val="24"/>
                <w:highlight w:val="none"/>
              </w:rPr>
              <w:t>5</w:t>
            </w:r>
            <w:r>
              <w:rPr>
                <w:rFonts w:hint="eastAsia" w:ascii="仿宋" w:hAnsi="仿宋" w:eastAsia="仿宋" w:cs="仿宋"/>
                <w:color w:val="auto"/>
                <w:sz w:val="24"/>
                <w:highlight w:val="none"/>
              </w:rPr>
              <w:t>人且具备相关岗位证书</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如电工证、登高作业证、焊工证等岗位证书</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人员均具有岗位证书得3分，每少一人且无岗位证书的扣1分，扣完为止</w:t>
            </w:r>
            <w:r>
              <w:rPr>
                <w:rFonts w:hint="eastAsia" w:ascii="仿宋" w:hAnsi="仿宋" w:eastAsia="仿宋" w:cs="仿宋"/>
                <w:color w:val="auto"/>
                <w:sz w:val="24"/>
                <w:highlight w:val="none"/>
                <w:lang w:eastAsia="zh-CN"/>
              </w:rPr>
              <w:t>。</w:t>
            </w:r>
          </w:p>
          <w:p>
            <w:pPr>
              <w:spacing w:line="400" w:lineRule="exac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佐证材料：</w:t>
            </w:r>
            <w:r>
              <w:rPr>
                <w:rFonts w:hint="eastAsia" w:ascii="仿宋" w:hAnsi="仿宋" w:eastAsia="仿宋" w:cs="仿宋"/>
                <w:color w:val="auto"/>
                <w:sz w:val="24"/>
                <w:highlight w:val="none"/>
              </w:rPr>
              <w:t>需提供项目组织架构及人员相关证书（安全员证、建造师证相关证书需要由住房和城乡建设厅颁发方可有效，职称证书需由人力资源和社会保障厅颁发方可有效</w:t>
            </w:r>
            <w:r>
              <w:rPr>
                <w:rFonts w:hint="eastAsia" w:ascii="仿宋" w:hAnsi="仿宋" w:eastAsia="仿宋" w:cs="仿宋"/>
                <w:color w:val="auto"/>
                <w:sz w:val="24"/>
                <w:highlight w:val="none"/>
                <w:lang w:eastAsia="zh-CN"/>
              </w:rPr>
              <w:t>，施工工种证书需由政府机关颁发方可有效</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不提供证书不得分；需</w:t>
            </w:r>
            <w:r>
              <w:rPr>
                <w:rFonts w:hint="eastAsia" w:ascii="仿宋" w:hAnsi="仿宋" w:eastAsia="仿宋" w:cs="仿宋"/>
                <w:color w:val="auto"/>
                <w:sz w:val="24"/>
                <w:highlight w:val="none"/>
              </w:rPr>
              <w:t>提供组织架构中人员6个月以上社保证明</w:t>
            </w:r>
            <w:r>
              <w:rPr>
                <w:rFonts w:hint="eastAsia" w:ascii="仿宋" w:hAnsi="仿宋" w:eastAsia="仿宋" w:cs="仿宋"/>
                <w:color w:val="auto"/>
                <w:sz w:val="24"/>
                <w:highlight w:val="none"/>
                <w:lang w:val="en-US" w:eastAsia="zh-CN"/>
              </w:rPr>
              <w:t>或劳动合同</w:t>
            </w:r>
            <w:r>
              <w:rPr>
                <w:rFonts w:ascii="仿宋" w:hAnsi="仿宋" w:eastAsia="仿宋" w:cs="仿宋"/>
                <w:color w:val="auto"/>
                <w:sz w:val="24"/>
                <w:highlight w:val="none"/>
              </w:rPr>
              <w:t>未提供的不得分。</w:t>
            </w:r>
          </w:p>
        </w:tc>
        <w:tc>
          <w:tcPr>
            <w:tcW w:w="1014" w:type="dxa"/>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sz w:val="24"/>
                <w:highlight w:val="none"/>
              </w:rPr>
              <w:t>0-</w:t>
            </w:r>
            <w:r>
              <w:rPr>
                <w:rFonts w:ascii="仿宋" w:hAnsi="仿宋" w:eastAsia="仿宋" w:cs="仿宋"/>
                <w:color w:val="auto"/>
                <w:sz w:val="24"/>
                <w:highlight w:val="none"/>
              </w:rPr>
              <w:t>6</w:t>
            </w:r>
            <w:r>
              <w:rPr>
                <w:rFonts w:hint="eastAsia" w:ascii="仿宋" w:hAnsi="仿宋" w:eastAsia="仿宋" w:cs="仿宋"/>
                <w:color w:val="auto"/>
                <w:sz w:val="24"/>
                <w:highlight w:val="none"/>
              </w:rPr>
              <w:t>分</w:t>
            </w:r>
          </w:p>
        </w:tc>
        <w:tc>
          <w:tcPr>
            <w:tcW w:w="1134" w:type="dxa"/>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2"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5625" w:type="dxa"/>
            <w:gridSpan w:val="2"/>
            <w:vAlign w:val="center"/>
          </w:tcPr>
          <w:p>
            <w:pPr>
              <w:spacing w:line="4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工期计划安排及相应保障措施和方法：</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根据投标人针对本项目提供工期计划安排（包括人材机）及相应保障措施和方法：方案科学合理，措施有效性及可实施性强的得5分；方案较科学合理，措施具有一定有效性和可实施性的得4分；方案及措施尚可的得3分；方案及措施有欠缺，考虑欠周全的得2分；方案及措施存在明显不足的得1分；</w:t>
            </w:r>
            <w:r>
              <w:rPr>
                <w:rFonts w:ascii="仿宋" w:hAnsi="仿宋" w:eastAsia="仿宋" w:cs="仿宋"/>
                <w:color w:val="auto"/>
                <w:sz w:val="24"/>
                <w:highlight w:val="none"/>
              </w:rPr>
              <w:t>未提供的不得分。</w:t>
            </w:r>
          </w:p>
        </w:tc>
        <w:tc>
          <w:tcPr>
            <w:tcW w:w="1014" w:type="dxa"/>
            <w:vAlign w:val="center"/>
          </w:tcPr>
          <w:p>
            <w:pPr>
              <w:widowControl/>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sz w:val="24"/>
                <w:highlight w:val="none"/>
              </w:rPr>
              <w:t>0-5分</w:t>
            </w:r>
          </w:p>
        </w:tc>
        <w:tc>
          <w:tcPr>
            <w:tcW w:w="1134" w:type="dxa"/>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5625" w:type="dxa"/>
            <w:gridSpan w:val="2"/>
            <w:vAlign w:val="center"/>
          </w:tcPr>
          <w:p>
            <w:pPr>
              <w:spacing w:line="4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质量安全措施：</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根据投标人安装实施质量、安全、文明施工及市容、环保、消防等保证措施进行评审：</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措施科学、合理、可行的得</w:t>
            </w:r>
            <w:r>
              <w:rPr>
                <w:rFonts w:ascii="仿宋" w:hAnsi="仿宋" w:eastAsia="仿宋" w:cs="仿宋"/>
                <w:color w:val="auto"/>
                <w:sz w:val="24"/>
                <w:highlight w:val="none"/>
              </w:rPr>
              <w:t>4</w:t>
            </w:r>
            <w:r>
              <w:rPr>
                <w:rFonts w:hint="eastAsia" w:ascii="仿宋" w:hAnsi="仿宋" w:eastAsia="仿宋" w:cs="仿宋"/>
                <w:color w:val="auto"/>
                <w:sz w:val="24"/>
                <w:highlight w:val="none"/>
              </w:rPr>
              <w:t>分；措施较为科学、合理、可行的得</w:t>
            </w:r>
            <w:r>
              <w:rPr>
                <w:rFonts w:ascii="仿宋" w:hAnsi="仿宋" w:eastAsia="仿宋" w:cs="仿宋"/>
                <w:color w:val="auto"/>
                <w:sz w:val="24"/>
                <w:highlight w:val="none"/>
              </w:rPr>
              <w:t>3</w:t>
            </w:r>
            <w:r>
              <w:rPr>
                <w:rFonts w:hint="eastAsia" w:ascii="仿宋" w:hAnsi="仿宋" w:eastAsia="仿宋" w:cs="仿宋"/>
                <w:color w:val="auto"/>
                <w:sz w:val="24"/>
                <w:highlight w:val="none"/>
              </w:rPr>
              <w:t>分；措施科学性、合理性、可行性尚可的得</w:t>
            </w:r>
            <w:r>
              <w:rPr>
                <w:rFonts w:ascii="仿宋" w:hAnsi="仿宋" w:eastAsia="仿宋" w:cs="仿宋"/>
                <w:color w:val="auto"/>
                <w:sz w:val="24"/>
                <w:highlight w:val="none"/>
              </w:rPr>
              <w:t>2</w:t>
            </w:r>
            <w:r>
              <w:rPr>
                <w:rFonts w:hint="eastAsia" w:ascii="仿宋" w:hAnsi="仿宋" w:eastAsia="仿宋" w:cs="仿宋"/>
                <w:color w:val="auto"/>
                <w:sz w:val="24"/>
                <w:highlight w:val="none"/>
              </w:rPr>
              <w:t>分；措施科学性、合理性、可行性有做欠缺得</w:t>
            </w:r>
            <w:r>
              <w:rPr>
                <w:rFonts w:ascii="仿宋" w:hAnsi="仿宋" w:eastAsia="仿宋" w:cs="仿宋"/>
                <w:color w:val="auto"/>
                <w:sz w:val="24"/>
                <w:highlight w:val="none"/>
              </w:rPr>
              <w:t>1</w:t>
            </w:r>
            <w:r>
              <w:rPr>
                <w:rFonts w:hint="eastAsia" w:ascii="仿宋" w:hAnsi="仿宋" w:eastAsia="仿宋" w:cs="仿宋"/>
                <w:color w:val="auto"/>
                <w:sz w:val="24"/>
                <w:highlight w:val="none"/>
              </w:rPr>
              <w:t>分；措施科学性、合理性、可行性明显不符合的得</w:t>
            </w:r>
            <w:r>
              <w:rPr>
                <w:rFonts w:ascii="仿宋" w:hAnsi="仿宋" w:eastAsia="仿宋" w:cs="仿宋"/>
                <w:color w:val="auto"/>
                <w:sz w:val="24"/>
                <w:highlight w:val="none"/>
              </w:rPr>
              <w:t>0</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分；未提供的得0分。</w:t>
            </w:r>
          </w:p>
        </w:tc>
        <w:tc>
          <w:tcPr>
            <w:tcW w:w="1014" w:type="dxa"/>
            <w:vAlign w:val="center"/>
          </w:tcPr>
          <w:p>
            <w:pPr>
              <w:widowControl/>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0-</w:t>
            </w:r>
            <w:r>
              <w:rPr>
                <w:rFonts w:ascii="仿宋" w:hAnsi="仿宋" w:eastAsia="仿宋" w:cs="仿宋"/>
                <w:color w:val="auto"/>
                <w:kern w:val="0"/>
                <w:sz w:val="24"/>
                <w:highlight w:val="none"/>
                <w:lang w:bidi="ar"/>
              </w:rPr>
              <w:t>4</w:t>
            </w:r>
            <w:r>
              <w:rPr>
                <w:rFonts w:hint="eastAsia" w:ascii="仿宋" w:hAnsi="仿宋" w:eastAsia="仿宋" w:cs="仿宋"/>
                <w:color w:val="auto"/>
                <w:kern w:val="0"/>
                <w:sz w:val="24"/>
                <w:highlight w:val="none"/>
                <w:lang w:bidi="ar"/>
              </w:rPr>
              <w:t>分</w:t>
            </w:r>
          </w:p>
        </w:tc>
        <w:tc>
          <w:tcPr>
            <w:tcW w:w="1134" w:type="dxa"/>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52"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5625" w:type="dxa"/>
            <w:gridSpan w:val="2"/>
            <w:vAlign w:val="center"/>
          </w:tcPr>
          <w:p>
            <w:pPr>
              <w:spacing w:line="4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售后服务承诺：</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根据投标人提供的售后服务体系的合理性、科学性等情况，以及投标人的服务承诺酌情打分。售后服务体系科学、合理、及时、完整的得3分；售后服务体系较科学、合理、及时、完整的得2分；有售后服务描述且具备一定可行性的，得1分；售后服务不能满足采购需求的得0.5分；无售后服务描述得0分。</w:t>
            </w:r>
          </w:p>
        </w:tc>
        <w:tc>
          <w:tcPr>
            <w:tcW w:w="1014" w:type="dxa"/>
            <w:vAlign w:val="center"/>
          </w:tcPr>
          <w:p>
            <w:pPr>
              <w:widowControl/>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0-3分</w:t>
            </w:r>
          </w:p>
        </w:tc>
        <w:tc>
          <w:tcPr>
            <w:tcW w:w="1134" w:type="dxa"/>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5625" w:type="dxa"/>
            <w:gridSpan w:val="2"/>
            <w:vAlign w:val="center"/>
          </w:tcPr>
          <w:p>
            <w:pPr>
              <w:spacing w:line="4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备品备件储备情况：</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储备充足能充分满足售后服务要求得3分，储备一般基本能满足售后服务要求得2分，储备情况差、不能完全满足售后服务要求1分，无备品备件储备得0分。</w:t>
            </w:r>
          </w:p>
        </w:tc>
        <w:tc>
          <w:tcPr>
            <w:tcW w:w="1014" w:type="dxa"/>
            <w:vAlign w:val="center"/>
          </w:tcPr>
          <w:p>
            <w:pPr>
              <w:widowControl/>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0-3分</w:t>
            </w:r>
          </w:p>
        </w:tc>
        <w:tc>
          <w:tcPr>
            <w:tcW w:w="1134" w:type="dxa"/>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11</w:t>
            </w:r>
          </w:p>
        </w:tc>
        <w:tc>
          <w:tcPr>
            <w:tcW w:w="5625" w:type="dxa"/>
            <w:gridSpan w:val="2"/>
            <w:vAlign w:val="center"/>
          </w:tcPr>
          <w:p>
            <w:pPr>
              <w:spacing w:line="4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应急措施：</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根据投标人针对本项目提供应急预案中潜在应急情况分析及应对措施：分析深入准确，措施有效性及可实施性强的得4分；分析到位，措施具有一定有效性和可实施性的得3分，分析及措施尚可的得2分；分析及措施有欠缺，考虑欠周全的得1分；分析及措施存在明显不足的得0.5分；不提供的不得分。</w:t>
            </w:r>
          </w:p>
        </w:tc>
        <w:tc>
          <w:tcPr>
            <w:tcW w:w="1014" w:type="dxa"/>
            <w:vAlign w:val="center"/>
          </w:tcPr>
          <w:p>
            <w:pPr>
              <w:widowControl/>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0-4分</w:t>
            </w:r>
          </w:p>
        </w:tc>
        <w:tc>
          <w:tcPr>
            <w:tcW w:w="1134" w:type="dxa"/>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12</w:t>
            </w:r>
          </w:p>
        </w:tc>
        <w:tc>
          <w:tcPr>
            <w:tcW w:w="5625" w:type="dxa"/>
            <w:gridSpan w:val="2"/>
            <w:vAlign w:val="center"/>
          </w:tcPr>
          <w:p>
            <w:pPr>
              <w:spacing w:line="4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培训方案:</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根据培训方案的可行性、合理性、完整性由评委进行综合评定。培训方案完整，符合项目实际情况的得2分；方案基本满足需求的得1分，培训方案不完善的得0.5分；未提供不得分。</w:t>
            </w:r>
          </w:p>
        </w:tc>
        <w:tc>
          <w:tcPr>
            <w:tcW w:w="1014" w:type="dxa"/>
            <w:vAlign w:val="center"/>
          </w:tcPr>
          <w:p>
            <w:pPr>
              <w:widowControl/>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0-2分</w:t>
            </w:r>
          </w:p>
        </w:tc>
        <w:tc>
          <w:tcPr>
            <w:tcW w:w="1134" w:type="dxa"/>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13</w:t>
            </w:r>
          </w:p>
        </w:tc>
        <w:tc>
          <w:tcPr>
            <w:tcW w:w="5625" w:type="dxa"/>
            <w:gridSpan w:val="2"/>
            <w:vAlign w:val="center"/>
          </w:tcPr>
          <w:p>
            <w:pPr>
              <w:spacing w:line="4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增值服务：</w:t>
            </w:r>
          </w:p>
          <w:p>
            <w:pPr>
              <w:spacing w:line="400" w:lineRule="exact"/>
              <w:rPr>
                <w:rFonts w:ascii="仿宋" w:hAnsi="仿宋" w:eastAsia="仿宋" w:cs="仿宋"/>
                <w:color w:val="auto"/>
                <w:sz w:val="24"/>
                <w:highlight w:val="none"/>
              </w:rPr>
            </w:pPr>
            <w:r>
              <w:rPr>
                <w:rFonts w:ascii="仿宋" w:hAnsi="仿宋" w:eastAsia="仿宋" w:cs="仿宋"/>
                <w:color w:val="auto"/>
                <w:sz w:val="24"/>
                <w:highlight w:val="none"/>
              </w:rPr>
              <w:t>根据各投标人承诺的</w:t>
            </w:r>
            <w:r>
              <w:rPr>
                <w:rFonts w:hint="eastAsia" w:ascii="仿宋" w:hAnsi="仿宋" w:eastAsia="仿宋" w:cs="仿宋"/>
                <w:color w:val="auto"/>
                <w:sz w:val="24"/>
                <w:highlight w:val="none"/>
              </w:rPr>
              <w:t>质保</w:t>
            </w:r>
            <w:r>
              <w:rPr>
                <w:rFonts w:ascii="仿宋" w:hAnsi="仿宋" w:eastAsia="仿宋" w:cs="仿宋"/>
                <w:color w:val="auto"/>
                <w:sz w:val="24"/>
                <w:highlight w:val="none"/>
              </w:rPr>
              <w:t>时间进行评审：</w:t>
            </w:r>
            <w:r>
              <w:rPr>
                <w:rFonts w:ascii="仿宋" w:hAnsi="仿宋" w:eastAsia="仿宋" w:cs="仿宋"/>
                <w:color w:val="auto"/>
                <w:sz w:val="24"/>
                <w:highlight w:val="none"/>
              </w:rPr>
              <w:t>在满足招标文件要求质保</w:t>
            </w:r>
            <w:r>
              <w:rPr>
                <w:rFonts w:hint="eastAsia" w:ascii="仿宋" w:hAnsi="仿宋" w:eastAsia="仿宋" w:cs="仿宋"/>
                <w:color w:val="auto"/>
                <w:sz w:val="24"/>
                <w:highlight w:val="none"/>
              </w:rPr>
              <w:t>2</w:t>
            </w:r>
            <w:r>
              <w:rPr>
                <w:rFonts w:ascii="仿宋" w:hAnsi="仿宋" w:eastAsia="仿宋" w:cs="仿宋"/>
                <w:color w:val="auto"/>
                <w:sz w:val="24"/>
                <w:highlight w:val="none"/>
              </w:rPr>
              <w:t>年的基础上，</w:t>
            </w:r>
            <w:r>
              <w:rPr>
                <w:rFonts w:ascii="仿宋" w:hAnsi="仿宋" w:eastAsia="仿宋" w:cs="仿宋"/>
                <w:color w:val="auto"/>
                <w:sz w:val="24"/>
                <w:highlight w:val="none"/>
              </w:rPr>
              <w:t>提供的</w:t>
            </w:r>
            <w:r>
              <w:rPr>
                <w:rFonts w:hint="eastAsia" w:ascii="仿宋" w:hAnsi="仿宋" w:eastAsia="仿宋" w:cs="仿宋"/>
                <w:color w:val="auto"/>
                <w:sz w:val="24"/>
                <w:highlight w:val="none"/>
              </w:rPr>
              <w:t>质保</w:t>
            </w:r>
            <w:r>
              <w:rPr>
                <w:rFonts w:ascii="仿宋" w:hAnsi="仿宋" w:eastAsia="仿宋" w:cs="仿宋"/>
                <w:color w:val="auto"/>
                <w:sz w:val="24"/>
                <w:highlight w:val="none"/>
              </w:rPr>
              <w:t>时间延长</w:t>
            </w:r>
            <w:r>
              <w:rPr>
                <w:rFonts w:hint="eastAsia" w:ascii="仿宋" w:hAnsi="仿宋" w:eastAsia="仿宋" w:cs="仿宋"/>
                <w:color w:val="auto"/>
                <w:sz w:val="24"/>
                <w:highlight w:val="none"/>
              </w:rPr>
              <w:t>半</w:t>
            </w:r>
            <w:r>
              <w:rPr>
                <w:rFonts w:ascii="仿宋" w:hAnsi="仿宋" w:eastAsia="仿宋" w:cs="仿宋"/>
                <w:color w:val="auto"/>
                <w:sz w:val="24"/>
                <w:highlight w:val="none"/>
              </w:rPr>
              <w:t>年得</w:t>
            </w:r>
            <w:r>
              <w:rPr>
                <w:rFonts w:hint="eastAsia" w:ascii="仿宋" w:hAnsi="仿宋" w:eastAsia="仿宋" w:cs="仿宋"/>
                <w:color w:val="auto"/>
                <w:sz w:val="24"/>
                <w:highlight w:val="none"/>
              </w:rPr>
              <w:t>1</w:t>
            </w:r>
            <w:r>
              <w:rPr>
                <w:rFonts w:ascii="仿宋" w:hAnsi="仿宋" w:eastAsia="仿宋" w:cs="仿宋"/>
                <w:color w:val="auto"/>
                <w:sz w:val="24"/>
                <w:highlight w:val="none"/>
              </w:rPr>
              <w:t>分，</w:t>
            </w:r>
            <w:r>
              <w:rPr>
                <w:rFonts w:hint="eastAsia" w:ascii="仿宋" w:hAnsi="仿宋" w:eastAsia="仿宋" w:cs="仿宋"/>
                <w:color w:val="auto"/>
                <w:sz w:val="24"/>
                <w:highlight w:val="none"/>
              </w:rPr>
              <w:t>延长1年得2分，本项</w:t>
            </w:r>
            <w:r>
              <w:rPr>
                <w:rFonts w:ascii="仿宋" w:hAnsi="仿宋" w:eastAsia="仿宋" w:cs="仿宋"/>
                <w:color w:val="auto"/>
                <w:sz w:val="24"/>
                <w:highlight w:val="none"/>
              </w:rPr>
              <w:t>最高得</w:t>
            </w:r>
            <w:r>
              <w:rPr>
                <w:rFonts w:hint="eastAsia" w:ascii="仿宋" w:hAnsi="仿宋" w:eastAsia="仿宋" w:cs="仿宋"/>
                <w:color w:val="auto"/>
                <w:sz w:val="24"/>
                <w:highlight w:val="none"/>
              </w:rPr>
              <w:t>2</w:t>
            </w:r>
            <w:r>
              <w:rPr>
                <w:rFonts w:ascii="仿宋" w:hAnsi="仿宋" w:eastAsia="仿宋" w:cs="仿宋"/>
                <w:color w:val="auto"/>
                <w:sz w:val="24"/>
                <w:highlight w:val="none"/>
              </w:rPr>
              <w:t>分。</w:t>
            </w:r>
          </w:p>
        </w:tc>
        <w:tc>
          <w:tcPr>
            <w:tcW w:w="1014" w:type="dxa"/>
            <w:vAlign w:val="center"/>
          </w:tcPr>
          <w:p>
            <w:pPr>
              <w:widowControl/>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0-2分</w:t>
            </w:r>
          </w:p>
        </w:tc>
        <w:tc>
          <w:tcPr>
            <w:tcW w:w="1134" w:type="dxa"/>
            <w:vAlign w:val="center"/>
          </w:tcPr>
          <w:p>
            <w:pPr>
              <w:widowControl/>
              <w:jc w:val="left"/>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价格分</w:t>
            </w:r>
          </w:p>
        </w:tc>
        <w:tc>
          <w:tcPr>
            <w:tcW w:w="1108" w:type="dxa"/>
            <w:vAlign w:val="center"/>
          </w:tcPr>
          <w:p>
            <w:pPr>
              <w:spacing w:line="400" w:lineRule="exact"/>
              <w:jc w:val="center"/>
              <w:outlineLvl w:val="0"/>
              <w:rPr>
                <w:rFonts w:ascii="仿宋" w:hAnsi="仿宋" w:eastAsia="仿宋" w:cs="仿宋"/>
                <w:color w:val="auto"/>
                <w:sz w:val="24"/>
                <w:highlight w:val="none"/>
              </w:rPr>
            </w:pPr>
            <w:r>
              <w:rPr>
                <w:rFonts w:hint="eastAsia" w:ascii="仿宋" w:hAnsi="仿宋" w:eastAsia="仿宋" w:cs="仿宋"/>
                <w:color w:val="auto"/>
                <w:sz w:val="24"/>
                <w:highlight w:val="none"/>
              </w:rPr>
              <w:t>权重=0.30</w:t>
            </w:r>
          </w:p>
        </w:tc>
        <w:tc>
          <w:tcPr>
            <w:tcW w:w="4517" w:type="dxa"/>
          </w:tcPr>
          <w:p>
            <w:pPr>
              <w:spacing w:line="400" w:lineRule="exact"/>
              <w:outlineLvl w:val="0"/>
              <w:rPr>
                <w:rFonts w:ascii="仿宋" w:hAnsi="仿宋" w:eastAsia="仿宋" w:cs="仿宋"/>
                <w:color w:val="auto"/>
                <w:sz w:val="24"/>
                <w:highlight w:val="none"/>
              </w:rPr>
            </w:pPr>
            <w:r>
              <w:rPr>
                <w:rFonts w:hint="eastAsia" w:ascii="仿宋" w:hAnsi="仿宋" w:eastAsia="仿宋" w:cs="仿宋"/>
                <w:color w:val="auto"/>
                <w:sz w:val="24"/>
                <w:highlight w:val="none"/>
              </w:rPr>
              <w:t>有效投标报价的最低价作为评标基准价，其最低报价为满分；按［投标报价得分=（评标基准价/投标报价）*权重］的计算公式计算。</w:t>
            </w:r>
          </w:p>
          <w:p>
            <w:pPr>
              <w:spacing w:line="400" w:lineRule="exact"/>
              <w:outlineLvl w:val="0"/>
              <w:rPr>
                <w:rFonts w:ascii="仿宋" w:hAnsi="仿宋" w:eastAsia="仿宋" w:cs="仿宋"/>
                <w:color w:val="auto"/>
                <w:sz w:val="24"/>
                <w:highlight w:val="none"/>
              </w:rPr>
            </w:pPr>
            <w:r>
              <w:rPr>
                <w:rFonts w:hint="eastAsia" w:ascii="仿宋" w:hAnsi="仿宋" w:eastAsia="仿宋" w:cs="仿宋"/>
                <w:color w:val="auto"/>
                <w:sz w:val="24"/>
                <w:highlight w:val="none"/>
              </w:rPr>
              <w:t>（计算得分保留小数点后2位）</w:t>
            </w:r>
          </w:p>
          <w:p>
            <w:pPr>
              <w:spacing w:line="400" w:lineRule="exact"/>
              <w:outlineLvl w:val="0"/>
              <w:rPr>
                <w:rFonts w:ascii="仿宋" w:hAnsi="仿宋" w:eastAsia="仿宋" w:cs="仿宋"/>
                <w:color w:val="auto"/>
                <w:sz w:val="24"/>
                <w:highlight w:val="none"/>
              </w:rPr>
            </w:pPr>
            <w:r>
              <w:rPr>
                <w:rFonts w:hint="eastAsia" w:ascii="仿宋" w:hAnsi="仿宋" w:eastAsia="仿宋" w:cs="仿宋"/>
                <w:color w:val="auto"/>
                <w:sz w:val="24"/>
                <w:highlight w:val="none"/>
              </w:rPr>
              <w:t>评标过程中，不得去掉报价中的最高报价和最低报价。</w:t>
            </w:r>
          </w:p>
          <w:p>
            <w:pPr>
              <w:spacing w:line="400" w:lineRule="exact"/>
              <w:outlineLvl w:val="0"/>
              <w:rPr>
                <w:rFonts w:ascii="仿宋" w:hAnsi="仿宋" w:eastAsia="仿宋" w:cs="仿宋"/>
                <w:color w:val="auto"/>
                <w:sz w:val="24"/>
                <w:highlight w:val="none"/>
              </w:rPr>
            </w:pPr>
            <w:r>
              <w:rPr>
                <w:rFonts w:hint="eastAsia" w:ascii="仿宋" w:hAnsi="仿宋" w:eastAsia="仿宋" w:cs="仿宋"/>
                <w:color w:val="auto"/>
                <w:sz w:val="24"/>
                <w:highlight w:val="none"/>
              </w:rPr>
              <w:t>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w:t>
            </w:r>
          </w:p>
        </w:tc>
        <w:tc>
          <w:tcPr>
            <w:tcW w:w="1014" w:type="dxa"/>
            <w:vAlign w:val="center"/>
          </w:tcPr>
          <w:p>
            <w:pPr>
              <w:spacing w:line="400" w:lineRule="exact"/>
              <w:jc w:val="center"/>
              <w:outlineLvl w:val="0"/>
              <w:rPr>
                <w:rFonts w:ascii="仿宋" w:hAnsi="仿宋" w:eastAsia="仿宋" w:cs="仿宋"/>
                <w:color w:val="auto"/>
                <w:sz w:val="24"/>
                <w:highlight w:val="none"/>
              </w:rPr>
            </w:pPr>
            <w:r>
              <w:rPr>
                <w:rFonts w:hint="eastAsia" w:ascii="仿宋" w:hAnsi="仿宋" w:eastAsia="仿宋" w:cs="仿宋"/>
                <w:color w:val="auto"/>
                <w:sz w:val="24"/>
                <w:highlight w:val="none"/>
              </w:rPr>
              <w:t>30分</w:t>
            </w:r>
          </w:p>
        </w:tc>
        <w:tc>
          <w:tcPr>
            <w:tcW w:w="1134" w:type="dxa"/>
            <w:vAlign w:val="center"/>
          </w:tcPr>
          <w:p>
            <w:pPr>
              <w:spacing w:line="400" w:lineRule="exact"/>
              <w:jc w:val="center"/>
              <w:outlineLvl w:val="0"/>
              <w:rPr>
                <w:rFonts w:ascii="仿宋" w:hAnsi="仿宋" w:eastAsia="仿宋" w:cs="仿宋"/>
                <w:color w:val="auto"/>
                <w:sz w:val="24"/>
                <w:highlight w:val="none"/>
              </w:rPr>
            </w:pPr>
            <w:r>
              <w:rPr>
                <w:rFonts w:hint="eastAsia" w:ascii="仿宋" w:hAnsi="仿宋" w:eastAsia="仿宋" w:cs="仿宋"/>
                <w:color w:val="auto"/>
                <w:sz w:val="24"/>
                <w:highlight w:val="none"/>
              </w:rPr>
              <w:t>/</w:t>
            </w:r>
          </w:p>
        </w:tc>
      </w:tr>
    </w:tbl>
    <w:p>
      <w:pPr>
        <w:spacing w:line="360" w:lineRule="auto"/>
        <w:rPr>
          <w:rFonts w:ascii="仿宋" w:hAnsi="仿宋" w:eastAsia="仿宋" w:cs="仿宋"/>
          <w:color w:val="auto"/>
          <w:sz w:val="24"/>
          <w:highlight w:val="none"/>
        </w:rPr>
      </w:pPr>
      <w:r>
        <w:rPr>
          <w:rFonts w:hint="eastAsia" w:ascii="仿宋" w:hAnsi="仿宋" w:eastAsia="仿宋" w:cs="仿宋"/>
          <w:color w:val="auto"/>
          <w:sz w:val="20"/>
          <w:szCs w:val="20"/>
          <w:highlight w:val="none"/>
          <w:shd w:val="clear" w:color="auto" w:fill="FFFFFF"/>
        </w:rPr>
        <w:t>*</w:t>
      </w:r>
      <w:r>
        <w:rPr>
          <w:rFonts w:hint="eastAsia" w:ascii="仿宋" w:hAnsi="仿宋" w:eastAsia="仿宋" w:cs="仿宋"/>
          <w:color w:val="auto"/>
          <w:sz w:val="24"/>
          <w:highlight w:val="none"/>
        </w:rPr>
        <w:t xml:space="preserve">备注：1、投标人编制投标文件（商务技术文件部分）时，建议按此目录（序号和内容）提供评标标准相应的商务技术资料。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2、评分条款中涉及的业绩、荣誉、人员、社保等分公司均有效。涉及社保、劳动关系证明关系的，如人员为法人代表，则无需提供相关证明，提供营业执照及身份证。</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3、投标文件中如附有外文资料，必须逐一对应翻译成中文并加盖投标人公章后附在相关外文资料后面，否则外文资料不予认可。</w:t>
      </w:r>
    </w:p>
    <w:p>
      <w:pPr>
        <w:spacing w:line="360" w:lineRule="auto"/>
        <w:rPr>
          <w:rFonts w:ascii="仿宋" w:hAnsi="仿宋" w:eastAsia="仿宋" w:cs="仿宋"/>
          <w:color w:val="auto"/>
          <w:highlight w:val="none"/>
        </w:rPr>
      </w:pPr>
    </w:p>
    <w:p>
      <w:pPr>
        <w:snapToGrid w:val="0"/>
        <w:spacing w:line="360" w:lineRule="auto"/>
        <w:rPr>
          <w:rFonts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129"/>
        <w:spacing w:before="0"/>
        <w:ind w:firstLine="508" w:firstLineChars="212"/>
        <w:rPr>
          <w:rFonts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129"/>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129"/>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129"/>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129"/>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129"/>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129"/>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项目，以及预留份额政府采购货物项目中的非预留部分标项，对小型和微型企业的投标报价给予10%-20%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129"/>
        <w:spacing w:before="0"/>
        <w:ind w:firstLine="472" w:firstLineChars="196"/>
        <w:rPr>
          <w:rFonts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有下列情形之一的，投标无效：</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4.2.12投标人仅提交备份投标文件，未在电子交易平台传输递交投标文件的，投标无效；</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4.2.13投标人未提供样品或提供的样品不满足采购需求实质性条件的，投标无效；</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kern w:val="0"/>
          <w:sz w:val="24"/>
          <w:highlight w:val="none"/>
        </w:rPr>
        <w:t>4.2.14 投标文件不满足招标文件的实质性要求的；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4.2.15法律、法规、规章（适用本市的）及省级以上规范性文件（适用本市的）规定的其他无效情形。</w:t>
      </w:r>
    </w:p>
    <w:p>
      <w:pPr>
        <w:pStyle w:val="25"/>
        <w:snapToGrid w:val="0"/>
        <w:spacing w:line="360" w:lineRule="auto"/>
        <w:ind w:firstLine="472" w:firstLineChars="196"/>
        <w:rPr>
          <w:rFonts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5"/>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5"/>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5"/>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5"/>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5"/>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废标后，采购代理机构应当将废标理由通知所有投标人。</w:t>
      </w:r>
    </w:p>
    <w:p>
      <w:pPr>
        <w:pStyle w:val="25"/>
        <w:snapToGrid w:val="0"/>
        <w:spacing w:line="360" w:lineRule="auto"/>
        <w:ind w:firstLine="590" w:firstLineChars="245"/>
        <w:rPr>
          <w:rFonts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有政府采购法第七十一条、第七十二条规定的违法行为之一，影响或者可能影响中标结果的，依照下列规定处理：</w:t>
      </w:r>
    </w:p>
    <w:p>
      <w:pPr>
        <w:pStyle w:val="25"/>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7.1未确定中标供应商的，终止本次政府采购活动，重新开展政府采购活动。</w:t>
      </w:r>
    </w:p>
    <w:p>
      <w:pPr>
        <w:pStyle w:val="25"/>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5"/>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ascii="仿宋" w:hAnsi="仿宋" w:eastAsia="仿宋" w:cs="仿宋"/>
          <w:color w:val="auto"/>
          <w:highlight w:val="none"/>
        </w:rPr>
      </w:pPr>
    </w:p>
    <w:bookmarkEnd w:id="31"/>
    <w:p>
      <w:pPr>
        <w:spacing w:line="360" w:lineRule="auto"/>
        <w:ind w:left="720" w:leftChars="343" w:firstLine="1084" w:firstLineChars="300"/>
        <w:outlineLvl w:val="0"/>
        <w:rPr>
          <w:rFonts w:ascii="仿宋" w:hAnsi="仿宋" w:eastAsia="仿宋" w:cs="仿宋"/>
          <w:b/>
          <w:color w:val="auto"/>
          <w:sz w:val="36"/>
          <w:szCs w:val="36"/>
          <w:highlight w:val="none"/>
        </w:rPr>
      </w:pPr>
      <w:bookmarkStart w:id="46" w:name="第五部分"/>
      <w:bookmarkStart w:id="47" w:name="_Toc86217003"/>
    </w:p>
    <w:p>
      <w:pPr>
        <w:rPr>
          <w:rFonts w:ascii="仿宋" w:hAnsi="仿宋" w:eastAsia="仿宋" w:cs="仿宋"/>
          <w:b/>
          <w:color w:val="auto"/>
          <w:sz w:val="36"/>
          <w:szCs w:val="36"/>
          <w:highlight w:val="none"/>
        </w:rPr>
      </w:pPr>
    </w:p>
    <w:p>
      <w:pPr>
        <w:spacing w:line="360" w:lineRule="auto"/>
        <w:ind w:left="720" w:leftChars="343" w:firstLine="1084" w:firstLineChars="300"/>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widowControl/>
        <w:adjustRightInd/>
        <w:spacing w:line="336" w:lineRule="auto"/>
        <w:ind w:left="-57" w:leftChars="-27" w:firstLine="480" w:firstLineChars="200"/>
        <w:rPr>
          <w:rFonts w:hint="eastAsia" w:ascii="仿宋" w:hAnsi="仿宋" w:eastAsia="仿宋" w:cs="仿宋"/>
          <w:color w:val="auto"/>
          <w:sz w:val="24"/>
          <w:highlight w:val="none"/>
        </w:rPr>
      </w:pPr>
    </w:p>
    <w:p>
      <w:pPr>
        <w:widowControl/>
        <w:adjustRightInd/>
        <w:spacing w:line="336" w:lineRule="auto"/>
        <w:ind w:left="-57" w:leftChars="-27"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甲方：杭州市萧山区第一人民医院                                     </w:t>
      </w:r>
    </w:p>
    <w:p>
      <w:pPr>
        <w:widowControl/>
        <w:adjustRightInd/>
        <w:spacing w:line="336" w:lineRule="auto"/>
        <w:ind w:left="-57" w:leftChars="-27"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p>
    <w:p>
      <w:pPr>
        <w:widowControl/>
        <w:adjustRightInd/>
        <w:spacing w:line="336" w:lineRule="auto"/>
        <w:ind w:left="378" w:leftChars="180"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根据《中华人民共和国民法典》的有关规定，结合甲方杭州市萧山区第一人民医院医共体总院（杭州市萧山区第一人民医院）中央空调系统智能化改造项目（项目编号</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）公开招标结果，经甲、乙双方协商一致，订立本合同，具体条款如下：</w:t>
      </w:r>
    </w:p>
    <w:p>
      <w:pPr>
        <w:adjustRightInd/>
        <w:spacing w:line="336"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一、采购内容</w:t>
      </w:r>
    </w:p>
    <w:p>
      <w:pPr>
        <w:widowControl w:val="0"/>
        <w:adjustRightInd w:val="0"/>
        <w:snapToGrid w:val="0"/>
        <w:spacing w:line="336" w:lineRule="auto"/>
        <w:ind w:firstLine="960" w:firstLineChars="40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1.采购明细及分项单价（见下表）</w:t>
      </w:r>
    </w:p>
    <w:tbl>
      <w:tblPr>
        <w:tblStyle w:val="63"/>
        <w:tblW w:w="90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0"/>
        <w:gridCol w:w="1657"/>
        <w:gridCol w:w="1440"/>
        <w:gridCol w:w="233"/>
        <w:gridCol w:w="1394"/>
        <w:gridCol w:w="1080"/>
        <w:gridCol w:w="1305"/>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序号</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名称</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品牌</w:t>
            </w:r>
          </w:p>
        </w:tc>
        <w:tc>
          <w:tcPr>
            <w:tcW w:w="16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规格型号</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数量</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单价(元)</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b/>
                <w:bCs/>
                <w:i w:val="0"/>
                <w:iCs w:val="0"/>
                <w:color w:val="auto"/>
                <w:sz w:val="20"/>
                <w:szCs w:val="20"/>
                <w:highlight w:val="none"/>
                <w:u w:val="none"/>
              </w:rPr>
            </w:pPr>
            <w:r>
              <w:rPr>
                <w:rFonts w:hint="eastAsia" w:ascii="仿宋" w:hAnsi="仿宋" w:eastAsia="仿宋" w:cs="仿宋"/>
                <w:b/>
                <w:bCs/>
                <w:i w:val="0"/>
                <w:iCs w:val="0"/>
                <w:color w:val="auto"/>
                <w:kern w:val="0"/>
                <w:sz w:val="20"/>
                <w:szCs w:val="20"/>
                <w:highlight w:val="none"/>
                <w:u w:val="none"/>
                <w:lang w:val="en-US" w:eastAsia="zh-CN" w:bidi="ar"/>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1</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6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19"/>
                <w:szCs w:val="19"/>
                <w:highlight w:val="none"/>
                <w:u w:val="none"/>
              </w:rPr>
            </w:pPr>
            <w:r>
              <w:rPr>
                <w:rFonts w:hint="eastAsia" w:ascii="仿宋" w:hAnsi="仿宋" w:eastAsia="仿宋" w:cs="仿宋"/>
                <w:i w:val="0"/>
                <w:iCs w:val="0"/>
                <w:color w:val="auto"/>
                <w:kern w:val="0"/>
                <w:sz w:val="19"/>
                <w:szCs w:val="19"/>
                <w:highlight w:val="none"/>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19"/>
                <w:szCs w:val="19"/>
                <w:highlight w:val="none"/>
                <w:u w:val="none"/>
              </w:rPr>
            </w:pPr>
            <w:r>
              <w:rPr>
                <w:rFonts w:hint="eastAsia" w:ascii="仿宋" w:hAnsi="仿宋" w:eastAsia="仿宋" w:cs="仿宋"/>
                <w:i w:val="0"/>
                <w:iCs w:val="0"/>
                <w:color w:val="auto"/>
                <w:kern w:val="0"/>
                <w:sz w:val="19"/>
                <w:szCs w:val="19"/>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2</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ind w:left="0" w:leftChars="0" w:right="0" w:rightChars="0"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ind w:left="0" w:leftChars="0" w:right="0" w:rightChars="0"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6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ind w:left="0" w:leftChars="0" w:right="0" w:rightChars="0"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19"/>
                <w:szCs w:val="19"/>
                <w:highlight w:val="none"/>
                <w:u w:val="none"/>
              </w:rPr>
            </w:pPr>
            <w:r>
              <w:rPr>
                <w:rFonts w:hint="eastAsia" w:ascii="仿宋" w:hAnsi="仿宋" w:eastAsia="仿宋" w:cs="仿宋"/>
                <w:i w:val="0"/>
                <w:iCs w:val="0"/>
                <w:color w:val="auto"/>
                <w:kern w:val="0"/>
                <w:sz w:val="19"/>
                <w:szCs w:val="19"/>
                <w:highlight w:val="none"/>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19"/>
                <w:szCs w:val="19"/>
                <w:highlight w:val="none"/>
                <w:u w:val="none"/>
              </w:rPr>
            </w:pPr>
            <w:r>
              <w:rPr>
                <w:rFonts w:hint="eastAsia" w:ascii="仿宋" w:hAnsi="仿宋" w:eastAsia="仿宋" w:cs="仿宋"/>
                <w:i w:val="0"/>
                <w:iCs w:val="0"/>
                <w:color w:val="auto"/>
                <w:kern w:val="0"/>
                <w:sz w:val="19"/>
                <w:szCs w:val="19"/>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3</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ind w:left="0" w:leftChars="0" w:right="0" w:rightChars="0"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ind w:left="0" w:leftChars="0" w:right="0" w:rightChars="0"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6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ind w:left="0" w:leftChars="0" w:right="0" w:rightChars="0"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19"/>
                <w:szCs w:val="19"/>
                <w:highlight w:val="none"/>
                <w:u w:val="none"/>
              </w:rPr>
            </w:pPr>
            <w:r>
              <w:rPr>
                <w:rFonts w:hint="eastAsia" w:ascii="仿宋" w:hAnsi="仿宋" w:eastAsia="仿宋" w:cs="仿宋"/>
                <w:i w:val="0"/>
                <w:iCs w:val="0"/>
                <w:color w:val="auto"/>
                <w:kern w:val="0"/>
                <w:sz w:val="19"/>
                <w:szCs w:val="19"/>
                <w:highlight w:val="none"/>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19"/>
                <w:szCs w:val="19"/>
                <w:highlight w:val="none"/>
                <w:u w:val="none"/>
              </w:rPr>
            </w:pPr>
            <w:r>
              <w:rPr>
                <w:rFonts w:hint="eastAsia" w:ascii="仿宋" w:hAnsi="仿宋" w:eastAsia="仿宋" w:cs="仿宋"/>
                <w:i w:val="0"/>
                <w:iCs w:val="0"/>
                <w:color w:val="auto"/>
                <w:kern w:val="0"/>
                <w:sz w:val="19"/>
                <w:szCs w:val="19"/>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4</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ind w:left="0" w:leftChars="0" w:right="0" w:rightChars="0"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ind w:left="0" w:leftChars="0" w:right="0" w:rightChars="0"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6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ind w:left="0" w:leftChars="0" w:right="0" w:rightChars="0"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19"/>
                <w:szCs w:val="19"/>
                <w:highlight w:val="none"/>
                <w:u w:val="none"/>
              </w:rPr>
            </w:pPr>
            <w:r>
              <w:rPr>
                <w:rFonts w:hint="eastAsia" w:ascii="仿宋" w:hAnsi="仿宋" w:eastAsia="仿宋" w:cs="仿宋"/>
                <w:i w:val="0"/>
                <w:iCs w:val="0"/>
                <w:color w:val="auto"/>
                <w:kern w:val="0"/>
                <w:sz w:val="19"/>
                <w:szCs w:val="19"/>
                <w:highlight w:val="none"/>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19"/>
                <w:szCs w:val="19"/>
                <w:highlight w:val="none"/>
                <w:u w:val="none"/>
              </w:rPr>
            </w:pPr>
            <w:r>
              <w:rPr>
                <w:rFonts w:hint="eastAsia" w:ascii="仿宋" w:hAnsi="仿宋" w:eastAsia="仿宋" w:cs="仿宋"/>
                <w:i w:val="0"/>
                <w:iCs w:val="0"/>
                <w:color w:val="auto"/>
                <w:kern w:val="0"/>
                <w:sz w:val="19"/>
                <w:szCs w:val="19"/>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5</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ind w:left="0" w:leftChars="0" w:right="0" w:rightChars="0"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ind w:left="0" w:leftChars="0" w:right="0" w:rightChars="0"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6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ind w:left="0" w:leftChars="0" w:right="0" w:rightChars="0" w:firstLine="0" w:firstLineChars="0"/>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19"/>
                <w:szCs w:val="19"/>
                <w:highlight w:val="none"/>
                <w:u w:val="none"/>
              </w:rPr>
            </w:pPr>
            <w:r>
              <w:rPr>
                <w:rFonts w:hint="eastAsia" w:ascii="仿宋" w:hAnsi="仿宋" w:eastAsia="仿宋" w:cs="仿宋"/>
                <w:i w:val="0"/>
                <w:iCs w:val="0"/>
                <w:color w:val="auto"/>
                <w:kern w:val="0"/>
                <w:sz w:val="19"/>
                <w:szCs w:val="19"/>
                <w:highlight w:val="none"/>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19"/>
                <w:szCs w:val="19"/>
                <w:highlight w:val="none"/>
                <w:u w:val="none"/>
              </w:rPr>
            </w:pPr>
            <w:r>
              <w:rPr>
                <w:rFonts w:hint="eastAsia" w:ascii="仿宋" w:hAnsi="仿宋" w:eastAsia="仿宋" w:cs="仿宋"/>
                <w:i w:val="0"/>
                <w:iCs w:val="0"/>
                <w:color w:val="auto"/>
                <w:kern w:val="0"/>
                <w:sz w:val="19"/>
                <w:szCs w:val="19"/>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02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总价（小写）</w:t>
            </w:r>
          </w:p>
        </w:tc>
        <w:tc>
          <w:tcPr>
            <w:tcW w:w="499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02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总价（大写）</w:t>
            </w:r>
          </w:p>
        </w:tc>
        <w:tc>
          <w:tcPr>
            <w:tcW w:w="499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djustRightInd/>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****整</w:t>
            </w:r>
          </w:p>
        </w:tc>
      </w:tr>
    </w:tbl>
    <w:p>
      <w:pPr>
        <w:widowControl w:val="0"/>
        <w:adjustRightInd w:val="0"/>
        <w:snapToGrid w:val="0"/>
        <w:spacing w:line="336" w:lineRule="auto"/>
        <w:ind w:left="479" w:leftChars="228" w:firstLine="480" w:firstLineChars="200"/>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2.合同金额：本合同采用项目固定总价。分项单价中含运输、售后服务及税等所有费用。</w:t>
      </w:r>
    </w:p>
    <w:p>
      <w:pPr>
        <w:adjustRightInd/>
        <w:spacing w:line="336" w:lineRule="auto"/>
        <w:ind w:left="0" w:leftChars="0" w:firstLine="422" w:firstLineChars="175"/>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二、交货期限</w:t>
      </w:r>
    </w:p>
    <w:p>
      <w:pPr>
        <w:adjustRightInd/>
        <w:spacing w:line="336" w:lineRule="auto"/>
        <w:ind w:left="0" w:leftChars="0" w:firstLine="420" w:firstLineChars="175"/>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1.合同签订后，</w:t>
      </w:r>
      <w:r>
        <w:rPr>
          <w:rFonts w:hint="eastAsia" w:ascii="仿宋" w:hAnsi="仿宋" w:eastAsia="仿宋" w:cs="仿宋"/>
          <w:b w:val="0"/>
          <w:bCs/>
          <w:color w:val="auto"/>
          <w:sz w:val="24"/>
          <w:highlight w:val="none"/>
          <w:u w:val="single"/>
          <w:lang w:val="en-US" w:eastAsia="zh-CN"/>
        </w:rPr>
        <w:t xml:space="preserve">    </w:t>
      </w:r>
      <w:r>
        <w:rPr>
          <w:rFonts w:hint="eastAsia" w:ascii="仿宋" w:hAnsi="仿宋" w:eastAsia="仿宋" w:cs="仿宋"/>
          <w:b w:val="0"/>
          <w:bCs/>
          <w:color w:val="auto"/>
          <w:sz w:val="24"/>
          <w:highlight w:val="none"/>
        </w:rPr>
        <w:t>日内交货并安装完毕。</w:t>
      </w:r>
    </w:p>
    <w:p>
      <w:pPr>
        <w:widowControl/>
        <w:adjustRightInd/>
        <w:spacing w:line="336" w:lineRule="auto"/>
        <w:ind w:left="0" w:leftChars="0" w:firstLine="420" w:firstLineChars="175"/>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.货物质量：合格。</w:t>
      </w:r>
    </w:p>
    <w:p>
      <w:pPr>
        <w:adjustRightInd/>
        <w:spacing w:line="336" w:lineRule="auto"/>
        <w:ind w:left="0" w:leftChars="0" w:firstLine="422" w:firstLineChars="175"/>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三、付款方式</w:t>
      </w:r>
    </w:p>
    <w:p>
      <w:pPr>
        <w:adjustRightInd/>
        <w:spacing w:line="336" w:lineRule="auto"/>
        <w:ind w:left="0" w:leftChars="0" w:firstLine="420" w:firstLineChars="175"/>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（1）合同签订后，采购人在收到中标人提供的正式发票后7个工作日内支付中标人</w:t>
      </w:r>
      <w:r>
        <w:rPr>
          <w:rFonts w:hint="eastAsia" w:ascii="仿宋" w:hAnsi="仿宋" w:eastAsia="仿宋" w:cs="仿宋"/>
          <w:b w:val="0"/>
          <w:bCs/>
          <w:color w:val="auto"/>
          <w:sz w:val="24"/>
          <w:highlight w:val="none"/>
          <w:lang w:val="en-US" w:eastAsia="zh-CN"/>
        </w:rPr>
        <w:t>设备</w:t>
      </w:r>
      <w:r>
        <w:rPr>
          <w:rFonts w:hint="eastAsia" w:ascii="仿宋" w:hAnsi="仿宋" w:eastAsia="仿宋" w:cs="仿宋"/>
          <w:b w:val="0"/>
          <w:bCs/>
          <w:color w:val="auto"/>
          <w:sz w:val="24"/>
          <w:highlight w:val="none"/>
        </w:rPr>
        <w:t>总价的</w:t>
      </w:r>
      <w:r>
        <w:rPr>
          <w:rFonts w:hint="eastAsia" w:ascii="仿宋" w:hAnsi="仿宋" w:eastAsia="仿宋" w:cs="仿宋"/>
          <w:b w:val="0"/>
          <w:bCs/>
          <w:color w:val="auto"/>
          <w:sz w:val="24"/>
          <w:highlight w:val="none"/>
          <w:lang w:val="en-US" w:eastAsia="zh-CN"/>
        </w:rPr>
        <w:t>4</w:t>
      </w:r>
      <w:r>
        <w:rPr>
          <w:rFonts w:hint="eastAsia" w:ascii="仿宋" w:hAnsi="仿宋" w:eastAsia="仿宋" w:cs="仿宋"/>
          <w:b w:val="0"/>
          <w:bCs/>
          <w:color w:val="auto"/>
          <w:sz w:val="24"/>
          <w:highlight w:val="none"/>
        </w:rPr>
        <w:t>0%作为预付款；</w:t>
      </w:r>
    </w:p>
    <w:p>
      <w:pPr>
        <w:adjustRightInd/>
        <w:spacing w:line="336" w:lineRule="auto"/>
        <w:ind w:left="0" w:leftChars="0" w:firstLine="420" w:firstLineChars="175"/>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（2）系统安装调试完毕，功能除SCOP指标外与技术要求内容一致，经采购人验收合格后，采购人收到中标人提供的正式发票后7个工作日内支付中标人合同总价的</w:t>
      </w:r>
      <w:r>
        <w:rPr>
          <w:rFonts w:hint="eastAsia" w:ascii="仿宋" w:hAnsi="仿宋" w:eastAsia="仿宋" w:cs="仿宋"/>
          <w:b w:val="0"/>
          <w:bCs/>
          <w:color w:val="auto"/>
          <w:sz w:val="24"/>
          <w:highlight w:val="none"/>
          <w:lang w:val="en-US" w:eastAsia="zh-CN"/>
        </w:rPr>
        <w:t>20</w:t>
      </w:r>
      <w:r>
        <w:rPr>
          <w:rFonts w:hint="eastAsia" w:ascii="仿宋" w:hAnsi="仿宋" w:eastAsia="仿宋" w:cs="仿宋"/>
          <w:b w:val="0"/>
          <w:bCs/>
          <w:color w:val="auto"/>
          <w:sz w:val="24"/>
          <w:highlight w:val="none"/>
        </w:rPr>
        <w:t>%。</w:t>
      </w:r>
    </w:p>
    <w:p>
      <w:pPr>
        <w:adjustRightInd/>
        <w:spacing w:line="336" w:lineRule="auto"/>
        <w:ind w:left="0" w:leftChars="0" w:firstLine="420" w:firstLineChars="175"/>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（3）系统运行满1个制冷周期，达到承诺SCOP指标后，采购人收到中标人提供的正式发票后7个工作日内付</w:t>
      </w:r>
      <w:r>
        <w:rPr>
          <w:rFonts w:hint="eastAsia" w:ascii="仿宋" w:hAnsi="仿宋" w:eastAsia="仿宋" w:cs="仿宋"/>
          <w:b w:val="0"/>
          <w:bCs/>
          <w:color w:val="auto"/>
          <w:sz w:val="24"/>
          <w:highlight w:val="none"/>
          <w:lang w:val="en-US" w:eastAsia="zh-CN"/>
        </w:rPr>
        <w:t>至</w:t>
      </w:r>
      <w:r>
        <w:rPr>
          <w:rFonts w:hint="eastAsia" w:ascii="仿宋" w:hAnsi="仿宋" w:eastAsia="仿宋" w:cs="仿宋"/>
          <w:b w:val="0"/>
          <w:bCs/>
          <w:color w:val="auto"/>
          <w:sz w:val="24"/>
          <w:highlight w:val="none"/>
        </w:rPr>
        <w:t>中标人合同总价的</w:t>
      </w:r>
      <w:r>
        <w:rPr>
          <w:rFonts w:hint="eastAsia" w:ascii="仿宋" w:hAnsi="仿宋" w:eastAsia="仿宋" w:cs="仿宋"/>
          <w:b w:val="0"/>
          <w:bCs/>
          <w:color w:val="auto"/>
          <w:sz w:val="24"/>
          <w:highlight w:val="none"/>
          <w:lang w:val="en-US" w:eastAsia="zh-CN"/>
        </w:rPr>
        <w:t>70</w:t>
      </w:r>
      <w:r>
        <w:rPr>
          <w:rFonts w:hint="eastAsia" w:ascii="仿宋" w:hAnsi="仿宋" w:eastAsia="仿宋" w:cs="仿宋"/>
          <w:b w:val="0"/>
          <w:bCs/>
          <w:color w:val="auto"/>
          <w:sz w:val="24"/>
          <w:highlight w:val="none"/>
        </w:rPr>
        <w:t>%。经采购人最终验收后，采购人收到中标人提供的正式发票后7个工作日内支付</w:t>
      </w:r>
      <w:r>
        <w:rPr>
          <w:rFonts w:hint="eastAsia" w:ascii="仿宋" w:hAnsi="仿宋" w:eastAsia="仿宋" w:cs="仿宋"/>
          <w:b w:val="0"/>
          <w:bCs/>
          <w:color w:val="auto"/>
          <w:sz w:val="24"/>
          <w:highlight w:val="none"/>
          <w:lang w:val="en-US" w:eastAsia="zh-CN"/>
        </w:rPr>
        <w:t>剩余款项</w:t>
      </w:r>
      <w:r>
        <w:rPr>
          <w:rFonts w:hint="eastAsia" w:ascii="仿宋" w:hAnsi="仿宋" w:eastAsia="仿宋" w:cs="仿宋"/>
          <w:b w:val="0"/>
          <w:bCs/>
          <w:color w:val="auto"/>
          <w:sz w:val="24"/>
          <w:highlight w:val="none"/>
        </w:rPr>
        <w:t>（如</w:t>
      </w:r>
      <w:r>
        <w:rPr>
          <w:rFonts w:hint="eastAsia" w:ascii="仿宋" w:hAnsi="仿宋" w:eastAsia="仿宋" w:cs="仿宋"/>
          <w:b w:val="0"/>
          <w:bCs/>
          <w:color w:val="auto"/>
          <w:sz w:val="24"/>
          <w:highlight w:val="none"/>
          <w:lang w:val="en-US" w:eastAsia="zh-CN"/>
        </w:rPr>
        <w:t>合同期内</w:t>
      </w:r>
      <w:r>
        <w:rPr>
          <w:rFonts w:hint="eastAsia" w:ascii="仿宋" w:hAnsi="仿宋" w:eastAsia="仿宋" w:cs="仿宋"/>
          <w:b w:val="0"/>
          <w:bCs/>
          <w:color w:val="auto"/>
          <w:sz w:val="24"/>
          <w:highlight w:val="none"/>
        </w:rPr>
        <w:t>仍未达标指标</w:t>
      </w:r>
      <w:r>
        <w:rPr>
          <w:rFonts w:hint="eastAsia" w:ascii="仿宋" w:hAnsi="仿宋" w:eastAsia="仿宋" w:cs="仿宋"/>
          <w:b w:val="0"/>
          <w:bCs/>
          <w:color w:val="auto"/>
          <w:sz w:val="24"/>
          <w:highlight w:val="none"/>
          <w:lang w:eastAsia="zh-CN"/>
        </w:rPr>
        <w:t>的，</w:t>
      </w:r>
      <w:r>
        <w:rPr>
          <w:rFonts w:hint="eastAsia" w:ascii="仿宋" w:hAnsi="仿宋" w:eastAsia="仿宋" w:cs="仿宋"/>
          <w:b w:val="0"/>
          <w:bCs/>
          <w:color w:val="auto"/>
          <w:sz w:val="24"/>
          <w:highlight w:val="none"/>
          <w:lang w:val="en-US" w:eastAsia="zh-CN"/>
        </w:rPr>
        <w:t>中标人须在下一个制冷和供暖周期后完成</w:t>
      </w:r>
      <w:r>
        <w:rPr>
          <w:rFonts w:hint="eastAsia" w:ascii="仿宋" w:hAnsi="仿宋" w:eastAsia="仿宋" w:cs="仿宋"/>
          <w:b w:val="0"/>
          <w:bCs/>
          <w:color w:val="auto"/>
          <w:sz w:val="24"/>
          <w:highlight w:val="none"/>
        </w:rPr>
        <w:t>SCOP指标</w:t>
      </w: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lang w:val="en-US" w:eastAsia="zh-CN"/>
        </w:rPr>
        <w:t>采购方有权收取不超过合同总价的20%的违约金</w:t>
      </w:r>
      <w:r>
        <w:rPr>
          <w:rFonts w:hint="eastAsia" w:ascii="仿宋" w:hAnsi="仿宋" w:eastAsia="仿宋" w:cs="仿宋"/>
          <w:b w:val="0"/>
          <w:bCs/>
          <w:color w:val="auto"/>
          <w:sz w:val="24"/>
          <w:highlight w:val="none"/>
        </w:rPr>
        <w:t>）。</w:t>
      </w:r>
    </w:p>
    <w:p>
      <w:pPr>
        <w:adjustRightInd/>
        <w:spacing w:line="336" w:lineRule="auto"/>
        <w:ind w:left="0" w:leftChars="0" w:firstLine="422" w:firstLineChars="175"/>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四、质量保证及验收</w:t>
      </w:r>
    </w:p>
    <w:p>
      <w:pPr>
        <w:tabs>
          <w:tab w:val="left" w:pos="840"/>
        </w:tabs>
        <w:adjustRightInd/>
        <w:spacing w:line="336" w:lineRule="auto"/>
        <w:ind w:left="0" w:leftChars="0" w:firstLine="420" w:firstLineChars="175"/>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lang w:val="en-US" w:eastAsia="zh-CN"/>
        </w:rPr>
        <w:t>1</w:t>
      </w: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rPr>
        <w:t>质量标准：达到国家相关质量验收标准。</w:t>
      </w:r>
    </w:p>
    <w:p>
      <w:pPr>
        <w:tabs>
          <w:tab w:val="left" w:pos="840"/>
        </w:tabs>
        <w:adjustRightInd/>
        <w:spacing w:line="336" w:lineRule="auto"/>
        <w:ind w:left="0" w:leftChars="0" w:firstLine="420" w:firstLineChars="175"/>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lang w:val="en-US" w:eastAsia="zh-CN"/>
        </w:rPr>
        <w:t>2</w:t>
      </w: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rPr>
        <w:t>质量保证期：从项目验收合格之日起</w:t>
      </w:r>
      <w:r>
        <w:rPr>
          <w:rFonts w:hint="eastAsia" w:ascii="仿宋" w:hAnsi="仿宋" w:eastAsia="仿宋" w:cs="仿宋"/>
          <w:b w:val="0"/>
          <w:bCs/>
          <w:color w:val="auto"/>
          <w:sz w:val="24"/>
          <w:highlight w:val="none"/>
          <w:u w:val="single"/>
          <w:lang w:val="en-US" w:eastAsia="zh-CN"/>
        </w:rPr>
        <w:t xml:space="preserve">    </w:t>
      </w:r>
      <w:r>
        <w:rPr>
          <w:rFonts w:hint="eastAsia" w:ascii="仿宋" w:hAnsi="仿宋" w:eastAsia="仿宋" w:cs="仿宋"/>
          <w:b w:val="0"/>
          <w:bCs/>
          <w:color w:val="auto"/>
          <w:sz w:val="24"/>
          <w:highlight w:val="none"/>
        </w:rPr>
        <w:t>年。</w:t>
      </w:r>
    </w:p>
    <w:p>
      <w:pPr>
        <w:tabs>
          <w:tab w:val="left" w:pos="840"/>
        </w:tabs>
        <w:adjustRightInd/>
        <w:spacing w:line="336" w:lineRule="auto"/>
        <w:ind w:left="0" w:leftChars="0" w:firstLine="420" w:firstLineChars="175"/>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lang w:val="en-US" w:eastAsia="zh-CN"/>
        </w:rPr>
        <w:t>3</w:t>
      </w: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rPr>
        <w:t>售后服务要求：在质保期内所提供产品发生质量问题,中标人应在1小时内响应，2小时内到达现场，12小时内完成采购人提出维修要求的服务。</w:t>
      </w:r>
    </w:p>
    <w:p>
      <w:pPr>
        <w:tabs>
          <w:tab w:val="left" w:pos="840"/>
        </w:tabs>
        <w:adjustRightInd/>
        <w:spacing w:line="336" w:lineRule="auto"/>
        <w:ind w:left="0" w:leftChars="0" w:firstLine="420" w:firstLineChars="175"/>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lang w:val="en-US" w:eastAsia="zh-CN"/>
        </w:rPr>
        <w:t>4</w:t>
      </w: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rPr>
        <w:t>系统需预留对外第三方系统通讯接口，如智慧后勤系统等第三方系统需要采集本系统数据必须无条件配合，后续不得因对外开放通讯而另外收取费用。</w:t>
      </w:r>
    </w:p>
    <w:p>
      <w:pPr>
        <w:tabs>
          <w:tab w:val="left" w:pos="840"/>
        </w:tabs>
        <w:adjustRightInd/>
        <w:spacing w:line="336" w:lineRule="auto"/>
        <w:ind w:left="0" w:leftChars="0" w:firstLine="420" w:firstLineChars="175"/>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lang w:val="en-US" w:eastAsia="zh-CN"/>
        </w:rPr>
        <w:t>5</w:t>
      </w: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rPr>
        <w:t>质保期满后，维保费不超过软件费用的10%。</w:t>
      </w:r>
    </w:p>
    <w:p>
      <w:pPr>
        <w:tabs>
          <w:tab w:val="left" w:pos="840"/>
        </w:tabs>
        <w:adjustRightInd/>
        <w:spacing w:line="336" w:lineRule="auto"/>
        <w:ind w:left="0" w:leftChars="0" w:firstLine="422" w:firstLineChars="175"/>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五、服务承诺</w:t>
      </w:r>
    </w:p>
    <w:p>
      <w:pPr>
        <w:widowControl/>
        <w:adjustRightInd/>
        <w:spacing w:line="336" w:lineRule="auto"/>
        <w:ind w:left="378" w:leftChars="180"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目标实现机房整体全年冷源综合能效指标达SCOP达到4.0，计算方式为SCOP=全年制冷量/（冷水机组全年耗电量+冷冻水泵全年耗电量+冷却水泵全年耗电量+冷却塔全年耗电量）</w:t>
      </w:r>
      <w:r>
        <w:rPr>
          <w:rFonts w:hint="eastAsia" w:ascii="仿宋" w:hAnsi="仿宋" w:eastAsia="仿宋" w:cs="仿宋"/>
          <w:color w:val="auto"/>
          <w:sz w:val="24"/>
          <w:highlight w:val="none"/>
          <w:lang w:eastAsia="zh-CN"/>
        </w:rPr>
        <w:t>。</w:t>
      </w:r>
    </w:p>
    <w:p>
      <w:pPr>
        <w:widowControl/>
        <w:adjustRightInd/>
        <w:spacing w:line="336" w:lineRule="auto"/>
        <w:ind w:left="378" w:leftChars="180"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2、软件产品不得使用盗版，中标后需提供相关厂家软件授权书，自主产品提供相关软件著作权。</w:t>
      </w:r>
    </w:p>
    <w:p>
      <w:pPr>
        <w:adjustRightInd/>
        <w:spacing w:line="336" w:lineRule="auto"/>
        <w:ind w:left="0" w:leftChars="0" w:firstLine="422" w:firstLineChars="175"/>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六</w:t>
      </w:r>
      <w:r>
        <w:rPr>
          <w:rFonts w:hint="eastAsia" w:ascii="仿宋" w:hAnsi="仿宋" w:eastAsia="仿宋" w:cs="仿宋"/>
          <w:b/>
          <w:color w:val="auto"/>
          <w:sz w:val="24"/>
          <w:highlight w:val="none"/>
        </w:rPr>
        <w:t>、甲乙双方的责任</w:t>
      </w:r>
    </w:p>
    <w:p>
      <w:pPr>
        <w:widowControl/>
        <w:adjustRightInd/>
        <w:spacing w:line="336" w:lineRule="auto"/>
        <w:ind w:left="378" w:leftChars="180"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eastAsia="zh-CN"/>
        </w:rPr>
        <w:t xml:space="preserve">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highlight w:val="none"/>
          <w:u w:val="single"/>
          <w:lang w:eastAsia="zh-CN"/>
        </w:rPr>
        <w:t xml:space="preserve">  0.05  </w:t>
      </w:r>
      <w:r>
        <w:rPr>
          <w:rFonts w:hint="eastAsia" w:ascii="仿宋" w:hAnsi="仿宋" w:eastAsia="仿宋" w:cs="仿宋"/>
          <w:color w:val="auto"/>
          <w:sz w:val="24"/>
          <w:highlight w:val="none"/>
          <w:lang w:eastAsia="zh-CN"/>
        </w:rPr>
        <w:t xml:space="preserve">%计算，最高限额为本合同总价的 </w:t>
      </w:r>
      <w:r>
        <w:rPr>
          <w:rFonts w:hint="eastAsia" w:ascii="仿宋" w:hAnsi="仿宋" w:eastAsia="仿宋" w:cs="仿宋"/>
          <w:color w:val="auto"/>
          <w:sz w:val="24"/>
          <w:highlight w:val="none"/>
          <w:u w:val="single"/>
          <w:lang w:eastAsia="zh-CN"/>
        </w:rPr>
        <w:t xml:space="preserve">20  </w:t>
      </w:r>
      <w:r>
        <w:rPr>
          <w:rFonts w:hint="eastAsia" w:ascii="仿宋" w:hAnsi="仿宋" w:eastAsia="仿宋" w:cs="仿宋"/>
          <w:color w:val="auto"/>
          <w:sz w:val="24"/>
          <w:highlight w:val="none"/>
          <w:lang w:eastAsia="zh-CN"/>
        </w:rPr>
        <w:t>%；迟延交付货物的违约金计算数额达到前述最高限额之日起，甲方有权在要求乙方支付违约金的同时，书面通知乙方解除本合同；</w:t>
      </w:r>
    </w:p>
    <w:p>
      <w:pPr>
        <w:widowControl/>
        <w:adjustRightInd/>
        <w:spacing w:line="336" w:lineRule="auto"/>
        <w:ind w:left="378" w:leftChars="180"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 xml:space="preserve">除不可抗力外，如果甲方没有按照本合同约定的付款方式付款，那么乙方可要求甲方支付违约金，违约金按每迟延付款一日的应付而未付款的  </w:t>
      </w:r>
      <w:r>
        <w:rPr>
          <w:rFonts w:hint="eastAsia" w:ascii="仿宋" w:hAnsi="仿宋" w:eastAsia="仿宋" w:cs="仿宋"/>
          <w:color w:val="auto"/>
          <w:sz w:val="24"/>
          <w:highlight w:val="none"/>
          <w:u w:val="single"/>
          <w:lang w:eastAsia="zh-CN"/>
        </w:rPr>
        <w:t xml:space="preserve">0.05  </w:t>
      </w:r>
      <w:r>
        <w:rPr>
          <w:rFonts w:hint="eastAsia" w:ascii="仿宋" w:hAnsi="仿宋" w:eastAsia="仿宋" w:cs="仿宋"/>
          <w:color w:val="auto"/>
          <w:sz w:val="24"/>
          <w:highlight w:val="none"/>
          <w:lang w:eastAsia="zh-CN"/>
        </w:rPr>
        <w:t>%计算，最高限额为本合同总价的</w:t>
      </w:r>
      <w:r>
        <w:rPr>
          <w:rFonts w:hint="eastAsia" w:ascii="仿宋" w:hAnsi="仿宋" w:eastAsia="仿宋" w:cs="仿宋"/>
          <w:color w:val="auto"/>
          <w:sz w:val="24"/>
          <w:highlight w:val="none"/>
          <w:u w:val="single"/>
          <w:lang w:eastAsia="zh-CN"/>
        </w:rPr>
        <w:t xml:space="preserve">  20  </w:t>
      </w:r>
      <w:r>
        <w:rPr>
          <w:rFonts w:hint="eastAsia" w:ascii="仿宋" w:hAnsi="仿宋" w:eastAsia="仿宋" w:cs="仿宋"/>
          <w:color w:val="auto"/>
          <w:sz w:val="24"/>
          <w:highlight w:val="none"/>
          <w:lang w:eastAsia="zh-CN"/>
        </w:rPr>
        <w:t xml:space="preserve"> %；迟延付款的违约金计算数额达到前述最高限额之日起，乙方有权在要求甲方支付违约金的同时，书面通知甲方解除本合同；</w:t>
      </w:r>
    </w:p>
    <w:p>
      <w:pPr>
        <w:widowControl/>
        <w:adjustRightInd/>
        <w:spacing w:line="336" w:lineRule="auto"/>
        <w:ind w:left="378" w:leftChars="180"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widowControl/>
        <w:adjustRightInd/>
        <w:spacing w:line="336" w:lineRule="auto"/>
        <w:ind w:left="378" w:leftChars="180"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eastAsia="zh-CN"/>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widowControl/>
        <w:adjustRightInd/>
        <w:spacing w:line="336" w:lineRule="auto"/>
        <w:ind w:left="378" w:leftChars="180"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eastAsia="zh-CN"/>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widowControl/>
        <w:adjustRightInd/>
        <w:spacing w:line="336" w:lineRule="auto"/>
        <w:ind w:left="378" w:leftChars="180"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lang w:eastAsia="zh-CN"/>
        </w:rPr>
        <w:t>如果出现政府采购监督管理部门在处理投诉事项期间，书面通知甲方暂停采购活动的情形，或者询问或质疑事项可能影响中标结果的，导致甲方中止履行合同的情形，均不视为甲方违约。</w:t>
      </w:r>
    </w:p>
    <w:p>
      <w:pPr>
        <w:adjustRightInd/>
        <w:spacing w:line="336" w:lineRule="auto"/>
        <w:ind w:left="0" w:leftChars="0" w:firstLine="422" w:firstLineChars="175"/>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七</w:t>
      </w:r>
      <w:r>
        <w:rPr>
          <w:rFonts w:hint="eastAsia" w:ascii="仿宋" w:hAnsi="仿宋" w:eastAsia="仿宋" w:cs="仿宋"/>
          <w:b/>
          <w:color w:val="auto"/>
          <w:sz w:val="24"/>
          <w:highlight w:val="none"/>
        </w:rPr>
        <w:t>、违约纠纷处理</w:t>
      </w:r>
    </w:p>
    <w:p>
      <w:pPr>
        <w:adjustRightInd/>
        <w:spacing w:line="336" w:lineRule="auto"/>
        <w:ind w:left="0" w:leftChars="0" w:firstLine="420" w:firstLineChars="175"/>
        <w:rPr>
          <w:rFonts w:hint="eastAsia" w:ascii="仿宋" w:hAnsi="仿宋" w:eastAsia="仿宋" w:cs="仿宋"/>
          <w:b/>
          <w:color w:val="auto"/>
          <w:sz w:val="24"/>
          <w:highlight w:val="none"/>
        </w:rPr>
      </w:pPr>
      <w:r>
        <w:rPr>
          <w:rFonts w:hint="eastAsia" w:ascii="仿宋" w:hAnsi="仿宋" w:eastAsia="仿宋" w:cs="仿宋"/>
          <w:color w:val="auto"/>
          <w:sz w:val="24"/>
          <w:highlight w:val="none"/>
        </w:rPr>
        <w:t>本合同在履行过程中发生的争议，由双方当事人协商解决；协商不成时，依法向甲方所在地的人民法院起诉。</w:t>
      </w:r>
    </w:p>
    <w:p>
      <w:pPr>
        <w:numPr>
          <w:ilvl w:val="0"/>
          <w:numId w:val="0"/>
        </w:numPr>
        <w:adjustRightInd/>
        <w:spacing w:line="336" w:lineRule="auto"/>
        <w:ind w:left="0" w:leftChars="0" w:right="-487" w:rightChars="-232" w:firstLine="422" w:firstLineChars="175"/>
        <w:rPr>
          <w:rFonts w:hint="eastAsia" w:ascii="仿宋" w:hAnsi="仿宋" w:eastAsia="仿宋" w:cs="仿宋"/>
          <w:color w:val="auto"/>
          <w:sz w:val="24"/>
          <w:highlight w:val="none"/>
        </w:rPr>
      </w:pPr>
      <w:r>
        <w:rPr>
          <w:rFonts w:hint="eastAsia" w:ascii="仿宋" w:hAnsi="仿宋" w:eastAsia="仿宋" w:cs="仿宋"/>
          <w:b/>
          <w:color w:val="auto"/>
          <w:sz w:val="24"/>
          <w:highlight w:val="none"/>
          <w:lang w:eastAsia="zh-CN"/>
        </w:rPr>
        <w:t>八、</w:t>
      </w:r>
      <w:r>
        <w:rPr>
          <w:rFonts w:hint="eastAsia" w:ascii="仿宋" w:hAnsi="仿宋" w:eastAsia="仿宋" w:cs="仿宋"/>
          <w:b/>
          <w:color w:val="auto"/>
          <w:sz w:val="24"/>
          <w:highlight w:val="none"/>
        </w:rPr>
        <w:t>其</w:t>
      </w:r>
      <w:r>
        <w:rPr>
          <w:rFonts w:hint="eastAsia" w:ascii="仿宋" w:hAnsi="仿宋" w:eastAsia="仿宋" w:cs="仿宋"/>
          <w:b/>
          <w:color w:val="auto"/>
          <w:sz w:val="24"/>
          <w:highlight w:val="none"/>
          <w:lang w:eastAsia="zh-CN"/>
        </w:rPr>
        <w:t>他</w:t>
      </w:r>
      <w:r>
        <w:rPr>
          <w:rFonts w:hint="eastAsia" w:ascii="仿宋" w:hAnsi="仿宋" w:eastAsia="仿宋" w:cs="仿宋"/>
          <w:b/>
          <w:color w:val="auto"/>
          <w:sz w:val="24"/>
          <w:highlight w:val="none"/>
        </w:rPr>
        <w:t>约定</w:t>
      </w:r>
    </w:p>
    <w:p>
      <w:pPr>
        <w:widowControl w:val="0"/>
        <w:numPr>
          <w:ilvl w:val="0"/>
          <w:numId w:val="0"/>
        </w:numPr>
        <w:autoSpaceDE/>
        <w:autoSpaceDN/>
        <w:spacing w:line="336" w:lineRule="auto"/>
        <w:ind w:left="0" w:leftChars="0" w:firstLine="420" w:firstLineChars="175"/>
        <w:contextualSpacing/>
        <w:jc w:val="left"/>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1.为加强反腐倡廉工作，甲乙双方应严格遵守《医疗机构工作人员廉洁从业九项准则》，杜绝商业贿赂。</w:t>
      </w:r>
    </w:p>
    <w:p>
      <w:pPr>
        <w:keepNext w:val="0"/>
        <w:keepLines w:val="0"/>
        <w:pageBreakBefore w:val="0"/>
        <w:widowControl/>
        <w:numPr>
          <w:ilvl w:val="0"/>
          <w:numId w:val="0"/>
        </w:numPr>
        <w:kinsoku/>
        <w:wordWrap/>
        <w:overflowPunct/>
        <w:topLinePunct w:val="0"/>
        <w:autoSpaceDE/>
        <w:autoSpaceDN/>
        <w:bidi w:val="0"/>
        <w:adjustRightInd/>
        <w:spacing w:line="336" w:lineRule="auto"/>
        <w:ind w:left="0" w:leftChars="0" w:right="-512" w:rightChars="-244" w:firstLine="420" w:firstLineChars="175"/>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2.本合同壹式</w:t>
      </w:r>
      <w:r>
        <w:rPr>
          <w:rFonts w:hint="eastAsia" w:ascii="仿宋" w:hAnsi="仿宋" w:eastAsia="仿宋" w:cs="仿宋"/>
          <w:color w:val="auto"/>
          <w:sz w:val="24"/>
          <w:szCs w:val="24"/>
          <w:highlight w:val="none"/>
          <w:lang w:eastAsia="zh-CN"/>
        </w:rPr>
        <w:t>叁</w:t>
      </w:r>
      <w:r>
        <w:rPr>
          <w:rFonts w:hint="eastAsia" w:ascii="仿宋" w:hAnsi="仿宋" w:eastAsia="仿宋" w:cs="仿宋"/>
          <w:color w:val="auto"/>
          <w:sz w:val="24"/>
          <w:szCs w:val="24"/>
          <w:highlight w:val="none"/>
        </w:rPr>
        <w:t>份，甲方</w:t>
      </w:r>
      <w:r>
        <w:rPr>
          <w:rFonts w:hint="eastAsia" w:ascii="仿宋" w:hAnsi="仿宋" w:eastAsia="仿宋" w:cs="仿宋"/>
          <w:color w:val="auto"/>
          <w:sz w:val="24"/>
          <w:szCs w:val="24"/>
          <w:highlight w:val="none"/>
          <w:lang w:eastAsia="zh-CN"/>
        </w:rPr>
        <w:t>贰</w:t>
      </w:r>
      <w:r>
        <w:rPr>
          <w:rFonts w:hint="eastAsia" w:ascii="仿宋" w:hAnsi="仿宋" w:eastAsia="仿宋" w:cs="仿宋"/>
          <w:color w:val="auto"/>
          <w:sz w:val="24"/>
          <w:szCs w:val="24"/>
          <w:highlight w:val="none"/>
        </w:rPr>
        <w:t>份，乙方壹份。经</w:t>
      </w:r>
      <w:r>
        <w:rPr>
          <w:rFonts w:hint="eastAsia" w:ascii="仿宋" w:hAnsi="仿宋" w:eastAsia="仿宋" w:cs="仿宋"/>
          <w:color w:val="auto"/>
          <w:sz w:val="24"/>
          <w:szCs w:val="24"/>
          <w:highlight w:val="none"/>
          <w:lang w:eastAsia="zh-CN"/>
        </w:rPr>
        <w:t>甲乙</w:t>
      </w:r>
      <w:r>
        <w:rPr>
          <w:rFonts w:hint="eastAsia" w:ascii="仿宋" w:hAnsi="仿宋" w:eastAsia="仿宋" w:cs="仿宋"/>
          <w:color w:val="auto"/>
          <w:sz w:val="24"/>
          <w:szCs w:val="24"/>
          <w:highlight w:val="none"/>
        </w:rPr>
        <w:t>双方代表签字并盖</w:t>
      </w:r>
      <w:r>
        <w:rPr>
          <w:rFonts w:hint="eastAsia" w:ascii="仿宋" w:hAnsi="仿宋" w:eastAsia="仿宋" w:cs="仿宋"/>
          <w:color w:val="auto"/>
          <w:sz w:val="24"/>
          <w:szCs w:val="24"/>
          <w:highlight w:val="none"/>
          <w:lang w:eastAsia="zh-CN"/>
        </w:rPr>
        <w:t>公</w:t>
      </w:r>
      <w:r>
        <w:rPr>
          <w:rFonts w:hint="eastAsia" w:ascii="仿宋" w:hAnsi="仿宋" w:eastAsia="仿宋" w:cs="仿宋"/>
          <w:color w:val="auto"/>
          <w:sz w:val="24"/>
          <w:szCs w:val="24"/>
          <w:highlight w:val="none"/>
        </w:rPr>
        <w:t>章</w:t>
      </w:r>
      <w:r>
        <w:rPr>
          <w:rFonts w:hint="eastAsia" w:ascii="仿宋" w:hAnsi="仿宋" w:eastAsia="仿宋" w:cs="仿宋"/>
          <w:color w:val="auto"/>
          <w:sz w:val="24"/>
          <w:szCs w:val="24"/>
          <w:highlight w:val="none"/>
          <w:lang w:eastAsia="zh-CN"/>
        </w:rPr>
        <w:t>（合同章）</w:t>
      </w:r>
      <w:r>
        <w:rPr>
          <w:rFonts w:hint="eastAsia" w:ascii="仿宋" w:hAnsi="仿宋" w:eastAsia="仿宋" w:cs="仿宋"/>
          <w:color w:val="auto"/>
          <w:sz w:val="24"/>
          <w:szCs w:val="24"/>
          <w:highlight w:val="none"/>
        </w:rPr>
        <w:t>后生效。</w:t>
      </w:r>
    </w:p>
    <w:p>
      <w:pPr>
        <w:widowControl w:val="0"/>
        <w:numPr>
          <w:ilvl w:val="0"/>
          <w:numId w:val="0"/>
        </w:numPr>
        <w:spacing w:line="336" w:lineRule="auto"/>
        <w:ind w:left="0" w:leftChars="0" w:firstLine="420" w:firstLineChars="175"/>
        <w:contextualSpacing/>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3.未尽事宜以招标文件和应标文件为准。如合同与招标文件有冲突的，以招标文件为准。</w:t>
      </w:r>
    </w:p>
    <w:tbl>
      <w:tblPr>
        <w:tblStyle w:val="64"/>
        <w:tblpPr w:leftFromText="180" w:rightFromText="180" w:vertAnchor="text" w:horzAnchor="page" w:tblpX="1392" w:tblpY="247"/>
        <w:tblOverlap w:val="never"/>
        <w:tblW w:w="92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90"/>
        <w:gridCol w:w="744"/>
        <w:gridCol w:w="2422"/>
        <w:gridCol w:w="1228"/>
        <w:gridCol w:w="851"/>
        <w:gridCol w:w="2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1290" w:type="dxa"/>
            <w:tcBorders>
              <w:tl2br w:val="nil"/>
              <w:tr2bl w:val="nil"/>
            </w:tcBorders>
            <w:noWrap w:val="0"/>
            <w:vAlign w:val="center"/>
          </w:tcPr>
          <w:p>
            <w:pPr>
              <w:widowControl w:val="0"/>
              <w:adjustRightInd/>
              <w:spacing w:after="120" w:line="240" w:lineRule="auto"/>
              <w:ind w:left="0" w:leftChars="0" w:firstLine="0" w:firstLineChars="0"/>
              <w:jc w:val="left"/>
              <w:rPr>
                <w:rFonts w:hint="eastAsia" w:ascii="仿宋" w:hAnsi="仿宋" w:eastAsia="仿宋" w:cs="仿宋"/>
                <w:color w:val="auto"/>
                <w:spacing w:val="0"/>
                <w:w w:val="100"/>
                <w:kern w:val="2"/>
                <w:sz w:val="21"/>
                <w:szCs w:val="21"/>
                <w:highlight w:val="none"/>
                <w:vertAlign w:val="baseline"/>
                <w:lang w:val="en-US" w:eastAsia="zh-CN" w:bidi="ar-SA"/>
              </w:rPr>
            </w:pPr>
            <w:r>
              <w:rPr>
                <w:rFonts w:hint="eastAsia" w:ascii="仿宋" w:hAnsi="仿宋" w:eastAsia="仿宋" w:cs="仿宋"/>
                <w:color w:val="auto"/>
                <w:spacing w:val="0"/>
                <w:w w:val="100"/>
                <w:kern w:val="2"/>
                <w:sz w:val="21"/>
                <w:szCs w:val="21"/>
                <w:highlight w:val="none"/>
                <w:lang w:val="en-US" w:eastAsia="zh-CN" w:bidi="ar-SA"/>
              </w:rPr>
              <w:t>甲   方：</w:t>
            </w:r>
          </w:p>
        </w:tc>
        <w:tc>
          <w:tcPr>
            <w:tcW w:w="3166" w:type="dxa"/>
            <w:gridSpan w:val="2"/>
            <w:tcBorders>
              <w:tl2br w:val="nil"/>
              <w:tr2bl w:val="nil"/>
            </w:tcBorders>
            <w:noWrap w:val="0"/>
            <w:vAlign w:val="center"/>
          </w:tcPr>
          <w:p>
            <w:pPr>
              <w:widowControl w:val="0"/>
              <w:adjustRightInd w:val="0"/>
              <w:snapToGrid w:val="0"/>
              <w:spacing w:line="360" w:lineRule="auto"/>
              <w:ind w:left="5520" w:hanging="4830" w:hangingChars="2300"/>
              <w:jc w:val="both"/>
              <w:rPr>
                <w:rFonts w:hint="eastAsia" w:ascii="仿宋" w:hAnsi="仿宋" w:eastAsia="仿宋" w:cs="仿宋"/>
                <w:color w:val="auto"/>
                <w:spacing w:val="0"/>
                <w:w w:val="100"/>
                <w:kern w:val="2"/>
                <w:sz w:val="21"/>
                <w:szCs w:val="21"/>
                <w:highlight w:val="none"/>
                <w:vertAlign w:val="baseline"/>
                <w:lang w:val="en-US" w:eastAsia="zh-CN" w:bidi="ar-SA"/>
              </w:rPr>
            </w:pPr>
            <w:r>
              <w:rPr>
                <w:rFonts w:hint="eastAsia" w:ascii="仿宋" w:hAnsi="仿宋" w:eastAsia="仿宋" w:cs="仿宋"/>
                <w:color w:val="auto"/>
                <w:spacing w:val="0"/>
                <w:w w:val="100"/>
                <w:kern w:val="2"/>
                <w:sz w:val="21"/>
                <w:szCs w:val="21"/>
                <w:highlight w:val="none"/>
                <w:lang w:val="en-US" w:eastAsia="zh-CN" w:bidi="ar-SA"/>
              </w:rPr>
              <w:t>杭州市萧山区第一人民医院</w:t>
            </w:r>
          </w:p>
        </w:tc>
        <w:tc>
          <w:tcPr>
            <w:tcW w:w="1228" w:type="dxa"/>
            <w:tcBorders>
              <w:tl2br w:val="nil"/>
              <w:tr2bl w:val="nil"/>
            </w:tcBorders>
            <w:noWrap w:val="0"/>
            <w:vAlign w:val="center"/>
          </w:tcPr>
          <w:p>
            <w:pPr>
              <w:widowControl w:val="0"/>
              <w:adjustRightInd/>
              <w:spacing w:after="120" w:line="240" w:lineRule="auto"/>
              <w:ind w:left="0" w:leftChars="0" w:firstLine="0" w:firstLineChars="0"/>
              <w:jc w:val="both"/>
              <w:rPr>
                <w:rFonts w:hint="eastAsia" w:ascii="仿宋" w:hAnsi="仿宋" w:eastAsia="仿宋" w:cs="仿宋"/>
                <w:color w:val="auto"/>
                <w:spacing w:val="0"/>
                <w:w w:val="100"/>
                <w:kern w:val="2"/>
                <w:sz w:val="21"/>
                <w:szCs w:val="21"/>
                <w:highlight w:val="none"/>
                <w:vertAlign w:val="baseline"/>
                <w:lang w:val="en-US" w:eastAsia="zh-CN" w:bidi="ar-SA"/>
              </w:rPr>
            </w:pPr>
            <w:r>
              <w:rPr>
                <w:rFonts w:hint="eastAsia" w:ascii="仿宋" w:hAnsi="仿宋" w:eastAsia="仿宋" w:cs="仿宋"/>
                <w:color w:val="auto"/>
                <w:spacing w:val="0"/>
                <w:w w:val="100"/>
                <w:kern w:val="2"/>
                <w:sz w:val="21"/>
                <w:szCs w:val="21"/>
                <w:highlight w:val="none"/>
                <w:lang w:val="en-US" w:eastAsia="zh-CN" w:bidi="ar-SA"/>
              </w:rPr>
              <w:t>乙   方：</w:t>
            </w:r>
          </w:p>
        </w:tc>
        <w:tc>
          <w:tcPr>
            <w:tcW w:w="3568" w:type="dxa"/>
            <w:gridSpan w:val="2"/>
            <w:tcBorders>
              <w:tl2br w:val="nil"/>
              <w:tr2bl w:val="nil"/>
            </w:tcBorders>
            <w:noWrap w:val="0"/>
            <w:vAlign w:val="center"/>
          </w:tcPr>
          <w:p>
            <w:pPr>
              <w:widowControl w:val="0"/>
              <w:adjustRightInd/>
              <w:spacing w:after="120" w:line="240" w:lineRule="auto"/>
              <w:ind w:left="0" w:leftChars="0" w:firstLine="0" w:firstLineChars="0"/>
              <w:jc w:val="both"/>
              <w:rPr>
                <w:rFonts w:hint="eastAsia" w:ascii="仿宋" w:hAnsi="仿宋" w:eastAsia="仿宋" w:cs="仿宋"/>
                <w:color w:val="auto"/>
                <w:spacing w:val="0"/>
                <w:w w:val="100"/>
                <w:kern w:val="2"/>
                <w:sz w:val="21"/>
                <w:szCs w:val="21"/>
                <w:highlight w:val="none"/>
                <w:vertAlign w:val="baseline"/>
                <w:lang w:val="en-US" w:eastAsia="zh-CN" w:bidi="ar-SA"/>
              </w:rPr>
            </w:pPr>
            <w:r>
              <w:rPr>
                <w:rFonts w:hint="eastAsia" w:ascii="仿宋" w:hAnsi="仿宋" w:eastAsia="仿宋" w:cs="仿宋"/>
                <w:color w:val="auto"/>
                <w:kern w:val="2"/>
                <w:sz w:val="24"/>
                <w:szCs w:val="24"/>
                <w:highlight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2034" w:type="dxa"/>
            <w:gridSpan w:val="2"/>
            <w:tcBorders>
              <w:tl2br w:val="nil"/>
              <w:tr2bl w:val="nil"/>
            </w:tcBorders>
            <w:noWrap w:val="0"/>
            <w:vAlign w:val="center"/>
          </w:tcPr>
          <w:p>
            <w:pPr>
              <w:widowControl w:val="0"/>
              <w:adjustRightInd/>
              <w:spacing w:after="120" w:line="240" w:lineRule="auto"/>
              <w:ind w:left="0" w:leftChars="0" w:firstLine="0" w:firstLineChars="0"/>
              <w:jc w:val="left"/>
              <w:rPr>
                <w:rFonts w:hint="eastAsia" w:ascii="仿宋" w:hAnsi="仿宋" w:eastAsia="仿宋" w:cs="仿宋"/>
                <w:color w:val="auto"/>
                <w:spacing w:val="0"/>
                <w:w w:val="100"/>
                <w:kern w:val="2"/>
                <w:sz w:val="21"/>
                <w:szCs w:val="21"/>
                <w:highlight w:val="none"/>
                <w:lang w:val="en-US" w:eastAsia="zh-CN" w:bidi="ar-SA"/>
              </w:rPr>
            </w:pPr>
            <w:r>
              <w:rPr>
                <w:rFonts w:hint="eastAsia" w:ascii="仿宋" w:hAnsi="仿宋" w:eastAsia="仿宋" w:cs="仿宋"/>
                <w:color w:val="auto"/>
                <w:spacing w:val="0"/>
                <w:w w:val="100"/>
                <w:kern w:val="2"/>
                <w:sz w:val="21"/>
                <w:szCs w:val="21"/>
                <w:highlight w:val="none"/>
                <w:lang w:val="en-US" w:eastAsia="zh-CN" w:bidi="ar-SA"/>
              </w:rPr>
              <w:t>统一社会信用代码：</w:t>
            </w:r>
          </w:p>
        </w:tc>
        <w:tc>
          <w:tcPr>
            <w:tcW w:w="2422" w:type="dxa"/>
            <w:tcBorders>
              <w:tl2br w:val="nil"/>
              <w:tr2bl w:val="nil"/>
            </w:tcBorders>
            <w:noWrap w:val="0"/>
            <w:vAlign w:val="center"/>
          </w:tcPr>
          <w:p>
            <w:pPr>
              <w:widowControl w:val="0"/>
              <w:adjustRightInd/>
              <w:spacing w:after="120" w:line="240" w:lineRule="auto"/>
              <w:ind w:left="0" w:leftChars="0" w:firstLine="0" w:firstLineChars="0"/>
              <w:jc w:val="left"/>
              <w:rPr>
                <w:rFonts w:hint="eastAsia" w:ascii="仿宋" w:hAnsi="仿宋" w:eastAsia="仿宋" w:cs="仿宋"/>
                <w:color w:val="auto"/>
                <w:spacing w:val="0"/>
                <w:w w:val="100"/>
                <w:kern w:val="2"/>
                <w:sz w:val="21"/>
                <w:szCs w:val="21"/>
                <w:highlight w:val="none"/>
                <w:lang w:val="en-US" w:eastAsia="zh-CN" w:bidi="ar-SA"/>
              </w:rPr>
            </w:pPr>
            <w:r>
              <w:rPr>
                <w:rFonts w:hint="eastAsia" w:ascii="仿宋" w:hAnsi="仿宋" w:eastAsia="仿宋" w:cs="仿宋"/>
                <w:color w:val="auto"/>
                <w:spacing w:val="0"/>
                <w:w w:val="100"/>
                <w:kern w:val="2"/>
                <w:sz w:val="21"/>
                <w:szCs w:val="21"/>
                <w:highlight w:val="none"/>
                <w:lang w:val="en-US" w:eastAsia="zh-CN" w:bidi="ar-SA"/>
              </w:rPr>
              <w:t>12330109470453493C</w:t>
            </w:r>
          </w:p>
        </w:tc>
        <w:tc>
          <w:tcPr>
            <w:tcW w:w="2079" w:type="dxa"/>
            <w:gridSpan w:val="2"/>
            <w:tcBorders>
              <w:tl2br w:val="nil"/>
              <w:tr2bl w:val="nil"/>
            </w:tcBorders>
            <w:noWrap w:val="0"/>
            <w:vAlign w:val="center"/>
          </w:tcPr>
          <w:p>
            <w:pPr>
              <w:widowControl w:val="0"/>
              <w:adjustRightInd/>
              <w:spacing w:after="120" w:line="240" w:lineRule="auto"/>
              <w:ind w:left="0" w:leftChars="0" w:firstLine="0" w:firstLineChars="0"/>
              <w:jc w:val="both"/>
              <w:rPr>
                <w:rFonts w:hint="eastAsia" w:ascii="仿宋" w:hAnsi="仿宋" w:eastAsia="仿宋" w:cs="仿宋"/>
                <w:color w:val="auto"/>
                <w:spacing w:val="0"/>
                <w:w w:val="100"/>
                <w:kern w:val="2"/>
                <w:sz w:val="21"/>
                <w:szCs w:val="21"/>
                <w:highlight w:val="none"/>
                <w:lang w:val="en-US" w:eastAsia="zh-CN" w:bidi="ar-SA"/>
              </w:rPr>
            </w:pPr>
            <w:r>
              <w:rPr>
                <w:rFonts w:hint="eastAsia" w:ascii="仿宋" w:hAnsi="仿宋" w:eastAsia="仿宋" w:cs="仿宋"/>
                <w:color w:val="auto"/>
                <w:spacing w:val="0"/>
                <w:w w:val="100"/>
                <w:kern w:val="2"/>
                <w:sz w:val="21"/>
                <w:szCs w:val="21"/>
                <w:highlight w:val="none"/>
                <w:lang w:val="en-US" w:eastAsia="zh-CN" w:bidi="ar-SA"/>
              </w:rPr>
              <w:t>统一社会信用代码：</w:t>
            </w:r>
          </w:p>
        </w:tc>
        <w:tc>
          <w:tcPr>
            <w:tcW w:w="2717" w:type="dxa"/>
            <w:tcBorders>
              <w:tl2br w:val="nil"/>
              <w:tr2bl w:val="nil"/>
            </w:tcBorders>
            <w:noWrap w:val="0"/>
            <w:vAlign w:val="center"/>
          </w:tcPr>
          <w:p>
            <w:pPr>
              <w:widowControl w:val="0"/>
              <w:adjustRightInd/>
              <w:spacing w:after="120" w:line="240" w:lineRule="auto"/>
              <w:ind w:left="0" w:leftChars="0" w:firstLine="0" w:firstLineChars="0"/>
              <w:jc w:val="both"/>
              <w:rPr>
                <w:rFonts w:hint="eastAsia" w:ascii="仿宋" w:hAnsi="仿宋" w:eastAsia="仿宋" w:cs="仿宋"/>
                <w:color w:val="auto"/>
                <w:spacing w:val="0"/>
                <w:w w:val="100"/>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290" w:type="dxa"/>
            <w:tcBorders>
              <w:tl2br w:val="nil"/>
              <w:tr2bl w:val="nil"/>
            </w:tcBorders>
            <w:noWrap w:val="0"/>
            <w:vAlign w:val="center"/>
          </w:tcPr>
          <w:p>
            <w:pPr>
              <w:widowControl w:val="0"/>
              <w:adjustRightInd/>
              <w:spacing w:after="120" w:line="240" w:lineRule="auto"/>
              <w:ind w:left="0" w:leftChars="0" w:firstLine="0" w:firstLineChars="0"/>
              <w:jc w:val="left"/>
              <w:rPr>
                <w:rFonts w:hint="eastAsia" w:ascii="仿宋" w:hAnsi="仿宋" w:eastAsia="仿宋" w:cs="仿宋"/>
                <w:color w:val="auto"/>
                <w:spacing w:val="0"/>
                <w:w w:val="100"/>
                <w:kern w:val="2"/>
                <w:sz w:val="21"/>
                <w:szCs w:val="21"/>
                <w:highlight w:val="none"/>
                <w:vertAlign w:val="baseline"/>
                <w:lang w:val="en-US" w:eastAsia="zh-CN" w:bidi="ar-SA"/>
              </w:rPr>
            </w:pPr>
            <w:r>
              <w:rPr>
                <w:rFonts w:hint="eastAsia" w:ascii="仿宋" w:hAnsi="仿宋" w:eastAsia="仿宋" w:cs="仿宋"/>
                <w:color w:val="auto"/>
                <w:spacing w:val="0"/>
                <w:w w:val="100"/>
                <w:kern w:val="2"/>
                <w:sz w:val="21"/>
                <w:szCs w:val="21"/>
                <w:highlight w:val="none"/>
                <w:lang w:val="en-US" w:eastAsia="zh-CN" w:bidi="ar-SA"/>
              </w:rPr>
              <w:t>地   址：</w:t>
            </w:r>
          </w:p>
        </w:tc>
        <w:tc>
          <w:tcPr>
            <w:tcW w:w="3166" w:type="dxa"/>
            <w:gridSpan w:val="2"/>
            <w:tcBorders>
              <w:tl2br w:val="nil"/>
              <w:tr2bl w:val="nil"/>
            </w:tcBorders>
            <w:noWrap w:val="0"/>
            <w:vAlign w:val="center"/>
          </w:tcPr>
          <w:p>
            <w:pPr>
              <w:widowControl w:val="0"/>
              <w:adjustRightInd/>
              <w:spacing w:after="120" w:line="240" w:lineRule="auto"/>
              <w:ind w:left="0" w:leftChars="0" w:firstLine="0" w:firstLineChars="0"/>
              <w:jc w:val="both"/>
              <w:rPr>
                <w:rFonts w:hint="eastAsia" w:ascii="仿宋" w:hAnsi="仿宋" w:eastAsia="仿宋" w:cs="仿宋"/>
                <w:color w:val="auto"/>
                <w:spacing w:val="0"/>
                <w:w w:val="100"/>
                <w:kern w:val="2"/>
                <w:sz w:val="21"/>
                <w:szCs w:val="21"/>
                <w:highlight w:val="none"/>
                <w:vertAlign w:val="baseline"/>
                <w:lang w:val="en-US" w:eastAsia="zh-CN" w:bidi="ar-SA"/>
              </w:rPr>
            </w:pPr>
            <w:r>
              <w:rPr>
                <w:rFonts w:hint="eastAsia" w:ascii="仿宋" w:hAnsi="仿宋" w:eastAsia="仿宋" w:cs="仿宋"/>
                <w:color w:val="auto"/>
                <w:spacing w:val="0"/>
                <w:w w:val="100"/>
                <w:kern w:val="2"/>
                <w:sz w:val="21"/>
                <w:szCs w:val="21"/>
                <w:highlight w:val="none"/>
                <w:lang w:val="en-US" w:eastAsia="zh-CN" w:bidi="ar-SA"/>
              </w:rPr>
              <w:t xml:space="preserve">杭州市萧山区市心南路199号  </w:t>
            </w:r>
          </w:p>
        </w:tc>
        <w:tc>
          <w:tcPr>
            <w:tcW w:w="1228" w:type="dxa"/>
            <w:tcBorders>
              <w:tl2br w:val="nil"/>
              <w:tr2bl w:val="nil"/>
            </w:tcBorders>
            <w:noWrap w:val="0"/>
            <w:vAlign w:val="center"/>
          </w:tcPr>
          <w:p>
            <w:pPr>
              <w:widowControl w:val="0"/>
              <w:adjustRightInd/>
              <w:spacing w:after="120" w:line="240" w:lineRule="auto"/>
              <w:ind w:left="0" w:leftChars="0" w:firstLine="0" w:firstLineChars="0"/>
              <w:jc w:val="both"/>
              <w:rPr>
                <w:rFonts w:hint="eastAsia" w:ascii="仿宋" w:hAnsi="仿宋" w:eastAsia="仿宋" w:cs="仿宋"/>
                <w:color w:val="auto"/>
                <w:spacing w:val="0"/>
                <w:w w:val="100"/>
                <w:kern w:val="2"/>
                <w:sz w:val="21"/>
                <w:szCs w:val="21"/>
                <w:highlight w:val="none"/>
                <w:vertAlign w:val="baseline"/>
                <w:lang w:val="en-US" w:eastAsia="zh-CN" w:bidi="ar-SA"/>
              </w:rPr>
            </w:pPr>
            <w:r>
              <w:rPr>
                <w:rFonts w:hint="eastAsia" w:ascii="仿宋" w:hAnsi="仿宋" w:eastAsia="仿宋" w:cs="仿宋"/>
                <w:color w:val="auto"/>
                <w:spacing w:val="0"/>
                <w:w w:val="100"/>
                <w:kern w:val="2"/>
                <w:sz w:val="21"/>
                <w:szCs w:val="21"/>
                <w:highlight w:val="none"/>
                <w:lang w:val="en-US" w:eastAsia="zh-CN" w:bidi="ar-SA"/>
              </w:rPr>
              <w:t>地   址：</w:t>
            </w:r>
          </w:p>
        </w:tc>
        <w:tc>
          <w:tcPr>
            <w:tcW w:w="3568" w:type="dxa"/>
            <w:gridSpan w:val="2"/>
            <w:tcBorders>
              <w:tl2br w:val="nil"/>
              <w:tr2bl w:val="nil"/>
            </w:tcBorders>
            <w:noWrap w:val="0"/>
            <w:vAlign w:val="center"/>
          </w:tcPr>
          <w:p>
            <w:pPr>
              <w:widowControl w:val="0"/>
              <w:adjustRightInd/>
              <w:spacing w:after="120" w:line="240" w:lineRule="auto"/>
              <w:ind w:left="0" w:leftChars="0" w:firstLine="0" w:firstLineChars="0"/>
              <w:jc w:val="both"/>
              <w:rPr>
                <w:rFonts w:hint="eastAsia" w:ascii="仿宋" w:hAnsi="仿宋" w:eastAsia="仿宋" w:cs="仿宋"/>
                <w:color w:val="auto"/>
                <w:spacing w:val="0"/>
                <w:w w:val="100"/>
                <w:kern w:val="2"/>
                <w:sz w:val="21"/>
                <w:szCs w:val="21"/>
                <w:highlight w:val="none"/>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4456" w:type="dxa"/>
            <w:gridSpan w:val="3"/>
            <w:tcBorders>
              <w:tl2br w:val="nil"/>
              <w:tr2bl w:val="nil"/>
            </w:tcBorders>
            <w:noWrap w:val="0"/>
            <w:vAlign w:val="center"/>
          </w:tcPr>
          <w:p>
            <w:pPr>
              <w:widowControl w:val="0"/>
              <w:adjustRightInd/>
              <w:spacing w:after="120" w:line="240" w:lineRule="auto"/>
              <w:ind w:left="0" w:leftChars="0" w:firstLine="0" w:firstLineChars="0"/>
              <w:jc w:val="left"/>
              <w:rPr>
                <w:rFonts w:hint="eastAsia" w:ascii="仿宋" w:hAnsi="仿宋" w:eastAsia="仿宋" w:cs="仿宋"/>
                <w:color w:val="auto"/>
                <w:spacing w:val="0"/>
                <w:w w:val="100"/>
                <w:kern w:val="2"/>
                <w:sz w:val="21"/>
                <w:szCs w:val="21"/>
                <w:highlight w:val="none"/>
                <w:lang w:val="en-US" w:eastAsia="zh-CN" w:bidi="ar-SA"/>
              </w:rPr>
            </w:pPr>
            <w:r>
              <w:rPr>
                <w:rFonts w:hint="eastAsia" w:ascii="仿宋" w:hAnsi="仿宋" w:eastAsia="仿宋" w:cs="仿宋"/>
                <w:color w:val="auto"/>
                <w:spacing w:val="0"/>
                <w:w w:val="100"/>
                <w:kern w:val="2"/>
                <w:sz w:val="21"/>
                <w:szCs w:val="21"/>
                <w:highlight w:val="none"/>
                <w:lang w:val="en-US" w:eastAsia="zh-CN" w:bidi="ar-SA"/>
              </w:rPr>
              <w:t>法定代表或授权代表：</w:t>
            </w:r>
          </w:p>
        </w:tc>
        <w:tc>
          <w:tcPr>
            <w:tcW w:w="4796" w:type="dxa"/>
            <w:gridSpan w:val="3"/>
            <w:tcBorders>
              <w:tl2br w:val="nil"/>
              <w:tr2bl w:val="nil"/>
            </w:tcBorders>
            <w:noWrap w:val="0"/>
            <w:vAlign w:val="center"/>
          </w:tcPr>
          <w:p>
            <w:pPr>
              <w:widowControl w:val="0"/>
              <w:adjustRightInd/>
              <w:spacing w:after="120" w:line="240" w:lineRule="auto"/>
              <w:ind w:left="0" w:leftChars="0" w:firstLine="0" w:firstLineChars="0"/>
              <w:jc w:val="both"/>
              <w:rPr>
                <w:rFonts w:hint="eastAsia" w:ascii="仿宋" w:hAnsi="仿宋" w:eastAsia="仿宋" w:cs="仿宋"/>
                <w:color w:val="auto"/>
                <w:spacing w:val="0"/>
                <w:w w:val="100"/>
                <w:kern w:val="2"/>
                <w:sz w:val="21"/>
                <w:szCs w:val="21"/>
                <w:highlight w:val="none"/>
                <w:lang w:val="en-US" w:eastAsia="zh-CN" w:bidi="ar-SA"/>
              </w:rPr>
            </w:pPr>
            <w:r>
              <w:rPr>
                <w:rFonts w:hint="eastAsia" w:ascii="仿宋" w:hAnsi="仿宋" w:eastAsia="仿宋" w:cs="仿宋"/>
                <w:color w:val="auto"/>
                <w:spacing w:val="0"/>
                <w:w w:val="100"/>
                <w:kern w:val="2"/>
                <w:sz w:val="21"/>
                <w:szCs w:val="21"/>
                <w:highlight w:val="none"/>
                <w:lang w:val="en-US" w:eastAsia="zh-CN" w:bidi="ar-SA"/>
              </w:rPr>
              <w:t>法定代表或授权代表：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290" w:type="dxa"/>
            <w:tcBorders>
              <w:tl2br w:val="nil"/>
              <w:tr2bl w:val="nil"/>
            </w:tcBorders>
            <w:noWrap w:val="0"/>
            <w:vAlign w:val="center"/>
          </w:tcPr>
          <w:p>
            <w:pPr>
              <w:widowControl w:val="0"/>
              <w:adjustRightInd/>
              <w:spacing w:after="120" w:line="240" w:lineRule="auto"/>
              <w:ind w:left="0" w:leftChars="0" w:firstLine="0" w:firstLineChars="0"/>
              <w:jc w:val="left"/>
              <w:rPr>
                <w:rFonts w:hint="eastAsia" w:ascii="仿宋" w:hAnsi="仿宋" w:eastAsia="仿宋" w:cs="仿宋"/>
                <w:color w:val="auto"/>
                <w:spacing w:val="0"/>
                <w:w w:val="100"/>
                <w:kern w:val="2"/>
                <w:sz w:val="21"/>
                <w:szCs w:val="21"/>
                <w:highlight w:val="none"/>
                <w:vertAlign w:val="baseline"/>
                <w:lang w:val="en-US" w:eastAsia="zh-CN" w:bidi="ar-SA"/>
              </w:rPr>
            </w:pPr>
            <w:r>
              <w:rPr>
                <w:rFonts w:hint="eastAsia" w:ascii="仿宋" w:hAnsi="仿宋" w:eastAsia="仿宋" w:cs="仿宋"/>
                <w:color w:val="auto"/>
                <w:spacing w:val="0"/>
                <w:w w:val="100"/>
                <w:kern w:val="2"/>
                <w:sz w:val="21"/>
                <w:szCs w:val="21"/>
                <w:highlight w:val="none"/>
                <w:vertAlign w:val="baseline"/>
                <w:lang w:val="en-US" w:eastAsia="zh-CN" w:bidi="ar-SA"/>
              </w:rPr>
              <w:t>联系电话：</w:t>
            </w:r>
          </w:p>
        </w:tc>
        <w:tc>
          <w:tcPr>
            <w:tcW w:w="3166" w:type="dxa"/>
            <w:gridSpan w:val="2"/>
            <w:tcBorders>
              <w:tl2br w:val="nil"/>
              <w:tr2bl w:val="nil"/>
            </w:tcBorders>
            <w:noWrap w:val="0"/>
            <w:vAlign w:val="center"/>
          </w:tcPr>
          <w:p>
            <w:pPr>
              <w:widowControl w:val="0"/>
              <w:adjustRightInd/>
              <w:spacing w:after="120" w:line="240" w:lineRule="auto"/>
              <w:ind w:left="0" w:leftChars="0" w:firstLine="0" w:firstLineChars="0"/>
              <w:jc w:val="both"/>
              <w:rPr>
                <w:rFonts w:hint="eastAsia" w:ascii="仿宋" w:hAnsi="仿宋" w:eastAsia="仿宋" w:cs="仿宋"/>
                <w:color w:val="auto"/>
                <w:spacing w:val="0"/>
                <w:w w:val="100"/>
                <w:kern w:val="2"/>
                <w:sz w:val="21"/>
                <w:szCs w:val="21"/>
                <w:highlight w:val="none"/>
                <w:vertAlign w:val="baseline"/>
                <w:lang w:val="en-US" w:eastAsia="zh-CN" w:bidi="ar-SA"/>
              </w:rPr>
            </w:pPr>
          </w:p>
        </w:tc>
        <w:tc>
          <w:tcPr>
            <w:tcW w:w="1228" w:type="dxa"/>
            <w:tcBorders>
              <w:tl2br w:val="nil"/>
              <w:tr2bl w:val="nil"/>
            </w:tcBorders>
            <w:noWrap w:val="0"/>
            <w:vAlign w:val="center"/>
          </w:tcPr>
          <w:p>
            <w:pPr>
              <w:widowControl w:val="0"/>
              <w:adjustRightInd/>
              <w:spacing w:after="120" w:line="240" w:lineRule="auto"/>
              <w:ind w:left="0" w:leftChars="0" w:firstLine="0" w:firstLineChars="0"/>
              <w:jc w:val="both"/>
              <w:rPr>
                <w:rFonts w:hint="eastAsia" w:ascii="仿宋" w:hAnsi="仿宋" w:eastAsia="仿宋" w:cs="仿宋"/>
                <w:color w:val="auto"/>
                <w:spacing w:val="0"/>
                <w:w w:val="100"/>
                <w:kern w:val="2"/>
                <w:sz w:val="21"/>
                <w:szCs w:val="21"/>
                <w:highlight w:val="none"/>
                <w:vertAlign w:val="baseline"/>
                <w:lang w:val="en-US" w:eastAsia="zh-CN" w:bidi="ar-SA"/>
              </w:rPr>
            </w:pPr>
            <w:r>
              <w:rPr>
                <w:rFonts w:hint="eastAsia" w:ascii="仿宋" w:hAnsi="仿宋" w:eastAsia="仿宋" w:cs="仿宋"/>
                <w:color w:val="auto"/>
                <w:spacing w:val="0"/>
                <w:w w:val="100"/>
                <w:kern w:val="2"/>
                <w:sz w:val="21"/>
                <w:szCs w:val="21"/>
                <w:highlight w:val="none"/>
                <w:vertAlign w:val="baseline"/>
                <w:lang w:val="en-US" w:eastAsia="zh-CN" w:bidi="ar-SA"/>
              </w:rPr>
              <w:t>联系电话：</w:t>
            </w:r>
          </w:p>
        </w:tc>
        <w:tc>
          <w:tcPr>
            <w:tcW w:w="3568" w:type="dxa"/>
            <w:gridSpan w:val="2"/>
            <w:tcBorders>
              <w:tl2br w:val="nil"/>
              <w:tr2bl w:val="nil"/>
            </w:tcBorders>
            <w:noWrap w:val="0"/>
            <w:vAlign w:val="center"/>
          </w:tcPr>
          <w:p>
            <w:pPr>
              <w:widowControl w:val="0"/>
              <w:adjustRightInd/>
              <w:spacing w:after="120" w:line="240" w:lineRule="auto"/>
              <w:ind w:left="420" w:leftChars="200" w:firstLine="420" w:firstLineChars="200"/>
              <w:jc w:val="both"/>
              <w:rPr>
                <w:rFonts w:hint="eastAsia" w:ascii="仿宋" w:hAnsi="仿宋" w:eastAsia="仿宋" w:cs="仿宋"/>
                <w:color w:val="auto"/>
                <w:spacing w:val="0"/>
                <w:w w:val="100"/>
                <w:kern w:val="2"/>
                <w:sz w:val="21"/>
                <w:szCs w:val="21"/>
                <w:highlight w:val="none"/>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290" w:type="dxa"/>
            <w:tcBorders>
              <w:tl2br w:val="nil"/>
              <w:tr2bl w:val="nil"/>
            </w:tcBorders>
            <w:noWrap w:val="0"/>
            <w:vAlign w:val="center"/>
          </w:tcPr>
          <w:p>
            <w:pPr>
              <w:widowControl w:val="0"/>
              <w:adjustRightInd/>
              <w:spacing w:after="120" w:line="240" w:lineRule="auto"/>
              <w:ind w:left="0" w:leftChars="0" w:firstLine="0" w:firstLineChars="0"/>
              <w:jc w:val="left"/>
              <w:rPr>
                <w:rFonts w:hint="eastAsia" w:ascii="仿宋" w:hAnsi="仿宋" w:eastAsia="仿宋" w:cs="仿宋"/>
                <w:color w:val="auto"/>
                <w:spacing w:val="0"/>
                <w:w w:val="100"/>
                <w:kern w:val="2"/>
                <w:sz w:val="21"/>
                <w:szCs w:val="21"/>
                <w:highlight w:val="none"/>
                <w:lang w:val="en-US" w:eastAsia="zh-CN" w:bidi="ar-SA"/>
              </w:rPr>
            </w:pPr>
            <w:r>
              <w:rPr>
                <w:rFonts w:hint="eastAsia" w:ascii="仿宋" w:hAnsi="仿宋" w:eastAsia="仿宋" w:cs="仿宋"/>
                <w:color w:val="auto"/>
                <w:spacing w:val="0"/>
                <w:w w:val="100"/>
                <w:kern w:val="2"/>
                <w:sz w:val="21"/>
                <w:szCs w:val="21"/>
                <w:highlight w:val="none"/>
                <w:lang w:val="en-US" w:eastAsia="zh-CN" w:bidi="ar-SA"/>
              </w:rPr>
              <w:t>开户银行：</w:t>
            </w:r>
          </w:p>
        </w:tc>
        <w:tc>
          <w:tcPr>
            <w:tcW w:w="3166" w:type="dxa"/>
            <w:gridSpan w:val="2"/>
            <w:tcBorders>
              <w:tl2br w:val="nil"/>
              <w:tr2bl w:val="nil"/>
            </w:tcBorders>
            <w:noWrap w:val="0"/>
            <w:vAlign w:val="center"/>
          </w:tcPr>
          <w:p>
            <w:pPr>
              <w:widowControl w:val="0"/>
              <w:adjustRightInd/>
              <w:spacing w:after="120" w:line="240" w:lineRule="auto"/>
              <w:ind w:left="0" w:leftChars="0" w:firstLine="0" w:firstLineChars="0"/>
              <w:jc w:val="both"/>
              <w:rPr>
                <w:rFonts w:hint="eastAsia" w:ascii="仿宋" w:hAnsi="仿宋" w:eastAsia="仿宋" w:cs="仿宋"/>
                <w:color w:val="auto"/>
                <w:spacing w:val="0"/>
                <w:w w:val="100"/>
                <w:kern w:val="2"/>
                <w:sz w:val="21"/>
                <w:szCs w:val="21"/>
                <w:highlight w:val="none"/>
                <w:lang w:val="en-US" w:eastAsia="zh-CN" w:bidi="ar-SA"/>
              </w:rPr>
            </w:pPr>
          </w:p>
        </w:tc>
        <w:tc>
          <w:tcPr>
            <w:tcW w:w="1228" w:type="dxa"/>
            <w:tcBorders>
              <w:tl2br w:val="nil"/>
              <w:tr2bl w:val="nil"/>
            </w:tcBorders>
            <w:noWrap w:val="0"/>
            <w:vAlign w:val="center"/>
          </w:tcPr>
          <w:p>
            <w:pPr>
              <w:widowControl w:val="0"/>
              <w:adjustRightInd/>
              <w:spacing w:after="120" w:line="240" w:lineRule="auto"/>
              <w:ind w:left="0" w:leftChars="0" w:firstLine="0" w:firstLineChars="0"/>
              <w:jc w:val="both"/>
              <w:rPr>
                <w:rFonts w:hint="eastAsia" w:ascii="仿宋" w:hAnsi="仿宋" w:eastAsia="仿宋" w:cs="仿宋"/>
                <w:color w:val="auto"/>
                <w:spacing w:val="0"/>
                <w:w w:val="100"/>
                <w:kern w:val="2"/>
                <w:sz w:val="21"/>
                <w:szCs w:val="21"/>
                <w:highlight w:val="none"/>
                <w:lang w:val="en-US" w:eastAsia="zh-CN" w:bidi="ar-SA"/>
              </w:rPr>
            </w:pPr>
            <w:r>
              <w:rPr>
                <w:rFonts w:hint="eastAsia" w:ascii="仿宋" w:hAnsi="仿宋" w:eastAsia="仿宋" w:cs="仿宋"/>
                <w:color w:val="auto"/>
                <w:spacing w:val="0"/>
                <w:w w:val="100"/>
                <w:kern w:val="2"/>
                <w:sz w:val="21"/>
                <w:szCs w:val="21"/>
                <w:highlight w:val="none"/>
                <w:lang w:val="en-US" w:eastAsia="zh-CN" w:bidi="ar-SA"/>
              </w:rPr>
              <w:t>开户银行：</w:t>
            </w:r>
          </w:p>
        </w:tc>
        <w:tc>
          <w:tcPr>
            <w:tcW w:w="3568" w:type="dxa"/>
            <w:gridSpan w:val="2"/>
            <w:tcBorders>
              <w:tl2br w:val="nil"/>
              <w:tr2bl w:val="nil"/>
            </w:tcBorders>
            <w:noWrap w:val="0"/>
            <w:vAlign w:val="center"/>
          </w:tcPr>
          <w:p>
            <w:pPr>
              <w:widowControl w:val="0"/>
              <w:adjustRightInd/>
              <w:spacing w:after="120" w:line="240" w:lineRule="auto"/>
              <w:ind w:left="0" w:leftChars="0" w:firstLine="0" w:firstLineChars="0"/>
              <w:jc w:val="both"/>
              <w:rPr>
                <w:rFonts w:hint="eastAsia" w:ascii="仿宋" w:hAnsi="仿宋" w:eastAsia="仿宋" w:cs="仿宋"/>
                <w:color w:val="auto"/>
                <w:spacing w:val="0"/>
                <w:w w:val="100"/>
                <w:kern w:val="2"/>
                <w:sz w:val="21"/>
                <w:szCs w:val="21"/>
                <w:highlight w:val="none"/>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90" w:type="dxa"/>
            <w:tcBorders>
              <w:tl2br w:val="nil"/>
              <w:tr2bl w:val="nil"/>
            </w:tcBorders>
            <w:noWrap w:val="0"/>
            <w:vAlign w:val="center"/>
          </w:tcPr>
          <w:p>
            <w:pPr>
              <w:widowControl w:val="0"/>
              <w:adjustRightInd/>
              <w:spacing w:after="120" w:line="240" w:lineRule="auto"/>
              <w:ind w:left="0" w:leftChars="0" w:firstLine="0" w:firstLineChars="0"/>
              <w:jc w:val="left"/>
              <w:rPr>
                <w:rFonts w:hint="eastAsia" w:ascii="仿宋" w:hAnsi="仿宋" w:eastAsia="仿宋" w:cs="仿宋"/>
                <w:color w:val="auto"/>
                <w:spacing w:val="0"/>
                <w:w w:val="100"/>
                <w:kern w:val="2"/>
                <w:sz w:val="21"/>
                <w:szCs w:val="21"/>
                <w:highlight w:val="none"/>
                <w:vertAlign w:val="baseline"/>
                <w:lang w:val="en-US" w:eastAsia="zh-CN" w:bidi="ar-SA"/>
              </w:rPr>
            </w:pPr>
            <w:r>
              <w:rPr>
                <w:rFonts w:hint="eastAsia" w:ascii="仿宋" w:hAnsi="仿宋" w:eastAsia="仿宋" w:cs="仿宋"/>
                <w:color w:val="auto"/>
                <w:spacing w:val="0"/>
                <w:w w:val="100"/>
                <w:kern w:val="2"/>
                <w:sz w:val="21"/>
                <w:szCs w:val="21"/>
                <w:highlight w:val="none"/>
                <w:lang w:val="en-US" w:eastAsia="zh-CN" w:bidi="ar-SA"/>
              </w:rPr>
              <w:t>账    号：</w:t>
            </w:r>
          </w:p>
        </w:tc>
        <w:tc>
          <w:tcPr>
            <w:tcW w:w="3166" w:type="dxa"/>
            <w:gridSpan w:val="2"/>
            <w:tcBorders>
              <w:tl2br w:val="nil"/>
              <w:tr2bl w:val="nil"/>
            </w:tcBorders>
            <w:noWrap w:val="0"/>
            <w:vAlign w:val="center"/>
          </w:tcPr>
          <w:p>
            <w:pPr>
              <w:widowControl w:val="0"/>
              <w:adjustRightInd/>
              <w:spacing w:after="120" w:line="240" w:lineRule="auto"/>
              <w:ind w:left="0" w:leftChars="0" w:firstLine="0" w:firstLineChars="0"/>
              <w:jc w:val="both"/>
              <w:rPr>
                <w:rFonts w:hint="eastAsia" w:ascii="仿宋" w:hAnsi="仿宋" w:eastAsia="仿宋" w:cs="仿宋"/>
                <w:color w:val="auto"/>
                <w:spacing w:val="0"/>
                <w:w w:val="100"/>
                <w:kern w:val="2"/>
                <w:sz w:val="21"/>
                <w:szCs w:val="21"/>
                <w:highlight w:val="none"/>
                <w:vertAlign w:val="baseline"/>
                <w:lang w:val="en-US" w:eastAsia="zh-CN" w:bidi="ar-SA"/>
              </w:rPr>
            </w:pPr>
            <w:r>
              <w:rPr>
                <w:rFonts w:hint="eastAsia" w:ascii="仿宋" w:hAnsi="仿宋" w:eastAsia="仿宋" w:cs="仿宋"/>
                <w:color w:val="auto"/>
                <w:spacing w:val="0"/>
                <w:w w:val="100"/>
                <w:kern w:val="2"/>
                <w:sz w:val="21"/>
                <w:szCs w:val="21"/>
                <w:highlight w:val="none"/>
                <w:lang w:val="en-US" w:eastAsia="zh-CN" w:bidi="ar-SA"/>
              </w:rPr>
              <w:t xml:space="preserve">    </w:t>
            </w:r>
          </w:p>
        </w:tc>
        <w:tc>
          <w:tcPr>
            <w:tcW w:w="1228" w:type="dxa"/>
            <w:tcBorders>
              <w:tl2br w:val="nil"/>
              <w:tr2bl w:val="nil"/>
            </w:tcBorders>
            <w:noWrap w:val="0"/>
            <w:vAlign w:val="center"/>
          </w:tcPr>
          <w:p>
            <w:pPr>
              <w:widowControl w:val="0"/>
              <w:adjustRightInd/>
              <w:spacing w:after="120" w:line="240" w:lineRule="auto"/>
              <w:ind w:left="0" w:leftChars="0" w:firstLine="0" w:firstLineChars="0"/>
              <w:jc w:val="both"/>
              <w:rPr>
                <w:rFonts w:hint="eastAsia" w:ascii="仿宋" w:hAnsi="仿宋" w:eastAsia="仿宋" w:cs="仿宋"/>
                <w:color w:val="auto"/>
                <w:spacing w:val="0"/>
                <w:w w:val="100"/>
                <w:kern w:val="2"/>
                <w:sz w:val="21"/>
                <w:szCs w:val="21"/>
                <w:highlight w:val="none"/>
                <w:vertAlign w:val="baseline"/>
                <w:lang w:val="en-US" w:eastAsia="zh-CN" w:bidi="ar-SA"/>
              </w:rPr>
            </w:pPr>
            <w:r>
              <w:rPr>
                <w:rFonts w:hint="eastAsia" w:ascii="仿宋" w:hAnsi="仿宋" w:eastAsia="仿宋" w:cs="仿宋"/>
                <w:color w:val="auto"/>
                <w:spacing w:val="0"/>
                <w:w w:val="100"/>
                <w:kern w:val="2"/>
                <w:sz w:val="21"/>
                <w:szCs w:val="21"/>
                <w:highlight w:val="none"/>
                <w:lang w:val="en-US" w:eastAsia="zh-CN" w:bidi="ar-SA"/>
              </w:rPr>
              <w:t>账    号：</w:t>
            </w:r>
          </w:p>
        </w:tc>
        <w:tc>
          <w:tcPr>
            <w:tcW w:w="3568" w:type="dxa"/>
            <w:gridSpan w:val="2"/>
            <w:tcBorders>
              <w:tl2br w:val="nil"/>
              <w:tr2bl w:val="nil"/>
            </w:tcBorders>
            <w:noWrap w:val="0"/>
            <w:vAlign w:val="center"/>
          </w:tcPr>
          <w:p>
            <w:pPr>
              <w:widowControl w:val="0"/>
              <w:adjustRightInd/>
              <w:spacing w:after="120" w:line="240" w:lineRule="auto"/>
              <w:ind w:left="0" w:leftChars="0" w:firstLine="0" w:firstLineChars="0"/>
              <w:jc w:val="both"/>
              <w:rPr>
                <w:rFonts w:hint="eastAsia" w:ascii="仿宋" w:hAnsi="仿宋" w:eastAsia="仿宋" w:cs="仿宋"/>
                <w:color w:val="auto"/>
                <w:spacing w:val="0"/>
                <w:w w:val="100"/>
                <w:kern w:val="2"/>
                <w:sz w:val="21"/>
                <w:szCs w:val="21"/>
                <w:highlight w:val="none"/>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90" w:type="dxa"/>
            <w:tcBorders>
              <w:tl2br w:val="nil"/>
              <w:tr2bl w:val="nil"/>
            </w:tcBorders>
            <w:noWrap w:val="0"/>
            <w:vAlign w:val="center"/>
          </w:tcPr>
          <w:p>
            <w:pPr>
              <w:widowControl w:val="0"/>
              <w:adjustRightInd/>
              <w:spacing w:after="120" w:line="240" w:lineRule="auto"/>
              <w:ind w:left="0" w:leftChars="0" w:firstLine="0" w:firstLineChars="0"/>
              <w:jc w:val="left"/>
              <w:rPr>
                <w:rFonts w:hint="eastAsia" w:ascii="仿宋" w:hAnsi="仿宋" w:eastAsia="仿宋" w:cs="仿宋"/>
                <w:color w:val="auto"/>
                <w:spacing w:val="0"/>
                <w:w w:val="100"/>
                <w:kern w:val="2"/>
                <w:sz w:val="21"/>
                <w:szCs w:val="21"/>
                <w:highlight w:val="none"/>
                <w:lang w:val="en-US" w:eastAsia="zh-CN" w:bidi="ar-SA"/>
              </w:rPr>
            </w:pPr>
            <w:r>
              <w:rPr>
                <w:rFonts w:hint="eastAsia" w:ascii="仿宋" w:hAnsi="仿宋" w:eastAsia="仿宋" w:cs="仿宋"/>
                <w:color w:val="auto"/>
                <w:spacing w:val="0"/>
                <w:w w:val="100"/>
                <w:kern w:val="2"/>
                <w:sz w:val="21"/>
                <w:szCs w:val="21"/>
                <w:highlight w:val="none"/>
                <w:lang w:val="en-US" w:eastAsia="zh-CN" w:bidi="ar-SA"/>
              </w:rPr>
              <w:t>签订日期：</w:t>
            </w:r>
          </w:p>
        </w:tc>
        <w:tc>
          <w:tcPr>
            <w:tcW w:w="3166" w:type="dxa"/>
            <w:gridSpan w:val="2"/>
            <w:tcBorders>
              <w:tl2br w:val="nil"/>
              <w:tr2bl w:val="nil"/>
            </w:tcBorders>
            <w:noWrap w:val="0"/>
            <w:vAlign w:val="center"/>
          </w:tcPr>
          <w:p>
            <w:pPr>
              <w:widowControl w:val="0"/>
              <w:adjustRightInd/>
              <w:spacing w:after="120" w:line="240" w:lineRule="auto"/>
              <w:ind w:left="0" w:leftChars="0" w:firstLine="0" w:firstLineChars="0"/>
              <w:jc w:val="both"/>
              <w:rPr>
                <w:rFonts w:hint="eastAsia" w:ascii="仿宋" w:hAnsi="仿宋" w:eastAsia="仿宋" w:cs="仿宋"/>
                <w:color w:val="auto"/>
                <w:spacing w:val="0"/>
                <w:w w:val="100"/>
                <w:kern w:val="2"/>
                <w:sz w:val="21"/>
                <w:szCs w:val="21"/>
                <w:highlight w:val="none"/>
                <w:lang w:val="en-US" w:eastAsia="zh-CN" w:bidi="ar-SA"/>
              </w:rPr>
            </w:pPr>
          </w:p>
        </w:tc>
        <w:tc>
          <w:tcPr>
            <w:tcW w:w="1228" w:type="dxa"/>
            <w:tcBorders>
              <w:tl2br w:val="nil"/>
              <w:tr2bl w:val="nil"/>
            </w:tcBorders>
            <w:noWrap w:val="0"/>
            <w:vAlign w:val="center"/>
          </w:tcPr>
          <w:p>
            <w:pPr>
              <w:widowControl w:val="0"/>
              <w:adjustRightInd/>
              <w:spacing w:after="120" w:line="240" w:lineRule="auto"/>
              <w:ind w:left="0" w:leftChars="0" w:firstLine="0" w:firstLineChars="0"/>
              <w:jc w:val="both"/>
              <w:rPr>
                <w:rFonts w:hint="eastAsia" w:ascii="仿宋" w:hAnsi="仿宋" w:eastAsia="仿宋" w:cs="仿宋"/>
                <w:color w:val="auto"/>
                <w:spacing w:val="0"/>
                <w:w w:val="100"/>
                <w:kern w:val="2"/>
                <w:sz w:val="21"/>
                <w:szCs w:val="21"/>
                <w:highlight w:val="none"/>
                <w:lang w:val="en-US" w:eastAsia="zh-CN" w:bidi="ar-SA"/>
              </w:rPr>
            </w:pPr>
            <w:r>
              <w:rPr>
                <w:rFonts w:hint="eastAsia" w:ascii="仿宋" w:hAnsi="仿宋" w:eastAsia="仿宋" w:cs="仿宋"/>
                <w:color w:val="auto"/>
                <w:spacing w:val="0"/>
                <w:w w:val="100"/>
                <w:kern w:val="2"/>
                <w:sz w:val="21"/>
                <w:szCs w:val="21"/>
                <w:highlight w:val="none"/>
                <w:lang w:val="en-US" w:eastAsia="zh-CN" w:bidi="ar-SA"/>
              </w:rPr>
              <w:t>签订日期：</w:t>
            </w:r>
          </w:p>
        </w:tc>
        <w:tc>
          <w:tcPr>
            <w:tcW w:w="3568" w:type="dxa"/>
            <w:gridSpan w:val="2"/>
            <w:tcBorders>
              <w:tl2br w:val="nil"/>
              <w:tr2bl w:val="nil"/>
            </w:tcBorders>
            <w:noWrap w:val="0"/>
            <w:vAlign w:val="center"/>
          </w:tcPr>
          <w:p>
            <w:pPr>
              <w:widowControl w:val="0"/>
              <w:adjustRightInd/>
              <w:spacing w:after="120" w:line="240" w:lineRule="auto"/>
              <w:ind w:left="420" w:leftChars="200" w:firstLine="420" w:firstLineChars="200"/>
              <w:jc w:val="both"/>
              <w:rPr>
                <w:rFonts w:hint="eastAsia" w:ascii="仿宋" w:hAnsi="仿宋" w:eastAsia="仿宋" w:cs="仿宋"/>
                <w:color w:val="auto"/>
                <w:spacing w:val="0"/>
                <w:w w:val="100"/>
                <w:kern w:val="2"/>
                <w:sz w:val="21"/>
                <w:szCs w:val="21"/>
                <w:highlight w:val="none"/>
                <w:vertAlign w:val="baseline"/>
                <w:lang w:val="en-US" w:eastAsia="zh-CN" w:bidi="ar-SA"/>
              </w:rPr>
            </w:pPr>
          </w:p>
        </w:tc>
      </w:tr>
    </w:tbl>
    <w:p>
      <w:pPr>
        <w:widowControl/>
        <w:spacing w:line="360" w:lineRule="exact"/>
        <w:ind w:left="0" w:leftChars="0" w:right="-210" w:rightChars="-100" w:firstLine="0" w:firstLineChars="0"/>
        <w:jc w:val="left"/>
        <w:rPr>
          <w:rFonts w:hint="eastAsia" w:ascii="仿宋" w:hAnsi="仿宋" w:eastAsia="仿宋" w:cs="仿宋"/>
          <w:b/>
          <w:bCs/>
          <w:i w:val="0"/>
          <w:iCs w:val="0"/>
          <w:color w:val="auto"/>
          <w:kern w:val="0"/>
          <w:sz w:val="24"/>
          <w:szCs w:val="24"/>
          <w:highlight w:val="none"/>
          <w:u w:val="none"/>
          <w:lang w:val="en-US" w:eastAsia="zh-CN" w:bidi="ar"/>
        </w:rPr>
      </w:pPr>
    </w:p>
    <w:p>
      <w:pPr>
        <w:adjustRightInd/>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br w:type="page"/>
      </w:r>
    </w:p>
    <w:p>
      <w:pPr>
        <w:widowControl/>
        <w:spacing w:line="360" w:lineRule="exact"/>
        <w:ind w:left="0" w:leftChars="0" w:right="-210" w:rightChars="-100" w:firstLine="0" w:firstLineChars="0"/>
        <w:jc w:val="left"/>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附件1：</w:t>
      </w:r>
    </w:p>
    <w:p>
      <w:pPr>
        <w:widowControl/>
        <w:spacing w:line="360" w:lineRule="exact"/>
        <w:ind w:left="-210" w:leftChars="-100" w:right="-210" w:rightChars="-100"/>
        <w:jc w:val="center"/>
        <w:rPr>
          <w:rFonts w:hint="eastAsia" w:ascii="仿宋" w:hAnsi="仿宋" w:eastAsia="仿宋" w:cs="仿宋"/>
          <w:b/>
          <w:color w:val="auto"/>
          <w:kern w:val="2"/>
          <w:sz w:val="36"/>
          <w:szCs w:val="36"/>
          <w:highlight w:val="none"/>
          <w:lang w:val="zh-CN" w:eastAsia="zh-CN" w:bidi="ar-SA"/>
        </w:rPr>
      </w:pPr>
      <w:r>
        <w:rPr>
          <w:rFonts w:hint="eastAsia" w:ascii="仿宋" w:hAnsi="仿宋" w:eastAsia="仿宋" w:cs="仿宋"/>
          <w:b/>
          <w:color w:val="auto"/>
          <w:kern w:val="2"/>
          <w:sz w:val="36"/>
          <w:szCs w:val="36"/>
          <w:highlight w:val="none"/>
          <w:lang w:val="zh-CN" w:eastAsia="zh-CN" w:bidi="ar-SA"/>
        </w:rPr>
        <w:t>廉洁合规相关承诺书</w:t>
      </w:r>
    </w:p>
    <w:p>
      <w:pPr>
        <w:widowControl/>
        <w:spacing w:line="360" w:lineRule="exact"/>
        <w:ind w:left="-210" w:leftChars="-100" w:right="-210" w:rightChars="-100"/>
        <w:jc w:val="left"/>
        <w:rPr>
          <w:rFonts w:hint="eastAsia" w:ascii="仿宋" w:hAnsi="仿宋" w:eastAsia="仿宋" w:cs="仿宋"/>
          <w:color w:val="auto"/>
          <w:kern w:val="2"/>
          <w:sz w:val="24"/>
          <w:szCs w:val="24"/>
          <w:highlight w:val="none"/>
          <w:lang w:val="zh-CN" w:eastAsia="zh-CN" w:bidi="ar-SA"/>
        </w:rPr>
      </w:pPr>
    </w:p>
    <w:p>
      <w:pPr>
        <w:widowControl/>
        <w:numPr>
          <w:ilvl w:val="0"/>
          <w:numId w:val="1"/>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合规条款</w:t>
      </w:r>
    </w:p>
    <w:p>
      <w:pPr>
        <w:widowControl/>
        <w:numPr>
          <w:ilvl w:val="0"/>
          <w:numId w:val="2"/>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乙方保证甲方运营符合法律法规要求，遵守乙方及其分支机构所在国家和地区需适用的法律法规，包括但不限于当地的、国家的、地区的和国际的法律法规；保证乙方每一个员工接受到足够的有关法律法规的信息和培训。</w:t>
      </w:r>
    </w:p>
    <w:p>
      <w:pPr>
        <w:widowControl/>
        <w:numPr>
          <w:ilvl w:val="0"/>
          <w:numId w:val="2"/>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乙方保证在和甲方的商业合作中遵循公平竞争的原则，遵守国家及地方有关反商业贿赂、反不正当竞争及反垄断行为的各项规定，在其商业活动中，有义务遵守良好的商业道德，不得提供虚假资料或使用其他违背诚实信用原则的方式开展商业活动。</w:t>
      </w:r>
    </w:p>
    <w:p>
      <w:pPr>
        <w:widowControl/>
        <w:numPr>
          <w:ilvl w:val="0"/>
          <w:numId w:val="2"/>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乙方保证加强对自身人员的管理，要求其员工、代理人、管理人员严格遵守所在地法律法规，自觉抵制业务活动中不符合职业道德的不廉洁商业行为。</w:t>
      </w:r>
    </w:p>
    <w:p>
      <w:pPr>
        <w:widowControl/>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p>
    <w:p>
      <w:pPr>
        <w:widowControl/>
        <w:numPr>
          <w:ilvl w:val="0"/>
          <w:numId w:val="1"/>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反商业贿赂和反舞弊（廉洁条款）</w:t>
      </w:r>
    </w:p>
    <w:p>
      <w:pPr>
        <w:widowControl/>
        <w:numPr>
          <w:ilvl w:val="0"/>
          <w:numId w:val="3"/>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乙方保证自觉遵守国家、地方法律法规以及本</w:t>
      </w:r>
      <w:r>
        <w:rPr>
          <w:rFonts w:hint="eastAsia" w:ascii="仿宋" w:hAnsi="仿宋" w:eastAsia="仿宋" w:cs="仿宋"/>
          <w:color w:val="auto"/>
          <w:kern w:val="2"/>
          <w:sz w:val="24"/>
          <w:szCs w:val="24"/>
          <w:highlight w:val="none"/>
          <w:lang w:val="en-US" w:eastAsia="zh-CN" w:bidi="ar-SA"/>
        </w:rPr>
        <w:t>合同</w:t>
      </w:r>
      <w:r>
        <w:rPr>
          <w:rFonts w:hint="eastAsia" w:ascii="仿宋" w:hAnsi="仿宋" w:eastAsia="仿宋" w:cs="仿宋"/>
          <w:color w:val="auto"/>
          <w:kern w:val="2"/>
          <w:sz w:val="24"/>
          <w:szCs w:val="24"/>
          <w:highlight w:val="none"/>
          <w:lang w:val="zh-CN" w:eastAsia="zh-CN" w:bidi="ar-SA"/>
        </w:rPr>
        <w:t>的约定，在合同的订立、履行过程中廉洁自律。</w:t>
      </w:r>
    </w:p>
    <w:p>
      <w:pPr>
        <w:widowControl/>
        <w:numPr>
          <w:ilvl w:val="0"/>
          <w:numId w:val="3"/>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乙方保证</w:t>
      </w:r>
      <w:r>
        <w:rPr>
          <w:rFonts w:hint="eastAsia" w:ascii="仿宋" w:hAnsi="仿宋" w:eastAsia="仿宋" w:cs="仿宋"/>
          <w:color w:val="auto"/>
          <w:kern w:val="2"/>
          <w:sz w:val="24"/>
          <w:szCs w:val="24"/>
          <w:highlight w:val="none"/>
          <w:lang w:val="en-US" w:eastAsia="zh-CN" w:bidi="ar-SA"/>
        </w:rPr>
        <w:t>决</w:t>
      </w:r>
      <w:r>
        <w:rPr>
          <w:rFonts w:hint="eastAsia" w:ascii="仿宋" w:hAnsi="仿宋" w:eastAsia="仿宋" w:cs="仿宋"/>
          <w:color w:val="auto"/>
          <w:kern w:val="2"/>
          <w:sz w:val="24"/>
          <w:szCs w:val="24"/>
          <w:highlight w:val="none"/>
          <w:lang w:val="zh-CN" w:eastAsia="zh-CN" w:bidi="ar-SA"/>
        </w:rPr>
        <w:t>不为获得交易机会或为达到交易目的而向甲方的任何人员及其关系人或第三方提供、给付各种不正当利益或达成不正当利益的分成。</w:t>
      </w:r>
    </w:p>
    <w:p>
      <w:pPr>
        <w:widowControl/>
        <w:numPr>
          <w:ilvl w:val="0"/>
          <w:numId w:val="3"/>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乙方保证</w:t>
      </w:r>
      <w:r>
        <w:rPr>
          <w:rFonts w:hint="eastAsia" w:ascii="仿宋" w:hAnsi="仿宋" w:eastAsia="仿宋" w:cs="仿宋"/>
          <w:color w:val="auto"/>
          <w:kern w:val="2"/>
          <w:sz w:val="24"/>
          <w:szCs w:val="24"/>
          <w:highlight w:val="none"/>
          <w:lang w:val="en-US" w:eastAsia="zh-CN" w:bidi="ar-SA"/>
        </w:rPr>
        <w:t>决</w:t>
      </w:r>
      <w:r>
        <w:rPr>
          <w:rFonts w:hint="eastAsia" w:ascii="仿宋" w:hAnsi="仿宋" w:eastAsia="仿宋" w:cs="仿宋"/>
          <w:color w:val="auto"/>
          <w:kern w:val="2"/>
          <w:sz w:val="24"/>
          <w:szCs w:val="24"/>
          <w:highlight w:val="none"/>
          <w:lang w:val="zh-CN" w:eastAsia="zh-CN" w:bidi="ar-SA"/>
        </w:rPr>
        <w:t>不向甲方的任何人员或其关系人及/或其指定人要求进行任何贿赂或给付其他不正当利益，包括但不限于给予现金或商品形式的回扣、礼金、有价票券、借款、免费旅游或度假、招待、娱乐、置业、房屋装修、餐饮宴席、节日礼物、通讯工具、解决子女或亲属入学以及就业等一切精神上或物质上的利益。</w:t>
      </w:r>
    </w:p>
    <w:p>
      <w:pPr>
        <w:widowControl/>
        <w:numPr>
          <w:ilvl w:val="0"/>
          <w:numId w:val="3"/>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乙方保证决不为谋取不正当利益引诱或使甲方的任何人员违背职务接受或共同编造虚假议价资料、影响交易价格或交易的达成，或使其擅自同意或暗中默认将交易机会给予乙方或第三方，以及其他损害甲方利益的行为。</w:t>
      </w:r>
    </w:p>
    <w:p>
      <w:pPr>
        <w:widowControl/>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p>
    <w:p>
      <w:pPr>
        <w:widowControl/>
        <w:numPr>
          <w:ilvl w:val="0"/>
          <w:numId w:val="1"/>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利益冲突条款</w:t>
      </w:r>
    </w:p>
    <w:p>
      <w:pPr>
        <w:widowControl/>
        <w:numPr>
          <w:ilvl w:val="0"/>
          <w:numId w:val="4"/>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乙方保证决不以任何形式雇佣甲方员工及其关系人到乙方或乙方的关联公司工作。如乙方在签署本合同前已雇佣甲方员工或其亲属在乙方或乙方的关联公司工作，则应当在签署本合同之时将该事实披露给甲方知悉。</w:t>
      </w:r>
    </w:p>
    <w:p>
      <w:pPr>
        <w:widowControl/>
        <w:numPr>
          <w:ilvl w:val="0"/>
          <w:numId w:val="4"/>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乙方保证决不以任何形式雇佣从甲方离职十年内的员工及其亲属担任重要职位或担任与甲方业务接口工作，或合作过程中不得接受甲方在职人员或离职人员及其亲属或投资伙伴投资、持股。</w:t>
      </w:r>
    </w:p>
    <w:p>
      <w:pPr>
        <w:widowControl/>
        <w:numPr>
          <w:ilvl w:val="0"/>
          <w:numId w:val="4"/>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乙方与甲方存在下列几种情况时，乙方应将该事实于双方合作业务发生前及本合同签订时披露给甲方知悉，否则甲方有权单方解除本合同及双方签订的所有合同，并依据双方相关业务合同及本合同约定追究乙方违约责任。</w:t>
      </w:r>
    </w:p>
    <w:p>
      <w:pPr>
        <w:widowControl/>
        <w:numPr>
          <w:ilvl w:val="1"/>
          <w:numId w:val="4"/>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乙方与甲方的任何人员之间有合作关系；</w:t>
      </w:r>
    </w:p>
    <w:p>
      <w:pPr>
        <w:widowControl/>
        <w:numPr>
          <w:ilvl w:val="1"/>
          <w:numId w:val="4"/>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乙方员工或亲属持有甲方股份；</w:t>
      </w:r>
    </w:p>
    <w:p>
      <w:pPr>
        <w:widowControl/>
        <w:numPr>
          <w:ilvl w:val="1"/>
          <w:numId w:val="4"/>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乙方员工属于关系人的范围；</w:t>
      </w:r>
    </w:p>
    <w:p>
      <w:pPr>
        <w:widowControl/>
        <w:numPr>
          <w:ilvl w:val="1"/>
          <w:numId w:val="4"/>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甲方离职员工（离职10年内）及其亲属或投资伙伴在乙方投资、入股、担任重要职位或担任与甲方业务接口工作的。</w:t>
      </w:r>
    </w:p>
    <w:p>
      <w:pPr>
        <w:widowControl/>
        <w:numPr>
          <w:ilvl w:val="0"/>
          <w:numId w:val="4"/>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乙方与甲方在职管理人员存在关联关系、合作服务关系或属于关系人的，应当在合作业务发生前及本合同签订前主动按照甲方要求进行申报，并获甲方批准后方可合作。</w:t>
      </w:r>
    </w:p>
    <w:p>
      <w:pPr>
        <w:widowControl/>
        <w:numPr>
          <w:ilvl w:val="0"/>
          <w:numId w:val="4"/>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乙方如发现甲方工作人员有违反上述合同者，应向甲方举报。</w:t>
      </w:r>
    </w:p>
    <w:p>
      <w:pPr>
        <w:widowControl/>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p>
    <w:p>
      <w:pPr>
        <w:widowControl/>
        <w:numPr>
          <w:ilvl w:val="0"/>
          <w:numId w:val="1"/>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反洗钱条款</w:t>
      </w:r>
    </w:p>
    <w:p>
      <w:pPr>
        <w:widowControl/>
        <w:numPr>
          <w:ilvl w:val="0"/>
          <w:numId w:val="5"/>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乙方保证其所开展及已开展的运营活动在任何时候均符合所有适用管辖区域的反洗钱相关法律法规，以及由任何政府或政府机构签发、管理或执行的任何相关或类似的规则、法规或指引（统称为“反洗钱法”）。并且，不存在任何法院、政府、监管机构、主管单位、机构或仲裁员正在进行或可能进行的任何涉及甲乙双方公司或其任何子公司有关反洗钱法的法律行动、行动或司法/行政程序。</w:t>
      </w:r>
    </w:p>
    <w:p>
      <w:pPr>
        <w:widowControl/>
        <w:numPr>
          <w:ilvl w:val="0"/>
          <w:numId w:val="5"/>
        </w:numPr>
        <w:spacing w:line="360" w:lineRule="auto"/>
        <w:ind w:left="-210" w:leftChars="-100" w:right="-210" w:rightChars="-1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乙方应当根据适用法律和税务机关的要求进行税费申报并缴付税费，并应遵守所有适用的反洗钱法律。</w:t>
      </w:r>
    </w:p>
    <w:p>
      <w:pPr>
        <w:widowControl/>
        <w:numPr>
          <w:ilvl w:val="0"/>
          <w:numId w:val="0"/>
        </w:numPr>
        <w:spacing w:line="360" w:lineRule="auto"/>
        <w:ind w:left="-210" w:leftChars="-100" w:right="-210" w:rightChars="-100" w:firstLine="0"/>
        <w:jc w:val="left"/>
        <w:rPr>
          <w:rFonts w:hint="eastAsia" w:ascii="仿宋" w:hAnsi="仿宋" w:eastAsia="仿宋" w:cs="仿宋"/>
          <w:color w:val="auto"/>
          <w:kern w:val="2"/>
          <w:sz w:val="24"/>
          <w:szCs w:val="24"/>
          <w:highlight w:val="none"/>
          <w:lang w:val="zh-CN" w:eastAsia="zh-CN" w:bidi="ar-SA"/>
        </w:rPr>
      </w:pPr>
    </w:p>
    <w:p>
      <w:pPr>
        <w:widowControl/>
        <w:spacing w:line="360" w:lineRule="auto"/>
        <w:ind w:left="0" w:leftChars="0" w:right="-210" w:rightChars="-100" w:firstLine="6000" w:firstLineChars="2500"/>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乙</w:t>
      </w:r>
      <w:r>
        <w:rPr>
          <w:rFonts w:hint="eastAsia" w:ascii="仿宋" w:hAnsi="仿宋" w:eastAsia="仿宋" w:cs="仿宋"/>
          <w:color w:val="auto"/>
          <w:kern w:val="2"/>
          <w:sz w:val="24"/>
          <w:szCs w:val="24"/>
          <w:highlight w:val="none"/>
          <w:lang w:val="en-US" w:eastAsia="zh-CN" w:bidi="ar-SA"/>
        </w:rPr>
        <w:t xml:space="preserve">  </w:t>
      </w:r>
      <w:r>
        <w:rPr>
          <w:rFonts w:hint="eastAsia" w:ascii="仿宋" w:hAnsi="仿宋" w:eastAsia="仿宋" w:cs="仿宋"/>
          <w:color w:val="auto"/>
          <w:kern w:val="2"/>
          <w:sz w:val="24"/>
          <w:szCs w:val="24"/>
          <w:highlight w:val="none"/>
          <w:lang w:val="zh-CN" w:eastAsia="zh-CN" w:bidi="ar-SA"/>
        </w:rPr>
        <w:t xml:space="preserve">方（盖章）：                                                      </w:t>
      </w:r>
    </w:p>
    <w:p>
      <w:pPr>
        <w:widowControl/>
        <w:adjustRightInd/>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kern w:val="2"/>
          <w:sz w:val="24"/>
          <w:szCs w:val="24"/>
          <w:highlight w:val="none"/>
        </w:rPr>
        <w:t xml:space="preserve">                    </w:t>
      </w:r>
      <w:r>
        <w:rPr>
          <w:rFonts w:hint="eastAsia" w:ascii="仿宋" w:hAnsi="仿宋" w:eastAsia="仿宋" w:cs="仿宋"/>
          <w:color w:val="auto"/>
          <w:kern w:val="2"/>
          <w:sz w:val="24"/>
          <w:szCs w:val="24"/>
          <w:highlight w:val="none"/>
          <w:lang w:val="en-US" w:eastAsia="zh-CN"/>
        </w:rPr>
        <w:t xml:space="preserve">                          </w:t>
      </w:r>
      <w:r>
        <w:rPr>
          <w:rFonts w:hint="eastAsia" w:ascii="仿宋" w:hAnsi="仿宋" w:eastAsia="仿宋" w:cs="仿宋"/>
          <w:color w:val="auto"/>
          <w:kern w:val="2"/>
          <w:sz w:val="24"/>
          <w:szCs w:val="24"/>
          <w:highlight w:val="none"/>
        </w:rPr>
        <w:t>日  期：    年   月   日</w:t>
      </w:r>
    </w:p>
    <w:p>
      <w:pPr>
        <w:spacing w:line="360" w:lineRule="auto"/>
        <w:ind w:left="-420" w:leftChars="-200" w:right="-420" w:rightChars="-200"/>
        <w:rPr>
          <w:rFonts w:ascii="仿宋" w:hAnsi="仿宋" w:eastAsia="仿宋" w:cs="仿宋"/>
          <w:color w:val="auto"/>
          <w:sz w:val="24"/>
          <w:highlight w:val="none"/>
        </w:rPr>
      </w:pPr>
    </w:p>
    <w:p>
      <w:pPr>
        <w:rPr>
          <w:rFonts w:ascii="仿宋" w:hAnsi="仿宋" w:eastAsia="仿宋" w:cs="仿宋"/>
          <w:color w:val="auto"/>
          <w:sz w:val="24"/>
          <w:highlight w:val="none"/>
        </w:rPr>
      </w:pPr>
    </w:p>
    <w:p>
      <w:pPr>
        <w:pStyle w:val="2"/>
        <w:rPr>
          <w:rFonts w:ascii="仿宋" w:eastAsia="仿宋" w:cs="仿宋"/>
          <w:color w:val="auto"/>
          <w:sz w:val="24"/>
          <w:highlight w:val="none"/>
        </w:rPr>
      </w:pPr>
    </w:p>
    <w:p>
      <w:pPr>
        <w:spacing w:line="240" w:lineRule="auto"/>
        <w:ind w:left="0" w:firstLine="0" w:firstLineChars="0"/>
        <w:outlineLvl w:val="9"/>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spacing w:line="360" w:lineRule="auto"/>
        <w:ind w:left="720" w:firstLine="723" w:firstLineChars="200"/>
        <w:outlineLvl w:val="0"/>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46"/>
      <w:r>
        <w:rPr>
          <w:rFonts w:hint="eastAsia" w:ascii="仿宋" w:hAnsi="仿宋" w:eastAsia="仿宋" w:cs="仿宋"/>
          <w:b/>
          <w:color w:val="auto"/>
          <w:sz w:val="36"/>
          <w:szCs w:val="20"/>
          <w:highlight w:val="none"/>
        </w:rPr>
        <w:t xml:space="preserve"> </w:t>
      </w:r>
      <w:bookmarkEnd w:id="47"/>
      <w:r>
        <w:rPr>
          <w:rFonts w:hint="eastAsia" w:ascii="仿宋" w:hAnsi="仿宋" w:eastAsia="仿宋" w:cs="仿宋"/>
          <w:b/>
          <w:color w:val="auto"/>
          <w:sz w:val="36"/>
          <w:szCs w:val="20"/>
          <w:highlight w:val="none"/>
        </w:rPr>
        <w:t>应提交的有关格式范例</w:t>
      </w:r>
    </w:p>
    <w:p>
      <w:pPr>
        <w:spacing w:line="360" w:lineRule="auto"/>
        <w:jc w:val="center"/>
        <w:outlineLvl w:val="0"/>
        <w:rPr>
          <w:rFonts w:ascii="仿宋" w:hAnsi="仿宋" w:eastAsia="仿宋" w:cs="仿宋"/>
          <w:b/>
          <w:color w:val="auto"/>
          <w:kern w:val="0"/>
          <w:sz w:val="36"/>
          <w:szCs w:val="36"/>
          <w:highlight w:val="none"/>
        </w:rPr>
      </w:pP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ascii="仿宋" w:hAnsi="仿宋" w:eastAsia="仿宋" w:cs="仿宋"/>
          <w:b/>
          <w:color w:val="auto"/>
          <w:kern w:val="0"/>
          <w:sz w:val="36"/>
          <w:szCs w:val="36"/>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（2）联合协议</w:t>
      </w:r>
      <w:r>
        <w:rPr>
          <w:rFonts w:hint="eastAsia" w:ascii="仿宋" w:hAnsi="仿宋" w:eastAsia="仿宋" w:cs="仿宋"/>
          <w:color w:val="auto"/>
          <w:sz w:val="24"/>
          <w:highlight w:val="none"/>
        </w:rPr>
        <w:t>………………………………………………………………（页码）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（3）落实政府采购政策需满足的资格要求………………………………（页码）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（4）本项目的特定资格要求………………………………………………（页码）</w:t>
      </w:r>
    </w:p>
    <w:p>
      <w:pPr>
        <w:snapToGrid w:val="0"/>
        <w:spacing w:line="36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p>
    <w:p>
      <w:pPr>
        <w:snapToGrid w:val="0"/>
        <w:spacing w:line="360" w:lineRule="auto"/>
        <w:ind w:right="480"/>
        <w:jc w:val="center"/>
        <w:rPr>
          <w:rFonts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我方参与（项目名称）【招标编号：（采购编号）】政府采购活动，郑重承诺：</w:t>
      </w:r>
    </w:p>
    <w:p>
      <w:pPr>
        <w:snapToGrid w:val="0"/>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rPr>
          <w:rFonts w:ascii="仿宋" w:hAnsi="仿宋" w:eastAsia="仿宋" w:cs="仿宋"/>
          <w:b/>
          <w:color w:val="auto"/>
          <w:kern w:val="0"/>
          <w:sz w:val="32"/>
          <w:szCs w:val="32"/>
          <w:highlight w:val="none"/>
        </w:rPr>
      </w:pPr>
    </w:p>
    <w:p>
      <w:pPr>
        <w:snapToGrid w:val="0"/>
        <w:spacing w:line="360" w:lineRule="auto"/>
        <w:ind w:right="480" w:firstLine="559" w:firstLineChars="233"/>
        <w:jc w:val="left"/>
        <w:rPr>
          <w:rFonts w:ascii="仿宋" w:hAnsi="仿宋" w:eastAsia="仿宋" w:cs="仿宋"/>
          <w:b/>
          <w:color w:val="auto"/>
          <w:kern w:val="0"/>
          <w:sz w:val="32"/>
          <w:szCs w:val="32"/>
          <w:highlight w:val="none"/>
        </w:rPr>
      </w:pPr>
      <w:r>
        <w:rPr>
          <w:rFonts w:hint="eastAsia" w:ascii="仿宋" w:hAnsi="仿宋" w:eastAsia="仿宋" w:cs="仿宋"/>
          <w:color w:val="auto"/>
          <w:sz w:val="24"/>
          <w:highlight w:val="none"/>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仿宋" w:hAnsi="仿宋" w:eastAsia="仿宋" w:cs="仿宋"/>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spacing w:line="360" w:lineRule="auto"/>
        <w:ind w:firstLine="643" w:firstLineChars="20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二、联合协议（如果有）</w:t>
      </w:r>
    </w:p>
    <w:p>
      <w:pPr>
        <w:widowControl/>
        <w:spacing w:line="360" w:lineRule="auto"/>
        <w:ind w:firstLine="482" w:firstLineChars="200"/>
        <w:jc w:val="left"/>
        <w:rPr>
          <w:rFonts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三、落实政府采购政策需满足的资格要求</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.专门面向中小企业，货物全部由符合政策要求的中小企业（或小微企业）制造的，提供相应的中小企业声明函（附件7）。 </w:t>
      </w:r>
    </w:p>
    <w:p>
      <w:pPr>
        <w:widowControl/>
        <w:spacing w:line="360" w:lineRule="auto"/>
        <w:ind w:firstLine="480"/>
        <w:jc w:val="left"/>
        <w:rPr>
          <w:rFonts w:ascii="仿宋" w:hAnsi="仿宋" w:eastAsia="仿宋" w:cs="仿宋"/>
          <w:color w:val="auto"/>
          <w:sz w:val="24"/>
          <w:highlight w:val="none"/>
        </w:rPr>
      </w:pPr>
    </w:p>
    <w:p>
      <w:pPr>
        <w:widowControl/>
        <w:spacing w:line="360" w:lineRule="auto"/>
        <w:ind w:firstLine="472" w:firstLineChars="196"/>
        <w:jc w:val="left"/>
        <w:rPr>
          <w:rFonts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要求以联合体形式参加的，提供联合协议（附件5）和中小企业声明函（附件7），联合协议中中小企业合同金额应当达到招标公告载明的比例；如果供应商本身提供所有标的均由中小企业制造的，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color w:val="auto"/>
          <w:sz w:val="24"/>
          <w:highlight w:val="none"/>
        </w:rPr>
      </w:pPr>
      <w:r>
        <w:rPr>
          <w:rFonts w:hint="eastAsia" w:ascii="仿宋" w:hAnsi="仿宋" w:eastAsia="仿宋" w:cs="仿宋"/>
          <w:b/>
          <w:color w:val="auto"/>
          <w:sz w:val="24"/>
          <w:highlight w:val="none"/>
        </w:rPr>
        <w:t xml:space="preserve">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要求合同分包的，提供分包意向协议（附件6）和中小企业声明函（附件7），分包意向协议中中小企业合同金额应当达到招标公告载明的比例；如果供应商本身提供所有标的均由中小企业制造的，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视同符合了资格条件，无需再向中小企业分包，无需提供分包意向协议。</w:t>
      </w:r>
    </w:p>
    <w:p>
      <w:pPr>
        <w:widowControl/>
        <w:spacing w:line="360" w:lineRule="auto"/>
        <w:ind w:left="150"/>
        <w:jc w:val="center"/>
        <w:rPr>
          <w:rFonts w:ascii="仿宋" w:hAnsi="仿宋" w:eastAsia="仿宋" w:cs="仿宋"/>
          <w:b/>
          <w:color w:val="auto"/>
          <w:kern w:val="0"/>
          <w:sz w:val="32"/>
          <w:szCs w:val="32"/>
          <w:highlight w:val="none"/>
        </w:rPr>
      </w:pPr>
    </w:p>
    <w:p>
      <w:pPr>
        <w:widowControl/>
        <w:spacing w:line="360" w:lineRule="auto"/>
        <w:ind w:left="15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四、本项目的特定资格要求</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ascii="仿宋" w:hAnsi="仿宋" w:eastAsia="仿宋" w:cs="仿宋"/>
          <w:color w:val="auto"/>
          <w:highlight w:val="none"/>
        </w:rPr>
      </w:pPr>
    </w:p>
    <w:p>
      <w:pPr>
        <w:widowControl/>
        <w:adjustRightInd/>
        <w:jc w:val="left"/>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pacing w:line="360" w:lineRule="auto"/>
        <w:ind w:right="420" w:firstLine="3614" w:firstLineChars="100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（3）分包意向协议</w:t>
      </w:r>
      <w:r>
        <w:rPr>
          <w:rFonts w:hint="eastAsia" w:ascii="仿宋" w:hAnsi="仿宋" w:eastAsia="仿宋" w:cs="仿宋"/>
          <w:color w:val="auto"/>
          <w:highlight w:val="none"/>
        </w:rPr>
        <w:t>…………………………………………………………………………（页码）</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（4）符合性审查资料</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（5）评标标准相应的商务技术资料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（6）投标标的清单</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outlineLvl w:val="0"/>
        <w:rPr>
          <w:rFonts w:ascii="仿宋" w:hAnsi="仿宋" w:eastAsia="仿宋" w:cs="仿宋"/>
          <w:b/>
          <w:color w:val="auto"/>
          <w:kern w:val="0"/>
          <w:sz w:val="32"/>
          <w:szCs w:val="32"/>
          <w:highlight w:val="none"/>
        </w:rPr>
      </w:pPr>
    </w:p>
    <w:p>
      <w:pPr>
        <w:snapToGrid w:val="0"/>
        <w:spacing w:line="360" w:lineRule="auto"/>
        <w:jc w:val="center"/>
        <w:outlineLvl w:val="0"/>
        <w:rPr>
          <w:rFonts w:ascii="仿宋" w:hAnsi="仿宋" w:eastAsia="仿宋" w:cs="仿宋"/>
          <w:b/>
          <w:color w:val="auto"/>
          <w:kern w:val="0"/>
          <w:sz w:val="32"/>
          <w:szCs w:val="32"/>
          <w:highlight w:val="none"/>
        </w:rPr>
      </w:pPr>
    </w:p>
    <w:p>
      <w:pPr>
        <w:rPr>
          <w:rFonts w:ascii="仿宋" w:hAnsi="仿宋" w:eastAsia="仿宋" w:cs="仿宋"/>
          <w:color w:val="auto"/>
          <w:highlight w:val="none"/>
        </w:rPr>
      </w:pPr>
    </w:p>
    <w:p>
      <w:pPr>
        <w:snapToGrid w:val="0"/>
        <w:spacing w:line="360" w:lineRule="auto"/>
        <w:jc w:val="center"/>
        <w:outlineLvl w:val="0"/>
        <w:rPr>
          <w:rFonts w:ascii="仿宋" w:hAnsi="仿宋" w:eastAsia="仿宋" w:cs="仿宋"/>
          <w:b/>
          <w:color w:val="auto"/>
          <w:kern w:val="0"/>
          <w:sz w:val="32"/>
          <w:szCs w:val="32"/>
          <w:highlight w:val="none"/>
        </w:rPr>
      </w:pPr>
    </w:p>
    <w:p>
      <w:pPr>
        <w:snapToGrid w:val="0"/>
        <w:spacing w:line="360" w:lineRule="auto"/>
        <w:jc w:val="center"/>
        <w:outlineLvl w:val="0"/>
        <w:rPr>
          <w:rFonts w:ascii="仿宋" w:hAnsi="仿宋" w:eastAsia="仿宋" w:cs="仿宋"/>
          <w:b/>
          <w:color w:val="auto"/>
          <w:kern w:val="0"/>
          <w:sz w:val="32"/>
          <w:szCs w:val="32"/>
          <w:highlight w:val="none"/>
        </w:rPr>
      </w:pPr>
    </w:p>
    <w:p>
      <w:pPr>
        <w:pStyle w:val="2"/>
        <w:rPr>
          <w:rFonts w:ascii="仿宋" w:eastAsia="仿宋" w:cs="仿宋"/>
          <w:color w:val="auto"/>
          <w:highlight w:val="none"/>
          <w:lang w:val="en-US"/>
        </w:rPr>
      </w:pPr>
    </w:p>
    <w:p>
      <w:pPr>
        <w:rPr>
          <w:rFonts w:ascii="仿宋" w:hAnsi="仿宋" w:eastAsia="仿宋" w:cs="仿宋"/>
          <w:color w:val="auto"/>
          <w:highlight w:val="none"/>
        </w:rPr>
      </w:pPr>
    </w:p>
    <w:p>
      <w:pPr>
        <w:snapToGrid w:val="0"/>
        <w:spacing w:line="360" w:lineRule="auto"/>
        <w:ind w:firstLine="3855" w:firstLineChars="1200"/>
        <w:outlineLvl w:val="0"/>
        <w:rPr>
          <w:rFonts w:ascii="仿宋" w:hAnsi="仿宋" w:eastAsia="仿宋" w:cs="仿宋"/>
          <w:b/>
          <w:color w:val="auto"/>
          <w:kern w:val="0"/>
          <w:sz w:val="32"/>
          <w:szCs w:val="32"/>
          <w:highlight w:val="none"/>
        </w:rPr>
      </w:pPr>
    </w:p>
    <w:p>
      <w:pPr>
        <w:snapToGrid w:val="0"/>
        <w:spacing w:line="360" w:lineRule="auto"/>
        <w:ind w:firstLine="3855" w:firstLineChars="1200"/>
        <w:outlineLvl w:val="0"/>
        <w:rPr>
          <w:rFonts w:ascii="仿宋" w:hAnsi="仿宋" w:eastAsia="仿宋" w:cs="仿宋"/>
          <w:b/>
          <w:color w:val="auto"/>
          <w:kern w:val="0"/>
          <w:sz w:val="32"/>
          <w:szCs w:val="32"/>
          <w:highlight w:val="none"/>
        </w:rPr>
      </w:pPr>
    </w:p>
    <w:p>
      <w:pPr>
        <w:snapToGrid w:val="0"/>
        <w:spacing w:line="360" w:lineRule="auto"/>
        <w:ind w:firstLine="3855" w:firstLineChars="1200"/>
        <w:outlineLvl w:val="0"/>
        <w:rPr>
          <w:rFonts w:ascii="仿宋" w:hAnsi="仿宋" w:eastAsia="仿宋" w:cs="仿宋"/>
          <w:b/>
          <w:color w:val="auto"/>
          <w:kern w:val="0"/>
          <w:sz w:val="32"/>
          <w:szCs w:val="32"/>
          <w:highlight w:val="none"/>
        </w:rPr>
      </w:pPr>
    </w:p>
    <w:p>
      <w:pPr>
        <w:widowControl/>
        <w:adjustRightInd/>
        <w:jc w:val="left"/>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ind w:firstLine="3855" w:firstLineChars="1200"/>
        <w:outlineLvl w:val="0"/>
        <w:rPr>
          <w:rFonts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snapToGrid w:val="0"/>
          <w:color w:val="auto"/>
          <w:kern w:val="28"/>
          <w:sz w:val="24"/>
          <w:szCs w:val="20"/>
          <w:highlight w:val="none"/>
        </w:rPr>
        <w:t>联合协议（如果有)；</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2.1.3落实政府采购政策需满足的资格要求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2.1.4本项目的特定资格要求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left="210" w:leftChars="100"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2.2.3分包意向协议</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2.2.4符合性审查资料；</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2.2.5评标标准相应的商务技术资料；</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2.2.6投标标的清单；</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ascii="仿宋" w:hAnsi="仿宋" w:eastAsia="仿宋" w:cs="仿宋"/>
          <w:color w:val="auto"/>
          <w:kern w:val="0"/>
          <w:sz w:val="24"/>
          <w:highlight w:val="none"/>
          <w:u w:val="single"/>
        </w:rPr>
      </w:pP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rPr>
          <w:rFonts w:ascii="仿宋" w:hAnsi="仿宋" w:eastAsia="仿宋" w:cs="仿宋"/>
          <w:color w:val="auto"/>
          <w:sz w:val="24"/>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widowControl/>
        <w:adjustRightInd/>
        <w:jc w:val="left"/>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ind w:firstLine="2872" w:firstLineChars="894"/>
        <w:rPr>
          <w:rFonts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 xml:space="preserve">                                                 签发日期：  年  月   日</w:t>
      </w:r>
    </w:p>
    <w:p>
      <w:pPr>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 xml:space="preserve">      </w:t>
      </w: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ascii="仿宋" w:hAnsi="仿宋" w:eastAsia="仿宋" w:cs="仿宋"/>
          <w:b/>
          <w:color w:val="auto"/>
          <w:kern w:val="0"/>
          <w:sz w:val="32"/>
          <w:szCs w:val="32"/>
          <w:highlight w:val="none"/>
        </w:rPr>
      </w:pPr>
    </w:p>
    <w:p>
      <w:pPr>
        <w:rPr>
          <w:rFonts w:ascii="仿宋" w:hAnsi="仿宋" w:eastAsia="仿宋" w:cs="仿宋"/>
          <w:color w:val="auto"/>
          <w:highlight w:val="none"/>
        </w:rPr>
      </w:pP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ascii="仿宋" w:hAnsi="仿宋" w:eastAsia="仿宋" w:cs="仿宋"/>
          <w:b/>
          <w:color w:val="auto"/>
          <w:kern w:val="0"/>
          <w:sz w:val="32"/>
          <w:szCs w:val="32"/>
          <w:highlight w:val="none"/>
          <w:lang w:val="zh-CN"/>
        </w:rPr>
      </w:pPr>
    </w:p>
    <w:p>
      <w:pPr>
        <w:autoSpaceDE w:val="0"/>
        <w:autoSpaceDN w:val="0"/>
        <w:spacing w:line="360" w:lineRule="auto"/>
        <w:jc w:val="center"/>
        <w:rPr>
          <w:rFonts w:ascii="仿宋" w:hAnsi="仿宋" w:eastAsia="仿宋" w:cs="仿宋"/>
          <w:b/>
          <w:color w:val="auto"/>
          <w:kern w:val="0"/>
          <w:sz w:val="32"/>
          <w:szCs w:val="32"/>
          <w:highlight w:val="none"/>
          <w:lang w:val="zh-CN"/>
        </w:rPr>
      </w:pPr>
    </w:p>
    <w:p>
      <w:pPr>
        <w:autoSpaceDE w:val="0"/>
        <w:autoSpaceDN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147"/>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147"/>
              <w:adjustRightInd w:val="0"/>
              <w:spacing w:line="360" w:lineRule="auto"/>
              <w:rPr>
                <w:rFonts w:ascii="仿宋" w:hAnsi="仿宋" w:eastAsia="仿宋" w:cs="仿宋"/>
                <w:bCs/>
                <w:color w:val="auto"/>
                <w:sz w:val="24"/>
                <w:highlight w:val="none"/>
              </w:rPr>
            </w:pPr>
          </w:p>
        </w:tc>
      </w:tr>
    </w:tbl>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snapToGrid w:val="0"/>
        <w:spacing w:line="360" w:lineRule="auto"/>
        <w:ind w:right="480"/>
        <w:rPr>
          <w:rFonts w:ascii="仿宋" w:hAnsi="仿宋" w:eastAsia="仿宋" w:cs="仿宋"/>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三、分包意向协议（如果有）</w:t>
      </w:r>
    </w:p>
    <w:p>
      <w:pPr>
        <w:widowControl/>
        <w:spacing w:line="360" w:lineRule="auto"/>
        <w:ind w:firstLine="120" w:firstLineChars="50"/>
        <w:jc w:val="left"/>
        <w:rPr>
          <w:rFonts w:ascii="仿宋" w:hAnsi="仿宋" w:eastAsia="仿宋" w:cs="仿宋"/>
          <w:color w:val="auto"/>
          <w:sz w:val="24"/>
          <w:highlight w:val="none"/>
        </w:rPr>
      </w:pPr>
      <w:bookmarkStart w:id="48" w:name="_Hlk101169080"/>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中标后以分包方式履行合同的，提供分包意向协议(附件6)；采购人不同意分包或者投标人中标后不以分包方式履行合同的，则不需要提供。</w:t>
      </w:r>
      <w:r>
        <w:rPr>
          <w:rFonts w:hint="eastAsia" w:ascii="仿宋" w:hAnsi="仿宋" w:eastAsia="仿宋" w:cs="仿宋"/>
          <w:color w:val="auto"/>
          <w:sz w:val="24"/>
          <w:highlight w:val="none"/>
        </w:rPr>
        <w:t>]</w:t>
      </w:r>
    </w:p>
    <w:bookmarkEnd w:id="48"/>
    <w:p>
      <w:pPr>
        <w:snapToGrid w:val="0"/>
        <w:spacing w:line="360" w:lineRule="auto"/>
        <w:rPr>
          <w:rFonts w:ascii="仿宋" w:hAnsi="仿宋" w:eastAsia="仿宋" w:cs="仿宋"/>
          <w:color w:val="auto"/>
          <w:kern w:val="0"/>
          <w:sz w:val="24"/>
          <w:highlight w:val="none"/>
        </w:rPr>
      </w:pPr>
    </w:p>
    <w:p>
      <w:pPr>
        <w:jc w:val="center"/>
        <w:rPr>
          <w:rFonts w:ascii="仿宋" w:hAnsi="仿宋" w:eastAsia="仿宋" w:cs="仿宋"/>
          <w:b/>
          <w:color w:val="auto"/>
          <w:kern w:val="0"/>
          <w:sz w:val="32"/>
          <w:szCs w:val="32"/>
          <w:highlight w:val="none"/>
        </w:rPr>
      </w:pPr>
    </w:p>
    <w:p>
      <w:pPr>
        <w:pStyle w:val="2"/>
        <w:rPr>
          <w:rFonts w:ascii="仿宋" w:eastAsia="仿宋" w:cs="仿宋"/>
          <w:color w:val="auto"/>
          <w:highlight w:val="none"/>
          <w:lang w:val="en-US"/>
        </w:rPr>
      </w:pPr>
    </w:p>
    <w:p>
      <w:pPr>
        <w:rPr>
          <w:rFonts w:ascii="仿宋" w:hAnsi="仿宋" w:eastAsia="仿宋" w:cs="仿宋"/>
          <w:color w:val="auto"/>
          <w:highlight w:val="none"/>
        </w:rPr>
      </w:pPr>
    </w:p>
    <w:p>
      <w:pPr>
        <w:pStyle w:val="2"/>
        <w:rPr>
          <w:rFonts w:ascii="仿宋" w:eastAsia="仿宋" w:cs="仿宋"/>
          <w:color w:val="auto"/>
          <w:highlight w:val="none"/>
          <w:lang w:val="en-US"/>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四、符合性审查资料</w:t>
      </w:r>
    </w:p>
    <w:p>
      <w:pPr>
        <w:jc w:val="center"/>
        <w:rPr>
          <w:rFonts w:ascii="仿宋" w:hAnsi="仿宋" w:eastAsia="仿宋" w:cs="仿宋"/>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tcPr>
          <w:p>
            <w:pPr>
              <w:rPr>
                <w:rFonts w:ascii="仿宋" w:hAnsi="仿宋" w:eastAsia="仿宋" w:cs="仿宋"/>
                <w:color w:val="auto"/>
                <w:sz w:val="24"/>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rPr>
                <w:rFonts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tcPr>
          <w:p>
            <w:pPr>
              <w:rPr>
                <w:rFonts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widowControl/>
        <w:adjustRightInd/>
        <w:jc w:val="left"/>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jc w:val="center"/>
        <w:rPr>
          <w:rFonts w:ascii="仿宋" w:hAnsi="仿宋" w:eastAsia="仿宋" w:cs="仿宋"/>
          <w:color w:val="auto"/>
          <w:highlight w:val="none"/>
        </w:rPr>
      </w:pPr>
      <w:r>
        <w:rPr>
          <w:rFonts w:hint="eastAsia" w:ascii="仿宋" w:hAnsi="仿宋" w:eastAsia="仿宋" w:cs="仿宋"/>
          <w:b/>
          <w:color w:val="auto"/>
          <w:kern w:val="0"/>
          <w:sz w:val="32"/>
          <w:szCs w:val="32"/>
          <w:highlight w:val="none"/>
        </w:rPr>
        <w:t>五、评标标准相应的商务技术资料</w:t>
      </w:r>
    </w:p>
    <w:p>
      <w:pPr>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六、投标标的清单</w:t>
      </w:r>
    </w:p>
    <w:tbl>
      <w:tblPr>
        <w:tblStyle w:val="6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r>
    </w:tbl>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bl>
    <w:p>
      <w:pPr>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ascii="仿宋" w:hAnsi="仿宋" w:eastAsia="仿宋" w:cs="仿宋"/>
          <w:b/>
          <w:color w:val="auto"/>
          <w:kern w:val="0"/>
          <w:sz w:val="32"/>
          <w:szCs w:val="32"/>
          <w:highlight w:val="none"/>
        </w:rPr>
      </w:pP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ind w:firstLine="1911" w:firstLineChars="595"/>
        <w:rPr>
          <w:rFonts w:ascii="仿宋" w:hAnsi="仿宋" w:eastAsia="仿宋" w:cs="仿宋"/>
          <w:b/>
          <w:bCs/>
          <w:color w:val="auto"/>
          <w:sz w:val="32"/>
          <w:szCs w:val="32"/>
          <w:highlight w:val="none"/>
        </w:rPr>
      </w:pPr>
    </w:p>
    <w:p>
      <w:pPr>
        <w:ind w:firstLine="1911" w:firstLineChars="595"/>
        <w:rPr>
          <w:rFonts w:ascii="仿宋" w:hAnsi="仿宋" w:eastAsia="仿宋" w:cs="仿宋"/>
          <w:b/>
          <w:bCs/>
          <w:color w:val="auto"/>
          <w:sz w:val="32"/>
          <w:szCs w:val="32"/>
          <w:highlight w:val="none"/>
        </w:rPr>
      </w:pPr>
    </w:p>
    <w:p>
      <w:pPr>
        <w:ind w:firstLine="1911" w:firstLineChars="595"/>
        <w:rPr>
          <w:rFonts w:ascii="仿宋" w:hAnsi="仿宋" w:eastAsia="仿宋" w:cs="仿宋"/>
          <w:b/>
          <w:bCs/>
          <w:color w:val="auto"/>
          <w:sz w:val="32"/>
          <w:szCs w:val="32"/>
          <w:highlight w:val="none"/>
        </w:rPr>
      </w:pPr>
    </w:p>
    <w:p>
      <w:pPr>
        <w:ind w:firstLine="1911" w:firstLineChars="595"/>
        <w:rPr>
          <w:rFonts w:ascii="仿宋" w:hAnsi="仿宋" w:eastAsia="仿宋" w:cs="仿宋"/>
          <w:b/>
          <w:bCs/>
          <w:color w:val="auto"/>
          <w:sz w:val="32"/>
          <w:szCs w:val="32"/>
          <w:highlight w:val="none"/>
        </w:rPr>
      </w:pPr>
    </w:p>
    <w:p>
      <w:pPr>
        <w:ind w:firstLine="1911" w:firstLineChars="595"/>
        <w:rPr>
          <w:rFonts w:ascii="仿宋" w:hAnsi="仿宋" w:eastAsia="仿宋" w:cs="仿宋"/>
          <w:b/>
          <w:bCs/>
          <w:color w:val="auto"/>
          <w:sz w:val="32"/>
          <w:szCs w:val="32"/>
          <w:highlight w:val="none"/>
        </w:rPr>
      </w:pPr>
    </w:p>
    <w:p>
      <w:pPr>
        <w:widowControl/>
        <w:adjustRightInd/>
        <w:jc w:val="left"/>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br w:type="page"/>
      </w:r>
    </w:p>
    <w:p>
      <w:pPr>
        <w:ind w:firstLine="1911" w:firstLineChars="595"/>
        <w:rPr>
          <w:rFonts w:ascii="仿宋" w:hAnsi="仿宋" w:eastAsia="仿宋" w:cs="仿宋"/>
          <w:b/>
          <w:color w:val="auto"/>
          <w:kern w:val="0"/>
          <w:sz w:val="32"/>
          <w:szCs w:val="32"/>
          <w:highlight w:val="none"/>
        </w:rPr>
      </w:pPr>
      <w:r>
        <w:rPr>
          <w:rFonts w:hint="eastAsia" w:ascii="仿宋" w:hAnsi="仿宋" w:eastAsia="仿宋" w:cs="仿宋"/>
          <w:b/>
          <w:bCs/>
          <w:color w:val="auto"/>
          <w:sz w:val="32"/>
          <w:szCs w:val="32"/>
          <w:highlight w:val="none"/>
        </w:rPr>
        <w:t>八</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ascii="仿宋" w:hAnsi="仿宋" w:eastAsia="仿宋" w:cs="仿宋"/>
          <w:b/>
          <w:bCs/>
          <w:color w:val="auto"/>
          <w:sz w:val="24"/>
          <w:highlight w:val="none"/>
        </w:rPr>
      </w:pP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ascii="仿宋" w:hAnsi="仿宋" w:eastAsia="仿宋" w:cs="仿宋"/>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ascii="仿宋" w:hAnsi="仿宋" w:eastAsia="仿宋" w:cs="仿宋"/>
          <w:b/>
          <w:color w:val="auto"/>
          <w:kern w:val="0"/>
          <w:sz w:val="36"/>
          <w:szCs w:val="36"/>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417"/>
        <w:gridCol w:w="2183"/>
        <w:gridCol w:w="1530"/>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82"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2417"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2183"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品牌（如果有）</w:t>
            </w:r>
          </w:p>
        </w:tc>
        <w:tc>
          <w:tcPr>
            <w:tcW w:w="1530"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规格型号</w:t>
            </w:r>
          </w:p>
        </w:tc>
        <w:tc>
          <w:tcPr>
            <w:tcW w:w="993"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559"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单价</w:t>
            </w:r>
          </w:p>
        </w:tc>
        <w:tc>
          <w:tcPr>
            <w:tcW w:w="1984"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合计</w:t>
            </w:r>
          </w:p>
        </w:tc>
        <w:tc>
          <w:tcPr>
            <w:tcW w:w="3119"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82" w:type="dxa"/>
            <w:vAlign w:val="center"/>
          </w:tcPr>
          <w:p>
            <w:pPr>
              <w:spacing w:line="360" w:lineRule="auto"/>
              <w:jc w:val="center"/>
              <w:rPr>
                <w:rFonts w:ascii="仿宋" w:hAnsi="仿宋" w:eastAsia="仿宋" w:cs="仿宋"/>
                <w:color w:val="auto"/>
                <w:sz w:val="24"/>
                <w:highlight w:val="none"/>
              </w:rPr>
            </w:pPr>
          </w:p>
        </w:tc>
        <w:tc>
          <w:tcPr>
            <w:tcW w:w="2417" w:type="dxa"/>
            <w:vAlign w:val="center"/>
          </w:tcPr>
          <w:p>
            <w:pPr>
              <w:rPr>
                <w:rFonts w:ascii="仿宋" w:hAnsi="仿宋" w:eastAsia="仿宋" w:cs="仿宋"/>
                <w:color w:val="auto"/>
                <w:sz w:val="24"/>
                <w:highlight w:val="none"/>
              </w:rPr>
            </w:pPr>
          </w:p>
        </w:tc>
        <w:tc>
          <w:tcPr>
            <w:tcW w:w="2183" w:type="dxa"/>
            <w:vAlign w:val="center"/>
          </w:tcPr>
          <w:p>
            <w:pPr>
              <w:snapToGrid w:val="0"/>
              <w:spacing w:line="360" w:lineRule="auto"/>
              <w:jc w:val="center"/>
              <w:rPr>
                <w:rFonts w:ascii="仿宋" w:hAnsi="仿宋" w:eastAsia="仿宋" w:cs="仿宋"/>
                <w:color w:val="auto"/>
                <w:sz w:val="24"/>
                <w:highlight w:val="none"/>
              </w:rPr>
            </w:pPr>
          </w:p>
        </w:tc>
        <w:tc>
          <w:tcPr>
            <w:tcW w:w="1530"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82" w:type="dxa"/>
            <w:vAlign w:val="center"/>
          </w:tcPr>
          <w:p>
            <w:pPr>
              <w:spacing w:line="360" w:lineRule="auto"/>
              <w:jc w:val="center"/>
              <w:rPr>
                <w:rFonts w:ascii="仿宋" w:hAnsi="仿宋" w:eastAsia="仿宋" w:cs="仿宋"/>
                <w:color w:val="auto"/>
                <w:sz w:val="24"/>
                <w:highlight w:val="none"/>
              </w:rPr>
            </w:pPr>
          </w:p>
        </w:tc>
        <w:tc>
          <w:tcPr>
            <w:tcW w:w="2417" w:type="dxa"/>
            <w:vAlign w:val="center"/>
          </w:tcPr>
          <w:p>
            <w:pPr>
              <w:rPr>
                <w:rFonts w:ascii="仿宋" w:hAnsi="仿宋" w:eastAsia="仿宋" w:cs="仿宋"/>
                <w:color w:val="auto"/>
                <w:sz w:val="24"/>
                <w:highlight w:val="none"/>
              </w:rPr>
            </w:pPr>
          </w:p>
        </w:tc>
        <w:tc>
          <w:tcPr>
            <w:tcW w:w="2183" w:type="dxa"/>
            <w:vAlign w:val="center"/>
          </w:tcPr>
          <w:p>
            <w:pPr>
              <w:snapToGrid w:val="0"/>
              <w:spacing w:line="360" w:lineRule="auto"/>
              <w:jc w:val="center"/>
              <w:rPr>
                <w:rFonts w:ascii="仿宋" w:hAnsi="仿宋" w:eastAsia="仿宋" w:cs="仿宋"/>
                <w:color w:val="auto"/>
                <w:sz w:val="24"/>
                <w:highlight w:val="none"/>
              </w:rPr>
            </w:pPr>
          </w:p>
        </w:tc>
        <w:tc>
          <w:tcPr>
            <w:tcW w:w="1530"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82" w:type="dxa"/>
            <w:vAlign w:val="center"/>
          </w:tcPr>
          <w:p>
            <w:pPr>
              <w:spacing w:line="360" w:lineRule="auto"/>
              <w:jc w:val="center"/>
              <w:rPr>
                <w:rFonts w:ascii="仿宋" w:hAnsi="仿宋" w:eastAsia="仿宋" w:cs="仿宋"/>
                <w:color w:val="auto"/>
                <w:sz w:val="24"/>
                <w:highlight w:val="none"/>
              </w:rPr>
            </w:pPr>
          </w:p>
        </w:tc>
        <w:tc>
          <w:tcPr>
            <w:tcW w:w="2417" w:type="dxa"/>
            <w:vAlign w:val="center"/>
          </w:tcPr>
          <w:p>
            <w:pPr>
              <w:rPr>
                <w:rFonts w:ascii="仿宋" w:hAnsi="仿宋" w:eastAsia="仿宋" w:cs="仿宋"/>
                <w:color w:val="auto"/>
                <w:sz w:val="24"/>
                <w:highlight w:val="none"/>
              </w:rPr>
            </w:pPr>
          </w:p>
        </w:tc>
        <w:tc>
          <w:tcPr>
            <w:tcW w:w="2183" w:type="dxa"/>
            <w:vAlign w:val="center"/>
          </w:tcPr>
          <w:p>
            <w:pPr>
              <w:snapToGrid w:val="0"/>
              <w:spacing w:line="360" w:lineRule="auto"/>
              <w:jc w:val="center"/>
              <w:rPr>
                <w:rFonts w:ascii="仿宋" w:hAnsi="仿宋" w:eastAsia="仿宋" w:cs="仿宋"/>
                <w:color w:val="auto"/>
                <w:sz w:val="24"/>
                <w:highlight w:val="none"/>
              </w:rPr>
            </w:pPr>
          </w:p>
        </w:tc>
        <w:tc>
          <w:tcPr>
            <w:tcW w:w="1530"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82" w:type="dxa"/>
            <w:vAlign w:val="center"/>
          </w:tcPr>
          <w:p>
            <w:pPr>
              <w:spacing w:line="360" w:lineRule="auto"/>
              <w:jc w:val="center"/>
              <w:rPr>
                <w:rFonts w:ascii="仿宋" w:hAnsi="仿宋" w:eastAsia="仿宋" w:cs="仿宋"/>
                <w:color w:val="auto"/>
                <w:sz w:val="24"/>
                <w:highlight w:val="none"/>
              </w:rPr>
            </w:pPr>
          </w:p>
        </w:tc>
        <w:tc>
          <w:tcPr>
            <w:tcW w:w="2417" w:type="dxa"/>
            <w:vAlign w:val="center"/>
          </w:tcPr>
          <w:p>
            <w:pPr>
              <w:rPr>
                <w:rFonts w:ascii="仿宋" w:hAnsi="仿宋" w:eastAsia="仿宋" w:cs="仿宋"/>
                <w:color w:val="auto"/>
                <w:sz w:val="24"/>
                <w:highlight w:val="none"/>
              </w:rPr>
            </w:pPr>
          </w:p>
        </w:tc>
        <w:tc>
          <w:tcPr>
            <w:tcW w:w="2183" w:type="dxa"/>
            <w:vAlign w:val="center"/>
          </w:tcPr>
          <w:p>
            <w:pPr>
              <w:snapToGrid w:val="0"/>
              <w:spacing w:line="360" w:lineRule="auto"/>
              <w:jc w:val="center"/>
              <w:rPr>
                <w:rFonts w:ascii="仿宋" w:hAnsi="仿宋" w:eastAsia="仿宋" w:cs="仿宋"/>
                <w:color w:val="auto"/>
                <w:sz w:val="24"/>
                <w:highlight w:val="none"/>
              </w:rPr>
            </w:pPr>
          </w:p>
        </w:tc>
        <w:tc>
          <w:tcPr>
            <w:tcW w:w="1530"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82" w:type="dxa"/>
            <w:vAlign w:val="center"/>
          </w:tcPr>
          <w:p>
            <w:pPr>
              <w:spacing w:line="360" w:lineRule="auto"/>
              <w:jc w:val="center"/>
              <w:rPr>
                <w:rFonts w:ascii="仿宋" w:hAnsi="仿宋" w:eastAsia="仿宋" w:cs="仿宋"/>
                <w:color w:val="auto"/>
                <w:sz w:val="24"/>
                <w:highlight w:val="none"/>
              </w:rPr>
            </w:pPr>
          </w:p>
        </w:tc>
        <w:tc>
          <w:tcPr>
            <w:tcW w:w="2417" w:type="dxa"/>
            <w:vAlign w:val="center"/>
          </w:tcPr>
          <w:p>
            <w:pPr>
              <w:rPr>
                <w:rFonts w:ascii="仿宋" w:hAnsi="仿宋" w:eastAsia="仿宋" w:cs="仿宋"/>
                <w:color w:val="auto"/>
                <w:sz w:val="24"/>
                <w:highlight w:val="none"/>
              </w:rPr>
            </w:pPr>
          </w:p>
        </w:tc>
        <w:tc>
          <w:tcPr>
            <w:tcW w:w="2183" w:type="dxa"/>
            <w:vAlign w:val="center"/>
          </w:tcPr>
          <w:p>
            <w:pPr>
              <w:snapToGrid w:val="0"/>
              <w:spacing w:line="360" w:lineRule="auto"/>
              <w:jc w:val="center"/>
              <w:rPr>
                <w:rFonts w:ascii="仿宋" w:hAnsi="仿宋" w:eastAsia="仿宋" w:cs="仿宋"/>
                <w:color w:val="auto"/>
                <w:sz w:val="24"/>
                <w:highlight w:val="none"/>
              </w:rPr>
            </w:pPr>
          </w:p>
        </w:tc>
        <w:tc>
          <w:tcPr>
            <w:tcW w:w="1530"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82" w:type="dxa"/>
            <w:vAlign w:val="center"/>
          </w:tcPr>
          <w:p>
            <w:pPr>
              <w:spacing w:line="360" w:lineRule="auto"/>
              <w:jc w:val="center"/>
              <w:rPr>
                <w:rFonts w:ascii="仿宋" w:hAnsi="仿宋" w:eastAsia="仿宋" w:cs="仿宋"/>
                <w:color w:val="auto"/>
                <w:sz w:val="24"/>
                <w:highlight w:val="none"/>
              </w:rPr>
            </w:pPr>
          </w:p>
        </w:tc>
        <w:tc>
          <w:tcPr>
            <w:tcW w:w="2417" w:type="dxa"/>
            <w:vAlign w:val="center"/>
          </w:tcPr>
          <w:p>
            <w:pPr>
              <w:rPr>
                <w:rFonts w:ascii="仿宋" w:hAnsi="仿宋" w:eastAsia="仿宋" w:cs="仿宋"/>
                <w:color w:val="auto"/>
                <w:sz w:val="24"/>
                <w:highlight w:val="none"/>
              </w:rPr>
            </w:pPr>
          </w:p>
        </w:tc>
        <w:tc>
          <w:tcPr>
            <w:tcW w:w="2183" w:type="dxa"/>
            <w:vAlign w:val="center"/>
          </w:tcPr>
          <w:p>
            <w:pPr>
              <w:snapToGrid w:val="0"/>
              <w:spacing w:line="360" w:lineRule="auto"/>
              <w:jc w:val="center"/>
              <w:rPr>
                <w:rFonts w:ascii="仿宋" w:hAnsi="仿宋" w:eastAsia="仿宋" w:cs="仿宋"/>
                <w:color w:val="auto"/>
                <w:sz w:val="24"/>
                <w:highlight w:val="none"/>
              </w:rPr>
            </w:pPr>
          </w:p>
        </w:tc>
        <w:tc>
          <w:tcPr>
            <w:tcW w:w="1530"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82" w:type="dxa"/>
            <w:vAlign w:val="center"/>
          </w:tcPr>
          <w:p>
            <w:pPr>
              <w:spacing w:line="360" w:lineRule="auto"/>
              <w:jc w:val="center"/>
              <w:rPr>
                <w:rFonts w:ascii="仿宋" w:hAnsi="仿宋" w:eastAsia="仿宋" w:cs="仿宋"/>
                <w:color w:val="auto"/>
                <w:sz w:val="24"/>
                <w:highlight w:val="none"/>
              </w:rPr>
            </w:pPr>
          </w:p>
        </w:tc>
        <w:tc>
          <w:tcPr>
            <w:tcW w:w="2417" w:type="dxa"/>
            <w:vAlign w:val="center"/>
          </w:tcPr>
          <w:p>
            <w:pPr>
              <w:rPr>
                <w:rFonts w:ascii="仿宋" w:hAnsi="仿宋" w:eastAsia="仿宋" w:cs="仿宋"/>
                <w:color w:val="auto"/>
                <w:sz w:val="24"/>
                <w:highlight w:val="none"/>
              </w:rPr>
            </w:pPr>
          </w:p>
        </w:tc>
        <w:tc>
          <w:tcPr>
            <w:tcW w:w="2183" w:type="dxa"/>
            <w:vAlign w:val="center"/>
          </w:tcPr>
          <w:p>
            <w:pPr>
              <w:snapToGrid w:val="0"/>
              <w:spacing w:line="360" w:lineRule="auto"/>
              <w:jc w:val="center"/>
              <w:rPr>
                <w:rFonts w:ascii="仿宋" w:hAnsi="仿宋" w:eastAsia="仿宋" w:cs="仿宋"/>
                <w:color w:val="auto"/>
                <w:sz w:val="24"/>
                <w:highlight w:val="none"/>
              </w:rPr>
            </w:pPr>
          </w:p>
        </w:tc>
        <w:tc>
          <w:tcPr>
            <w:tcW w:w="1530"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82" w:type="dxa"/>
            <w:vAlign w:val="center"/>
          </w:tcPr>
          <w:p>
            <w:pPr>
              <w:spacing w:line="360" w:lineRule="auto"/>
              <w:jc w:val="center"/>
              <w:rPr>
                <w:rFonts w:ascii="仿宋" w:hAnsi="仿宋" w:eastAsia="仿宋" w:cs="仿宋"/>
                <w:color w:val="auto"/>
                <w:sz w:val="24"/>
                <w:highlight w:val="none"/>
              </w:rPr>
            </w:pPr>
          </w:p>
        </w:tc>
        <w:tc>
          <w:tcPr>
            <w:tcW w:w="2417" w:type="dxa"/>
            <w:vAlign w:val="center"/>
          </w:tcPr>
          <w:p>
            <w:pPr>
              <w:rPr>
                <w:rFonts w:ascii="仿宋" w:hAnsi="仿宋" w:eastAsia="仿宋" w:cs="仿宋"/>
                <w:color w:val="auto"/>
                <w:sz w:val="24"/>
                <w:highlight w:val="none"/>
              </w:rPr>
            </w:pPr>
          </w:p>
        </w:tc>
        <w:tc>
          <w:tcPr>
            <w:tcW w:w="2183" w:type="dxa"/>
            <w:vAlign w:val="center"/>
          </w:tcPr>
          <w:p>
            <w:pPr>
              <w:snapToGrid w:val="0"/>
              <w:spacing w:line="360" w:lineRule="auto"/>
              <w:jc w:val="center"/>
              <w:rPr>
                <w:rFonts w:ascii="仿宋" w:hAnsi="仿宋" w:eastAsia="仿宋" w:cs="仿宋"/>
                <w:color w:val="auto"/>
                <w:sz w:val="24"/>
                <w:highlight w:val="none"/>
              </w:rPr>
            </w:pPr>
          </w:p>
        </w:tc>
        <w:tc>
          <w:tcPr>
            <w:tcW w:w="1530"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82" w:type="dxa"/>
            <w:vAlign w:val="center"/>
          </w:tcPr>
          <w:p>
            <w:pPr>
              <w:spacing w:line="360" w:lineRule="auto"/>
              <w:jc w:val="center"/>
              <w:rPr>
                <w:rFonts w:ascii="仿宋" w:hAnsi="仿宋" w:eastAsia="仿宋" w:cs="仿宋"/>
                <w:color w:val="auto"/>
                <w:sz w:val="24"/>
                <w:highlight w:val="none"/>
              </w:rPr>
            </w:pPr>
          </w:p>
        </w:tc>
        <w:tc>
          <w:tcPr>
            <w:tcW w:w="2417" w:type="dxa"/>
            <w:vAlign w:val="center"/>
          </w:tcPr>
          <w:p>
            <w:pPr>
              <w:rPr>
                <w:rFonts w:ascii="仿宋" w:hAnsi="仿宋" w:eastAsia="仿宋" w:cs="仿宋"/>
                <w:color w:val="auto"/>
                <w:sz w:val="24"/>
                <w:highlight w:val="none"/>
              </w:rPr>
            </w:pPr>
          </w:p>
        </w:tc>
        <w:tc>
          <w:tcPr>
            <w:tcW w:w="2183" w:type="dxa"/>
            <w:vAlign w:val="center"/>
          </w:tcPr>
          <w:p>
            <w:pPr>
              <w:snapToGrid w:val="0"/>
              <w:spacing w:line="360" w:lineRule="auto"/>
              <w:jc w:val="center"/>
              <w:rPr>
                <w:rFonts w:ascii="仿宋" w:hAnsi="仿宋" w:eastAsia="仿宋" w:cs="仿宋"/>
                <w:color w:val="auto"/>
                <w:sz w:val="24"/>
                <w:highlight w:val="none"/>
              </w:rPr>
            </w:pPr>
          </w:p>
        </w:tc>
        <w:tc>
          <w:tcPr>
            <w:tcW w:w="1530"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82" w:type="dxa"/>
            <w:vAlign w:val="center"/>
          </w:tcPr>
          <w:p>
            <w:pPr>
              <w:spacing w:line="360" w:lineRule="auto"/>
              <w:jc w:val="center"/>
              <w:rPr>
                <w:rFonts w:ascii="仿宋" w:hAnsi="仿宋" w:eastAsia="仿宋" w:cs="仿宋"/>
                <w:color w:val="auto"/>
                <w:sz w:val="24"/>
                <w:highlight w:val="none"/>
              </w:rPr>
            </w:pPr>
          </w:p>
        </w:tc>
        <w:tc>
          <w:tcPr>
            <w:tcW w:w="2417" w:type="dxa"/>
            <w:vAlign w:val="center"/>
          </w:tcPr>
          <w:p>
            <w:pPr>
              <w:rPr>
                <w:rFonts w:ascii="仿宋" w:hAnsi="仿宋" w:eastAsia="仿宋" w:cs="仿宋"/>
                <w:color w:val="auto"/>
                <w:sz w:val="24"/>
                <w:highlight w:val="none"/>
              </w:rPr>
            </w:pPr>
          </w:p>
        </w:tc>
        <w:tc>
          <w:tcPr>
            <w:tcW w:w="2183" w:type="dxa"/>
            <w:vAlign w:val="center"/>
          </w:tcPr>
          <w:p>
            <w:pPr>
              <w:snapToGrid w:val="0"/>
              <w:spacing w:line="360" w:lineRule="auto"/>
              <w:jc w:val="center"/>
              <w:rPr>
                <w:rFonts w:ascii="仿宋" w:hAnsi="仿宋" w:eastAsia="仿宋" w:cs="仿宋"/>
                <w:color w:val="auto"/>
                <w:sz w:val="24"/>
                <w:highlight w:val="none"/>
              </w:rPr>
            </w:pPr>
          </w:p>
        </w:tc>
        <w:tc>
          <w:tcPr>
            <w:tcW w:w="1530"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82" w:type="dxa"/>
            <w:vAlign w:val="center"/>
          </w:tcPr>
          <w:p>
            <w:pPr>
              <w:spacing w:line="360" w:lineRule="auto"/>
              <w:jc w:val="center"/>
              <w:rPr>
                <w:rFonts w:ascii="仿宋" w:hAnsi="仿宋" w:eastAsia="仿宋" w:cs="仿宋"/>
                <w:color w:val="auto"/>
                <w:sz w:val="24"/>
                <w:highlight w:val="none"/>
              </w:rPr>
            </w:pPr>
          </w:p>
        </w:tc>
        <w:tc>
          <w:tcPr>
            <w:tcW w:w="2417" w:type="dxa"/>
            <w:vAlign w:val="center"/>
          </w:tcPr>
          <w:p>
            <w:pPr>
              <w:rPr>
                <w:rFonts w:ascii="仿宋" w:hAnsi="仿宋" w:eastAsia="仿宋" w:cs="仿宋"/>
                <w:color w:val="auto"/>
                <w:sz w:val="24"/>
                <w:highlight w:val="none"/>
              </w:rPr>
            </w:pPr>
          </w:p>
        </w:tc>
        <w:tc>
          <w:tcPr>
            <w:tcW w:w="2183" w:type="dxa"/>
            <w:vAlign w:val="center"/>
          </w:tcPr>
          <w:p>
            <w:pPr>
              <w:snapToGrid w:val="0"/>
              <w:spacing w:line="360" w:lineRule="auto"/>
              <w:jc w:val="center"/>
              <w:rPr>
                <w:rFonts w:ascii="仿宋" w:hAnsi="仿宋" w:eastAsia="仿宋" w:cs="仿宋"/>
                <w:color w:val="auto"/>
                <w:sz w:val="24"/>
                <w:highlight w:val="none"/>
              </w:rPr>
            </w:pPr>
          </w:p>
        </w:tc>
        <w:tc>
          <w:tcPr>
            <w:tcW w:w="1530"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82" w:type="dxa"/>
            <w:vAlign w:val="center"/>
          </w:tcPr>
          <w:p>
            <w:pPr>
              <w:spacing w:line="360" w:lineRule="auto"/>
              <w:jc w:val="center"/>
              <w:rPr>
                <w:rFonts w:ascii="仿宋" w:hAnsi="仿宋" w:eastAsia="仿宋" w:cs="仿宋"/>
                <w:color w:val="auto"/>
                <w:sz w:val="24"/>
                <w:highlight w:val="none"/>
              </w:rPr>
            </w:pPr>
          </w:p>
        </w:tc>
        <w:tc>
          <w:tcPr>
            <w:tcW w:w="2417" w:type="dxa"/>
            <w:vAlign w:val="center"/>
          </w:tcPr>
          <w:p>
            <w:pPr>
              <w:rPr>
                <w:rFonts w:ascii="仿宋" w:hAnsi="仿宋" w:eastAsia="仿宋" w:cs="仿宋"/>
                <w:color w:val="auto"/>
                <w:sz w:val="24"/>
                <w:highlight w:val="none"/>
              </w:rPr>
            </w:pPr>
          </w:p>
        </w:tc>
        <w:tc>
          <w:tcPr>
            <w:tcW w:w="2183" w:type="dxa"/>
            <w:vAlign w:val="center"/>
          </w:tcPr>
          <w:p>
            <w:pPr>
              <w:snapToGrid w:val="0"/>
              <w:spacing w:line="360" w:lineRule="auto"/>
              <w:jc w:val="center"/>
              <w:rPr>
                <w:rFonts w:ascii="仿宋" w:hAnsi="仿宋" w:eastAsia="仿宋" w:cs="仿宋"/>
                <w:color w:val="auto"/>
                <w:sz w:val="24"/>
                <w:highlight w:val="none"/>
              </w:rPr>
            </w:pPr>
          </w:p>
        </w:tc>
        <w:tc>
          <w:tcPr>
            <w:tcW w:w="1530"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82" w:type="dxa"/>
            <w:vAlign w:val="center"/>
          </w:tcPr>
          <w:p>
            <w:pPr>
              <w:spacing w:line="360" w:lineRule="auto"/>
              <w:jc w:val="center"/>
              <w:rPr>
                <w:rFonts w:ascii="仿宋" w:hAnsi="仿宋" w:eastAsia="仿宋" w:cs="仿宋"/>
                <w:color w:val="auto"/>
                <w:sz w:val="24"/>
                <w:highlight w:val="none"/>
              </w:rPr>
            </w:pPr>
          </w:p>
        </w:tc>
        <w:tc>
          <w:tcPr>
            <w:tcW w:w="2417" w:type="dxa"/>
            <w:vAlign w:val="center"/>
          </w:tcPr>
          <w:p>
            <w:pPr>
              <w:rPr>
                <w:rFonts w:ascii="仿宋" w:hAnsi="仿宋" w:eastAsia="仿宋" w:cs="仿宋"/>
                <w:color w:val="auto"/>
                <w:sz w:val="24"/>
                <w:highlight w:val="none"/>
              </w:rPr>
            </w:pPr>
          </w:p>
        </w:tc>
        <w:tc>
          <w:tcPr>
            <w:tcW w:w="2183" w:type="dxa"/>
            <w:vAlign w:val="center"/>
          </w:tcPr>
          <w:p>
            <w:pPr>
              <w:snapToGrid w:val="0"/>
              <w:spacing w:line="360" w:lineRule="auto"/>
              <w:jc w:val="center"/>
              <w:rPr>
                <w:rFonts w:ascii="仿宋" w:hAnsi="仿宋" w:eastAsia="仿宋" w:cs="仿宋"/>
                <w:color w:val="auto"/>
                <w:sz w:val="24"/>
                <w:highlight w:val="none"/>
              </w:rPr>
            </w:pPr>
          </w:p>
        </w:tc>
        <w:tc>
          <w:tcPr>
            <w:tcW w:w="1530"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82" w:type="dxa"/>
            <w:vAlign w:val="center"/>
          </w:tcPr>
          <w:p>
            <w:pPr>
              <w:spacing w:line="360" w:lineRule="auto"/>
              <w:jc w:val="center"/>
              <w:rPr>
                <w:rFonts w:ascii="仿宋" w:hAnsi="仿宋" w:eastAsia="仿宋" w:cs="仿宋"/>
                <w:color w:val="auto"/>
                <w:sz w:val="24"/>
                <w:highlight w:val="none"/>
              </w:rPr>
            </w:pPr>
          </w:p>
        </w:tc>
        <w:tc>
          <w:tcPr>
            <w:tcW w:w="2417" w:type="dxa"/>
            <w:vAlign w:val="center"/>
          </w:tcPr>
          <w:p>
            <w:pPr>
              <w:rPr>
                <w:rFonts w:ascii="仿宋" w:hAnsi="仿宋" w:eastAsia="仿宋" w:cs="仿宋"/>
                <w:color w:val="auto"/>
                <w:sz w:val="24"/>
                <w:highlight w:val="none"/>
              </w:rPr>
            </w:pPr>
          </w:p>
        </w:tc>
        <w:tc>
          <w:tcPr>
            <w:tcW w:w="2183" w:type="dxa"/>
            <w:vAlign w:val="center"/>
          </w:tcPr>
          <w:p>
            <w:pPr>
              <w:snapToGrid w:val="0"/>
              <w:spacing w:line="360" w:lineRule="auto"/>
              <w:jc w:val="center"/>
              <w:rPr>
                <w:rFonts w:ascii="仿宋" w:hAnsi="仿宋" w:eastAsia="仿宋" w:cs="仿宋"/>
                <w:color w:val="auto"/>
                <w:sz w:val="24"/>
                <w:highlight w:val="none"/>
              </w:rPr>
            </w:pPr>
          </w:p>
        </w:tc>
        <w:tc>
          <w:tcPr>
            <w:tcW w:w="1530"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82" w:type="dxa"/>
            <w:vAlign w:val="center"/>
          </w:tcPr>
          <w:p>
            <w:pPr>
              <w:spacing w:line="360" w:lineRule="auto"/>
              <w:jc w:val="center"/>
              <w:rPr>
                <w:rFonts w:ascii="仿宋" w:hAnsi="仿宋" w:eastAsia="仿宋" w:cs="仿宋"/>
                <w:color w:val="auto"/>
                <w:sz w:val="24"/>
                <w:highlight w:val="none"/>
              </w:rPr>
            </w:pPr>
          </w:p>
        </w:tc>
        <w:tc>
          <w:tcPr>
            <w:tcW w:w="2417" w:type="dxa"/>
            <w:vAlign w:val="center"/>
          </w:tcPr>
          <w:p>
            <w:pPr>
              <w:rPr>
                <w:rFonts w:ascii="仿宋" w:hAnsi="仿宋" w:eastAsia="仿宋" w:cs="仿宋"/>
                <w:color w:val="auto"/>
                <w:sz w:val="24"/>
                <w:highlight w:val="none"/>
              </w:rPr>
            </w:pPr>
          </w:p>
        </w:tc>
        <w:tc>
          <w:tcPr>
            <w:tcW w:w="2183" w:type="dxa"/>
            <w:vAlign w:val="center"/>
          </w:tcPr>
          <w:p>
            <w:pPr>
              <w:snapToGrid w:val="0"/>
              <w:spacing w:line="360" w:lineRule="auto"/>
              <w:jc w:val="center"/>
              <w:rPr>
                <w:rFonts w:ascii="仿宋" w:hAnsi="仿宋" w:eastAsia="仿宋" w:cs="仿宋"/>
                <w:color w:val="auto"/>
                <w:sz w:val="24"/>
                <w:highlight w:val="none"/>
              </w:rPr>
            </w:pPr>
          </w:p>
        </w:tc>
        <w:tc>
          <w:tcPr>
            <w:tcW w:w="1530"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投标报价（小写）</w:t>
            </w:r>
          </w:p>
        </w:tc>
        <w:tc>
          <w:tcPr>
            <w:tcW w:w="7655" w:type="dxa"/>
            <w:gridSpan w:val="4"/>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投标报价（大写）</w:t>
            </w:r>
          </w:p>
        </w:tc>
        <w:tc>
          <w:tcPr>
            <w:tcW w:w="7655" w:type="dxa"/>
            <w:gridSpan w:val="4"/>
            <w:vAlign w:val="center"/>
          </w:tcPr>
          <w:p>
            <w:pPr>
              <w:spacing w:line="360" w:lineRule="auto"/>
              <w:jc w:val="center"/>
              <w:rPr>
                <w:rFonts w:ascii="仿宋" w:hAnsi="仿宋" w:eastAsia="仿宋" w:cs="仿宋"/>
                <w:color w:val="auto"/>
                <w:sz w:val="24"/>
                <w:highlight w:val="none"/>
              </w:rPr>
            </w:pPr>
          </w:p>
        </w:tc>
      </w:tr>
    </w:tbl>
    <w:p>
      <w:pPr>
        <w:snapToGrid w:val="0"/>
        <w:spacing w:line="360" w:lineRule="auto"/>
        <w:ind w:left="480"/>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firstLine="480" w:firstLineChars="200"/>
        <w:rPr>
          <w:rFonts w:ascii="仿宋" w:hAnsi="仿宋" w:eastAsia="仿宋" w:cs="仿宋"/>
          <w:b/>
          <w:color w:val="auto"/>
          <w:kern w:val="0"/>
          <w:sz w:val="24"/>
          <w:highlight w:val="none"/>
        </w:rPr>
      </w:pPr>
      <w:r>
        <w:rPr>
          <w:rFonts w:hint="eastAsia" w:ascii="仿宋" w:hAnsi="仿宋" w:eastAsia="仿宋" w:cs="仿宋"/>
          <w:color w:val="auto"/>
          <w:kern w:val="0"/>
          <w:sz w:val="24"/>
          <w:highlight w:val="none"/>
          <w:lang w:val="zh-CN"/>
        </w:rPr>
        <w:t>1、</w:t>
      </w:r>
      <w:r>
        <w:rPr>
          <w:rFonts w:hint="eastAsia" w:ascii="仿宋" w:hAnsi="仿宋" w:eastAsia="仿宋" w:cs="仿宋"/>
          <w:b/>
          <w:color w:val="auto"/>
          <w:sz w:val="24"/>
          <w:highlight w:val="none"/>
        </w:rPr>
        <w:t>▲投标人需在开标一览表中明确投标报价（总价）及以上各分项小计报价，各分项小计报价不得超过各最高限价。</w:t>
      </w:r>
    </w:p>
    <w:p>
      <w:pPr>
        <w:spacing w:line="360" w:lineRule="auto"/>
        <w:ind w:left="-2" w:leftChars="-1"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2、</w:t>
      </w:r>
      <w:r>
        <w:rPr>
          <w:rFonts w:hint="eastAsia" w:ascii="仿宋" w:hAnsi="仿宋" w:eastAsia="仿宋" w:cs="仿宋"/>
          <w:color w:val="auto"/>
          <w:kern w:val="0"/>
          <w:sz w:val="24"/>
          <w:highlight w:val="none"/>
          <w:lang w:val="zh-CN"/>
        </w:rPr>
        <w:t>投标人需按本表格式填写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color w:val="auto"/>
          <w:kern w:val="0"/>
          <w:sz w:val="24"/>
          <w:highlight w:val="none"/>
          <w:lang w:val="zh-CN"/>
        </w:rPr>
        <w:t>。</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zh-CN"/>
        </w:rPr>
        <w:t>、有关本项目实施所涉及的一切费用均计入报价。有关本项目实施所涉及的一切费用均计入报价。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b/>
          <w:color w:val="auto"/>
          <w:kern w:val="0"/>
          <w:sz w:val="24"/>
          <w:highlight w:val="none"/>
        </w:rPr>
        <w:t>视为</w:t>
      </w:r>
      <w:r>
        <w:rPr>
          <w:rFonts w:hint="eastAsia" w:ascii="仿宋" w:hAnsi="仿宋" w:eastAsia="仿宋" w:cs="仿宋"/>
          <w:b/>
          <w:color w:val="auto"/>
          <w:sz w:val="24"/>
          <w:highlight w:val="none"/>
        </w:rPr>
        <w:t>投标文件含有采购人不能接受的附加条件的，投标无效。</w:t>
      </w:r>
    </w:p>
    <w:p>
      <w:pPr>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4</w:t>
      </w:r>
      <w:r>
        <w:rPr>
          <w:rFonts w:hint="eastAsia" w:ascii="仿宋" w:hAnsi="仿宋" w:eastAsia="仿宋" w:cs="仿宋"/>
          <w:color w:val="auto"/>
          <w:kern w:val="0"/>
          <w:sz w:val="24"/>
          <w:highlight w:val="none"/>
          <w:lang w:val="zh-CN"/>
        </w:rPr>
        <w:t>、特别提示：采购代理机构将对项目名称和项目编号，中标供应商名称、地址和中标金额，主要中标标的名称、品牌（如果有）、规格型号、数量、单价等予以公示。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rPr>
        <w:t>5</w:t>
      </w:r>
      <w:r>
        <w:rPr>
          <w:rFonts w:hint="eastAsia" w:ascii="仿宋" w:hAnsi="仿宋" w:eastAsia="仿宋" w:cs="仿宋"/>
          <w:color w:val="auto"/>
          <w:kern w:val="0"/>
          <w:sz w:val="24"/>
          <w:szCs w:val="22"/>
          <w:highlight w:val="none"/>
          <w:lang w:val="zh-CN"/>
        </w:rPr>
        <w:t>、</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color w:val="auto"/>
          <w:sz w:val="32"/>
          <w:szCs w:val="32"/>
          <w:highlight w:val="none"/>
        </w:rPr>
      </w:pPr>
      <w:r>
        <w:rPr>
          <w:rFonts w:hint="eastAsia" w:ascii="仿宋" w:hAnsi="仿宋" w:eastAsia="仿宋" w:cs="仿宋"/>
          <w:b/>
          <w:color w:val="auto"/>
          <w:sz w:val="24"/>
          <w:highlight w:val="none"/>
        </w:rPr>
        <w:t>6、特别说明：▲供应商报价低于项目预算50%的，应当在报价文件中详细阐述不影响产品质量或者诚信履约的具体原因，未做阐述说明的，投标无效。</w:t>
      </w:r>
    </w:p>
    <w:p>
      <w:pPr>
        <w:pStyle w:val="690"/>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bookmarkStart w:id="49" w:name="_Hlk101259491"/>
      <w:r>
        <w:rPr>
          <w:rFonts w:hint="eastAsia" w:ascii="仿宋" w:hAnsi="仿宋" w:eastAsia="仿宋" w:cs="仿宋"/>
          <w:color w:val="auto"/>
          <w:sz w:val="32"/>
          <w:szCs w:val="32"/>
          <w:highlight w:val="none"/>
        </w:rPr>
        <w:t>（如果有）</w:t>
      </w:r>
      <w:bookmarkEnd w:id="49"/>
    </w:p>
    <w:p>
      <w:pPr>
        <w:widowControl/>
        <w:spacing w:line="360" w:lineRule="auto"/>
        <w:ind w:firstLine="120" w:firstLineChars="50"/>
        <w:jc w:val="left"/>
        <w:rPr>
          <w:rFonts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0"/>
        <w:keepNext w:val="0"/>
        <w:pageBreakBefore w:val="0"/>
        <w:tabs>
          <w:tab w:val="clear" w:pos="720"/>
        </w:tabs>
        <w:snapToGrid w:val="0"/>
        <w:spacing w:before="120" w:after="120"/>
        <w:ind w:firstLine="643"/>
        <w:outlineLvl w:val="9"/>
        <w:rPr>
          <w:rFonts w:ascii="仿宋" w:hAnsi="仿宋" w:eastAsia="仿宋" w:cs="仿宋"/>
          <w:b w:val="0"/>
          <w:color w:val="auto"/>
          <w:sz w:val="32"/>
          <w:szCs w:val="32"/>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仿宋" w:hAnsi="仿宋" w:eastAsia="仿宋" w:cs="仿宋"/>
          <w:color w:val="auto"/>
          <w:highlight w:val="none"/>
        </w:rPr>
      </w:pPr>
      <w:bookmarkStart w:id="50" w:name="_Toc465665161"/>
      <w:r>
        <w:rPr>
          <w:rFonts w:hint="eastAsia" w:ascii="仿宋" w:hAnsi="仿宋" w:eastAsia="仿宋" w:cs="仿宋"/>
          <w:color w:val="auto"/>
          <w:highlight w:val="none"/>
        </w:rPr>
        <w:t>附件</w:t>
      </w:r>
      <w:bookmarkEnd w:id="50"/>
    </w:p>
    <w:p>
      <w:pPr>
        <w:spacing w:line="360" w:lineRule="auto"/>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ascii="仿宋" w:hAnsi="仿宋" w:eastAsia="仿宋" w:cs="仿宋"/>
          <w:b/>
          <w:color w:val="auto"/>
          <w:spacing w:val="6"/>
          <w:sz w:val="32"/>
          <w:szCs w:val="32"/>
          <w:highlight w:val="none"/>
        </w:rPr>
      </w:pPr>
      <w:bookmarkStart w:id="51" w:name="OLE_LINK14"/>
      <w:bookmarkStart w:id="52" w:name="OLE_LINK13"/>
      <w:r>
        <w:rPr>
          <w:rFonts w:hint="eastAsia" w:ascii="仿宋" w:hAnsi="仿宋" w:eastAsia="仿宋" w:cs="仿宋"/>
          <w:b/>
          <w:color w:val="auto"/>
          <w:spacing w:val="6"/>
          <w:sz w:val="32"/>
          <w:szCs w:val="32"/>
          <w:highlight w:val="none"/>
        </w:rPr>
        <w:t>残疾人福利性单位声明函</w:t>
      </w:r>
    </w:p>
    <w:bookmarkEnd w:id="51"/>
    <w:bookmarkEnd w:id="52"/>
    <w:p>
      <w:pPr>
        <w:spacing w:line="360" w:lineRule="auto"/>
        <w:rPr>
          <w:rFonts w:ascii="仿宋" w:hAnsi="仿宋" w:eastAsia="仿宋" w:cs="仿宋"/>
          <w:b/>
          <w:color w:val="auto"/>
          <w:spacing w:val="6"/>
          <w:sz w:val="30"/>
          <w:szCs w:val="30"/>
          <w:highlight w:val="none"/>
        </w:rPr>
      </w:pP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_单位的_</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ascii="仿宋" w:hAnsi="仿宋" w:eastAsia="仿宋" w:cs="仿宋"/>
          <w:color w:val="auto"/>
          <w:sz w:val="24"/>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jc w:val="left"/>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ascii="仿宋" w:hAnsi="仿宋" w:eastAsia="仿宋" w:cs="仿宋"/>
          <w:b/>
          <w:bCs/>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color w:val="auto"/>
          <w:sz w:val="30"/>
          <w:szCs w:val="30"/>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color w:val="auto"/>
          <w:sz w:val="24"/>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ascii="仿宋" w:hAnsi="仿宋" w:eastAsia="仿宋" w:cs="仿宋"/>
          <w:color w:val="auto"/>
          <w:sz w:val="24"/>
          <w:highlight w:val="none"/>
          <w:u w:val="single"/>
        </w:rPr>
      </w:pP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right="480" w:firstLine="4080" w:firstLineChars="1700"/>
        <w:rPr>
          <w:rFonts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snapToGrid w:val="0"/>
        <w:spacing w:line="360" w:lineRule="auto"/>
        <w:jc w:val="center"/>
        <w:outlineLvl w:val="0"/>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附件5：联合协议</w:t>
      </w:r>
    </w:p>
    <w:p>
      <w:pPr>
        <w:widowControl/>
        <w:spacing w:line="360" w:lineRule="auto"/>
        <w:ind w:firstLine="482" w:firstLineChars="200"/>
        <w:jc w:val="left"/>
        <w:rPr>
          <w:rFonts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p>
    <w:p>
      <w:pPr>
        <w:snapToGrid w:val="0"/>
        <w:spacing w:line="360" w:lineRule="auto"/>
        <w:ind w:firstLine="576"/>
        <w:rPr>
          <w:rFonts w:ascii="仿宋" w:hAnsi="仿宋" w:eastAsia="仿宋" w:cs="仿宋"/>
          <w:color w:val="auto"/>
          <w:kern w:val="0"/>
          <w:sz w:val="24"/>
          <w:highlight w:val="none"/>
          <w:lang w:val="zh-CN"/>
        </w:rPr>
      </w:pPr>
      <w:bookmarkStart w:id="53" w:name="_Hlk101134295"/>
      <w:r>
        <w:rPr>
          <w:rFonts w:hint="eastAsia" w:ascii="仿宋" w:hAnsi="仿宋" w:eastAsia="仿宋" w:cs="仿宋"/>
          <w:color w:val="auto"/>
          <w:kern w:val="0"/>
          <w:sz w:val="24"/>
          <w:highlight w:val="none"/>
          <w:u w:val="single"/>
        </w:rPr>
        <w:t>（联合体成员1）</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（联合体成员2）</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p>
    <w:bookmarkEnd w:id="53"/>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四、联合体成员中小企业合同份额。</w:t>
      </w:r>
    </w:p>
    <w:p>
      <w:pPr>
        <w:snapToGrid w:val="0"/>
        <w:spacing w:line="360" w:lineRule="auto"/>
        <w:ind w:firstLine="576"/>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u w:val="single"/>
        </w:rPr>
        <w:t>（联合体成员X,……）</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right="960"/>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jc w:val="righ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snapToGrid w:val="0"/>
        <w:spacing w:line="360" w:lineRule="auto"/>
        <w:jc w:val="center"/>
        <w:outlineLvl w:val="0"/>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附件6：分包意向协议</w:t>
      </w:r>
    </w:p>
    <w:p>
      <w:pPr>
        <w:widowControl/>
        <w:spacing w:line="360" w:lineRule="auto"/>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2"/>
        <w:ind w:left="664" w:leftChars="316" w:firstLine="229" w:firstLineChars="95"/>
        <w:rPr>
          <w:rFonts w:ascii="仿宋" w:eastAsia="仿宋" w:cs="仿宋"/>
          <w:color w:val="auto"/>
          <w:kern w:val="0"/>
          <w:sz w:val="24"/>
          <w:szCs w:val="24"/>
          <w:highlight w:val="none"/>
        </w:rPr>
      </w:pPr>
      <w:r>
        <w:rPr>
          <w:rFonts w:hint="eastAsia" w:ascii="仿宋" w:eastAsia="仿宋" w:cs="仿宋"/>
          <w:color w:val="auto"/>
          <w:kern w:val="0"/>
          <w:sz w:val="24"/>
          <w:szCs w:val="24"/>
          <w:highlight w:val="none"/>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二、分包供应商中小企业合同份额</w:t>
      </w:r>
    </w:p>
    <w:p>
      <w:pPr>
        <w:snapToGrid w:val="0"/>
        <w:spacing w:line="360" w:lineRule="auto"/>
        <w:ind w:firstLine="576"/>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pacing w:line="360" w:lineRule="auto"/>
        <w:ind w:firstLine="480" w:firstLineChars="200"/>
        <w:rPr>
          <w:rFonts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w:t>
      </w:r>
      <w:bookmarkStart w:id="54" w:name="_Hlk101133173"/>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要求合同分包形式参加的项目或采购包，供应商按招标文件第一部分招标公告申请人的资格要求中规定的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bookmarkEnd w:id="54"/>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三、分包工作履行期限、地点、方式</w:t>
      </w:r>
    </w:p>
    <w:p>
      <w:pPr>
        <w:snapToGrid w:val="0"/>
        <w:spacing w:line="360" w:lineRule="auto"/>
        <w:ind w:firstLine="576"/>
        <w:rPr>
          <w:rFonts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四、质量</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五、价款或者报酬</w:t>
      </w:r>
    </w:p>
    <w:p>
      <w:pPr>
        <w:snapToGrid w:val="0"/>
        <w:spacing w:line="360" w:lineRule="auto"/>
        <w:ind w:left="573" w:leftChars="273"/>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六、违约责任</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七、争议解决的办法</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58" w:leftChars="342" w:hanging="5040" w:hanging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jc w:val="righ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widowControl/>
        <w:adjustRightInd/>
        <w:jc w:val="left"/>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outlineLvl w:val="0"/>
        <w:rPr>
          <w:rFonts w:ascii="仿宋" w:hAnsi="仿宋" w:eastAsia="仿宋" w:cs="仿宋"/>
          <w:b/>
          <w:color w:val="auto"/>
          <w:kern w:val="0"/>
          <w:sz w:val="44"/>
          <w:szCs w:val="44"/>
          <w:highlight w:val="none"/>
        </w:rPr>
      </w:pPr>
      <w:r>
        <w:rPr>
          <w:rFonts w:hint="eastAsia" w:ascii="仿宋" w:hAnsi="仿宋" w:eastAsia="仿宋" w:cs="仿宋"/>
          <w:b/>
          <w:color w:val="auto"/>
          <w:kern w:val="0"/>
          <w:sz w:val="44"/>
          <w:szCs w:val="44"/>
          <w:highlight w:val="none"/>
        </w:rPr>
        <w:t>附件7：中小企业声明函</w:t>
      </w:r>
    </w:p>
    <w:p>
      <w:pPr>
        <w:spacing w:line="360" w:lineRule="auto"/>
        <w:jc w:val="center"/>
        <w:rPr>
          <w:rFonts w:ascii="仿宋" w:hAnsi="仿宋" w:eastAsia="仿宋" w:cs="仿宋"/>
          <w:color w:val="auto"/>
          <w:sz w:val="24"/>
          <w:highlight w:val="none"/>
          <w:u w:val="single"/>
        </w:rPr>
      </w:pPr>
    </w:p>
    <w:p>
      <w:pPr>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rPr>
        <w:t xml:space="preserve">（采购人） </w:t>
      </w:r>
      <w:r>
        <w:rPr>
          <w:rFonts w:hint="eastAsia" w:ascii="仿宋" w:hAnsi="仿宋" w:eastAsia="仿宋" w:cs="仿宋"/>
          <w:color w:val="auto"/>
          <w:sz w:val="24"/>
          <w:highlight w:val="none"/>
        </w:rPr>
        <w:t xml:space="preserve">的 </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ind w:firstLine="5160" w:firstLineChars="215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pacing w:line="360" w:lineRule="auto"/>
        <w:jc w:val="lef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注：</w:t>
      </w:r>
    </w:p>
    <w:p>
      <w:pPr>
        <w:spacing w:line="360" w:lineRule="auto"/>
        <w:ind w:right="42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pStyle w:val="2"/>
        <w:rPr>
          <w:rFonts w:ascii="仿宋" w:eastAsia="仿宋" w:cs="仿宋"/>
          <w:color w:val="auto"/>
          <w:sz w:val="24"/>
          <w:highlight w:val="none"/>
        </w:rPr>
      </w:pPr>
      <w:r>
        <w:rPr>
          <w:rFonts w:hint="eastAsia" w:ascii="仿宋" w:eastAsia="仿宋" w:cs="仿宋"/>
          <w:color w:val="auto"/>
          <w:highlight w:val="none"/>
        </w:rPr>
        <w:t>附件</w:t>
      </w:r>
      <w:r>
        <w:rPr>
          <w:rFonts w:hint="eastAsia" w:ascii="仿宋" w:eastAsia="仿宋" w:cs="仿宋"/>
          <w:color w:val="auto"/>
          <w:highlight w:val="none"/>
          <w:lang w:val="en-US"/>
        </w:rPr>
        <w:t>8</w:t>
      </w:r>
      <w:r>
        <w:rPr>
          <w:rFonts w:hint="eastAsia" w:ascii="仿宋" w:eastAsia="仿宋" w:cs="仿宋"/>
          <w:color w:val="auto"/>
          <w:highlight w:val="none"/>
        </w:rPr>
        <w:t>样品（演示）授权委托书</w:t>
      </w:r>
    </w:p>
    <w:p>
      <w:pPr>
        <w:jc w:val="center"/>
        <w:rPr>
          <w:rFonts w:ascii="仿宋" w:hAnsi="仿宋" w:eastAsia="仿宋" w:cs="仿宋"/>
          <w:color w:val="auto"/>
          <w:sz w:val="40"/>
          <w:highlight w:val="none"/>
        </w:rPr>
      </w:pPr>
      <w:r>
        <w:rPr>
          <w:rFonts w:hint="eastAsia" w:ascii="仿宋" w:hAnsi="仿宋" w:eastAsia="仿宋" w:cs="仿宋"/>
          <w:color w:val="auto"/>
          <w:sz w:val="40"/>
          <w:highlight w:val="none"/>
        </w:rPr>
        <w:t>样品（演示）授权委托书</w:t>
      </w:r>
    </w:p>
    <w:p>
      <w:pPr>
        <w:jc w:val="center"/>
        <w:rPr>
          <w:rFonts w:ascii="仿宋" w:hAnsi="仿宋" w:eastAsia="仿宋" w:cs="仿宋"/>
          <w:color w:val="auto"/>
          <w:sz w:val="40"/>
          <w:highlight w:val="none"/>
        </w:rPr>
      </w:pP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XXX（单位名称或采购机构名称）</w:t>
      </w:r>
      <w:r>
        <w:rPr>
          <w:rFonts w:hint="eastAsia" w:ascii="仿宋" w:hAnsi="仿宋" w:eastAsia="仿宋" w:cs="仿宋"/>
          <w:color w:val="auto"/>
          <w:highlight w:val="none"/>
          <w:lang w:val="zh-CN"/>
        </w:rPr>
        <w:t>：</w:t>
      </w:r>
    </w:p>
    <w:p>
      <w:pPr>
        <w:snapToGrid w:val="0"/>
        <w:spacing w:line="360" w:lineRule="auto"/>
        <w:ind w:left="254" w:leftChars="121" w:firstLine="420" w:firstLineChars="200"/>
        <w:rPr>
          <w:rFonts w:ascii="仿宋" w:hAnsi="仿宋" w:eastAsia="仿宋" w:cs="仿宋"/>
          <w:color w:val="auto"/>
          <w:highlight w:val="none"/>
          <w:u w:val="single"/>
          <w:lang w:val="zh-CN"/>
        </w:rPr>
      </w:pPr>
      <w:r>
        <w:rPr>
          <w:rFonts w:hint="eastAsia" w:ascii="仿宋" w:hAnsi="仿宋" w:eastAsia="仿宋" w:cs="仿宋"/>
          <w:color w:val="auto"/>
          <w:highlight w:val="none"/>
          <w:lang w:val="zh-CN"/>
        </w:rPr>
        <w:t>兹委派</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先生/女士，身份证号：</w:t>
      </w:r>
      <w:r>
        <w:rPr>
          <w:rFonts w:hint="eastAsia" w:ascii="仿宋" w:hAnsi="仿宋" w:eastAsia="仿宋" w:cs="仿宋"/>
          <w:color w:val="auto"/>
          <w:highlight w:val="none"/>
          <w:u w:val="single"/>
          <w:lang w:val="zh-CN"/>
        </w:rPr>
        <w:t xml:space="preserve">                   </w:t>
      </w:r>
    </w:p>
    <w:p>
      <w:pPr>
        <w:snapToGrid w:val="0"/>
        <w:spacing w:line="360" w:lineRule="auto"/>
        <w:ind w:left="254" w:leftChars="121" w:firstLine="420" w:firstLineChars="200"/>
        <w:rPr>
          <w:rFonts w:ascii="仿宋" w:hAnsi="仿宋" w:eastAsia="仿宋" w:cs="仿宋"/>
          <w:color w:val="auto"/>
          <w:highlight w:val="none"/>
        </w:rPr>
      </w:pPr>
      <w:r>
        <w:rPr>
          <w:rFonts w:hint="eastAsia" w:ascii="仿宋" w:hAnsi="仿宋" w:eastAsia="仿宋" w:cs="仿宋"/>
          <w:color w:val="auto"/>
          <w:highlight w:val="none"/>
          <w:lang w:val="zh-CN"/>
        </w:rPr>
        <w:t>手机：</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，代表我公司前来递交</w:t>
      </w:r>
      <w:r>
        <w:rPr>
          <w:rFonts w:hint="eastAsia" w:ascii="仿宋" w:hAnsi="仿宋" w:eastAsia="仿宋" w:cs="仿宋"/>
          <w:color w:val="auto"/>
          <w:highlight w:val="none"/>
          <w:u w:val="single"/>
          <w:lang w:val="zh-CN"/>
        </w:rPr>
        <w:t xml:space="preserve">                           采购项目</w:t>
      </w:r>
      <w:r>
        <w:rPr>
          <w:rFonts w:hint="eastAsia" w:ascii="仿宋" w:hAnsi="仿宋" w:eastAsia="仿宋" w:cs="仿宋"/>
          <w:color w:val="auto"/>
          <w:highlight w:val="none"/>
          <w:lang w:val="zh-CN"/>
        </w:rPr>
        <w:t>【项目编号：              】（标项号：  ）投标样品或参加演示，并全权负责标后取回样品等其他处理事宜。</w:t>
      </w:r>
    </w:p>
    <w:p>
      <w:pPr>
        <w:snapToGrid w:val="0"/>
        <w:spacing w:line="360" w:lineRule="auto"/>
        <w:rPr>
          <w:rFonts w:ascii="仿宋" w:hAnsi="仿宋" w:eastAsia="仿宋" w:cs="仿宋"/>
          <w:color w:val="auto"/>
          <w:highlight w:val="none"/>
          <w:lang w:val="zh-CN"/>
        </w:rPr>
      </w:pPr>
      <w:r>
        <w:rPr>
          <w:rFonts w:hint="eastAsia" w:ascii="仿宋" w:hAnsi="仿宋" w:eastAsia="仿宋" w:cs="仿宋"/>
          <w:color w:val="auto"/>
          <w:highlight w:val="none"/>
          <w:lang w:val="zh-CN"/>
        </w:rPr>
        <w:t xml:space="preserve">  </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lang w:val="zh-CN"/>
        </w:rPr>
        <w:t xml:space="preserve">    特此告知。</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lang w:val="zh-CN"/>
        </w:rPr>
        <w:t xml:space="preserve">                                                  投标人名称(公章)：</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lang w:val="zh-CN"/>
        </w:rPr>
        <w:t xml:space="preserve">                                                  </w:t>
      </w:r>
    </w:p>
    <w:p>
      <w:pPr>
        <w:snapToGrid w:val="0"/>
        <w:spacing w:line="360" w:lineRule="auto"/>
        <w:ind w:right="240"/>
        <w:jc w:val="right"/>
        <w:rPr>
          <w:rFonts w:ascii="仿宋" w:hAnsi="仿宋" w:eastAsia="仿宋" w:cs="仿宋"/>
          <w:color w:val="auto"/>
          <w:highlight w:val="none"/>
          <w:lang w:val="zh-CN"/>
        </w:rPr>
      </w:pPr>
      <w:r>
        <w:rPr>
          <w:rFonts w:hint="eastAsia" w:ascii="仿宋" w:hAnsi="仿宋" w:eastAsia="仿宋" w:cs="仿宋"/>
          <w:color w:val="auto"/>
          <w:highlight w:val="none"/>
          <w:lang w:val="zh-CN"/>
        </w:rPr>
        <w:t>签发日期：  年  月   日</w:t>
      </w:r>
    </w:p>
    <w:p>
      <w:pPr>
        <w:snapToGrid w:val="0"/>
        <w:spacing w:line="360" w:lineRule="auto"/>
        <w:ind w:right="240"/>
        <w:jc w:val="right"/>
        <w:rPr>
          <w:rFonts w:ascii="仿宋" w:hAnsi="仿宋" w:eastAsia="仿宋" w:cs="仿宋"/>
          <w:color w:val="auto"/>
          <w:highlight w:val="none"/>
          <w:lang w:val="zh-CN"/>
        </w:rPr>
      </w:pPr>
    </w:p>
    <w:p>
      <w:pPr>
        <w:snapToGrid w:val="0"/>
        <w:spacing w:line="360" w:lineRule="auto"/>
        <w:ind w:right="1920"/>
        <w:rPr>
          <w:rFonts w:ascii="仿宋" w:hAnsi="仿宋" w:eastAsia="仿宋" w:cs="仿宋"/>
          <w:color w:val="auto"/>
          <w:highlight w:val="none"/>
          <w:lang w:val="zh-CN"/>
        </w:rPr>
      </w:pPr>
    </w:p>
    <w:p>
      <w:pPr>
        <w:snapToGrid w:val="0"/>
        <w:spacing w:line="360" w:lineRule="auto"/>
        <w:ind w:right="240"/>
        <w:jc w:val="right"/>
        <w:rPr>
          <w:rFonts w:ascii="仿宋" w:hAnsi="仿宋" w:eastAsia="仿宋" w:cs="仿宋"/>
          <w:color w:val="auto"/>
          <w:highlight w:val="none"/>
          <w:lang w:val="zh-CN"/>
        </w:rPr>
      </w:pPr>
    </w:p>
    <w:p>
      <w:pPr>
        <w:snapToGrid w:val="0"/>
        <w:spacing w:line="360" w:lineRule="auto"/>
        <w:ind w:right="240"/>
        <w:rPr>
          <w:rFonts w:ascii="仿宋" w:hAnsi="仿宋" w:eastAsia="仿宋" w:cs="仿宋"/>
          <w:color w:val="auto"/>
          <w:highlight w:val="none"/>
          <w:lang w:val="zh-CN"/>
        </w:rPr>
      </w:pPr>
      <w:r>
        <w:rPr>
          <w:rFonts w:hint="eastAsia" w:ascii="仿宋" w:hAnsi="仿宋" w:eastAsia="仿宋" w:cs="仿宋"/>
          <w:color w:val="auto"/>
          <w:highlight w:val="none"/>
        </w:rPr>
        <w:t>受委托人</w:t>
      </w:r>
      <w:r>
        <w:rPr>
          <w:rFonts w:hint="eastAsia" w:ascii="仿宋" w:hAnsi="仿宋" w:eastAsia="仿宋" w:cs="仿宋"/>
          <w:color w:val="auto"/>
          <w:highlight w:val="none"/>
          <w:lang w:val="zh-CN"/>
        </w:rPr>
        <w:t>身份证复印件：</w:t>
      </w:r>
    </w:p>
    <w:p>
      <w:pPr>
        <w:snapToGrid w:val="0"/>
        <w:spacing w:line="360" w:lineRule="auto"/>
        <w:ind w:right="240"/>
        <w:rPr>
          <w:rFonts w:ascii="仿宋" w:hAnsi="仿宋" w:eastAsia="仿宋" w:cs="仿宋"/>
          <w:color w:val="auto"/>
          <w:highlight w:val="none"/>
          <w:lang w:val="zh-CN"/>
        </w:rPr>
      </w:pPr>
    </w:p>
    <w:p>
      <w:pPr>
        <w:snapToGrid w:val="0"/>
        <w:spacing w:line="360" w:lineRule="auto"/>
        <w:ind w:right="240"/>
        <w:rPr>
          <w:rFonts w:ascii="仿宋" w:hAnsi="仿宋" w:eastAsia="仿宋" w:cs="仿宋"/>
          <w:color w:val="auto"/>
          <w:highlight w:val="none"/>
          <w:lang w:val="zh-CN"/>
        </w:rPr>
      </w:pPr>
      <w:r>
        <w:rPr>
          <w:rFonts w:hint="eastAsia" w:ascii="仿宋" w:hAnsi="仿宋" w:eastAsia="仿宋" w:cs="仿宋"/>
          <w:color w:val="auto"/>
          <w:highlight w:val="none"/>
          <w:lang w:val="zh-CN"/>
        </w:rPr>
        <w:t>说明：本委托书在有样品或演示时由受委托人携带至指定地点。</w:t>
      </w:r>
    </w:p>
    <w:p>
      <w:pPr>
        <w:spacing w:line="360" w:lineRule="auto"/>
        <w:rPr>
          <w:rFonts w:ascii="仿宋" w:hAnsi="仿宋" w:eastAsia="仿宋" w:cs="仿宋"/>
          <w:color w:val="auto"/>
          <w:highlight w:val="none"/>
        </w:rPr>
      </w:pPr>
      <w:r>
        <w:rPr>
          <w:rFonts w:hint="eastAsia" w:ascii="仿宋" w:hAnsi="仿宋" w:eastAsia="仿宋" w:cs="仿宋"/>
          <w:b/>
          <w:color w:val="auto"/>
          <w:highlight w:val="none"/>
        </w:rPr>
        <w:t>同时有样品和演示的，可委托不同人员。</w:t>
      </w:r>
    </w:p>
    <w:p>
      <w:pPr>
        <w:spacing w:line="360" w:lineRule="auto"/>
        <w:jc w:val="center"/>
        <w:rPr>
          <w:rFonts w:ascii="仿宋" w:hAnsi="仿宋" w:eastAsia="仿宋" w:cs="仿宋"/>
          <w:b/>
          <w:color w:val="auto"/>
          <w:sz w:val="32"/>
          <w:szCs w:val="32"/>
          <w:highlight w:val="none"/>
        </w:rPr>
      </w:pPr>
    </w:p>
    <w:p>
      <w:pPr>
        <w:spacing w:line="360" w:lineRule="auto"/>
        <w:jc w:val="center"/>
        <w:rPr>
          <w:rFonts w:ascii="仿宋" w:hAnsi="仿宋" w:eastAsia="仿宋" w:cs="仿宋"/>
          <w:b/>
          <w:color w:val="auto"/>
          <w:sz w:val="32"/>
          <w:szCs w:val="32"/>
          <w:highlight w:val="none"/>
        </w:rPr>
      </w:pPr>
    </w:p>
    <w:p>
      <w:pPr>
        <w:spacing w:line="360" w:lineRule="auto"/>
        <w:jc w:val="center"/>
        <w:rPr>
          <w:rFonts w:ascii="仿宋" w:hAnsi="仿宋" w:eastAsia="仿宋" w:cs="仿宋"/>
          <w:b/>
          <w:color w:val="auto"/>
          <w:sz w:val="32"/>
          <w:szCs w:val="32"/>
          <w:highlight w:val="none"/>
        </w:rPr>
      </w:pPr>
    </w:p>
    <w:p>
      <w:pPr>
        <w:spacing w:line="360" w:lineRule="auto"/>
        <w:jc w:val="center"/>
        <w:rPr>
          <w:rFonts w:ascii="仿宋" w:hAnsi="仿宋" w:eastAsia="仿宋" w:cs="仿宋"/>
          <w:b/>
          <w:color w:val="auto"/>
          <w:sz w:val="32"/>
          <w:szCs w:val="32"/>
          <w:highlight w:val="none"/>
        </w:rPr>
      </w:pPr>
    </w:p>
    <w:p>
      <w:pPr>
        <w:spacing w:line="360" w:lineRule="auto"/>
        <w:jc w:val="center"/>
        <w:rPr>
          <w:rFonts w:ascii="仿宋" w:hAnsi="仿宋" w:eastAsia="仿宋" w:cs="仿宋"/>
          <w:b/>
          <w:color w:val="auto"/>
          <w:sz w:val="32"/>
          <w:szCs w:val="32"/>
          <w:highlight w:val="none"/>
        </w:rPr>
      </w:pPr>
    </w:p>
    <w:p>
      <w:pPr>
        <w:spacing w:line="360" w:lineRule="auto"/>
        <w:jc w:val="center"/>
        <w:rPr>
          <w:rFonts w:ascii="仿宋" w:hAnsi="仿宋" w:eastAsia="仿宋" w:cs="仿宋"/>
          <w:b/>
          <w:color w:val="auto"/>
          <w:sz w:val="32"/>
          <w:szCs w:val="32"/>
          <w:highlight w:val="none"/>
        </w:rPr>
      </w:pPr>
    </w:p>
    <w:p>
      <w:pPr>
        <w:spacing w:line="360" w:lineRule="auto"/>
        <w:rPr>
          <w:rFonts w:ascii="仿宋" w:hAnsi="仿宋" w:eastAsia="仿宋" w:cs="仿宋"/>
          <w:b/>
          <w:color w:val="auto"/>
          <w:sz w:val="32"/>
          <w:szCs w:val="32"/>
          <w:highlight w:val="none"/>
        </w:rPr>
      </w:pPr>
    </w:p>
    <w:p>
      <w:pPr>
        <w:spacing w:line="360" w:lineRule="auto"/>
        <w:jc w:val="center"/>
        <w:rPr>
          <w:rFonts w:ascii="仿宋" w:hAnsi="仿宋" w:eastAsia="仿宋" w:cs="仿宋"/>
          <w:b/>
          <w:color w:val="auto"/>
          <w:sz w:val="32"/>
          <w:szCs w:val="32"/>
          <w:highlight w:val="none"/>
        </w:rPr>
      </w:pPr>
    </w:p>
    <w:p>
      <w:pPr>
        <w:spacing w:line="360" w:lineRule="auto"/>
        <w:rPr>
          <w:rFonts w:ascii="仿宋" w:hAnsi="仿宋" w:eastAsia="仿宋" w:cs="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Lucida Sans">
    <w:altName w:val="Lucida Sans Unicode"/>
    <w:panose1 w:val="020B0602030504020204"/>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55" w:name="_Toc91899912"/>
    <w:bookmarkStart w:id="56" w:name="_Toc164085800"/>
    <w:bookmarkStart w:id="57" w:name="_Toc36110187"/>
    <w:bookmarkStart w:id="58" w:name="_Toc131845147"/>
    <w:r>
      <w:rPr>
        <w:rFonts w:hint="eastAsia" w:ascii="仿宋_GB2312" w:eastAsia="仿宋_GB2312"/>
        <w:kern w:val="0"/>
        <w:szCs w:val="21"/>
      </w:rPr>
      <w:t xml:space="preserve"> 页</w:t>
    </w:r>
    <w:bookmarkEnd w:id="55"/>
    <w:bookmarkEnd w:id="56"/>
    <w:bookmarkEnd w:id="57"/>
    <w:bookmarkEnd w:id="5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decimal"/>
      <w:lvlText w:val="%1."/>
      <w:lvlJc w:val="left"/>
      <w:pPr>
        <w:ind w:left="420" w:hanging="420"/>
      </w:pPr>
    </w:lvl>
  </w:abstractNum>
  <w:abstractNum w:abstractNumId="1">
    <w:nsid w:val="BF205925"/>
    <w:multiLevelType w:val="multilevel"/>
    <w:tmpl w:val="BF205925"/>
    <w:lvl w:ilvl="0" w:tentative="0">
      <w:start w:val="1"/>
      <w:numFmt w:val="decimal"/>
      <w:lvlText w:val="%1."/>
      <w:lvlJc w:val="left"/>
      <w:pPr>
        <w:ind w:left="420" w:hanging="420"/>
      </w:pPr>
    </w:lvl>
    <w:lvl w:ilvl="1" w:tentative="0">
      <w:start w:val="1"/>
      <w:numFmt w:val="decimal"/>
      <w:lvlText w:val="%1.%2."/>
      <w:lvlJc w:val="left"/>
      <w:pPr>
        <w:ind w:left="840" w:hanging="420"/>
      </w:p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CF092B84"/>
    <w:multiLevelType w:val="singleLevel"/>
    <w:tmpl w:val="CF092B84"/>
    <w:lvl w:ilvl="0" w:tentative="0">
      <w:start w:val="1"/>
      <w:numFmt w:val="decimal"/>
      <w:lvlText w:val="%1."/>
      <w:lvlJc w:val="left"/>
      <w:pPr>
        <w:ind w:left="420" w:hanging="420"/>
      </w:pPr>
    </w:lvl>
  </w:abstractNum>
  <w:abstractNum w:abstractNumId="3">
    <w:nsid w:val="0053208E"/>
    <w:multiLevelType w:val="singleLevel"/>
    <w:tmpl w:val="0053208E"/>
    <w:lvl w:ilvl="0" w:tentative="0">
      <w:start w:val="1"/>
      <w:numFmt w:val="chineseCountingThousand"/>
      <w:lvlText w:val="第%1部分"/>
      <w:lvlJc w:val="left"/>
      <w:pPr>
        <w:ind w:left="420" w:hanging="420"/>
      </w:pPr>
    </w:lvl>
  </w:abstractNum>
  <w:abstractNum w:abstractNumId="4">
    <w:nsid w:val="59ADCABA"/>
    <w:multiLevelType w:val="singleLevel"/>
    <w:tmpl w:val="59ADCABA"/>
    <w:lvl w:ilvl="0" w:tentative="0">
      <w:start w:val="1"/>
      <w:numFmt w:val="decimal"/>
      <w:lvlText w:val="%1."/>
      <w:lvlJc w:val="left"/>
      <w:pPr>
        <w:ind w:left="42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2YTAxM2E1ODk4N2RiNDMyNzEzZWE5YjA1NjA1Yzk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61B"/>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179"/>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526"/>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2C3"/>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5FDE"/>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00A"/>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2D53"/>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08C7"/>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4D98"/>
    <w:rsid w:val="01D55165"/>
    <w:rsid w:val="01DF6BF8"/>
    <w:rsid w:val="01EC2C57"/>
    <w:rsid w:val="01EC6314"/>
    <w:rsid w:val="025F0711"/>
    <w:rsid w:val="026B2E25"/>
    <w:rsid w:val="02824D4D"/>
    <w:rsid w:val="02DC4B10"/>
    <w:rsid w:val="02DD76CE"/>
    <w:rsid w:val="02F36323"/>
    <w:rsid w:val="02F5619C"/>
    <w:rsid w:val="03065425"/>
    <w:rsid w:val="0326446A"/>
    <w:rsid w:val="032D5555"/>
    <w:rsid w:val="036634D2"/>
    <w:rsid w:val="037F3DCD"/>
    <w:rsid w:val="03B74E41"/>
    <w:rsid w:val="03DD35E4"/>
    <w:rsid w:val="04076900"/>
    <w:rsid w:val="041A5A3B"/>
    <w:rsid w:val="042311BA"/>
    <w:rsid w:val="042B157A"/>
    <w:rsid w:val="04824B9E"/>
    <w:rsid w:val="048F763B"/>
    <w:rsid w:val="049F330E"/>
    <w:rsid w:val="04AA775C"/>
    <w:rsid w:val="04AF1889"/>
    <w:rsid w:val="04F66F48"/>
    <w:rsid w:val="0504104D"/>
    <w:rsid w:val="05251E14"/>
    <w:rsid w:val="05A16594"/>
    <w:rsid w:val="05A33A8F"/>
    <w:rsid w:val="05A7762D"/>
    <w:rsid w:val="060E5941"/>
    <w:rsid w:val="06110FAF"/>
    <w:rsid w:val="06493CA7"/>
    <w:rsid w:val="065A6178"/>
    <w:rsid w:val="066F1CF3"/>
    <w:rsid w:val="06930BB8"/>
    <w:rsid w:val="06A92350"/>
    <w:rsid w:val="06C158EB"/>
    <w:rsid w:val="06E10BBC"/>
    <w:rsid w:val="06E617F8"/>
    <w:rsid w:val="07245D42"/>
    <w:rsid w:val="07264C62"/>
    <w:rsid w:val="0779354C"/>
    <w:rsid w:val="07F92694"/>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7F20B8"/>
    <w:rsid w:val="098353B5"/>
    <w:rsid w:val="09A92330"/>
    <w:rsid w:val="09B06B87"/>
    <w:rsid w:val="09C13146"/>
    <w:rsid w:val="09E04166"/>
    <w:rsid w:val="0A1C0718"/>
    <w:rsid w:val="0A3E7710"/>
    <w:rsid w:val="0A5B7E63"/>
    <w:rsid w:val="0AA374A5"/>
    <w:rsid w:val="0AAB7649"/>
    <w:rsid w:val="0ABC143A"/>
    <w:rsid w:val="0ABC5606"/>
    <w:rsid w:val="0AD35BED"/>
    <w:rsid w:val="0B1D155E"/>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8F023A"/>
    <w:rsid w:val="0CAA755C"/>
    <w:rsid w:val="0CC007F7"/>
    <w:rsid w:val="0CC617AC"/>
    <w:rsid w:val="0CC70BCA"/>
    <w:rsid w:val="0CE618DF"/>
    <w:rsid w:val="0CFE707A"/>
    <w:rsid w:val="0D063BDA"/>
    <w:rsid w:val="0D08375F"/>
    <w:rsid w:val="0D0F7E0C"/>
    <w:rsid w:val="0D184CFB"/>
    <w:rsid w:val="0D4A7419"/>
    <w:rsid w:val="0D827401"/>
    <w:rsid w:val="0D84094E"/>
    <w:rsid w:val="0D8A00E9"/>
    <w:rsid w:val="0D8D589E"/>
    <w:rsid w:val="0DA01C73"/>
    <w:rsid w:val="0DCE5641"/>
    <w:rsid w:val="0DD63300"/>
    <w:rsid w:val="0DF50604"/>
    <w:rsid w:val="0DF702FE"/>
    <w:rsid w:val="0E060E51"/>
    <w:rsid w:val="0E4E33A5"/>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2E6D73"/>
    <w:rsid w:val="10646583"/>
    <w:rsid w:val="107D4B15"/>
    <w:rsid w:val="108A3C80"/>
    <w:rsid w:val="10C26171"/>
    <w:rsid w:val="10F33360"/>
    <w:rsid w:val="10FC16EA"/>
    <w:rsid w:val="10FC6AD8"/>
    <w:rsid w:val="1102418E"/>
    <w:rsid w:val="110F1D40"/>
    <w:rsid w:val="11266F33"/>
    <w:rsid w:val="117701A4"/>
    <w:rsid w:val="118963A1"/>
    <w:rsid w:val="11C6522A"/>
    <w:rsid w:val="11E104CC"/>
    <w:rsid w:val="11E20309"/>
    <w:rsid w:val="12255233"/>
    <w:rsid w:val="12530213"/>
    <w:rsid w:val="127723A9"/>
    <w:rsid w:val="12862074"/>
    <w:rsid w:val="12883966"/>
    <w:rsid w:val="129E45B4"/>
    <w:rsid w:val="12D72C50"/>
    <w:rsid w:val="12D81596"/>
    <w:rsid w:val="13072A44"/>
    <w:rsid w:val="13196AAF"/>
    <w:rsid w:val="135F4BE2"/>
    <w:rsid w:val="138A175B"/>
    <w:rsid w:val="139B1A0A"/>
    <w:rsid w:val="139D25C7"/>
    <w:rsid w:val="13BF3CE4"/>
    <w:rsid w:val="13C3054D"/>
    <w:rsid w:val="141008D8"/>
    <w:rsid w:val="14125FE6"/>
    <w:rsid w:val="1415556D"/>
    <w:rsid w:val="141D7DCC"/>
    <w:rsid w:val="146D271E"/>
    <w:rsid w:val="14982588"/>
    <w:rsid w:val="149A5AD9"/>
    <w:rsid w:val="14A7619D"/>
    <w:rsid w:val="150536C3"/>
    <w:rsid w:val="150C1963"/>
    <w:rsid w:val="151447A0"/>
    <w:rsid w:val="154A6454"/>
    <w:rsid w:val="15762120"/>
    <w:rsid w:val="15E235D1"/>
    <w:rsid w:val="160303D2"/>
    <w:rsid w:val="16A8729C"/>
    <w:rsid w:val="16B33777"/>
    <w:rsid w:val="16BC70A7"/>
    <w:rsid w:val="16C6339E"/>
    <w:rsid w:val="172F2D79"/>
    <w:rsid w:val="17557BEF"/>
    <w:rsid w:val="17D349C1"/>
    <w:rsid w:val="18244F26"/>
    <w:rsid w:val="1830729E"/>
    <w:rsid w:val="18650755"/>
    <w:rsid w:val="1870062C"/>
    <w:rsid w:val="187B448D"/>
    <w:rsid w:val="18817102"/>
    <w:rsid w:val="18830A15"/>
    <w:rsid w:val="18852B28"/>
    <w:rsid w:val="188B5321"/>
    <w:rsid w:val="19563CB9"/>
    <w:rsid w:val="19932372"/>
    <w:rsid w:val="19A20DD5"/>
    <w:rsid w:val="19A838D1"/>
    <w:rsid w:val="19AE03F1"/>
    <w:rsid w:val="1A071A03"/>
    <w:rsid w:val="1A1F16AE"/>
    <w:rsid w:val="1A3B5C77"/>
    <w:rsid w:val="1A984BAD"/>
    <w:rsid w:val="1AB8220E"/>
    <w:rsid w:val="1AE4166C"/>
    <w:rsid w:val="1AF06CFB"/>
    <w:rsid w:val="1AF11B8D"/>
    <w:rsid w:val="1B11359C"/>
    <w:rsid w:val="1B1262BE"/>
    <w:rsid w:val="1B2A271F"/>
    <w:rsid w:val="1B530544"/>
    <w:rsid w:val="1B713184"/>
    <w:rsid w:val="1B9E5EE9"/>
    <w:rsid w:val="1BA209CF"/>
    <w:rsid w:val="1BB4777D"/>
    <w:rsid w:val="1BD75AB8"/>
    <w:rsid w:val="1BD94A21"/>
    <w:rsid w:val="1C0459C2"/>
    <w:rsid w:val="1C1B3B4A"/>
    <w:rsid w:val="1C88086E"/>
    <w:rsid w:val="1CC77D9A"/>
    <w:rsid w:val="1D266CE1"/>
    <w:rsid w:val="1D3963AF"/>
    <w:rsid w:val="1D6A673C"/>
    <w:rsid w:val="1D9247AE"/>
    <w:rsid w:val="1DB567EC"/>
    <w:rsid w:val="1DEF6D8A"/>
    <w:rsid w:val="1DF51A98"/>
    <w:rsid w:val="1E051CD9"/>
    <w:rsid w:val="1E1623EA"/>
    <w:rsid w:val="1E3D060F"/>
    <w:rsid w:val="1E3F7D2E"/>
    <w:rsid w:val="1E4134E4"/>
    <w:rsid w:val="1E4C7472"/>
    <w:rsid w:val="1E5062B3"/>
    <w:rsid w:val="1E523514"/>
    <w:rsid w:val="1E714A66"/>
    <w:rsid w:val="1E802593"/>
    <w:rsid w:val="1E8B6156"/>
    <w:rsid w:val="1EA703CC"/>
    <w:rsid w:val="1EB7330C"/>
    <w:rsid w:val="1F0A0FF3"/>
    <w:rsid w:val="1F5771FF"/>
    <w:rsid w:val="1F640D9B"/>
    <w:rsid w:val="1FD52574"/>
    <w:rsid w:val="1FE868A9"/>
    <w:rsid w:val="20034907"/>
    <w:rsid w:val="20173E4B"/>
    <w:rsid w:val="204E48BC"/>
    <w:rsid w:val="205D622D"/>
    <w:rsid w:val="208921B3"/>
    <w:rsid w:val="208D5628"/>
    <w:rsid w:val="20973DEB"/>
    <w:rsid w:val="20B26522"/>
    <w:rsid w:val="20B44310"/>
    <w:rsid w:val="211116EB"/>
    <w:rsid w:val="216133FC"/>
    <w:rsid w:val="21D56769"/>
    <w:rsid w:val="21E52EF3"/>
    <w:rsid w:val="21FB5D7B"/>
    <w:rsid w:val="22015E94"/>
    <w:rsid w:val="220B1C3D"/>
    <w:rsid w:val="221D1D20"/>
    <w:rsid w:val="22334A87"/>
    <w:rsid w:val="227A4A01"/>
    <w:rsid w:val="22BE6801"/>
    <w:rsid w:val="233500BF"/>
    <w:rsid w:val="23377FF7"/>
    <w:rsid w:val="235D4796"/>
    <w:rsid w:val="236B425F"/>
    <w:rsid w:val="23836192"/>
    <w:rsid w:val="23901F29"/>
    <w:rsid w:val="239C0061"/>
    <w:rsid w:val="23B908A4"/>
    <w:rsid w:val="23BA7198"/>
    <w:rsid w:val="23E55AC0"/>
    <w:rsid w:val="23E95BEF"/>
    <w:rsid w:val="23FD0064"/>
    <w:rsid w:val="245375B0"/>
    <w:rsid w:val="24642C0A"/>
    <w:rsid w:val="24B22173"/>
    <w:rsid w:val="24B95AD9"/>
    <w:rsid w:val="24BE24DA"/>
    <w:rsid w:val="24CF5825"/>
    <w:rsid w:val="24D663E6"/>
    <w:rsid w:val="24D77F2B"/>
    <w:rsid w:val="25252458"/>
    <w:rsid w:val="258B00E2"/>
    <w:rsid w:val="25A917A6"/>
    <w:rsid w:val="25BE27CC"/>
    <w:rsid w:val="25F74A5C"/>
    <w:rsid w:val="2628662C"/>
    <w:rsid w:val="262D45DE"/>
    <w:rsid w:val="26871DC8"/>
    <w:rsid w:val="26A53EF9"/>
    <w:rsid w:val="26A94201"/>
    <w:rsid w:val="26AC274F"/>
    <w:rsid w:val="26BC301B"/>
    <w:rsid w:val="26E054C2"/>
    <w:rsid w:val="27044A29"/>
    <w:rsid w:val="271D34C8"/>
    <w:rsid w:val="276142BF"/>
    <w:rsid w:val="27783712"/>
    <w:rsid w:val="278F0C96"/>
    <w:rsid w:val="27907362"/>
    <w:rsid w:val="27AF3E03"/>
    <w:rsid w:val="28333E1D"/>
    <w:rsid w:val="28454BD6"/>
    <w:rsid w:val="28455253"/>
    <w:rsid w:val="28551971"/>
    <w:rsid w:val="285B1C53"/>
    <w:rsid w:val="288B543F"/>
    <w:rsid w:val="289B6BCD"/>
    <w:rsid w:val="289F7086"/>
    <w:rsid w:val="28C32028"/>
    <w:rsid w:val="28CC490F"/>
    <w:rsid w:val="28DE40AA"/>
    <w:rsid w:val="28FB2A87"/>
    <w:rsid w:val="29345E77"/>
    <w:rsid w:val="294C65AD"/>
    <w:rsid w:val="29806583"/>
    <w:rsid w:val="298B3C4C"/>
    <w:rsid w:val="29E67BCF"/>
    <w:rsid w:val="29F26D24"/>
    <w:rsid w:val="2A15033F"/>
    <w:rsid w:val="2A1662C1"/>
    <w:rsid w:val="2A1C7367"/>
    <w:rsid w:val="2A2815FA"/>
    <w:rsid w:val="2A6D6092"/>
    <w:rsid w:val="2A7D76B4"/>
    <w:rsid w:val="2A9C0FCA"/>
    <w:rsid w:val="2B437463"/>
    <w:rsid w:val="2B460CDB"/>
    <w:rsid w:val="2B7807EE"/>
    <w:rsid w:val="2BA50BF7"/>
    <w:rsid w:val="2BBF00EC"/>
    <w:rsid w:val="2BC37CFD"/>
    <w:rsid w:val="2BD5237F"/>
    <w:rsid w:val="2BE536CE"/>
    <w:rsid w:val="2BE758D9"/>
    <w:rsid w:val="2BF346BB"/>
    <w:rsid w:val="2BF57DB3"/>
    <w:rsid w:val="2C09049E"/>
    <w:rsid w:val="2C0A653C"/>
    <w:rsid w:val="2C191F85"/>
    <w:rsid w:val="2CD17E0B"/>
    <w:rsid w:val="2CE82D6F"/>
    <w:rsid w:val="2D343236"/>
    <w:rsid w:val="2D57501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0246FB"/>
    <w:rsid w:val="301B3A0F"/>
    <w:rsid w:val="30733ACD"/>
    <w:rsid w:val="308C3862"/>
    <w:rsid w:val="309379D8"/>
    <w:rsid w:val="309D06CD"/>
    <w:rsid w:val="30A270F7"/>
    <w:rsid w:val="30A818B8"/>
    <w:rsid w:val="30AF0B4D"/>
    <w:rsid w:val="30DF1478"/>
    <w:rsid w:val="30EC586F"/>
    <w:rsid w:val="310E70FE"/>
    <w:rsid w:val="319C6071"/>
    <w:rsid w:val="31A43590"/>
    <w:rsid w:val="31AC537E"/>
    <w:rsid w:val="31E3679B"/>
    <w:rsid w:val="31E732FD"/>
    <w:rsid w:val="32517576"/>
    <w:rsid w:val="32744B21"/>
    <w:rsid w:val="32BE5C2C"/>
    <w:rsid w:val="32FB6478"/>
    <w:rsid w:val="33263B3F"/>
    <w:rsid w:val="336963EB"/>
    <w:rsid w:val="33816EEB"/>
    <w:rsid w:val="338A4F45"/>
    <w:rsid w:val="33EB55CD"/>
    <w:rsid w:val="33EC4C02"/>
    <w:rsid w:val="340D2360"/>
    <w:rsid w:val="3410665D"/>
    <w:rsid w:val="341964B7"/>
    <w:rsid w:val="34211214"/>
    <w:rsid w:val="342E63AB"/>
    <w:rsid w:val="343D395D"/>
    <w:rsid w:val="34950E68"/>
    <w:rsid w:val="34986E94"/>
    <w:rsid w:val="34AF62C9"/>
    <w:rsid w:val="34CB4388"/>
    <w:rsid w:val="34FA6E12"/>
    <w:rsid w:val="354D7158"/>
    <w:rsid w:val="358D5588"/>
    <w:rsid w:val="359327BC"/>
    <w:rsid w:val="363A3B40"/>
    <w:rsid w:val="365302AE"/>
    <w:rsid w:val="36607A0A"/>
    <w:rsid w:val="366E227C"/>
    <w:rsid w:val="366F2E0D"/>
    <w:rsid w:val="367B6A5C"/>
    <w:rsid w:val="36A74ADA"/>
    <w:rsid w:val="36AD60D5"/>
    <w:rsid w:val="36B224F9"/>
    <w:rsid w:val="36EC0CC9"/>
    <w:rsid w:val="373F410B"/>
    <w:rsid w:val="376D4844"/>
    <w:rsid w:val="37833059"/>
    <w:rsid w:val="37EE7094"/>
    <w:rsid w:val="381306CA"/>
    <w:rsid w:val="38296C89"/>
    <w:rsid w:val="383002EB"/>
    <w:rsid w:val="38586797"/>
    <w:rsid w:val="385D15DF"/>
    <w:rsid w:val="38BC0149"/>
    <w:rsid w:val="38D87D1C"/>
    <w:rsid w:val="39636459"/>
    <w:rsid w:val="396B7F6C"/>
    <w:rsid w:val="39B417A9"/>
    <w:rsid w:val="39FC5695"/>
    <w:rsid w:val="3A006D8E"/>
    <w:rsid w:val="3A0C259D"/>
    <w:rsid w:val="3A136626"/>
    <w:rsid w:val="3A1E0383"/>
    <w:rsid w:val="3A3651E5"/>
    <w:rsid w:val="3A744481"/>
    <w:rsid w:val="3A8C7BEF"/>
    <w:rsid w:val="3A906246"/>
    <w:rsid w:val="3B1479D8"/>
    <w:rsid w:val="3B2349B7"/>
    <w:rsid w:val="3B616CFF"/>
    <w:rsid w:val="3B6259F6"/>
    <w:rsid w:val="3B976654"/>
    <w:rsid w:val="3BC01EFC"/>
    <w:rsid w:val="3BC71CFD"/>
    <w:rsid w:val="3BCA786A"/>
    <w:rsid w:val="3BD31E2F"/>
    <w:rsid w:val="3BF15831"/>
    <w:rsid w:val="3C0331F7"/>
    <w:rsid w:val="3C062175"/>
    <w:rsid w:val="3C105946"/>
    <w:rsid w:val="3C471448"/>
    <w:rsid w:val="3C5F759A"/>
    <w:rsid w:val="3C6C525A"/>
    <w:rsid w:val="3CC61CA9"/>
    <w:rsid w:val="3CCE23CB"/>
    <w:rsid w:val="3CD17D17"/>
    <w:rsid w:val="3D2F45AF"/>
    <w:rsid w:val="3D3C7F39"/>
    <w:rsid w:val="3D440F09"/>
    <w:rsid w:val="3D4504A0"/>
    <w:rsid w:val="3D6D16DD"/>
    <w:rsid w:val="3D720DD7"/>
    <w:rsid w:val="3D8734BB"/>
    <w:rsid w:val="3D9616FC"/>
    <w:rsid w:val="3D9A11D4"/>
    <w:rsid w:val="3DA16D89"/>
    <w:rsid w:val="3DA364BE"/>
    <w:rsid w:val="3DE041CB"/>
    <w:rsid w:val="3DE262E4"/>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495A54"/>
    <w:rsid w:val="40592157"/>
    <w:rsid w:val="406E1CAE"/>
    <w:rsid w:val="40A0133A"/>
    <w:rsid w:val="40BD15F8"/>
    <w:rsid w:val="40C31A53"/>
    <w:rsid w:val="40FE01E6"/>
    <w:rsid w:val="40FF545D"/>
    <w:rsid w:val="410067C8"/>
    <w:rsid w:val="417331C1"/>
    <w:rsid w:val="418F0D2A"/>
    <w:rsid w:val="419378A9"/>
    <w:rsid w:val="41AA258E"/>
    <w:rsid w:val="41D01505"/>
    <w:rsid w:val="42474939"/>
    <w:rsid w:val="424C3C57"/>
    <w:rsid w:val="42613FF3"/>
    <w:rsid w:val="42660D96"/>
    <w:rsid w:val="427B20EB"/>
    <w:rsid w:val="428667D2"/>
    <w:rsid w:val="428F35C1"/>
    <w:rsid w:val="42CD1CE0"/>
    <w:rsid w:val="42E1381E"/>
    <w:rsid w:val="42ED6459"/>
    <w:rsid w:val="42FE58DD"/>
    <w:rsid w:val="43174B3D"/>
    <w:rsid w:val="434B790E"/>
    <w:rsid w:val="4360274F"/>
    <w:rsid w:val="43977AB6"/>
    <w:rsid w:val="43A3342B"/>
    <w:rsid w:val="43C77C27"/>
    <w:rsid w:val="43DE09EE"/>
    <w:rsid w:val="44002FAD"/>
    <w:rsid w:val="44837E0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4C9D"/>
    <w:rsid w:val="495F5B3E"/>
    <w:rsid w:val="496F77D7"/>
    <w:rsid w:val="497654FD"/>
    <w:rsid w:val="49791256"/>
    <w:rsid w:val="49B64211"/>
    <w:rsid w:val="49F6167F"/>
    <w:rsid w:val="4A064FA0"/>
    <w:rsid w:val="4A16615C"/>
    <w:rsid w:val="4A4424D7"/>
    <w:rsid w:val="4A7820E7"/>
    <w:rsid w:val="4A8A7B5A"/>
    <w:rsid w:val="4AB82D0F"/>
    <w:rsid w:val="4AC70959"/>
    <w:rsid w:val="4AEB7664"/>
    <w:rsid w:val="4AFD7C19"/>
    <w:rsid w:val="4B0567D1"/>
    <w:rsid w:val="4B236AAE"/>
    <w:rsid w:val="4B2B4CBC"/>
    <w:rsid w:val="4B707271"/>
    <w:rsid w:val="4B9739F7"/>
    <w:rsid w:val="4BE375E0"/>
    <w:rsid w:val="4BEE2503"/>
    <w:rsid w:val="4C1E42FA"/>
    <w:rsid w:val="4C245A30"/>
    <w:rsid w:val="4CAA6763"/>
    <w:rsid w:val="4CB6685F"/>
    <w:rsid w:val="4CC367FE"/>
    <w:rsid w:val="4CE950BA"/>
    <w:rsid w:val="4D077F3C"/>
    <w:rsid w:val="4D123355"/>
    <w:rsid w:val="4D2A3B31"/>
    <w:rsid w:val="4D312C52"/>
    <w:rsid w:val="4D905305"/>
    <w:rsid w:val="4D964A72"/>
    <w:rsid w:val="4D9C1254"/>
    <w:rsid w:val="4DED420A"/>
    <w:rsid w:val="4E4F2DA9"/>
    <w:rsid w:val="4E793892"/>
    <w:rsid w:val="4E800872"/>
    <w:rsid w:val="4E95262C"/>
    <w:rsid w:val="4E984750"/>
    <w:rsid w:val="4EC569ED"/>
    <w:rsid w:val="4ED50EA1"/>
    <w:rsid w:val="4ED96D02"/>
    <w:rsid w:val="4EEC050C"/>
    <w:rsid w:val="4F104EC3"/>
    <w:rsid w:val="4F47354A"/>
    <w:rsid w:val="4F911C54"/>
    <w:rsid w:val="4FE625E0"/>
    <w:rsid w:val="5021480F"/>
    <w:rsid w:val="5055041F"/>
    <w:rsid w:val="50962ECB"/>
    <w:rsid w:val="50A42E38"/>
    <w:rsid w:val="50A4577F"/>
    <w:rsid w:val="50B73D1F"/>
    <w:rsid w:val="50BD5BC9"/>
    <w:rsid w:val="50C11EEE"/>
    <w:rsid w:val="50E97CFC"/>
    <w:rsid w:val="50FA4028"/>
    <w:rsid w:val="50FE572B"/>
    <w:rsid w:val="5109197B"/>
    <w:rsid w:val="510D65B7"/>
    <w:rsid w:val="511157AB"/>
    <w:rsid w:val="51121E6C"/>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2FF7816"/>
    <w:rsid w:val="53097272"/>
    <w:rsid w:val="530B3D85"/>
    <w:rsid w:val="53544462"/>
    <w:rsid w:val="5397158E"/>
    <w:rsid w:val="53A72B6C"/>
    <w:rsid w:val="53C66938"/>
    <w:rsid w:val="53C75190"/>
    <w:rsid w:val="54013861"/>
    <w:rsid w:val="5417546D"/>
    <w:rsid w:val="54487265"/>
    <w:rsid w:val="544D6070"/>
    <w:rsid w:val="54544735"/>
    <w:rsid w:val="54605E1E"/>
    <w:rsid w:val="54B3506A"/>
    <w:rsid w:val="54CA0D16"/>
    <w:rsid w:val="54DD4057"/>
    <w:rsid w:val="54E7490F"/>
    <w:rsid w:val="550764A4"/>
    <w:rsid w:val="550B2BF6"/>
    <w:rsid w:val="55214EB5"/>
    <w:rsid w:val="55364EFD"/>
    <w:rsid w:val="555D4828"/>
    <w:rsid w:val="557A4C8B"/>
    <w:rsid w:val="5584168C"/>
    <w:rsid w:val="558931E1"/>
    <w:rsid w:val="55923347"/>
    <w:rsid w:val="55925180"/>
    <w:rsid w:val="55983B1B"/>
    <w:rsid w:val="55A8376B"/>
    <w:rsid w:val="55DC29B6"/>
    <w:rsid w:val="55DD4241"/>
    <w:rsid w:val="560234DB"/>
    <w:rsid w:val="561B338B"/>
    <w:rsid w:val="561E5C2D"/>
    <w:rsid w:val="56597D0E"/>
    <w:rsid w:val="566B6D1E"/>
    <w:rsid w:val="56D71D47"/>
    <w:rsid w:val="570010E5"/>
    <w:rsid w:val="57032A2C"/>
    <w:rsid w:val="570F5219"/>
    <w:rsid w:val="575D12B5"/>
    <w:rsid w:val="57605669"/>
    <w:rsid w:val="57610A87"/>
    <w:rsid w:val="577B1140"/>
    <w:rsid w:val="577B7F21"/>
    <w:rsid w:val="577F181B"/>
    <w:rsid w:val="57921984"/>
    <w:rsid w:val="579737F0"/>
    <w:rsid w:val="57AB7B30"/>
    <w:rsid w:val="57AF5251"/>
    <w:rsid w:val="57B26373"/>
    <w:rsid w:val="57B63F04"/>
    <w:rsid w:val="57BC3A8E"/>
    <w:rsid w:val="57CD20C2"/>
    <w:rsid w:val="57CE53C8"/>
    <w:rsid w:val="57D675AB"/>
    <w:rsid w:val="57D73717"/>
    <w:rsid w:val="57D95FDD"/>
    <w:rsid w:val="58005114"/>
    <w:rsid w:val="58917D2F"/>
    <w:rsid w:val="5894085C"/>
    <w:rsid w:val="58AE4F0C"/>
    <w:rsid w:val="58B85899"/>
    <w:rsid w:val="58E363A9"/>
    <w:rsid w:val="59166304"/>
    <w:rsid w:val="595E1678"/>
    <w:rsid w:val="596D5BD4"/>
    <w:rsid w:val="597E3DD8"/>
    <w:rsid w:val="59F80043"/>
    <w:rsid w:val="5A09252F"/>
    <w:rsid w:val="5A0B2778"/>
    <w:rsid w:val="5A2A7C7B"/>
    <w:rsid w:val="5A3E2560"/>
    <w:rsid w:val="5A3E2B90"/>
    <w:rsid w:val="5A5D3B6E"/>
    <w:rsid w:val="5A637A76"/>
    <w:rsid w:val="5A6D33BA"/>
    <w:rsid w:val="5A792B1F"/>
    <w:rsid w:val="5A874767"/>
    <w:rsid w:val="5A9C7376"/>
    <w:rsid w:val="5AA85BE2"/>
    <w:rsid w:val="5AAD6F28"/>
    <w:rsid w:val="5AD63A24"/>
    <w:rsid w:val="5AE71988"/>
    <w:rsid w:val="5B28714F"/>
    <w:rsid w:val="5B2E1A1D"/>
    <w:rsid w:val="5B843A1C"/>
    <w:rsid w:val="5B873E3F"/>
    <w:rsid w:val="5C02690E"/>
    <w:rsid w:val="5C196DA7"/>
    <w:rsid w:val="5C2A048C"/>
    <w:rsid w:val="5C327B4C"/>
    <w:rsid w:val="5C651D6B"/>
    <w:rsid w:val="5C80234E"/>
    <w:rsid w:val="5C8A680C"/>
    <w:rsid w:val="5D0C4701"/>
    <w:rsid w:val="5D0F0395"/>
    <w:rsid w:val="5D1DE5DA"/>
    <w:rsid w:val="5D221076"/>
    <w:rsid w:val="5D397964"/>
    <w:rsid w:val="5D5A391C"/>
    <w:rsid w:val="5D5F10C0"/>
    <w:rsid w:val="5D851B85"/>
    <w:rsid w:val="5D891B7B"/>
    <w:rsid w:val="5DAD38EE"/>
    <w:rsid w:val="5E006862"/>
    <w:rsid w:val="5E0207B9"/>
    <w:rsid w:val="5E1834A1"/>
    <w:rsid w:val="5E261785"/>
    <w:rsid w:val="5E437B09"/>
    <w:rsid w:val="5E4A7017"/>
    <w:rsid w:val="5E552BBA"/>
    <w:rsid w:val="5E611C10"/>
    <w:rsid w:val="5E7A0F3F"/>
    <w:rsid w:val="5EFC7377"/>
    <w:rsid w:val="5F06174D"/>
    <w:rsid w:val="5F3A3602"/>
    <w:rsid w:val="5F45733B"/>
    <w:rsid w:val="5F482646"/>
    <w:rsid w:val="5F55529C"/>
    <w:rsid w:val="5F6277C6"/>
    <w:rsid w:val="5F6D0B1D"/>
    <w:rsid w:val="5F8D0B82"/>
    <w:rsid w:val="5FA40637"/>
    <w:rsid w:val="5FCC5339"/>
    <w:rsid w:val="5FE34A5B"/>
    <w:rsid w:val="5FFE1E36"/>
    <w:rsid w:val="600B4656"/>
    <w:rsid w:val="60106C87"/>
    <w:rsid w:val="60232584"/>
    <w:rsid w:val="60251081"/>
    <w:rsid w:val="607330CE"/>
    <w:rsid w:val="60825176"/>
    <w:rsid w:val="609F2AC4"/>
    <w:rsid w:val="60FA2EE8"/>
    <w:rsid w:val="61054A27"/>
    <w:rsid w:val="610A52BC"/>
    <w:rsid w:val="611D2366"/>
    <w:rsid w:val="61421856"/>
    <w:rsid w:val="615227C4"/>
    <w:rsid w:val="61654E3F"/>
    <w:rsid w:val="6182292A"/>
    <w:rsid w:val="619F7F92"/>
    <w:rsid w:val="61C64CD9"/>
    <w:rsid w:val="61F94C26"/>
    <w:rsid w:val="62000E56"/>
    <w:rsid w:val="624F3E49"/>
    <w:rsid w:val="62632286"/>
    <w:rsid w:val="62885958"/>
    <w:rsid w:val="62F40B65"/>
    <w:rsid w:val="62FC2CFE"/>
    <w:rsid w:val="63024505"/>
    <w:rsid w:val="63497970"/>
    <w:rsid w:val="635600A5"/>
    <w:rsid w:val="635B1DB5"/>
    <w:rsid w:val="63711FED"/>
    <w:rsid w:val="63880DDC"/>
    <w:rsid w:val="638D750D"/>
    <w:rsid w:val="63AC6CC0"/>
    <w:rsid w:val="64055776"/>
    <w:rsid w:val="64240056"/>
    <w:rsid w:val="643E143A"/>
    <w:rsid w:val="64410103"/>
    <w:rsid w:val="64491666"/>
    <w:rsid w:val="648B6EEF"/>
    <w:rsid w:val="64BA54CD"/>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C823EF"/>
    <w:rsid w:val="67D90273"/>
    <w:rsid w:val="67DE5875"/>
    <w:rsid w:val="67E55852"/>
    <w:rsid w:val="67EB1AB4"/>
    <w:rsid w:val="67FA1285"/>
    <w:rsid w:val="682269E1"/>
    <w:rsid w:val="68551F4F"/>
    <w:rsid w:val="687C10C9"/>
    <w:rsid w:val="68840C16"/>
    <w:rsid w:val="68876EFB"/>
    <w:rsid w:val="68884654"/>
    <w:rsid w:val="689F444F"/>
    <w:rsid w:val="68B96DBB"/>
    <w:rsid w:val="68BC69A9"/>
    <w:rsid w:val="68CA2805"/>
    <w:rsid w:val="68D128E1"/>
    <w:rsid w:val="68E937A3"/>
    <w:rsid w:val="693E15D3"/>
    <w:rsid w:val="69450EC1"/>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3360D"/>
    <w:rsid w:val="6C552F0B"/>
    <w:rsid w:val="6C8C67B7"/>
    <w:rsid w:val="6C9D744C"/>
    <w:rsid w:val="6D167928"/>
    <w:rsid w:val="6D26299B"/>
    <w:rsid w:val="6D3E7B64"/>
    <w:rsid w:val="6D4772EC"/>
    <w:rsid w:val="6D520D08"/>
    <w:rsid w:val="6D9078AF"/>
    <w:rsid w:val="6DAA3FEF"/>
    <w:rsid w:val="6DC0172B"/>
    <w:rsid w:val="6DCB690C"/>
    <w:rsid w:val="6DD41A5B"/>
    <w:rsid w:val="6DF43C2E"/>
    <w:rsid w:val="6DF51CA3"/>
    <w:rsid w:val="6E3B25AB"/>
    <w:rsid w:val="6E8335BD"/>
    <w:rsid w:val="6E8E12EF"/>
    <w:rsid w:val="6E972936"/>
    <w:rsid w:val="6E9F2B3A"/>
    <w:rsid w:val="6ED446C5"/>
    <w:rsid w:val="6F2A7D94"/>
    <w:rsid w:val="6F8331F1"/>
    <w:rsid w:val="6FAE1A09"/>
    <w:rsid w:val="6FD75BF8"/>
    <w:rsid w:val="70713D1E"/>
    <w:rsid w:val="707723D0"/>
    <w:rsid w:val="70F5661B"/>
    <w:rsid w:val="70FE1B23"/>
    <w:rsid w:val="71360107"/>
    <w:rsid w:val="713B688E"/>
    <w:rsid w:val="713E70E1"/>
    <w:rsid w:val="719F449E"/>
    <w:rsid w:val="71D43752"/>
    <w:rsid w:val="71F1796A"/>
    <w:rsid w:val="72154626"/>
    <w:rsid w:val="72262B5D"/>
    <w:rsid w:val="72283FF7"/>
    <w:rsid w:val="722E7212"/>
    <w:rsid w:val="723A0474"/>
    <w:rsid w:val="725923E4"/>
    <w:rsid w:val="72864BF7"/>
    <w:rsid w:val="729023FC"/>
    <w:rsid w:val="733916B7"/>
    <w:rsid w:val="73C0646E"/>
    <w:rsid w:val="73D47A8C"/>
    <w:rsid w:val="73DD4830"/>
    <w:rsid w:val="742222F5"/>
    <w:rsid w:val="74476126"/>
    <w:rsid w:val="74706664"/>
    <w:rsid w:val="747F3682"/>
    <w:rsid w:val="749C4185"/>
    <w:rsid w:val="74C257AA"/>
    <w:rsid w:val="75067759"/>
    <w:rsid w:val="751002ED"/>
    <w:rsid w:val="752E6DCD"/>
    <w:rsid w:val="7551380D"/>
    <w:rsid w:val="75600BE5"/>
    <w:rsid w:val="7564475C"/>
    <w:rsid w:val="7583797F"/>
    <w:rsid w:val="75934A1C"/>
    <w:rsid w:val="75D20F1D"/>
    <w:rsid w:val="75DA2C18"/>
    <w:rsid w:val="75F54412"/>
    <w:rsid w:val="761D08E0"/>
    <w:rsid w:val="765D347C"/>
    <w:rsid w:val="76826699"/>
    <w:rsid w:val="76873BC1"/>
    <w:rsid w:val="76C87133"/>
    <w:rsid w:val="76CD08D5"/>
    <w:rsid w:val="76DB4B92"/>
    <w:rsid w:val="76FF5330"/>
    <w:rsid w:val="77052AA4"/>
    <w:rsid w:val="77136511"/>
    <w:rsid w:val="77167A87"/>
    <w:rsid w:val="77340A39"/>
    <w:rsid w:val="77351FD0"/>
    <w:rsid w:val="77472422"/>
    <w:rsid w:val="777F31F2"/>
    <w:rsid w:val="77D1700D"/>
    <w:rsid w:val="77EA74CC"/>
    <w:rsid w:val="77EC04CC"/>
    <w:rsid w:val="78775729"/>
    <w:rsid w:val="7899684C"/>
    <w:rsid w:val="78A42DB0"/>
    <w:rsid w:val="78A656AB"/>
    <w:rsid w:val="78B2245C"/>
    <w:rsid w:val="78DA7BF7"/>
    <w:rsid w:val="78E172CC"/>
    <w:rsid w:val="78EA1D1F"/>
    <w:rsid w:val="7904172F"/>
    <w:rsid w:val="79097035"/>
    <w:rsid w:val="790F7E27"/>
    <w:rsid w:val="792A231A"/>
    <w:rsid w:val="79316829"/>
    <w:rsid w:val="79635B60"/>
    <w:rsid w:val="797E66A9"/>
    <w:rsid w:val="798518A4"/>
    <w:rsid w:val="79882CF2"/>
    <w:rsid w:val="79A97383"/>
    <w:rsid w:val="79E27E8B"/>
    <w:rsid w:val="79F850CE"/>
    <w:rsid w:val="79FD443C"/>
    <w:rsid w:val="7A1D1975"/>
    <w:rsid w:val="7A3E5150"/>
    <w:rsid w:val="7A4670D6"/>
    <w:rsid w:val="7A534B63"/>
    <w:rsid w:val="7A615382"/>
    <w:rsid w:val="7A67303B"/>
    <w:rsid w:val="7AAB1D04"/>
    <w:rsid w:val="7ABA4368"/>
    <w:rsid w:val="7ABB0CFB"/>
    <w:rsid w:val="7AD05746"/>
    <w:rsid w:val="7B257FFD"/>
    <w:rsid w:val="7B343476"/>
    <w:rsid w:val="7B5A2978"/>
    <w:rsid w:val="7B5A7E4C"/>
    <w:rsid w:val="7B667AF9"/>
    <w:rsid w:val="7B7468F8"/>
    <w:rsid w:val="7BEE0103"/>
    <w:rsid w:val="7C0A0FE4"/>
    <w:rsid w:val="7C254906"/>
    <w:rsid w:val="7C590818"/>
    <w:rsid w:val="7C6732F0"/>
    <w:rsid w:val="7C7C10F6"/>
    <w:rsid w:val="7C853BEA"/>
    <w:rsid w:val="7C881368"/>
    <w:rsid w:val="7CB818B3"/>
    <w:rsid w:val="7CE27788"/>
    <w:rsid w:val="7D0C32F1"/>
    <w:rsid w:val="7D0F408D"/>
    <w:rsid w:val="7D491C6C"/>
    <w:rsid w:val="7D5429C0"/>
    <w:rsid w:val="7D6E6D43"/>
    <w:rsid w:val="7DB57A34"/>
    <w:rsid w:val="7DE60973"/>
    <w:rsid w:val="7DEF0916"/>
    <w:rsid w:val="7E1E5218"/>
    <w:rsid w:val="7E9A4E1F"/>
    <w:rsid w:val="7EA7723A"/>
    <w:rsid w:val="7EB81685"/>
    <w:rsid w:val="7EBE8AB3"/>
    <w:rsid w:val="7EF56FBB"/>
    <w:rsid w:val="7F0768EB"/>
    <w:rsid w:val="7F143BEC"/>
    <w:rsid w:val="7F1B770B"/>
    <w:rsid w:val="7F715AF2"/>
    <w:rsid w:val="7F886E69"/>
    <w:rsid w:val="7F9DEFDD"/>
    <w:rsid w:val="7FDF7E14"/>
    <w:rsid w:val="9C2DC1F0"/>
    <w:rsid w:val="9EED6234"/>
    <w:rsid w:val="9EFF1932"/>
    <w:rsid w:val="BB7FA927"/>
    <w:rsid w:val="BE17C5AF"/>
    <w:rsid w:val="DEFB09E1"/>
    <w:rsid w:val="EFFFB235"/>
    <w:rsid w:val="F5FFD31F"/>
    <w:rsid w:val="F63D9962"/>
    <w:rsid w:val="F7FF2692"/>
    <w:rsid w:val="FA7FF16F"/>
    <w:rsid w:val="FBDC34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280"/>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4"/>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5"/>
    <w:next w:val="1"/>
    <w:link w:val="324"/>
    <w:autoRedefine/>
    <w:qFormat/>
    <w:uiPriority w:val="0"/>
    <w:pPr>
      <w:tabs>
        <w:tab w:val="left" w:pos="864"/>
        <w:tab w:val="clear" w:pos="900"/>
      </w:tabs>
      <w:spacing w:before="280" w:after="290" w:line="376" w:lineRule="auto"/>
      <w:ind w:left="864" w:hanging="864"/>
      <w:outlineLvl w:val="3"/>
    </w:pPr>
    <w:rPr>
      <w:rFonts w:ascii="Arial" w:hAnsi="Arial" w:eastAsia="黑体"/>
      <w:sz w:val="28"/>
      <w:szCs w:val="28"/>
      <w:lang w:val="zh-CN"/>
    </w:rPr>
  </w:style>
  <w:style w:type="paragraph" w:styleId="7">
    <w:name w:val="heading 5"/>
    <w:basedOn w:val="1"/>
    <w:next w:val="1"/>
    <w:link w:val="290"/>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4">
    <w:name w:val="List Paragraph"/>
    <w:basedOn w:val="1"/>
    <w:autoRedefine/>
    <w:qFormat/>
    <w:uiPriority w:val="34"/>
    <w:pPr>
      <w:spacing w:line="360" w:lineRule="auto"/>
      <w:ind w:firstLine="200" w:firstLineChars="200"/>
    </w:pPr>
    <w:rPr>
      <w:rFonts w:eastAsia="楷体_GB2312" w:cs="Lucida Sans"/>
      <w:sz w:val="24"/>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link w:val="191"/>
    <w:autoRedefine/>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7"/>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0"/>
    <w:autoRedefine/>
    <w:qFormat/>
    <w:uiPriority w:val="0"/>
    <w:pPr>
      <w:shd w:val="clear" w:color="auto" w:fill="000080"/>
    </w:pPr>
  </w:style>
  <w:style w:type="paragraph" w:styleId="20">
    <w:name w:val="annotation text"/>
    <w:basedOn w:val="1"/>
    <w:link w:val="341"/>
    <w:autoRedefine/>
    <w:qFormat/>
    <w:uiPriority w:val="99"/>
    <w:pPr>
      <w:jc w:val="left"/>
    </w:pPr>
  </w:style>
  <w:style w:type="paragraph" w:styleId="21">
    <w:name w:val="Salutation"/>
    <w:basedOn w:val="1"/>
    <w:next w:val="1"/>
    <w:link w:val="295"/>
    <w:autoRedefine/>
    <w:qFormat/>
    <w:uiPriority w:val="0"/>
    <w:rPr>
      <w:rFonts w:ascii="仿宋_GB2312" w:eastAsia="仿宋_GB2312"/>
      <w:sz w:val="28"/>
      <w:szCs w:val="20"/>
    </w:rPr>
  </w:style>
  <w:style w:type="paragraph" w:styleId="22">
    <w:name w:val="Body Text 3"/>
    <w:basedOn w:val="1"/>
    <w:link w:val="327"/>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link w:val="427"/>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26"/>
    <w:link w:val="262"/>
    <w:autoRedefine/>
    <w:qFormat/>
    <w:uiPriority w:val="0"/>
    <w:pPr>
      <w:spacing w:line="480" w:lineRule="exact"/>
      <w:ind w:firstLine="480" w:firstLineChars="200"/>
    </w:pPr>
    <w:rPr>
      <w:rFonts w:ascii="宋体" w:hAnsi="宋体"/>
      <w:sz w:val="24"/>
    </w:rPr>
  </w:style>
  <w:style w:type="paragraph" w:styleId="26">
    <w:name w:val="Body Text First Indent 2"/>
    <w:basedOn w:val="25"/>
    <w:link w:val="119"/>
    <w:autoRedefine/>
    <w:qFormat/>
    <w:uiPriority w:val="0"/>
    <w:pPr>
      <w:adjustRightInd/>
      <w:spacing w:after="120" w:line="240" w:lineRule="auto"/>
      <w:ind w:left="420" w:leftChars="200" w:firstLine="210"/>
    </w:pPr>
    <w:rPr>
      <w:sz w:val="21"/>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3"/>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79"/>
    <w:autoRedefine/>
    <w:qFormat/>
    <w:uiPriority w:val="0"/>
    <w:pPr>
      <w:ind w:left="100" w:leftChars="2500"/>
    </w:pPr>
    <w:rPr>
      <w:rFonts w:ascii="宋体"/>
      <w:sz w:val="24"/>
      <w:szCs w:val="21"/>
      <w:lang w:val="zh-CN"/>
    </w:rPr>
  </w:style>
  <w:style w:type="paragraph" w:styleId="38">
    <w:name w:val="Body Text Indent 2"/>
    <w:basedOn w:val="1"/>
    <w:link w:val="305"/>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29"/>
    <w:autoRedefine/>
    <w:qFormat/>
    <w:uiPriority w:val="0"/>
    <w:rPr>
      <w:lang w:val="zh-CN"/>
    </w:rPr>
  </w:style>
  <w:style w:type="paragraph" w:styleId="40">
    <w:name w:val="Balloon Text"/>
    <w:basedOn w:val="1"/>
    <w:link w:val="186"/>
    <w:autoRedefine/>
    <w:qFormat/>
    <w:uiPriority w:val="0"/>
    <w:rPr>
      <w:sz w:val="18"/>
      <w:szCs w:val="18"/>
    </w:rPr>
  </w:style>
  <w:style w:type="paragraph" w:styleId="41">
    <w:name w:val="footer"/>
    <w:basedOn w:val="1"/>
    <w:link w:val="380"/>
    <w:autoRedefine/>
    <w:qFormat/>
    <w:uiPriority w:val="99"/>
    <w:pPr>
      <w:tabs>
        <w:tab w:val="center" w:pos="4153"/>
        <w:tab w:val="right" w:pos="8306"/>
      </w:tabs>
      <w:snapToGrid w:val="0"/>
      <w:jc w:val="left"/>
    </w:pPr>
    <w:rPr>
      <w:sz w:val="18"/>
      <w:szCs w:val="18"/>
    </w:rPr>
  </w:style>
  <w:style w:type="paragraph" w:styleId="42">
    <w:name w:val="header"/>
    <w:basedOn w:val="1"/>
    <w:link w:val="389"/>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1"/>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16"/>
    <w:link w:val="307"/>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2"/>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299"/>
    <w:autoRedefine/>
    <w:qFormat/>
    <w:uiPriority w:val="0"/>
    <w:pPr>
      <w:spacing w:after="120" w:line="480" w:lineRule="auto"/>
    </w:pPr>
  </w:style>
  <w:style w:type="paragraph" w:styleId="58">
    <w:name w:val="HTML Preformatted"/>
    <w:basedOn w:val="1"/>
    <w:link w:val="29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94"/>
    <w:autoRedefine/>
    <w:qFormat/>
    <w:uiPriority w:val="0"/>
    <w:rPr>
      <w:b/>
      <w:bCs/>
    </w:rPr>
  </w:style>
  <w:style w:type="paragraph" w:styleId="62">
    <w:name w:val="Body Text First Indent"/>
    <w:basedOn w:val="24"/>
    <w:link w:val="318"/>
    <w:autoRedefine/>
    <w:qFormat/>
    <w:uiPriority w:val="0"/>
    <w:pPr>
      <w:ind w:firstLine="420"/>
    </w:pPr>
    <w:rPr>
      <w:rFonts w:hAnsi="Calibri" w:cs="Times New Roman"/>
      <w:snapToGrid/>
      <w:szCs w:val="20"/>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character" w:customStyle="1" w:styleId="80">
    <w:name w:val="表格非标题文字 Char"/>
    <w:link w:val="81"/>
    <w:autoRedefine/>
    <w:qFormat/>
    <w:uiPriority w:val="0"/>
    <w:rPr>
      <w:rFonts w:ascii="Futura Bk" w:hAnsi="Futura Bk"/>
      <w:kern w:val="2"/>
      <w:sz w:val="18"/>
      <w:szCs w:val="21"/>
      <w:lang w:val="en-US" w:eastAsia="zh-CN" w:bidi="ar-SA"/>
    </w:rPr>
  </w:style>
  <w:style w:type="paragraph" w:customStyle="1" w:styleId="81">
    <w:name w:val="表格非标题文字"/>
    <w:link w:val="80"/>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autoRedefine/>
    <w:qFormat/>
    <w:locked/>
    <w:uiPriority w:val="0"/>
    <w:rPr>
      <w:rFonts w:ascii="宋体" w:hAnsi="宋体"/>
      <w:sz w:val="24"/>
    </w:rPr>
  </w:style>
  <w:style w:type="paragraph" w:customStyle="1" w:styleId="83">
    <w:name w:val="*正文"/>
    <w:basedOn w:val="1"/>
    <w:link w:val="82"/>
    <w:autoRedefine/>
    <w:qFormat/>
    <w:uiPriority w:val="0"/>
    <w:pPr>
      <w:snapToGrid w:val="0"/>
      <w:spacing w:line="360" w:lineRule="auto"/>
      <w:ind w:firstLine="482"/>
      <w:jc w:val="left"/>
    </w:pPr>
    <w:rPr>
      <w:rFonts w:ascii="宋体" w:hAnsi="宋体"/>
      <w:kern w:val="0"/>
      <w:sz w:val="24"/>
      <w:szCs w:val="20"/>
    </w:rPr>
  </w:style>
  <w:style w:type="character" w:customStyle="1" w:styleId="84">
    <w:name w:val="Char Char71"/>
    <w:autoRedefine/>
    <w:semiHidden/>
    <w:qFormat/>
    <w:uiPriority w:val="0"/>
    <w:rPr>
      <w:rFonts w:eastAsia="宋体"/>
      <w:kern w:val="2"/>
      <w:sz w:val="21"/>
      <w:szCs w:val="24"/>
      <w:lang w:val="en-US" w:eastAsia="zh-CN" w:bidi="ar-SA"/>
    </w:rPr>
  </w:style>
  <w:style w:type="character" w:customStyle="1" w:styleId="85">
    <w:name w:val="Char Char6"/>
    <w:autoRedefine/>
    <w:qFormat/>
    <w:uiPriority w:val="0"/>
    <w:rPr>
      <w:rFonts w:eastAsia="宋体"/>
      <w:kern w:val="2"/>
      <w:sz w:val="21"/>
      <w:szCs w:val="24"/>
      <w:lang w:val="en-US" w:eastAsia="zh-CN" w:bidi="ar-SA"/>
    </w:rPr>
  </w:style>
  <w:style w:type="character" w:customStyle="1" w:styleId="86">
    <w:name w:val="正文缩进 Char"/>
    <w:autoRedefine/>
    <w:qFormat/>
    <w:uiPriority w:val="0"/>
    <w:rPr>
      <w:rFonts w:eastAsia="宋体"/>
      <w:kern w:val="2"/>
      <w:sz w:val="21"/>
      <w:lang w:val="en-US" w:eastAsia="zh-CN"/>
    </w:rPr>
  </w:style>
  <w:style w:type="character" w:customStyle="1" w:styleId="87">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8">
    <w:name w:val="Char Char28"/>
    <w:autoRedefine/>
    <w:qFormat/>
    <w:uiPriority w:val="6"/>
    <w:rPr>
      <w:rFonts w:ascii="仿宋_GB2312" w:hAnsi="仿宋_GB2312" w:eastAsia="仿宋_GB2312"/>
      <w:kern w:val="1"/>
      <w:sz w:val="28"/>
    </w:rPr>
  </w:style>
  <w:style w:type="character" w:customStyle="1" w:styleId="89">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autoRedefine/>
    <w:qFormat/>
    <w:uiPriority w:val="6"/>
    <w:rPr>
      <w:rFonts w:ascii="Times New Roman" w:hAnsi="Times New Roman" w:eastAsia="黑体" w:cs="Times New Roman"/>
      <w:b/>
      <w:kern w:val="0"/>
      <w:sz w:val="24"/>
      <w:szCs w:val="24"/>
    </w:rPr>
  </w:style>
  <w:style w:type="character" w:customStyle="1" w:styleId="91">
    <w:name w:val="U_正文 Char"/>
    <w:link w:val="92"/>
    <w:autoRedefine/>
    <w:qFormat/>
    <w:uiPriority w:val="0"/>
    <w:rPr>
      <w:sz w:val="24"/>
      <w:szCs w:val="24"/>
    </w:rPr>
  </w:style>
  <w:style w:type="paragraph" w:customStyle="1" w:styleId="92">
    <w:name w:val="U_正文"/>
    <w:basedOn w:val="1"/>
    <w:link w:val="91"/>
    <w:autoRedefine/>
    <w:qFormat/>
    <w:uiPriority w:val="0"/>
    <w:pPr>
      <w:adjustRightInd/>
      <w:spacing w:beforeLines="20" w:afterLines="20" w:line="300" w:lineRule="auto"/>
      <w:ind w:firstLine="200" w:firstLineChars="200"/>
    </w:pPr>
    <w:rPr>
      <w:kern w:val="0"/>
      <w:sz w:val="24"/>
    </w:rPr>
  </w:style>
  <w:style w:type="character" w:customStyle="1" w:styleId="93">
    <w:name w:val="HTML 地址 Char1"/>
    <w:autoRedefine/>
    <w:qFormat/>
    <w:uiPriority w:val="0"/>
    <w:rPr>
      <w:rFonts w:ascii="Times New Roman" w:hAnsi="Times New Roman" w:eastAsia="宋体" w:cs="Times New Roman"/>
      <w:i/>
      <w:iCs/>
      <w:szCs w:val="24"/>
    </w:rPr>
  </w:style>
  <w:style w:type="character" w:customStyle="1" w:styleId="94">
    <w:name w:val="批注主题 字符"/>
    <w:link w:val="61"/>
    <w:autoRedefine/>
    <w:qFormat/>
    <w:uiPriority w:val="0"/>
    <w:rPr>
      <w:b/>
      <w:bCs/>
      <w:kern w:val="2"/>
      <w:sz w:val="21"/>
      <w:szCs w:val="24"/>
    </w:rPr>
  </w:style>
  <w:style w:type="character" w:customStyle="1" w:styleId="95">
    <w:name w:val="Char Char51"/>
    <w:autoRedefine/>
    <w:qFormat/>
    <w:uiPriority w:val="0"/>
    <w:rPr>
      <w:rFonts w:ascii="宋体" w:hAnsi="Courier New" w:eastAsia="宋体"/>
      <w:kern w:val="2"/>
      <w:sz w:val="21"/>
      <w:lang w:val="en-US" w:eastAsia="zh-CN"/>
    </w:rPr>
  </w:style>
  <w:style w:type="character" w:customStyle="1" w:styleId="96">
    <w:name w:val="表正文 Char"/>
    <w:autoRedefine/>
    <w:qFormat/>
    <w:uiPriority w:val="0"/>
    <w:rPr>
      <w:rFonts w:ascii="宋体" w:eastAsia="宋体"/>
      <w:snapToGrid w:val="0"/>
      <w:color w:val="000000"/>
      <w:kern w:val="28"/>
      <w:sz w:val="28"/>
      <w:lang w:val="en-US" w:eastAsia="zh-CN" w:bidi="ar-SA"/>
    </w:rPr>
  </w:style>
  <w:style w:type="character" w:customStyle="1" w:styleId="97">
    <w:name w:val="Char Char34"/>
    <w:autoRedefine/>
    <w:qFormat/>
    <w:uiPriority w:val="6"/>
    <w:rPr>
      <w:b/>
      <w:kern w:val="1"/>
      <w:sz w:val="28"/>
      <w:szCs w:val="28"/>
    </w:rPr>
  </w:style>
  <w:style w:type="character" w:customStyle="1" w:styleId="98">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autoRedefine/>
    <w:qFormat/>
    <w:uiPriority w:val="0"/>
    <w:rPr>
      <w:rFonts w:ascii="宋体" w:hAnsi="宋体" w:eastAsia="宋体"/>
      <w:kern w:val="2"/>
      <w:sz w:val="24"/>
      <w:lang w:bidi="ar-SA"/>
    </w:rPr>
  </w:style>
  <w:style w:type="paragraph" w:customStyle="1" w:styleId="100">
    <w:name w:val="哈哈正文"/>
    <w:basedOn w:val="1"/>
    <w:link w:val="99"/>
    <w:autoRedefine/>
    <w:qFormat/>
    <w:uiPriority w:val="0"/>
    <w:pPr>
      <w:adjustRightInd/>
      <w:spacing w:line="360" w:lineRule="auto"/>
      <w:ind w:firstLine="200" w:firstLineChars="200"/>
    </w:pPr>
    <w:rPr>
      <w:rFonts w:ascii="宋体" w:hAnsi="宋体"/>
      <w:sz w:val="24"/>
      <w:szCs w:val="20"/>
    </w:rPr>
  </w:style>
  <w:style w:type="character" w:customStyle="1" w:styleId="101">
    <w:name w:val="未处理的提及1"/>
    <w:autoRedefine/>
    <w:qFormat/>
    <w:uiPriority w:val="0"/>
    <w:rPr>
      <w:color w:val="808080"/>
      <w:shd w:val="clear" w:color="auto" w:fill="E6E6E6"/>
    </w:rPr>
  </w:style>
  <w:style w:type="character" w:customStyle="1" w:styleId="102">
    <w:name w:val="txt"/>
    <w:autoRedefine/>
    <w:qFormat/>
    <w:uiPriority w:val="0"/>
    <w:rPr>
      <w:rFonts w:ascii="仿宋_GB2312" w:eastAsia="微软雅黑"/>
      <w:b/>
      <w:kern w:val="2"/>
      <w:sz w:val="32"/>
      <w:szCs w:val="32"/>
      <w:lang w:val="en-US" w:eastAsia="zh-CN" w:bidi="ar-SA"/>
    </w:rPr>
  </w:style>
  <w:style w:type="character" w:customStyle="1" w:styleId="103">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4">
    <w:name w:val="Char Char32"/>
    <w:autoRedefine/>
    <w:qFormat/>
    <w:uiPriority w:val="6"/>
    <w:rPr>
      <w:b/>
      <w:kern w:val="1"/>
      <w:sz w:val="24"/>
      <w:szCs w:val="24"/>
    </w:rPr>
  </w:style>
  <w:style w:type="character" w:customStyle="1" w:styleId="105">
    <w:name w:val="PI Char1"/>
    <w:autoRedefine/>
    <w:qFormat/>
    <w:uiPriority w:val="0"/>
    <w:rPr>
      <w:rFonts w:ascii="宋体" w:hAnsi="宋体"/>
      <w:kern w:val="2"/>
      <w:sz w:val="24"/>
      <w:szCs w:val="24"/>
    </w:rPr>
  </w:style>
  <w:style w:type="character" w:customStyle="1" w:styleId="106">
    <w:name w:val="tw4winTerm"/>
    <w:autoRedefine/>
    <w:qFormat/>
    <w:uiPriority w:val="0"/>
    <w:rPr>
      <w:color w:val="0000FF"/>
    </w:rPr>
  </w:style>
  <w:style w:type="character" w:customStyle="1" w:styleId="107">
    <w:name w:val="Footer Char"/>
    <w:autoRedefine/>
    <w:qFormat/>
    <w:locked/>
    <w:uiPriority w:val="0"/>
    <w:rPr>
      <w:rFonts w:eastAsia="宋体"/>
      <w:kern w:val="2"/>
      <w:sz w:val="18"/>
      <w:lang w:val="en-US" w:eastAsia="zh-CN" w:bidi="ar-SA"/>
    </w:rPr>
  </w:style>
  <w:style w:type="character" w:customStyle="1" w:styleId="108">
    <w:name w:val="普通文字 Char Char1"/>
    <w:autoRedefine/>
    <w:qFormat/>
    <w:uiPriority w:val="0"/>
    <w:rPr>
      <w:rFonts w:ascii="宋体" w:hAnsi="Courier New"/>
      <w:kern w:val="2"/>
      <w:sz w:val="21"/>
    </w:rPr>
  </w:style>
  <w:style w:type="character" w:customStyle="1" w:styleId="109">
    <w:name w:val="Char Char101"/>
    <w:autoRedefine/>
    <w:qFormat/>
    <w:uiPriority w:val="6"/>
    <w:rPr>
      <w:rFonts w:ascii="宋体" w:hAnsi="宋体"/>
      <w:kern w:val="2"/>
      <w:sz w:val="21"/>
      <w:szCs w:val="24"/>
      <w:lang w:val="en-US" w:eastAsia="zh-CN"/>
    </w:rPr>
  </w:style>
  <w:style w:type="character" w:customStyle="1" w:styleId="110">
    <w:name w:val="标题 4 Char"/>
    <w:autoRedefine/>
    <w:qFormat/>
    <w:uiPriority w:val="0"/>
    <w:rPr>
      <w:rFonts w:ascii="Arial" w:hAnsi="Arial" w:eastAsia="黑体"/>
      <w:b/>
      <w:kern w:val="2"/>
      <w:sz w:val="28"/>
    </w:rPr>
  </w:style>
  <w:style w:type="character" w:customStyle="1" w:styleId="111">
    <w:name w:val="链接"/>
    <w:autoRedefine/>
    <w:qFormat/>
    <w:uiPriority w:val="0"/>
    <w:rPr>
      <w:color w:val="0000FF"/>
      <w:sz w:val="21"/>
      <w:szCs w:val="21"/>
      <w:u w:val="single"/>
    </w:rPr>
  </w:style>
  <w:style w:type="character" w:customStyle="1" w:styleId="112">
    <w:name w:val="h4 Char"/>
    <w:autoRedefine/>
    <w:qFormat/>
    <w:uiPriority w:val="0"/>
    <w:rPr>
      <w:rFonts w:ascii="Arial" w:hAnsi="Arial" w:eastAsia="黑体"/>
      <w:b/>
      <w:bCs/>
      <w:kern w:val="2"/>
      <w:sz w:val="28"/>
      <w:szCs w:val="28"/>
      <w:lang w:val="zh-CN" w:eastAsia="zh-CN" w:bidi="ar-SA"/>
    </w:rPr>
  </w:style>
  <w:style w:type="character" w:customStyle="1" w:styleId="113">
    <w:name w:val="5正文 Char"/>
    <w:link w:val="114"/>
    <w:autoRedefine/>
    <w:qFormat/>
    <w:uiPriority w:val="0"/>
    <w:rPr>
      <w:rFonts w:ascii="仿宋_GB2312" w:hAnsi="微软雅黑" w:eastAsia="仿宋_GB2312"/>
      <w:sz w:val="28"/>
      <w:szCs w:val="21"/>
    </w:rPr>
  </w:style>
  <w:style w:type="paragraph" w:customStyle="1" w:styleId="114">
    <w:name w:val="5正文"/>
    <w:basedOn w:val="1"/>
    <w:link w:val="113"/>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autoRedefine/>
    <w:qFormat/>
    <w:uiPriority w:val="9"/>
    <w:rPr>
      <w:b/>
      <w:bCs/>
      <w:kern w:val="2"/>
      <w:sz w:val="32"/>
      <w:szCs w:val="32"/>
    </w:rPr>
  </w:style>
  <w:style w:type="character" w:customStyle="1" w:styleId="116">
    <w:name w:val="样式6 Char"/>
    <w:autoRedefine/>
    <w:qFormat/>
    <w:uiPriority w:val="0"/>
    <w:rPr>
      <w:rFonts w:ascii="仿宋_GB2312" w:hAnsi="宋体" w:eastAsia="仿宋_GB2312"/>
      <w:b/>
      <w:bCs/>
      <w:kern w:val="2"/>
      <w:sz w:val="24"/>
      <w:szCs w:val="24"/>
      <w:lang w:val="en-US" w:eastAsia="zh-CN" w:bidi="ar-SA"/>
    </w:rPr>
  </w:style>
  <w:style w:type="character" w:customStyle="1" w:styleId="117">
    <w:name w:val="Char Char14"/>
    <w:autoRedefine/>
    <w:qFormat/>
    <w:uiPriority w:val="6"/>
    <w:rPr>
      <w:rFonts w:ascii="黑体" w:hAnsi="黑体" w:eastAsia="黑体"/>
    </w:rPr>
  </w:style>
  <w:style w:type="character" w:customStyle="1" w:styleId="118">
    <w:name w:val="Heading 2 Hidden Char"/>
    <w:autoRedefine/>
    <w:qFormat/>
    <w:uiPriority w:val="0"/>
    <w:rPr>
      <w:rFonts w:ascii="仿宋_GB2312" w:eastAsia="仿宋_GB2312"/>
      <w:b/>
      <w:bCs/>
      <w:kern w:val="2"/>
      <w:sz w:val="24"/>
      <w:szCs w:val="24"/>
      <w:lang w:val="zh-CN" w:eastAsia="zh-CN" w:bidi="ar-SA"/>
    </w:rPr>
  </w:style>
  <w:style w:type="character" w:customStyle="1" w:styleId="119">
    <w:name w:val="正文文本首行缩进 2 字符"/>
    <w:link w:val="26"/>
    <w:autoRedefine/>
    <w:qFormat/>
    <w:uiPriority w:val="0"/>
    <w:rPr>
      <w:rFonts w:ascii="宋体" w:hAnsi="宋体"/>
      <w:kern w:val="2"/>
      <w:sz w:val="21"/>
      <w:szCs w:val="24"/>
    </w:rPr>
  </w:style>
  <w:style w:type="character" w:customStyle="1" w:styleId="120">
    <w:name w:val="font11"/>
    <w:autoRedefine/>
    <w:qFormat/>
    <w:uiPriority w:val="0"/>
    <w:rPr>
      <w:rFonts w:hint="default" w:ascii="Times New Roman" w:hAnsi="Times New Roman" w:cs="Times New Roman"/>
      <w:color w:val="000000"/>
      <w:sz w:val="22"/>
      <w:szCs w:val="22"/>
      <w:u w:val="none"/>
    </w:rPr>
  </w:style>
  <w:style w:type="character" w:customStyle="1" w:styleId="121">
    <w:name w:val="表正文 Char1"/>
    <w:autoRedefine/>
    <w:qFormat/>
    <w:uiPriority w:val="0"/>
    <w:rPr>
      <w:rFonts w:ascii="宋体" w:eastAsia="宋体"/>
      <w:snapToGrid w:val="0"/>
      <w:color w:val="000000"/>
      <w:kern w:val="28"/>
      <w:sz w:val="28"/>
    </w:rPr>
  </w:style>
  <w:style w:type="character" w:customStyle="1" w:styleId="122">
    <w:name w:val="blue1"/>
    <w:basedOn w:val="70"/>
    <w:autoRedefine/>
    <w:qFormat/>
    <w:uiPriority w:val="0"/>
    <w:rPr>
      <w:rFonts w:ascii="Arial" w:hAnsi="Arial" w:eastAsia="黑体" w:cs="Arial"/>
      <w:snapToGrid w:val="0"/>
      <w:kern w:val="0"/>
      <w:szCs w:val="21"/>
    </w:rPr>
  </w:style>
  <w:style w:type="character" w:customStyle="1" w:styleId="123">
    <w:name w:val="纯文本 字符1"/>
    <w:link w:val="34"/>
    <w:autoRedefine/>
    <w:qFormat/>
    <w:uiPriority w:val="0"/>
    <w:rPr>
      <w:rFonts w:ascii="宋体" w:hAnsi="Courier New" w:eastAsia="宋体" w:cs="Arial"/>
      <w:snapToGrid w:val="0"/>
      <w:kern w:val="2"/>
      <w:sz w:val="21"/>
      <w:szCs w:val="21"/>
      <w:lang w:val="en-US" w:eastAsia="zh-CN" w:bidi="ar-SA"/>
    </w:rPr>
  </w:style>
  <w:style w:type="character" w:customStyle="1" w:styleId="124">
    <w:name w:val="标书1 Char"/>
    <w:autoRedefine/>
    <w:qFormat/>
    <w:uiPriority w:val="0"/>
    <w:rPr>
      <w:rFonts w:eastAsia="宋体"/>
      <w:b/>
      <w:bCs/>
      <w:kern w:val="44"/>
      <w:sz w:val="44"/>
      <w:szCs w:val="44"/>
      <w:lang w:val="en-US" w:eastAsia="zh-CN" w:bidi="ar-SA"/>
    </w:rPr>
  </w:style>
  <w:style w:type="character" w:customStyle="1" w:styleId="125">
    <w:name w:val="样式5 Char"/>
    <w:autoRedefine/>
    <w:qFormat/>
    <w:uiPriority w:val="0"/>
    <w:rPr>
      <w:rFonts w:ascii="仿宋_GB2312" w:hAnsi="仿宋" w:eastAsia="仿宋_GB2312"/>
      <w:kern w:val="2"/>
      <w:sz w:val="24"/>
      <w:szCs w:val="24"/>
    </w:rPr>
  </w:style>
  <w:style w:type="character" w:customStyle="1" w:styleId="126">
    <w:name w:val="样式4 Char"/>
    <w:autoRedefine/>
    <w:qFormat/>
    <w:uiPriority w:val="0"/>
    <w:rPr>
      <w:rFonts w:ascii="仿宋_GB2312" w:hAnsi="仿宋" w:eastAsia="仿宋_GB2312"/>
      <w:b/>
      <w:kern w:val="2"/>
      <w:sz w:val="32"/>
      <w:szCs w:val="32"/>
      <w:lang w:bidi="ar-SA"/>
    </w:rPr>
  </w:style>
  <w:style w:type="character" w:customStyle="1" w:styleId="127">
    <w:name w:val="插图说明 Char"/>
    <w:autoRedefine/>
    <w:qFormat/>
    <w:uiPriority w:val="0"/>
    <w:rPr>
      <w:rFonts w:eastAsia="黑体"/>
      <w:sz w:val="24"/>
      <w:lang w:val="en-US" w:eastAsia="zh-CN"/>
    </w:rPr>
  </w:style>
  <w:style w:type="character" w:customStyle="1" w:styleId="128">
    <w:name w:val="正文2 Char Char"/>
    <w:link w:val="129"/>
    <w:autoRedefine/>
    <w:qFormat/>
    <w:uiPriority w:val="0"/>
    <w:rPr>
      <w:rFonts w:eastAsia="宋体"/>
      <w:kern w:val="2"/>
      <w:sz w:val="24"/>
      <w:lang w:val="en-US" w:eastAsia="zh-CN" w:bidi="ar-SA"/>
    </w:rPr>
  </w:style>
  <w:style w:type="paragraph" w:customStyle="1" w:styleId="129">
    <w:name w:val="正文2"/>
    <w:basedOn w:val="1"/>
    <w:link w:val="128"/>
    <w:autoRedefine/>
    <w:qFormat/>
    <w:uiPriority w:val="0"/>
    <w:pPr>
      <w:spacing w:before="156" w:line="360" w:lineRule="auto"/>
      <w:ind w:firstLine="510" w:firstLineChars="200"/>
    </w:pPr>
    <w:rPr>
      <w:sz w:val="24"/>
      <w:szCs w:val="20"/>
    </w:rPr>
  </w:style>
  <w:style w:type="character" w:customStyle="1" w:styleId="130">
    <w:name w:val="Char Char24"/>
    <w:autoRedefine/>
    <w:qFormat/>
    <w:uiPriority w:val="6"/>
    <w:rPr>
      <w:kern w:val="1"/>
      <w:sz w:val="21"/>
    </w:rPr>
  </w:style>
  <w:style w:type="character" w:customStyle="1" w:styleId="131">
    <w:name w:val="副标题 字符"/>
    <w:link w:val="48"/>
    <w:autoRedefine/>
    <w:qFormat/>
    <w:uiPriority w:val="0"/>
    <w:rPr>
      <w:rFonts w:ascii="Arial" w:hAnsi="Arial" w:eastAsia="隶书"/>
      <w:b/>
      <w:bCs/>
      <w:kern w:val="28"/>
      <w:sz w:val="44"/>
      <w:szCs w:val="32"/>
      <w:lang w:val="en-US" w:eastAsia="zh-CN" w:bidi="ar-SA"/>
    </w:rPr>
  </w:style>
  <w:style w:type="character" w:customStyle="1" w:styleId="132">
    <w:name w:val="普通文字 Char1 Char"/>
    <w:autoRedefine/>
    <w:qFormat/>
    <w:uiPriority w:val="0"/>
    <w:rPr>
      <w:rFonts w:ascii="宋体" w:hAnsi="Courier New" w:eastAsia="宋体"/>
      <w:kern w:val="2"/>
      <w:sz w:val="21"/>
      <w:szCs w:val="24"/>
      <w:lang w:val="en-US" w:eastAsia="zh-CN" w:bidi="ar-SA"/>
    </w:rPr>
  </w:style>
  <w:style w:type="character" w:customStyle="1" w:styleId="133">
    <w:name w:val="h3 Char1"/>
    <w:autoRedefine/>
    <w:qFormat/>
    <w:uiPriority w:val="0"/>
    <w:rPr>
      <w:rFonts w:eastAsia="宋体"/>
      <w:b/>
      <w:bCs/>
      <w:kern w:val="2"/>
      <w:sz w:val="32"/>
      <w:szCs w:val="32"/>
      <w:lang w:bidi="ar-SA"/>
    </w:rPr>
  </w:style>
  <w:style w:type="character" w:customStyle="1" w:styleId="134">
    <w:name w:val="标题 Char1"/>
    <w:autoRedefine/>
    <w:qFormat/>
    <w:uiPriority w:val="0"/>
    <w:rPr>
      <w:rFonts w:ascii="Cambria" w:hAnsi="Cambria" w:eastAsia="宋体" w:cs="Times New Roman"/>
      <w:b/>
      <w:bCs/>
      <w:sz w:val="32"/>
      <w:szCs w:val="32"/>
      <w:lang w:bidi="ar-SA"/>
    </w:rPr>
  </w:style>
  <w:style w:type="character" w:customStyle="1" w:styleId="135">
    <w:name w:val="gf正文1 Char"/>
    <w:autoRedefine/>
    <w:qFormat/>
    <w:uiPriority w:val="0"/>
    <w:rPr>
      <w:rFonts w:ascii="宋体" w:hAnsi="宋体" w:eastAsia="宋体" w:cs="宋体"/>
      <w:kern w:val="2"/>
      <w:sz w:val="24"/>
      <w:szCs w:val="24"/>
      <w:lang w:val="en-US" w:eastAsia="zh-CN" w:bidi="ar-SA"/>
    </w:rPr>
  </w:style>
  <w:style w:type="character" w:customStyle="1" w:styleId="136">
    <w:name w:val="正文文本缩进 Char1"/>
    <w:autoRedefine/>
    <w:qFormat/>
    <w:uiPriority w:val="0"/>
    <w:rPr>
      <w:rFonts w:ascii="Calibri" w:hAnsi="Calibri"/>
      <w:sz w:val="28"/>
    </w:rPr>
  </w:style>
  <w:style w:type="character" w:customStyle="1" w:styleId="137">
    <w:name w:val="No Spacing Char"/>
    <w:link w:val="138"/>
    <w:autoRedefine/>
    <w:qFormat/>
    <w:uiPriority w:val="1"/>
    <w:rPr>
      <w:sz w:val="22"/>
      <w:szCs w:val="22"/>
      <w:lang w:val="en-US" w:eastAsia="zh-CN" w:bidi="ar-SA"/>
    </w:rPr>
  </w:style>
  <w:style w:type="paragraph" w:customStyle="1" w:styleId="138">
    <w:name w:val="无间隔1"/>
    <w:link w:val="137"/>
    <w:autoRedefine/>
    <w:qFormat/>
    <w:uiPriority w:val="1"/>
    <w:rPr>
      <w:rFonts w:ascii="Times New Roman" w:hAnsi="Times New Roman" w:eastAsia="宋体" w:cs="Times New Roman"/>
      <w:sz w:val="22"/>
      <w:szCs w:val="22"/>
      <w:lang w:val="en-US" w:eastAsia="zh-CN" w:bidi="ar-SA"/>
    </w:rPr>
  </w:style>
  <w:style w:type="character" w:customStyle="1" w:styleId="139">
    <w:name w:val="样式7 Char"/>
    <w:autoRedefine/>
    <w:qFormat/>
    <w:uiPriority w:val="0"/>
    <w:rPr>
      <w:rFonts w:ascii="仿宋_GB2312" w:hAnsi="仿宋" w:eastAsia="仿宋_GB2312"/>
      <w:b/>
      <w:kern w:val="2"/>
      <w:sz w:val="24"/>
      <w:szCs w:val="24"/>
    </w:rPr>
  </w:style>
  <w:style w:type="character" w:customStyle="1" w:styleId="140">
    <w:name w:val="font12gray1"/>
    <w:autoRedefine/>
    <w:qFormat/>
    <w:uiPriority w:val="0"/>
    <w:rPr>
      <w:rFonts w:ascii="仿宋_GB2312" w:eastAsia="微软雅黑"/>
      <w:b/>
      <w:spacing w:val="300"/>
      <w:kern w:val="2"/>
      <w:sz w:val="18"/>
      <w:szCs w:val="18"/>
      <w:lang w:val="en-US" w:eastAsia="zh-CN" w:bidi="ar-SA"/>
    </w:rPr>
  </w:style>
  <w:style w:type="character" w:customStyle="1" w:styleId="141">
    <w:name w:val="Char Char7"/>
    <w:autoRedefine/>
    <w:semiHidden/>
    <w:qFormat/>
    <w:uiPriority w:val="0"/>
    <w:rPr>
      <w:rFonts w:eastAsia="宋体"/>
      <w:kern w:val="2"/>
      <w:sz w:val="21"/>
      <w:szCs w:val="24"/>
      <w:lang w:val="en-US" w:eastAsia="zh-CN" w:bidi="ar-SA"/>
    </w:rPr>
  </w:style>
  <w:style w:type="character" w:customStyle="1" w:styleId="142">
    <w:name w:val="表名 Char"/>
    <w:autoRedefine/>
    <w:qFormat/>
    <w:uiPriority w:val="0"/>
    <w:rPr>
      <w:rFonts w:eastAsia="宋体"/>
      <w:b/>
      <w:bCs/>
      <w:kern w:val="2"/>
      <w:sz w:val="24"/>
      <w:szCs w:val="24"/>
      <w:lang w:val="en-US" w:eastAsia="zh-CN" w:bidi="ar-SA"/>
    </w:rPr>
  </w:style>
  <w:style w:type="character" w:customStyle="1" w:styleId="143">
    <w:name w:val="Document Map Char"/>
    <w:autoRedefine/>
    <w:qFormat/>
    <w:locked/>
    <w:uiPriority w:val="0"/>
    <w:rPr>
      <w:rFonts w:eastAsia="宋体"/>
      <w:kern w:val="2"/>
      <w:sz w:val="21"/>
      <w:szCs w:val="24"/>
      <w:lang w:val="en-US" w:eastAsia="zh-CN" w:bidi="ar-SA"/>
    </w:rPr>
  </w:style>
  <w:style w:type="character" w:customStyle="1" w:styleId="144">
    <w:name w:val="font41"/>
    <w:autoRedefine/>
    <w:qFormat/>
    <w:uiPriority w:val="0"/>
    <w:rPr>
      <w:rFonts w:hint="eastAsia" w:ascii="仿宋_GB2312" w:eastAsia="仿宋_GB2312" w:cs="仿宋_GB2312"/>
      <w:color w:val="000000"/>
      <w:sz w:val="22"/>
      <w:szCs w:val="22"/>
      <w:u w:val="none"/>
    </w:rPr>
  </w:style>
  <w:style w:type="character" w:customStyle="1" w:styleId="145">
    <w:name w:val="标题 6 字符"/>
    <w:link w:val="8"/>
    <w:autoRedefine/>
    <w:qFormat/>
    <w:uiPriority w:val="0"/>
    <w:rPr>
      <w:rFonts w:ascii="Arial" w:hAnsi="Arial" w:eastAsia="黑体"/>
      <w:b/>
      <w:bCs/>
      <w:kern w:val="2"/>
      <w:sz w:val="24"/>
      <w:szCs w:val="24"/>
    </w:rPr>
  </w:style>
  <w:style w:type="character" w:customStyle="1" w:styleId="146">
    <w:name w:val="纯文本 Char_0"/>
    <w:link w:val="147"/>
    <w:autoRedefine/>
    <w:qFormat/>
    <w:uiPriority w:val="0"/>
    <w:rPr>
      <w:rFonts w:ascii="宋体" w:hAnsi="Courier New"/>
      <w:kern w:val="2"/>
      <w:sz w:val="21"/>
      <w:szCs w:val="21"/>
      <w:lang w:val="en-US" w:eastAsia="zh-CN"/>
    </w:rPr>
  </w:style>
  <w:style w:type="paragraph" w:customStyle="1" w:styleId="147">
    <w:name w:val="纯文本_0_0"/>
    <w:basedOn w:val="148"/>
    <w:link w:val="146"/>
    <w:autoRedefine/>
    <w:qFormat/>
    <w:uiPriority w:val="0"/>
    <w:rPr>
      <w:rFonts w:ascii="宋体" w:hAnsi="Courier New"/>
      <w:szCs w:val="21"/>
    </w:rPr>
  </w:style>
  <w:style w:type="paragraph" w:customStyle="1" w:styleId="14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autoRedefine/>
    <w:qFormat/>
    <w:locked/>
    <w:uiPriority w:val="0"/>
    <w:rPr>
      <w:rFonts w:eastAsia="宋体"/>
      <w:kern w:val="2"/>
      <w:sz w:val="18"/>
      <w:szCs w:val="18"/>
      <w:lang w:val="en-US" w:eastAsia="zh-CN" w:bidi="ar-SA"/>
    </w:rPr>
  </w:style>
  <w:style w:type="character" w:customStyle="1" w:styleId="150">
    <w:name w:val="正文 项目2 Char"/>
    <w:basedOn w:val="151"/>
    <w:autoRedefine/>
    <w:qFormat/>
    <w:uiPriority w:val="0"/>
    <w:rPr>
      <w:rFonts w:ascii="仿宋_GB2312" w:hAnsi="仿宋_GB2312" w:eastAsia="仿宋_GB2312"/>
      <w:kern w:val="2"/>
      <w:sz w:val="24"/>
      <w:lang w:bidi="ar-SA"/>
    </w:rPr>
  </w:style>
  <w:style w:type="character" w:customStyle="1" w:styleId="151">
    <w:name w:val="正文 项目 Char"/>
    <w:autoRedefine/>
    <w:qFormat/>
    <w:uiPriority w:val="0"/>
    <w:rPr>
      <w:rFonts w:ascii="仿宋_GB2312" w:hAnsi="仿宋_GB2312" w:eastAsia="仿宋_GB2312"/>
      <w:kern w:val="2"/>
      <w:sz w:val="24"/>
      <w:lang w:bidi="ar-SA"/>
    </w:rPr>
  </w:style>
  <w:style w:type="character" w:customStyle="1" w:styleId="152">
    <w:name w:val="h Char Char1"/>
    <w:autoRedefine/>
    <w:qFormat/>
    <w:uiPriority w:val="0"/>
    <w:rPr>
      <w:rFonts w:eastAsia="宋体"/>
      <w:kern w:val="2"/>
      <w:sz w:val="18"/>
      <w:szCs w:val="18"/>
      <w:lang w:val="en-US" w:eastAsia="zh-CN" w:bidi="ar-SA"/>
    </w:rPr>
  </w:style>
  <w:style w:type="character" w:customStyle="1" w:styleId="153">
    <w:name w:val="Char Char27"/>
    <w:autoRedefine/>
    <w:qFormat/>
    <w:uiPriority w:val="6"/>
    <w:rPr>
      <w:rFonts w:ascii="宋体" w:hAnsi="宋体" w:eastAsia="宋体"/>
      <w:color w:val="000000"/>
      <w:kern w:val="1"/>
      <w:sz w:val="28"/>
      <w:lang w:val="en-US" w:eastAsia="zh-CN" w:bidi="ar-SA"/>
    </w:rPr>
  </w:style>
  <w:style w:type="character" w:customStyle="1" w:styleId="154">
    <w:name w:val="px14"/>
    <w:autoRedefine/>
    <w:qFormat/>
    <w:uiPriority w:val="0"/>
    <w:rPr>
      <w:rFonts w:ascii="仿宋_GB2312" w:eastAsia="微软雅黑" w:cs="Times New Roman"/>
      <w:b/>
      <w:kern w:val="2"/>
      <w:sz w:val="32"/>
      <w:szCs w:val="32"/>
      <w:lang w:val="en-US" w:eastAsia="zh-CN" w:bidi="ar-SA"/>
    </w:rPr>
  </w:style>
  <w:style w:type="character" w:customStyle="1" w:styleId="155">
    <w:name w:val="HTML 预设格式 Char1"/>
    <w:autoRedefine/>
    <w:qFormat/>
    <w:uiPriority w:val="0"/>
    <w:rPr>
      <w:rFonts w:ascii="Courier New" w:hAnsi="Courier New" w:eastAsia="宋体" w:cs="Courier New"/>
      <w:sz w:val="20"/>
      <w:szCs w:val="20"/>
    </w:rPr>
  </w:style>
  <w:style w:type="character" w:customStyle="1" w:styleId="156">
    <w:name w:val="普通文字 Char1"/>
    <w:autoRedefine/>
    <w:qFormat/>
    <w:uiPriority w:val="0"/>
    <w:rPr>
      <w:rFonts w:ascii="宋体" w:hAnsi="Courier New" w:eastAsia="宋体"/>
      <w:kern w:val="2"/>
      <w:sz w:val="21"/>
      <w:lang w:val="en-US" w:eastAsia="zh-CN"/>
    </w:rPr>
  </w:style>
  <w:style w:type="character" w:customStyle="1" w:styleId="157">
    <w:name w:val="hei16b1"/>
    <w:autoRedefine/>
    <w:qFormat/>
    <w:uiPriority w:val="0"/>
    <w:rPr>
      <w:rFonts w:hint="default" w:ascii="Arial" w:hAnsi="Arial" w:cs="Arial"/>
      <w:b/>
      <w:bCs/>
      <w:color w:val="000000"/>
      <w:sz w:val="24"/>
      <w:szCs w:val="24"/>
    </w:rPr>
  </w:style>
  <w:style w:type="character" w:customStyle="1" w:styleId="158">
    <w:name w:val="正文（绿盟科技） Char"/>
    <w:link w:val="159"/>
    <w:autoRedefine/>
    <w:qFormat/>
    <w:uiPriority w:val="0"/>
    <w:rPr>
      <w:rFonts w:ascii="Arial" w:hAnsi="Arial"/>
      <w:sz w:val="21"/>
      <w:szCs w:val="21"/>
    </w:rPr>
  </w:style>
  <w:style w:type="paragraph" w:customStyle="1" w:styleId="159">
    <w:name w:val="正文（绿盟科技）"/>
    <w:link w:val="158"/>
    <w:autoRedefine/>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autoRedefine/>
    <w:qFormat/>
    <w:uiPriority w:val="6"/>
    <w:rPr>
      <w:rFonts w:ascii="宋体" w:hAnsi="宋体"/>
      <w:i/>
      <w:sz w:val="24"/>
      <w:szCs w:val="24"/>
    </w:rPr>
  </w:style>
  <w:style w:type="character" w:customStyle="1" w:styleId="161">
    <w:name w:val="页脚 Char"/>
    <w:autoRedefine/>
    <w:qFormat/>
    <w:uiPriority w:val="0"/>
    <w:rPr>
      <w:rFonts w:eastAsia="仿宋_GB2312"/>
      <w:kern w:val="2"/>
      <w:sz w:val="18"/>
      <w:lang w:val="en-US" w:eastAsia="zh-CN"/>
    </w:rPr>
  </w:style>
  <w:style w:type="character" w:customStyle="1" w:styleId="162">
    <w:name w:val="批注主题 Char"/>
    <w:autoRedefine/>
    <w:qFormat/>
    <w:uiPriority w:val="0"/>
    <w:rPr>
      <w:rFonts w:eastAsia="宋体"/>
      <w:b/>
      <w:bCs/>
      <w:kern w:val="2"/>
      <w:sz w:val="21"/>
      <w:szCs w:val="24"/>
      <w:lang w:val="en-US" w:eastAsia="zh-CN" w:bidi="ar-SA"/>
    </w:rPr>
  </w:style>
  <w:style w:type="character" w:customStyle="1" w:styleId="163">
    <w:name w:val="Comment Text Char"/>
    <w:autoRedefine/>
    <w:qFormat/>
    <w:locked/>
    <w:uiPriority w:val="0"/>
    <w:rPr>
      <w:rFonts w:ascii="宋体" w:hAnsi="宋体" w:eastAsia="宋体"/>
      <w:kern w:val="2"/>
      <w:sz w:val="24"/>
      <w:lang w:val="en-US" w:eastAsia="zh-CN" w:bidi="ar-SA"/>
    </w:rPr>
  </w:style>
  <w:style w:type="character" w:customStyle="1" w:styleId="164">
    <w:name w:val="标题 2 字符"/>
    <w:autoRedefine/>
    <w:qFormat/>
    <w:uiPriority w:val="1"/>
    <w:rPr>
      <w:rFonts w:ascii="仿宋_GB2312" w:hAnsi="Times New Roman" w:eastAsia="仿宋_GB2312" w:cs="Times New Roman"/>
      <w:b/>
      <w:kern w:val="2"/>
      <w:sz w:val="24"/>
      <w:lang w:val="zh-CN"/>
    </w:rPr>
  </w:style>
  <w:style w:type="character" w:customStyle="1" w:styleId="165">
    <w:name w:val="Char Char72"/>
    <w:autoRedefine/>
    <w:qFormat/>
    <w:uiPriority w:val="0"/>
    <w:rPr>
      <w:rFonts w:eastAsia="宋体"/>
      <w:kern w:val="2"/>
      <w:sz w:val="21"/>
      <w:szCs w:val="24"/>
      <w:lang w:val="en-US" w:eastAsia="zh-CN" w:bidi="ar-SA"/>
    </w:rPr>
  </w:style>
  <w:style w:type="character" w:customStyle="1" w:styleId="166">
    <w:name w:val="正文文本缩进 Char2"/>
    <w:autoRedefine/>
    <w:qFormat/>
    <w:uiPriority w:val="0"/>
    <w:rPr>
      <w:rFonts w:ascii="Times New Roman" w:hAnsi="Times New Roman" w:eastAsia="宋体" w:cs="Times New Roman"/>
      <w:snapToGrid w:val="0"/>
      <w:kern w:val="0"/>
      <w:szCs w:val="24"/>
    </w:rPr>
  </w:style>
  <w:style w:type="character" w:customStyle="1" w:styleId="167">
    <w:name w:val="样式2 Char"/>
    <w:autoRedefine/>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autoRedefine/>
    <w:qFormat/>
    <w:uiPriority w:val="0"/>
    <w:rPr>
      <w:sz w:val="32"/>
    </w:rPr>
  </w:style>
  <w:style w:type="paragraph" w:customStyle="1" w:styleId="169">
    <w:name w:val="表格名称"/>
    <w:basedOn w:val="2"/>
    <w:link w:val="168"/>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autoRedefine/>
    <w:qFormat/>
    <w:uiPriority w:val="0"/>
    <w:rPr>
      <w:rFonts w:eastAsia="宋体"/>
      <w:b/>
      <w:sz w:val="24"/>
      <w:lang w:val="en-GB" w:eastAsia="zh-CN" w:bidi="ar-SA"/>
    </w:rPr>
  </w:style>
  <w:style w:type="character" w:customStyle="1" w:styleId="171">
    <w:name w:val="c7 style3"/>
    <w:autoRedefine/>
    <w:qFormat/>
    <w:uiPriority w:val="0"/>
  </w:style>
  <w:style w:type="character" w:customStyle="1" w:styleId="172">
    <w:name w:val="正文文本 3 Char1"/>
    <w:autoRedefine/>
    <w:semiHidden/>
    <w:qFormat/>
    <w:uiPriority w:val="99"/>
    <w:rPr>
      <w:rFonts w:ascii="Times New Roman" w:hAnsi="Times New Roman" w:eastAsia="宋体" w:cs="Times New Roman"/>
      <w:sz w:val="16"/>
      <w:szCs w:val="16"/>
    </w:rPr>
  </w:style>
  <w:style w:type="character" w:customStyle="1" w:styleId="173">
    <w:name w:val="tw4winInternal"/>
    <w:autoRedefine/>
    <w:qFormat/>
    <w:uiPriority w:val="0"/>
    <w:rPr>
      <w:rFonts w:ascii="Courier New" w:hAnsi="Courier New" w:cs="Courier New"/>
      <w:color w:val="FF0000"/>
      <w:lang w:val="en-US" w:eastAsia="zh-CN"/>
    </w:rPr>
  </w:style>
  <w:style w:type="character" w:customStyle="1" w:styleId="174">
    <w:name w:val="Char Char10"/>
    <w:autoRedefine/>
    <w:semiHidden/>
    <w:qFormat/>
    <w:uiPriority w:val="0"/>
    <w:rPr>
      <w:rFonts w:ascii="宋体" w:hAnsi="宋体"/>
      <w:kern w:val="2"/>
      <w:sz w:val="21"/>
      <w:szCs w:val="24"/>
      <w:lang w:val="en-US" w:eastAsia="zh-CN"/>
    </w:rPr>
  </w:style>
  <w:style w:type="character" w:customStyle="1" w:styleId="175">
    <w:name w:val="shadow11"/>
    <w:autoRedefine/>
    <w:qFormat/>
    <w:uiPriority w:val="0"/>
    <w:rPr>
      <w:color w:val="000000"/>
      <w:sz w:val="21"/>
    </w:rPr>
  </w:style>
  <w:style w:type="character" w:customStyle="1" w:styleId="176">
    <w:name w:val="正文非缩进 Char3"/>
    <w:autoRedefine/>
    <w:qFormat/>
    <w:uiPriority w:val="0"/>
    <w:rPr>
      <w:rFonts w:ascii="宋体" w:eastAsia="宋体"/>
      <w:snapToGrid w:val="0"/>
      <w:color w:val="000000"/>
      <w:kern w:val="28"/>
      <w:sz w:val="28"/>
      <w:lang w:val="en-US" w:eastAsia="zh-CN" w:bidi="ar-SA"/>
    </w:rPr>
  </w:style>
  <w:style w:type="character" w:customStyle="1" w:styleId="177">
    <w:name w:val="Char Char"/>
    <w:autoRedefine/>
    <w:qFormat/>
    <w:uiPriority w:val="0"/>
    <w:rPr>
      <w:rFonts w:ascii="宋体" w:hAnsi="Courier New" w:eastAsia="宋体"/>
      <w:kern w:val="2"/>
      <w:sz w:val="21"/>
      <w:lang w:val="en-US" w:eastAsia="zh-CN" w:bidi="ar-SA"/>
    </w:rPr>
  </w:style>
  <w:style w:type="character" w:customStyle="1" w:styleId="178">
    <w:name w:val="签名 Char1"/>
    <w:autoRedefine/>
    <w:qFormat/>
    <w:uiPriority w:val="0"/>
    <w:rPr>
      <w:rFonts w:ascii="Times New Roman" w:hAnsi="Times New Roman" w:eastAsia="宋体" w:cs="Times New Roman"/>
      <w:szCs w:val="24"/>
    </w:rPr>
  </w:style>
  <w:style w:type="character" w:customStyle="1" w:styleId="179">
    <w:name w:val="日期 字符"/>
    <w:link w:val="37"/>
    <w:autoRedefine/>
    <w:qFormat/>
    <w:uiPriority w:val="0"/>
    <w:rPr>
      <w:rFonts w:ascii="宋体"/>
      <w:kern w:val="2"/>
      <w:sz w:val="24"/>
      <w:szCs w:val="21"/>
      <w:lang w:val="zh-CN"/>
    </w:rPr>
  </w:style>
  <w:style w:type="character" w:customStyle="1" w:styleId="180">
    <w:name w:val="标题 9 字符"/>
    <w:link w:val="11"/>
    <w:autoRedefine/>
    <w:qFormat/>
    <w:uiPriority w:val="0"/>
    <w:rPr>
      <w:rFonts w:ascii="Arial" w:hAnsi="Arial" w:eastAsia="黑体"/>
      <w:kern w:val="2"/>
      <w:sz w:val="21"/>
      <w:szCs w:val="21"/>
    </w:rPr>
  </w:style>
  <w:style w:type="character" w:customStyle="1" w:styleId="181">
    <w:name w:val="Char Char18"/>
    <w:autoRedefine/>
    <w:qFormat/>
    <w:uiPriority w:val="6"/>
    <w:rPr>
      <w:rFonts w:ascii="宋体" w:hAnsi="宋体"/>
      <w:sz w:val="28"/>
    </w:rPr>
  </w:style>
  <w:style w:type="character" w:customStyle="1" w:styleId="182">
    <w:name w:val="批注文字 Char"/>
    <w:autoRedefine/>
    <w:qFormat/>
    <w:uiPriority w:val="0"/>
    <w:rPr>
      <w:kern w:val="2"/>
      <w:sz w:val="21"/>
      <w:szCs w:val="24"/>
    </w:rPr>
  </w:style>
  <w:style w:type="character" w:customStyle="1" w:styleId="183">
    <w:name w:val="Char Char22"/>
    <w:autoRedefine/>
    <w:qFormat/>
    <w:uiPriority w:val="6"/>
    <w:rPr>
      <w:rFonts w:ascii="宋体" w:hAnsi="宋体"/>
      <w:kern w:val="1"/>
      <w:sz w:val="24"/>
      <w:szCs w:val="24"/>
    </w:rPr>
  </w:style>
  <w:style w:type="character" w:customStyle="1" w:styleId="184">
    <w:name w:val="pt141"/>
    <w:autoRedefine/>
    <w:qFormat/>
    <w:uiPriority w:val="0"/>
    <w:rPr>
      <w:color w:val="330066"/>
      <w:sz w:val="22"/>
      <w:szCs w:val="22"/>
    </w:rPr>
  </w:style>
  <w:style w:type="character" w:customStyle="1" w:styleId="185">
    <w:name w:val="正文文本缩进 2 Char1"/>
    <w:autoRedefine/>
    <w:semiHidden/>
    <w:qFormat/>
    <w:uiPriority w:val="99"/>
    <w:rPr>
      <w:rFonts w:ascii="Times New Roman" w:hAnsi="Times New Roman" w:eastAsia="宋体" w:cs="Times New Roman"/>
      <w:szCs w:val="24"/>
    </w:rPr>
  </w:style>
  <w:style w:type="character" w:customStyle="1" w:styleId="186">
    <w:name w:val="批注框文本 字符1"/>
    <w:link w:val="40"/>
    <w:autoRedefine/>
    <w:qFormat/>
    <w:uiPriority w:val="0"/>
    <w:rPr>
      <w:kern w:val="2"/>
      <w:sz w:val="18"/>
      <w:szCs w:val="18"/>
    </w:rPr>
  </w:style>
  <w:style w:type="character" w:customStyle="1" w:styleId="187">
    <w:name w:val="Char Char611"/>
    <w:autoRedefine/>
    <w:qFormat/>
    <w:uiPriority w:val="0"/>
    <w:rPr>
      <w:rFonts w:eastAsia="宋体"/>
      <w:kern w:val="2"/>
      <w:sz w:val="21"/>
      <w:szCs w:val="24"/>
      <w:lang w:val="en-US" w:eastAsia="zh-CN" w:bidi="ar-SA"/>
    </w:rPr>
  </w:style>
  <w:style w:type="character" w:customStyle="1" w:styleId="188">
    <w:name w:val="highlight1"/>
    <w:autoRedefine/>
    <w:qFormat/>
    <w:uiPriority w:val="0"/>
    <w:rPr>
      <w:rFonts w:ascii="仿宋_GB2312" w:eastAsia="微软雅黑"/>
      <w:b/>
      <w:kern w:val="2"/>
      <w:sz w:val="23"/>
      <w:szCs w:val="23"/>
      <w:lang w:val="en-US" w:eastAsia="zh-CN" w:bidi="ar-SA"/>
    </w:rPr>
  </w:style>
  <w:style w:type="character" w:customStyle="1" w:styleId="189">
    <w:name w:val="my正文 Char"/>
    <w:link w:val="190"/>
    <w:autoRedefine/>
    <w:qFormat/>
    <w:locked/>
    <w:uiPriority w:val="0"/>
    <w:rPr>
      <w:rFonts w:ascii="Tahoma" w:hAnsi="Tahoma"/>
      <w:sz w:val="24"/>
      <w:szCs w:val="24"/>
    </w:rPr>
  </w:style>
  <w:style w:type="paragraph" w:customStyle="1" w:styleId="190">
    <w:name w:val="my正文"/>
    <w:basedOn w:val="1"/>
    <w:link w:val="189"/>
    <w:autoRedefine/>
    <w:qFormat/>
    <w:uiPriority w:val="0"/>
    <w:pPr>
      <w:adjustRightInd/>
      <w:spacing w:line="360" w:lineRule="auto"/>
      <w:ind w:firstLine="480" w:firstLineChars="200"/>
    </w:pPr>
    <w:rPr>
      <w:rFonts w:ascii="Tahoma" w:hAnsi="Tahoma"/>
      <w:kern w:val="0"/>
      <w:sz w:val="24"/>
    </w:rPr>
  </w:style>
  <w:style w:type="character" w:customStyle="1" w:styleId="191">
    <w:name w:val="正文缩进 字符2"/>
    <w:link w:val="16"/>
    <w:autoRedefine/>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autoRedefine/>
    <w:qFormat/>
    <w:uiPriority w:val="0"/>
    <w:rPr>
      <w:color w:val="0000FF"/>
      <w:sz w:val="21"/>
    </w:rPr>
  </w:style>
  <w:style w:type="character" w:customStyle="1" w:styleId="193">
    <w:name w:val="页眉 Char"/>
    <w:autoRedefine/>
    <w:qFormat/>
    <w:uiPriority w:val="0"/>
    <w:rPr>
      <w:rFonts w:eastAsia="仿宋_GB2312"/>
      <w:kern w:val="2"/>
      <w:sz w:val="18"/>
      <w:lang w:val="en-US" w:eastAsia="zh-CN"/>
    </w:rPr>
  </w:style>
  <w:style w:type="character" w:customStyle="1" w:styleId="194">
    <w:name w:val="FA正文 Char Char"/>
    <w:autoRedefine/>
    <w:qFormat/>
    <w:uiPriority w:val="0"/>
    <w:rPr>
      <w:rFonts w:hAnsi="宋体"/>
      <w:kern w:val="2"/>
      <w:sz w:val="24"/>
      <w:lang w:bidi="ar-SA"/>
    </w:rPr>
  </w:style>
  <w:style w:type="character" w:customStyle="1" w:styleId="195">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autoRedefine/>
    <w:qFormat/>
    <w:uiPriority w:val="0"/>
    <w:rPr>
      <w:rFonts w:ascii="宋体" w:hAnsi="宋体"/>
      <w:b/>
      <w:bCs/>
      <w:snapToGrid/>
      <w:sz w:val="28"/>
    </w:rPr>
  </w:style>
  <w:style w:type="paragraph" w:customStyle="1" w:styleId="197">
    <w:name w:val="3级"/>
    <w:basedOn w:val="198"/>
    <w:link w:val="196"/>
    <w:autoRedefine/>
    <w:qFormat/>
    <w:uiPriority w:val="0"/>
    <w:pPr>
      <w:ind w:left="0" w:right="466" w:firstLine="288"/>
    </w:pPr>
    <w:rPr>
      <w:rFonts w:hAnsi="宋体"/>
      <w:snapToGrid/>
    </w:rPr>
  </w:style>
  <w:style w:type="paragraph" w:customStyle="1" w:styleId="198">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autoRedefine/>
    <w:qFormat/>
    <w:uiPriority w:val="0"/>
    <w:rPr>
      <w:rFonts w:ascii="仿宋_GB2312" w:eastAsia="微软雅黑"/>
      <w:b/>
      <w:kern w:val="2"/>
      <w:sz w:val="32"/>
      <w:szCs w:val="32"/>
      <w:lang w:val="en-US" w:eastAsia="zh-CN" w:bidi="ar-SA"/>
    </w:rPr>
  </w:style>
  <w:style w:type="character" w:customStyle="1" w:styleId="200">
    <w:name w:val="文档结构图 字符"/>
    <w:link w:val="19"/>
    <w:autoRedefine/>
    <w:qFormat/>
    <w:uiPriority w:val="0"/>
    <w:rPr>
      <w:kern w:val="2"/>
      <w:sz w:val="21"/>
      <w:szCs w:val="24"/>
      <w:shd w:val="clear" w:color="auto" w:fill="000080"/>
    </w:rPr>
  </w:style>
  <w:style w:type="character" w:customStyle="1" w:styleId="201">
    <w:name w:val="H6 Char"/>
    <w:autoRedefine/>
    <w:qFormat/>
    <w:uiPriority w:val="0"/>
    <w:rPr>
      <w:rFonts w:ascii="Arial" w:hAnsi="Arial" w:eastAsia="黑体"/>
      <w:b/>
      <w:bCs/>
      <w:kern w:val="2"/>
      <w:sz w:val="24"/>
      <w:szCs w:val="24"/>
    </w:rPr>
  </w:style>
  <w:style w:type="character" w:customStyle="1" w:styleId="202">
    <w:name w:val="Char Char91"/>
    <w:autoRedefine/>
    <w:qFormat/>
    <w:uiPriority w:val="0"/>
    <w:rPr>
      <w:rFonts w:eastAsia="宋体"/>
      <w:kern w:val="2"/>
      <w:sz w:val="18"/>
      <w:szCs w:val="18"/>
      <w:lang w:val="en-US" w:eastAsia="zh-CN" w:bidi="ar-SA"/>
    </w:rPr>
  </w:style>
  <w:style w:type="character" w:customStyle="1" w:styleId="203">
    <w:name w:val="副标题 Char1"/>
    <w:autoRedefine/>
    <w:qFormat/>
    <w:uiPriority w:val="0"/>
    <w:rPr>
      <w:rFonts w:ascii="Cambria" w:hAnsi="Cambria" w:eastAsia="宋体" w:cs="Times New Roman"/>
      <w:b/>
      <w:bCs/>
      <w:snapToGrid w:val="0"/>
      <w:kern w:val="28"/>
      <w:sz w:val="32"/>
      <w:szCs w:val="32"/>
    </w:rPr>
  </w:style>
  <w:style w:type="character" w:customStyle="1" w:styleId="204">
    <w:name w:val="font61"/>
    <w:autoRedefine/>
    <w:qFormat/>
    <w:uiPriority w:val="0"/>
    <w:rPr>
      <w:rFonts w:hint="eastAsia" w:ascii="仿宋" w:hAnsi="仿宋" w:eastAsia="仿宋" w:cs="仿宋"/>
      <w:color w:val="000000"/>
      <w:sz w:val="20"/>
      <w:szCs w:val="20"/>
      <w:u w:val="none"/>
    </w:rPr>
  </w:style>
  <w:style w:type="character" w:customStyle="1" w:styleId="205">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autoRedefine/>
    <w:qFormat/>
    <w:uiPriority w:val="0"/>
    <w:rPr>
      <w:rFonts w:eastAsia="宋体"/>
      <w:b/>
      <w:bCs/>
      <w:kern w:val="2"/>
      <w:sz w:val="21"/>
      <w:szCs w:val="24"/>
      <w:lang w:val="en-US" w:eastAsia="zh-CN" w:bidi="ar-SA"/>
    </w:rPr>
  </w:style>
  <w:style w:type="character" w:customStyle="1" w:styleId="207">
    <w:name w:val="标题 2 Char"/>
    <w:autoRedefine/>
    <w:qFormat/>
    <w:uiPriority w:val="0"/>
    <w:rPr>
      <w:rFonts w:ascii="Arial" w:hAnsi="Arial" w:eastAsia="黑体"/>
      <w:b/>
      <w:kern w:val="2"/>
      <w:sz w:val="32"/>
      <w:lang w:val="en-US" w:eastAsia="zh-CN"/>
    </w:rPr>
  </w:style>
  <w:style w:type="character" w:customStyle="1" w:styleId="208">
    <w:name w:val="maywed421"/>
    <w:autoRedefine/>
    <w:qFormat/>
    <w:uiPriority w:val="0"/>
    <w:rPr>
      <w:color w:val="366FB6"/>
      <w:u w:val="none"/>
    </w:rPr>
  </w:style>
  <w:style w:type="character" w:customStyle="1" w:styleId="209">
    <w:name w:val="正文文本缩进 Char"/>
    <w:autoRedefine/>
    <w:qFormat/>
    <w:uiPriority w:val="0"/>
    <w:rPr>
      <w:rFonts w:ascii="宋体" w:hAnsi="宋体"/>
      <w:kern w:val="2"/>
      <w:sz w:val="24"/>
      <w:szCs w:val="24"/>
    </w:rPr>
  </w:style>
  <w:style w:type="character" w:customStyle="1" w:styleId="210">
    <w:name w:val="Char Char102"/>
    <w:autoRedefine/>
    <w:semiHidden/>
    <w:qFormat/>
    <w:uiPriority w:val="0"/>
    <w:rPr>
      <w:rFonts w:ascii="宋体" w:hAnsi="宋体"/>
      <w:kern w:val="2"/>
      <w:sz w:val="21"/>
      <w:szCs w:val="24"/>
      <w:lang w:val="en-US" w:eastAsia="zh-CN"/>
    </w:rPr>
  </w:style>
  <w:style w:type="character" w:customStyle="1" w:styleId="211">
    <w:name w:val="页眉 Char1"/>
    <w:autoRedefine/>
    <w:qFormat/>
    <w:uiPriority w:val="0"/>
    <w:rPr>
      <w:rFonts w:eastAsia="宋体"/>
      <w:kern w:val="2"/>
      <w:sz w:val="18"/>
      <w:szCs w:val="18"/>
      <w:lang w:val="en-US" w:eastAsia="zh-CN" w:bidi="ar-SA"/>
    </w:rPr>
  </w:style>
  <w:style w:type="character" w:customStyle="1" w:styleId="212">
    <w:name w:val="md"/>
    <w:basedOn w:val="70"/>
    <w:autoRedefine/>
    <w:qFormat/>
    <w:uiPriority w:val="0"/>
    <w:rPr>
      <w:rFonts w:ascii="Arial" w:hAnsi="Arial" w:eastAsia="黑体" w:cs="Arial"/>
      <w:snapToGrid w:val="0"/>
      <w:kern w:val="0"/>
      <w:szCs w:val="21"/>
    </w:rPr>
  </w:style>
  <w:style w:type="character" w:customStyle="1" w:styleId="213">
    <w:name w:val="big1"/>
    <w:autoRedefine/>
    <w:qFormat/>
    <w:uiPriority w:val="0"/>
    <w:rPr>
      <w:rFonts w:hint="eastAsia" w:ascii="宋体" w:hAnsi="宋体" w:eastAsia="宋体"/>
      <w:color w:val="333333"/>
      <w:sz w:val="22"/>
      <w:szCs w:val="22"/>
    </w:rPr>
  </w:style>
  <w:style w:type="character" w:customStyle="1" w:styleId="214">
    <w:name w:val="Char Char311"/>
    <w:autoRedefine/>
    <w:qFormat/>
    <w:uiPriority w:val="0"/>
    <w:rPr>
      <w:rFonts w:eastAsia="宋体"/>
      <w:kern w:val="2"/>
      <w:sz w:val="21"/>
      <w:szCs w:val="24"/>
      <w:lang w:val="en-US" w:eastAsia="zh-CN" w:bidi="ar-SA"/>
    </w:rPr>
  </w:style>
  <w:style w:type="character" w:customStyle="1" w:styleId="215">
    <w:name w:val="Char Char81"/>
    <w:autoRedefine/>
    <w:qFormat/>
    <w:uiPriority w:val="6"/>
    <w:rPr>
      <w:rFonts w:eastAsia="宋体"/>
      <w:b/>
      <w:sz w:val="24"/>
      <w:lang w:val="en-GB" w:eastAsia="zh-CN"/>
    </w:rPr>
  </w:style>
  <w:style w:type="character" w:customStyle="1" w:styleId="216">
    <w:name w:val="样式3 Char"/>
    <w:basedOn w:val="167"/>
    <w:autoRedefine/>
    <w:qFormat/>
    <w:uiPriority w:val="0"/>
    <w:rPr>
      <w:rFonts w:ascii="仿宋_GB2312" w:hAnsi="仿宋" w:eastAsia="仿宋_GB2312" w:cs="仿宋_GB2312"/>
      <w:sz w:val="32"/>
      <w:szCs w:val="30"/>
      <w:lang w:val="zh-CN"/>
    </w:rPr>
  </w:style>
  <w:style w:type="character" w:customStyle="1" w:styleId="217">
    <w:name w:val="HTML 地址 字符"/>
    <w:link w:val="31"/>
    <w:autoRedefine/>
    <w:qFormat/>
    <w:uiPriority w:val="0"/>
    <w:rPr>
      <w:rFonts w:ascii="宋体" w:hAnsi="宋体"/>
      <w:i/>
      <w:iCs/>
      <w:sz w:val="24"/>
      <w:szCs w:val="24"/>
    </w:rPr>
  </w:style>
  <w:style w:type="character" w:customStyle="1" w:styleId="218">
    <w:name w:val="正文首行缩进 2 Char1"/>
    <w:autoRedefine/>
    <w:qFormat/>
    <w:uiPriority w:val="0"/>
    <w:rPr>
      <w:rFonts w:ascii="Times New Roman" w:hAnsi="Times New Roman" w:eastAsia="宋体" w:cs="Times New Roman"/>
      <w:kern w:val="2"/>
      <w:sz w:val="24"/>
      <w:szCs w:val="24"/>
    </w:rPr>
  </w:style>
  <w:style w:type="character" w:customStyle="1" w:styleId="219">
    <w:name w:val="副标题 Char2"/>
    <w:autoRedefine/>
    <w:qFormat/>
    <w:uiPriority w:val="0"/>
    <w:rPr>
      <w:rFonts w:ascii="Cambria" w:hAnsi="Cambria" w:eastAsia="宋体" w:cs="Times New Roman"/>
      <w:b/>
      <w:bCs/>
      <w:snapToGrid w:val="0"/>
      <w:kern w:val="28"/>
      <w:sz w:val="32"/>
      <w:szCs w:val="32"/>
    </w:rPr>
  </w:style>
  <w:style w:type="character" w:customStyle="1" w:styleId="220">
    <w:name w:val="标题4-dyf Char"/>
    <w:link w:val="221"/>
    <w:autoRedefine/>
    <w:qFormat/>
    <w:uiPriority w:val="0"/>
    <w:rPr>
      <w:rFonts w:ascii="Cambria" w:hAnsi="Cambria"/>
      <w:b/>
      <w:bCs/>
      <w:color w:val="000000"/>
      <w:kern w:val="2"/>
      <w:sz w:val="21"/>
      <w:szCs w:val="21"/>
    </w:rPr>
  </w:style>
  <w:style w:type="paragraph" w:customStyle="1" w:styleId="221">
    <w:name w:val="标题4-dyf"/>
    <w:basedOn w:val="6"/>
    <w:link w:val="220"/>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autoRedefine/>
    <w:qFormat/>
    <w:uiPriority w:val="0"/>
    <w:rPr>
      <w:rFonts w:ascii="宋体" w:hAnsi="宋体" w:eastAsia="宋体"/>
      <w:color w:val="333333"/>
      <w:sz w:val="21"/>
      <w:szCs w:val="21"/>
      <w:u w:val="none"/>
    </w:rPr>
  </w:style>
  <w:style w:type="character" w:customStyle="1" w:styleId="223">
    <w:name w:val="冯 Char"/>
    <w:link w:val="224"/>
    <w:autoRedefine/>
    <w:qFormat/>
    <w:uiPriority w:val="0"/>
    <w:rPr>
      <w:rFonts w:ascii="宋体" w:hAnsi="宋体"/>
      <w:color w:val="000000"/>
      <w:sz w:val="24"/>
      <w:szCs w:val="24"/>
    </w:rPr>
  </w:style>
  <w:style w:type="paragraph" w:customStyle="1" w:styleId="224">
    <w:name w:val="冯"/>
    <w:basedOn w:val="1"/>
    <w:link w:val="223"/>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autoRedefine/>
    <w:qFormat/>
    <w:locked/>
    <w:uiPriority w:val="0"/>
    <w:rPr>
      <w:rFonts w:eastAsia="宋体"/>
      <w:kern w:val="2"/>
      <w:sz w:val="18"/>
      <w:szCs w:val="18"/>
      <w:lang w:val="en-US" w:eastAsia="zh-CN" w:bidi="ar-SA"/>
    </w:rPr>
  </w:style>
  <w:style w:type="character" w:customStyle="1" w:styleId="226">
    <w:name w:val="Char Char12"/>
    <w:autoRedefine/>
    <w:qFormat/>
    <w:uiPriority w:val="0"/>
    <w:rPr>
      <w:rFonts w:ascii="仿宋_GB2312" w:eastAsia="仿宋_GB2312"/>
      <w:b/>
      <w:bCs/>
      <w:kern w:val="2"/>
      <w:sz w:val="24"/>
      <w:szCs w:val="24"/>
      <w:lang w:val="zh-CN" w:eastAsia="zh-CN" w:bidi="ar-SA"/>
    </w:rPr>
  </w:style>
  <w:style w:type="character" w:customStyle="1" w:styleId="227">
    <w:name w:val="题注 字符"/>
    <w:link w:val="17"/>
    <w:autoRedefine/>
    <w:qFormat/>
    <w:uiPriority w:val="0"/>
    <w:rPr>
      <w:b/>
      <w:kern w:val="2"/>
      <w:sz w:val="28"/>
    </w:rPr>
  </w:style>
  <w:style w:type="character" w:customStyle="1" w:styleId="228">
    <w:name w:val="普通文字 Char3"/>
    <w:autoRedefine/>
    <w:qFormat/>
    <w:uiPriority w:val="0"/>
    <w:rPr>
      <w:rFonts w:ascii="宋体" w:hAnsi="Courier New" w:eastAsia="宋体"/>
      <w:kern w:val="2"/>
      <w:sz w:val="21"/>
      <w:lang w:val="en-US" w:eastAsia="zh-CN" w:bidi="ar-SA"/>
    </w:rPr>
  </w:style>
  <w:style w:type="character" w:customStyle="1" w:styleId="229">
    <w:name w:val="公文正文 Char"/>
    <w:autoRedefine/>
    <w:qFormat/>
    <w:uiPriority w:val="0"/>
    <w:rPr>
      <w:rFonts w:ascii="仿宋_GB2312" w:eastAsia="仿宋_GB2312"/>
      <w:kern w:val="2"/>
      <w:sz w:val="24"/>
      <w:szCs w:val="24"/>
      <w:lang w:val="en-US" w:eastAsia="zh-CN" w:bidi="ar-SA"/>
    </w:rPr>
  </w:style>
  <w:style w:type="character" w:customStyle="1" w:styleId="230">
    <w:name w:val="正文首行缩进 Char Char Char Char Char"/>
    <w:autoRedefine/>
    <w:qFormat/>
    <w:uiPriority w:val="0"/>
    <w:rPr>
      <w:rFonts w:ascii="宋体"/>
      <w:kern w:val="2"/>
      <w:sz w:val="24"/>
      <w:lang w:val="zh-CN"/>
    </w:rPr>
  </w:style>
  <w:style w:type="character" w:customStyle="1" w:styleId="231">
    <w:name w:val="PI Char"/>
    <w:autoRedefine/>
    <w:qFormat/>
    <w:uiPriority w:val="0"/>
    <w:rPr>
      <w:rFonts w:ascii="宋体" w:hAnsi="宋体" w:eastAsia="宋体"/>
      <w:kern w:val="2"/>
      <w:sz w:val="24"/>
      <w:szCs w:val="24"/>
      <w:lang w:val="en-US" w:eastAsia="zh-CN" w:bidi="ar-SA"/>
    </w:rPr>
  </w:style>
  <w:style w:type="character" w:customStyle="1" w:styleId="232">
    <w:name w:val="Default Char"/>
    <w:link w:val="233"/>
    <w:autoRedefine/>
    <w:qFormat/>
    <w:uiPriority w:val="0"/>
    <w:rPr>
      <w:rFonts w:ascii="仿宋_GB2312" w:eastAsia="仿宋_GB2312" w:cs="仿宋_GB2312"/>
      <w:color w:val="000000"/>
      <w:sz w:val="24"/>
      <w:szCs w:val="24"/>
      <w:lang w:val="en-US" w:eastAsia="zh-CN" w:bidi="ar-SA"/>
    </w:rPr>
  </w:style>
  <w:style w:type="paragraph" w:customStyle="1" w:styleId="233">
    <w:name w:val="Default"/>
    <w:link w:val="232"/>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autoRedefine/>
    <w:qFormat/>
    <w:uiPriority w:val="0"/>
    <w:rPr>
      <w:color w:val="333333"/>
    </w:rPr>
  </w:style>
  <w:style w:type="character" w:customStyle="1" w:styleId="235">
    <w:name w:val="列出段落 Char2"/>
    <w:autoRedefine/>
    <w:qFormat/>
    <w:uiPriority w:val="34"/>
    <w:rPr>
      <w:rFonts w:ascii="Calibri" w:hAnsi="Calibri"/>
      <w:kern w:val="2"/>
      <w:sz w:val="28"/>
    </w:rPr>
  </w:style>
  <w:style w:type="character" w:customStyle="1" w:styleId="236">
    <w:name w:val="mdeck"/>
    <w:autoRedefine/>
    <w:qFormat/>
    <w:uiPriority w:val="0"/>
    <w:rPr>
      <w:rFonts w:ascii="仿宋_GB2312" w:eastAsia="微软雅黑"/>
      <w:b/>
      <w:kern w:val="2"/>
      <w:sz w:val="32"/>
      <w:szCs w:val="32"/>
      <w:lang w:val="en-US" w:eastAsia="zh-CN" w:bidi="ar-SA"/>
    </w:rPr>
  </w:style>
  <w:style w:type="character" w:customStyle="1" w:styleId="237">
    <w:name w:val="unnamed11"/>
    <w:autoRedefine/>
    <w:qFormat/>
    <w:uiPriority w:val="0"/>
    <w:rPr>
      <w:sz w:val="20"/>
      <w:szCs w:val="20"/>
    </w:rPr>
  </w:style>
  <w:style w:type="character" w:customStyle="1" w:styleId="238">
    <w:name w:val="正文文本 Char2"/>
    <w:autoRedefine/>
    <w:semiHidden/>
    <w:qFormat/>
    <w:uiPriority w:val="99"/>
    <w:rPr>
      <w:rFonts w:ascii="Times New Roman" w:hAnsi="Times New Roman" w:eastAsia="宋体" w:cs="Times New Roman"/>
      <w:snapToGrid w:val="0"/>
      <w:kern w:val="0"/>
      <w:szCs w:val="24"/>
    </w:rPr>
  </w:style>
  <w:style w:type="character" w:customStyle="1" w:styleId="239">
    <w:name w:val="标书正文格式 Char"/>
    <w:autoRedefine/>
    <w:qFormat/>
    <w:uiPriority w:val="0"/>
    <w:rPr>
      <w:rFonts w:eastAsia="楷体_GB2312"/>
      <w:kern w:val="2"/>
      <w:sz w:val="24"/>
      <w:szCs w:val="24"/>
      <w:lang w:bidi="ar-SA"/>
    </w:rPr>
  </w:style>
  <w:style w:type="character" w:customStyle="1" w:styleId="240">
    <w:name w:val="Char Char11"/>
    <w:autoRedefine/>
    <w:qFormat/>
    <w:locked/>
    <w:uiPriority w:val="0"/>
    <w:rPr>
      <w:rFonts w:ascii="宋体" w:hAnsi="宋体" w:eastAsia="宋体"/>
      <w:b/>
      <w:kern w:val="2"/>
      <w:sz w:val="24"/>
      <w:szCs w:val="24"/>
      <w:lang w:val="en-US" w:eastAsia="zh-CN" w:bidi="ar-SA"/>
    </w:rPr>
  </w:style>
  <w:style w:type="character" w:customStyle="1" w:styleId="241">
    <w:name w:val="ca-131"/>
    <w:autoRedefine/>
    <w:qFormat/>
    <w:uiPriority w:val="0"/>
    <w:rPr>
      <w:rFonts w:hint="eastAsia" w:ascii="仿宋_GB2312" w:eastAsia="仿宋_GB2312"/>
      <w:b/>
      <w:bCs/>
      <w:color w:val="000000"/>
      <w:spacing w:val="-20"/>
      <w:sz w:val="24"/>
      <w:szCs w:val="24"/>
    </w:rPr>
  </w:style>
  <w:style w:type="character" w:customStyle="1" w:styleId="242">
    <w:name w:val="tw4winMark"/>
    <w:autoRedefine/>
    <w:qFormat/>
    <w:uiPriority w:val="0"/>
    <w:rPr>
      <w:rFonts w:ascii="Courier New" w:hAnsi="Courier New" w:cs="Courier New"/>
      <w:vanish/>
      <w:color w:val="800080"/>
      <w:sz w:val="24"/>
      <w:szCs w:val="24"/>
      <w:vertAlign w:val="subscript"/>
    </w:rPr>
  </w:style>
  <w:style w:type="character" w:customStyle="1" w:styleId="243">
    <w:name w:val="正文样式 Char"/>
    <w:link w:val="244"/>
    <w:autoRedefine/>
    <w:qFormat/>
    <w:uiPriority w:val="0"/>
    <w:rPr>
      <w:rFonts w:ascii="Calibri" w:hAnsi="Calibri"/>
      <w:sz w:val="24"/>
      <w:szCs w:val="24"/>
    </w:rPr>
  </w:style>
  <w:style w:type="paragraph" w:customStyle="1" w:styleId="244">
    <w:name w:val="正文样式"/>
    <w:basedOn w:val="1"/>
    <w:link w:val="243"/>
    <w:autoRedefine/>
    <w:qFormat/>
    <w:uiPriority w:val="0"/>
    <w:pPr>
      <w:adjustRightInd/>
      <w:spacing w:line="360" w:lineRule="auto"/>
      <w:ind w:firstLine="480" w:firstLineChars="200"/>
    </w:pPr>
    <w:rPr>
      <w:kern w:val="0"/>
      <w:sz w:val="24"/>
    </w:rPr>
  </w:style>
  <w:style w:type="character" w:customStyle="1" w:styleId="245">
    <w:name w:val="表正文 Char3"/>
    <w:autoRedefine/>
    <w:qFormat/>
    <w:uiPriority w:val="0"/>
    <w:rPr>
      <w:rFonts w:eastAsia="宋体"/>
    </w:rPr>
  </w:style>
  <w:style w:type="character" w:customStyle="1" w:styleId="246">
    <w:name w:val="H5 Char"/>
    <w:autoRedefine/>
    <w:qFormat/>
    <w:uiPriority w:val="0"/>
    <w:rPr>
      <w:b/>
      <w:bCs/>
      <w:kern w:val="2"/>
      <w:sz w:val="28"/>
      <w:szCs w:val="28"/>
    </w:rPr>
  </w:style>
  <w:style w:type="character" w:customStyle="1" w:styleId="247">
    <w:name w:val="Char Char3"/>
    <w:autoRedefine/>
    <w:qFormat/>
    <w:uiPriority w:val="0"/>
    <w:rPr>
      <w:rFonts w:eastAsia="宋体"/>
      <w:kern w:val="2"/>
      <w:sz w:val="21"/>
      <w:szCs w:val="24"/>
      <w:lang w:val="en-US" w:eastAsia="zh-CN" w:bidi="ar-SA"/>
    </w:rPr>
  </w:style>
  <w:style w:type="character" w:customStyle="1" w:styleId="248">
    <w:name w:val="正文 编号 Char"/>
    <w:autoRedefine/>
    <w:qFormat/>
    <w:uiPriority w:val="0"/>
    <w:rPr>
      <w:rFonts w:ascii="仿宋_GB2312" w:hAnsi="仿宋_GB2312" w:eastAsia="仿宋_GB2312"/>
      <w:kern w:val="2"/>
      <w:sz w:val="24"/>
      <w:lang w:bidi="ar-SA"/>
    </w:rPr>
  </w:style>
  <w:style w:type="character" w:customStyle="1" w:styleId="249">
    <w:name w:val="question-title2"/>
    <w:autoRedefine/>
    <w:qFormat/>
    <w:uiPriority w:val="6"/>
    <w:rPr>
      <w:rFonts w:ascii="Arial" w:hAnsi="Arial" w:eastAsia="黑体" w:cs="Arial"/>
      <w:snapToGrid w:val="0"/>
      <w:kern w:val="0"/>
      <w:szCs w:val="21"/>
    </w:rPr>
  </w:style>
  <w:style w:type="character" w:customStyle="1" w:styleId="250">
    <w:name w:val="gf正文1 Char Char"/>
    <w:link w:val="251"/>
    <w:autoRedefine/>
    <w:qFormat/>
    <w:uiPriority w:val="0"/>
    <w:rPr>
      <w:rFonts w:ascii="宋体" w:hAnsi="宋体" w:cs="宋体"/>
      <w:kern w:val="2"/>
      <w:sz w:val="24"/>
      <w:szCs w:val="24"/>
    </w:rPr>
  </w:style>
  <w:style w:type="paragraph" w:customStyle="1" w:styleId="251">
    <w:name w:val="gf正文1"/>
    <w:basedOn w:val="1"/>
    <w:link w:val="250"/>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autoRedefine/>
    <w:qFormat/>
    <w:uiPriority w:val="6"/>
    <w:rPr>
      <w:rFonts w:ascii="宋体" w:hAnsi="宋体"/>
      <w:kern w:val="1"/>
      <w:sz w:val="21"/>
    </w:rPr>
  </w:style>
  <w:style w:type="character" w:customStyle="1" w:styleId="253">
    <w:name w:val="正文缩进 Char3"/>
    <w:autoRedefine/>
    <w:qFormat/>
    <w:uiPriority w:val="0"/>
    <w:rPr>
      <w:rFonts w:ascii="宋体" w:eastAsia="宋体"/>
      <w:snapToGrid w:val="0"/>
      <w:color w:val="000000"/>
      <w:kern w:val="28"/>
      <w:sz w:val="28"/>
      <w:lang w:val="en-US" w:eastAsia="zh-CN" w:bidi="ar-SA"/>
    </w:rPr>
  </w:style>
  <w:style w:type="character" w:customStyle="1" w:styleId="254">
    <w:name w:val="列出段落 Char1"/>
    <w:link w:val="255"/>
    <w:autoRedefine/>
    <w:qFormat/>
    <w:uiPriority w:val="0"/>
    <w:rPr>
      <w:rFonts w:ascii="Calibri" w:hAnsi="Calibri"/>
      <w:sz w:val="24"/>
      <w:lang w:eastAsia="en-US"/>
    </w:rPr>
  </w:style>
  <w:style w:type="paragraph" w:customStyle="1" w:styleId="255">
    <w:name w:val="列表1"/>
    <w:basedOn w:val="1"/>
    <w:next w:val="4"/>
    <w:link w:val="254"/>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6">
    <w:name w:val="Char Char8"/>
    <w:autoRedefine/>
    <w:qFormat/>
    <w:uiPriority w:val="0"/>
    <w:rPr>
      <w:rFonts w:eastAsia="宋体"/>
      <w:b/>
      <w:sz w:val="24"/>
      <w:lang w:val="en-GB" w:eastAsia="zh-CN"/>
    </w:rPr>
  </w:style>
  <w:style w:type="character" w:customStyle="1" w:styleId="257">
    <w:name w:val="Normal Indent Char Char"/>
    <w:autoRedefine/>
    <w:qFormat/>
    <w:uiPriority w:val="0"/>
    <w:rPr>
      <w:rFonts w:eastAsia="宋体"/>
      <w:kern w:val="2"/>
      <w:sz w:val="21"/>
      <w:lang w:val="en-US" w:eastAsia="zh-CN" w:bidi="ar-SA"/>
    </w:rPr>
  </w:style>
  <w:style w:type="character" w:customStyle="1" w:styleId="258">
    <w:name w:val="列表段落 字符"/>
    <w:autoRedefine/>
    <w:qFormat/>
    <w:uiPriority w:val="99"/>
  </w:style>
  <w:style w:type="character" w:customStyle="1" w:styleId="259">
    <w:name w:val="Ò³Ã¼ Char Char1"/>
    <w:autoRedefine/>
    <w:qFormat/>
    <w:uiPriority w:val="0"/>
    <w:rPr>
      <w:rFonts w:eastAsia="宋体"/>
      <w:kern w:val="2"/>
      <w:sz w:val="18"/>
      <w:szCs w:val="18"/>
      <w:lang w:val="en-US" w:eastAsia="zh-CN" w:bidi="ar-SA"/>
    </w:rPr>
  </w:style>
  <w:style w:type="character" w:customStyle="1" w:styleId="260">
    <w:name w:val="方案正文 Char"/>
    <w:autoRedefine/>
    <w:qFormat/>
    <w:uiPriority w:val="0"/>
    <w:rPr>
      <w:rFonts w:ascii="仿宋_GB2312" w:eastAsia="仿宋_GB2312"/>
      <w:b/>
      <w:color w:val="000000"/>
      <w:kern w:val="2"/>
      <w:sz w:val="24"/>
      <w:lang w:val="en-US" w:eastAsia="zh-CN" w:bidi="ar-SA"/>
    </w:rPr>
  </w:style>
  <w:style w:type="character" w:customStyle="1" w:styleId="261">
    <w:name w:val="Char Char30"/>
    <w:autoRedefine/>
    <w:qFormat/>
    <w:uiPriority w:val="6"/>
    <w:rPr>
      <w:rFonts w:ascii="Arial" w:hAnsi="Arial" w:eastAsia="黑体"/>
      <w:kern w:val="1"/>
      <w:sz w:val="21"/>
      <w:szCs w:val="21"/>
    </w:rPr>
  </w:style>
  <w:style w:type="character" w:customStyle="1" w:styleId="262">
    <w:name w:val="正文文本缩进 字符1"/>
    <w:link w:val="25"/>
    <w:autoRedefine/>
    <w:qFormat/>
    <w:uiPriority w:val="0"/>
    <w:rPr>
      <w:rFonts w:ascii="宋体" w:hAnsi="宋体"/>
      <w:kern w:val="2"/>
      <w:sz w:val="24"/>
      <w:szCs w:val="24"/>
    </w:rPr>
  </w:style>
  <w:style w:type="character" w:customStyle="1" w:styleId="263">
    <w:name w:val="font01"/>
    <w:autoRedefine/>
    <w:qFormat/>
    <w:uiPriority w:val="0"/>
    <w:rPr>
      <w:rFonts w:hint="eastAsia" w:ascii="微软雅黑" w:hAnsi="微软雅黑" w:eastAsia="微软雅黑" w:cs="微软雅黑"/>
      <w:color w:val="000000"/>
      <w:sz w:val="20"/>
      <w:szCs w:val="20"/>
      <w:u w:val="none"/>
    </w:rPr>
  </w:style>
  <w:style w:type="character" w:customStyle="1" w:styleId="264">
    <w:name w:val="Char Char20"/>
    <w:autoRedefine/>
    <w:qFormat/>
    <w:uiPriority w:val="6"/>
    <w:rPr>
      <w:kern w:val="1"/>
      <w:sz w:val="24"/>
    </w:rPr>
  </w:style>
  <w:style w:type="character" w:customStyle="1" w:styleId="265">
    <w:name w:val="tw4winExternal"/>
    <w:autoRedefine/>
    <w:qFormat/>
    <w:uiPriority w:val="0"/>
    <w:rPr>
      <w:rFonts w:ascii="Courier New" w:hAnsi="Courier New" w:cs="Courier New"/>
      <w:color w:val="808080"/>
      <w:lang w:val="en-US" w:eastAsia="zh-CN"/>
    </w:rPr>
  </w:style>
  <w:style w:type="character" w:customStyle="1" w:styleId="266">
    <w:name w:val="标题 4 Char1"/>
    <w:autoRedefine/>
    <w:qFormat/>
    <w:uiPriority w:val="9"/>
    <w:rPr>
      <w:rFonts w:ascii="Cambria" w:hAnsi="Cambria" w:eastAsia="宋体" w:cs="Times New Roman"/>
      <w:b/>
      <w:bCs/>
      <w:kern w:val="2"/>
      <w:sz w:val="28"/>
      <w:szCs w:val="28"/>
    </w:rPr>
  </w:style>
  <w:style w:type="character" w:customStyle="1" w:styleId="267">
    <w:name w:val="批注文字 Char2"/>
    <w:autoRedefine/>
    <w:qFormat/>
    <w:uiPriority w:val="99"/>
    <w:rPr>
      <w:rFonts w:ascii="Times New Roman" w:hAnsi="Times New Roman" w:eastAsia="宋体" w:cs="Times New Roman"/>
      <w:snapToGrid w:val="0"/>
      <w:kern w:val="0"/>
      <w:szCs w:val="24"/>
    </w:rPr>
  </w:style>
  <w:style w:type="character" w:customStyle="1" w:styleId="268">
    <w:name w:val="正文文本 2 Char"/>
    <w:autoRedefine/>
    <w:qFormat/>
    <w:uiPriority w:val="0"/>
    <w:rPr>
      <w:rFonts w:eastAsia="宋体"/>
      <w:kern w:val="2"/>
      <w:sz w:val="21"/>
      <w:szCs w:val="24"/>
      <w:lang w:val="en-US" w:eastAsia="zh-CN" w:bidi="ar-SA"/>
    </w:rPr>
  </w:style>
  <w:style w:type="character" w:customStyle="1" w:styleId="269">
    <w:name w:val="Ò³Ã¼ Char Char"/>
    <w:autoRedefine/>
    <w:qFormat/>
    <w:uiPriority w:val="0"/>
    <w:rPr>
      <w:rFonts w:eastAsia="宋体"/>
      <w:kern w:val="2"/>
      <w:sz w:val="18"/>
      <w:lang w:val="en-US" w:eastAsia="zh-CN" w:bidi="ar-SA"/>
    </w:rPr>
  </w:style>
  <w:style w:type="character" w:customStyle="1" w:styleId="270">
    <w:name w:val="message1"/>
    <w:autoRedefine/>
    <w:qFormat/>
    <w:uiPriority w:val="0"/>
    <w:rPr>
      <w:rFonts w:hint="default" w:ascii="Tahoma" w:hAnsi="Tahoma" w:cs="Tahoma"/>
      <w:sz w:val="18"/>
      <w:szCs w:val="18"/>
    </w:rPr>
  </w:style>
  <w:style w:type="character" w:customStyle="1" w:styleId="271">
    <w:name w:val="Char Char23"/>
    <w:autoRedefine/>
    <w:qFormat/>
    <w:uiPriority w:val="6"/>
    <w:rPr>
      <w:color w:val="0000FF"/>
      <w:sz w:val="21"/>
    </w:rPr>
  </w:style>
  <w:style w:type="character" w:customStyle="1" w:styleId="272">
    <w:name w:val="批注框文本 字符"/>
    <w:autoRedefine/>
    <w:qFormat/>
    <w:uiPriority w:val="0"/>
    <w:rPr>
      <w:rFonts w:ascii="Arial" w:hAnsi="Arial" w:eastAsia="黑体" w:cs="Arial"/>
      <w:snapToGrid w:val="0"/>
      <w:kern w:val="0"/>
      <w:sz w:val="18"/>
      <w:szCs w:val="18"/>
    </w:rPr>
  </w:style>
  <w:style w:type="character" w:customStyle="1" w:styleId="273">
    <w:name w:val="纯文本 Char2"/>
    <w:autoRedefine/>
    <w:semiHidden/>
    <w:qFormat/>
    <w:uiPriority w:val="99"/>
    <w:rPr>
      <w:rFonts w:ascii="宋体" w:hAnsi="Courier New" w:eastAsia="宋体" w:cs="Courier New"/>
    </w:rPr>
  </w:style>
  <w:style w:type="character" w:customStyle="1" w:styleId="274">
    <w:name w:val="Char Char25"/>
    <w:autoRedefine/>
    <w:qFormat/>
    <w:uiPriority w:val="6"/>
    <w:rPr>
      <w:rFonts w:ascii="宋体" w:hAnsi="宋体"/>
      <w:kern w:val="1"/>
      <w:sz w:val="24"/>
      <w:lang w:val="zh-CN"/>
    </w:rPr>
  </w:style>
  <w:style w:type="character" w:customStyle="1" w:styleId="275">
    <w:name w:val="Char Char411"/>
    <w:autoRedefine/>
    <w:qFormat/>
    <w:uiPriority w:val="0"/>
    <w:rPr>
      <w:rFonts w:eastAsia="宋体"/>
      <w:b/>
      <w:sz w:val="24"/>
      <w:lang w:val="en-GB" w:eastAsia="zh-CN" w:bidi="ar-SA"/>
    </w:rPr>
  </w:style>
  <w:style w:type="character" w:customStyle="1" w:styleId="276">
    <w:name w:val="Heading 7 Char"/>
    <w:autoRedefine/>
    <w:qFormat/>
    <w:locked/>
    <w:uiPriority w:val="0"/>
    <w:rPr>
      <w:rFonts w:ascii="宋体" w:hAnsi="宋体" w:eastAsia="宋体"/>
      <w:b/>
      <w:bCs/>
      <w:kern w:val="2"/>
      <w:sz w:val="24"/>
      <w:szCs w:val="24"/>
      <w:lang w:val="en-US" w:eastAsia="zh-CN" w:bidi="ar-SA"/>
    </w:rPr>
  </w:style>
  <w:style w:type="character" w:customStyle="1" w:styleId="277">
    <w:name w:val="此正文 Char"/>
    <w:link w:val="278"/>
    <w:autoRedefine/>
    <w:qFormat/>
    <w:uiPriority w:val="0"/>
    <w:rPr>
      <w:kern w:val="2"/>
      <w:sz w:val="24"/>
      <w:szCs w:val="24"/>
    </w:rPr>
  </w:style>
  <w:style w:type="paragraph" w:customStyle="1" w:styleId="278">
    <w:name w:val="此正文"/>
    <w:basedOn w:val="1"/>
    <w:link w:val="277"/>
    <w:autoRedefine/>
    <w:qFormat/>
    <w:uiPriority w:val="0"/>
    <w:pPr>
      <w:adjustRightInd/>
      <w:spacing w:line="360" w:lineRule="auto"/>
      <w:ind w:firstLine="200" w:firstLineChars="200"/>
    </w:pPr>
    <w:rPr>
      <w:sz w:val="24"/>
    </w:rPr>
  </w:style>
  <w:style w:type="character" w:customStyle="1" w:styleId="279">
    <w:name w:val="Char Char2"/>
    <w:autoRedefine/>
    <w:qFormat/>
    <w:uiPriority w:val="0"/>
    <w:rPr>
      <w:rFonts w:eastAsia="宋体"/>
      <w:b/>
      <w:bCs/>
      <w:kern w:val="2"/>
      <w:sz w:val="21"/>
      <w:szCs w:val="24"/>
      <w:lang w:val="en-US" w:eastAsia="zh-CN" w:bidi="ar-SA"/>
    </w:rPr>
  </w:style>
  <w:style w:type="character" w:customStyle="1" w:styleId="280">
    <w:name w:val="标题 1 字符1"/>
    <w:link w:val="3"/>
    <w:autoRedefine/>
    <w:qFormat/>
    <w:uiPriority w:val="9"/>
    <w:rPr>
      <w:b/>
      <w:bCs/>
      <w:kern w:val="44"/>
      <w:sz w:val="44"/>
      <w:szCs w:val="44"/>
    </w:rPr>
  </w:style>
  <w:style w:type="character" w:customStyle="1" w:styleId="281">
    <w:name w:val="Footer-Even Char1"/>
    <w:autoRedefine/>
    <w:qFormat/>
    <w:uiPriority w:val="0"/>
    <w:rPr>
      <w:rFonts w:eastAsia="宋体"/>
      <w:kern w:val="2"/>
      <w:sz w:val="18"/>
      <w:szCs w:val="18"/>
      <w:lang w:val="en-US" w:eastAsia="zh-CN" w:bidi="ar-SA"/>
    </w:rPr>
  </w:style>
  <w:style w:type="character" w:customStyle="1" w:styleId="282">
    <w:name w:val="Char Char29"/>
    <w:autoRedefine/>
    <w:qFormat/>
    <w:uiPriority w:val="6"/>
    <w:rPr>
      <w:rFonts w:ascii="Arial" w:hAnsi="Arial" w:eastAsia="微软雅黑"/>
      <w:b/>
      <w:kern w:val="1"/>
      <w:sz w:val="44"/>
      <w:szCs w:val="32"/>
      <w:lang w:val="en-US" w:eastAsia="zh-CN" w:bidi="ar-SA"/>
    </w:rPr>
  </w:style>
  <w:style w:type="character" w:customStyle="1" w:styleId="283">
    <w:name w:val="标题 字符"/>
    <w:link w:val="60"/>
    <w:autoRedefine/>
    <w:qFormat/>
    <w:uiPriority w:val="10"/>
    <w:rPr>
      <w:b/>
      <w:sz w:val="24"/>
      <w:lang w:val="en-GB"/>
    </w:rPr>
  </w:style>
  <w:style w:type="character" w:customStyle="1" w:styleId="284">
    <w:name w:val="font81"/>
    <w:autoRedefine/>
    <w:qFormat/>
    <w:uiPriority w:val="0"/>
    <w:rPr>
      <w:rFonts w:ascii="微软雅黑" w:hAnsi="微软雅黑" w:eastAsia="微软雅黑" w:cs="微软雅黑"/>
      <w:color w:val="000000"/>
      <w:sz w:val="20"/>
      <w:szCs w:val="20"/>
      <w:u w:val="none"/>
    </w:rPr>
  </w:style>
  <w:style w:type="character" w:customStyle="1" w:styleId="285">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6">
    <w:name w:val="t21"/>
    <w:autoRedefine/>
    <w:qFormat/>
    <w:uiPriority w:val="0"/>
    <w:rPr>
      <w:rFonts w:ascii="仿宋_GB2312" w:eastAsia="微软雅黑"/>
      <w:b/>
      <w:kern w:val="2"/>
      <w:sz w:val="23"/>
      <w:szCs w:val="23"/>
      <w:lang w:val="en-US" w:eastAsia="zh-CN" w:bidi="ar-SA"/>
    </w:rPr>
  </w:style>
  <w:style w:type="character" w:customStyle="1" w:styleId="287">
    <w:name w:val="样式8 Char"/>
    <w:autoRedefine/>
    <w:qFormat/>
    <w:uiPriority w:val="0"/>
    <w:rPr>
      <w:rFonts w:ascii="仿宋_GB2312" w:hAnsi="宋体" w:eastAsia="仿宋_GB2312"/>
      <w:b/>
      <w:bCs/>
      <w:kern w:val="2"/>
      <w:sz w:val="24"/>
      <w:szCs w:val="24"/>
    </w:rPr>
  </w:style>
  <w:style w:type="character" w:customStyle="1" w:styleId="288">
    <w:name w:val="表格 Char Char"/>
    <w:autoRedefine/>
    <w:qFormat/>
    <w:uiPriority w:val="0"/>
    <w:rPr>
      <w:rFonts w:ascii="宋体" w:hAnsi="宋体" w:eastAsia="宋体"/>
      <w:lang w:bidi="ar-SA"/>
    </w:rPr>
  </w:style>
  <w:style w:type="character" w:customStyle="1" w:styleId="289">
    <w:name w:val="正文文本 字符1"/>
    <w:autoRedefine/>
    <w:qFormat/>
    <w:uiPriority w:val="0"/>
    <w:rPr>
      <w:rFonts w:ascii="Calibri" w:hAnsi="Calibri" w:eastAsia="黑体" w:cs="Arial"/>
      <w:snapToGrid w:val="0"/>
      <w:kern w:val="2"/>
      <w:sz w:val="28"/>
      <w:szCs w:val="21"/>
    </w:rPr>
  </w:style>
  <w:style w:type="character" w:customStyle="1" w:styleId="290">
    <w:name w:val="标题 5 字符"/>
    <w:link w:val="7"/>
    <w:autoRedefine/>
    <w:qFormat/>
    <w:uiPriority w:val="9"/>
    <w:rPr>
      <w:b/>
      <w:bCs/>
      <w:kern w:val="2"/>
      <w:sz w:val="28"/>
      <w:szCs w:val="28"/>
    </w:rPr>
  </w:style>
  <w:style w:type="character" w:customStyle="1" w:styleId="291">
    <w:name w:val="标题 6 Char1"/>
    <w:autoRedefine/>
    <w:qFormat/>
    <w:uiPriority w:val="0"/>
    <w:rPr>
      <w:rFonts w:ascii="Arial" w:hAnsi="Arial" w:eastAsia="黑体" w:cs="Times New Roman"/>
      <w:b/>
      <w:sz w:val="24"/>
      <w:szCs w:val="20"/>
      <w:lang w:bidi="ar-SA"/>
    </w:rPr>
  </w:style>
  <w:style w:type="character" w:customStyle="1" w:styleId="292">
    <w:name w:val="带编号样式 Char"/>
    <w:autoRedefine/>
    <w:qFormat/>
    <w:uiPriority w:val="0"/>
    <w:rPr>
      <w:rFonts w:ascii="仿宋_GB2312" w:eastAsia="仿宋_GB2312"/>
      <w:color w:val="000000"/>
      <w:sz w:val="24"/>
      <w:lang w:bidi="ar-SA"/>
    </w:rPr>
  </w:style>
  <w:style w:type="character" w:customStyle="1" w:styleId="293">
    <w:name w:val="unnamed31"/>
    <w:autoRedefine/>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autoRedefine/>
    <w:qFormat/>
    <w:uiPriority w:val="0"/>
    <w:rPr>
      <w:rFonts w:ascii="宋体" w:eastAsia="宋体"/>
      <w:kern w:val="2"/>
      <w:sz w:val="24"/>
      <w:szCs w:val="24"/>
      <w:lang w:val="zh-CN" w:bidi="ar-SA"/>
    </w:rPr>
  </w:style>
  <w:style w:type="character" w:customStyle="1" w:styleId="295">
    <w:name w:val="称呼 字符"/>
    <w:link w:val="21"/>
    <w:autoRedefine/>
    <w:qFormat/>
    <w:uiPriority w:val="0"/>
    <w:rPr>
      <w:rFonts w:ascii="仿宋_GB2312" w:eastAsia="仿宋_GB2312"/>
      <w:kern w:val="2"/>
      <w:sz w:val="28"/>
    </w:rPr>
  </w:style>
  <w:style w:type="character" w:customStyle="1" w:styleId="296">
    <w:name w:val="文本正文 Char Char"/>
    <w:autoRedefine/>
    <w:qFormat/>
    <w:locked/>
    <w:uiPriority w:val="0"/>
    <w:rPr>
      <w:sz w:val="24"/>
      <w:lang w:bidi="ar-SA"/>
    </w:rPr>
  </w:style>
  <w:style w:type="character" w:customStyle="1" w:styleId="297">
    <w:name w:val="正文缩进 字符"/>
    <w:autoRedefine/>
    <w:qFormat/>
    <w:uiPriority w:val="0"/>
    <w:rPr>
      <w:rFonts w:ascii="宋体" w:eastAsia="宋体"/>
      <w:snapToGrid w:val="0"/>
      <w:color w:val="000000"/>
      <w:kern w:val="28"/>
      <w:sz w:val="28"/>
      <w:lang w:val="en-US" w:eastAsia="zh-CN" w:bidi="ar-SA"/>
    </w:rPr>
  </w:style>
  <w:style w:type="character" w:customStyle="1" w:styleId="298">
    <w:name w:val="HTML 预设格式 字符"/>
    <w:link w:val="58"/>
    <w:autoRedefine/>
    <w:qFormat/>
    <w:uiPriority w:val="0"/>
    <w:rPr>
      <w:rFonts w:ascii="黑体" w:hAnsi="Courier New" w:eastAsia="黑体"/>
    </w:rPr>
  </w:style>
  <w:style w:type="character" w:customStyle="1" w:styleId="299">
    <w:name w:val="正文文本 2 字符1"/>
    <w:link w:val="57"/>
    <w:autoRedefine/>
    <w:qFormat/>
    <w:uiPriority w:val="0"/>
    <w:rPr>
      <w:kern w:val="2"/>
      <w:sz w:val="21"/>
      <w:szCs w:val="24"/>
    </w:rPr>
  </w:style>
  <w:style w:type="character" w:customStyle="1" w:styleId="300">
    <w:name w:val="样式 样式 标题 4h4H4Fab-4T5Ref Heading 1rh1Heading sqlsect 1.2.3.... +... Char"/>
    <w:link w:val="301"/>
    <w:autoRedefine/>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autoRedefine/>
    <w:qFormat/>
    <w:uiPriority w:val="0"/>
    <w:pPr>
      <w:tabs>
        <w:tab w:val="left" w:pos="2356"/>
      </w:tabs>
    </w:pPr>
  </w:style>
  <w:style w:type="paragraph" w:customStyle="1" w:styleId="302">
    <w:name w:val="样式 标题 4h4H4Fab-4T5Ref Heading 1rh1Heading sqlsect 1.2.3...."/>
    <w:basedOn w:val="6"/>
    <w:link w:val="410"/>
    <w:autoRedefine/>
    <w:qFormat/>
    <w:uiPriority w:val="0"/>
    <w:pPr>
      <w:tabs>
        <w:tab w:val="left" w:pos="2356"/>
        <w:tab w:val="clear" w:pos="864"/>
      </w:tabs>
      <w:adjustRightInd/>
      <w:spacing w:line="360" w:lineRule="auto"/>
      <w:ind w:left="1984" w:leftChars="75" w:hanging="708"/>
    </w:pPr>
    <w:rPr>
      <w:rFonts w:ascii="微软雅黑" w:hAnsi="微软雅黑" w:eastAsia="微软雅黑"/>
      <w:sz w:val="24"/>
    </w:rPr>
  </w:style>
  <w:style w:type="character" w:customStyle="1" w:styleId="303">
    <w:name w:val="正文非缩进 Char"/>
    <w:autoRedefine/>
    <w:qFormat/>
    <w:uiPriority w:val="0"/>
    <w:rPr>
      <w:rFonts w:ascii="宋体" w:eastAsia="宋体"/>
      <w:snapToGrid w:val="0"/>
      <w:color w:val="000000"/>
      <w:kern w:val="28"/>
      <w:sz w:val="28"/>
      <w:lang w:val="en-US" w:eastAsia="zh-CN" w:bidi="ar-SA"/>
    </w:rPr>
  </w:style>
  <w:style w:type="character" w:customStyle="1" w:styleId="304">
    <w:name w:val="标题 7 字符"/>
    <w:link w:val="9"/>
    <w:autoRedefine/>
    <w:qFormat/>
    <w:uiPriority w:val="0"/>
    <w:rPr>
      <w:b/>
      <w:bCs/>
      <w:kern w:val="2"/>
      <w:sz w:val="24"/>
      <w:szCs w:val="24"/>
    </w:rPr>
  </w:style>
  <w:style w:type="character" w:customStyle="1" w:styleId="305">
    <w:name w:val="正文文本缩进 2 字符"/>
    <w:link w:val="38"/>
    <w:autoRedefine/>
    <w:qFormat/>
    <w:uiPriority w:val="0"/>
    <w:rPr>
      <w:rFonts w:ascii="宋体"/>
      <w:sz w:val="28"/>
    </w:rPr>
  </w:style>
  <w:style w:type="character" w:customStyle="1" w:styleId="306">
    <w:name w:val="Char Char5"/>
    <w:autoRedefine/>
    <w:qFormat/>
    <w:uiPriority w:val="0"/>
    <w:rPr>
      <w:rFonts w:ascii="宋体" w:hAnsi="Courier New" w:eastAsia="宋体"/>
      <w:kern w:val="2"/>
      <w:sz w:val="21"/>
      <w:lang w:val="en-US" w:eastAsia="zh-CN"/>
    </w:rPr>
  </w:style>
  <w:style w:type="character" w:customStyle="1" w:styleId="307">
    <w:name w:val="脚注文本 字符"/>
    <w:link w:val="51"/>
    <w:autoRedefine/>
    <w:qFormat/>
    <w:uiPriority w:val="0"/>
    <w:rPr>
      <w:color w:val="0000FF"/>
      <w:sz w:val="21"/>
    </w:rPr>
  </w:style>
  <w:style w:type="character" w:customStyle="1" w:styleId="308">
    <w:name w:val="称呼 Char1"/>
    <w:autoRedefine/>
    <w:qFormat/>
    <w:uiPriority w:val="0"/>
    <w:rPr>
      <w:rFonts w:ascii="Times New Roman" w:hAnsi="Times New Roman" w:eastAsia="宋体" w:cs="Times New Roman"/>
      <w:szCs w:val="24"/>
    </w:rPr>
  </w:style>
  <w:style w:type="character" w:customStyle="1" w:styleId="309">
    <w:name w:val="正文1 Char"/>
    <w:autoRedefine/>
    <w:qFormat/>
    <w:uiPriority w:val="0"/>
    <w:rPr>
      <w:rFonts w:ascii="宋体" w:eastAsia="宋体"/>
      <w:snapToGrid w:val="0"/>
      <w:color w:val="000000"/>
      <w:kern w:val="28"/>
      <w:sz w:val="28"/>
      <w:lang w:val="en-US" w:eastAsia="zh-CN" w:bidi="ar-SA"/>
    </w:rPr>
  </w:style>
  <w:style w:type="character" w:customStyle="1" w:styleId="310">
    <w:name w:val="正文缩进 Char1"/>
    <w:autoRedefine/>
    <w:qFormat/>
    <w:uiPriority w:val="0"/>
    <w:rPr>
      <w:rFonts w:ascii="宋体" w:eastAsia="宋体"/>
      <w:snapToGrid w:val="0"/>
      <w:color w:val="000000"/>
      <w:kern w:val="28"/>
      <w:sz w:val="28"/>
      <w:lang w:val="en-US" w:eastAsia="zh-CN" w:bidi="ar-SA"/>
    </w:rPr>
  </w:style>
  <w:style w:type="character" w:customStyle="1" w:styleId="311">
    <w:name w:val="font21"/>
    <w:autoRedefine/>
    <w:qFormat/>
    <w:uiPriority w:val="0"/>
    <w:rPr>
      <w:rFonts w:hint="eastAsia" w:ascii="宋体" w:hAnsi="宋体" w:eastAsia="宋体"/>
      <w:kern w:val="2"/>
      <w:sz w:val="28"/>
      <w:szCs w:val="28"/>
      <w:lang w:val="en-US" w:eastAsia="zh-CN" w:bidi="ar-SA"/>
    </w:rPr>
  </w:style>
  <w:style w:type="character" w:customStyle="1" w:styleId="312">
    <w:name w:val="Char Char26"/>
    <w:autoRedefine/>
    <w:qFormat/>
    <w:uiPriority w:val="6"/>
    <w:rPr>
      <w:kern w:val="1"/>
      <w:sz w:val="21"/>
      <w:szCs w:val="24"/>
    </w:rPr>
  </w:style>
  <w:style w:type="character" w:customStyle="1" w:styleId="313">
    <w:name w:val="Item List Char"/>
    <w:link w:val="314"/>
    <w:autoRedefine/>
    <w:qFormat/>
    <w:uiPriority w:val="0"/>
    <w:rPr>
      <w:rFonts w:ascii="Arial"/>
      <w:bCs/>
      <w:sz w:val="21"/>
      <w:szCs w:val="21"/>
      <w:lang w:val="en-US" w:eastAsia="zh-CN" w:bidi="ar-SA"/>
    </w:rPr>
  </w:style>
  <w:style w:type="paragraph" w:customStyle="1" w:styleId="314">
    <w:name w:val="Item List"/>
    <w:link w:val="313"/>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autoRedefine/>
    <w:qFormat/>
    <w:uiPriority w:val="0"/>
    <w:rPr>
      <w:rFonts w:ascii="Times New Roman" w:hAnsi="Times New Roman" w:eastAsia="宋体" w:cs="Times New Roman"/>
      <w:sz w:val="18"/>
      <w:szCs w:val="18"/>
    </w:rPr>
  </w:style>
  <w:style w:type="character" w:customStyle="1" w:styleId="316">
    <w:name w:val="纯文本 Char1"/>
    <w:link w:val="317"/>
    <w:autoRedefine/>
    <w:qFormat/>
    <w:uiPriority w:val="0"/>
    <w:rPr>
      <w:rFonts w:ascii="宋体" w:hAnsi="Courier New"/>
    </w:rPr>
  </w:style>
  <w:style w:type="paragraph" w:customStyle="1" w:styleId="317">
    <w:name w:val="纯文本1"/>
    <w:basedOn w:val="1"/>
    <w:link w:val="316"/>
    <w:autoRedefine/>
    <w:qFormat/>
    <w:uiPriority w:val="0"/>
    <w:pPr>
      <w:adjustRightInd/>
    </w:pPr>
    <w:rPr>
      <w:rFonts w:ascii="宋体" w:hAnsi="Courier New"/>
      <w:kern w:val="0"/>
      <w:sz w:val="20"/>
      <w:szCs w:val="20"/>
    </w:rPr>
  </w:style>
  <w:style w:type="character" w:customStyle="1" w:styleId="318">
    <w:name w:val="正文文本首行缩进 字符"/>
    <w:link w:val="62"/>
    <w:autoRedefine/>
    <w:qFormat/>
    <w:uiPriority w:val="0"/>
    <w:rPr>
      <w:rFonts w:ascii="宋体"/>
      <w:kern w:val="2"/>
      <w:sz w:val="24"/>
      <w:lang w:val="zh-CN"/>
    </w:rPr>
  </w:style>
  <w:style w:type="character" w:customStyle="1" w:styleId="319">
    <w:name w:val="h3 Char"/>
    <w:autoRedefine/>
    <w:qFormat/>
    <w:uiPriority w:val="0"/>
    <w:rPr>
      <w:rFonts w:eastAsia="宋体"/>
      <w:b/>
      <w:kern w:val="2"/>
      <w:sz w:val="32"/>
      <w:lang w:val="en-US" w:eastAsia="zh-CN" w:bidi="ar-SA"/>
    </w:rPr>
  </w:style>
  <w:style w:type="character" w:customStyle="1" w:styleId="320">
    <w:name w:val="dandyren_title1"/>
    <w:autoRedefine/>
    <w:qFormat/>
    <w:uiPriority w:val="0"/>
    <w:rPr>
      <w:b/>
      <w:bCs/>
      <w:color w:val="FF6633"/>
      <w:sz w:val="18"/>
      <w:szCs w:val="18"/>
    </w:rPr>
  </w:style>
  <w:style w:type="character" w:customStyle="1" w:styleId="321">
    <w:name w:val="Char Char31"/>
    <w:autoRedefine/>
    <w:qFormat/>
    <w:uiPriority w:val="6"/>
    <w:rPr>
      <w:rFonts w:ascii="Arial" w:hAnsi="Arial" w:eastAsia="黑体"/>
      <w:kern w:val="1"/>
      <w:sz w:val="24"/>
      <w:szCs w:val="24"/>
    </w:rPr>
  </w:style>
  <w:style w:type="character" w:customStyle="1" w:styleId="322">
    <w:name w:val="h Char1"/>
    <w:autoRedefine/>
    <w:qFormat/>
    <w:uiPriority w:val="0"/>
    <w:rPr>
      <w:sz w:val="18"/>
      <w:szCs w:val="18"/>
    </w:rPr>
  </w:style>
  <w:style w:type="character" w:customStyle="1" w:styleId="323">
    <w:name w:val="solutionfonts"/>
    <w:autoRedefine/>
    <w:qFormat/>
    <w:uiPriority w:val="0"/>
  </w:style>
  <w:style w:type="character" w:customStyle="1" w:styleId="324">
    <w:name w:val="标题 4 字符1"/>
    <w:link w:val="6"/>
    <w:autoRedefine/>
    <w:qFormat/>
    <w:uiPriority w:val="9"/>
    <w:rPr>
      <w:rFonts w:ascii="Arial" w:hAnsi="Arial" w:eastAsia="黑体"/>
      <w:b/>
      <w:bCs/>
      <w:kern w:val="2"/>
      <w:sz w:val="28"/>
      <w:szCs w:val="28"/>
      <w:lang w:val="zh-CN"/>
    </w:rPr>
  </w:style>
  <w:style w:type="character" w:customStyle="1" w:styleId="325">
    <w:name w:val="首行缩进 Char"/>
    <w:autoRedefine/>
    <w:qFormat/>
    <w:uiPriority w:val="0"/>
    <w:rPr>
      <w:rFonts w:ascii="宋体" w:eastAsia="宋体"/>
      <w:kern w:val="2"/>
      <w:sz w:val="24"/>
      <w:lang w:val="en-US" w:eastAsia="zh-CN" w:bidi="ar-SA"/>
    </w:rPr>
  </w:style>
  <w:style w:type="character" w:customStyle="1" w:styleId="326">
    <w:name w:val="Char Char52"/>
    <w:autoRedefine/>
    <w:qFormat/>
    <w:uiPriority w:val="0"/>
    <w:rPr>
      <w:rFonts w:ascii="宋体" w:hAnsi="Courier New" w:eastAsia="宋体"/>
      <w:kern w:val="2"/>
      <w:sz w:val="21"/>
      <w:lang w:val="en-US" w:eastAsia="zh-CN"/>
    </w:rPr>
  </w:style>
  <w:style w:type="character" w:customStyle="1" w:styleId="327">
    <w:name w:val="正文文本 3 字符"/>
    <w:link w:val="22"/>
    <w:autoRedefine/>
    <w:qFormat/>
    <w:uiPriority w:val="0"/>
    <w:rPr>
      <w:kern w:val="2"/>
      <w:sz w:val="21"/>
    </w:rPr>
  </w:style>
  <w:style w:type="character" w:customStyle="1" w:styleId="328">
    <w:name w:val="font31"/>
    <w:autoRedefine/>
    <w:qFormat/>
    <w:uiPriority w:val="0"/>
    <w:rPr>
      <w:rFonts w:hint="eastAsia" w:ascii="仿宋" w:hAnsi="仿宋" w:eastAsia="仿宋" w:cs="仿宋"/>
      <w:color w:val="000000"/>
      <w:sz w:val="20"/>
      <w:szCs w:val="20"/>
      <w:u w:val="none"/>
    </w:rPr>
  </w:style>
  <w:style w:type="character" w:customStyle="1" w:styleId="329">
    <w:name w:val="正文说明 Char"/>
    <w:link w:val="330"/>
    <w:autoRedefine/>
    <w:qFormat/>
    <w:uiPriority w:val="0"/>
    <w:rPr>
      <w:sz w:val="24"/>
      <w:szCs w:val="24"/>
    </w:rPr>
  </w:style>
  <w:style w:type="paragraph" w:customStyle="1" w:styleId="330">
    <w:name w:val="正文说明"/>
    <w:basedOn w:val="1"/>
    <w:link w:val="329"/>
    <w:autoRedefine/>
    <w:qFormat/>
    <w:uiPriority w:val="0"/>
    <w:pPr>
      <w:adjustRightInd/>
      <w:spacing w:line="360" w:lineRule="auto"/>
    </w:pPr>
    <w:rPr>
      <w:kern w:val="0"/>
      <w:sz w:val="24"/>
    </w:rPr>
  </w:style>
  <w:style w:type="character" w:customStyle="1" w:styleId="331">
    <w:name w:val="脚注文本 Char1"/>
    <w:autoRedefine/>
    <w:qFormat/>
    <w:uiPriority w:val="0"/>
    <w:rPr>
      <w:rFonts w:ascii="Times New Roman" w:hAnsi="Times New Roman" w:eastAsia="宋体" w:cs="Times New Roman"/>
      <w:sz w:val="18"/>
      <w:szCs w:val="18"/>
    </w:rPr>
  </w:style>
  <w:style w:type="character" w:customStyle="1" w:styleId="332">
    <w:name w:val="Char Char1211"/>
    <w:autoRedefine/>
    <w:qFormat/>
    <w:uiPriority w:val="0"/>
    <w:rPr>
      <w:rFonts w:ascii="仿宋_GB2312" w:eastAsia="仿宋_GB2312"/>
      <w:b/>
      <w:bCs/>
      <w:kern w:val="2"/>
      <w:sz w:val="24"/>
      <w:szCs w:val="24"/>
      <w:lang w:val="zh-CN" w:eastAsia="zh-CN" w:bidi="ar-SA"/>
    </w:rPr>
  </w:style>
  <w:style w:type="character" w:customStyle="1" w:styleId="333">
    <w:name w:val="标题 Char"/>
    <w:autoRedefine/>
    <w:qFormat/>
    <w:uiPriority w:val="0"/>
    <w:rPr>
      <w:rFonts w:eastAsia="宋体"/>
      <w:b/>
      <w:sz w:val="24"/>
      <w:lang w:val="en-GB" w:eastAsia="zh-CN" w:bidi="ar-SA"/>
    </w:rPr>
  </w:style>
  <w:style w:type="character" w:customStyle="1" w:styleId="334">
    <w:name w:val="Char Char35"/>
    <w:autoRedefine/>
    <w:qFormat/>
    <w:uiPriority w:val="6"/>
    <w:rPr>
      <w:rFonts w:ascii="Arial" w:hAnsi="Arial" w:eastAsia="黑体"/>
      <w:b/>
      <w:kern w:val="1"/>
      <w:sz w:val="28"/>
      <w:szCs w:val="28"/>
      <w:lang w:val="zh-CN"/>
    </w:rPr>
  </w:style>
  <w:style w:type="character" w:customStyle="1" w:styleId="335">
    <w:name w:val="纯文本 Char Char Char"/>
    <w:autoRedefine/>
    <w:qFormat/>
    <w:uiPriority w:val="0"/>
    <w:rPr>
      <w:rFonts w:ascii="宋体" w:hAnsi="Courier New" w:eastAsia="宋体"/>
      <w:kern w:val="2"/>
      <w:sz w:val="21"/>
      <w:lang w:val="en-US" w:eastAsia="zh-CN" w:bidi="ar-SA"/>
    </w:rPr>
  </w:style>
  <w:style w:type="character" w:customStyle="1" w:styleId="336">
    <w:name w:val="Table Text Char"/>
    <w:link w:val="337"/>
    <w:autoRedefine/>
    <w:qFormat/>
    <w:uiPriority w:val="0"/>
    <w:rPr>
      <w:sz w:val="24"/>
      <w:szCs w:val="24"/>
    </w:rPr>
  </w:style>
  <w:style w:type="paragraph" w:customStyle="1" w:styleId="337">
    <w:name w:val="Table Text"/>
    <w:basedOn w:val="1"/>
    <w:link w:val="336"/>
    <w:autoRedefine/>
    <w:qFormat/>
    <w:uiPriority w:val="0"/>
    <w:pPr>
      <w:widowControl/>
      <w:spacing w:before="60" w:after="60"/>
      <w:jc w:val="left"/>
    </w:pPr>
    <w:rPr>
      <w:kern w:val="0"/>
      <w:sz w:val="24"/>
    </w:rPr>
  </w:style>
  <w:style w:type="character" w:customStyle="1" w:styleId="338">
    <w:name w:val="正文1 Char1"/>
    <w:autoRedefine/>
    <w:qFormat/>
    <w:uiPriority w:val="0"/>
    <w:rPr>
      <w:rFonts w:ascii="仿宋_GB2312" w:hAnsi="Courier New" w:eastAsia="仿宋_GB2312"/>
      <w:kern w:val="28"/>
      <w:sz w:val="24"/>
      <w:szCs w:val="24"/>
      <w:lang w:val="en-US" w:eastAsia="zh-CN"/>
    </w:rPr>
  </w:style>
  <w:style w:type="character" w:customStyle="1" w:styleId="339">
    <w:name w:val="页脚 Char1"/>
    <w:autoRedefine/>
    <w:qFormat/>
    <w:uiPriority w:val="0"/>
    <w:rPr>
      <w:rFonts w:eastAsia="宋体"/>
      <w:kern w:val="2"/>
      <w:sz w:val="18"/>
      <w:szCs w:val="18"/>
      <w:lang w:val="en-US" w:eastAsia="zh-CN" w:bidi="ar-SA"/>
    </w:rPr>
  </w:style>
  <w:style w:type="character" w:customStyle="1" w:styleId="340">
    <w:name w:val="Bold"/>
    <w:autoRedefine/>
    <w:qFormat/>
    <w:uiPriority w:val="0"/>
    <w:rPr>
      <w:rFonts w:ascii="Arial" w:hAnsi="Arial" w:eastAsia="黑体" w:cs="Times New Roman"/>
      <w:b/>
      <w:kern w:val="2"/>
      <w:sz w:val="32"/>
      <w:szCs w:val="32"/>
      <w:lang w:val="en-US" w:eastAsia="zh-CN" w:bidi="ar-SA"/>
    </w:rPr>
  </w:style>
  <w:style w:type="character" w:customStyle="1" w:styleId="341">
    <w:name w:val="批注文字 字符1"/>
    <w:link w:val="20"/>
    <w:autoRedefine/>
    <w:qFormat/>
    <w:uiPriority w:val="0"/>
    <w:rPr>
      <w:kern w:val="2"/>
      <w:sz w:val="21"/>
      <w:szCs w:val="24"/>
    </w:rPr>
  </w:style>
  <w:style w:type="character" w:customStyle="1" w:styleId="342">
    <w:name w:val="签名 字符"/>
    <w:link w:val="43"/>
    <w:autoRedefine/>
    <w:qFormat/>
    <w:uiPriority w:val="0"/>
    <w:rPr>
      <w:rFonts w:eastAsia="仿宋_GB2312"/>
      <w:sz w:val="24"/>
    </w:rPr>
  </w:style>
  <w:style w:type="character" w:customStyle="1" w:styleId="343">
    <w:name w:val="hui3"/>
    <w:autoRedefine/>
    <w:qFormat/>
    <w:uiPriority w:val="0"/>
    <w:rPr>
      <w:color w:val="333333"/>
    </w:rPr>
  </w:style>
  <w:style w:type="character" w:customStyle="1" w:styleId="344">
    <w:name w:val="Char Char17"/>
    <w:autoRedefine/>
    <w:qFormat/>
    <w:uiPriority w:val="6"/>
    <w:rPr>
      <w:rFonts w:eastAsia="仿宋_GB2312"/>
      <w:sz w:val="24"/>
    </w:rPr>
  </w:style>
  <w:style w:type="character" w:customStyle="1" w:styleId="345">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6">
    <w:name w:val="Char Char37"/>
    <w:autoRedefine/>
    <w:qFormat/>
    <w:uiPriority w:val="6"/>
    <w:rPr>
      <w:b/>
      <w:kern w:val="1"/>
      <w:sz w:val="44"/>
      <w:szCs w:val="44"/>
    </w:rPr>
  </w:style>
  <w:style w:type="character" w:customStyle="1" w:styleId="347">
    <w:name w:val="列出段落 Char"/>
    <w:autoRedefine/>
    <w:qFormat/>
    <w:uiPriority w:val="0"/>
    <w:rPr>
      <w:rFonts w:eastAsia="楷体_GB2312" w:cs="Lucida Sans"/>
      <w:kern w:val="2"/>
      <w:sz w:val="24"/>
      <w:szCs w:val="24"/>
      <w:lang w:val="en-US" w:eastAsia="zh-CN" w:bidi="ar-SA"/>
    </w:rPr>
  </w:style>
  <w:style w:type="character" w:customStyle="1" w:styleId="348">
    <w:name w:val="正文文本缩进 3 Char1"/>
    <w:autoRedefine/>
    <w:semiHidden/>
    <w:qFormat/>
    <w:uiPriority w:val="99"/>
    <w:rPr>
      <w:rFonts w:ascii="Times New Roman" w:hAnsi="Times New Roman" w:eastAsia="宋体" w:cs="Times New Roman"/>
      <w:sz w:val="16"/>
      <w:szCs w:val="16"/>
    </w:rPr>
  </w:style>
  <w:style w:type="character" w:customStyle="1" w:styleId="349">
    <w:name w:val="公文正文 Char Char"/>
    <w:link w:val="350"/>
    <w:autoRedefine/>
    <w:qFormat/>
    <w:uiPriority w:val="0"/>
    <w:rPr>
      <w:rFonts w:ascii="仿宋_GB2312" w:eastAsia="仿宋_GB2312"/>
      <w:kern w:val="2"/>
      <w:sz w:val="24"/>
      <w:szCs w:val="24"/>
    </w:rPr>
  </w:style>
  <w:style w:type="paragraph" w:customStyle="1" w:styleId="350">
    <w:name w:val="公文正文"/>
    <w:basedOn w:val="1"/>
    <w:link w:val="349"/>
    <w:autoRedefine/>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autoRedefine/>
    <w:qFormat/>
    <w:uiPriority w:val="0"/>
    <w:rPr>
      <w:rFonts w:eastAsia="宋体"/>
      <w:sz w:val="24"/>
      <w:szCs w:val="24"/>
      <w:lang w:val="en-US" w:eastAsia="zh-CN" w:bidi="ar-SA"/>
    </w:rPr>
  </w:style>
  <w:style w:type="character" w:customStyle="1" w:styleId="352">
    <w:name w:val="标题 1 Char Char"/>
    <w:autoRedefine/>
    <w:qFormat/>
    <w:uiPriority w:val="0"/>
    <w:rPr>
      <w:rFonts w:hint="eastAsia" w:ascii="宋体" w:hAnsi="宋体" w:eastAsia="宋体"/>
      <w:b/>
      <w:spacing w:val="-2"/>
      <w:sz w:val="24"/>
      <w:lang w:val="en-US" w:eastAsia="zh-CN" w:bidi="ar-SA"/>
    </w:rPr>
  </w:style>
  <w:style w:type="character" w:customStyle="1" w:styleId="353">
    <w:name w:val="正文（缩进2汉字） Char"/>
    <w:link w:val="354"/>
    <w:autoRedefine/>
    <w:qFormat/>
    <w:uiPriority w:val="0"/>
    <w:rPr>
      <w:rFonts w:ascii="宋体"/>
    </w:rPr>
  </w:style>
  <w:style w:type="paragraph" w:customStyle="1" w:styleId="354">
    <w:name w:val="正文（缩进2汉字）"/>
    <w:basedOn w:val="1"/>
    <w:link w:val="353"/>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0"/>
    <w:autoRedefine/>
    <w:qFormat/>
    <w:uiPriority w:val="0"/>
    <w:rPr>
      <w:rFonts w:ascii="Arial" w:hAnsi="Arial" w:eastAsia="黑体"/>
      <w:kern w:val="2"/>
      <w:sz w:val="24"/>
      <w:szCs w:val="24"/>
    </w:rPr>
  </w:style>
  <w:style w:type="character" w:customStyle="1" w:styleId="356">
    <w:name w:val="标书表格字体格式 Char"/>
    <w:autoRedefine/>
    <w:qFormat/>
    <w:uiPriority w:val="0"/>
    <w:rPr>
      <w:kern w:val="2"/>
      <w:sz w:val="21"/>
      <w:szCs w:val="24"/>
      <w:lang w:bidi="ar-SA"/>
    </w:rPr>
  </w:style>
  <w:style w:type="character" w:customStyle="1" w:styleId="357">
    <w:name w:val="tw4winError"/>
    <w:autoRedefine/>
    <w:qFormat/>
    <w:uiPriority w:val="0"/>
    <w:rPr>
      <w:rFonts w:ascii="Courier New" w:hAnsi="Courier New" w:cs="Courier New"/>
      <w:color w:val="00FF00"/>
      <w:sz w:val="40"/>
      <w:szCs w:val="40"/>
    </w:rPr>
  </w:style>
  <w:style w:type="character" w:customStyle="1" w:styleId="358">
    <w:name w:val="Body Text(ch) Char Char"/>
    <w:autoRedefine/>
    <w:qFormat/>
    <w:uiPriority w:val="0"/>
    <w:rPr>
      <w:rFonts w:ascii="宋体"/>
      <w:kern w:val="2"/>
      <w:sz w:val="24"/>
      <w:szCs w:val="21"/>
      <w:lang w:val="zh-CN"/>
    </w:rPr>
  </w:style>
  <w:style w:type="character" w:customStyle="1" w:styleId="359">
    <w:name w:val="正文首行缩进两字 Char"/>
    <w:autoRedefine/>
    <w:qFormat/>
    <w:uiPriority w:val="0"/>
    <w:rPr>
      <w:sz w:val="24"/>
      <w:szCs w:val="24"/>
      <w:lang w:val="en-US" w:eastAsia="zh-CN" w:bidi="ar-SA"/>
    </w:rPr>
  </w:style>
  <w:style w:type="character" w:customStyle="1" w:styleId="360">
    <w:name w:val="正文文本 Char"/>
    <w:autoRedefine/>
    <w:qFormat/>
    <w:uiPriority w:val="0"/>
    <w:rPr>
      <w:rFonts w:eastAsia="宋体"/>
      <w:kern w:val="2"/>
      <w:sz w:val="24"/>
      <w:szCs w:val="24"/>
      <w:lang w:val="en-US" w:eastAsia="zh-CN" w:bidi="ar-SA"/>
    </w:rPr>
  </w:style>
  <w:style w:type="character" w:customStyle="1" w:styleId="361">
    <w:name w:val="文档结构图 字符1"/>
    <w:autoRedefine/>
    <w:qFormat/>
    <w:uiPriority w:val="0"/>
    <w:rPr>
      <w:rFonts w:ascii="宋体" w:hAnsi="Calibri" w:eastAsia="黑体" w:cs="Arial"/>
      <w:snapToGrid w:val="0"/>
      <w:kern w:val="2"/>
      <w:sz w:val="18"/>
      <w:szCs w:val="18"/>
    </w:rPr>
  </w:style>
  <w:style w:type="character" w:customStyle="1" w:styleId="362">
    <w:name w:val="content"/>
    <w:autoRedefine/>
    <w:qFormat/>
    <w:uiPriority w:val="0"/>
  </w:style>
  <w:style w:type="character" w:customStyle="1" w:styleId="363">
    <w:name w:val="tw4winPopup"/>
    <w:autoRedefine/>
    <w:qFormat/>
    <w:uiPriority w:val="0"/>
    <w:rPr>
      <w:rFonts w:ascii="Courier New" w:hAnsi="Courier New" w:cs="Courier New"/>
      <w:color w:val="008000"/>
      <w:lang w:val="en-US" w:eastAsia="zh-CN"/>
    </w:rPr>
  </w:style>
  <w:style w:type="character" w:customStyle="1" w:styleId="364">
    <w:name w:val="param-name"/>
    <w:autoRedefine/>
    <w:qFormat/>
    <w:uiPriority w:val="99"/>
    <w:rPr>
      <w:rFonts w:ascii="Arial" w:hAnsi="Arial" w:eastAsia="黑体" w:cs="Arial"/>
      <w:snapToGrid w:val="0"/>
      <w:kern w:val="0"/>
      <w:szCs w:val="21"/>
    </w:rPr>
  </w:style>
  <w:style w:type="character" w:customStyle="1" w:styleId="365">
    <w:name w:val="标准正文格式 Char"/>
    <w:autoRedefine/>
    <w:qFormat/>
    <w:uiPriority w:val="0"/>
    <w:rPr>
      <w:rFonts w:ascii="宋体" w:eastAsia="仿宋_GB2312" w:cs="宋体"/>
      <w:color w:val="000000"/>
      <w:sz w:val="24"/>
      <w:lang w:val="en-US" w:eastAsia="zh-CN" w:bidi="ar-SA"/>
    </w:rPr>
  </w:style>
  <w:style w:type="character" w:customStyle="1" w:styleId="366">
    <w:name w:val="Char Char212"/>
    <w:autoRedefine/>
    <w:qFormat/>
    <w:uiPriority w:val="0"/>
    <w:rPr>
      <w:rFonts w:eastAsia="宋体"/>
      <w:b/>
      <w:bCs/>
      <w:kern w:val="2"/>
      <w:sz w:val="21"/>
      <w:szCs w:val="24"/>
      <w:lang w:val="en-US" w:eastAsia="zh-CN" w:bidi="ar-SA"/>
    </w:rPr>
  </w:style>
  <w:style w:type="character" w:customStyle="1" w:styleId="367">
    <w:name w:val="文档结构图 Char"/>
    <w:autoRedefine/>
    <w:qFormat/>
    <w:uiPriority w:val="0"/>
    <w:rPr>
      <w:rFonts w:eastAsia="宋体"/>
      <w:kern w:val="2"/>
      <w:sz w:val="21"/>
      <w:szCs w:val="24"/>
      <w:lang w:val="en-US" w:eastAsia="zh-CN" w:bidi="ar-SA"/>
    </w:rPr>
  </w:style>
  <w:style w:type="character" w:customStyle="1" w:styleId="368">
    <w:name w:val="zbggmain style9"/>
    <w:autoRedefine/>
    <w:qFormat/>
    <w:uiPriority w:val="0"/>
  </w:style>
  <w:style w:type="character" w:customStyle="1" w:styleId="369">
    <w:name w:val="Char Char16"/>
    <w:autoRedefine/>
    <w:qFormat/>
    <w:uiPriority w:val="6"/>
    <w:rPr>
      <w:kern w:val="1"/>
      <w:sz w:val="18"/>
      <w:szCs w:val="18"/>
    </w:rPr>
  </w:style>
  <w:style w:type="character" w:customStyle="1" w:styleId="370">
    <w:name w:val="font51"/>
    <w:autoRedefine/>
    <w:qFormat/>
    <w:uiPriority w:val="0"/>
    <w:rPr>
      <w:rFonts w:hint="eastAsia" w:ascii="仿宋" w:hAnsi="仿宋" w:eastAsia="仿宋" w:cs="仿宋"/>
      <w:color w:val="000000"/>
      <w:sz w:val="20"/>
      <w:szCs w:val="20"/>
      <w:u w:val="none"/>
    </w:rPr>
  </w:style>
  <w:style w:type="character" w:customStyle="1" w:styleId="371">
    <w:name w:val="Char Char82"/>
    <w:autoRedefine/>
    <w:qFormat/>
    <w:uiPriority w:val="0"/>
    <w:rPr>
      <w:rFonts w:eastAsia="宋体"/>
      <w:b/>
      <w:sz w:val="24"/>
      <w:lang w:val="en-GB" w:eastAsia="zh-CN"/>
    </w:rPr>
  </w:style>
  <w:style w:type="character" w:customStyle="1" w:styleId="372">
    <w:name w:val="正文文本缩进 3 字符"/>
    <w:link w:val="54"/>
    <w:autoRedefine/>
    <w:qFormat/>
    <w:uiPriority w:val="0"/>
    <w:rPr>
      <w:kern w:val="2"/>
      <w:sz w:val="24"/>
    </w:rPr>
  </w:style>
  <w:style w:type="character" w:customStyle="1" w:styleId="373">
    <w:name w:val="日期 Char1"/>
    <w:autoRedefine/>
    <w:semiHidden/>
    <w:qFormat/>
    <w:uiPriority w:val="99"/>
    <w:rPr>
      <w:rFonts w:ascii="Times New Roman" w:hAnsi="Times New Roman" w:eastAsia="宋体" w:cs="Times New Roman"/>
      <w:szCs w:val="24"/>
    </w:rPr>
  </w:style>
  <w:style w:type="character" w:customStyle="1" w:styleId="374">
    <w:name w:val="页眉 字符"/>
    <w:autoRedefine/>
    <w:qFormat/>
    <w:uiPriority w:val="99"/>
    <w:rPr>
      <w:kern w:val="2"/>
      <w:sz w:val="18"/>
      <w:szCs w:val="18"/>
    </w:rPr>
  </w:style>
  <w:style w:type="character" w:customStyle="1" w:styleId="375">
    <w:name w:val="Char Char33"/>
    <w:autoRedefine/>
    <w:qFormat/>
    <w:uiPriority w:val="6"/>
    <w:rPr>
      <w:rFonts w:ascii="Arial" w:hAnsi="Arial" w:eastAsia="黑体"/>
      <w:b/>
      <w:kern w:val="1"/>
      <w:sz w:val="24"/>
      <w:szCs w:val="24"/>
    </w:rPr>
  </w:style>
  <w:style w:type="character" w:customStyle="1" w:styleId="376">
    <w:name w:val="b11_01b Char"/>
    <w:link w:val="377"/>
    <w:autoRedefine/>
    <w:qFormat/>
    <w:uiPriority w:val="0"/>
    <w:rPr>
      <w:rFonts w:ascii="Verdana" w:hAnsi="Verdana"/>
      <w:b/>
      <w:bCs/>
      <w:color w:val="4A82CA"/>
      <w:sz w:val="17"/>
      <w:szCs w:val="17"/>
    </w:rPr>
  </w:style>
  <w:style w:type="paragraph" w:customStyle="1" w:styleId="377">
    <w:name w:val="b11_01b"/>
    <w:basedOn w:val="1"/>
    <w:next w:val="1"/>
    <w:link w:val="376"/>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autoRedefine/>
    <w:qFormat/>
    <w:uiPriority w:val="6"/>
    <w:rPr>
      <w:rFonts w:ascii="仿宋_GB2312" w:eastAsia="仿宋_GB2312"/>
      <w:b/>
      <w:bCs/>
      <w:kern w:val="2"/>
      <w:sz w:val="24"/>
      <w:szCs w:val="24"/>
      <w:lang w:val="zh-CN" w:eastAsia="zh-CN" w:bidi="ar-SA"/>
    </w:rPr>
  </w:style>
  <w:style w:type="character" w:customStyle="1" w:styleId="379">
    <w:name w:val="Footer-Even Char"/>
    <w:autoRedefine/>
    <w:qFormat/>
    <w:uiPriority w:val="0"/>
    <w:rPr>
      <w:rFonts w:eastAsia="宋体"/>
      <w:kern w:val="2"/>
      <w:sz w:val="18"/>
      <w:lang w:val="en-US" w:eastAsia="zh-CN" w:bidi="ar-SA"/>
    </w:rPr>
  </w:style>
  <w:style w:type="character" w:customStyle="1" w:styleId="380">
    <w:name w:val="页脚 字符2"/>
    <w:link w:val="41"/>
    <w:autoRedefine/>
    <w:qFormat/>
    <w:locked/>
    <w:uiPriority w:val="99"/>
    <w:rPr>
      <w:kern w:val="2"/>
      <w:sz w:val="18"/>
      <w:szCs w:val="18"/>
    </w:rPr>
  </w:style>
  <w:style w:type="character" w:customStyle="1" w:styleId="381">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2">
    <w:name w:val="Char Char61"/>
    <w:autoRedefine/>
    <w:qFormat/>
    <w:uiPriority w:val="6"/>
    <w:rPr>
      <w:rFonts w:eastAsia="宋体"/>
      <w:kern w:val="2"/>
      <w:sz w:val="21"/>
      <w:szCs w:val="24"/>
      <w:lang w:val="en-US" w:eastAsia="zh-CN" w:bidi="ar-SA"/>
    </w:rPr>
  </w:style>
  <w:style w:type="character" w:customStyle="1" w:styleId="383">
    <w:name w:val="正文文字缩进 2 Char Char"/>
    <w:autoRedefine/>
    <w:qFormat/>
    <w:uiPriority w:val="0"/>
    <w:rPr>
      <w:rFonts w:ascii="宋体"/>
      <w:sz w:val="28"/>
    </w:rPr>
  </w:style>
  <w:style w:type="character" w:customStyle="1" w:styleId="384">
    <w:name w:val="f141"/>
    <w:autoRedefine/>
    <w:qFormat/>
    <w:uiPriority w:val="0"/>
    <w:rPr>
      <w:rFonts w:ascii="Tahoma" w:hAnsi="Tahoma" w:eastAsia="宋体"/>
      <w:b/>
      <w:kern w:val="2"/>
      <w:sz w:val="21"/>
      <w:szCs w:val="21"/>
      <w:lang w:val="en-US" w:eastAsia="zh-CN" w:bidi="ar-SA"/>
    </w:rPr>
  </w:style>
  <w:style w:type="character" w:customStyle="1" w:styleId="385">
    <w:name w:val="段落 Char Char"/>
    <w:link w:val="386"/>
    <w:autoRedefine/>
    <w:qFormat/>
    <w:uiPriority w:val="0"/>
    <w:rPr>
      <w:rFonts w:ascii="宋体" w:hAnsi="宋体"/>
      <w:sz w:val="24"/>
    </w:rPr>
  </w:style>
  <w:style w:type="paragraph" w:customStyle="1" w:styleId="386">
    <w:name w:val="段落"/>
    <w:basedOn w:val="1"/>
    <w:link w:val="385"/>
    <w:autoRedefine/>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autoRedefine/>
    <w:qFormat/>
    <w:uiPriority w:val="0"/>
    <w:rPr>
      <w:rFonts w:eastAsia="宋体"/>
      <w:b/>
      <w:bCs/>
      <w:kern w:val="2"/>
      <w:sz w:val="32"/>
      <w:szCs w:val="32"/>
      <w:lang w:val="en-US" w:eastAsia="zh-CN" w:bidi="ar-SA"/>
    </w:rPr>
  </w:style>
  <w:style w:type="character" w:customStyle="1" w:styleId="388">
    <w:name w:val="apple-converted-space"/>
    <w:autoRedefine/>
    <w:qFormat/>
    <w:uiPriority w:val="0"/>
  </w:style>
  <w:style w:type="character" w:customStyle="1" w:styleId="389">
    <w:name w:val="页眉 字符2"/>
    <w:link w:val="42"/>
    <w:autoRedefine/>
    <w:qFormat/>
    <w:uiPriority w:val="99"/>
    <w:rPr>
      <w:kern w:val="2"/>
      <w:sz w:val="18"/>
      <w:szCs w:val="18"/>
    </w:rPr>
  </w:style>
  <w:style w:type="character" w:customStyle="1" w:styleId="390">
    <w:name w:val="Char Char9"/>
    <w:autoRedefine/>
    <w:qFormat/>
    <w:uiPriority w:val="0"/>
    <w:rPr>
      <w:rFonts w:eastAsia="宋体"/>
      <w:kern w:val="2"/>
      <w:sz w:val="18"/>
      <w:szCs w:val="18"/>
      <w:lang w:val="en-US" w:eastAsia="zh-CN" w:bidi="ar-SA"/>
    </w:rPr>
  </w:style>
  <w:style w:type="character" w:customStyle="1" w:styleId="391">
    <w:name w:val="Char Char41"/>
    <w:autoRedefine/>
    <w:qFormat/>
    <w:uiPriority w:val="0"/>
    <w:rPr>
      <w:rFonts w:eastAsia="宋体"/>
      <w:b/>
      <w:sz w:val="24"/>
      <w:lang w:val="en-GB" w:eastAsia="zh-CN" w:bidi="ar-SA"/>
    </w:rPr>
  </w:style>
  <w:style w:type="character" w:customStyle="1" w:styleId="392">
    <w:name w:val="large1"/>
    <w:autoRedefine/>
    <w:qFormat/>
    <w:uiPriority w:val="0"/>
    <w:rPr>
      <w:rFonts w:hint="eastAsia" w:ascii="宋体" w:hAnsi="宋体" w:eastAsia="宋体"/>
      <w:sz w:val="21"/>
      <w:szCs w:val="21"/>
    </w:rPr>
  </w:style>
  <w:style w:type="character" w:customStyle="1" w:styleId="393">
    <w:name w:val="正文段 Char"/>
    <w:link w:val="394"/>
    <w:autoRedefine/>
    <w:qFormat/>
    <w:uiPriority w:val="0"/>
    <w:rPr>
      <w:sz w:val="24"/>
    </w:rPr>
  </w:style>
  <w:style w:type="paragraph" w:customStyle="1" w:styleId="394">
    <w:name w:val="正文段"/>
    <w:basedOn w:val="1"/>
    <w:link w:val="393"/>
    <w:autoRedefine/>
    <w:qFormat/>
    <w:uiPriority w:val="0"/>
    <w:pPr>
      <w:widowControl/>
      <w:snapToGrid w:val="0"/>
      <w:spacing w:after="156" w:afterLines="50"/>
      <w:ind w:firstLine="200" w:firstLineChars="200"/>
    </w:pPr>
    <w:rPr>
      <w:kern w:val="0"/>
      <w:sz w:val="24"/>
      <w:szCs w:val="20"/>
    </w:rPr>
  </w:style>
  <w:style w:type="character" w:customStyle="1" w:styleId="395">
    <w:name w:val="Char Char13"/>
    <w:autoRedefine/>
    <w:qFormat/>
    <w:uiPriority w:val="6"/>
    <w:rPr>
      <w:rFonts w:ascii="宋体" w:hAnsi="宋体"/>
      <w:kern w:val="1"/>
      <w:sz w:val="21"/>
      <w:szCs w:val="24"/>
    </w:rPr>
  </w:style>
  <w:style w:type="character" w:customStyle="1" w:styleId="396">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autoRedefine/>
    <w:qFormat/>
    <w:uiPriority w:val="0"/>
    <w:rPr>
      <w:rFonts w:ascii="宋体" w:hAnsi="宋体"/>
      <w:kern w:val="2"/>
      <w:sz w:val="24"/>
      <w:szCs w:val="22"/>
    </w:rPr>
  </w:style>
  <w:style w:type="paragraph" w:customStyle="1" w:styleId="398">
    <w:name w:val="冯广丽"/>
    <w:basedOn w:val="1"/>
    <w:link w:val="397"/>
    <w:autoRedefine/>
    <w:qFormat/>
    <w:uiPriority w:val="0"/>
    <w:pPr>
      <w:adjustRightInd/>
      <w:spacing w:line="360" w:lineRule="auto"/>
      <w:ind w:firstLine="480" w:firstLineChars="200"/>
    </w:pPr>
    <w:rPr>
      <w:rFonts w:ascii="宋体" w:hAnsi="宋体"/>
      <w:sz w:val="24"/>
      <w:szCs w:val="22"/>
    </w:rPr>
  </w:style>
  <w:style w:type="character" w:customStyle="1" w:styleId="399">
    <w:name w:val="批注文字 字符"/>
    <w:autoRedefine/>
    <w:qFormat/>
    <w:uiPriority w:val="0"/>
    <w:rPr>
      <w:rFonts w:ascii="Arial" w:hAnsi="Arial" w:eastAsia="黑体" w:cs="Arial"/>
      <w:snapToGrid w:val="0"/>
      <w:kern w:val="0"/>
      <w:szCs w:val="21"/>
    </w:rPr>
  </w:style>
  <w:style w:type="character" w:customStyle="1" w:styleId="400">
    <w:name w:val="Char Char161"/>
    <w:autoRedefine/>
    <w:qFormat/>
    <w:uiPriority w:val="0"/>
    <w:rPr>
      <w:rFonts w:eastAsia="宋体"/>
      <w:b/>
      <w:kern w:val="2"/>
      <w:sz w:val="32"/>
      <w:lang w:val="en-US" w:eastAsia="zh-CN"/>
    </w:rPr>
  </w:style>
  <w:style w:type="character" w:customStyle="1" w:styleId="401">
    <w:name w:val="javascript"/>
    <w:autoRedefine/>
    <w:qFormat/>
    <w:uiPriority w:val="0"/>
  </w:style>
  <w:style w:type="character" w:customStyle="1" w:styleId="402">
    <w:name w:val="图名 Char"/>
    <w:autoRedefine/>
    <w:qFormat/>
    <w:uiPriority w:val="0"/>
    <w:rPr>
      <w:rFonts w:ascii="Arial" w:hAnsi="Arial" w:eastAsia="黑体"/>
      <w:kern w:val="2"/>
      <w:sz w:val="24"/>
      <w:szCs w:val="24"/>
      <w:lang w:val="en-US" w:eastAsia="zh-CN" w:bidi="ar-SA"/>
    </w:rPr>
  </w:style>
  <w:style w:type="character" w:customStyle="1" w:styleId="403">
    <w:name w:val="Used by Word for text of Help footnotes Char Char"/>
    <w:autoRedefine/>
    <w:qFormat/>
    <w:uiPriority w:val="0"/>
    <w:rPr>
      <w:rFonts w:ascii="Times New Roman" w:hAnsi="Times New Roman" w:eastAsia="宋体" w:cs="Times New Roman"/>
      <w:sz w:val="20"/>
      <w:szCs w:val="20"/>
    </w:rPr>
  </w:style>
  <w:style w:type="character" w:customStyle="1" w:styleId="404">
    <w:name w:val="编号，小四 Char"/>
    <w:link w:val="405"/>
    <w:autoRedefine/>
    <w:qFormat/>
    <w:uiPriority w:val="0"/>
    <w:rPr>
      <w:rFonts w:ascii="Arial" w:hAnsi="Arial"/>
      <w:sz w:val="24"/>
    </w:rPr>
  </w:style>
  <w:style w:type="paragraph" w:customStyle="1" w:styleId="405">
    <w:name w:val="编号，小四"/>
    <w:basedOn w:val="1"/>
    <w:link w:val="404"/>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autoRedefine/>
    <w:qFormat/>
    <w:uiPriority w:val="99"/>
    <w:rPr>
      <w:rFonts w:ascii="宋体" w:eastAsia="宋体" w:cs="宋体"/>
      <w:color w:val="000000"/>
      <w:sz w:val="14"/>
      <w:szCs w:val="14"/>
    </w:rPr>
  </w:style>
  <w:style w:type="character" w:customStyle="1" w:styleId="407">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8">
    <w:name w:val="未用 Char"/>
    <w:autoRedefine/>
    <w:qFormat/>
    <w:uiPriority w:val="0"/>
    <w:rPr>
      <w:rFonts w:ascii="Arial" w:hAnsi="Arial" w:eastAsia="黑体"/>
      <w:kern w:val="2"/>
      <w:sz w:val="21"/>
      <w:szCs w:val="21"/>
      <w:lang w:val="en-US" w:eastAsia="zh-CN" w:bidi="ar-SA"/>
    </w:rPr>
  </w:style>
  <w:style w:type="character" w:customStyle="1" w:styleId="409">
    <w:name w:val="myp1111"/>
    <w:autoRedefine/>
    <w:qFormat/>
    <w:uiPriority w:val="0"/>
    <w:rPr>
      <w:rFonts w:hint="default" w:ascii="ˎ̥" w:hAnsi="ˎ̥"/>
      <w:color w:val="000000"/>
      <w:sz w:val="20"/>
      <w:szCs w:val="20"/>
      <w:u w:val="none"/>
    </w:rPr>
  </w:style>
  <w:style w:type="character" w:customStyle="1" w:styleId="410">
    <w:name w:val="样式 标题 4h4H4Fab-4T5Ref Heading 1rh1Heading sqlsect 1.2.3.... Char"/>
    <w:link w:val="302"/>
    <w:autoRedefine/>
    <w:qFormat/>
    <w:uiPriority w:val="0"/>
    <w:rPr>
      <w:rFonts w:ascii="微软雅黑" w:hAnsi="微软雅黑" w:eastAsia="微软雅黑"/>
      <w:b/>
      <w:bCs/>
      <w:kern w:val="2"/>
      <w:sz w:val="24"/>
      <w:szCs w:val="28"/>
    </w:rPr>
  </w:style>
  <w:style w:type="character" w:customStyle="1" w:styleId="411">
    <w:name w:val="h Char Char"/>
    <w:autoRedefine/>
    <w:qFormat/>
    <w:uiPriority w:val="0"/>
    <w:rPr>
      <w:rFonts w:eastAsia="宋体"/>
      <w:kern w:val="2"/>
      <w:sz w:val="18"/>
      <w:lang w:val="en-US" w:eastAsia="zh-CN" w:bidi="ar-SA"/>
    </w:rPr>
  </w:style>
  <w:style w:type="character" w:customStyle="1" w:styleId="412">
    <w:name w:val="仿宋正文 Char"/>
    <w:link w:val="413"/>
    <w:autoRedefine/>
    <w:qFormat/>
    <w:uiPriority w:val="0"/>
    <w:rPr>
      <w:rFonts w:ascii="仿宋_GB2312" w:eastAsia="仿宋_GB2312"/>
      <w:kern w:val="2"/>
      <w:sz w:val="24"/>
      <w:lang w:val="en-US" w:eastAsia="zh-CN" w:bidi="ar-SA"/>
    </w:rPr>
  </w:style>
  <w:style w:type="paragraph" w:customStyle="1" w:styleId="413">
    <w:name w:val="仿宋正文"/>
    <w:basedOn w:val="1"/>
    <w:link w:val="412"/>
    <w:autoRedefine/>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autoRedefine/>
    <w:qFormat/>
    <w:uiPriority w:val="0"/>
    <w:rPr>
      <w:rFonts w:ascii="宋体" w:eastAsia="宋体"/>
      <w:kern w:val="2"/>
      <w:sz w:val="24"/>
      <w:lang w:val="zh-CN" w:bidi="ar-SA"/>
    </w:rPr>
  </w:style>
  <w:style w:type="character" w:customStyle="1" w:styleId="415">
    <w:name w:val="样式 宋体"/>
    <w:autoRedefine/>
    <w:qFormat/>
    <w:uiPriority w:val="0"/>
    <w:rPr>
      <w:rFonts w:ascii="宋体" w:hAnsi="宋体"/>
      <w:sz w:val="24"/>
    </w:rPr>
  </w:style>
  <w:style w:type="character" w:customStyle="1" w:styleId="416">
    <w:name w:val="tw4winJump"/>
    <w:autoRedefine/>
    <w:qFormat/>
    <w:uiPriority w:val="0"/>
    <w:rPr>
      <w:rFonts w:ascii="Courier New" w:hAnsi="Courier New" w:cs="Courier New"/>
      <w:color w:val="008080"/>
      <w:lang w:val="en-US" w:eastAsia="zh-CN"/>
    </w:rPr>
  </w:style>
  <w:style w:type="character" w:customStyle="1" w:styleId="417">
    <w:name w:val="标题 1 字符"/>
    <w:autoRedefine/>
    <w:qFormat/>
    <w:uiPriority w:val="9"/>
    <w:rPr>
      <w:rFonts w:ascii="Arial" w:hAnsi="Arial" w:eastAsia="黑体" w:cs="Arial"/>
      <w:b/>
      <w:bCs/>
      <w:snapToGrid w:val="0"/>
      <w:kern w:val="44"/>
      <w:sz w:val="44"/>
      <w:szCs w:val="44"/>
    </w:rPr>
  </w:style>
  <w:style w:type="character" w:customStyle="1" w:styleId="418">
    <w:name w:val="style36"/>
    <w:basedOn w:val="70"/>
    <w:autoRedefine/>
    <w:qFormat/>
    <w:uiPriority w:val="0"/>
    <w:rPr>
      <w:rFonts w:ascii="Arial" w:hAnsi="Arial" w:eastAsia="黑体" w:cs="Arial"/>
      <w:snapToGrid w:val="0"/>
      <w:kern w:val="0"/>
      <w:szCs w:val="21"/>
    </w:rPr>
  </w:style>
  <w:style w:type="character" w:customStyle="1" w:styleId="419">
    <w:name w:val="pt9"/>
    <w:autoRedefine/>
    <w:qFormat/>
    <w:uiPriority w:val="0"/>
    <w:rPr>
      <w:rFonts w:ascii="仿宋_GB2312" w:eastAsia="微软雅黑"/>
      <w:b/>
      <w:kern w:val="2"/>
      <w:sz w:val="32"/>
      <w:szCs w:val="32"/>
      <w:lang w:val="en-US" w:eastAsia="zh-CN" w:bidi="ar-SA"/>
    </w:rPr>
  </w:style>
  <w:style w:type="character" w:customStyle="1" w:styleId="420">
    <w:name w:val="DO_NOT_TRANSLATE"/>
    <w:autoRedefine/>
    <w:qFormat/>
    <w:uiPriority w:val="0"/>
    <w:rPr>
      <w:rFonts w:ascii="Courier New" w:hAnsi="Courier New" w:cs="Courier New"/>
      <w:color w:val="800000"/>
      <w:lang w:val="en-US" w:eastAsia="zh-CN"/>
    </w:rPr>
  </w:style>
  <w:style w:type="character" w:customStyle="1" w:styleId="421">
    <w:name w:val="标书1 Char1"/>
    <w:autoRedefine/>
    <w:qFormat/>
    <w:uiPriority w:val="0"/>
    <w:rPr>
      <w:rFonts w:eastAsia="宋体"/>
      <w:b/>
      <w:bCs/>
      <w:kern w:val="44"/>
      <w:sz w:val="44"/>
      <w:szCs w:val="44"/>
      <w:lang w:val="en-US" w:eastAsia="zh-CN" w:bidi="ar-SA"/>
    </w:rPr>
  </w:style>
  <w:style w:type="character" w:customStyle="1" w:styleId="422">
    <w:name w:val="页脚 字符"/>
    <w:autoRedefine/>
    <w:qFormat/>
    <w:uiPriority w:val="99"/>
    <w:rPr>
      <w:kern w:val="2"/>
      <w:sz w:val="18"/>
      <w:szCs w:val="18"/>
    </w:rPr>
  </w:style>
  <w:style w:type="character" w:customStyle="1" w:styleId="423">
    <w:name w:val="正文2 Char"/>
    <w:autoRedefine/>
    <w:qFormat/>
    <w:uiPriority w:val="0"/>
    <w:rPr>
      <w:rFonts w:eastAsia="宋体"/>
      <w:kern w:val="2"/>
      <w:sz w:val="24"/>
      <w:lang w:val="en-US" w:eastAsia="zh-CN" w:bidi="ar-SA"/>
    </w:rPr>
  </w:style>
  <w:style w:type="character" w:customStyle="1" w:styleId="424">
    <w:name w:val="Char Char21"/>
    <w:autoRedefine/>
    <w:qFormat/>
    <w:uiPriority w:val="6"/>
    <w:rPr>
      <w:rFonts w:ascii="宋体" w:hAnsi="宋体"/>
      <w:kern w:val="1"/>
      <w:sz w:val="24"/>
      <w:szCs w:val="21"/>
      <w:lang w:val="zh-CN"/>
    </w:rPr>
  </w:style>
  <w:style w:type="character" w:customStyle="1" w:styleId="425">
    <w:name w:val="样式 正文缩进 + 首行缩进:  2 字符 Char Char"/>
    <w:link w:val="426"/>
    <w:autoRedefine/>
    <w:qFormat/>
    <w:uiPriority w:val="0"/>
    <w:rPr>
      <w:rFonts w:cs="宋体"/>
      <w:kern w:val="2"/>
      <w:sz w:val="24"/>
    </w:rPr>
  </w:style>
  <w:style w:type="paragraph" w:customStyle="1" w:styleId="426">
    <w:name w:val="样式 正文缩进 + 首行缩进:  2 字符"/>
    <w:basedOn w:val="16"/>
    <w:link w:val="425"/>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4"/>
    <w:autoRedefine/>
    <w:qFormat/>
    <w:uiPriority w:val="0"/>
    <w:rPr>
      <w:rFonts w:ascii="宋体" w:hAnsi="Arial" w:eastAsia="宋体" w:cs="Arial"/>
      <w:snapToGrid w:val="0"/>
      <w:kern w:val="2"/>
      <w:sz w:val="24"/>
      <w:szCs w:val="21"/>
      <w:lang w:val="zh-CN" w:eastAsia="zh-CN" w:bidi="ar-SA"/>
    </w:rPr>
  </w:style>
  <w:style w:type="character" w:customStyle="1" w:styleId="428">
    <w:name w:val="gray6"/>
    <w:basedOn w:val="70"/>
    <w:autoRedefine/>
    <w:qFormat/>
    <w:uiPriority w:val="0"/>
    <w:rPr>
      <w:rFonts w:ascii="Arial" w:hAnsi="Arial" w:eastAsia="黑体" w:cs="Arial"/>
      <w:snapToGrid w:val="0"/>
      <w:kern w:val="0"/>
      <w:szCs w:val="21"/>
    </w:rPr>
  </w:style>
  <w:style w:type="character" w:customStyle="1" w:styleId="429">
    <w:name w:val="hui"/>
    <w:basedOn w:val="70"/>
    <w:autoRedefine/>
    <w:qFormat/>
    <w:uiPriority w:val="0"/>
    <w:rPr>
      <w:rFonts w:ascii="Arial" w:hAnsi="Arial" w:eastAsia="黑体" w:cs="Arial"/>
      <w:snapToGrid w:val="0"/>
      <w:kern w:val="0"/>
      <w:szCs w:val="21"/>
    </w:rPr>
  </w:style>
  <w:style w:type="character" w:customStyle="1" w:styleId="430">
    <w:name w:val="哈哈正文 Char Char"/>
    <w:autoRedefine/>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autoRedefine/>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autoRedefine/>
    <w:qFormat/>
    <w:uiPriority w:val="0"/>
    <w:pPr>
      <w:spacing w:before="120" w:line="360" w:lineRule="auto"/>
      <w:ind w:firstLine="567"/>
    </w:pPr>
    <w:rPr>
      <w:rFonts w:ascii="Arial" w:hAnsi="Arial"/>
      <w:sz w:val="20"/>
      <w:szCs w:val="20"/>
    </w:rPr>
  </w:style>
  <w:style w:type="paragraph" w:customStyle="1" w:styleId="441">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autoRedefine/>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4"/>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3"/>
    <w:next w:val="233"/>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3"/>
    <w:next w:val="233"/>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autoRedefine/>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autoRedefine/>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4"/>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autoRedefine/>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9"/>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4"/>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70"/>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2">
    <w:name w:val="不明显强调1"/>
    <w:qFormat/>
    <w:uiPriority w:val="19"/>
    <w:rPr>
      <w:i/>
      <w:iCs/>
    </w:rPr>
  </w:style>
  <w:style w:type="paragraph" w:customStyle="1" w:styleId="963">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pn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http://schemas.openxmlformats.org/officeDocument/2006/bibliography" xmlns:b="http://schemas.openxmlformats.org/officeDocument/2006/bibliography" SelectedStyle="\APASixthEditionOfficeOnline.xsl" Version="6"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4E2AB5-B1E5-4D23-BFDE-AAD6E96D5663}">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95</Pages>
  <Words>52518</Words>
  <Characters>56007</Characters>
  <Lines>460</Lines>
  <Paragraphs>129</Paragraphs>
  <TotalTime>4</TotalTime>
  <ScaleCrop>false</ScaleCrop>
  <LinksUpToDate>false</LinksUpToDate>
  <CharactersWithSpaces>61353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2021-08-02T00:22:00Z</dcterms:created>
  <dc:creator>玥</dc:creator>
  <cp:lastModifiedBy>admin</cp:lastModifiedBy>
  <cp:lastPrinted>2021-12-30T03:06:00Z</cp:lastPrinted>
  <dcterms:modified xsi:type="dcterms:W3CDTF">2024-02-06T05:53:34Z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E215C024B78948798F506530CD98E208_13</vt:lpwstr>
  </property>
</Properties>
</file>