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cs="宋体"/>
          <w:b/>
          <w:color w:val="000000" w:themeColor="text1"/>
          <w:sz w:val="44"/>
          <w:szCs w:val="44"/>
          <w14:textFill>
            <w14:solidFill>
              <w14:schemeClr w14:val="tx1"/>
            </w14:solidFill>
          </w14:textFill>
        </w:rPr>
      </w:pPr>
    </w:p>
    <w:p>
      <w:pPr>
        <w:spacing w:line="360" w:lineRule="auto"/>
        <w:jc w:val="center"/>
        <w:rPr>
          <w:rFonts w:ascii="宋体" w:hAnsi="宋体" w:cs="宋体"/>
          <w:b/>
          <w:color w:val="000000" w:themeColor="text1"/>
          <w:sz w:val="44"/>
          <w:szCs w:val="44"/>
          <w14:textFill>
            <w14:solidFill>
              <w14:schemeClr w14:val="tx1"/>
            </w14:solidFill>
          </w14:textFill>
        </w:rPr>
      </w:pPr>
    </w:p>
    <w:p>
      <w:pPr>
        <w:adjustRightInd/>
        <w:spacing w:line="360" w:lineRule="auto"/>
        <w:jc w:val="center"/>
        <w:rPr>
          <w:rFonts w:ascii="宋体" w:hAnsi="宋体" w:cs="宋体"/>
          <w:b/>
          <w:color w:val="000000" w:themeColor="text1"/>
          <w:sz w:val="48"/>
          <w:szCs w:val="48"/>
          <w14:textFill>
            <w14:solidFill>
              <w14:schemeClr w14:val="tx1"/>
            </w14:solidFill>
          </w14:textFill>
        </w:rPr>
      </w:pPr>
    </w:p>
    <w:p>
      <w:pPr>
        <w:adjustRightInd/>
        <w:spacing w:line="360" w:lineRule="auto"/>
        <w:jc w:val="center"/>
        <w:rPr>
          <w:rFonts w:hint="eastAsia" w:ascii="宋体" w:hAnsi="宋体" w:eastAsia="宋体" w:cs="宋体"/>
          <w:color w:val="000000" w:themeColor="text1"/>
          <w:sz w:val="48"/>
          <w:szCs w:val="48"/>
          <w:lang w:eastAsia="zh-CN"/>
          <w14:textFill>
            <w14:solidFill>
              <w14:schemeClr w14:val="tx1"/>
            </w14:solidFill>
          </w14:textFill>
        </w:rPr>
      </w:pPr>
      <w:r>
        <w:rPr>
          <w:rFonts w:hint="eastAsia" w:ascii="宋体" w:hAnsi="宋体" w:cs="宋体"/>
          <w:color w:val="000000" w:themeColor="text1"/>
          <w:sz w:val="48"/>
          <w:szCs w:val="48"/>
          <w:lang w:eastAsia="zh-CN"/>
          <w14:textFill>
            <w14:solidFill>
              <w14:schemeClr w14:val="tx1"/>
            </w14:solidFill>
          </w14:textFill>
        </w:rPr>
        <w:t>杭州市临平职业高级中学数控车实训设备项目</w:t>
      </w:r>
    </w:p>
    <w:p>
      <w:pPr>
        <w:adjustRightInd/>
        <w:spacing w:line="360" w:lineRule="auto"/>
        <w:jc w:val="center"/>
        <w:rPr>
          <w:rFonts w:ascii="宋体" w:hAnsi="宋体" w:cs="宋体"/>
          <w:color w:val="000000" w:themeColor="text1"/>
          <w:sz w:val="48"/>
          <w:szCs w:val="48"/>
          <w14:textFill>
            <w14:solidFill>
              <w14:schemeClr w14:val="tx1"/>
            </w14:solidFill>
          </w14:textFill>
        </w:rPr>
      </w:pPr>
      <w:r>
        <w:rPr>
          <w:rFonts w:hint="eastAsia" w:ascii="宋体" w:hAnsi="宋体" w:cs="宋体"/>
          <w:color w:val="000000" w:themeColor="text1"/>
          <w:sz w:val="48"/>
          <w:szCs w:val="48"/>
          <w14:textFill>
            <w14:solidFill>
              <w14:schemeClr w14:val="tx1"/>
            </w14:solidFill>
          </w14:textFill>
        </w:rPr>
        <w:t xml:space="preserve">招标文件 </w:t>
      </w:r>
    </w:p>
    <w:p>
      <w:pPr>
        <w:adjustRightInd/>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（电子招投标）</w:t>
      </w:r>
    </w:p>
    <w:p>
      <w:pPr>
        <w:snapToGrid w:val="0"/>
        <w:spacing w:line="360" w:lineRule="auto"/>
        <w:jc w:val="center"/>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编号:</w:t>
      </w:r>
      <w:r>
        <w:rPr>
          <w:rFonts w:ascii="宋体" w:hAnsi="宋体" w:cs="宋体"/>
          <w:color w:val="000000" w:themeColor="text1"/>
          <w:sz w:val="24"/>
          <w14:textFill>
            <w14:solidFill>
              <w14:schemeClr w14:val="tx1"/>
            </w14:solidFill>
          </w14:textFill>
        </w:rPr>
        <w:t xml:space="preserve"> </w:t>
      </w:r>
      <w:r>
        <w:rPr>
          <w:rFonts w:hint="eastAsia" w:ascii="宋体" w:hAnsi="宋体" w:eastAsia="宋体" w:cs="宋体"/>
          <w:color w:val="000000" w:themeColor="text1"/>
          <w:sz w:val="32"/>
          <w:szCs w:val="32"/>
          <w:lang w:eastAsia="zh-CN"/>
          <w14:textFill>
            <w14:solidFill>
              <w14:schemeClr w14:val="tx1"/>
            </w14:solidFill>
          </w14:textFill>
        </w:rPr>
        <w:t>ZJZDCGLP-2024-012</w:t>
      </w:r>
    </w:p>
    <w:p>
      <w:pPr>
        <w:adjustRightInd/>
        <w:spacing w:line="360" w:lineRule="auto"/>
        <w:rPr>
          <w:rFonts w:ascii="宋体" w:hAnsi="宋体" w:cs="宋体"/>
          <w:color w:val="000000" w:themeColor="text1"/>
          <w:sz w:val="28"/>
          <w:szCs w:val="20"/>
          <w14:textFill>
            <w14:solidFill>
              <w14:schemeClr w14:val="tx1"/>
            </w14:solidFill>
          </w14:textFill>
        </w:rPr>
      </w:pPr>
    </w:p>
    <w:p>
      <w:pPr>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w:t>
      </w:r>
    </w:p>
    <w:p>
      <w:pPr>
        <w:spacing w:line="360" w:lineRule="auto"/>
        <w:jc w:val="center"/>
        <w:rPr>
          <w:rFonts w:ascii="宋体" w:hAnsi="宋体" w:cs="宋体"/>
          <w:b/>
          <w:color w:val="000000" w:themeColor="text1"/>
          <w:sz w:val="44"/>
          <w:szCs w:val="4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jc w:val="center"/>
        <w:rPr>
          <w:rFonts w:hint="eastAsia" w:ascii="宋体" w:hAnsi="宋体" w:cs="宋体"/>
          <w:color w:val="000000" w:themeColor="text1"/>
          <w:sz w:val="32"/>
          <w:szCs w:val="32"/>
          <w:lang w:eastAsia="zh-CN"/>
          <w14:textFill>
            <w14:solidFill>
              <w14:schemeClr w14:val="tx1"/>
            </w14:solidFill>
          </w14:textFill>
        </w:rPr>
      </w:pPr>
      <w:r>
        <w:rPr>
          <w:rFonts w:hint="eastAsia" w:ascii="宋体" w:hAnsi="宋体" w:cs="宋体"/>
          <w:color w:val="000000" w:themeColor="text1"/>
          <w:sz w:val="32"/>
          <w:szCs w:val="32"/>
          <w:lang w:eastAsia="zh-CN"/>
          <w14:textFill>
            <w14:solidFill>
              <w14:schemeClr w14:val="tx1"/>
            </w14:solidFill>
          </w14:textFill>
        </w:rPr>
        <w:t>采购人：杭州市临平职业高级中学</w:t>
      </w:r>
    </w:p>
    <w:p>
      <w:pPr>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采购代理机构：浙江中达工程造价事务所有限公司</w:t>
      </w:r>
    </w:p>
    <w:p>
      <w:pPr>
        <w:snapToGrid w:val="0"/>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二〇二</w:t>
      </w:r>
      <w:r>
        <w:rPr>
          <w:rFonts w:hint="eastAsia" w:ascii="宋体" w:hAnsi="宋体" w:cs="宋体"/>
          <w:bCs/>
          <w:color w:val="000000" w:themeColor="text1"/>
          <w:sz w:val="32"/>
          <w:szCs w:val="32"/>
          <w:lang w:val="en-US" w:eastAsia="zh-CN"/>
          <w14:textFill>
            <w14:solidFill>
              <w14:schemeClr w14:val="tx1"/>
            </w14:solidFill>
          </w14:textFill>
        </w:rPr>
        <w:t>四</w:t>
      </w:r>
      <w:r>
        <w:rPr>
          <w:rFonts w:hint="eastAsia" w:ascii="宋体" w:hAnsi="宋体" w:cs="宋体"/>
          <w:bCs/>
          <w:color w:val="000000" w:themeColor="text1"/>
          <w:sz w:val="32"/>
          <w:szCs w:val="32"/>
          <w14:textFill>
            <w14:solidFill>
              <w14:schemeClr w14:val="tx1"/>
            </w14:solidFill>
          </w14:textFill>
        </w:rPr>
        <w:t>年</w:t>
      </w:r>
      <w:r>
        <w:rPr>
          <w:rFonts w:hint="eastAsia" w:ascii="宋体" w:hAnsi="宋体" w:cs="宋体"/>
          <w:bCs/>
          <w:color w:val="000000" w:themeColor="text1"/>
          <w:sz w:val="32"/>
          <w:szCs w:val="32"/>
          <w:lang w:val="en-US" w:eastAsia="zh-CN"/>
          <w14:textFill>
            <w14:solidFill>
              <w14:schemeClr w14:val="tx1"/>
            </w14:solidFill>
          </w14:textFill>
        </w:rPr>
        <w:t>四</w:t>
      </w:r>
      <w:r>
        <w:rPr>
          <w:rFonts w:hint="eastAsia" w:ascii="宋体" w:hAnsi="宋体" w:cs="宋体"/>
          <w:bCs/>
          <w:color w:val="000000" w:themeColor="text1"/>
          <w:sz w:val="32"/>
          <w:szCs w:val="32"/>
          <w14:textFill>
            <w14:solidFill>
              <w14:schemeClr w14:val="tx1"/>
            </w14:solidFill>
          </w14:textFill>
        </w:rPr>
        <w:t>月</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bookmarkStart w:id="0" w:name="_Hlt67893495"/>
      <w:bookmarkEnd w:id="0"/>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目  录</w:t>
      </w: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第一部分      招标公告</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第二部分      投标人须知</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第三部分      采购需求</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第四部分      评标办法</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第五部分      拟签订的合同文本</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第六部分      应提交的有关格式范例</w:t>
      </w:r>
    </w:p>
    <w:p>
      <w:pPr>
        <w:spacing w:line="360" w:lineRule="auto"/>
        <w:ind w:firstLine="549" w:firstLineChars="229"/>
        <w:rPr>
          <w:rFonts w:ascii="宋体" w:hAnsi="宋体" w:cs="宋体"/>
          <w:color w:val="000000" w:themeColor="text1"/>
          <w:sz w:val="24"/>
          <w14:textFill>
            <w14:solidFill>
              <w14:schemeClr w14:val="tx1"/>
            </w14:solidFill>
          </w14:textFill>
        </w:rPr>
      </w:pPr>
      <w:bookmarkStart w:id="1" w:name="_Hlt91233176"/>
      <w:bookmarkEnd w:id="1"/>
      <w:bookmarkStart w:id="2" w:name="_Toc91899869"/>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bookmarkStart w:id="3" w:name="第一部分"/>
      <w:r>
        <w:rPr>
          <w:rFonts w:hint="eastAsia" w:ascii="宋体" w:hAnsi="宋体" w:cs="宋体"/>
          <w:b/>
          <w:color w:val="000000" w:themeColor="text1"/>
          <w:sz w:val="36"/>
          <w:szCs w:val="36"/>
          <w14:textFill>
            <w14:solidFill>
              <w14:schemeClr w14:val="tx1"/>
            </w14:solidFill>
          </w14:textFill>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cs="宋体"/>
          <w:b/>
          <w:color w:val="000000" w:themeColor="text1"/>
          <w:sz w:val="36"/>
          <w:szCs w:val="20"/>
          <w14:textFill>
            <w14:solidFill>
              <w14:schemeClr w14:val="tx1"/>
            </w14:solidFill>
          </w14:textFill>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Theme="minorEastAsia" w:hAnsiTheme="minorEastAsia" w:eastAsiaTheme="minorEastAsia"/>
          <w:color w:val="000000" w:themeColor="text1"/>
          <w:sz w:val="24"/>
          <w:lang w:eastAsia="zh-CN"/>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项目概况</w:t>
      </w:r>
      <w:r>
        <w:rPr>
          <w:rFonts w:hint="eastAsia" w:asciiTheme="minorEastAsia" w:hAnsiTheme="minorEastAsia" w:eastAsiaTheme="minorEastAsia"/>
          <w:color w:val="000000" w:themeColor="text1"/>
          <w:sz w:val="24"/>
          <w:lang w:eastAsia="zh-CN"/>
          <w14:textFill>
            <w14:solidFill>
              <w14:schemeClr w14:val="tx1"/>
            </w14:solidFill>
          </w14:textFill>
        </w:rPr>
        <w:t>：</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u w:val="single"/>
          <w14:textFill>
            <w14:solidFill>
              <w14:schemeClr w14:val="tx1"/>
            </w14:solidFill>
          </w14:textFill>
        </w:rPr>
      </w:pPr>
      <w:r>
        <w:rPr>
          <w:rFonts w:hint="eastAsia" w:ascii="宋体" w:hAnsi="宋体" w:cs="宋体" w:eastAsiaTheme="minorEastAsia"/>
          <w:color w:val="000000" w:themeColor="text1"/>
          <w:sz w:val="24"/>
          <w:lang w:eastAsia="zh-CN"/>
          <w14:textFill>
            <w14:solidFill>
              <w14:schemeClr w14:val="tx1"/>
            </w14:solidFill>
          </w14:textFill>
        </w:rPr>
        <w:t>杭州市临平职业高级中学数控车实训设备项目</w:t>
      </w:r>
      <w:r>
        <w:rPr>
          <w:rFonts w:hint="eastAsia" w:asciiTheme="minorEastAsia" w:hAnsiTheme="minorEastAsia" w:eastAsiaTheme="minorEastAsia"/>
          <w:color w:val="000000" w:themeColor="text1"/>
          <w:sz w:val="24"/>
          <w14:textFill>
            <w14:solidFill>
              <w14:schemeClr w14:val="tx1"/>
            </w14:solidFill>
          </w14:textFill>
        </w:rPr>
        <w:t>招标项目的潜在投标人应在政采云平台（</w:t>
      </w:r>
      <w:r>
        <w:fldChar w:fldCharType="begin"/>
      </w:r>
      <w:r>
        <w:instrText xml:space="preserve"> HYPERLINK "https://www.zcygov.cn/）获取（下载）招标文件，并于2023年6月2日14点30分00秒" </w:instrText>
      </w:r>
      <w:r>
        <w:fldChar w:fldCharType="separate"/>
      </w:r>
      <w:r>
        <w:rPr>
          <w:rStyle w:val="78"/>
          <w:rFonts w:cs="Times New Roman" w:asciiTheme="minorEastAsia" w:hAnsiTheme="minorEastAsia" w:eastAsiaTheme="minorEastAsia"/>
          <w:snapToGrid/>
          <w:kern w:val="2"/>
          <w:sz w:val="24"/>
          <w:szCs w:val="24"/>
        </w:rPr>
        <w:t>https://www.zcygov.cn/）获取（下载）招标文件，并于</w:t>
      </w:r>
      <w:r>
        <w:rPr>
          <w:rStyle w:val="78"/>
          <w:rFonts w:hint="eastAsia" w:cs="Times New Roman" w:asciiTheme="minorEastAsia" w:hAnsiTheme="minorEastAsia" w:eastAsiaTheme="minorEastAsia"/>
          <w:snapToGrid/>
          <w:kern w:val="2"/>
          <w:sz w:val="24"/>
          <w:szCs w:val="24"/>
        </w:rPr>
        <w:t>202</w:t>
      </w:r>
      <w:r>
        <w:rPr>
          <w:rStyle w:val="78"/>
          <w:rFonts w:hint="eastAsia" w:cs="Times New Roman" w:asciiTheme="minorEastAsia" w:hAnsiTheme="minorEastAsia" w:eastAsiaTheme="minorEastAsia"/>
          <w:snapToGrid/>
          <w:kern w:val="2"/>
          <w:sz w:val="24"/>
          <w:szCs w:val="24"/>
          <w:lang w:val="en-US" w:eastAsia="zh-CN"/>
        </w:rPr>
        <w:t>4</w:t>
      </w:r>
      <w:r>
        <w:rPr>
          <w:rStyle w:val="78"/>
          <w:rFonts w:hint="eastAsia" w:cs="Times New Roman" w:asciiTheme="minorEastAsia" w:hAnsiTheme="minorEastAsia" w:eastAsiaTheme="minorEastAsia"/>
          <w:snapToGrid/>
          <w:kern w:val="2"/>
          <w:sz w:val="24"/>
          <w:szCs w:val="24"/>
        </w:rPr>
        <w:t>年</w:t>
      </w:r>
      <w:r>
        <w:rPr>
          <w:rStyle w:val="78"/>
          <w:rFonts w:hint="eastAsia" w:cs="Times New Roman" w:asciiTheme="minorEastAsia" w:hAnsiTheme="minorEastAsia" w:eastAsiaTheme="minorEastAsia"/>
          <w:snapToGrid/>
          <w:kern w:val="2"/>
          <w:sz w:val="24"/>
          <w:szCs w:val="24"/>
          <w:lang w:val="en-US" w:eastAsia="zh-CN"/>
        </w:rPr>
        <w:t>5</w:t>
      </w:r>
      <w:r>
        <w:rPr>
          <w:rStyle w:val="78"/>
          <w:rFonts w:hint="eastAsia" w:cs="Times New Roman" w:asciiTheme="minorEastAsia" w:hAnsiTheme="minorEastAsia" w:eastAsiaTheme="minorEastAsia"/>
          <w:snapToGrid/>
          <w:kern w:val="2"/>
          <w:sz w:val="24"/>
          <w:szCs w:val="24"/>
        </w:rPr>
        <w:t>月</w:t>
      </w:r>
      <w:r>
        <w:rPr>
          <w:rStyle w:val="78"/>
          <w:rFonts w:hint="eastAsia" w:cs="Times New Roman" w:asciiTheme="minorEastAsia" w:hAnsiTheme="minorEastAsia" w:eastAsiaTheme="minorEastAsia"/>
          <w:snapToGrid/>
          <w:kern w:val="2"/>
          <w:sz w:val="24"/>
          <w:szCs w:val="24"/>
          <w:lang w:val="en-US" w:eastAsia="zh-CN"/>
        </w:rPr>
        <w:t>8</w:t>
      </w:r>
      <w:r>
        <w:rPr>
          <w:rStyle w:val="78"/>
          <w:rFonts w:hint="eastAsia" w:cs="Times New Roman" w:asciiTheme="minorEastAsia" w:hAnsiTheme="minorEastAsia" w:eastAsiaTheme="minorEastAsia"/>
          <w:snapToGrid/>
          <w:kern w:val="2"/>
          <w:sz w:val="24"/>
          <w:szCs w:val="24"/>
        </w:rPr>
        <w:t>日</w:t>
      </w:r>
      <w:r>
        <w:rPr>
          <w:rStyle w:val="78"/>
          <w:rFonts w:hint="eastAsia" w:cs="Times New Roman" w:asciiTheme="minorEastAsia" w:hAnsiTheme="minorEastAsia" w:eastAsiaTheme="minorEastAsia"/>
          <w:snapToGrid/>
          <w:kern w:val="2"/>
          <w:sz w:val="24"/>
          <w:szCs w:val="24"/>
          <w:lang w:val="en-US" w:eastAsia="zh-CN"/>
        </w:rPr>
        <w:t>14</w:t>
      </w:r>
      <w:r>
        <w:rPr>
          <w:rStyle w:val="78"/>
          <w:rFonts w:hint="eastAsia" w:cs="Times New Roman" w:asciiTheme="minorEastAsia" w:hAnsiTheme="minorEastAsia" w:eastAsiaTheme="minorEastAsia"/>
          <w:snapToGrid/>
          <w:kern w:val="2"/>
          <w:sz w:val="24"/>
          <w:szCs w:val="24"/>
        </w:rPr>
        <w:t>点</w:t>
      </w:r>
      <w:r>
        <w:rPr>
          <w:rStyle w:val="78"/>
          <w:rFonts w:hint="eastAsia" w:cs="Times New Roman" w:asciiTheme="minorEastAsia" w:hAnsiTheme="minorEastAsia" w:eastAsiaTheme="minorEastAsia"/>
          <w:snapToGrid/>
          <w:kern w:val="2"/>
          <w:sz w:val="24"/>
          <w:szCs w:val="24"/>
          <w:lang w:val="en-US" w:eastAsia="zh-CN"/>
        </w:rPr>
        <w:t>00</w:t>
      </w:r>
      <w:r>
        <w:rPr>
          <w:rStyle w:val="78"/>
          <w:rFonts w:hint="eastAsia" w:cs="Times New Roman" w:asciiTheme="minorEastAsia" w:hAnsiTheme="minorEastAsia" w:eastAsiaTheme="minorEastAsia"/>
          <w:snapToGrid/>
          <w:kern w:val="2"/>
          <w:sz w:val="24"/>
          <w:szCs w:val="24"/>
        </w:rPr>
        <w:t>分00秒</w:t>
      </w:r>
      <w:r>
        <w:rPr>
          <w:rStyle w:val="78"/>
          <w:rFonts w:hint="eastAsia" w:cs="Times New Roman" w:asciiTheme="minorEastAsia" w:hAnsiTheme="minorEastAsia" w:eastAsiaTheme="minorEastAsia"/>
          <w:snapToGrid/>
          <w:kern w:val="2"/>
          <w:sz w:val="24"/>
          <w:szCs w:val="24"/>
        </w:rPr>
        <w:fldChar w:fldCharType="end"/>
      </w:r>
      <w:r>
        <w:rPr>
          <w:rFonts w:hint="eastAsia" w:asciiTheme="minorEastAsia" w:hAnsiTheme="minorEastAsia" w:eastAsiaTheme="minorEastAsia"/>
          <w:bCs/>
          <w:color w:val="000000" w:themeColor="text1"/>
          <w:sz w:val="24"/>
          <w14:textFill>
            <w14:solidFill>
              <w14:schemeClr w14:val="tx1"/>
            </w14:solidFill>
          </w14:textFill>
        </w:rPr>
        <w:t>（北京时间）前</w:t>
      </w:r>
      <w:r>
        <w:rPr>
          <w:rFonts w:hint="eastAsia" w:asciiTheme="minorEastAsia" w:hAnsiTheme="minorEastAsia" w:eastAsiaTheme="minorEastAsia"/>
          <w:color w:val="000000" w:themeColor="text1"/>
          <w:sz w:val="24"/>
          <w14:textFill>
            <w14:solidFill>
              <w14:schemeClr w14:val="tx1"/>
            </w14:solidFill>
          </w14:textFill>
        </w:rPr>
        <w:t>递交（上传）投标文件。</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一、项目基本情况                                            </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项目编号：</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eastAsia="zh-CN"/>
          <w14:textFill>
            <w14:solidFill>
              <w14:schemeClr w14:val="tx1"/>
            </w14:solidFill>
          </w14:textFill>
        </w:rPr>
        <w:t>ZJZDCGLP-2024-012</w:t>
      </w:r>
      <w:bookmarkStart w:id="195" w:name="_GoBack"/>
      <w:bookmarkEnd w:id="195"/>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项目名称：</w:t>
      </w:r>
      <w:r>
        <w:rPr>
          <w:rFonts w:hint="eastAsia" w:ascii="宋体" w:hAnsi="宋体" w:cs="宋体"/>
          <w:color w:val="000000" w:themeColor="text1"/>
          <w:sz w:val="24"/>
          <w:lang w:eastAsia="zh-CN"/>
          <w14:textFill>
            <w14:solidFill>
              <w14:schemeClr w14:val="tx1"/>
            </w14:solidFill>
          </w14:textFill>
        </w:rPr>
        <w:t>杭州市临平职业高级中学数控车实训设备项目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预算金额（元）：</w:t>
      </w:r>
      <w:r>
        <w:rPr>
          <w:rFonts w:hint="eastAsia" w:ascii="宋体" w:hAnsi="宋体" w:cs="宋体"/>
          <w:color w:val="000000" w:themeColor="text1"/>
          <w:sz w:val="24"/>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500000</w:t>
      </w:r>
      <w:r>
        <w:rPr>
          <w:rFonts w:hint="eastAsia" w:ascii="宋体" w:hAnsi="宋体" w:cs="宋体"/>
          <w:color w:val="000000" w:themeColor="text1"/>
          <w:sz w:val="24"/>
          <w14:textFill>
            <w14:solidFill>
              <w14:schemeClr w14:val="tx1"/>
            </w14:solidFill>
          </w14:textFill>
        </w:rPr>
        <w:t>元</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最高限价（元）：</w:t>
      </w:r>
      <w:r>
        <w:rPr>
          <w:rFonts w:hint="eastAsia" w:ascii="宋体" w:hAnsi="宋体" w:cs="宋体"/>
          <w:color w:val="000000" w:themeColor="text1"/>
          <w:sz w:val="24"/>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500000</w:t>
      </w:r>
      <w:r>
        <w:rPr>
          <w:rFonts w:hint="eastAsia" w:ascii="宋体" w:hAnsi="宋体" w:cs="宋体"/>
          <w:color w:val="000000" w:themeColor="text1"/>
          <w:sz w:val="24"/>
          <w14:textFill>
            <w14:solidFill>
              <w14:schemeClr w14:val="tx1"/>
            </w14:solidFill>
          </w14:textFill>
        </w:rPr>
        <w:t>元</w:t>
      </w:r>
    </w:p>
    <w:p>
      <w:pPr>
        <w:pStyle w:val="8"/>
        <w:spacing w:line="360" w:lineRule="auto"/>
        <w:ind w:firstLine="480"/>
        <w:rPr>
          <w:rFonts w:hAnsi="宋体" w:cs="宋体"/>
          <w:bCs/>
          <w:snapToGrid/>
          <w:color w:val="000000" w:themeColor="text1"/>
          <w:kern w:val="2"/>
          <w:sz w:val="24"/>
          <w:szCs w:val="24"/>
          <w:highlight w:val="none"/>
          <w14:textFill>
            <w14:solidFill>
              <w14:schemeClr w14:val="tx1"/>
            </w14:solidFill>
          </w14:textFill>
        </w:rPr>
      </w:pPr>
      <w:r>
        <w:rPr>
          <w:rFonts w:hint="eastAsia" w:hAnsi="宋体" w:cs="宋体"/>
          <w:b/>
          <w:color w:val="000000" w:themeColor="text1"/>
          <w:sz w:val="24"/>
          <w14:textFill>
            <w14:solidFill>
              <w14:schemeClr w14:val="tx1"/>
            </w14:solidFill>
          </w14:textFill>
        </w:rPr>
        <w:t>采购需求：</w:t>
      </w:r>
      <w:r>
        <w:rPr>
          <w:rFonts w:hint="eastAsia" w:ascii="宋体" w:hAnsi="宋体" w:eastAsia="宋体" w:cs="宋体"/>
          <w:snapToGrid/>
          <w:color w:val="000000" w:themeColor="text1"/>
          <w:kern w:val="2"/>
          <w:sz w:val="24"/>
          <w:szCs w:val="24"/>
          <w:lang w:val="en-US" w:eastAsia="zh-CN" w:bidi="ar-SA"/>
          <w14:textFill>
            <w14:solidFill>
              <w14:schemeClr w14:val="tx1"/>
            </w14:solidFill>
          </w14:textFill>
        </w:rPr>
        <w:t>2024年</w:t>
      </w:r>
      <w:r>
        <w:rPr>
          <w:rFonts w:hint="eastAsia" w:hAnsi="宋体" w:cs="宋体"/>
          <w:snapToGrid/>
          <w:color w:val="000000" w:themeColor="text1"/>
          <w:kern w:val="2"/>
          <w:sz w:val="24"/>
          <w:szCs w:val="24"/>
          <w:lang w:val="en-US" w:eastAsia="zh-CN" w:bidi="ar-SA"/>
          <w14:textFill>
            <w14:solidFill>
              <w14:schemeClr w14:val="tx1"/>
            </w14:solidFill>
          </w14:textFill>
        </w:rPr>
        <w:t>杭州市临平职业高级中学</w:t>
      </w:r>
      <w:r>
        <w:rPr>
          <w:rFonts w:hint="eastAsia" w:ascii="宋体" w:hAnsi="宋体" w:eastAsia="宋体" w:cs="宋体"/>
          <w:snapToGrid/>
          <w:color w:val="000000" w:themeColor="text1"/>
          <w:kern w:val="2"/>
          <w:sz w:val="24"/>
          <w:szCs w:val="24"/>
          <w:lang w:val="en-US" w:eastAsia="zh-CN" w:bidi="ar-SA"/>
          <w14:textFill>
            <w14:solidFill>
              <w14:schemeClr w14:val="tx1"/>
            </w14:solidFill>
          </w14:textFill>
        </w:rPr>
        <w:t>（杭州市临平技工）数控车、铣综合加工实训设备。</w:t>
      </w:r>
      <w:r>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t>具体以招标文件第三部分采购需求为准，供应商可点击本公告下方“浏览采购文件”查看采购需求。</w:t>
      </w:r>
    </w:p>
    <w:p>
      <w:pPr>
        <w:pStyle w:val="130"/>
        <w:ind w:firstLine="482"/>
        <w:outlineLvl w:val="2"/>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14:textFill>
            <w14:solidFill>
              <w14:schemeClr w14:val="tx1"/>
            </w14:solidFill>
          </w14:textFill>
        </w:rPr>
        <w:t>合同履约期限：</w:t>
      </w:r>
      <w:r>
        <w:rPr>
          <w:rFonts w:hint="eastAsia" w:ascii="宋体" w:hAnsi="宋体" w:cs="宋体"/>
          <w:b/>
          <w:color w:val="000000" w:themeColor="text1"/>
          <w:highlight w:val="none"/>
          <w14:textFill>
            <w14:solidFill>
              <w14:schemeClr w14:val="tx1"/>
            </w14:solidFill>
          </w14:textFill>
        </w:rPr>
        <w:t xml:space="preserve"> 签订合同后 </w:t>
      </w:r>
      <w:r>
        <w:rPr>
          <w:rFonts w:hint="eastAsia" w:ascii="宋体" w:hAnsi="宋体" w:cs="宋体"/>
          <w:b/>
          <w:color w:val="000000" w:themeColor="text1"/>
          <w:highlight w:val="none"/>
          <w:lang w:val="en-US" w:eastAsia="zh-CN"/>
          <w14:textFill>
            <w14:solidFill>
              <w14:schemeClr w14:val="tx1"/>
            </w14:solidFill>
          </w14:textFill>
        </w:rPr>
        <w:t>7</w:t>
      </w:r>
      <w:r>
        <w:rPr>
          <w:rFonts w:hint="eastAsia" w:ascii="宋体" w:hAnsi="宋体" w:cs="宋体"/>
          <w:b/>
          <w:color w:val="000000" w:themeColor="text1"/>
          <w:highlight w:val="none"/>
          <w14:textFill>
            <w14:solidFill>
              <w14:schemeClr w14:val="tx1"/>
            </w14:solidFill>
          </w14:textFill>
        </w:rPr>
        <w:t xml:space="preserve"> 天内完成所有设备的供货、安装、调试等所有工作内容。</w:t>
      </w:r>
    </w:p>
    <w:p>
      <w:pPr>
        <w:pStyle w:val="8"/>
        <w:spacing w:line="360" w:lineRule="auto"/>
        <w:ind w:firstLine="480"/>
        <w:rPr>
          <w:rFonts w:hAnsi="宋体" w:cs="宋体"/>
          <w:color w:val="000000" w:themeColor="text1"/>
          <w:kern w:val="0"/>
          <w:sz w:val="24"/>
          <w14:textFill>
            <w14:solidFill>
              <w14:schemeClr w14:val="tx1"/>
            </w14:solidFill>
          </w14:textFill>
        </w:rPr>
      </w:pPr>
      <w:r>
        <w:rPr>
          <w:rFonts w:hint="eastAsia" w:hAnsi="宋体" w:cs="宋体"/>
          <w:b/>
          <w:color w:val="000000" w:themeColor="text1"/>
          <w:sz w:val="24"/>
          <w14:textFill>
            <w14:solidFill>
              <w14:schemeClr w14:val="tx1"/>
            </w14:solidFill>
          </w14:textFill>
        </w:rPr>
        <w:t>本项目接受联合体投标：</w:t>
      </w:r>
      <w:sdt>
        <w:sdtPr>
          <w:rPr>
            <w:rFonts w:hint="eastAsia" w:hAnsi="宋体" w:cs="宋体"/>
            <w:color w:val="000000" w:themeColor="text1"/>
            <w:kern w:val="0"/>
            <w:sz w:val="24"/>
            <w14:textFill>
              <w14:solidFill>
                <w14:schemeClr w14:val="tx1"/>
              </w14:solidFill>
            </w14:textFill>
          </w:rPr>
          <w:id w:val="2035453831"/>
          <w14:checkbox>
            <w14:checked w14:val="1"/>
            <w14:checkedState w14:val="00FE" w14:font="Wingdings"/>
            <w14:uncheckedState w14:val="2610" w14:font="MS Gothic"/>
          </w14:checkbox>
        </w:sdtPr>
        <w:sdtEndPr>
          <w:rPr>
            <w:rFonts w:hint="eastAsia" w:hAnsi="宋体" w:cs="宋体"/>
            <w:color w:val="000000" w:themeColor="text1"/>
            <w:kern w:val="0"/>
            <w:sz w:val="24"/>
            <w14:textFill>
              <w14:solidFill>
                <w14:schemeClr w14:val="tx1"/>
              </w14:solidFill>
            </w14:textFill>
          </w:rPr>
        </w:sdtEndPr>
        <w:sdtContent>
          <w:r>
            <w:rPr>
              <w:rFonts w:hint="eastAsia" w:hAnsi="宋体" w:cs="宋体"/>
              <w:color w:val="000000" w:themeColor="text1"/>
              <w:kern w:val="0"/>
              <w:sz w:val="24"/>
              <w14:textFill>
                <w14:solidFill>
                  <w14:schemeClr w14:val="tx1"/>
                </w14:solidFill>
              </w14:textFill>
            </w:rPr>
            <w:sym w:font="Wingdings" w:char="F0FE"/>
          </w:r>
        </w:sdtContent>
      </w:sdt>
      <w:r>
        <w:rPr>
          <w:rFonts w:hint="eastAsia" w:hAnsi="宋体" w:cs="宋体"/>
          <w:b/>
          <w:color w:val="000000" w:themeColor="text1"/>
          <w:sz w:val="24"/>
          <w14:textFill>
            <w14:solidFill>
              <w14:schemeClr w14:val="tx1"/>
            </w14:solidFill>
          </w14:textFill>
        </w:rPr>
        <w:t>是</w:t>
      </w:r>
      <w:r>
        <w:rPr>
          <w:rFonts w:hint="eastAsia" w:hAnsi="宋体" w:cs="宋体"/>
          <w:b/>
          <w:snapToGrid/>
          <w:color w:val="000000" w:themeColor="text1"/>
          <w:kern w:val="2"/>
          <w:sz w:val="24"/>
          <w14:textFill>
            <w14:solidFill>
              <w14:schemeClr w14:val="tx1"/>
            </w14:solidFill>
          </w14:textFill>
        </w:rPr>
        <w:t>；</w:t>
      </w:r>
      <w:sdt>
        <w:sdtPr>
          <w:rPr>
            <w:rFonts w:hint="eastAsia" w:hAnsi="宋体" w:cs="宋体"/>
            <w:color w:val="000000" w:themeColor="text1"/>
            <w:kern w:val="0"/>
            <w:sz w:val="24"/>
            <w14:textFill>
              <w14:solidFill>
                <w14:schemeClr w14:val="tx1"/>
              </w14:solidFill>
            </w14:textFill>
          </w:rPr>
          <w:id w:val="-1765526721"/>
          <w14:checkbox>
            <w14:checked w14:val="0"/>
            <w14:checkedState w14:val="00FE" w14:font="Wingdings"/>
            <w14:uncheckedState w14:val="2610" w14:font="MS Gothic"/>
          </w14:checkbox>
        </w:sdtPr>
        <w:sdtEndPr>
          <w:rPr>
            <w:rFonts w:hint="eastAsia" w:hAnsi="宋体" w:cs="宋体"/>
            <w:color w:val="000000" w:themeColor="text1"/>
            <w:kern w:val="0"/>
            <w:sz w:val="24"/>
            <w14:textFill>
              <w14:solidFill>
                <w14:schemeClr w14:val="tx1"/>
              </w14:solidFill>
            </w14:textFill>
          </w:rPr>
        </w:sdtEndPr>
        <w:sdtContent>
          <w:r>
            <w:rPr>
              <w:rFonts w:hint="eastAsia" w:hAnsi="宋体" w:cs="宋体"/>
              <w:color w:val="000000" w:themeColor="text1"/>
              <w:kern w:val="0"/>
              <w:sz w:val="24"/>
              <w14:textFill>
                <w14:solidFill>
                  <w14:schemeClr w14:val="tx1"/>
                </w14:solidFill>
              </w14:textFill>
            </w:rPr>
            <w:t>☐</w:t>
          </w:r>
        </w:sdtContent>
      </w:sdt>
      <w:r>
        <w:rPr>
          <w:rFonts w:hint="eastAsia" w:hAnsi="宋体" w:cs="宋体"/>
          <w:b/>
          <w:color w:val="000000" w:themeColor="text1"/>
          <w:sz w:val="24"/>
          <w14:textFill>
            <w14:solidFill>
              <w14:schemeClr w14:val="tx1"/>
            </w14:solidFill>
          </w14:textFill>
        </w:rPr>
        <w:t>否</w:t>
      </w:r>
      <w:r>
        <w:rPr>
          <w:rFonts w:hint="eastAsia" w:hAnsi="宋体" w:cs="宋体"/>
          <w:color w:val="000000" w:themeColor="text1"/>
          <w:kern w:val="0"/>
          <w:sz w:val="24"/>
          <w14:textFill>
            <w14:solidFill>
              <w14:schemeClr w14:val="tx1"/>
            </w14:solidFill>
          </w14:textFill>
        </w:rPr>
        <w:t>。</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w:t>
      </w:r>
      <w:bookmarkStart w:id="11" w:name="_Hlk101132948"/>
      <w:r>
        <w:rPr>
          <w:rFonts w:hint="eastAsia" w:ascii="宋体" w:hAnsi="宋体" w:cs="宋体"/>
          <w:b/>
          <w:color w:val="000000" w:themeColor="text1"/>
          <w:sz w:val="24"/>
          <w14:textFill>
            <w14:solidFill>
              <w14:schemeClr w14:val="tx1"/>
            </w14:solidFill>
          </w14:textFill>
        </w:rPr>
        <w:t>申请人的资格要求</w:t>
      </w:r>
      <w:bookmarkEnd w:id="11"/>
      <w:r>
        <w:rPr>
          <w:rFonts w:hint="eastAsia" w:ascii="宋体" w:hAnsi="宋体" w:cs="宋体"/>
          <w:b/>
          <w:color w:val="000000" w:themeColor="text1"/>
          <w:sz w:val="24"/>
          <w14:textFill>
            <w14:solidFill>
              <w14:schemeClr w14:val="tx1"/>
            </w14:solidFill>
          </w14:textFill>
        </w:rPr>
        <w:t>：</w:t>
      </w:r>
    </w:p>
    <w:p>
      <w:pPr>
        <w:spacing w:line="360" w:lineRule="auto"/>
        <w:ind w:firstLine="480"/>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 xml:space="preserve">    </w:t>
      </w:r>
      <w:r>
        <w:rPr>
          <w:rFonts w:ascii="宋体" w:hAnsi="宋体" w:cs="宋体"/>
          <w:snapToGrid w:val="0"/>
          <w:color w:val="000000" w:themeColor="text1"/>
          <w:kern w:val="28"/>
          <w:sz w:val="24"/>
          <w:szCs w:val="20"/>
          <w14:textFill>
            <w14:solidFill>
              <w14:schemeClr w14:val="tx1"/>
            </w14:solidFill>
          </w14:textFill>
        </w:rPr>
        <w:t>2</w:t>
      </w:r>
      <w:r>
        <w:rPr>
          <w:rFonts w:hint="eastAsia" w:ascii="宋体" w:hAnsi="宋体" w:cs="宋体"/>
          <w:snapToGrid w:val="0"/>
          <w:color w:val="000000" w:themeColor="text1"/>
          <w:kern w:val="28"/>
          <w:sz w:val="24"/>
          <w:szCs w:val="20"/>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宋体" w:hAnsi="宋体" w:cs="宋体"/>
          <w:snapToGrid w:val="0"/>
          <w:color w:val="000000" w:themeColor="text1"/>
          <w:kern w:val="28"/>
          <w:sz w:val="24"/>
          <w:szCs w:val="20"/>
          <w14:textFill>
            <w14:solidFill>
              <w14:schemeClr w14:val="tx1"/>
            </w14:solidFill>
          </w14:textFill>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000000" w:themeColor="text1"/>
          <w:kern w:val="28"/>
          <w:sz w:val="24"/>
          <w:szCs w:val="20"/>
          <w14:textFill>
            <w14:solidFill>
              <w14:schemeClr w14:val="tx1"/>
            </w14:solidFill>
          </w14:textFill>
        </w:rPr>
      </w:pPr>
      <w:r>
        <w:rPr>
          <w:rFonts w:ascii="宋体" w:hAnsi="宋体" w:cs="宋体"/>
          <w:snapToGrid w:val="0"/>
          <w:color w:val="000000" w:themeColor="text1"/>
          <w:kern w:val="28"/>
          <w:sz w:val="24"/>
          <w:szCs w:val="20"/>
          <w14:textFill>
            <w14:solidFill>
              <w14:schemeClr w14:val="tx1"/>
            </w14:solidFill>
          </w14:textFill>
        </w:rPr>
        <w:t>3</w:t>
      </w:r>
      <w:r>
        <w:rPr>
          <w:rFonts w:hint="eastAsia" w:ascii="宋体" w:hAnsi="宋体" w:cs="宋体"/>
          <w:snapToGrid w:val="0"/>
          <w:color w:val="000000" w:themeColor="text1"/>
          <w:kern w:val="28"/>
          <w:sz w:val="24"/>
          <w:szCs w:val="20"/>
          <w14:textFill>
            <w14:solidFill>
              <w14:schemeClr w14:val="tx1"/>
            </w14:solidFill>
          </w14:textFill>
        </w:rPr>
        <w:t>.落实政府采购政策需满足的资格要求：</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28616923"/>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无</w:t>
      </w:r>
      <w:r>
        <w:rPr>
          <w:rFonts w:hint="eastAsia" w:ascii="宋体" w:hAnsi="宋体" w:cs="宋体"/>
          <w:snapToGrid w:val="0"/>
          <w:color w:val="000000" w:themeColor="text1"/>
          <w:kern w:val="28"/>
          <w:sz w:val="24"/>
          <w:szCs w:val="20"/>
          <w14:textFill>
            <w14:solidFill>
              <w14:schemeClr w14:val="tx1"/>
            </w14:solidFill>
          </w14:textFill>
        </w:rPr>
        <w:t>（注：不得限制大中型企业与小微企业组成联合体参与投标）</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4704304"/>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kern w:val="0"/>
          <w:sz w:val="24"/>
          <w14:textFill>
            <w14:solidFill>
              <w14:schemeClr w14:val="tx1"/>
            </w14:solidFill>
          </w14:textFill>
        </w:rPr>
        <w:t>专</w:t>
      </w:r>
      <w:r>
        <w:rPr>
          <w:rFonts w:hint="eastAsia" w:ascii="宋体" w:hAnsi="宋体" w:cs="宋体"/>
          <w:color w:val="000000" w:themeColor="text1"/>
          <w:sz w:val="24"/>
          <w14:textFill>
            <w14:solidFill>
              <w14:schemeClr w14:val="tx1"/>
            </w14:solidFill>
          </w14:textFill>
        </w:rPr>
        <w:t>门面向中小企业</w:t>
      </w:r>
    </w:p>
    <w:p>
      <w:pPr>
        <w:spacing w:line="360" w:lineRule="auto"/>
        <w:ind w:firstLine="897" w:firstLineChars="374"/>
        <w:rPr>
          <w:rFonts w:ascii="宋体" w:hAnsi="宋体" w:cs="宋体"/>
          <w:color w:val="000000" w:themeColor="text1"/>
          <w:sz w:val="24"/>
          <w:u w:val="single"/>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924730588"/>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sz w:val="24"/>
          <w14:textFill>
            <w14:solidFill>
              <w14:schemeClr w14:val="tx1"/>
            </w14:solidFill>
          </w14:textFill>
        </w:rPr>
        <w:t>货物全部由符合政策要求的中小企业制造，提供中小企业声明函；</w:t>
      </w:r>
    </w:p>
    <w:p>
      <w:pPr>
        <w:spacing w:line="360" w:lineRule="auto"/>
        <w:ind w:firstLine="897" w:firstLineChars="374"/>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15260493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sz w:val="24"/>
          <w14:textFill>
            <w14:solidFill>
              <w14:schemeClr w14:val="tx1"/>
            </w14:solidFill>
          </w14:textFill>
        </w:rPr>
        <w:t>货物全部由符合政策要求的小微企业制造，提供中小企业声明函；</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bookmarkStart w:id="12" w:name="_Hlk101132524"/>
        </w:sdtContent>
      </w:sdt>
      <w:r>
        <w:rPr>
          <w:rFonts w:hint="eastAsia" w:ascii="宋体" w:hAnsi="宋体" w:cs="宋体"/>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themeColor="text1"/>
          <w:sz w:val="24"/>
          <w14:textFill>
            <w14:solidFill>
              <w14:schemeClr w14:val="tx1"/>
            </w14:solidFill>
          </w14:textFill>
        </w:rPr>
        <w:t>；</w:t>
      </w:r>
    </w:p>
    <w:bookmarkEnd w:id="12"/>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要求合同分包，提供分包意向协议和中小企业声明函，分包意向协议中中小企业合同金额应当达到达到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.本项目的特定资格要求：无；</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三、获取招标文件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时间：</w:t>
      </w:r>
      <w:r>
        <w:rPr>
          <w:rFonts w:hint="eastAsia" w:ascii="宋体" w:hAnsi="宋体" w:cs="宋体"/>
          <w:color w:val="000000" w:themeColor="text1"/>
          <w:sz w:val="24"/>
          <w:u w:val="single"/>
          <w14:textFill>
            <w14:solidFill>
              <w14:schemeClr w14:val="tx1"/>
            </w14:solidFill>
          </w14:textFill>
        </w:rPr>
        <w:t>/至202</w:t>
      </w:r>
      <w:r>
        <w:rPr>
          <w:rFonts w:hint="eastAsia" w:ascii="宋体" w:hAnsi="宋体" w:cs="宋体"/>
          <w:color w:val="000000" w:themeColor="text1"/>
          <w:sz w:val="24"/>
          <w:u w:val="single"/>
          <w:lang w:val="en-US" w:eastAsia="zh-CN"/>
          <w14:textFill>
            <w14:solidFill>
              <w14:schemeClr w14:val="tx1"/>
            </w14:solidFill>
          </w14:textFill>
        </w:rPr>
        <w:t>4</w:t>
      </w:r>
      <w:r>
        <w:rPr>
          <w:rFonts w:hint="eastAsia" w:ascii="宋体" w:hAnsi="宋体" w:cs="宋体"/>
          <w:color w:val="000000" w:themeColor="text1"/>
          <w:sz w:val="24"/>
          <w:u w:val="single"/>
          <w14:textFill>
            <w14:solidFill>
              <w14:schemeClr w14:val="tx1"/>
            </w14:solidFill>
          </w14:textFill>
        </w:rPr>
        <w:t>年</w:t>
      </w:r>
      <w:r>
        <w:rPr>
          <w:rFonts w:hint="eastAsia" w:ascii="宋体" w:hAnsi="宋体" w:cs="宋体"/>
          <w:color w:val="000000" w:themeColor="text1"/>
          <w:sz w:val="24"/>
          <w:u w:val="single"/>
          <w:lang w:val="en-US" w:eastAsia="zh-CN"/>
          <w14:textFill>
            <w14:solidFill>
              <w14:schemeClr w14:val="tx1"/>
            </w14:solidFill>
          </w14:textFill>
        </w:rPr>
        <w:t>5</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8</w:t>
      </w:r>
      <w:r>
        <w:rPr>
          <w:rFonts w:hint="eastAsia" w:ascii="宋体" w:hAnsi="宋体" w:cs="宋体"/>
          <w:color w:val="000000" w:themeColor="text1"/>
          <w:sz w:val="24"/>
          <w:u w:val="single"/>
          <w14:textFill>
            <w14:solidFill>
              <w14:schemeClr w14:val="tx1"/>
            </w14:solidFill>
          </w14:textFill>
        </w:rPr>
        <w:t>日，</w:t>
      </w:r>
      <w:r>
        <w:rPr>
          <w:rFonts w:hint="eastAsia" w:ascii="宋体" w:hAnsi="宋体" w:cs="宋体"/>
          <w:color w:val="000000" w:themeColor="text1"/>
          <w:sz w:val="24"/>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地点（网址）：</w:t>
      </w:r>
      <w:r>
        <w:rPr>
          <w:rFonts w:hint="eastAsia" w:ascii="宋体" w:hAnsi="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方式：</w:t>
      </w:r>
      <w:r>
        <w:rPr>
          <w:rFonts w:hint="eastAsia" w:ascii="宋体" w:hAnsi="宋体" w:cs="宋体"/>
          <w:color w:val="000000" w:themeColor="text1"/>
          <w:sz w:val="24"/>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售价（元）：</w:t>
      </w:r>
      <w:r>
        <w:rPr>
          <w:rFonts w:hint="eastAsia" w:ascii="宋体" w:hAnsi="宋体" w:cs="宋体"/>
          <w:color w:val="000000" w:themeColor="text1"/>
          <w:sz w:val="24"/>
          <w14:textFill>
            <w14:solidFill>
              <w14:schemeClr w14:val="tx1"/>
            </w14:solidFill>
          </w14:textFill>
        </w:rPr>
        <w:t xml:space="preserve">0 </w:t>
      </w:r>
      <w:r>
        <w:rPr>
          <w:rFonts w:hint="eastAsia" w:ascii="宋体" w:hAnsi="宋体" w:cs="宋体"/>
          <w:color w:val="000000" w:themeColor="text1"/>
          <w:sz w:val="24"/>
          <w14:textFill>
            <w14:solidFill>
              <w14:schemeClr w14:val="tx1"/>
            </w14:solidFill>
          </w14:textFill>
        </w:rPr>
        <w:tab/>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四、提交投标文件截止时间、开标时间和地点</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提交投标文件截止时间：</w:t>
      </w:r>
      <w:r>
        <w:rPr>
          <w:rFonts w:hint="eastAsia" w:ascii="宋体" w:hAnsi="宋体" w:cs="宋体"/>
          <w:color w:val="000000" w:themeColor="text1"/>
          <w:sz w:val="24"/>
          <w:highlight w:val="none"/>
          <w:u w:val="single"/>
          <w14:textFill>
            <w14:solidFill>
              <w14:schemeClr w14:val="tx1"/>
            </w14:solidFill>
          </w14:textFill>
        </w:rPr>
        <w:t xml:space="preserve"> 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5</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8</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14</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00</w:t>
      </w:r>
      <w:r>
        <w:rPr>
          <w:rFonts w:hint="eastAsia" w:ascii="宋体" w:hAnsi="宋体" w:cs="宋体"/>
          <w:color w:val="000000" w:themeColor="text1"/>
          <w:sz w:val="24"/>
          <w:highlight w:val="none"/>
          <w:u w:val="single"/>
          <w14:textFill>
            <w14:solidFill>
              <w14:schemeClr w14:val="tx1"/>
            </w14:solidFill>
          </w14:textFill>
        </w:rPr>
        <w:t>分00秒</w:t>
      </w:r>
      <w:r>
        <w:rPr>
          <w:rFonts w:hint="eastAsia" w:ascii="宋体" w:hAnsi="宋体" w:cs="宋体"/>
          <w:color w:val="000000" w:themeColor="text1"/>
          <w:sz w:val="24"/>
          <w14:textFill>
            <w14:solidFill>
              <w14:schemeClr w14:val="tx1"/>
            </w14:solidFill>
          </w14:textFill>
        </w:rPr>
        <w:t>（北京时间）</w:t>
      </w:r>
    </w:p>
    <w:p>
      <w:pPr>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投标地点（网址）：</w:t>
      </w:r>
      <w:r>
        <w:rPr>
          <w:rFonts w:hint="eastAsia" w:ascii="宋体" w:hAnsi="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宋体" w:hAnsi="宋体" w:cs="宋体"/>
          <w:bCs/>
          <w:color w:val="000000" w:themeColor="text1"/>
          <w:sz w:val="24"/>
          <w:highlight w:val="yellow"/>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开标时间：</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5</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8</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14</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0</w:t>
      </w:r>
      <w:r>
        <w:rPr>
          <w:rFonts w:hint="eastAsia" w:ascii="宋体" w:hAnsi="宋体" w:cs="宋体"/>
          <w:color w:val="000000" w:themeColor="text1"/>
          <w:sz w:val="24"/>
          <w:highlight w:val="none"/>
          <w:u w:val="single"/>
          <w14:textFill>
            <w14:solidFill>
              <w14:schemeClr w14:val="tx1"/>
            </w14:solidFill>
          </w14:textFill>
        </w:rPr>
        <w:t>0分00秒</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开标地点（网址）：</w:t>
      </w:r>
      <w:r>
        <w:rPr>
          <w:rFonts w:hint="eastAsia" w:ascii="宋体" w:hAnsi="宋体" w:cs="宋体"/>
          <w:color w:val="000000" w:themeColor="text1"/>
          <w:sz w:val="24"/>
          <w14:textFill>
            <w14:solidFill>
              <w14:schemeClr w14:val="tx1"/>
            </w14:solidFill>
          </w14:textFill>
        </w:rPr>
        <w:t>政采云平台（https://www.zcygov.cn/）</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五、公告期限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自本公告发布之日起5个工作日。</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六、其他补充事宜</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 </w:t>
      </w:r>
      <w:r>
        <w:rPr>
          <w:rFonts w:ascii="宋体" w:hAnsi="宋体" w:cs="宋体"/>
          <w:color w:val="000000" w:themeColor="text1"/>
          <w:sz w:val="24"/>
          <w14:textFill>
            <w14:solidFill>
              <w14:schemeClr w14:val="tx1"/>
            </w14:solidFill>
          </w14:textFill>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七、对本次采购提出询问、质疑、投诉，请按以下方式联系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1.采购人信息</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名    称：</w:t>
      </w:r>
      <w:r>
        <w:rPr>
          <w:rFonts w:hint="eastAsia" w:ascii="宋体" w:hAnsi="宋体" w:cs="宋体"/>
          <w:color w:val="000000" w:themeColor="text1"/>
          <w:sz w:val="24"/>
          <w:lang w:eastAsia="zh-CN"/>
          <w14:textFill>
            <w14:solidFill>
              <w14:schemeClr w14:val="tx1"/>
            </w14:solidFill>
          </w14:textFill>
        </w:rPr>
        <w:t>杭州市临平职业高级中学</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址：杭州市临平区南苑街道政法街139号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 /</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项目联系人（询问）： 王利江</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项目联系方式（询问）：0571-89180138</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质疑联系人：周老师</w:t>
      </w:r>
    </w:p>
    <w:p>
      <w:pPr>
        <w:spacing w:line="360" w:lineRule="auto"/>
        <w:ind w:firstLine="48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质疑联系方式： 18058149750</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采购代理机构信息            </w:t>
      </w:r>
    </w:p>
    <w:p>
      <w:pPr>
        <w:spacing w:line="360" w:lineRule="auto"/>
        <w:ind w:firstLine="424" w:firstLineChars="17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名    称：浙江中达工程造价事务所有限公司</w:t>
      </w:r>
    </w:p>
    <w:p>
      <w:pPr>
        <w:spacing w:line="360" w:lineRule="auto"/>
        <w:ind w:firstLine="424" w:firstLineChars="17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地    址：浙江省杭州市临平区星桥街道星桥北路64号1幢1102-2室 </w:t>
      </w:r>
    </w:p>
    <w:p>
      <w:pPr>
        <w:spacing w:line="360" w:lineRule="auto"/>
        <w:ind w:firstLine="424" w:firstLineChars="17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传    真：/             </w:t>
      </w:r>
    </w:p>
    <w:p>
      <w:pPr>
        <w:spacing w:line="360" w:lineRule="auto"/>
        <w:ind w:firstLine="424" w:firstLineChars="17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项目联系人（询问）： </w:t>
      </w:r>
      <w:r>
        <w:rPr>
          <w:rFonts w:hint="eastAsia" w:ascii="宋体" w:hAnsi="宋体" w:cs="宋体"/>
          <w:color w:val="000000" w:themeColor="text1"/>
          <w:sz w:val="24"/>
          <w:lang w:val="en-US" w:eastAsia="zh-CN"/>
          <w14:textFill>
            <w14:solidFill>
              <w14:schemeClr w14:val="tx1"/>
            </w14:solidFill>
          </w14:textFill>
        </w:rPr>
        <w:t>张杉珊</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24" w:firstLineChars="177"/>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项目联系方式（询问）：</w:t>
      </w:r>
      <w:r>
        <w:rPr>
          <w:rFonts w:hint="eastAsia" w:ascii="宋体" w:hAnsi="宋体" w:cs="宋体"/>
          <w:color w:val="000000" w:themeColor="text1"/>
          <w:sz w:val="24"/>
          <w:lang w:val="en-US" w:eastAsia="zh-CN"/>
          <w14:textFill>
            <w14:solidFill>
              <w14:schemeClr w14:val="tx1"/>
            </w14:solidFill>
          </w14:textFill>
        </w:rPr>
        <w:t>17706440394</w:t>
      </w:r>
    </w:p>
    <w:p>
      <w:pPr>
        <w:spacing w:line="360" w:lineRule="auto"/>
        <w:ind w:firstLine="424" w:firstLineChars="17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质疑联系人：万忠华             </w:t>
      </w:r>
    </w:p>
    <w:p>
      <w:pPr>
        <w:spacing w:line="360" w:lineRule="auto"/>
        <w:ind w:firstLine="424" w:firstLineChars="17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质疑联系方式：15967187374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hint="eastAsia"/>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同级政府采购监督管理部门            </w:t>
      </w:r>
    </w:p>
    <w:p>
      <w:pPr>
        <w:spacing w:line="360" w:lineRule="auto"/>
        <w:ind w:firstLine="424" w:firstLineChars="17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名    称：杭州市临平区财政局 </w:t>
      </w:r>
    </w:p>
    <w:p>
      <w:pPr>
        <w:spacing w:line="360" w:lineRule="auto"/>
        <w:ind w:firstLine="424" w:firstLineChars="17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地    址：杭州市临平区临平东湖中路236号 </w:t>
      </w:r>
    </w:p>
    <w:p>
      <w:pPr>
        <w:spacing w:line="360" w:lineRule="auto"/>
        <w:ind w:firstLine="424" w:firstLineChars="17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 /</w:t>
      </w:r>
    </w:p>
    <w:p>
      <w:pPr>
        <w:spacing w:line="360" w:lineRule="auto"/>
        <w:ind w:firstLine="424" w:firstLineChars="17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联系人 ：俞征    </w:t>
      </w:r>
    </w:p>
    <w:p>
      <w:pPr>
        <w:spacing w:line="360" w:lineRule="auto"/>
        <w:ind w:firstLine="424" w:firstLineChars="17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监督投诉电话：0571—89185312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CA问题联系电话（人工）：汇信CA 400-888-4636；天谷CA 400-087-8198。</w:t>
      </w:r>
    </w:p>
    <w:p>
      <w:pPr>
        <w:pStyle w:val="34"/>
        <w:spacing w:line="360" w:lineRule="auto"/>
        <w:rPr>
          <w:rFonts w:hAnsi="宋体" w:cs="宋体"/>
          <w:b/>
          <w:color w:val="000000" w:themeColor="text1"/>
          <w:sz w:val="36"/>
          <w:szCs w:val="20"/>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w:t>
      </w:r>
      <w:r>
        <w:rPr>
          <w:rFonts w:hAnsi="宋体" w:cs="宋体"/>
          <w:b/>
          <w:color w:val="000000" w:themeColor="text1"/>
          <w:sz w:val="36"/>
          <w:szCs w:val="20"/>
          <w14:textFill>
            <w14:solidFill>
              <w14:schemeClr w14:val="tx1"/>
            </w14:solidFill>
          </w14:textFill>
        </w:rPr>
        <w:t xml:space="preserve"> </w:t>
      </w:r>
    </w:p>
    <w:p>
      <w:pPr>
        <w:pStyle w:val="6"/>
        <w:rPr>
          <w:rFonts w:ascii="宋体"/>
          <w:snapToGrid w:val="0"/>
          <w:color w:val="000000" w:themeColor="text1"/>
          <w14:textFill>
            <w14:solidFill>
              <w14:schemeClr w14:val="tx1"/>
            </w14:solidFill>
          </w14:textFill>
        </w:rPr>
      </w:pPr>
      <w:r>
        <w:rPr>
          <w:color w:val="000000" w:themeColor="text1"/>
          <w14:textFill>
            <w14:solidFill>
              <w14:schemeClr w14:val="tx1"/>
            </w14:solidFill>
          </w14:textFill>
        </w:rPr>
        <w:br w:type="page"/>
      </w: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第二部分</w:t>
      </w:r>
      <w:bookmarkEnd w:id="8"/>
      <w:r>
        <w:rPr>
          <w:rFonts w:hint="eastAsia" w:ascii="宋体" w:hAnsi="宋体" w:cs="宋体"/>
          <w:b/>
          <w:color w:val="000000" w:themeColor="text1"/>
          <w:sz w:val="36"/>
          <w:szCs w:val="20"/>
          <w14:textFill>
            <w14:solidFill>
              <w14:schemeClr w14:val="tx1"/>
            </w14:solidFill>
          </w14:textFill>
        </w:rPr>
        <w:t xml:space="preserve"> 投标人须知</w:t>
      </w:r>
      <w:bookmarkEnd w:id="9"/>
    </w:p>
    <w:p>
      <w:pPr>
        <w:adjustRightInd/>
        <w:spacing w:line="360" w:lineRule="auto"/>
        <w:ind w:firstLine="3845" w:firstLineChars="1197"/>
        <w:outlineLvl w:val="0"/>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前附表</w:t>
      </w:r>
    </w:p>
    <w:tbl>
      <w:tblPr>
        <w:tblStyle w:val="64"/>
        <w:tblW w:w="0" w:type="auto"/>
        <w:tblInd w:w="-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452"/>
        <w:gridCol w:w="2163"/>
        <w:gridCol w:w="61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74" w:hRule="atLeast"/>
          <w:tblHeader/>
        </w:trPr>
        <w:tc>
          <w:tcPr>
            <w:tcW w:w="452"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216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事项</w:t>
            </w:r>
          </w:p>
        </w:tc>
        <w:tc>
          <w:tcPr>
            <w:tcW w:w="618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28" w:hRule="atLeast"/>
          <w:tblHeader/>
        </w:trPr>
        <w:tc>
          <w:tcPr>
            <w:tcW w:w="452"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216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项目属性与核心产品</w:t>
            </w:r>
          </w:p>
        </w:tc>
        <w:tc>
          <w:tcPr>
            <w:tcW w:w="61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货物类，单一产品或</w:t>
            </w:r>
            <w:r>
              <w:rPr>
                <w:rFonts w:hint="eastAsia" w:ascii="宋体" w:hAnsi="宋体" w:cs="宋体"/>
                <w:color w:val="000000" w:themeColor="text1"/>
                <w:kern w:val="0"/>
                <w:sz w:val="24"/>
                <w14:textFill>
                  <w14:solidFill>
                    <w14:schemeClr w14:val="tx1"/>
                  </w14:solidFill>
                </w14:textFill>
              </w:rPr>
              <w:t>核心产品为：</w:t>
            </w:r>
            <w:r>
              <w:rPr>
                <w:rFonts w:hint="eastAsia" w:ascii="宋体" w:hAnsi="宋体" w:cs="宋体"/>
                <w:color w:val="000000" w:themeColor="text1"/>
                <w:kern w:val="0"/>
                <w:sz w:val="24"/>
                <w:highlight w:val="none"/>
                <w14:textFill>
                  <w14:solidFill>
                    <w14:schemeClr w14:val="tx1"/>
                  </w14:solidFill>
                </w14:textFill>
              </w:rPr>
              <w:t>数控车综合加工设备</w:t>
            </w: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01" w:hRule="atLeast"/>
          <w:tblHeader/>
        </w:trPr>
        <w:tc>
          <w:tcPr>
            <w:tcW w:w="452"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14:textFill>
                  <w14:solidFill>
                    <w14:schemeClr w14:val="tx1"/>
                  </w14:solidFill>
                </w14:textFill>
              </w:rPr>
            </w:pPr>
          </w:p>
          <w:p>
            <w:pPr>
              <w:pStyle w:val="62"/>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216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采购标的及其对应的中小企业划分标准所属行业</w:t>
            </w:r>
          </w:p>
        </w:tc>
        <w:tc>
          <w:tcPr>
            <w:tcW w:w="618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（1）标的：</w:t>
            </w:r>
            <w:r>
              <w:rPr>
                <w:rFonts w:hint="eastAsia" w:ascii="宋体" w:hAnsi="宋体" w:cs="宋体"/>
                <w:color w:val="000000" w:themeColor="text1"/>
                <w:sz w:val="24"/>
                <w:u w:val="single"/>
                <w:lang w:eastAsia="zh-CN"/>
                <w14:textFill>
                  <w14:solidFill>
                    <w14:schemeClr w14:val="tx1"/>
                  </w14:solidFill>
                </w14:textFill>
              </w:rPr>
              <w:t>杭州市临平职业高级中学数控车实训设备项目</w:t>
            </w:r>
            <w:r>
              <w:rPr>
                <w:rFonts w:hint="eastAsia" w:ascii="宋体" w:hAnsi="宋体" w:cs="宋体"/>
                <w:color w:val="000000" w:themeColor="text1"/>
                <w:kern w:val="0"/>
                <w:sz w:val="24"/>
                <w14:textFill>
                  <w14:solidFill>
                    <w14:schemeClr w14:val="tx1"/>
                  </w14:solidFill>
                </w14:textFill>
              </w:rPr>
              <w:t>，属于行业：</w:t>
            </w:r>
            <w:r>
              <w:rPr>
                <w:rFonts w:hint="eastAsia" w:ascii="宋体" w:hAnsi="宋体" w:cs="宋体"/>
                <w:color w:val="000000" w:themeColor="text1"/>
                <w:kern w:val="0"/>
                <w:sz w:val="24"/>
                <w:u w:val="single"/>
                <w14:textFill>
                  <w14:solidFill>
                    <w14:schemeClr w14:val="tx1"/>
                  </w14:solidFill>
                </w14:textFill>
              </w:rPr>
              <w:t>工业</w:t>
            </w:r>
            <w:r>
              <w:rPr>
                <w:rFonts w:hint="eastAsia" w:ascii="宋体" w:hAnsi="宋体" w:cs="宋体"/>
                <w:color w:val="000000" w:themeColor="text1"/>
                <w:kern w:val="0"/>
                <w:sz w:val="24"/>
                <w14:textFill>
                  <w14:solidFill>
                    <w14:schemeClr w14:val="tx1"/>
                  </w14:solidFill>
                </w14:textFill>
              </w:rPr>
              <w:t>。</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详见《中小企业划型标准规定》附件8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68" w:hRule="atLeast"/>
          <w:tblHeader/>
        </w:trPr>
        <w:tc>
          <w:tcPr>
            <w:tcW w:w="452" w:type="dxa"/>
            <w:tcBorders>
              <w:top w:val="single" w:color="auto" w:sz="4" w:space="0"/>
              <w:left w:val="single" w:color="auto" w:sz="4" w:space="0"/>
              <w:bottom w:val="single" w:color="auto" w:sz="4" w:space="0"/>
              <w:right w:val="single" w:color="auto" w:sz="4" w:space="0"/>
            </w:tcBorders>
          </w:tcPr>
          <w:p>
            <w:pPr>
              <w:snapToGrid w:val="0"/>
              <w:spacing w:line="360" w:lineRule="auto"/>
              <w:jc w:val="both"/>
              <w:rPr>
                <w:rFonts w:ascii="宋体" w:hAnsi="宋体" w:cs="宋体"/>
                <w:color w:val="000000" w:themeColor="text1"/>
                <w:sz w:val="24"/>
                <w14:textFill>
                  <w14:solidFill>
                    <w14:schemeClr w14:val="tx1"/>
                  </w14:solidFill>
                </w14:textFill>
              </w:rPr>
            </w:pPr>
          </w:p>
          <w:p>
            <w:pPr>
              <w:pStyle w:val="62"/>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216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是否允许采购进口产品</w:t>
            </w:r>
          </w:p>
        </w:tc>
        <w:tc>
          <w:tcPr>
            <w:tcW w:w="61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kern w:val="0"/>
                <w:sz w:val="24"/>
                <w14:textFill>
                  <w14:solidFill>
                    <w14:schemeClr w14:val="tx1"/>
                  </w14:solidFill>
                </w14:textFill>
              </w:rPr>
              <w:t>本项目不允许采购进口产品。</w:t>
            </w:r>
          </w:p>
          <w:p>
            <w:pPr>
              <w:spacing w:line="360" w:lineRule="auto"/>
              <w:rPr>
                <w:rFonts w:ascii="宋体" w:hAnsi="宋体" w:cs="宋体"/>
                <w:color w:val="000000" w:themeColor="text1"/>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5285282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可以就</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56" w:hRule="atLeast"/>
          <w:tblHeader/>
        </w:trPr>
        <w:tc>
          <w:tcPr>
            <w:tcW w:w="4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216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分包</w:t>
            </w:r>
          </w:p>
        </w:tc>
        <w:tc>
          <w:tcPr>
            <w:tcW w:w="61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477286927"/>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 xml:space="preserve"> A</w:t>
            </w:r>
            <w:r>
              <w:rPr>
                <w:rFonts w:hint="eastAsia" w:ascii="宋体" w:hAnsi="宋体" w:cs="宋体"/>
                <w:color w:val="000000" w:themeColor="text1"/>
                <w:sz w:val="24"/>
                <w14:textFill>
                  <w14:solidFill>
                    <w14:schemeClr w14:val="tx1"/>
                  </w14:solidFill>
                </w14:textFill>
              </w:rPr>
              <w:t>同意将非主体、非关键性的</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工作分包。</w:t>
            </w:r>
            <w:sdt>
              <w:sdtPr>
                <w:rPr>
                  <w:rFonts w:hint="eastAsia" w:ascii="宋体" w:hAnsi="宋体" w:cs="宋体"/>
                  <w:color w:val="000000" w:themeColor="text1"/>
                  <w:kern w:val="0"/>
                  <w:sz w:val="24"/>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kern w:val="0"/>
                <w:sz w:val="24"/>
                <w14:textFill>
                  <w14:solidFill>
                    <w14:schemeClr w14:val="tx1"/>
                  </w14:solidFill>
                </w14:textFill>
              </w:rPr>
              <w:t xml:space="preserve"> B</w:t>
            </w:r>
            <w:r>
              <w:rPr>
                <w:rFonts w:hint="eastAsia" w:ascii="宋体" w:hAnsi="宋体" w:cs="宋体"/>
                <w:color w:val="000000" w:themeColor="text1"/>
                <w:sz w:val="24"/>
                <w14:textFill>
                  <w14:solidFill>
                    <w14:schemeClr w14:val="tx1"/>
                  </w14:solidFill>
                </w14:textFill>
              </w:rPr>
              <w:t>不同意分包。</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93" w:hRule="atLeast"/>
          <w:tblHeader/>
        </w:trPr>
        <w:tc>
          <w:tcPr>
            <w:tcW w:w="452" w:type="dxa"/>
            <w:tcBorders>
              <w:top w:val="single" w:color="auto" w:sz="4" w:space="0"/>
              <w:left w:val="single" w:color="auto" w:sz="4" w:space="0"/>
              <w:bottom w:val="single" w:color="auto" w:sz="4" w:space="0"/>
              <w:right w:val="single" w:color="auto" w:sz="4" w:space="0"/>
            </w:tcBorders>
          </w:tcPr>
          <w:p>
            <w:pPr>
              <w:snapToGrid w:val="0"/>
              <w:spacing w:line="360" w:lineRule="auto"/>
              <w:jc w:val="both"/>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216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开标前答疑会或现场考察</w:t>
            </w:r>
          </w:p>
        </w:tc>
        <w:tc>
          <w:tcPr>
            <w:tcW w:w="61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不组织。</w:t>
            </w:r>
          </w:p>
          <w:p>
            <w:pPr>
              <w:spacing w:line="360" w:lineRule="auto"/>
              <w:rPr>
                <w:rFonts w:ascii="宋体" w:hAnsi="宋体" w:cs="宋体"/>
                <w:color w:val="000000" w:themeColor="text1"/>
                <w:sz w:val="24"/>
                <w:szCs w:val="20"/>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B组织，</w:t>
            </w:r>
            <w:r>
              <w:rPr>
                <w:rFonts w:hint="eastAsia" w:ascii="宋体" w:hAnsi="宋体" w:cs="宋体"/>
                <w:color w:val="000000" w:themeColor="text1"/>
                <w:sz w:val="24"/>
                <w14:textFill>
                  <w14:solidFill>
                    <w14:schemeClr w14:val="tx1"/>
                  </w14:solidFill>
                </w14:textFill>
              </w:rPr>
              <w:t>时间：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,地点：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，联系方式：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26" w:hRule="atLeast"/>
          <w:tblHeader/>
        </w:trPr>
        <w:tc>
          <w:tcPr>
            <w:tcW w:w="452"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216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样品提供</w:t>
            </w:r>
          </w:p>
        </w:tc>
        <w:tc>
          <w:tcPr>
            <w:tcW w:w="61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不要求提供。</w:t>
            </w:r>
          </w:p>
          <w:p>
            <w:pPr>
              <w:spacing w:line="360" w:lineRule="auto"/>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宋体" w:cs="宋体"/>
                    <w:color w:val="000000" w:themeColor="text1"/>
                    <w:kern w:val="0"/>
                    <w:sz w:val="24"/>
                    <w:szCs w:val="24"/>
                    <w:lang w:val="en-US" w:eastAsia="zh-CN" w:bidi="ar-SA"/>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B要求提供，</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r>
              <w:rPr>
                <w:rFonts w:hint="eastAsia" w:ascii="宋体" w:hAnsi="宋体" w:cs="宋体"/>
                <w:snapToGrid w:val="0"/>
                <w:color w:val="000000" w:themeColor="text1"/>
                <w:kern w:val="28"/>
                <w:sz w:val="24"/>
                <w:highlight w:val="none"/>
                <w14:textFill>
                  <w14:solidFill>
                    <w14:schemeClr w14:val="tx1"/>
                  </w14:solidFill>
                </w14:textFill>
              </w:rPr>
              <w:t>样品：</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r>
              <w:rPr>
                <w:rFonts w:hint="eastAsia" w:ascii="宋体" w:hAnsi="宋体" w:cs="宋体"/>
                <w:snapToGrid w:val="0"/>
                <w:color w:val="000000" w:themeColor="text1"/>
                <w:kern w:val="28"/>
                <w:sz w:val="24"/>
                <w:highlight w:val="none"/>
                <w14:textFill>
                  <w14:solidFill>
                    <w14:schemeClr w14:val="tx1"/>
                  </w14:solidFill>
                </w14:textFill>
              </w:rPr>
              <w:t>样品制作的标准和要求：</w:t>
            </w:r>
            <w:r>
              <w:rPr>
                <w:rFonts w:hint="eastAsia" w:ascii="宋体" w:hAnsi="宋体" w:cs="宋体"/>
                <w:color w:val="000000" w:themeColor="text1"/>
                <w:sz w:val="24"/>
                <w:highlight w:val="none"/>
                <w:u w:val="single"/>
                <w14:textFill>
                  <w14:solidFill>
                    <w14:schemeClr w14:val="tx1"/>
                  </w14:solidFill>
                </w14:textFill>
              </w:rPr>
              <w:t>详见采购需求</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（3）样品的评审方法以及评审标准</w:t>
            </w:r>
            <w:r>
              <w:rPr>
                <w:rFonts w:hint="eastAsia" w:ascii="宋体" w:hAnsi="宋体" w:cs="宋体"/>
                <w:snapToGrid w:val="0"/>
                <w:color w:val="000000" w:themeColor="text1"/>
                <w:kern w:val="28"/>
                <w:sz w:val="24"/>
                <w:highlight w:val="none"/>
                <w14:textFill>
                  <w14:solidFill>
                    <w14:schemeClr w14:val="tx1"/>
                  </w14:solidFill>
                </w14:textFill>
              </w:rPr>
              <w:t>：详见</w:t>
            </w:r>
            <w:r>
              <w:rPr>
                <w:rFonts w:hint="eastAsia" w:ascii="宋体" w:hAnsi="宋体" w:cs="宋体"/>
                <w:color w:val="000000" w:themeColor="text1"/>
                <w:sz w:val="24"/>
                <w:highlight w:val="none"/>
                <w:u w:val="single"/>
                <w14:textFill>
                  <w14:solidFill>
                    <w14:schemeClr w14:val="tx1"/>
                  </w14:solidFill>
                </w14:textFill>
              </w:rPr>
              <w:t>评标办法</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（4）是否需要随样品提交检测报告：</w:t>
            </w:r>
            <w:sdt>
              <w:sdtPr>
                <w:rPr>
                  <w:rFonts w:hint="eastAsia" w:ascii="宋体" w:hAnsi="宋体" w:cs="宋体"/>
                  <w:color w:val="000000" w:themeColor="text1"/>
                  <w:kern w:val="0"/>
                  <w:sz w:val="24"/>
                  <w:highlight w:val="none"/>
                  <w14:textFill>
                    <w14:solidFill>
                      <w14:schemeClr w14:val="tx1"/>
                    </w14:solidFill>
                  </w14:textFill>
                </w:rPr>
                <w:id w:val="1303421454"/>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否；</w:t>
            </w:r>
            <w:sdt>
              <w:sdtPr>
                <w:rPr>
                  <w:rFonts w:hint="eastAsia" w:ascii="宋体" w:hAnsi="宋体" w:cs="宋体"/>
                  <w:color w:val="000000" w:themeColor="text1"/>
                  <w:kern w:val="0"/>
                  <w:sz w:val="24"/>
                  <w:highlight w:val="none"/>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是，检测机构的要求</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；检测内容</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（5）提供样品的时间：</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；地点：</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；联系人</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28"/>
                <w:sz w:val="24"/>
                <w:highlight w:val="none"/>
                <w14:textFill>
                  <w14:solidFill>
                    <w14:schemeClr w14:val="tx1"/>
                  </w14:solidFill>
                </w14:textFill>
              </w:rPr>
              <w:t>联系电话：</w:t>
            </w:r>
            <w:r>
              <w:rPr>
                <w:rFonts w:hint="eastAsia" w:ascii="宋体" w:hAnsi="宋体" w:cs="宋体"/>
                <w:color w:val="000000" w:themeColor="text1"/>
                <w:kern w:val="28"/>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452"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216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方案讲解演示</w:t>
            </w:r>
          </w:p>
        </w:tc>
        <w:tc>
          <w:tcPr>
            <w:tcW w:w="61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859348549"/>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宋体" w:cs="宋体"/>
                    <w:color w:val="000000" w:themeColor="text1"/>
                    <w:kern w:val="0"/>
                    <w:sz w:val="24"/>
                    <w:szCs w:val="24"/>
                    <w:lang w:val="en-US" w:eastAsia="zh-CN" w:bidi="ar-SA"/>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不组织。</w:t>
            </w:r>
          </w:p>
          <w:p>
            <w:pPr>
              <w:spacing w:line="360" w:lineRule="auto"/>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17407171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B组织。</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（1）在评标时安排每个投标人进行方案讲解演示。每个投标人时间不超过</w:t>
            </w:r>
            <w:r>
              <w:rPr>
                <w:rFonts w:hint="eastAsia" w:ascii="宋体" w:hAnsi="宋体" w:cs="宋体"/>
                <w:color w:val="000000" w:themeColor="text1"/>
                <w:kern w:val="0"/>
                <w:sz w:val="24"/>
                <w:u w:val="single"/>
                <w:lang w:val="en-US" w:eastAsia="zh-CN"/>
                <w14:textFill>
                  <w14:solidFill>
                    <w14:schemeClr w14:val="tx1"/>
                  </w14:solidFill>
                </w14:textFill>
              </w:rPr>
              <w:t>15</w:t>
            </w:r>
            <w:r>
              <w:rPr>
                <w:rFonts w:hint="eastAsia" w:ascii="宋体" w:hAnsi="宋体" w:cs="宋体"/>
                <w:color w:val="000000" w:themeColor="text1"/>
                <w:kern w:val="0"/>
                <w:sz w:val="24"/>
                <w14:textFill>
                  <w14:solidFill>
                    <w14:schemeClr w14:val="tx1"/>
                  </w14:solidFill>
                </w14:textFill>
              </w:rPr>
              <w:t>分钟，讲解次序以投标文件解密时间先后次序为准，讲解演示人员不超过</w:t>
            </w:r>
            <w:r>
              <w:rPr>
                <w:rFonts w:hint="eastAsia" w:ascii="宋体" w:hAnsi="宋体" w:cs="宋体"/>
                <w:color w:val="000000" w:themeColor="text1"/>
                <w:kern w:val="0"/>
                <w:sz w:val="24"/>
                <w:u w:val="single"/>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人（仅进行PPT等固定图片演示的不得分）。讲解演示结束后按要求解答评标委员会提问。</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（2）方案讲解演示方式：</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现场讲解演示。现场讲解地点为</w:t>
            </w:r>
            <w:r>
              <w:rPr>
                <w:rFonts w:hint="eastAsia" w:ascii="宋体" w:hAnsi="宋体" w:eastAsia="宋体" w:cs="宋体"/>
                <w:color w:val="000000" w:themeColor="text1"/>
                <w:kern w:val="0"/>
                <w:sz w:val="24"/>
                <w:u w:val="single"/>
                <w14:textFill>
                  <w14:solidFill>
                    <w14:schemeClr w14:val="tx1"/>
                  </w14:solidFill>
                </w14:textFill>
              </w:rPr>
              <w:t xml:space="preserve"> </w:t>
            </w:r>
            <w:r>
              <w:rPr>
                <w:rFonts w:hint="eastAsia" w:ascii="宋体" w:hAnsi="宋体" w:eastAsia="宋体" w:cs="宋体"/>
                <w:color w:val="000000" w:themeColor="text1"/>
                <w:kern w:val="0"/>
                <w:sz w:val="24"/>
                <w:u w:val="single"/>
                <w:lang w:val="en-GB"/>
                <w14:textFill>
                  <w14:solidFill>
                    <w14:schemeClr w14:val="tx1"/>
                  </w14:solidFill>
                </w14:textFill>
              </w:rPr>
              <w:t>杭州市临平区星桥街道星桥北路64号1-1102开标室</w:t>
            </w:r>
            <w:r>
              <w:rPr>
                <w:rFonts w:hint="eastAsia" w:ascii="宋体" w:hAnsi="宋体" w:eastAsia="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452"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216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投标人应当提供的资格、资信证明文件</w:t>
            </w:r>
          </w:p>
        </w:tc>
        <w:tc>
          <w:tcPr>
            <w:tcW w:w="618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（1）资格证明文件：见招标文件第二部分11.1。</w:t>
            </w:r>
          </w:p>
          <w:p>
            <w:pPr>
              <w:spacing w:line="360" w:lineRule="auto"/>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452"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16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p>
        </w:tc>
        <w:tc>
          <w:tcPr>
            <w:tcW w:w="618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452"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216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节能产品、环境标志产品</w:t>
            </w:r>
          </w:p>
        </w:tc>
        <w:tc>
          <w:tcPr>
            <w:tcW w:w="618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452"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216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报价要求</w:t>
            </w:r>
          </w:p>
        </w:tc>
        <w:tc>
          <w:tcPr>
            <w:tcW w:w="618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有关本项目实施所需的所有费用（含税费）均计入报价。</w:t>
            </w:r>
            <w:r>
              <w:rPr>
                <w:rFonts w:hint="eastAsia" w:ascii="宋体" w:hAnsi="宋体" w:cs="宋体"/>
                <w:b/>
                <w:bCs/>
                <w:color w:val="000000" w:themeColor="text1"/>
                <w:kern w:val="0"/>
                <w:sz w:val="24"/>
                <w:lang w:val="zh-CN"/>
                <w14:textFill>
                  <w14:solidFill>
                    <w14:schemeClr w14:val="tx1"/>
                  </w14:solidFill>
                </w14:textFill>
              </w:rPr>
              <w:t>投标文件</w:t>
            </w:r>
            <w:r>
              <w:rPr>
                <w:rFonts w:hint="eastAsia" w:ascii="宋体" w:hAnsi="宋体" w:cs="宋体"/>
                <w:b/>
                <w:bCs/>
                <w:color w:val="000000" w:themeColor="text1"/>
                <w:sz w:val="24"/>
                <w14:textFill>
                  <w14:solidFill>
                    <w14:schemeClr w14:val="tx1"/>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000000" w:themeColor="text1"/>
                <w:kern w:val="0"/>
                <w:sz w:val="24"/>
                <w:lang w:val="zh-CN"/>
                <w14:textFill>
                  <w14:solidFill>
                    <w14:schemeClr w14:val="tx1"/>
                  </w14:solidFill>
                </w14:textFill>
              </w:rPr>
              <w:t>投标文件中价格全部采用人民币报价。招标文件未列明，而投标人认为必需的费用也需列入报价。</w:t>
            </w:r>
            <w:r>
              <w:rPr>
                <w:rFonts w:hint="eastAsia" w:ascii="宋体" w:hAnsi="宋体" w:cs="宋体"/>
                <w:b/>
                <w:color w:val="000000" w:themeColor="text1"/>
                <w:kern w:val="0"/>
                <w:sz w:val="24"/>
                <w:lang w:val="zh-CN"/>
                <w14:textFill>
                  <w14:solidFill>
                    <w14:schemeClr w14:val="tx1"/>
                  </w14:solidFill>
                </w14:textFill>
              </w:rPr>
              <w:t>提醒：验收时检测费用由采购人承担，不包含在投标总价中。</w:t>
            </w:r>
          </w:p>
          <w:p>
            <w:pPr>
              <w:snapToGrid w:val="0"/>
              <w:spacing w:line="360" w:lineRule="auto"/>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投标报价出现下列情形的，投标无效：</w:t>
            </w:r>
          </w:p>
          <w:p>
            <w:pPr>
              <w:snapToGrid w:val="0"/>
              <w:spacing w:line="360" w:lineRule="auto"/>
              <w:ind w:firstLine="241" w:firstLineChars="10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投标文件出现不是唯一的、有选择性投标报价的；</w:t>
            </w:r>
          </w:p>
          <w:p>
            <w:pPr>
              <w:snapToGrid w:val="0"/>
              <w:spacing w:line="360" w:lineRule="auto"/>
              <w:ind w:firstLine="241" w:firstLineChars="1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投标报价超过招标文件中规定的预算金额或者最高限价的;</w:t>
            </w:r>
          </w:p>
          <w:p>
            <w:pPr>
              <w:spacing w:line="360" w:lineRule="auto"/>
              <w:ind w:firstLine="241" w:firstLineChars="1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000000" w:themeColor="text1"/>
                <w:sz w:val="24"/>
                <w:szCs w:val="21"/>
                <w14:textFill>
                  <w14:solidFill>
                    <w14:schemeClr w14:val="tx1"/>
                  </w14:solidFill>
                </w14:textFill>
              </w:rPr>
              <w:t>;</w:t>
            </w:r>
          </w:p>
          <w:p>
            <w:pPr>
              <w:spacing w:line="360" w:lineRule="auto"/>
              <w:ind w:firstLine="241" w:firstLineChars="1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投标人对根据修正原则修正后的报价不确认的</w:t>
            </w:r>
            <w:r>
              <w:rPr>
                <w:rFonts w:hint="eastAsia" w:ascii="宋体" w:hAnsi="宋体" w:cs="宋体"/>
                <w:b/>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452"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p>
        </w:tc>
        <w:tc>
          <w:tcPr>
            <w:tcW w:w="216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中小企业信用融资</w:t>
            </w:r>
          </w:p>
        </w:tc>
        <w:tc>
          <w:tcPr>
            <w:tcW w:w="6181"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452"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cs="宋体"/>
                <w:color w:val="000000" w:themeColor="text1"/>
                <w:sz w:val="24"/>
                <w14:textFill>
                  <w14:solidFill>
                    <w14:schemeClr w14:val="tx1"/>
                  </w14:solidFill>
                </w14:textFill>
              </w:rPr>
            </w:pPr>
          </w:p>
          <w:p>
            <w:pPr>
              <w:snapToGrid w:val="0"/>
              <w:spacing w:line="360" w:lineRule="auto"/>
              <w:ind w:firstLine="240" w:firstLineChars="100"/>
              <w:jc w:val="left"/>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12</w:t>
            </w:r>
          </w:p>
          <w:p>
            <w:pPr>
              <w:snapToGrid w:val="0"/>
              <w:spacing w:line="360" w:lineRule="auto"/>
              <w:jc w:val="both"/>
              <w:rPr>
                <w:rFonts w:ascii="宋体" w:hAnsi="宋体" w:cs="宋体"/>
                <w:color w:val="000000" w:themeColor="text1"/>
                <w:sz w:val="24"/>
                <w14:textFill>
                  <w14:solidFill>
                    <w14:schemeClr w14:val="tx1"/>
                  </w14:solidFill>
                </w14:textFill>
              </w:rPr>
            </w:pPr>
          </w:p>
        </w:tc>
        <w:tc>
          <w:tcPr>
            <w:tcW w:w="216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备份投标文件送达地点和签收人员 </w:t>
            </w:r>
          </w:p>
        </w:tc>
        <w:tc>
          <w:tcPr>
            <w:tcW w:w="6181"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color w:val="000000" w:themeColor="text1"/>
                <w:kern w:val="28"/>
                <w:sz w:val="24"/>
                <w14:textFill>
                  <w14:solidFill>
                    <w14:schemeClr w14:val="tx1"/>
                  </w14:solidFill>
                </w14:textFill>
              </w:rPr>
            </w:pPr>
            <w:r>
              <w:rPr>
                <w:rFonts w:hint="eastAsia" w:hAnsi="宋体" w:cs="宋体"/>
                <w:color w:val="000000" w:themeColor="text1"/>
                <w:kern w:val="28"/>
                <w:sz w:val="24"/>
                <w:szCs w:val="24"/>
                <w14:textFill>
                  <w14:solidFill>
                    <w14:schemeClr w14:val="tx1"/>
                  </w14:solidFill>
                </w14:textFill>
              </w:rPr>
              <w:t>备份投标文件送达地点：</w:t>
            </w:r>
            <w:r>
              <w:rPr>
                <w:rFonts w:hint="eastAsia" w:hAnsi="宋体" w:cs="宋体"/>
                <w:color w:val="000000" w:themeColor="text1"/>
                <w:sz w:val="24"/>
                <w:szCs w:val="24"/>
                <w:u w:val="single"/>
                <w14:textFill>
                  <w14:solidFill>
                    <w14:schemeClr w14:val="tx1"/>
                  </w14:solidFill>
                </w14:textFill>
              </w:rPr>
              <w:t>杭州市临平区星桥街道星桥北路6</w:t>
            </w:r>
            <w:r>
              <w:rPr>
                <w:rFonts w:hAnsi="宋体" w:cs="宋体"/>
                <w:color w:val="000000" w:themeColor="text1"/>
                <w:sz w:val="24"/>
                <w:szCs w:val="24"/>
                <w:u w:val="single"/>
                <w14:textFill>
                  <w14:solidFill>
                    <w14:schemeClr w14:val="tx1"/>
                  </w14:solidFill>
                </w14:textFill>
              </w:rPr>
              <w:t>4</w:t>
            </w:r>
            <w:r>
              <w:rPr>
                <w:rFonts w:hint="eastAsia" w:hAnsi="宋体" w:cs="宋体"/>
                <w:color w:val="000000" w:themeColor="text1"/>
                <w:sz w:val="24"/>
                <w:szCs w:val="24"/>
                <w:u w:val="single"/>
                <w14:textFill>
                  <w14:solidFill>
                    <w14:schemeClr w14:val="tx1"/>
                  </w14:solidFill>
                </w14:textFill>
              </w:rPr>
              <w:t>号</w:t>
            </w:r>
            <w:r>
              <w:rPr>
                <w:rFonts w:hAnsi="宋体" w:cs="宋体"/>
                <w:color w:val="000000" w:themeColor="text1"/>
                <w:sz w:val="24"/>
                <w:szCs w:val="24"/>
                <w:u w:val="single"/>
                <w14:textFill>
                  <w14:solidFill>
                    <w14:schemeClr w14:val="tx1"/>
                  </w14:solidFill>
                </w14:textFill>
              </w:rPr>
              <w:t>1</w:t>
            </w:r>
            <w:r>
              <w:rPr>
                <w:rFonts w:hint="eastAsia" w:hAnsi="宋体" w:cs="宋体"/>
                <w:color w:val="000000" w:themeColor="text1"/>
                <w:sz w:val="24"/>
                <w:szCs w:val="24"/>
                <w:u w:val="single"/>
                <w14:textFill>
                  <w14:solidFill>
                    <w14:schemeClr w14:val="tx1"/>
                  </w14:solidFill>
                </w14:textFill>
              </w:rPr>
              <w:t>幢1</w:t>
            </w:r>
            <w:r>
              <w:rPr>
                <w:rFonts w:hAnsi="宋体" w:cs="宋体"/>
                <w:color w:val="000000" w:themeColor="text1"/>
                <w:sz w:val="24"/>
                <w:szCs w:val="24"/>
                <w:u w:val="single"/>
                <w14:textFill>
                  <w14:solidFill>
                    <w14:schemeClr w14:val="tx1"/>
                  </w14:solidFill>
                </w14:textFill>
              </w:rPr>
              <w:t>102-2</w:t>
            </w:r>
            <w:r>
              <w:rPr>
                <w:rFonts w:hint="eastAsia" w:hAnsi="宋体" w:cs="宋体"/>
                <w:color w:val="000000" w:themeColor="text1"/>
                <w:sz w:val="24"/>
                <w:szCs w:val="24"/>
                <w:u w:val="single"/>
                <w14:textFill>
                  <w14:solidFill>
                    <w14:schemeClr w14:val="tx1"/>
                  </w14:solidFill>
                </w14:textFill>
              </w:rPr>
              <w:t>室</w:t>
            </w:r>
            <w:r>
              <w:rPr>
                <w:rFonts w:hint="eastAsia" w:hAnsi="宋体" w:cs="宋体"/>
                <w:color w:val="000000" w:themeColor="text1"/>
                <w:kern w:val="28"/>
                <w:sz w:val="24"/>
                <w:szCs w:val="24"/>
                <w14:textFill>
                  <w14:solidFill>
                    <w14:schemeClr w14:val="tx1"/>
                  </w14:solidFill>
                </w14:textFill>
              </w:rPr>
              <w:t>；备份投标文件签收人员联系电话：</w:t>
            </w:r>
            <w:r>
              <w:rPr>
                <w:rFonts w:hint="eastAsia" w:hAnsi="宋体" w:cs="宋体"/>
                <w:color w:val="000000" w:themeColor="text1"/>
                <w:sz w:val="24"/>
                <w:szCs w:val="24"/>
                <w:u w:val="single"/>
                <w:lang w:val="en-US" w:eastAsia="zh-CN"/>
                <w14:textFill>
                  <w14:solidFill>
                    <w14:schemeClr w14:val="tx1"/>
                  </w14:solidFill>
                </w14:textFill>
              </w:rPr>
              <w:t>张杉珊17706440394</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w:t>
            </w:r>
            <w:r>
              <w:rPr>
                <w:rFonts w:hint="eastAsia" w:hAnsi="宋体" w:cs="宋体"/>
                <w:b/>
                <w:color w:val="000000" w:themeColor="text1"/>
                <w:sz w:val="24"/>
                <w:szCs w:val="24"/>
                <w14:textFill>
                  <w14:solidFill>
                    <w14:schemeClr w14:val="tx1"/>
                  </w14:solidFill>
                </w14:textFill>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452"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cs="宋体"/>
                <w:color w:val="000000" w:themeColor="text1"/>
                <w:sz w:val="24"/>
                <w14:textFill>
                  <w14:solidFill>
                    <w14:schemeClr w14:val="tx1"/>
                  </w14:solidFill>
                </w14:textFill>
              </w:rPr>
            </w:pPr>
          </w:p>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216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cs="仿宋_GB2312" w:asciiTheme="minorEastAsia" w:hAnsiTheme="minorEastAsia" w:eastAsiaTheme="minorEastAsia"/>
                <w:b/>
                <w:color w:val="000000" w:themeColor="text1"/>
                <w:sz w:val="24"/>
                <w14:textFill>
                  <w14:solidFill>
                    <w14:schemeClr w14:val="tx1"/>
                  </w14:solidFill>
                </w14:textFill>
              </w:rPr>
              <w:t>特别说明</w:t>
            </w:r>
          </w:p>
        </w:tc>
        <w:tc>
          <w:tcPr>
            <w:tcW w:w="618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18" w:hRule="atLeast"/>
          <w:tblHeader/>
        </w:trPr>
        <w:tc>
          <w:tcPr>
            <w:tcW w:w="452"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16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p>
        </w:tc>
        <w:tc>
          <w:tcPr>
            <w:tcW w:w="618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color w:val="000000" w:themeColor="text1"/>
                <w:kern w:val="28"/>
                <w:sz w:val="24"/>
                <w14:textFill>
                  <w14:solidFill>
                    <w14:schemeClr w14:val="tx1"/>
                  </w14:solidFill>
                </w14:textFill>
              </w:rPr>
            </w:pPr>
            <w:sdt>
              <w:sdtPr>
                <w:rPr>
                  <w:rFonts w:hint="eastAsia" w:cs="Arial" w:asciiTheme="minorEastAsia" w:hAnsiTheme="minorEastAsia" w:eastAsiaTheme="minorEastAsia"/>
                  <w:color w:val="000000" w:themeColor="text1"/>
                  <w:kern w:val="0"/>
                  <w:sz w:val="24"/>
                  <w14:textFill>
                    <w14:solidFill>
                      <w14:schemeClr w14:val="tx1"/>
                    </w14:solidFill>
                  </w14:textFill>
                </w:rPr>
                <w:id w:val="-369766551"/>
                <w14:checkbox>
                  <w14:checked w14:val="1"/>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14:textFill>
                    <w14:solidFill>
                      <w14:schemeClr w14:val="tx1"/>
                    </w14:solidFill>
                  </w14:textFill>
                </w:rPr>
              </w:sdtEndPr>
              <w:sdtContent>
                <w:r>
                  <w:rPr>
                    <w:rFonts w:hint="eastAsia" w:cs="Arial" w:asciiTheme="minorEastAsia" w:hAnsiTheme="minorEastAsia" w:eastAsiaTheme="minorEastAsia"/>
                    <w:color w:val="000000" w:themeColor="text1"/>
                    <w:kern w:val="0"/>
                    <w:sz w:val="24"/>
                    <w14:textFill>
                      <w14:solidFill>
                        <w14:schemeClr w14:val="tx1"/>
                      </w14:solidFill>
                    </w14:textFill>
                  </w:rPr>
                  <w:sym w:font="Wingdings" w:char="F0FE"/>
                </w:r>
              </w:sdtContent>
            </w:sdt>
            <w:r>
              <w:rPr>
                <w:rFonts w:hint="eastAsia" w:ascii="宋体" w:hAnsi="宋体" w:cs="宋体"/>
                <w:snapToGrid w:val="0"/>
                <w:color w:val="000000" w:themeColor="text1"/>
                <w:kern w:val="28"/>
                <w:sz w:val="24"/>
                <w14:textFill>
                  <w14:solidFill>
                    <w14:schemeClr w14:val="tx1"/>
                  </w14:solidFill>
                </w14:textFill>
              </w:rPr>
              <w:t>联合体投标的，联合体各方均需按招标文件第四部分评标标准要求提供资信证明文件，否则视为不符合相关要求。</w:t>
            </w:r>
          </w:p>
          <w:p>
            <w:pPr>
              <w:spacing w:line="360" w:lineRule="auto"/>
              <w:rPr>
                <w:rFonts w:ascii="宋体" w:hAnsi="宋体" w:cs="宋体"/>
                <w:snapToGrid w:val="0"/>
                <w:color w:val="000000" w:themeColor="text1"/>
                <w:kern w:val="28"/>
                <w:sz w:val="24"/>
                <w14:textFill>
                  <w14:solidFill>
                    <w14:schemeClr w14:val="tx1"/>
                  </w14:solidFill>
                </w14:textFill>
              </w:rPr>
            </w:pPr>
            <w:sdt>
              <w:sdtPr>
                <w:rPr>
                  <w:rFonts w:hint="eastAsia" w:cs="Arial" w:asciiTheme="minorEastAsia" w:hAnsiTheme="minorEastAsia" w:eastAsiaTheme="minorEastAsia"/>
                  <w:color w:val="000000" w:themeColor="text1"/>
                  <w:kern w:val="0"/>
                  <w:sz w:val="24"/>
                  <w14:textFill>
                    <w14:solidFill>
                      <w14:schemeClr w14:val="tx1"/>
                    </w14:solidFill>
                  </w14:textFill>
                </w:rPr>
                <w:id w:val="1052570136"/>
                <w14:checkbox>
                  <w14:checked w14:val="0"/>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14:textFill>
                    <w14:solidFill>
                      <w14:schemeClr w14:val="tx1"/>
                    </w14:solidFill>
                  </w14:textFill>
                </w:rPr>
              </w:sdtEndPr>
              <w:sdtContent>
                <w:r>
                  <w:rPr>
                    <w:rFonts w:hint="eastAsia" w:ascii="MS Gothic" w:hAnsi="MS Gothic" w:eastAsia="MS Gothic" w:cs="Arial"/>
                    <w:color w:val="000000" w:themeColor="text1"/>
                    <w:kern w:val="0"/>
                    <w:sz w:val="24"/>
                    <w14:textFill>
                      <w14:solidFill>
                        <w14:schemeClr w14:val="tx1"/>
                      </w14:solidFill>
                    </w14:textFill>
                  </w:rPr>
                  <w:t>☐</w:t>
                </w:r>
              </w:sdtContent>
            </w:sdt>
            <w:r>
              <w:rPr>
                <w:rFonts w:hint="eastAsia" w:ascii="宋体" w:hAnsi="宋体" w:cs="宋体"/>
                <w:snapToGrid w:val="0"/>
                <w:color w:val="000000" w:themeColor="text1"/>
                <w:kern w:val="28"/>
                <w:sz w:val="24"/>
                <w14:textFill>
                  <w14:solidFill>
                    <w14:schemeClr w14:val="tx1"/>
                  </w14:solidFill>
                </w14:textFill>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452" w:type="dxa"/>
            <w:tcBorders>
              <w:top w:val="single" w:color="auto" w:sz="4" w:space="0"/>
              <w:left w:val="single" w:color="auto" w:sz="4" w:space="0"/>
              <w:bottom w:val="single" w:color="auto" w:sz="4" w:space="0"/>
              <w:right w:val="single" w:color="000000" w:sz="2" w:space="0"/>
            </w:tcBorders>
          </w:tcPr>
          <w:p>
            <w:pPr>
              <w:snapToGrid w:val="0"/>
              <w:spacing w:line="360" w:lineRule="auto"/>
              <w:jc w:val="center"/>
              <w:rPr>
                <w:rFonts w:hint="eastAsia" w:ascii="宋体" w:hAnsi="宋体" w:cs="宋体"/>
                <w:color w:val="000000" w:themeColor="text1"/>
                <w:sz w:val="24"/>
                <w:lang w:val="en-US"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lang w:val="en-US"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lang w:val="en-US"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lang w:val="en-US"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lang w:val="en-US"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lang w:val="en-US"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lang w:val="en-US"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lang w:val="en-US"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lang w:val="en-US" w:eastAsia="zh-CN"/>
                <w14:textFill>
                  <w14:solidFill>
                    <w14:schemeClr w14:val="tx1"/>
                  </w14:solidFill>
                </w14:textFill>
              </w:rPr>
            </w:pPr>
          </w:p>
          <w:p>
            <w:pPr>
              <w:snapToGrid w:val="0"/>
              <w:spacing w:line="360" w:lineRule="auto"/>
              <w:jc w:val="center"/>
              <w:rPr>
                <w:rFonts w:hint="eastAsia" w:ascii="宋体" w:hAnsi="宋体" w:cs="宋体"/>
                <w:color w:val="000000" w:themeColor="text1"/>
                <w:sz w:val="24"/>
                <w:lang w:val="en-US" w:eastAsia="zh-CN"/>
                <w14:textFill>
                  <w14:solidFill>
                    <w14:schemeClr w14:val="tx1"/>
                  </w14:solidFill>
                </w14:textFill>
              </w:rPr>
            </w:pPr>
          </w:p>
          <w:p>
            <w:pPr>
              <w:snapToGrid w:val="0"/>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14</w:t>
            </w:r>
          </w:p>
        </w:tc>
        <w:tc>
          <w:tcPr>
            <w:tcW w:w="216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sz w:val="24"/>
              </w:rPr>
              <w:t>中标服务费</w:t>
            </w:r>
          </w:p>
        </w:tc>
        <w:tc>
          <w:tcPr>
            <w:tcW w:w="6181" w:type="dxa"/>
            <w:tcBorders>
              <w:top w:val="single" w:color="auto" w:sz="4" w:space="0"/>
              <w:left w:val="single" w:color="000000" w:sz="2" w:space="0"/>
              <w:bottom w:val="single" w:color="auto" w:sz="4" w:space="0"/>
              <w:right w:val="single" w:color="auto" w:sz="4" w:space="0"/>
            </w:tcBorders>
            <w:vAlign w:val="center"/>
          </w:tcPr>
          <w:p>
            <w:pPr>
              <w:spacing w:line="360" w:lineRule="auto"/>
              <w:ind w:firstLine="480" w:firstLineChars="2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本次招标代理服务费由中标人支付，招标代理服务费按照国家计委印发的《招标代理服务收费管理暂行办法》计价格[2002]1980号文件，以中标金额为收费基数进行计取。</w:t>
            </w:r>
          </w:p>
          <w:p>
            <w:pPr>
              <w:spacing w:line="360" w:lineRule="auto"/>
              <w:ind w:firstLine="480" w:firstLineChars="2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由中标人在领取中标通知书前支付给招标代理机构，各投标人应在投标报价中予以考虑，不单独列项报价。</w:t>
            </w:r>
          </w:p>
          <w:p>
            <w:pPr>
              <w:pStyle w:val="6"/>
              <w:ind w:left="433" w:leftChars="202" w:hanging="9" w:hangingChars="4"/>
              <w:jc w:val="both"/>
              <w:rPr>
                <w:rFonts w:cs="Arial" w:asciiTheme="minorEastAsia" w:hAnsiTheme="minorEastAsia" w:eastAsiaTheme="minorEastAsia"/>
                <w:b w:val="0"/>
                <w:bCs w:val="0"/>
                <w:kern w:val="0"/>
                <w:sz w:val="24"/>
                <w:szCs w:val="24"/>
                <w:lang w:val="en-US"/>
              </w:rPr>
            </w:pPr>
            <w:r>
              <w:rPr>
                <w:rFonts w:hint="eastAsia" w:cs="Arial" w:asciiTheme="minorEastAsia" w:hAnsiTheme="minorEastAsia" w:eastAsiaTheme="minorEastAsia"/>
                <w:b w:val="0"/>
                <w:bCs w:val="0"/>
                <w:kern w:val="0"/>
                <w:sz w:val="24"/>
                <w:szCs w:val="24"/>
                <w:lang w:val="en-US"/>
              </w:rPr>
              <w:t>中标服务费的交纳方式：以转帐的形式支付；</w:t>
            </w:r>
          </w:p>
          <w:p>
            <w:pPr>
              <w:pStyle w:val="6"/>
              <w:ind w:left="433" w:leftChars="202" w:hanging="9" w:hangingChars="4"/>
              <w:jc w:val="both"/>
              <w:rPr>
                <w:rFonts w:cs="Arial" w:asciiTheme="minorEastAsia" w:hAnsiTheme="minorEastAsia" w:eastAsiaTheme="minorEastAsia"/>
                <w:b w:val="0"/>
                <w:bCs w:val="0"/>
                <w:kern w:val="0"/>
                <w:sz w:val="24"/>
                <w:szCs w:val="24"/>
                <w:lang w:val="en-US"/>
              </w:rPr>
            </w:pPr>
            <w:r>
              <w:rPr>
                <w:rFonts w:hint="eastAsia" w:cs="Arial" w:asciiTheme="minorEastAsia" w:hAnsiTheme="minorEastAsia" w:eastAsiaTheme="minorEastAsia"/>
                <w:b w:val="0"/>
                <w:bCs w:val="0"/>
                <w:kern w:val="0"/>
                <w:sz w:val="24"/>
                <w:szCs w:val="24"/>
                <w:lang w:val="en-US"/>
              </w:rPr>
              <w:t>开户行名称：余杭农商行星桥支行；</w:t>
            </w:r>
          </w:p>
          <w:p>
            <w:pPr>
              <w:pStyle w:val="6"/>
              <w:ind w:left="433" w:leftChars="202" w:hanging="9" w:hangingChars="4"/>
              <w:jc w:val="both"/>
              <w:rPr>
                <w:rFonts w:cs="Arial" w:asciiTheme="minorEastAsia" w:hAnsiTheme="minorEastAsia" w:eastAsiaTheme="minorEastAsia"/>
                <w:b w:val="0"/>
                <w:bCs w:val="0"/>
                <w:kern w:val="0"/>
                <w:sz w:val="24"/>
                <w:szCs w:val="24"/>
                <w:lang w:val="en-US"/>
              </w:rPr>
            </w:pPr>
            <w:r>
              <w:rPr>
                <w:rFonts w:hint="eastAsia" w:cs="Arial" w:asciiTheme="minorEastAsia" w:hAnsiTheme="minorEastAsia" w:eastAsiaTheme="minorEastAsia"/>
                <w:b w:val="0"/>
                <w:bCs w:val="0"/>
                <w:kern w:val="0"/>
                <w:sz w:val="24"/>
                <w:szCs w:val="24"/>
                <w:lang w:val="en-US"/>
              </w:rPr>
              <w:t>帐号：201000303307113；</w:t>
            </w:r>
          </w:p>
          <w:p>
            <w:pPr>
              <w:pStyle w:val="6"/>
              <w:ind w:left="433" w:leftChars="202" w:hanging="9" w:hangingChars="4"/>
              <w:jc w:val="both"/>
              <w:rPr>
                <w:rFonts w:cs="Arial" w:asciiTheme="minorEastAsia" w:hAnsiTheme="minorEastAsia" w:eastAsiaTheme="minorEastAsia"/>
                <w:b w:val="0"/>
                <w:bCs w:val="0"/>
                <w:kern w:val="0"/>
                <w:sz w:val="24"/>
                <w:szCs w:val="24"/>
                <w:lang w:val="en-US"/>
              </w:rPr>
            </w:pPr>
            <w:r>
              <w:rPr>
                <w:rFonts w:hint="eastAsia" w:cs="Arial" w:asciiTheme="minorEastAsia" w:hAnsiTheme="minorEastAsia" w:eastAsiaTheme="minorEastAsia"/>
                <w:b w:val="0"/>
                <w:bCs w:val="0"/>
                <w:kern w:val="0"/>
                <w:sz w:val="24"/>
                <w:szCs w:val="24"/>
                <w:lang w:val="en-US"/>
              </w:rPr>
              <w:t>收款单位（账户名称）：浙江中达工程造价事务所有限公司临平分公司；</w:t>
            </w:r>
          </w:p>
          <w:p>
            <w:pPr>
              <w:pStyle w:val="6"/>
              <w:ind w:left="433" w:leftChars="202" w:hanging="9" w:hangingChars="4"/>
              <w:jc w:val="both"/>
              <w:rPr>
                <w:rFonts w:cs="Arial" w:asciiTheme="minorEastAsia" w:hAnsiTheme="minorEastAsia" w:eastAsiaTheme="minorEastAsia"/>
                <w:b w:val="0"/>
                <w:bCs w:val="0"/>
                <w:kern w:val="0"/>
                <w:sz w:val="24"/>
                <w:szCs w:val="24"/>
                <w:lang w:val="en-US"/>
              </w:rPr>
            </w:pPr>
            <w:r>
              <w:rPr>
                <w:rFonts w:hint="eastAsia" w:cs="Arial" w:asciiTheme="minorEastAsia" w:hAnsiTheme="minorEastAsia" w:eastAsiaTheme="minorEastAsia"/>
                <w:b w:val="0"/>
                <w:bCs w:val="0"/>
                <w:kern w:val="0"/>
                <w:sz w:val="24"/>
                <w:szCs w:val="24"/>
                <w:lang w:val="en-US"/>
              </w:rPr>
              <w:t>中标单位需在领取中标通知书时缴纳中标服务费，缴</w:t>
            </w:r>
          </w:p>
          <w:p>
            <w:pPr>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纳时注明招标编号。</w:t>
            </w:r>
          </w:p>
          <w:p>
            <w:pPr>
              <w:spacing w:line="360" w:lineRule="auto"/>
              <w:rPr>
                <w:rFonts w:hint="eastAsia" w:cs="Arial" w:asciiTheme="minorEastAsia" w:hAnsiTheme="minorEastAsia" w:eastAsiaTheme="minorEastAsia"/>
                <w:color w:val="000000" w:themeColor="text1"/>
                <w:kern w:val="0"/>
                <w:sz w:val="24"/>
                <w14:textFill>
                  <w14:solidFill>
                    <w14:schemeClr w14:val="tx1"/>
                  </w14:solidFill>
                </w14:textFill>
              </w:rPr>
            </w:pPr>
            <w:r>
              <w:rPr>
                <w:rFonts w:hint="eastAsia" w:cs="Arial" w:asciiTheme="minorEastAsia" w:hAnsiTheme="minorEastAsia" w:eastAsiaTheme="minorEastAsia"/>
                <w:b/>
                <w:bCs/>
                <w:kern w:val="0"/>
                <w:sz w:val="24"/>
              </w:rPr>
              <w:drawing>
                <wp:inline distT="0" distB="0" distL="0" distR="0">
                  <wp:extent cx="3594100" cy="2189480"/>
                  <wp:effectExtent l="0" t="0" r="6350" b="1270"/>
                  <wp:docPr id="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6"/>
                          <pic:cNvPicPr>
                            <a:picLocks noChangeAspect="1"/>
                          </pic:cNvPicPr>
                        </pic:nvPicPr>
                        <pic:blipFill>
                          <a:blip r:embed="rId26">
                            <a:lum/>
                            <a:extLst>
                              <a:ext uri="{28A0092B-C50C-407E-A947-70E740481C1C}">
                                <a14:useLocalDpi xmlns:a14="http://schemas.microsoft.com/office/drawing/2010/main" val="0"/>
                              </a:ext>
                            </a:extLst>
                          </a:blip>
                          <a:stretch>
                            <a:fillRect/>
                          </a:stretch>
                        </pic:blipFill>
                        <pic:spPr>
                          <a:xfrm>
                            <a:off x="0" y="0"/>
                            <a:ext cx="3594100" cy="218948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82" w:hRule="atLeast"/>
          <w:tblHeader/>
        </w:trPr>
        <w:tc>
          <w:tcPr>
            <w:tcW w:w="452"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cs="宋体"/>
                <w:color w:val="000000" w:themeColor="text1"/>
                <w:sz w:val="24"/>
                <w:lang w:val="en-US" w:eastAsia="zh-CN"/>
                <w14:textFill>
                  <w14:solidFill>
                    <w14:schemeClr w14:val="tx1"/>
                  </w14:solidFill>
                </w14:textFill>
              </w:rPr>
            </w:pPr>
          </w:p>
          <w:p>
            <w:pPr>
              <w:snapToGrid w:val="0"/>
              <w:spacing w:line="360" w:lineRule="auto"/>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15</w:t>
            </w:r>
          </w:p>
        </w:tc>
        <w:tc>
          <w:tcPr>
            <w:tcW w:w="216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sz w:val="24"/>
              </w:rPr>
              <w:t>纸质投标文件</w:t>
            </w:r>
          </w:p>
        </w:tc>
        <w:tc>
          <w:tcPr>
            <w:tcW w:w="6181" w:type="dxa"/>
            <w:tcBorders>
              <w:top w:val="single" w:color="auto" w:sz="4" w:space="0"/>
              <w:left w:val="single" w:color="000000" w:sz="2" w:space="0"/>
              <w:bottom w:val="single" w:color="auto" w:sz="4" w:space="0"/>
              <w:right w:val="single" w:color="000000" w:sz="8" w:space="0"/>
            </w:tcBorders>
            <w:vAlign w:val="center"/>
          </w:tcPr>
          <w:p>
            <w:pPr>
              <w:spacing w:line="360" w:lineRule="auto"/>
              <w:ind w:firstLine="480" w:firstLineChars="200"/>
              <w:rPr>
                <w:rFonts w:hint="eastAsia" w:cs="Arial" w:asciiTheme="minorEastAsia" w:hAnsiTheme="minorEastAsia" w:eastAsiaTheme="minorEastAsia"/>
                <w:color w:val="000000" w:themeColor="text1"/>
                <w:kern w:val="0"/>
                <w:sz w:val="24"/>
                <w14:textFill>
                  <w14:solidFill>
                    <w14:schemeClr w14:val="tx1"/>
                  </w14:solidFill>
                </w14:textFill>
              </w:rPr>
            </w:pPr>
            <w:r>
              <w:rPr>
                <w:rFonts w:hint="eastAsia" w:cs="Arial" w:asciiTheme="minorEastAsia" w:hAnsiTheme="minorEastAsia" w:eastAsiaTheme="minorEastAsia"/>
                <w:b w:val="0"/>
                <w:bCs w:val="0"/>
                <w:kern w:val="0"/>
                <w:sz w:val="24"/>
                <w:szCs w:val="24"/>
                <w:lang w:val="en-US" w:eastAsia="zh-CN" w:bidi="ar-SA"/>
              </w:rPr>
              <w:t>中标单位需在领取中标通知书时，提供本项目纸质投标文件（“资格文件”、“报价文件”和“商务技术文件”）三份（正本一份，副本二份）并提供电子投标文件与纸质投标文件内容一致承诺书（附件9）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2" w:hRule="atLeast"/>
          <w:tblHeader/>
        </w:trPr>
        <w:tc>
          <w:tcPr>
            <w:tcW w:w="452"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16</w:t>
            </w:r>
          </w:p>
        </w:tc>
        <w:tc>
          <w:tcPr>
            <w:tcW w:w="216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b/>
                <w:snapToGrid w:val="0"/>
                <w:kern w:val="28"/>
                <w:sz w:val="24"/>
              </w:rPr>
            </w:pPr>
            <w:r>
              <w:rPr>
                <w:rFonts w:hint="eastAsia" w:ascii="宋体" w:hAnsi="宋体" w:cs="宋体"/>
                <w:b/>
                <w:sz w:val="24"/>
              </w:rPr>
              <w:t>评标委员会推荐中标候选人的个数</w:t>
            </w:r>
          </w:p>
        </w:tc>
        <w:tc>
          <w:tcPr>
            <w:tcW w:w="6181" w:type="dxa"/>
            <w:tcBorders>
              <w:top w:val="single" w:color="auto" w:sz="4"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_GB2312" w:hAnsi="仿宋" w:eastAsia="仿宋_GB2312"/>
                <w:snapToGrid w:val="0"/>
                <w:kern w:val="28"/>
                <w:sz w:val="24"/>
              </w:rPr>
            </w:pPr>
            <w:r>
              <w:rPr>
                <w:rFonts w:hint="eastAsia" w:cs="Arial" w:asciiTheme="minorEastAsia" w:hAnsiTheme="minorEastAsia" w:eastAsiaTheme="minorEastAsia"/>
                <w:b w:val="0"/>
                <w:bCs w:val="0"/>
                <w:kern w:val="0"/>
                <w:sz w:val="24"/>
                <w:szCs w:val="24"/>
                <w:lang w:val="en-US" w:eastAsia="zh-CN" w:bidi="ar-SA"/>
              </w:rPr>
              <w:t>1个。</w:t>
            </w:r>
          </w:p>
        </w:tc>
      </w:tr>
    </w:tbl>
    <w:p>
      <w:pPr>
        <w:snapToGrid w:val="0"/>
        <w:spacing w:line="360" w:lineRule="auto"/>
        <w:jc w:val="center"/>
        <w:rPr>
          <w:rFonts w:ascii="宋体" w:hAnsi="宋体" w:cs="宋体"/>
          <w:b/>
          <w:color w:val="000000" w:themeColor="text1"/>
          <w:sz w:val="32"/>
          <w:szCs w:val="20"/>
          <w14:textFill>
            <w14:solidFill>
              <w14:schemeClr w14:val="tx1"/>
            </w14:solidFill>
          </w14:textFill>
        </w:rPr>
      </w:pPr>
    </w:p>
    <w:p>
      <w:pPr>
        <w:pStyle w:val="62"/>
        <w:rPr>
          <w:rFonts w:ascii="宋体" w:hAnsi="宋体" w:cs="宋体"/>
          <w:b/>
          <w:color w:val="000000" w:themeColor="text1"/>
          <w:sz w:val="32"/>
          <w:szCs w:val="20"/>
          <w14:textFill>
            <w14:solidFill>
              <w14:schemeClr w14:val="tx1"/>
            </w14:solidFill>
          </w14:textFill>
        </w:rPr>
      </w:pPr>
    </w:p>
    <w:p/>
    <w:bookmarkEnd w:id="10"/>
    <w:p>
      <w:pPr>
        <w:adjustRightInd/>
        <w:spacing w:line="360" w:lineRule="auto"/>
        <w:ind w:firstLine="3845" w:firstLineChars="1197"/>
        <w:outlineLvl w:val="0"/>
        <w:rPr>
          <w:rFonts w:ascii="宋体" w:hAnsi="宋体" w:cs="宋体"/>
          <w:b/>
          <w:color w:val="000000" w:themeColor="text1"/>
          <w:sz w:val="32"/>
          <w:szCs w:val="20"/>
          <w14:textFill>
            <w14:solidFill>
              <w14:schemeClr w14:val="tx1"/>
            </w14:solidFill>
          </w14:textFill>
        </w:rPr>
      </w:pPr>
      <w:bookmarkStart w:id="13" w:name="_Toc164416483"/>
      <w:bookmarkStart w:id="14" w:name="第三部分"/>
      <w:r>
        <w:rPr>
          <w:rFonts w:hint="eastAsia" w:ascii="宋体" w:hAnsi="宋体" w:cs="宋体"/>
          <w:b/>
          <w:color w:val="000000" w:themeColor="text1"/>
          <w:sz w:val="32"/>
          <w:szCs w:val="20"/>
          <w14:textFill>
            <w14:solidFill>
              <w14:schemeClr w14:val="tx1"/>
            </w14:solidFill>
          </w14:textFill>
        </w:rPr>
        <w:t>一、总则</w:t>
      </w:r>
    </w:p>
    <w:p>
      <w:pPr>
        <w:snapToGrid w:val="0"/>
        <w:spacing w:line="360" w:lineRule="auto"/>
        <w:ind w:firstLine="361" w:firstLineChars="150"/>
        <w:jc w:val="left"/>
        <w:outlineLvl w:val="1"/>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 适用范围</w:t>
      </w:r>
    </w:p>
    <w:p>
      <w:pPr>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2.定义</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“采购人”系指招标公告中载明的本项目的采购人。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“采购代理机构”系指招标公告中载明的本项目的采购代理机构。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“投标人”系指是指响应招标、参加投标竞争的法人、其他组织或者自然人。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2.6“电子交易平台”系指本项目政府采购活动所依托的政府采购云平台（https://www.zcygov.cn/）。</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 “▲” 系指实质性要求条款，“</w:t>
      </w:r>
      <w:sdt>
        <w:sdtPr>
          <w:rPr>
            <w:rFonts w:hint="eastAsia" w:ascii="宋体" w:hAnsi="宋体" w:cs="宋体"/>
            <w:color w:val="000000" w:themeColor="text1"/>
            <w:kern w:val="0"/>
            <w:sz w:val="24"/>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系指适用本项目的要求，“</w:t>
      </w:r>
      <w:sdt>
        <w:sdtPr>
          <w:rPr>
            <w:rFonts w:hint="eastAsia" w:ascii="宋体" w:hAnsi="宋体" w:cs="宋体"/>
            <w:color w:val="000000" w:themeColor="text1"/>
            <w:kern w:val="0"/>
            <w:sz w:val="24"/>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系指不适用本项目的要求。</w:t>
      </w:r>
    </w:p>
    <w:p>
      <w:pPr>
        <w:spacing w:line="360" w:lineRule="auto"/>
        <w:ind w:firstLine="241" w:firstLineChars="1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w:t>
      </w:r>
      <w:r>
        <w:rPr>
          <w:rFonts w:hint="eastAsia" w:ascii="宋体" w:hAnsi="宋体" w:cs="宋体"/>
          <w:color w:val="000000" w:themeColor="text1"/>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采购项目需要落实的政府采购政策</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000000" w:themeColor="text1"/>
          <w:kern w:val="0"/>
          <w:sz w:val="24"/>
          <w14:textFill>
            <w14:solidFill>
              <w14:schemeClr w14:val="tx1"/>
            </w14:solidFill>
          </w14:textFill>
        </w:rPr>
        <w:t>优先采购向我国企业转让技术、与我国企业签订消化吸收再创新方案的供应商的进口产品</w:t>
      </w:r>
      <w:r>
        <w:rPr>
          <w:rFonts w:hint="eastAsia" w:ascii="宋体" w:hAnsi="宋体" w:cs="宋体"/>
          <w:color w:val="000000" w:themeColor="text1"/>
          <w:sz w:val="24"/>
          <w14:textFill>
            <w14:solidFill>
              <w14:schemeClr w14:val="tx1"/>
            </w14:solidFill>
          </w14:textFill>
        </w:rPr>
        <w:t>。</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000000" w:themeColor="text1"/>
          <w:sz w:val="24"/>
          <w14:textFill>
            <w14:solidFill>
              <w14:schemeClr w14:val="tx1"/>
            </w14:solidFill>
          </w14:textFill>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3.3支持中小企业发展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bCs/>
          <w:color w:val="000000" w:themeColor="text1"/>
          <w:sz w:val="24"/>
          <w14:textFill>
            <w14:solidFill>
              <w14:schemeClr w14:val="tx1"/>
            </w14:solidFill>
          </w14:textFill>
        </w:rPr>
        <w:t>3.3.2</w:t>
      </w:r>
      <w:r>
        <w:rPr>
          <w:rFonts w:hint="eastAsia" w:ascii="宋体" w:hAnsi="宋体" w:cs="宋体"/>
          <w:color w:val="000000" w:themeColor="text1"/>
          <w:kern w:val="0"/>
          <w:sz w:val="24"/>
          <w14:textFill>
            <w14:solidFill>
              <w14:schemeClr w14:val="tx1"/>
            </w14:solidFill>
          </w14:textFill>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3.3.3对于未预留份额专门面向中小企业的政府采购货物项目，以及预留份额政府采购货物项目中的非预留部分标项，对小型和微型企业的投标报价给予</w:t>
      </w:r>
      <w:r>
        <w:rPr>
          <w:rFonts w:ascii="宋体" w:hAnsi="宋体" w:cs="宋体"/>
          <w:color w:val="000000" w:themeColor="text1"/>
          <w:sz w:val="24"/>
          <w14:textFill>
            <w14:solidFill>
              <w14:schemeClr w14:val="tx1"/>
            </w14:solidFill>
          </w14:textFill>
        </w:rPr>
        <w:t>10-20</w:t>
      </w:r>
      <w:r>
        <w:rPr>
          <w:rFonts w:hint="eastAsia" w:ascii="宋体" w:hAnsi="宋体" w:cs="宋体"/>
          <w:color w:val="000000" w:themeColor="text1"/>
          <w:sz w:val="24"/>
          <w14:textFill>
            <w14:solidFill>
              <w14:schemeClr w14:val="tx1"/>
            </w14:solidFill>
          </w14:textFill>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color w:val="000000" w:themeColor="text1"/>
          <w:sz w:val="24"/>
          <w14:textFill>
            <w14:solidFill>
              <w14:schemeClr w14:val="tx1"/>
            </w14:solidFill>
          </w14:textFill>
        </w:rPr>
        <w:t>联合协议或者分包意向协议约定小微企业的合同份额占到合同总金额30%以上的</w:t>
      </w:r>
      <w:bookmarkEnd w:id="16"/>
      <w:r>
        <w:rPr>
          <w:rFonts w:hint="eastAsia" w:ascii="宋体" w:hAnsi="宋体" w:cs="宋体"/>
          <w:color w:val="000000" w:themeColor="text1"/>
          <w:sz w:val="24"/>
          <w14:textFill>
            <w14:solidFill>
              <w14:schemeClr w14:val="tx1"/>
            </w14:solidFill>
          </w14:textFill>
        </w:rPr>
        <w:t>，对联合体或者大中型企业的报价给予</w:t>
      </w:r>
      <w:r>
        <w:rPr>
          <w:rFonts w:ascii="宋体" w:hAnsi="宋体" w:cs="宋体"/>
          <w:color w:val="000000" w:themeColor="text1"/>
          <w:sz w:val="24"/>
          <w14:textFill>
            <w14:solidFill>
              <w14:schemeClr w14:val="tx1"/>
            </w14:solidFill>
          </w14:textFill>
        </w:rPr>
        <w:t>4-6</w:t>
      </w:r>
      <w:r>
        <w:rPr>
          <w:rFonts w:hint="eastAsia" w:ascii="宋体" w:hAnsi="宋体" w:cs="宋体"/>
          <w:color w:val="000000" w:themeColor="text1"/>
          <w:sz w:val="24"/>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w:t>
      </w:r>
      <w:r>
        <w:rPr>
          <w:rFonts w:hint="eastAsia" w:ascii="宋体" w:hAnsi="宋体" w:cs="宋体"/>
          <w:bCs/>
          <w:color w:val="000000" w:themeColor="text1"/>
          <w:sz w:val="24"/>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3.4.2首台套产品被纳入《首台套产品推广应用指导目录》之日起</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3.5平等对待内外资企业和符合条件的破产重整企业</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14:textFill>
            <w14:solidFill>
              <w14:schemeClr w14:val="tx1"/>
            </w14:solidFill>
          </w14:textFill>
        </w:rPr>
        <w:cr/>
      </w:r>
      <w:r>
        <w:rPr>
          <w:rFonts w:hint="eastAsia"/>
          <w:b/>
          <w:color w:val="000000" w:themeColor="text1"/>
          <w14:textFill>
            <w14:solidFill>
              <w14:schemeClr w14:val="tx1"/>
            </w14:solidFill>
          </w14:textFill>
        </w:rPr>
        <w:t>4. 询问、质疑、投诉</w:t>
      </w:r>
    </w:p>
    <w:p>
      <w:pPr>
        <w:spacing w:line="360" w:lineRule="auto"/>
        <w:ind w:firstLine="480" w:firstLineChars="200"/>
        <w:rPr>
          <w:rFonts w:hint="eastAsia"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4.1在线询问、质疑、投诉</w:t>
      </w:r>
    </w:p>
    <w:p>
      <w:pPr>
        <w:spacing w:line="360" w:lineRule="auto"/>
        <w:ind w:firstLine="480" w:firstLineChars="200"/>
        <w:rPr>
          <w:rFonts w:hint="eastAsia"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4.2</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供应商询问</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4.3</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供应商质疑</w:t>
      </w:r>
    </w:p>
    <w:p>
      <w:pPr>
        <w:pStyle w:val="34"/>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8"/>
        <w:spacing w:line="360" w:lineRule="auto"/>
        <w:ind w:firstLine="480" w:firstLineChars="200"/>
        <w:rPr>
          <w:rFonts w:hAnsi="宋体" w:cs="宋体"/>
          <w:snapToGrid/>
          <w:color w:val="000000" w:themeColor="text1"/>
          <w:kern w:val="2"/>
          <w:sz w:val="24"/>
          <w14:textFill>
            <w14:solidFill>
              <w14:schemeClr w14:val="tx1"/>
            </w14:solidFill>
          </w14:textFill>
        </w:rPr>
      </w:pPr>
      <w:r>
        <w:rPr>
          <w:rFonts w:hint="eastAsia" w:hAnsi="宋体" w:cs="宋体"/>
          <w:snapToGrid/>
          <w:color w:val="000000" w:themeColor="text1"/>
          <w:kern w:val="2"/>
          <w:sz w:val="24"/>
          <w14:textFill>
            <w14:solidFill>
              <w14:schemeClr w14:val="tx1"/>
            </w14:solidFill>
          </w14:textFill>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w:t>
      </w:r>
      <w:r>
        <w:rPr>
          <w:rFonts w:hint="eastAsia" w:hAnsi="宋体" w:cs="宋体"/>
          <w:color w:val="000000" w:themeColor="text1"/>
          <w:sz w:val="24"/>
          <w14:textFill>
            <w14:solidFill>
              <w14:schemeClr w14:val="tx1"/>
            </w14:solidFill>
          </w14:textFill>
        </w:rPr>
        <w:t>供应商提出质疑应当提交质疑函和必要的证明材料。质疑函应当包括下列内容：</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4.3.3.1供应商的姓名或者名称、地址、邮编、联系人及联系电话；</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4.3.3.2质疑项目的名称、编号；</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4.3.3.3具体、明确的质疑事项和与质疑事项相关的请求；</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4.3.3.4事实依据；</w:t>
      </w:r>
    </w:p>
    <w:p>
      <w:pPr>
        <w:pStyle w:val="34"/>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4.3.3.5必要的法律依据；</w:t>
      </w:r>
    </w:p>
    <w:p>
      <w:pPr>
        <w:pStyle w:val="34"/>
        <w:spacing w:line="360" w:lineRule="auto"/>
        <w:ind w:firstLine="960" w:firstLineChars="4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4.3.3.6提出质疑的日期。</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质疑函范本及制作说明详见附件2。</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4.3</w:t>
      </w:r>
      <w:r>
        <w:rPr>
          <w:rFonts w:hint="eastAsia"/>
          <w:color w:val="000000" w:themeColor="text1"/>
          <w14:textFill>
            <w14:solidFill>
              <w14:schemeClr w14:val="tx1"/>
            </w14:solidFill>
          </w14:textFill>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4.3</w:t>
      </w:r>
      <w:r>
        <w:rPr>
          <w:rFonts w:hint="eastAsia"/>
          <w:color w:val="000000" w:themeColor="text1"/>
          <w14:textFill>
            <w14:solidFill>
              <w14:schemeClr w14:val="tx1"/>
            </w14:solidFill>
          </w14:textFill>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4.4供应商投诉</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4.4.1质疑供应商对采购人、采购代理机构的答复不满意或者采购人、采购代理机构未在规定的时间内作出答复的，可以在答复期满后十五个工作日内向同级政府采购监督管理部门提出投诉。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w:t>
      </w:r>
      <w:r>
        <w:rPr>
          <w:rFonts w:hint="eastAsia"/>
          <w:color w:val="000000" w:themeColor="text1"/>
          <w:lang w:val="zh-CN"/>
          <w14:textFill>
            <w14:solidFill>
              <w14:schemeClr w14:val="tx1"/>
            </w14:solidFill>
          </w14:textFill>
        </w:rPr>
        <w:t>2</w:t>
      </w:r>
      <w:r>
        <w:rPr>
          <w:rFonts w:hint="eastAsia"/>
          <w:color w:val="000000" w:themeColor="text1"/>
          <w14:textFill>
            <w14:solidFill>
              <w14:schemeClr w14:val="tx1"/>
            </w14:solidFill>
          </w14:textFill>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4.4.3供应商投诉应当有明确的请求和必要的证明材料。</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4.4.4 以联合体形式参加政府采购活动的，其投诉应当由组成联合体的所有供应商共同提出。</w:t>
      </w:r>
    </w:p>
    <w:p>
      <w:pPr>
        <w:pStyle w:val="887"/>
        <w:shd w:val="clear" w:color="auto" w:fill="FFFFFF"/>
        <w:snapToGrid w:val="0"/>
        <w:spacing w:after="240" w:afterAutospacing="0" w:line="360" w:lineRule="auto"/>
        <w:ind w:firstLine="480" w:firstLineChars="2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投诉书范本及制作说明详见附件3。</w:t>
      </w:r>
    </w:p>
    <w:p>
      <w:pPr>
        <w:pStyle w:val="130"/>
        <w:snapToGrid w:val="0"/>
        <w:spacing w:before="0"/>
        <w:ind w:firstLine="360"/>
        <w:rPr>
          <w:rFonts w:ascii="宋体" w:hAnsi="宋体" w:cs="宋体"/>
          <w:color w:val="000000" w:themeColor="text1"/>
          <w:sz w:val="18"/>
          <w:szCs w:val="18"/>
          <w14:textFill>
            <w14:solidFill>
              <w14:schemeClr w14:val="tx1"/>
            </w14:solidFill>
          </w14:textFill>
        </w:rPr>
      </w:pPr>
    </w:p>
    <w:p>
      <w:pPr>
        <w:pStyle w:val="130"/>
        <w:snapToGrid w:val="0"/>
        <w:spacing w:before="0"/>
        <w:ind w:firstLine="360"/>
        <w:rPr>
          <w:rFonts w:ascii="宋体" w:hAnsi="宋体" w:cs="宋体"/>
          <w:color w:val="000000" w:themeColor="text1"/>
          <w:sz w:val="18"/>
          <w:szCs w:val="18"/>
          <w14:textFill>
            <w14:solidFill>
              <w14:schemeClr w14:val="tx1"/>
            </w14:solidFill>
          </w14:textFill>
        </w:rPr>
      </w:pPr>
    </w:p>
    <w:p>
      <w:pPr>
        <w:pStyle w:val="130"/>
        <w:snapToGrid w:val="0"/>
        <w:spacing w:before="0"/>
        <w:ind w:firstLine="360"/>
        <w:rPr>
          <w:rFonts w:ascii="宋体" w:hAnsi="宋体" w:cs="宋体"/>
          <w:color w:val="000000" w:themeColor="text1"/>
          <w:sz w:val="18"/>
          <w:szCs w:val="18"/>
          <w14:textFill>
            <w14:solidFill>
              <w14:schemeClr w14:val="tx1"/>
            </w14:solidFill>
          </w14:textFill>
        </w:rPr>
      </w:pPr>
    </w:p>
    <w:p>
      <w:pPr>
        <w:pStyle w:val="130"/>
        <w:snapToGrid w:val="0"/>
        <w:spacing w:before="0"/>
        <w:ind w:firstLine="360"/>
        <w:rPr>
          <w:rFonts w:ascii="宋体" w:hAnsi="宋体" w:cs="宋体"/>
          <w:color w:val="000000" w:themeColor="text1"/>
          <w:sz w:val="18"/>
          <w:szCs w:val="18"/>
          <w14:textFill>
            <w14:solidFill>
              <w14:schemeClr w14:val="tx1"/>
            </w14:solidFill>
          </w14:textFill>
        </w:rPr>
      </w:pPr>
    </w:p>
    <w:p>
      <w:pPr>
        <w:pStyle w:val="130"/>
        <w:snapToGrid w:val="0"/>
        <w:spacing w:before="0"/>
        <w:ind w:firstLine="360"/>
        <w:rPr>
          <w:rFonts w:ascii="宋体" w:hAnsi="宋体" w:cs="宋体"/>
          <w:color w:val="000000" w:themeColor="text1"/>
          <w:sz w:val="18"/>
          <w:szCs w:val="18"/>
          <w14:textFill>
            <w14:solidFill>
              <w14:schemeClr w14:val="tx1"/>
            </w14:solidFill>
          </w14:textFill>
        </w:rPr>
      </w:pPr>
    </w:p>
    <w:p>
      <w:pPr>
        <w:pStyle w:val="130"/>
        <w:snapToGrid w:val="0"/>
        <w:spacing w:before="0"/>
        <w:ind w:firstLine="360"/>
        <w:rPr>
          <w:rFonts w:ascii="宋体" w:hAnsi="宋体" w:cs="宋体"/>
          <w:color w:val="000000" w:themeColor="text1"/>
          <w:sz w:val="18"/>
          <w:szCs w:val="18"/>
          <w14:textFill>
            <w14:solidFill>
              <w14:schemeClr w14:val="tx1"/>
            </w14:solidFill>
          </w14:textFill>
        </w:rPr>
      </w:pPr>
    </w:p>
    <w:p>
      <w:pPr>
        <w:pStyle w:val="130"/>
        <w:snapToGrid w:val="0"/>
        <w:spacing w:before="0"/>
        <w:ind w:firstLine="360"/>
        <w:rPr>
          <w:rFonts w:ascii="宋体" w:hAnsi="宋体" w:cs="宋体"/>
          <w:color w:val="000000" w:themeColor="text1"/>
          <w:sz w:val="18"/>
          <w:szCs w:val="18"/>
          <w14:textFill>
            <w14:solidFill>
              <w14:schemeClr w14:val="tx1"/>
            </w14:solidFill>
          </w14:textFill>
        </w:rPr>
      </w:pPr>
    </w:p>
    <w:p>
      <w:pPr>
        <w:pStyle w:val="130"/>
        <w:snapToGrid w:val="0"/>
        <w:spacing w:before="0"/>
        <w:ind w:firstLine="360"/>
        <w:rPr>
          <w:rFonts w:ascii="宋体" w:hAnsi="宋体" w:cs="宋体"/>
          <w:color w:val="000000" w:themeColor="text1"/>
          <w:sz w:val="18"/>
          <w:szCs w:val="18"/>
          <w14:textFill>
            <w14:solidFill>
              <w14:schemeClr w14:val="tx1"/>
            </w14:solidFill>
          </w14:textFill>
        </w:rPr>
      </w:pPr>
    </w:p>
    <w:p>
      <w:pPr>
        <w:pStyle w:val="130"/>
        <w:snapToGrid w:val="0"/>
        <w:spacing w:before="0"/>
        <w:ind w:firstLine="360"/>
        <w:rPr>
          <w:rFonts w:ascii="宋体" w:hAnsi="宋体" w:cs="宋体"/>
          <w:color w:val="000000" w:themeColor="text1"/>
          <w:sz w:val="18"/>
          <w:szCs w:val="18"/>
          <w14:textFill>
            <w14:solidFill>
              <w14:schemeClr w14:val="tx1"/>
            </w14:solidFill>
          </w14:textFill>
        </w:rPr>
      </w:pPr>
    </w:p>
    <w:p>
      <w:pPr>
        <w:pStyle w:val="130"/>
        <w:snapToGrid w:val="0"/>
        <w:spacing w:before="0"/>
        <w:ind w:firstLine="360"/>
        <w:rPr>
          <w:rFonts w:ascii="宋体" w:hAnsi="宋体" w:cs="宋体"/>
          <w:color w:val="000000" w:themeColor="text1"/>
          <w:sz w:val="18"/>
          <w:szCs w:val="18"/>
          <w14:textFill>
            <w14:solidFill>
              <w14:schemeClr w14:val="tx1"/>
            </w14:solidFill>
          </w14:textFill>
        </w:rPr>
      </w:pPr>
    </w:p>
    <w:p>
      <w:pPr>
        <w:adjustRightInd/>
        <w:spacing w:line="360" w:lineRule="auto"/>
        <w:jc w:val="center"/>
        <w:outlineLvl w:val="0"/>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二、招标文件的构成、澄清、修改</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5．招标文件的构成</w:t>
      </w:r>
    </w:p>
    <w:p>
      <w:pPr>
        <w:pStyle w:val="34"/>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 招标文件包括下列文件及附件：</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5.1.1招标公告；</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5.1.2投标人须知；</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5.1.3采购需求；</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5.1.4评标办法；</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5.1.5拟签订的合同文本；</w:t>
      </w:r>
    </w:p>
    <w:p>
      <w:pPr>
        <w:pStyle w:val="34"/>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5.1.6</w:t>
      </w:r>
      <w:r>
        <w:rPr>
          <w:rFonts w:hint="eastAsia" w:hAnsi="宋体" w:cs="宋体"/>
          <w:color w:val="000000" w:themeColor="text1"/>
          <w:sz w:val="24"/>
          <w:szCs w:val="24"/>
          <w14:textFill>
            <w14:solidFill>
              <w14:schemeClr w14:val="tx1"/>
            </w14:solidFill>
          </w14:textFill>
        </w:rPr>
        <w:t>应提交的有关格式范例。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5.2与本项目有关的</w:t>
      </w:r>
      <w:r>
        <w:rPr>
          <w:rFonts w:hint="eastAsia" w:ascii="宋体" w:hAnsi="宋体" w:cs="宋体"/>
          <w:bCs/>
          <w:color w:val="000000" w:themeColor="text1"/>
          <w:sz w:val="24"/>
          <w14:textFill>
            <w14:solidFill>
              <w14:schemeClr w14:val="tx1"/>
            </w14:solidFill>
          </w14:textFill>
        </w:rPr>
        <w:t>澄清或者修改的内容为招标文件的组成部分</w:t>
      </w:r>
      <w:r>
        <w:rPr>
          <w:rFonts w:hint="eastAsia" w:ascii="宋体" w:hAnsi="宋体" w:cs="宋体"/>
          <w:color w:val="000000" w:themeColor="text1"/>
          <w:sz w:val="24"/>
          <w14:textFill>
            <w14:solidFill>
              <w14:schemeClr w14:val="tx1"/>
            </w14:solidFill>
          </w14:textFill>
        </w:rPr>
        <w:t>。</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6. 招标文件的澄清、修改</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6.1已获取招标文件的潜在投标人，若有问题需要澄清，应于投标截止时间前，以书面形式向采购代理机构提出。</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color w:val="000000" w:themeColor="text1"/>
          <w:sz w:val="18"/>
          <w:szCs w:val="18"/>
          <w:lang w:val="en-US"/>
          <w14:textFill>
            <w14:solidFill>
              <w14:schemeClr w14:val="tx1"/>
            </w14:solidFill>
          </w14:textFill>
        </w:rPr>
      </w:pPr>
      <w:r>
        <w:rPr>
          <w:rFonts w:hint="eastAsia" w:hAnsi="宋体" w:cs="宋体"/>
          <w:color w:val="000000" w:themeColor="text1"/>
          <w:szCs w:val="24"/>
          <w:lang w:val="en-US"/>
          <w14:textFill>
            <w14:solidFill>
              <w14:schemeClr w14:val="tx1"/>
            </w14:solidFill>
          </w14:textFill>
        </w:rPr>
        <w:t xml:space="preserve">    </w:t>
      </w:r>
    </w:p>
    <w:p>
      <w:pPr>
        <w:adjustRightInd/>
        <w:spacing w:line="360" w:lineRule="auto"/>
        <w:jc w:val="center"/>
        <w:outlineLvl w:val="0"/>
        <w:rPr>
          <w:rFonts w:ascii="宋体" w:hAnsi="宋体" w:cs="宋体"/>
          <w:b/>
          <w:color w:val="000000" w:themeColor="text1"/>
          <w:sz w:val="30"/>
          <w:szCs w:val="20"/>
          <w14:textFill>
            <w14:solidFill>
              <w14:schemeClr w14:val="tx1"/>
            </w14:solidFill>
          </w14:textFill>
        </w:rPr>
      </w:pPr>
      <w:r>
        <w:rPr>
          <w:rFonts w:hint="eastAsia" w:ascii="宋体" w:hAnsi="宋体" w:cs="宋体"/>
          <w:b/>
          <w:color w:val="000000" w:themeColor="text1"/>
          <w:sz w:val="30"/>
          <w:szCs w:val="20"/>
          <w14:textFill>
            <w14:solidFill>
              <w14:schemeClr w14:val="tx1"/>
            </w14:solidFill>
          </w14:textFill>
        </w:rPr>
        <w:t>三、投标</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7. 招标文件的获取</w:t>
      </w:r>
    </w:p>
    <w:p>
      <w:pPr>
        <w:spacing w:line="360" w:lineRule="auto"/>
        <w:ind w:firstLine="480" w:firstLineChars="200"/>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详见招标公告中获取招标文件的时间期限、地点、方式及招标文件售价。</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8.开标前答疑会或现场考察</w:t>
      </w:r>
    </w:p>
    <w:p>
      <w:pPr>
        <w:pStyle w:val="34"/>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000000" w:themeColor="text1"/>
          <w:szCs w:val="24"/>
          <w14:textFill>
            <w14:solidFill>
              <w14:schemeClr w14:val="tx1"/>
            </w14:solidFill>
          </w14:textFill>
        </w:rPr>
      </w:pPr>
      <w:r>
        <w:rPr>
          <w:rFonts w:hint="eastAsia" w:hAnsi="宋体" w:cs="宋体"/>
          <w:b/>
          <w:color w:val="000000" w:themeColor="text1"/>
          <w:kern w:val="28"/>
          <w:sz w:val="24"/>
          <w:szCs w:val="24"/>
          <w14:textFill>
            <w14:solidFill>
              <w14:schemeClr w14:val="tx1"/>
            </w14:solidFill>
          </w14:textFill>
        </w:rPr>
        <w:t>9.投标保证金</w:t>
      </w:r>
    </w:p>
    <w:p>
      <w:pPr>
        <w:pStyle w:val="8"/>
        <w:spacing w:line="360" w:lineRule="auto"/>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本项目不需缴纳投标保证金。</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投标文件及投标人与采购有关的来往通知、函件和文件均应使用中文。</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11. 投标文件的组成</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hint="eastAsia" w:ascii="宋体" w:hAnsi="宋体" w:cs="宋体"/>
          <w:b/>
          <w:color w:val="000000" w:themeColor="text1"/>
          <w:sz w:val="24"/>
          <w14:textFill>
            <w14:solidFill>
              <w14:schemeClr w14:val="tx1"/>
            </w14:solidFill>
          </w14:textFill>
        </w:rPr>
        <w:t>资格文件</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11.1.1符合参加政府采购活动应当具备的一般条件的承诺函；</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1.1.2</w:t>
      </w:r>
      <w:bookmarkStart w:id="17" w:name="_Hlk101259339"/>
      <w:r>
        <w:rPr>
          <w:rFonts w:hint="eastAsia" w:ascii="宋体" w:hAnsi="宋体" w:cs="宋体"/>
          <w:snapToGrid w:val="0"/>
          <w:color w:val="000000" w:themeColor="text1"/>
          <w:kern w:val="28"/>
          <w:sz w:val="24"/>
          <w:szCs w:val="20"/>
          <w14:textFill>
            <w14:solidFill>
              <w14:schemeClr w14:val="tx1"/>
            </w14:solidFill>
          </w14:textFill>
        </w:rPr>
        <w:t>联合协议</w:t>
      </w:r>
      <w:bookmarkEnd w:id="17"/>
      <w:r>
        <w:rPr>
          <w:rFonts w:hint="eastAsia" w:ascii="宋体" w:hAnsi="宋体" w:cs="宋体"/>
          <w:snapToGrid w:val="0"/>
          <w:color w:val="000000" w:themeColor="text1"/>
          <w:kern w:val="28"/>
          <w:sz w:val="24"/>
          <w:szCs w:val="20"/>
          <w14:textFill>
            <w14:solidFill>
              <w14:schemeClr w14:val="tx1"/>
            </w14:solidFill>
          </w14:textFill>
        </w:rPr>
        <w:t>（如果有)；</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firstLine="960" w:firstLineChars="4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firstLine="480" w:firstLineChars="200"/>
        <w:rPr>
          <w:rFonts w:ascii="宋体" w:hAnsi="宋体" w:cs="宋体"/>
          <w:color w:val="000000" w:themeColor="text1"/>
          <w:sz w:val="24"/>
          <w:u w:val="single"/>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b/>
          <w:color w:val="000000" w:themeColor="text1"/>
          <w:sz w:val="24"/>
          <w14:textFill>
            <w14:solidFill>
              <w14:schemeClr w14:val="tx1"/>
            </w14:solidFill>
          </w14:textFill>
        </w:rPr>
        <w:t>报价文件：</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11.3.1开标一览表（报价表）；</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11.3.2中小企业声明函。</w:t>
      </w:r>
    </w:p>
    <w:p>
      <w:pPr>
        <w:spacing w:line="360" w:lineRule="auto"/>
        <w:ind w:firstLine="723" w:firstLineChars="3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szCs w:val="21"/>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投标人提供虚假材料投标的，投标无效。</w:t>
      </w:r>
    </w:p>
    <w:p>
      <w:pPr>
        <w:pStyle w:val="130"/>
        <w:snapToGrid w:val="0"/>
        <w:spacing w:before="0"/>
        <w:ind w:firstLine="0" w:firstLineChars="0"/>
        <w:outlineLvl w:val="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12</w:t>
      </w:r>
      <w:r>
        <w:rPr>
          <w:rFonts w:hint="eastAsia" w:ascii="宋体" w:hAnsi="宋体" w:cs="宋体"/>
          <w:b/>
          <w:color w:val="000000" w:themeColor="text1"/>
          <w:kern w:val="0"/>
          <w:szCs w:val="24"/>
          <w:lang w:val="zh-CN"/>
          <w14:textFill>
            <w14:solidFill>
              <w14:schemeClr w14:val="tx1"/>
            </w14:solidFill>
          </w14:textFill>
        </w:rPr>
        <w:t xml:space="preserve">. </w:t>
      </w:r>
      <w:r>
        <w:rPr>
          <w:rFonts w:hint="eastAsia" w:ascii="宋体" w:hAnsi="宋体" w:cs="宋体"/>
          <w:b/>
          <w:color w:val="000000" w:themeColor="text1"/>
          <w:szCs w:val="24"/>
          <w14:textFill>
            <w14:solidFill>
              <w14:schemeClr w14:val="tx1"/>
            </w14:solidFill>
          </w14:textFill>
        </w:rPr>
        <w:t>投标文件的编制</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13.投标文件的签署、盖章</w:t>
      </w:r>
    </w:p>
    <w:p>
      <w:pPr>
        <w:pStyle w:val="130"/>
        <w:snapToGrid w:val="0"/>
        <w:spacing w:before="0"/>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szCs w:val="24"/>
          <w14:textFill>
            <w14:solidFill>
              <w14:schemeClr w14:val="tx1"/>
            </w14:solidFill>
          </w14:textFill>
        </w:rPr>
        <w:t>13.1投标文件按照招标文件第六部分格式要</w:t>
      </w:r>
      <w:r>
        <w:rPr>
          <w:rFonts w:hint="eastAsia" w:ascii="宋体" w:hAnsi="宋体" w:cs="宋体"/>
          <w:color w:val="000000" w:themeColor="text1"/>
          <w14:textFill>
            <w14:solidFill>
              <w14:schemeClr w14:val="tx1"/>
            </w14:solidFill>
          </w14:textFill>
        </w:rPr>
        <w:t>求进行签署、盖章。</w:t>
      </w:r>
      <w:r>
        <w:rPr>
          <w:rFonts w:hint="eastAsia" w:ascii="宋体" w:hAnsi="宋体" w:cs="宋体"/>
          <w:b/>
          <w:color w:val="000000" w:themeColor="text1"/>
          <w14:textFill>
            <w14:solidFill>
              <w14:schemeClr w14:val="tx1"/>
            </w14:solidFill>
          </w14:textFill>
        </w:rPr>
        <w:t>▲投标人的投标文件未按照招标文件要求签署、盖章的，其投标无效</w:t>
      </w:r>
      <w:r>
        <w:rPr>
          <w:rFonts w:hint="eastAsia" w:ascii="宋体" w:hAnsi="宋体" w:cs="宋体"/>
          <w:color w:val="000000" w:themeColor="text1"/>
          <w:szCs w:val="24"/>
          <w14:textFill>
            <w14:solidFill>
              <w14:schemeClr w14:val="tx1"/>
            </w14:solidFill>
          </w14:textFill>
        </w:rPr>
        <w:t>。</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14:textFill>
            <w14:solidFill>
              <w14:schemeClr w14:val="tx1"/>
            </w14:solidFill>
          </w14:textFill>
        </w:rPr>
        <w:t>13.3招标文件对投标文件签署、盖章的要求适用于电子签名。</w:t>
      </w:r>
    </w:p>
    <w:p>
      <w:pPr>
        <w:pStyle w:val="13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14. 投标文件的提交、补充、修改、撤回</w:t>
      </w:r>
    </w:p>
    <w:p>
      <w:pPr>
        <w:pStyle w:val="13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15.备份投标文件</w:t>
      </w:r>
    </w:p>
    <w:p>
      <w:pPr>
        <w:pStyle w:val="34"/>
        <w:spacing w:line="360" w:lineRule="auto"/>
        <w:ind w:firstLine="360" w:firstLineChars="15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hAnsi="宋体" w:cs="宋体"/>
          <w:b/>
          <w:color w:val="000000" w:themeColor="text1"/>
          <w:sz w:val="24"/>
          <w:szCs w:val="24"/>
          <w14:textFill>
            <w14:solidFill>
              <w14:schemeClr w14:val="tx1"/>
            </w14:solidFill>
          </w14:textFill>
        </w:rPr>
        <w:t>但采购人、采购代理机构不强制或变相强制投标人提交备份投标文件。</w:t>
      </w:r>
    </w:p>
    <w:p>
      <w:pPr>
        <w:pStyle w:val="34"/>
        <w:spacing w:line="360" w:lineRule="auto"/>
        <w:ind w:firstLine="480" w:firstLineChars="20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15.2备份投标文件须在“政采云投标客户端”制作生成，并储存在</w:t>
      </w:r>
      <w:r>
        <w:rPr>
          <w:rFonts w:hint="eastAsia" w:hAnsi="宋体" w:cs="宋体"/>
          <w:color w:val="000000" w:themeColor="text1"/>
          <w:sz w:val="24"/>
          <w14:textFill>
            <w14:solidFill>
              <w14:schemeClr w14:val="tx1"/>
            </w14:solidFill>
          </w14:textFill>
        </w:rPr>
        <w:t>DVD光盘等存储介质</w:t>
      </w:r>
      <w:r>
        <w:rPr>
          <w:rFonts w:hint="eastAsia" w:hAnsi="宋体" w:cs="宋体"/>
          <w:color w:val="000000" w:themeColor="text1"/>
          <w:sz w:val="24"/>
          <w:szCs w:val="24"/>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themeColor="text1"/>
          <w:sz w:val="24"/>
          <w14:textFill>
            <w14:solidFill>
              <w14:schemeClr w14:val="tx1"/>
            </w14:solidFill>
          </w14:textFill>
        </w:rPr>
        <w:t>不符合上述制作、</w:t>
      </w:r>
      <w:r>
        <w:rPr>
          <w:rFonts w:hint="eastAsia" w:hAnsi="宋体" w:cs="宋体"/>
          <w:b/>
          <w:color w:val="000000" w:themeColor="text1"/>
          <w:sz w:val="24"/>
          <w:szCs w:val="24"/>
          <w14:textFill>
            <w14:solidFill>
              <w14:schemeClr w14:val="tx1"/>
            </w14:solidFill>
          </w14:textFill>
        </w:rPr>
        <w:t>存储、密封规定的备份投标文件将被视为无效或者被拒绝接收。</w:t>
      </w:r>
    </w:p>
    <w:p>
      <w:pPr>
        <w:pStyle w:val="34"/>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000000" w:themeColor="text1"/>
          <w:sz w:val="24"/>
          <w:szCs w:val="24"/>
          <w14:textFill>
            <w14:solidFill>
              <w14:schemeClr w14:val="tx1"/>
            </w14:solidFill>
          </w14:textFill>
        </w:rPr>
        <w:t>招标文件第二部分投标人须知前附表规定的备份投标文件送达地点；</w:t>
      </w:r>
      <w:r>
        <w:rPr>
          <w:rFonts w:hint="eastAsia" w:hAnsi="宋体" w:cs="宋体"/>
          <w:color w:val="000000" w:themeColor="text1"/>
          <w:sz w:val="24"/>
          <w:szCs w:val="24"/>
          <w14:textFill>
            <w14:solidFill>
              <w14:schemeClr w14:val="tx1"/>
            </w14:solidFill>
          </w14:textFill>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15.5投标人仅提交备份投标文件，未在电子交易平台传输递交投标文件的，投标无效。</w:t>
      </w:r>
    </w:p>
    <w:p>
      <w:pPr>
        <w:pStyle w:val="13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16.投标文件的无效处理</w:t>
      </w:r>
    </w:p>
    <w:p>
      <w:pPr>
        <w:pStyle w:val="26"/>
        <w:spacing w:line="360" w:lineRule="auto"/>
        <w:ind w:firstLine="360" w:firstLineChars="150"/>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有招标文件第四部分</w:t>
      </w:r>
      <w:r>
        <w:rPr>
          <w:rFonts w:cs="宋体"/>
          <w:color w:val="000000" w:themeColor="text1"/>
          <w14:textFill>
            <w14:solidFill>
              <w14:schemeClr w14:val="tx1"/>
            </w14:solidFill>
          </w14:textFill>
        </w:rPr>
        <w:t>4.2规定</w:t>
      </w:r>
      <w:r>
        <w:rPr>
          <w:rFonts w:hint="eastAsia" w:cs="宋体"/>
          <w:color w:val="000000" w:themeColor="text1"/>
          <w:szCs w:val="21"/>
          <w14:textFill>
            <w14:solidFill>
              <w14:schemeClr w14:val="tx1"/>
            </w14:solidFill>
          </w14:textFill>
        </w:rPr>
        <w:t>的情形之一的，投标无效：</w:t>
      </w:r>
    </w:p>
    <w:p>
      <w:pPr>
        <w:pStyle w:val="13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17.投标有效期</w:t>
      </w:r>
    </w:p>
    <w:p>
      <w:pPr>
        <w:spacing w:line="360" w:lineRule="auto"/>
        <w:ind w:firstLine="480" w:firstLineChars="200"/>
        <w:rPr>
          <w:rFonts w:ascii="宋体" w:hAnsi="宋体" w:cs="宋体"/>
          <w:b/>
          <w:color w:val="000000" w:themeColor="text1"/>
          <w:sz w:val="24"/>
          <w:szCs w:val="21"/>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17.1投标有效期为从提交投标文件的截止之日起90天。▲</w:t>
      </w:r>
      <w:r>
        <w:rPr>
          <w:rFonts w:hint="eastAsia" w:ascii="宋体" w:hAnsi="宋体" w:cs="宋体"/>
          <w:b/>
          <w:color w:val="000000" w:themeColor="text1"/>
          <w:sz w:val="24"/>
          <w:szCs w:val="20"/>
          <w14:textFill>
            <w14:solidFill>
              <w14:schemeClr w14:val="tx1"/>
            </w14:solidFill>
          </w14:textFill>
        </w:rPr>
        <w:t>投标人的投标文件中承</w:t>
      </w:r>
      <w:r>
        <w:rPr>
          <w:rFonts w:hint="eastAsia" w:ascii="宋体" w:hAnsi="宋体" w:cs="宋体"/>
          <w:b/>
          <w:color w:val="000000" w:themeColor="text1"/>
          <w:sz w:val="24"/>
          <w:szCs w:val="21"/>
          <w14:textFill>
            <w14:solidFill>
              <w14:schemeClr w14:val="tx1"/>
            </w14:solidFill>
          </w14:textFill>
        </w:rPr>
        <w:t>诺的投标有效期少于招标文件中载明的投标有效期的，投标无效。</w:t>
      </w:r>
    </w:p>
    <w:p>
      <w:pPr>
        <w:pStyle w:val="13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17.2投标文件合格投递后，自投标截止日期起，在投标有效期内有效。</w:t>
      </w:r>
    </w:p>
    <w:p>
      <w:pPr>
        <w:pStyle w:val="13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color w:val="000000" w:themeColor="text1"/>
          <w:sz w:val="32"/>
          <w14:textFill>
            <w14:solidFill>
              <w14:schemeClr w14:val="tx1"/>
            </w14:solidFill>
          </w14:textFill>
        </w:rPr>
      </w:pPr>
    </w:p>
    <w:p>
      <w:pPr>
        <w:pStyle w:val="130"/>
        <w:spacing w:before="0"/>
        <w:ind w:firstLine="1928" w:firstLineChars="600"/>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四、开标、资格审查与信用信息查询</w:t>
      </w:r>
    </w:p>
    <w:p>
      <w:pPr>
        <w:pStyle w:val="555"/>
        <w:spacing w:before="0" w:line="360" w:lineRule="auto"/>
        <w:ind w:left="0" w:firstLine="241" w:firstLineChars="100"/>
        <w:contextualSpacing/>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18.开标</w:t>
      </w:r>
      <w:r>
        <w:rPr>
          <w:rFonts w:hint="eastAsia" w:ascii="宋体" w:hAnsi="宋体" w:cs="宋体"/>
          <w:color w:val="000000" w:themeColor="text1"/>
          <w:sz w:val="24"/>
          <w14:textFill>
            <w14:solidFill>
              <w14:schemeClr w14:val="tx1"/>
            </w14:solidFill>
          </w14:textFill>
        </w:rPr>
        <w:t xml:space="preserve"> </w:t>
      </w:r>
    </w:p>
    <w:p>
      <w:pPr>
        <w:pStyle w:val="555"/>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18.1采购代理机构按照招标文件规定的时间通过电子交易平台组织开标，所有投标人均应当准时在线参加。投标人不足3家的，不得开标。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18.2开标时，电子交易平台按开标时间自动提取所有投标文件。采购代理机构依托电子交易平台发起开始解密指令，投标人按照平台提示和招标文件的规定在半小时内完成在线解密。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18.3</w:t>
      </w:r>
      <w:r>
        <w:rPr>
          <w:rFonts w:hint="eastAsia" w:ascii="宋体" w:hAnsi="宋体" w:cs="宋体"/>
          <w:b/>
          <w:color w:val="000000" w:themeColor="text1"/>
          <w:sz w:val="24"/>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000000" w:themeColor="text1"/>
          <w:sz w:val="24"/>
          <w:szCs w:val="20"/>
          <w14:textFill>
            <w14:solidFill>
              <w14:schemeClr w14:val="tx1"/>
            </w14:solidFill>
          </w14:textFill>
        </w:rPr>
      </w:pPr>
      <w:r>
        <w:rPr>
          <w:rFonts w:hint="eastAsia" w:ascii="宋体" w:hAnsi="宋体" w:cs="宋体"/>
          <w:b/>
          <w:color w:val="000000" w:themeColor="text1"/>
          <w:sz w:val="24"/>
          <w:szCs w:val="20"/>
          <w14:textFill>
            <w14:solidFill>
              <w14:schemeClr w14:val="tx1"/>
            </w14:solidFill>
          </w14:textFill>
        </w:rPr>
        <w:t>　19、资格审查</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19.1</w:t>
      </w:r>
      <w:r>
        <w:rPr>
          <w:rFonts w:hint="eastAsia" w:ascii="宋体" w:hAnsi="宋体" w:cs="宋体"/>
          <w:color w:val="000000" w:themeColor="text1"/>
          <w:sz w:val="24"/>
          <w14:textFill>
            <w14:solidFill>
              <w14:schemeClr w14:val="tx1"/>
            </w14:solidFill>
          </w14:textFill>
        </w:rPr>
        <w:t>采购人或采购代理机构依据法律法规和招标文件的规定，对投标人的资格进行审查。</w:t>
      </w:r>
    </w:p>
    <w:p>
      <w:pPr>
        <w:pStyle w:val="13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19.2投标人未按照招标文件要求提供与</w:t>
      </w:r>
      <w:r>
        <w:rPr>
          <w:rFonts w:hint="eastAsia" w:ascii="宋体" w:hAnsi="宋体" w:cs="宋体"/>
          <w:color w:val="000000" w:themeColor="text1"/>
          <w14:textFill>
            <w14:solidFill>
              <w14:schemeClr w14:val="tx1"/>
            </w14:solidFill>
          </w14:textFill>
        </w:rPr>
        <w:t>资格条件相应的</w:t>
      </w:r>
      <w:r>
        <w:rPr>
          <w:rFonts w:hint="eastAsia" w:ascii="宋体" w:hAnsi="宋体" w:cs="宋体"/>
          <w:color w:val="000000" w:themeColor="text1"/>
          <w:kern w:val="0"/>
          <w:szCs w:val="24"/>
          <w14:textFill>
            <w14:solidFill>
              <w14:schemeClr w14:val="tx1"/>
            </w14:solidFill>
          </w14:textFill>
        </w:rPr>
        <w:t>有效资格证明材料的，视为</w:t>
      </w:r>
      <w:r>
        <w:rPr>
          <w:rFonts w:hint="eastAsia" w:ascii="宋体" w:hAnsi="宋体" w:cs="宋体"/>
          <w:color w:val="000000" w:themeColor="text1"/>
          <w14:textFill>
            <w14:solidFill>
              <w14:schemeClr w14:val="tx1"/>
            </w14:solidFill>
          </w14:textFill>
        </w:rPr>
        <w:t>投标人不具备招标文件中规定的资格要求，其投标无效。</w:t>
      </w:r>
    </w:p>
    <w:p>
      <w:pPr>
        <w:pStyle w:val="13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w:t>
      </w:r>
      <w:r>
        <w:rPr>
          <w:rFonts w:hint="eastAsia" w:ascii="宋体" w:hAnsi="宋体" w:cs="宋体"/>
          <w:color w:val="000000" w:themeColor="text1"/>
          <w14:textFill>
            <w14:solidFill>
              <w14:schemeClr w14:val="tx1"/>
            </w14:solidFill>
          </w14:textFill>
        </w:rPr>
        <w:t>3对未通过资格审查的投标人，采购人或采购代理机构告知其未通过的原因。</w:t>
      </w:r>
    </w:p>
    <w:p>
      <w:pPr>
        <w:pStyle w:val="13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w:t>
      </w:r>
      <w:r>
        <w:rPr>
          <w:rFonts w:hint="eastAsia" w:ascii="宋体" w:hAnsi="宋体" w:cs="宋体"/>
          <w:color w:val="000000" w:themeColor="text1"/>
          <w14:textFill>
            <w14:solidFill>
              <w14:schemeClr w14:val="tx1"/>
            </w14:solidFill>
          </w14:textFill>
        </w:rPr>
        <w:t>4合格投标人不足3家的，不再评标。</w:t>
      </w:r>
    </w:p>
    <w:p>
      <w:pPr>
        <w:pStyle w:val="13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20、信用信息查询</w:t>
      </w:r>
    </w:p>
    <w:p>
      <w:pPr>
        <w:pStyle w:val="130"/>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20.1信用信息查询渠道及截止时间：采购代理机构将在资格审查时通过“信用中国”网站(www.creditchina.gov.cn)、中国政府采购网(www.ccgp.gov.cn)渠道查询投标人接受资格审查时的信用记录。</w:t>
      </w:r>
    </w:p>
    <w:p>
      <w:pPr>
        <w:pStyle w:val="130"/>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14:textFill>
            <w14:solidFill>
              <w14:schemeClr w14:val="tx1"/>
            </w14:solidFill>
          </w14:textFill>
        </w:rPr>
        <w:t>。</w:t>
      </w:r>
    </w:p>
    <w:p>
      <w:pPr>
        <w:pStyle w:val="130"/>
        <w:spacing w:before="0"/>
        <w:ind w:firstLine="0" w:firstLineChars="0"/>
        <w:rPr>
          <w:rFonts w:ascii="宋体" w:hAnsi="宋体" w:cs="宋体"/>
          <w:color w:val="000000" w:themeColor="text1"/>
          <w:kern w:val="0"/>
          <w:szCs w:val="24"/>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五、评标</w:t>
      </w:r>
    </w:p>
    <w:p>
      <w:pPr>
        <w:spacing w:line="360" w:lineRule="auto"/>
        <w:rPr>
          <w:rFonts w:ascii="宋体" w:hAnsi="宋体" w:cs="宋体"/>
          <w:b/>
          <w:color w:val="000000" w:themeColor="text1"/>
          <w:sz w:val="24"/>
          <w14:textFill>
            <w14:solidFill>
              <w14:schemeClr w14:val="tx1"/>
            </w14:solidFill>
          </w14:textFill>
        </w:rPr>
      </w:pPr>
      <w:bookmarkStart w:id="18" w:name="_Toc91899903"/>
      <w:r>
        <w:rPr>
          <w:rFonts w:hint="eastAsia" w:ascii="宋体" w:hAnsi="宋体" w:cs="宋体"/>
          <w:b/>
          <w:color w:val="000000" w:themeColor="text1"/>
          <w:sz w:val="24"/>
          <w14:textFill>
            <w14:solidFill>
              <w14:schemeClr w14:val="tx1"/>
            </w14:solidFill>
          </w14:textFill>
        </w:rPr>
        <w:t>21.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000000" w:themeColor="text1"/>
          <w:sz w:val="24"/>
          <w14:textFill>
            <w14:solidFill>
              <w14:schemeClr w14:val="tx1"/>
            </w14:solidFill>
          </w14:textFill>
        </w:rPr>
        <w:t>详见招标文件第四部分评标办法。</w:t>
      </w:r>
    </w:p>
    <w:p>
      <w:pPr>
        <w:spacing w:line="360" w:lineRule="auto"/>
        <w:rPr>
          <w:rFonts w:ascii="宋体" w:hAnsi="宋体" w:cs="宋体"/>
          <w:b/>
          <w:color w:val="000000" w:themeColor="text1"/>
          <w:sz w:val="24"/>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六、定 标</w:t>
      </w:r>
    </w:p>
    <w:p>
      <w:pPr>
        <w:pStyle w:val="26"/>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22. 确定中标供应商</w:t>
      </w:r>
    </w:p>
    <w:p>
      <w:pPr>
        <w:pStyle w:val="130"/>
        <w:snapToGrid w:val="0"/>
        <w:spacing w:before="0"/>
        <w:ind w:firstLine="480"/>
        <w:rPr>
          <w:rFonts w:ascii="宋体" w:hAnsi="宋体" w:cs="宋体"/>
          <w:b/>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23. 中标通知与中标结果公告</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23.3公告期限为1个工作日。</w:t>
      </w:r>
    </w:p>
    <w:p>
      <w:pPr>
        <w:snapToGrid w:val="0"/>
        <w:spacing w:line="360" w:lineRule="auto"/>
        <w:ind w:left="120" w:leftChars="57" w:firstLine="482" w:firstLineChars="150"/>
        <w:jc w:val="center"/>
        <w:rPr>
          <w:rFonts w:ascii="宋体" w:hAnsi="宋体" w:cs="宋体"/>
          <w:b/>
          <w:color w:val="000000" w:themeColor="text1"/>
          <w:sz w:val="32"/>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七、合同授予</w:t>
      </w:r>
    </w:p>
    <w:p>
      <w:pPr>
        <w:pStyle w:val="26"/>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 xml:space="preserve">24. </w:t>
      </w:r>
      <w:r>
        <w:rPr>
          <w:rFonts w:hint="eastAsia" w:cs="宋体"/>
          <w:color w:val="000000" w:themeColor="text1"/>
          <w14:textFill>
            <w14:solidFill>
              <w14:schemeClr w14:val="tx1"/>
            </w14:solidFill>
          </w14:textFill>
        </w:rPr>
        <w:t>合同主要条款详见第五部分拟签订的合同文本。</w:t>
      </w:r>
    </w:p>
    <w:p>
      <w:pPr>
        <w:pStyle w:val="26"/>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25. 合同的签订</w:t>
      </w:r>
    </w:p>
    <w:p>
      <w:pPr>
        <w:widowControl/>
        <w:shd w:val="clear" w:color="auto" w:fill="FFFFFF"/>
        <w:spacing w:line="360" w:lineRule="auto"/>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25.1</w:t>
      </w:r>
      <w:r>
        <w:rPr>
          <w:rFonts w:hint="eastAsia" w:ascii="宋体" w:hAnsi="宋体" w:cs="宋体"/>
          <w:color w:val="000000" w:themeColor="text1"/>
          <w:kern w:val="0"/>
          <w:sz w:val="24"/>
          <w14:textFill>
            <w14:solidFill>
              <w14:schemeClr w14:val="tx1"/>
            </w14:solidFill>
          </w14:textFill>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26. 履约保证金</w:t>
      </w:r>
    </w:p>
    <w:p>
      <w:pPr>
        <w:tabs>
          <w:tab w:val="left" w:pos="0"/>
        </w:tabs>
        <w:spacing w:line="360" w:lineRule="auto"/>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cs="宋体"/>
          <w:color w:val="000000" w:themeColor="text1"/>
          <w:sz w:val="24"/>
          <w14:textFill>
            <w14:solidFill>
              <w14:schemeClr w14:val="tx1"/>
            </w14:solidFill>
          </w14:textFill>
        </w:rPr>
        <w:t>。履约保证金的数额不得超过政府采购合同金额的</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000000" w:themeColor="text1"/>
          <w:sz w:val="24"/>
          <w14:textFill>
            <w14:solidFill>
              <w14:schemeClr w14:val="tx1"/>
            </w14:solidFill>
          </w14:textFill>
        </w:rPr>
        <w:t>延迟退还的，应当按照合同约定和法律规定承担相应的赔偿责任</w:t>
      </w:r>
      <w:r>
        <w:rPr>
          <w:rFonts w:hint="eastAsia" w:ascii="宋体" w:hAnsi="宋体" w:cs="宋体"/>
          <w:color w:val="000000" w:themeColor="text1"/>
          <w:sz w:val="24"/>
          <w14:textFill>
            <w14:solidFill>
              <w14:schemeClr w14:val="tx1"/>
            </w14:solidFill>
          </w14:textFill>
        </w:rPr>
        <w:t>。</w:t>
      </w:r>
    </w:p>
    <w:p>
      <w:pPr>
        <w:pStyle w:val="6"/>
        <w:ind w:left="0" w:firstLine="480" w:firstLineChars="200"/>
        <w:rPr>
          <w:rFonts w:ascii="宋体" w:hAnsi="宋体" w:eastAsia="宋体" w:cs="宋体"/>
          <w:b w:val="0"/>
          <w:bCs w:val="0"/>
          <w:snapToGrid w:val="0"/>
          <w:color w:val="000000" w:themeColor="text1"/>
          <w:kern w:val="28"/>
          <w:sz w:val="24"/>
          <w14:textFill>
            <w14:solidFill>
              <w14:schemeClr w14:val="tx1"/>
            </w14:solidFill>
          </w14:textFill>
        </w:rPr>
      </w:pPr>
      <w:r>
        <w:rPr>
          <w:rFonts w:hint="eastAsia" w:ascii="宋体" w:hAnsi="宋体" w:eastAsia="宋体" w:cs="宋体"/>
          <w:b w:val="0"/>
          <w:bCs w:val="0"/>
          <w:snapToGrid w:val="0"/>
          <w:color w:val="000000" w:themeColor="text1"/>
          <w:kern w:val="28"/>
          <w:sz w:val="24"/>
          <w14:textFill>
            <w14:solidFill>
              <w14:schemeClr w14:val="tx1"/>
            </w14:solidFill>
          </w14:textFill>
        </w:rPr>
        <w:t>供应商</w:t>
      </w:r>
      <w:r>
        <w:rPr>
          <w:rFonts w:hint="eastAsia" w:ascii="宋体" w:hAnsi="宋体" w:eastAsia="宋体" w:cs="宋体"/>
          <w:b w:val="0"/>
          <w:bCs w:val="0"/>
          <w:snapToGrid w:val="0"/>
          <w:color w:val="000000" w:themeColor="text1"/>
          <w:kern w:val="28"/>
          <w:sz w:val="24"/>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rPr>
          <w:color w:val="000000" w:themeColor="text1"/>
          <w14:textFill>
            <w14:solidFill>
              <w14:schemeClr w14:val="tx1"/>
            </w14:solidFill>
          </w14:textFill>
        </w:rPr>
      </w:pPr>
      <w:r>
        <w:rPr>
          <w:rFonts w:ascii="宋体" w:hAnsi="宋体" w:eastAsia="宋体"/>
          <w:color w:val="000000" w:themeColor="text1"/>
          <w:sz w:val="24"/>
          <w:lang w:val="en-US"/>
          <w14:textFill>
            <w14:solidFill>
              <w14:schemeClr w14:val="tx1"/>
            </w14:solidFill>
          </w14:textFill>
        </w:rPr>
        <w:t>27.预付款</w:t>
      </w:r>
    </w:p>
    <w:p>
      <w:pPr>
        <w:adjustRightInd/>
        <w:spacing w:line="360" w:lineRule="auto"/>
        <w:ind w:firstLine="480" w:firstLineChars="200"/>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采购单位应当在政府采购合同中约定预付款，对中小企业合同预付款比例原则上不低于合同金额的</w:t>
      </w:r>
      <w:r>
        <w:rPr>
          <w:rFonts w:ascii="宋体" w:hAnsi="宋体"/>
          <w:color w:val="000000" w:themeColor="text1"/>
          <w:sz w:val="24"/>
          <w14:textFill>
            <w14:solidFill>
              <w14:schemeClr w14:val="tx1"/>
            </w14:solidFill>
          </w14:textFill>
        </w:rPr>
        <w:t>40％</w:t>
      </w:r>
      <w:r>
        <w:rPr>
          <w:rFonts w:hint="eastAsia" w:ascii="宋体" w:hAnsi="宋体"/>
          <w:color w:val="000000" w:themeColor="text1"/>
          <w:sz w:val="24"/>
          <w14:textFill>
            <w14:solidFill>
              <w14:schemeClr w14:val="tx1"/>
            </w14:solidFill>
          </w14:textFill>
        </w:rPr>
        <w:t>，不高于合同金额的</w:t>
      </w:r>
      <w:r>
        <w:rPr>
          <w:rFonts w:ascii="宋体" w:hAnsi="宋体"/>
          <w:color w:val="000000" w:themeColor="text1"/>
          <w:sz w:val="24"/>
          <w14:textFill>
            <w14:solidFill>
              <w14:schemeClr w14:val="tx1"/>
            </w14:solidFill>
          </w14:textFill>
        </w:rPr>
        <w:t>70%；项目分年安排预算的，每年预付款比例</w:t>
      </w:r>
      <w:r>
        <w:rPr>
          <w:rFonts w:hint="eastAsia" w:ascii="宋体" w:hAnsi="宋体"/>
          <w:color w:val="000000" w:themeColor="text1"/>
          <w:sz w:val="24"/>
          <w14:textFill>
            <w14:solidFill>
              <w14:schemeClr w14:val="tx1"/>
            </w14:solidFill>
          </w14:textFill>
        </w:rPr>
        <w:t>不低于</w:t>
      </w:r>
      <w:r>
        <w:rPr>
          <w:rFonts w:ascii="宋体" w:hAnsi="宋体"/>
          <w:color w:val="000000" w:themeColor="text1"/>
          <w:sz w:val="24"/>
          <w14:textFill>
            <w14:solidFill>
              <w14:schemeClr w14:val="tx1"/>
            </w14:solidFill>
          </w14:textFill>
        </w:rPr>
        <w:t>项目年度计划支付资金额的40％</w:t>
      </w:r>
      <w:r>
        <w:rPr>
          <w:rFonts w:hint="eastAsia" w:ascii="宋体" w:hAnsi="宋体"/>
          <w:color w:val="000000" w:themeColor="text1"/>
          <w:sz w:val="24"/>
          <w14:textFill>
            <w14:solidFill>
              <w14:schemeClr w14:val="tx1"/>
            </w14:solidFill>
          </w14:textFill>
        </w:rPr>
        <w:t>，不高于合同金额的</w:t>
      </w:r>
      <w:r>
        <w:rPr>
          <w:rFonts w:ascii="宋体" w:hAnsi="宋体"/>
          <w:color w:val="000000" w:themeColor="text1"/>
          <w:sz w:val="24"/>
          <w14:textFill>
            <w14:solidFill>
              <w14:schemeClr w14:val="tx1"/>
            </w14:solidFill>
          </w14:textFill>
        </w:rPr>
        <w:t>70%；采购项目实施以人工投入为主的，</w:t>
      </w:r>
      <w:r>
        <w:rPr>
          <w:rFonts w:hint="eastAsia" w:ascii="宋体" w:hAnsi="宋体"/>
          <w:color w:val="000000" w:themeColor="text1"/>
          <w:sz w:val="24"/>
          <w14:textFill>
            <w14:solidFill>
              <w14:schemeClr w14:val="tx1"/>
            </w14:solidFill>
          </w14:textFill>
        </w:rPr>
        <w:t>可适当降低预付款比例，但不得低于</w:t>
      </w:r>
      <w:r>
        <w:rPr>
          <w:rFonts w:ascii="宋体" w:hAnsi="宋体"/>
          <w:color w:val="000000" w:themeColor="text1"/>
          <w:sz w:val="24"/>
          <w14:textFill>
            <w14:solidFill>
              <w14:schemeClr w14:val="tx1"/>
            </w14:solidFill>
          </w14:textFill>
        </w:rPr>
        <w:t>20%。对供应商为大型企业的项目或者以人工投入为主且实行按月定期结算支付款项的项目，预付款可低于上述比例或者不约定预付款。在签订合同时，</w:t>
      </w: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明确表示无需预付款或者主动要求降低预付款比例的，</w:t>
      </w:r>
      <w:r>
        <w:rPr>
          <w:rFonts w:hint="eastAsia" w:ascii="宋体" w:hAnsi="宋体"/>
          <w:color w:val="000000" w:themeColor="text1"/>
          <w:sz w:val="24"/>
          <w14:textFill>
            <w14:solidFill>
              <w14:schemeClr w14:val="tx1"/>
            </w14:solidFill>
          </w14:textFill>
        </w:rPr>
        <w:t>采购单位</w:t>
      </w:r>
      <w:r>
        <w:rPr>
          <w:rFonts w:ascii="宋体" w:hAnsi="宋体"/>
          <w:color w:val="000000" w:themeColor="text1"/>
          <w:sz w:val="24"/>
          <w14:textFill>
            <w14:solidFill>
              <w14:schemeClr w14:val="tx1"/>
            </w14:solidFill>
          </w14:textFill>
        </w:rPr>
        <w:t>可不适用前述规定。</w:t>
      </w:r>
      <w:r>
        <w:rPr>
          <w:rFonts w:hint="eastAsia" w:ascii="宋体" w:hAnsi="宋体"/>
          <w:color w:val="000000" w:themeColor="text1"/>
          <w:sz w:val="24"/>
          <w14:textFill>
            <w14:solidFill>
              <w14:schemeClr w14:val="tx1"/>
            </w14:solidFill>
          </w14:textFill>
        </w:rPr>
        <w:t>采购单位</w:t>
      </w:r>
      <w:r>
        <w:rPr>
          <w:rFonts w:ascii="宋体" w:hAnsi="宋体"/>
          <w:color w:val="000000" w:themeColor="text1"/>
          <w:sz w:val="24"/>
          <w14:textFill>
            <w14:solidFill>
              <w14:schemeClr w14:val="tx1"/>
            </w14:solidFill>
          </w14:textFill>
        </w:rPr>
        <w:t>根据项目特点、供应商诚信等因素，可以要求</w:t>
      </w: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提交银行、保险公司等金融机构出具的预付款保函或其他担保措施。政府采购预付款应在合同生效以及具备实施条件后5个工作日内支付。</w:t>
      </w:r>
      <w:r>
        <w:rPr>
          <w:rFonts w:hint="eastAsia" w:ascii="宋体" w:hAnsi="宋体"/>
          <w:color w:val="000000" w:themeColor="text1"/>
          <w:sz w:val="24"/>
          <w14:textFill>
            <w14:solidFill>
              <w14:schemeClr w14:val="tx1"/>
            </w14:solidFill>
          </w14:textFill>
        </w:rPr>
        <w:t>政府采购工程以及与工程建设有关的货物、服务，采用招标方式采购的，预付款从其相关规定。供应商可登录政采云前台大厅选择金融服务</w:t>
      </w:r>
      <w:r>
        <w:rPr>
          <w:rFonts w:ascii="宋体" w:hAnsi="宋体"/>
          <w:color w:val="000000" w:themeColor="text1"/>
          <w:sz w:val="24"/>
          <w14:textFill>
            <w14:solidFill>
              <w14:schemeClr w14:val="tx1"/>
            </w14:solidFill>
          </w14:textFill>
        </w:rPr>
        <w:t xml:space="preserve"> - </w:t>
      </w:r>
      <w:r>
        <w:rPr>
          <w:rFonts w:hint="eastAsia" w:ascii="宋体" w:hAnsi="宋体"/>
          <w:color w:val="000000" w:themeColor="text1"/>
          <w:sz w:val="24"/>
          <w14:textFill>
            <w14:solidFill>
              <w14:schemeClr w14:val="tx1"/>
            </w14:solidFill>
          </w14:textFill>
        </w:rPr>
        <w:t>【保函保险服务】出具预付款保函，具体步骤：选择产品—填写供应商信息—选择中标项目—确认信息—等待保险</w:t>
      </w:r>
      <w:r>
        <w:rPr>
          <w:rFonts w:ascii="宋体" w:hAnsi="宋体"/>
          <w:color w:val="000000" w:themeColor="text1"/>
          <w:sz w:val="24"/>
          <w14:textFill>
            <w14:solidFill>
              <w14:schemeClr w14:val="tx1"/>
            </w14:solidFill>
          </w14:textFill>
        </w:rPr>
        <w:t>/保函受理—确认保单—支付保费—成功出单。政</w:t>
      </w:r>
      <w:r>
        <w:rPr>
          <w:rFonts w:hint="eastAsia" w:ascii="宋体" w:hAnsi="宋体"/>
          <w:color w:val="000000" w:themeColor="text1"/>
          <w:sz w:val="24"/>
          <w14:textFill>
            <w14:solidFill>
              <w14:schemeClr w14:val="tx1"/>
            </w14:solidFill>
          </w14:textFill>
        </w:rPr>
        <w:t>采云金融专线</w:t>
      </w:r>
      <w:r>
        <w:rPr>
          <w:rFonts w:ascii="宋体" w:hAnsi="宋体"/>
          <w:color w:val="000000" w:themeColor="text1"/>
          <w:sz w:val="24"/>
          <w14:textFill>
            <w14:solidFill>
              <w14:schemeClr w14:val="tx1"/>
            </w14:solidFill>
          </w14:textFill>
        </w:rPr>
        <w:t>400-903-9583。</w:t>
      </w:r>
    </w:p>
    <w:p>
      <w:pPr>
        <w:rPr>
          <w:color w:val="000000" w:themeColor="text1"/>
          <w14:textFill>
            <w14:solidFill>
              <w14:schemeClr w14:val="tx1"/>
            </w14:solidFill>
          </w14:textFill>
        </w:rPr>
      </w:pPr>
    </w:p>
    <w:p>
      <w:pPr>
        <w:snapToGrid w:val="0"/>
        <w:spacing w:line="360" w:lineRule="auto"/>
        <w:ind w:firstLine="3357" w:firstLineChars="1045"/>
        <w:rPr>
          <w:rFonts w:ascii="宋体" w:hAnsi="宋体" w:cs="宋体"/>
          <w:b/>
          <w:color w:val="000000" w:themeColor="text1"/>
          <w:sz w:val="32"/>
          <w14:textFill>
            <w14:solidFill>
              <w14:schemeClr w14:val="tx1"/>
            </w14:solidFill>
          </w14:textFill>
        </w:rPr>
      </w:pPr>
    </w:p>
    <w:p>
      <w:pPr>
        <w:snapToGrid w:val="0"/>
        <w:spacing w:line="360" w:lineRule="auto"/>
        <w:ind w:firstLine="3357" w:firstLineChars="1045"/>
        <w:rPr>
          <w:rFonts w:hint="eastAsia" w:ascii="宋体" w:hAnsi="宋体" w:cs="宋体"/>
          <w:b/>
          <w:color w:val="000000" w:themeColor="text1"/>
          <w:sz w:val="32"/>
          <w14:textFill>
            <w14:solidFill>
              <w14:schemeClr w14:val="tx1"/>
            </w14:solidFill>
          </w14:textFill>
        </w:rPr>
      </w:pPr>
    </w:p>
    <w:p>
      <w:pPr>
        <w:snapToGrid w:val="0"/>
        <w:spacing w:line="360" w:lineRule="auto"/>
        <w:ind w:firstLine="3357" w:firstLineChars="1045"/>
        <w:rPr>
          <w:rFonts w:hint="eastAsia" w:ascii="宋体" w:hAnsi="宋体" w:cs="宋体"/>
          <w:b/>
          <w:color w:val="000000" w:themeColor="text1"/>
          <w:sz w:val="32"/>
          <w14:textFill>
            <w14:solidFill>
              <w14:schemeClr w14:val="tx1"/>
            </w14:solidFill>
          </w14:textFill>
        </w:rPr>
      </w:pPr>
    </w:p>
    <w:p>
      <w:pPr>
        <w:pStyle w:val="26"/>
        <w:rPr>
          <w:rFonts w:hint="eastAsia" w:ascii="宋体" w:hAnsi="宋体" w:cs="宋体"/>
          <w:b/>
          <w:color w:val="000000" w:themeColor="text1"/>
          <w:sz w:val="32"/>
          <w14:textFill>
            <w14:solidFill>
              <w14:schemeClr w14:val="tx1"/>
            </w14:solidFill>
          </w14:textFill>
        </w:rPr>
      </w:pPr>
    </w:p>
    <w:p>
      <w:pPr>
        <w:rPr>
          <w:rFonts w:hint="eastAsia" w:ascii="宋体" w:hAnsi="宋体" w:cs="宋体"/>
          <w:b/>
          <w:color w:val="000000" w:themeColor="text1"/>
          <w:sz w:val="32"/>
          <w14:textFill>
            <w14:solidFill>
              <w14:schemeClr w14:val="tx1"/>
            </w14:solidFill>
          </w14:textFill>
        </w:rPr>
      </w:pPr>
    </w:p>
    <w:p>
      <w:pPr>
        <w:pStyle w:val="26"/>
        <w:rPr>
          <w:rFonts w:hint="eastAsia" w:ascii="宋体" w:hAnsi="宋体" w:cs="宋体"/>
          <w:b/>
          <w:color w:val="000000" w:themeColor="text1"/>
          <w:sz w:val="32"/>
          <w14:textFill>
            <w14:solidFill>
              <w14:schemeClr w14:val="tx1"/>
            </w14:solidFill>
          </w14:textFill>
        </w:rPr>
      </w:pPr>
    </w:p>
    <w:p>
      <w:pPr>
        <w:rPr>
          <w:rFonts w:hint="eastAsia" w:ascii="宋体" w:hAnsi="宋体" w:cs="宋体"/>
          <w:b/>
          <w:color w:val="000000" w:themeColor="text1"/>
          <w:sz w:val="32"/>
          <w14:textFill>
            <w14:solidFill>
              <w14:schemeClr w14:val="tx1"/>
            </w14:solidFill>
          </w14:textFill>
        </w:rPr>
      </w:pPr>
    </w:p>
    <w:p>
      <w:pPr>
        <w:pStyle w:val="26"/>
        <w:rPr>
          <w:rFonts w:hint="eastAsia"/>
        </w:rPr>
      </w:pPr>
    </w:p>
    <w:p>
      <w:pPr>
        <w:snapToGrid w:val="0"/>
        <w:spacing w:line="360" w:lineRule="auto"/>
        <w:ind w:firstLine="3357" w:firstLineChars="1045"/>
        <w:rPr>
          <w:rFonts w:hint="eastAsia" w:ascii="宋体" w:hAnsi="宋体" w:cs="宋体"/>
          <w:b/>
          <w:color w:val="000000" w:themeColor="text1"/>
          <w:sz w:val="32"/>
          <w14:textFill>
            <w14:solidFill>
              <w14:schemeClr w14:val="tx1"/>
            </w14:solidFill>
          </w14:textFill>
        </w:rPr>
      </w:pPr>
    </w:p>
    <w:p>
      <w:pPr>
        <w:snapToGrid w:val="0"/>
        <w:spacing w:line="360" w:lineRule="auto"/>
        <w:ind w:firstLine="3357" w:firstLineChars="1045"/>
        <w:jc w:val="both"/>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八、电子交易活动的中止</w:t>
      </w:r>
    </w:p>
    <w:p>
      <w:pPr>
        <w:pStyle w:val="130"/>
        <w:snapToGrid w:val="0"/>
        <w:spacing w:before="0"/>
        <w:ind w:firstLine="0" w:firstLineChars="0"/>
        <w:rPr>
          <w:rFonts w:ascii="宋体" w:hAnsi="宋体" w:cs="宋体"/>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2</w:t>
      </w:r>
      <w:r>
        <w:rPr>
          <w:rFonts w:ascii="宋体" w:hAnsi="宋体" w:cs="宋体"/>
          <w:b/>
          <w:bCs/>
          <w:color w:val="000000" w:themeColor="text1"/>
          <w:szCs w:val="24"/>
          <w14:textFill>
            <w14:solidFill>
              <w14:schemeClr w14:val="tx1"/>
            </w14:solidFill>
          </w14:textFill>
        </w:rPr>
        <w:t>8</w:t>
      </w:r>
      <w:r>
        <w:rPr>
          <w:rFonts w:hint="eastAsia" w:ascii="宋体" w:hAnsi="宋体" w:cs="宋体"/>
          <w:b/>
          <w:color w:val="000000" w:themeColor="text1"/>
          <w:szCs w:val="24"/>
          <w14:textFill>
            <w14:solidFill>
              <w14:schemeClr w14:val="tx1"/>
            </w14:solidFill>
          </w14:textFill>
        </w:rPr>
        <w:t>. 电子交易活动的中止。</w:t>
      </w:r>
      <w:r>
        <w:rPr>
          <w:rFonts w:hint="eastAsia" w:ascii="宋体" w:hAnsi="宋体" w:cs="宋体"/>
          <w:color w:val="000000" w:themeColor="text1"/>
          <w14:textFill>
            <w14:solidFill>
              <w14:schemeClr w14:val="tx1"/>
            </w14:solidFill>
          </w14:textFill>
        </w:rPr>
        <w:t>采购过程中出现以下情形，导致电子交易平台无法正常运行，或者无法保证电子交易的公平、公正和安全时，采购代理机构可中止电子交易活动：</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28.1电子交易平台发生故障而无法登录访问的； </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28.2电子交易平台应用或数据库出现错误，不能进行正常操作的；</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28.3电子交易平台发现严重安全漏洞，有潜在泄密危险的；</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28.4病毒发作导致不能进行正常操作的； </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28.5其他无法保证电子交易的公平、公正和安全的情况。</w:t>
      </w:r>
    </w:p>
    <w:p>
      <w:pPr>
        <w:pStyle w:val="130"/>
        <w:snapToGrid w:val="0"/>
        <w:spacing w:before="0"/>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themeColor="text1"/>
          <w:sz w:val="24"/>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九、验收</w:t>
      </w:r>
    </w:p>
    <w:p>
      <w:pPr>
        <w:pStyle w:val="26"/>
        <w:spacing w:line="360" w:lineRule="auto"/>
        <w:ind w:firstLine="0" w:firstLineChars="0"/>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30.验收</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themeColor="text1"/>
          <w:sz w:val="18"/>
          <w:szCs w:val="18"/>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docGrid w:linePitch="312" w:charSpace="0"/>
        </w:sectPr>
      </w:pPr>
      <w:r>
        <w:rPr>
          <w:rFonts w:hint="eastAsia" w:ascii="宋体" w:hAnsi="宋体" w:cs="宋体"/>
          <w:color w:val="000000" w:themeColor="text1"/>
          <w:kern w:val="0"/>
          <w:sz w:val="24"/>
          <w14:textFill>
            <w14:solidFill>
              <w14:schemeClr w14:val="tx1"/>
            </w14:solidFill>
          </w14:textFill>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8"/>
      <w:bookmarkStart w:id="19" w:name="_Hlt74730295"/>
      <w:bookmarkEnd w:id="19"/>
      <w:bookmarkStart w:id="20" w:name="_Hlt74714665"/>
      <w:bookmarkEnd w:id="20"/>
      <w:bookmarkStart w:id="21" w:name="_Hlt74707468"/>
      <w:bookmarkEnd w:id="21"/>
      <w:bookmarkStart w:id="22" w:name="_Hlt75236290"/>
      <w:bookmarkEnd w:id="22"/>
      <w:bookmarkStart w:id="23" w:name="_Hlt68072998"/>
      <w:bookmarkEnd w:id="23"/>
      <w:bookmarkStart w:id="24" w:name="_Hlt75236101"/>
      <w:bookmarkEnd w:id="24"/>
      <w:bookmarkStart w:id="25" w:name="_Hlt68072990"/>
      <w:bookmarkEnd w:id="25"/>
      <w:bookmarkStart w:id="26" w:name="_Hlt68057669"/>
      <w:bookmarkEnd w:id="26"/>
      <w:bookmarkStart w:id="27" w:name="_Hlt68073093"/>
      <w:bookmarkEnd w:id="27"/>
      <w:bookmarkStart w:id="28" w:name="_Hlt74729768"/>
      <w:bookmarkEnd w:id="28"/>
      <w:bookmarkStart w:id="29" w:name="_Hlt75236011"/>
      <w:bookmarkEnd w:id="29"/>
      <w:bookmarkStart w:id="30" w:name="_Hlt68403820"/>
      <w:bookmarkEnd w:id="30"/>
    </w:p>
    <w:p>
      <w:pPr>
        <w:numPr>
          <w:ilvl w:val="0"/>
          <w:numId w:val="1"/>
        </w:num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 xml:space="preserve">  采购需求</w:t>
      </w:r>
    </w:p>
    <w:p>
      <w:pPr>
        <w:pStyle w:val="62"/>
        <w:rPr>
          <w:lang w:val="en-US"/>
        </w:rPr>
      </w:pPr>
    </w:p>
    <w:p>
      <w:pPr>
        <w:pStyle w:val="62"/>
        <w:rPr>
          <w:lang w:val="en-US"/>
        </w:rPr>
      </w:pPr>
      <w:r>
        <w:rPr>
          <w:rFonts w:hint="eastAsia"/>
          <w:lang w:val="en-US"/>
        </w:rPr>
        <w:t>采购需求中带“▲”条款为实质性内容，投标人须在投标文件中提供《符合性审查资料》(格式见第六部分  应提交的有关格式范例），如有任意一条未响应或不满足，将被视为无效。</w:t>
      </w:r>
    </w:p>
    <w:p>
      <w:pPr>
        <w:pStyle w:val="256"/>
        <w:numPr>
          <w:ilvl w:val="0"/>
          <w:numId w:val="2"/>
        </w:numPr>
        <w:snapToGrid w:val="0"/>
        <w:ind w:firstLineChars="0"/>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kern w:val="2"/>
          <w:sz w:val="24"/>
          <w:szCs w:val="24"/>
          <w:lang w:val="en-US" w:eastAsia="zh-CN" w:bidi="ar-SA"/>
          <w14:textFill>
            <w14:solidFill>
              <w14:schemeClr w14:val="tx1"/>
            </w14:solidFill>
          </w14:textFill>
        </w:rPr>
        <w:t>项目概况：</w:t>
      </w:r>
    </w:p>
    <w:p>
      <w:pPr>
        <w:spacing w:line="360" w:lineRule="auto"/>
        <w:ind w:firstLine="420"/>
        <w:rPr>
          <w:lang w:val="en-US"/>
        </w:rPr>
      </w:pPr>
      <w:r>
        <w:rPr>
          <w:rFonts w:hint="eastAsia" w:ascii="宋体" w:hAnsi="宋体" w:eastAsia="宋体" w:cs="宋体"/>
          <w:color w:val="000000" w:themeColor="text1"/>
          <w:sz w:val="24"/>
          <w:lang w:eastAsia="zh-CN"/>
          <w14:textFill>
            <w14:solidFill>
              <w14:schemeClr w14:val="tx1"/>
            </w14:solidFill>
          </w14:textFill>
        </w:rPr>
        <w:t>本项目采购内容为杭州市临平职业高级中学数控车实训设备的采购、运输、 安装、调试、培训和相关维护等。投标报价包括设备费、样品费、材料费、保管费、安装调试费、培训、税收、售后服务、招标代理费、采购需求中未提到但在实际采购和安装过程中需要配置的各种设备、材料及其他费用等须由投标人支付的所有费用。</w:t>
      </w:r>
      <w:r>
        <w:rPr>
          <w:lang w:val="en-US"/>
        </w:rPr>
        <w:t> </w:t>
      </w:r>
    </w:p>
    <w:p>
      <w:pPr>
        <w:pStyle w:val="256"/>
        <w:numPr>
          <w:ilvl w:val="0"/>
          <w:numId w:val="2"/>
        </w:numPr>
        <w:snapToGrid w:val="0"/>
        <w:ind w:firstLineChars="0"/>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kern w:val="2"/>
          <w:sz w:val="24"/>
          <w:szCs w:val="24"/>
          <w:lang w:val="en-US" w:eastAsia="zh-CN" w:bidi="ar-SA"/>
          <w14:textFill>
            <w14:solidFill>
              <w14:schemeClr w14:val="tx1"/>
            </w14:solidFill>
          </w14:textFill>
        </w:rPr>
        <w:t>采购清单及技术要求：</w:t>
      </w:r>
    </w:p>
    <w:p>
      <w:pPr>
        <w:bidi w:val="0"/>
        <w:jc w:val="left"/>
        <w:rPr>
          <w:rFonts w:hint="eastAsia" w:ascii="宋体" w:hAnsi="Calibri" w:eastAsia="宋体" w:cs="Times New Roman"/>
          <w:snapToGrid/>
          <w:kern w:val="2"/>
          <w:sz w:val="24"/>
          <w:szCs w:val="20"/>
          <w:lang w:val="en-US" w:eastAsia="zh-CN" w:bidi="ar-SA"/>
        </w:rPr>
      </w:pPr>
      <w:r>
        <w:rPr>
          <w:rFonts w:hint="eastAsia" w:ascii="宋体" w:hAnsi="Calibri" w:eastAsia="宋体" w:cs="Times New Roman"/>
          <w:snapToGrid/>
          <w:kern w:val="2"/>
          <w:sz w:val="24"/>
          <w:szCs w:val="20"/>
          <w:lang w:val="en-US" w:eastAsia="zh-CN" w:bidi="ar-SA"/>
        </w:rPr>
        <w:t>1、采购清单</w:t>
      </w:r>
    </w:p>
    <w:tbl>
      <w:tblPr>
        <w:tblStyle w:val="64"/>
        <w:tblpPr w:leftFromText="180" w:rightFromText="180" w:vertAnchor="text" w:horzAnchor="page" w:tblpX="916" w:tblpY="367"/>
        <w:tblOverlap w:val="never"/>
        <w:tblW w:w="102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7"/>
        <w:gridCol w:w="2397"/>
        <w:gridCol w:w="4743"/>
        <w:gridCol w:w="955"/>
        <w:gridCol w:w="1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447" w:type="dxa"/>
            <w:tcBorders>
              <w:top w:val="single" w:color="000000" w:sz="4" w:space="0"/>
              <w:left w:val="single" w:color="000000" w:sz="4" w:space="0"/>
              <w:bottom w:val="single" w:color="000000" w:sz="4" w:space="0"/>
              <w:right w:val="single" w:color="000000" w:sz="4" w:space="0"/>
            </w:tcBorders>
            <w:noWrap w:val="0"/>
            <w:vAlign w:val="center"/>
          </w:tcPr>
          <w:p>
            <w:pPr>
              <w:bidi w:val="0"/>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序号</w:t>
            </w:r>
          </w:p>
        </w:tc>
        <w:tc>
          <w:tcPr>
            <w:tcW w:w="2397" w:type="dxa"/>
            <w:tcBorders>
              <w:top w:val="single" w:color="000000" w:sz="4" w:space="0"/>
              <w:left w:val="single" w:color="000000" w:sz="4" w:space="0"/>
              <w:bottom w:val="single" w:color="000000" w:sz="4" w:space="0"/>
              <w:right w:val="single" w:color="000000" w:sz="4" w:space="0"/>
            </w:tcBorders>
            <w:noWrap w:val="0"/>
            <w:vAlign w:val="center"/>
          </w:tcPr>
          <w:p>
            <w:pPr>
              <w:bidi w:val="0"/>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产品名称</w:t>
            </w:r>
          </w:p>
        </w:tc>
        <w:tc>
          <w:tcPr>
            <w:tcW w:w="4743" w:type="dxa"/>
            <w:tcBorders>
              <w:top w:val="single" w:color="000000" w:sz="4" w:space="0"/>
              <w:left w:val="single" w:color="000000" w:sz="4" w:space="0"/>
              <w:bottom w:val="single" w:color="000000" w:sz="4" w:space="0"/>
              <w:right w:val="single" w:color="000000" w:sz="4" w:space="0"/>
            </w:tcBorders>
            <w:noWrap w:val="0"/>
            <w:vAlign w:val="center"/>
          </w:tcPr>
          <w:p>
            <w:pPr>
              <w:bidi w:val="0"/>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产品规格（型号、参数等）</w:t>
            </w: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数量</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447" w:type="dxa"/>
            <w:tcBorders>
              <w:top w:val="single" w:color="000000" w:sz="4" w:space="0"/>
              <w:left w:val="single" w:color="000000" w:sz="4" w:space="0"/>
              <w:bottom w:val="single" w:color="000000" w:sz="4" w:space="0"/>
              <w:right w:val="single" w:color="000000" w:sz="4" w:space="0"/>
            </w:tcBorders>
            <w:noWrap w:val="0"/>
            <w:vAlign w:val="center"/>
          </w:tcPr>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397"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数控车床</w:t>
            </w:r>
          </w:p>
        </w:tc>
        <w:tc>
          <w:tcPr>
            <w:tcW w:w="4743" w:type="dxa"/>
            <w:tcBorders>
              <w:top w:val="single" w:color="000000" w:sz="4" w:space="0"/>
              <w:left w:val="single" w:color="000000" w:sz="4" w:space="0"/>
              <w:bottom w:val="single" w:color="000000" w:sz="4" w:space="0"/>
              <w:right w:val="single" w:color="000000" w:sz="4" w:space="0"/>
            </w:tcBorders>
            <w:noWrap w:val="0"/>
            <w:vAlign w:val="center"/>
          </w:tcPr>
          <w:p>
            <w:pPr>
              <w:bidi w:val="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详见技术参数</w:t>
            </w: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套</w:t>
            </w:r>
          </w:p>
        </w:tc>
      </w:tr>
    </w:tbl>
    <w:p>
      <w:pPr>
        <w:pStyle w:val="2"/>
        <w:rPr>
          <w:rFonts w:hint="eastAsia"/>
        </w:rPr>
      </w:pPr>
    </w:p>
    <w:p>
      <w:pPr>
        <w:pStyle w:val="2"/>
      </w:pPr>
      <w:r>
        <w:rPr>
          <w:rFonts w:hint="eastAsia"/>
          <w:lang w:val="en-US" w:eastAsia="zh-CN"/>
        </w:rPr>
        <w:t>2、</w:t>
      </w:r>
      <w:r>
        <w:rPr>
          <w:rFonts w:hint="eastAsia"/>
        </w:rPr>
        <w:t>详细技术参数</w:t>
      </w:r>
    </w:p>
    <w:tbl>
      <w:tblPr>
        <w:tblStyle w:val="64"/>
        <w:tblW w:w="55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841"/>
        <w:gridCol w:w="9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5" w:type="pct"/>
            <w:vAlign w:val="center"/>
          </w:tcPr>
          <w:p>
            <w:pPr>
              <w:jc w:val="center"/>
              <w:rPr>
                <w:rFonts w:ascii="宋体" w:hAnsi="宋体" w:eastAsia="宋体" w:cs="宋体"/>
                <w:bCs/>
                <w:sz w:val="24"/>
                <w:szCs w:val="24"/>
              </w:rPr>
            </w:pPr>
            <w:bookmarkStart w:id="31" w:name="_Toc21361"/>
            <w:r>
              <w:rPr>
                <w:rFonts w:hint="eastAsia" w:ascii="宋体" w:hAnsi="宋体" w:eastAsia="宋体" w:cs="宋体"/>
                <w:bCs/>
                <w:sz w:val="24"/>
                <w:szCs w:val="24"/>
              </w:rPr>
              <w:t>序号</w:t>
            </w:r>
          </w:p>
        </w:tc>
        <w:tc>
          <w:tcPr>
            <w:tcW w:w="408" w:type="pct"/>
            <w:vAlign w:val="center"/>
          </w:tcPr>
          <w:p>
            <w:pPr>
              <w:jc w:val="center"/>
              <w:rPr>
                <w:rFonts w:ascii="宋体" w:hAnsi="宋体" w:eastAsia="宋体" w:cs="宋体"/>
                <w:bCs/>
                <w:sz w:val="24"/>
                <w:szCs w:val="24"/>
              </w:rPr>
            </w:pPr>
            <w:r>
              <w:rPr>
                <w:rFonts w:hint="eastAsia" w:ascii="宋体" w:hAnsi="宋体" w:eastAsia="宋体" w:cs="宋体"/>
                <w:bCs/>
                <w:sz w:val="24"/>
                <w:szCs w:val="24"/>
              </w:rPr>
              <w:t>设备名称</w:t>
            </w:r>
          </w:p>
        </w:tc>
        <w:tc>
          <w:tcPr>
            <w:tcW w:w="4366" w:type="pct"/>
            <w:vAlign w:val="center"/>
          </w:tcPr>
          <w:p>
            <w:pPr>
              <w:jc w:val="center"/>
              <w:rPr>
                <w:rFonts w:ascii="宋体" w:hAnsi="宋体" w:eastAsia="宋体" w:cs="宋体"/>
                <w:bCs/>
                <w:sz w:val="24"/>
                <w:szCs w:val="24"/>
              </w:rPr>
            </w:pPr>
            <w:r>
              <w:rPr>
                <w:rFonts w:hint="eastAsia" w:ascii="宋体" w:hAnsi="宋体" w:eastAsia="宋体" w:cs="宋体"/>
                <w:bCs/>
                <w:sz w:val="24"/>
                <w:szCs w:val="24"/>
              </w:rPr>
              <w:t>详细参数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 w:type="pct"/>
            <w:vAlign w:val="center"/>
          </w:tcPr>
          <w:p>
            <w:pPr>
              <w:jc w:val="center"/>
              <w:rPr>
                <w:rFonts w:ascii="宋体" w:hAnsi="宋体" w:eastAsia="宋体" w:cs="宋体"/>
                <w:bCs/>
                <w:sz w:val="24"/>
                <w:szCs w:val="24"/>
              </w:rPr>
            </w:pPr>
            <w:r>
              <w:rPr>
                <w:rFonts w:hint="eastAsia" w:ascii="宋体" w:hAnsi="宋体" w:eastAsia="宋体" w:cs="宋体"/>
                <w:bCs/>
                <w:sz w:val="24"/>
                <w:szCs w:val="24"/>
              </w:rPr>
              <w:t>1</w:t>
            </w:r>
          </w:p>
        </w:tc>
        <w:tc>
          <w:tcPr>
            <w:tcW w:w="408" w:type="pct"/>
            <w:vAlign w:val="center"/>
          </w:tcPr>
          <w:p>
            <w:pPr>
              <w:jc w:val="center"/>
              <w:rPr>
                <w:rFonts w:hint="default" w:ascii="宋体" w:hAnsi="宋体" w:eastAsia="宋体" w:cs="宋体"/>
                <w:bCs/>
                <w:sz w:val="24"/>
                <w:szCs w:val="24"/>
                <w:lang w:val="en-US" w:eastAsia="zh-CN"/>
              </w:rPr>
            </w:pPr>
            <w:r>
              <w:rPr>
                <w:rFonts w:hint="eastAsia" w:ascii="宋体" w:hAnsi="宋体" w:eastAsia="宋体" w:cs="宋体"/>
                <w:sz w:val="24"/>
                <w:szCs w:val="24"/>
                <w:lang w:val="en-US" w:eastAsia="zh-CN"/>
              </w:rPr>
              <w:t>数控车床</w:t>
            </w:r>
          </w:p>
        </w:tc>
        <w:tc>
          <w:tcPr>
            <w:tcW w:w="4366" w:type="pct"/>
            <w:vAlign w:val="center"/>
          </w:tcPr>
          <w:p>
            <w:pPr>
              <w:pStyle w:val="965"/>
              <w:numPr>
                <w:ilvl w:val="0"/>
                <w:numId w:val="3"/>
              </w:numPr>
              <w:ind w:leftChars="0"/>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rPr>
              <w:t>机床特性</w:t>
            </w:r>
            <w:r>
              <w:rPr>
                <w:rFonts w:hint="eastAsia" w:ascii="宋体" w:hAnsi="宋体" w:eastAsia="宋体" w:cs="宋体"/>
                <w:b/>
                <w:sz w:val="24"/>
                <w:szCs w:val="24"/>
                <w:highlight w:val="none"/>
                <w:lang w:val="en-US" w:eastAsia="zh-CN"/>
              </w:rPr>
              <w:t>要求</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1、床身： </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采用平床身结构，树脂砂造型，优质铸铁铸造；导轨采用中频淬火磨削和贴塑工艺，具有良好的耐磨性和精度保持性。 </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 车削主运动 ：</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通过变频系统控制变频电机可实现200～2000rpm（正反转）无级调速，主轴电机功率为7.5kw。该主传动系统经过精心的优化设计，具有传动精度高、功率扭矩特性优良、转速高、传动平稳、结构紧凑的特点。 </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 进给运动： </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横向（X轴）及纵向（Z轴）进给运动均由伺服电机驱动精密滚珠丝副实现快移和进给运动。 X向丝杠直径25mm，Z向丝杠直径40mm。采用优质精密滚珠丝杆。 滑板导轨贴有防爬行的塑料软带，可很好的保证机床的定位精度和重复定位精度。 </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4. 尾座： </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机床尾座的设计充分考虑了刚性、承载能力和使用的宜人性。顶紧方式为手动。 </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5.卡盘 ：</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机床配置K11250 250mm手动三爪自定心卡盘。 </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6. 集中润滑： </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采用集中润滑系统来实现各导轨副，滚珠丝杠和轴承的润滑。润滑泵具有工作状态显示和液压监视等功能。并可随时调整注油周期。 </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7、数控刀架： </w:t>
            </w:r>
          </w:p>
          <w:p>
            <w:pPr>
              <w:spacing w:line="24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采用立式四工位数控刀架，具有定位精度高、稳定可靠，应用范围广、结构简单、维修方便等特点。</w:t>
            </w:r>
          </w:p>
          <w:p>
            <w:pPr>
              <w:numPr>
                <w:ilvl w:val="0"/>
                <w:numId w:val="3"/>
              </w:numPr>
              <w:bidi w:val="0"/>
              <w:rPr>
                <w:rFonts w:hint="eastAsia"/>
                <w:b/>
                <w:bCs/>
                <w:sz w:val="24"/>
                <w:szCs w:val="24"/>
                <w:lang w:val="en-US" w:eastAsia="zh-CN"/>
              </w:rPr>
            </w:pPr>
            <w:r>
              <w:rPr>
                <w:rFonts w:hint="eastAsia"/>
                <w:b/>
                <w:bCs/>
                <w:sz w:val="24"/>
                <w:szCs w:val="24"/>
                <w:lang w:val="en-US" w:eastAsia="zh-CN"/>
              </w:rPr>
              <w:t>技术参数要求</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  床身上最大回转直径 ≥Φ500 mm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滑板上最大回转直径 ≥Φ250mm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w:t>
            </w:r>
            <w:r>
              <w:rPr>
                <w:rFonts w:hint="eastAsia" w:ascii="宋体" w:hAnsi="宋体" w:eastAsia="宋体" w:cs="宋体"/>
                <w:sz w:val="24"/>
                <w:szCs w:val="24"/>
                <w:highlight w:val="none"/>
              </w:rPr>
              <w:tab/>
            </w:r>
            <w:r>
              <w:rPr>
                <w:rFonts w:hint="eastAsia" w:ascii="宋体" w:hAnsi="宋体" w:eastAsia="宋体" w:cs="宋体"/>
                <w:sz w:val="24"/>
                <w:szCs w:val="24"/>
                <w:highlight w:val="none"/>
              </w:rPr>
              <w:t xml:space="preserve">X轴行程 ≥310 mm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Z轴行程 ≥820 mm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★2.2</w:t>
            </w:r>
            <w:r>
              <w:rPr>
                <w:rFonts w:hint="eastAsia" w:ascii="宋体" w:hAnsi="宋体" w:eastAsia="宋体" w:cs="宋体"/>
                <w:sz w:val="24"/>
                <w:szCs w:val="24"/>
                <w:highlight w:val="none"/>
              </w:rPr>
              <w:tab/>
            </w:r>
            <w:r>
              <w:rPr>
                <w:rFonts w:hint="eastAsia" w:ascii="宋体" w:hAnsi="宋体" w:eastAsia="宋体" w:cs="宋体"/>
                <w:sz w:val="24"/>
                <w:szCs w:val="24"/>
                <w:highlight w:val="none"/>
              </w:rPr>
              <w:t>两顶尖间最大工件长度 ≥800mm</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顶尖间工件最大重量 ≥300 kg</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w:t>
            </w:r>
            <w:r>
              <w:rPr>
                <w:rFonts w:hint="eastAsia" w:ascii="宋体" w:hAnsi="宋体" w:eastAsia="宋体" w:cs="宋体"/>
                <w:sz w:val="24"/>
                <w:szCs w:val="24"/>
                <w:highlight w:val="none"/>
              </w:rPr>
              <w:tab/>
            </w:r>
            <w:r>
              <w:rPr>
                <w:rFonts w:hint="eastAsia" w:ascii="宋体" w:hAnsi="宋体" w:eastAsia="宋体" w:cs="宋体"/>
                <w:sz w:val="24"/>
                <w:szCs w:val="24"/>
                <w:highlight w:val="none"/>
              </w:rPr>
              <w:t>主轴通孔直径 ≥Φ80mm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★3.2</w:t>
            </w:r>
            <w:r>
              <w:rPr>
                <w:rFonts w:hint="eastAsia" w:ascii="宋体" w:hAnsi="宋体" w:eastAsia="宋体" w:cs="宋体"/>
                <w:sz w:val="24"/>
                <w:szCs w:val="24"/>
                <w:highlight w:val="none"/>
              </w:rPr>
              <w:tab/>
            </w:r>
            <w:r>
              <w:rPr>
                <w:rFonts w:hint="eastAsia" w:ascii="宋体" w:hAnsi="宋体" w:eastAsia="宋体" w:cs="宋体"/>
                <w:sz w:val="24"/>
                <w:szCs w:val="24"/>
                <w:highlight w:val="none"/>
              </w:rPr>
              <w:t>主轴转速范围  全无级变速200-2000rpm（独立主轴）</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3.3</w:t>
            </w:r>
            <w:r>
              <w:rPr>
                <w:rFonts w:hint="eastAsia" w:ascii="宋体" w:hAnsi="宋体" w:eastAsia="宋体" w:cs="宋体"/>
                <w:sz w:val="24"/>
                <w:szCs w:val="24"/>
                <w:highlight w:val="none"/>
              </w:rPr>
              <w:tab/>
            </w:r>
            <w:r>
              <w:rPr>
                <w:rFonts w:hint="eastAsia" w:ascii="宋体" w:hAnsi="宋体" w:eastAsia="宋体" w:cs="宋体"/>
                <w:sz w:val="24"/>
                <w:szCs w:val="24"/>
                <w:highlight w:val="none"/>
              </w:rPr>
              <w:t>主轴前锥孔 1：20 公制 90 mm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3.4</w:t>
            </w:r>
            <w:r>
              <w:rPr>
                <w:rFonts w:hint="eastAsia" w:ascii="宋体" w:hAnsi="宋体" w:eastAsia="宋体" w:cs="宋体"/>
                <w:sz w:val="24"/>
                <w:szCs w:val="24"/>
                <w:highlight w:val="none"/>
              </w:rPr>
              <w:tab/>
            </w:r>
            <w:r>
              <w:rPr>
                <w:rFonts w:hint="eastAsia" w:ascii="宋体" w:hAnsi="宋体" w:eastAsia="宋体" w:cs="宋体"/>
                <w:sz w:val="24"/>
                <w:szCs w:val="24"/>
                <w:highlight w:val="none"/>
              </w:rPr>
              <w:t>主轴电机功率 7.5kw (变频主轴)</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4.1</w:t>
            </w:r>
            <w:r>
              <w:rPr>
                <w:rFonts w:hint="eastAsia" w:ascii="宋体" w:hAnsi="宋体" w:eastAsia="宋体" w:cs="宋体"/>
                <w:sz w:val="24"/>
                <w:szCs w:val="24"/>
                <w:highlight w:val="none"/>
              </w:rPr>
              <w:tab/>
            </w:r>
            <w:r>
              <w:rPr>
                <w:rFonts w:hint="eastAsia" w:ascii="宋体" w:hAnsi="宋体" w:eastAsia="宋体" w:cs="宋体"/>
                <w:sz w:val="24"/>
                <w:szCs w:val="24"/>
                <w:highlight w:val="none"/>
              </w:rPr>
              <w:t>数控刀架 立式四工位刀架</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★4.2</w:t>
            </w:r>
            <w:r>
              <w:rPr>
                <w:rFonts w:hint="eastAsia" w:ascii="宋体" w:hAnsi="宋体" w:eastAsia="宋体" w:cs="宋体"/>
                <w:sz w:val="24"/>
                <w:szCs w:val="24"/>
                <w:highlight w:val="none"/>
              </w:rPr>
              <w:tab/>
            </w:r>
            <w:r>
              <w:rPr>
                <w:rFonts w:hint="eastAsia" w:ascii="宋体" w:hAnsi="宋体" w:eastAsia="宋体" w:cs="宋体"/>
                <w:sz w:val="24"/>
                <w:szCs w:val="24"/>
                <w:highlight w:val="none"/>
              </w:rPr>
              <w:t>刀柄尺寸 25×25mm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4.3</w:t>
            </w:r>
            <w:r>
              <w:rPr>
                <w:rFonts w:hint="eastAsia" w:ascii="宋体" w:hAnsi="宋体" w:eastAsia="宋体" w:cs="宋体"/>
                <w:sz w:val="24"/>
                <w:szCs w:val="24"/>
                <w:highlight w:val="none"/>
              </w:rPr>
              <w:tab/>
            </w:r>
            <w:r>
              <w:rPr>
                <w:rFonts w:hint="eastAsia" w:ascii="宋体" w:hAnsi="宋体" w:eastAsia="宋体" w:cs="宋体"/>
                <w:sz w:val="24"/>
                <w:szCs w:val="24"/>
                <w:highlight w:val="none"/>
              </w:rPr>
              <w:t>刀架重复定位精度 ±3.2″ 0.005 mm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5.1</w:t>
            </w:r>
            <w:r>
              <w:rPr>
                <w:rFonts w:hint="eastAsia" w:ascii="宋体" w:hAnsi="宋体" w:eastAsia="宋体" w:cs="宋体"/>
                <w:sz w:val="24"/>
                <w:szCs w:val="24"/>
                <w:highlight w:val="none"/>
              </w:rPr>
              <w:tab/>
            </w:r>
            <w:r>
              <w:rPr>
                <w:rFonts w:hint="eastAsia" w:ascii="宋体" w:hAnsi="宋体" w:eastAsia="宋体" w:cs="宋体"/>
                <w:sz w:val="24"/>
                <w:szCs w:val="24"/>
                <w:highlight w:val="none"/>
              </w:rPr>
              <w:t>快移速度 X：8000 mm/min Z：10000 mm/min</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5.2</w:t>
            </w:r>
            <w:r>
              <w:rPr>
                <w:rFonts w:hint="eastAsia" w:ascii="宋体" w:hAnsi="宋体" w:eastAsia="宋体" w:cs="宋体"/>
                <w:sz w:val="24"/>
                <w:szCs w:val="24"/>
                <w:highlight w:val="none"/>
              </w:rPr>
              <w:tab/>
            </w:r>
            <w:r>
              <w:rPr>
                <w:rFonts w:hint="eastAsia" w:ascii="宋体" w:hAnsi="宋体" w:eastAsia="宋体" w:cs="宋体"/>
                <w:sz w:val="24"/>
                <w:szCs w:val="24"/>
                <w:highlight w:val="none"/>
              </w:rPr>
              <w:t>进给速度范围 X：1～2000 mm/min Z：1～2000 mm/min</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5.3</w:t>
            </w:r>
            <w:r>
              <w:rPr>
                <w:rFonts w:hint="eastAsia" w:ascii="宋体" w:hAnsi="宋体" w:eastAsia="宋体" w:cs="宋体"/>
                <w:sz w:val="24"/>
                <w:szCs w:val="24"/>
                <w:highlight w:val="none"/>
              </w:rPr>
              <w:tab/>
            </w:r>
            <w:r>
              <w:rPr>
                <w:rFonts w:hint="eastAsia" w:ascii="宋体" w:hAnsi="宋体" w:eastAsia="宋体" w:cs="宋体"/>
                <w:sz w:val="24"/>
                <w:szCs w:val="24"/>
                <w:highlight w:val="none"/>
              </w:rPr>
              <w:t>最小设定单位 0.001 mm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6.1</w:t>
            </w:r>
            <w:r>
              <w:rPr>
                <w:rFonts w:hint="eastAsia" w:ascii="宋体" w:hAnsi="宋体" w:eastAsia="宋体" w:cs="宋体"/>
                <w:sz w:val="24"/>
                <w:szCs w:val="24"/>
                <w:highlight w:val="none"/>
              </w:rPr>
              <w:tab/>
            </w:r>
            <w:r>
              <w:rPr>
                <w:rFonts w:hint="eastAsia" w:ascii="宋体" w:hAnsi="宋体" w:eastAsia="宋体" w:cs="宋体"/>
                <w:sz w:val="24"/>
                <w:szCs w:val="24"/>
                <w:highlight w:val="none"/>
              </w:rPr>
              <w:t>尾座套筒直径 ≥Φ75 mm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6.2</w:t>
            </w:r>
            <w:r>
              <w:rPr>
                <w:rFonts w:hint="eastAsia" w:ascii="宋体" w:hAnsi="宋体" w:eastAsia="宋体" w:cs="宋体"/>
                <w:sz w:val="24"/>
                <w:szCs w:val="24"/>
                <w:highlight w:val="none"/>
              </w:rPr>
              <w:tab/>
            </w:r>
            <w:r>
              <w:rPr>
                <w:rFonts w:hint="eastAsia" w:ascii="宋体" w:hAnsi="宋体" w:eastAsia="宋体" w:cs="宋体"/>
                <w:sz w:val="24"/>
                <w:szCs w:val="24"/>
                <w:highlight w:val="none"/>
              </w:rPr>
              <w:t>尾座套筒行程 ≥110 mm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6.3</w:t>
            </w:r>
            <w:r>
              <w:rPr>
                <w:rFonts w:hint="eastAsia" w:ascii="宋体" w:hAnsi="宋体" w:eastAsia="宋体" w:cs="宋体"/>
                <w:sz w:val="24"/>
                <w:szCs w:val="24"/>
                <w:highlight w:val="none"/>
              </w:rPr>
              <w:tab/>
            </w:r>
            <w:r>
              <w:rPr>
                <w:rFonts w:hint="eastAsia" w:ascii="宋体" w:hAnsi="宋体" w:eastAsia="宋体" w:cs="宋体"/>
                <w:sz w:val="24"/>
                <w:szCs w:val="24"/>
                <w:highlight w:val="none"/>
              </w:rPr>
              <w:t>尾座套筒锥孔锥度 莫氏5号</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7.1</w:t>
            </w:r>
            <w:r>
              <w:rPr>
                <w:rFonts w:hint="eastAsia" w:ascii="宋体" w:hAnsi="宋体" w:eastAsia="宋体" w:cs="宋体"/>
                <w:sz w:val="24"/>
                <w:szCs w:val="24"/>
                <w:highlight w:val="none"/>
              </w:rPr>
              <w:tab/>
            </w:r>
            <w:r>
              <w:rPr>
                <w:rFonts w:hint="eastAsia" w:ascii="宋体" w:hAnsi="宋体" w:eastAsia="宋体" w:cs="宋体"/>
                <w:sz w:val="24"/>
                <w:szCs w:val="24"/>
                <w:highlight w:val="none"/>
              </w:rPr>
              <w:t>工件精度：IT7</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7.2</w:t>
            </w:r>
            <w:r>
              <w:rPr>
                <w:rFonts w:hint="eastAsia" w:ascii="宋体" w:hAnsi="宋体" w:eastAsia="宋体" w:cs="宋体"/>
                <w:sz w:val="24"/>
                <w:szCs w:val="24"/>
                <w:highlight w:val="none"/>
              </w:rPr>
              <w:tab/>
            </w:r>
            <w:r>
              <w:rPr>
                <w:rFonts w:hint="eastAsia" w:ascii="宋体" w:hAnsi="宋体" w:eastAsia="宋体" w:cs="宋体"/>
                <w:sz w:val="24"/>
                <w:szCs w:val="24"/>
                <w:highlight w:val="none"/>
              </w:rPr>
              <w:t>工件表面粗糙度：Ra1.6μm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7.3</w:t>
            </w:r>
            <w:r>
              <w:rPr>
                <w:rFonts w:hint="eastAsia" w:ascii="宋体" w:hAnsi="宋体" w:eastAsia="宋体" w:cs="宋体"/>
                <w:sz w:val="24"/>
                <w:szCs w:val="24"/>
                <w:highlight w:val="none"/>
              </w:rPr>
              <w:tab/>
            </w:r>
            <w:r>
              <w:rPr>
                <w:rFonts w:hint="eastAsia" w:ascii="宋体" w:hAnsi="宋体" w:eastAsia="宋体" w:cs="宋体"/>
                <w:sz w:val="24"/>
                <w:szCs w:val="24"/>
                <w:highlight w:val="none"/>
              </w:rPr>
              <w:t>定位精度 :X轴(橫向)≤0.015mm;        Z轴(纵向)≤0.020mm;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7.4</w:t>
            </w:r>
            <w:r>
              <w:rPr>
                <w:rFonts w:hint="eastAsia" w:ascii="宋体" w:hAnsi="宋体" w:eastAsia="宋体" w:cs="宋体"/>
                <w:sz w:val="24"/>
                <w:szCs w:val="24"/>
                <w:highlight w:val="none"/>
              </w:rPr>
              <w:tab/>
            </w:r>
            <w:r>
              <w:rPr>
                <w:rFonts w:hint="eastAsia" w:ascii="宋体" w:hAnsi="宋体" w:eastAsia="宋体" w:cs="宋体"/>
                <w:sz w:val="24"/>
                <w:szCs w:val="24"/>
                <w:highlight w:val="none"/>
              </w:rPr>
              <w:t>重复定位精度:X轴(橫向)≤0.010mm;</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Z轴(纵向)≤0.015mm;</w:t>
            </w:r>
            <w:r>
              <w:rPr>
                <w:rFonts w:hint="eastAsia" w:ascii="宋体" w:hAnsi="宋体" w:eastAsia="宋体" w:cs="宋体"/>
                <w:sz w:val="24"/>
                <w:szCs w:val="24"/>
                <w:highlight w:val="none"/>
              </w:rPr>
              <w:tab/>
            </w:r>
            <w:r>
              <w:rPr>
                <w:rFonts w:hint="eastAsia" w:ascii="宋体" w:hAnsi="宋体" w:eastAsia="宋体" w:cs="宋体"/>
                <w:sz w:val="24"/>
                <w:szCs w:val="24"/>
                <w:highlight w:val="none"/>
                <w:lang w:val="en-US" w:eastAsia="zh-CN"/>
              </w:rPr>
              <w:t xml:space="preserve">  </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7.5</w:t>
            </w:r>
            <w:r>
              <w:rPr>
                <w:rFonts w:hint="eastAsia" w:ascii="宋体" w:hAnsi="宋体" w:eastAsia="宋体" w:cs="宋体"/>
                <w:sz w:val="24"/>
                <w:szCs w:val="24"/>
                <w:highlight w:val="none"/>
              </w:rPr>
              <w:tab/>
            </w:r>
            <w:r>
              <w:rPr>
                <w:rFonts w:hint="eastAsia" w:ascii="宋体" w:hAnsi="宋体" w:eastAsia="宋体" w:cs="宋体"/>
                <w:sz w:val="24"/>
                <w:szCs w:val="24"/>
                <w:highlight w:val="none"/>
              </w:rPr>
              <w:t>圆度：≤0.007mm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7.6</w:t>
            </w:r>
            <w:r>
              <w:rPr>
                <w:rFonts w:hint="eastAsia" w:ascii="宋体" w:hAnsi="宋体" w:eastAsia="宋体" w:cs="宋体"/>
                <w:sz w:val="24"/>
                <w:szCs w:val="24"/>
                <w:highlight w:val="none"/>
              </w:rPr>
              <w:tab/>
            </w:r>
            <w:r>
              <w:rPr>
                <w:rFonts w:hint="eastAsia" w:ascii="宋体" w:hAnsi="宋体" w:eastAsia="宋体" w:cs="宋体"/>
                <w:sz w:val="24"/>
                <w:szCs w:val="24"/>
                <w:highlight w:val="none"/>
              </w:rPr>
              <w:t>平面度：≤0.025/直径300mm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7.7</w:t>
            </w:r>
            <w:r>
              <w:rPr>
                <w:rFonts w:hint="eastAsia" w:ascii="宋体" w:hAnsi="宋体" w:eastAsia="宋体" w:cs="宋体"/>
                <w:sz w:val="24"/>
                <w:szCs w:val="24"/>
                <w:highlight w:val="none"/>
              </w:rPr>
              <w:tab/>
            </w:r>
            <w:r>
              <w:rPr>
                <w:rFonts w:hint="eastAsia" w:ascii="宋体" w:hAnsi="宋体" w:eastAsia="宋体" w:cs="宋体"/>
                <w:sz w:val="24"/>
                <w:szCs w:val="24"/>
                <w:highlight w:val="none"/>
              </w:rPr>
              <w:t>直径一致性:≤0.03mm/长度300mm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cs="宋体"/>
                <w:b/>
                <w:bCs/>
                <w:sz w:val="24"/>
                <w:szCs w:val="24"/>
              </w:rPr>
              <w:t>▲</w:t>
            </w:r>
            <w:r>
              <w:rPr>
                <w:rFonts w:hint="eastAsia" w:ascii="宋体" w:hAnsi="宋体" w:eastAsia="宋体" w:cs="宋体"/>
                <w:sz w:val="24"/>
                <w:szCs w:val="24"/>
                <w:highlight w:val="none"/>
              </w:rPr>
              <w:t>8 机床防护罩：全封闭型</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9</w:t>
            </w:r>
            <w:r>
              <w:rPr>
                <w:rFonts w:hint="eastAsia" w:ascii="宋体" w:hAnsi="宋体" w:eastAsia="宋体" w:cs="宋体"/>
                <w:sz w:val="24"/>
                <w:szCs w:val="24"/>
                <w:highlight w:val="none"/>
              </w:rPr>
              <w:tab/>
            </w:r>
            <w:r>
              <w:rPr>
                <w:rFonts w:hint="eastAsia" w:ascii="宋体" w:hAnsi="宋体" w:eastAsia="宋体" w:cs="宋体"/>
                <w:sz w:val="24"/>
                <w:szCs w:val="24"/>
                <w:highlight w:val="none"/>
              </w:rPr>
              <w:t>机床尺寸: ≥（长×宽×高） 2900×1500×1800  mm</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10</w:t>
            </w:r>
            <w:r>
              <w:rPr>
                <w:rFonts w:hint="eastAsia" w:ascii="宋体" w:hAnsi="宋体" w:eastAsia="宋体" w:cs="宋体"/>
                <w:sz w:val="24"/>
                <w:szCs w:val="24"/>
                <w:highlight w:val="none"/>
              </w:rPr>
              <w:tab/>
            </w:r>
            <w:r>
              <w:rPr>
                <w:rFonts w:hint="eastAsia" w:ascii="宋体" w:hAnsi="宋体" w:eastAsia="宋体" w:cs="宋体"/>
                <w:sz w:val="24"/>
                <w:szCs w:val="24"/>
                <w:highlight w:val="none"/>
              </w:rPr>
              <w:t>机床重量 ≥ 2800 kg</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11</w:t>
            </w:r>
            <w:r>
              <w:rPr>
                <w:rFonts w:hint="eastAsia" w:ascii="宋体" w:hAnsi="宋体" w:eastAsia="宋体" w:cs="宋体"/>
                <w:sz w:val="24"/>
                <w:szCs w:val="24"/>
                <w:highlight w:val="none"/>
              </w:rPr>
              <w:tab/>
            </w:r>
            <w:r>
              <w:rPr>
                <w:rFonts w:hint="eastAsia" w:ascii="宋体" w:hAnsi="宋体" w:eastAsia="宋体" w:cs="宋体"/>
                <w:sz w:val="24"/>
                <w:szCs w:val="24"/>
                <w:highlight w:val="none"/>
              </w:rPr>
              <w:t>机床主要配置</w:t>
            </w:r>
            <w:r>
              <w:rPr>
                <w:rFonts w:hint="eastAsia" w:ascii="宋体" w:hAnsi="宋体" w:eastAsia="宋体" w:cs="宋体"/>
                <w:sz w:val="24"/>
                <w:szCs w:val="24"/>
                <w:highlight w:val="none"/>
              </w:rPr>
              <w:tab/>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11.1</w:t>
            </w:r>
            <w:r>
              <w:rPr>
                <w:rFonts w:hint="eastAsia" w:ascii="宋体" w:hAnsi="宋体" w:eastAsia="宋体" w:cs="宋体"/>
                <w:sz w:val="24"/>
                <w:szCs w:val="24"/>
                <w:highlight w:val="none"/>
              </w:rPr>
              <w:tab/>
            </w:r>
            <w:r>
              <w:rPr>
                <w:rFonts w:hint="eastAsia" w:ascii="宋体" w:hAnsi="宋体" w:eastAsia="宋体" w:cs="宋体"/>
                <w:sz w:val="24"/>
                <w:szCs w:val="24"/>
                <w:highlight w:val="none"/>
              </w:rPr>
              <w:t>数控系统:  KND 2200i/华中808Di</w:t>
            </w:r>
          </w:p>
          <w:p>
            <w:pPr>
              <w:spacing w:line="240" w:lineRule="auto"/>
              <w:rPr>
                <w:rFonts w:hint="eastAsia" w:ascii="宋体" w:hAnsi="宋体" w:eastAsia="宋体" w:cs="宋体"/>
                <w:sz w:val="24"/>
                <w:szCs w:val="24"/>
                <w:highlight w:val="none"/>
              </w:rPr>
            </w:pPr>
            <w:r>
              <w:rPr>
                <w:rFonts w:hint="eastAsia" w:ascii="宋体" w:hAnsi="宋体" w:cs="宋体"/>
                <w:b/>
                <w:bCs/>
                <w:sz w:val="24"/>
                <w:szCs w:val="24"/>
              </w:rPr>
              <w:t>▲</w:t>
            </w:r>
            <w:r>
              <w:rPr>
                <w:rFonts w:hint="eastAsia" w:ascii="宋体" w:hAnsi="宋体" w:eastAsia="宋体" w:cs="宋体"/>
                <w:sz w:val="24"/>
                <w:szCs w:val="24"/>
                <w:highlight w:val="none"/>
              </w:rPr>
              <w:t>11.2</w:t>
            </w:r>
            <w:r>
              <w:rPr>
                <w:rFonts w:hint="eastAsia" w:ascii="宋体" w:hAnsi="宋体" w:eastAsia="宋体" w:cs="宋体"/>
                <w:sz w:val="24"/>
                <w:szCs w:val="24"/>
                <w:highlight w:val="none"/>
              </w:rPr>
              <w:tab/>
            </w:r>
            <w:r>
              <w:rPr>
                <w:rFonts w:hint="eastAsia" w:ascii="宋体" w:hAnsi="宋体" w:eastAsia="宋体" w:cs="宋体"/>
                <w:sz w:val="24"/>
                <w:szCs w:val="24"/>
                <w:highlight w:val="none"/>
              </w:rPr>
              <w:t>绝对式系统，以太网DNC加工</w:t>
            </w:r>
          </w:p>
          <w:p>
            <w:pPr>
              <w:numPr>
                <w:ilvl w:val="0"/>
                <w:numId w:val="4"/>
              </w:numPr>
              <w:spacing w:line="240" w:lineRule="auto"/>
              <w:rPr>
                <w:rFonts w:hint="eastAsia" w:ascii="宋体" w:hAnsi="宋体" w:eastAsia="宋体" w:cs="宋体"/>
                <w:b w:val="0"/>
                <w:bCs w:val="0"/>
                <w:sz w:val="24"/>
                <w:szCs w:val="24"/>
                <w:lang w:val="en-US" w:eastAsia="zh-CN"/>
              </w:rPr>
            </w:pPr>
            <w:r>
              <w:rPr>
                <w:rFonts w:hint="eastAsia" w:ascii="宋体" w:hAnsi="宋体" w:eastAsia="宋体" w:cs="宋体"/>
                <w:color w:val="000000"/>
                <w:sz w:val="24"/>
                <w:szCs w:val="24"/>
              </w:rPr>
              <w:t>★</w:t>
            </w:r>
            <w:r>
              <w:rPr>
                <w:rFonts w:hint="eastAsia" w:ascii="宋体" w:hAnsi="宋体" w:eastAsia="宋体" w:cs="宋体"/>
                <w:b w:val="0"/>
                <w:bCs w:val="0"/>
                <w:sz w:val="24"/>
                <w:szCs w:val="24"/>
                <w:highlight w:val="none"/>
                <w:lang w:val="en-US" w:eastAsia="zh-CN"/>
              </w:rPr>
              <w:t>数控车床</w:t>
            </w:r>
            <w:r>
              <w:rPr>
                <w:rFonts w:hint="eastAsia" w:ascii="宋体" w:hAnsi="宋体" w:eastAsia="宋体" w:cs="宋体"/>
                <w:b w:val="0"/>
                <w:bCs w:val="0"/>
                <w:sz w:val="24"/>
                <w:szCs w:val="24"/>
                <w:lang w:val="en-US" w:eastAsia="zh-CN"/>
              </w:rPr>
              <w:t>需支持教育部全国职业院校技能大赛--中职组“现代加工技术”赛项，需提供证明材料(加盖制造商公章）。</w:t>
            </w:r>
          </w:p>
          <w:p>
            <w:pPr>
              <w:pStyle w:val="2"/>
              <w:numPr>
                <w:ilvl w:val="0"/>
                <w:numId w:val="3"/>
              </w:numPr>
              <w:ind w:left="0" w:leftChars="0" w:firstLine="0" w:firstLineChars="0"/>
              <w:rPr>
                <w:rFonts w:hint="eastAsia" w:ascii="宋体" w:hAnsi="宋体" w:eastAsia="宋体" w:cs="宋体"/>
                <w:b/>
                <w:bCs/>
                <w:color w:val="000000"/>
                <w:sz w:val="24"/>
                <w:szCs w:val="24"/>
                <w:lang w:val="en-US" w:eastAsia="zh-CN"/>
              </w:rPr>
            </w:pPr>
            <w:r>
              <w:rPr>
                <w:rFonts w:hint="eastAsia" w:ascii="宋体" w:hAnsi="宋体" w:eastAsia="宋体" w:cs="宋体"/>
                <w:b/>
                <w:bCs/>
                <w:sz w:val="24"/>
                <w:szCs w:val="24"/>
              </w:rPr>
              <w:t>CAM制造工程师</w:t>
            </w:r>
            <w:r>
              <w:rPr>
                <w:rFonts w:hint="eastAsia" w:ascii="宋体" w:hAnsi="宋体" w:eastAsia="宋体" w:cs="宋体"/>
                <w:b/>
                <w:bCs/>
                <w:sz w:val="24"/>
                <w:szCs w:val="24"/>
                <w:lang w:val="en-US" w:eastAsia="zh-CN"/>
              </w:rPr>
              <w:t>加工</w:t>
            </w:r>
            <w:r>
              <w:rPr>
                <w:rFonts w:hint="eastAsia" w:ascii="宋体" w:hAnsi="宋体" w:eastAsia="宋体" w:cs="宋体"/>
                <w:b/>
                <w:bCs/>
                <w:sz w:val="24"/>
                <w:szCs w:val="24"/>
              </w:rPr>
              <w:t>软</w:t>
            </w:r>
            <w:r>
              <w:rPr>
                <w:rFonts w:hint="eastAsia" w:ascii="宋体" w:hAnsi="宋体" w:eastAsia="宋体" w:cs="宋体"/>
                <w:b/>
                <w:bCs/>
                <w:sz w:val="24"/>
                <w:szCs w:val="24"/>
                <w:lang w:val="en-US" w:eastAsia="zh-CN"/>
              </w:rPr>
              <w:t>件</w:t>
            </w:r>
            <w:r>
              <w:rPr>
                <w:rFonts w:hint="eastAsia" w:ascii="宋体" w:hAnsi="宋体" w:eastAsia="宋体" w:cs="宋体"/>
                <w:sz w:val="24"/>
                <w:szCs w:val="24"/>
                <w:lang w:val="en-US" w:eastAsia="zh-CN"/>
              </w:rPr>
              <w:t>（</w:t>
            </w:r>
            <w:r>
              <w:rPr>
                <w:rFonts w:hint="eastAsia" w:ascii="宋体" w:hAnsi="宋体" w:eastAsia="宋体" w:cs="宋体"/>
                <w:b/>
                <w:bCs/>
                <w:color w:val="000000"/>
                <w:sz w:val="24"/>
                <w:szCs w:val="24"/>
                <w:lang w:val="en-US" w:eastAsia="zh-CN"/>
              </w:rPr>
              <w:t>18个节点的网络版院校升级，2个节点的单机版院校升级，4个节点的单机版院校新增</w:t>
            </w:r>
            <w:r>
              <w:rPr>
                <w:rFonts w:hint="eastAsia" w:ascii="宋体" w:hAnsi="宋体" w:eastAsia="宋体" w:cs="宋体"/>
                <w:b/>
                <w:bCs/>
                <w:sz w:val="24"/>
                <w:szCs w:val="24"/>
                <w:lang w:val="en-US" w:eastAsia="zh-CN"/>
              </w:rPr>
              <w:t>）</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1、集成二维绘图、三维造型和加工制造。</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2、★提供创新模式和工程模式两种零件建模（三维造型）方式，支持用户构建3D模型，支持用户进行基于历史特征的全参数化设计。</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提供演示视频</w:t>
            </w:r>
            <w:r>
              <w:rPr>
                <w:rFonts w:hint="eastAsia" w:ascii="宋体" w:hAnsi="宋体" w:eastAsia="宋体" w:cs="宋体"/>
                <w:b/>
                <w:bCs/>
                <w:color w:val="000000"/>
                <w:sz w:val="24"/>
                <w:szCs w:val="24"/>
                <w:lang w:eastAsia="zh-CN"/>
              </w:rPr>
              <w:t>）</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3、★三维实体造型功能 ：基于鼠标拖放设计元素的三维设计方式，提供基本图素、高级图素及对用户开放的自定义图素。具备拉伸、旋转、放样、导动、抽壳、过渡、拔模特征造型方式以及对特征的编辑、修改、物性计算和干涉检查功能。</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提供演示视频</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eastAsia="zh-CN"/>
              </w:rPr>
              <w:br w:type="textWrapping"/>
            </w:r>
            <w:r>
              <w:rPr>
                <w:rFonts w:hint="eastAsia" w:ascii="宋体" w:hAnsi="宋体" w:eastAsia="宋体" w:cs="宋体"/>
                <w:color w:val="000000"/>
                <w:sz w:val="24"/>
                <w:szCs w:val="24"/>
              </w:rPr>
              <w:t>4、</w:t>
            </w:r>
            <w:r>
              <w:rPr>
                <w:rFonts w:hint="eastAsia" w:ascii="宋体" w:hAnsi="宋体" w:eastAsia="宋体" w:cs="宋体"/>
                <w:color w:val="000000"/>
                <w:kern w:val="0"/>
                <w:sz w:val="24"/>
                <w:szCs w:val="24"/>
                <w:lang w:bidi="ar"/>
              </w:rPr>
              <w:t>★定位与装配：提供三维球工具为各种三维对象的平移、旋转、对齐、定向、定位和拷贝、镜像、阵列（矩形、圆形、螺旋、3D曲线）等各种复杂三维变换提供操作。</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提供演示视频</w:t>
            </w:r>
            <w:r>
              <w:rPr>
                <w:rFonts w:hint="eastAsia" w:ascii="宋体" w:hAnsi="宋体" w:eastAsia="宋体" w:cs="宋体"/>
                <w:b/>
                <w:bCs/>
                <w:color w:val="000000"/>
                <w:sz w:val="24"/>
                <w:szCs w:val="24"/>
                <w:lang w:eastAsia="zh-CN"/>
              </w:rPr>
              <w:t>）</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、具备三维曲面设计功能：具备直纹面、旋转面、导动面、放样面、边界面、网格面生成方式，每种生成方式下还有不同的选项。可以实现实体表面与曲面之间的转换、曲面加厚成实体以及封闭曲面转为实体。</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、在同一环境下进行零件设计和装配设计功能：提供拖放和三维球的无约束装配和基于约束的装配，装配环境与零件设计环境统一并可建立零件与装配之间的关联关系。</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三轴加工功能：多样化的加工方式可以安排从粗加工、半精加工到精加工的加工工艺路线，高效生成刀具轨迹。提供平面区域粗加工、等高线粗加工等粗加工方式；平面轮廓、轮廓导动、曲面轮廓、曲面区域、参数线、投影线、等高线、扫描线、平面、笔式清根、曲线投影、三维偏置、轮廓偏置多种精加工功能。</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、雕刻加工：提供图像浮雕加工、影像雕刻加工、曲面图像浮雕加工雕刻加工功能。</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、知识加工：通过运用知识加工， 经验丰富的编程者则可以将加工的步骤、刀具、工艺条件进行记录、保存和重用，大幅提高编程效率和编程的自动化程度；数控编程的初学者可以快速学会编程，共享经验丰富的编程者的经验和技巧，并且随着企业加工工艺知识的积累和规范化，可形成企业标准化的加工流程。</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、钻孔加工：自动智能识别特征孔的中心点、轴线以及孔的深度，可设置拾取孔直径范围。进行自动生成钻孔加工轨迹。</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加工工艺控制：提供丰富的工艺控制参数，可以方便地控制加工过程，使编程人员的经验得到充分的体现。丰富的刀具轨迹编辑功能可以控制切削方向以及轨迹形状的任意细节，提高机床的进给速度，可得到高品质的加工效果和加工效率。</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提供演示视频</w:t>
            </w:r>
            <w:r>
              <w:rPr>
                <w:rFonts w:hint="eastAsia" w:ascii="宋体" w:hAnsi="宋体" w:eastAsia="宋体" w:cs="宋体"/>
                <w:b/>
                <w:bCs/>
                <w:color w:val="000000"/>
                <w:sz w:val="24"/>
                <w:szCs w:val="24"/>
                <w:lang w:eastAsia="zh-CN"/>
              </w:rPr>
              <w:t>）</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加工轨迹仿真：提供轨迹仿真手段以检验数控代码的正确性。轨迹仿真支持线框仿真和实体仿真。线框仿真显示刀具沿轨迹轮廓的运动过程，让用户快速了解轨迹运动情况；实体真实感仿真模拟加工过程，显示加工余量；自动检查刀具切削刃、刀柄在加工过程中是否存在干涉现象。确保加工正确无误。</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、查询功能：可查询坐标、距离、角度以及图素属性。</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、通用后置处理：提供的后置处理器，无需生成中间文件就可直接输出G代码指令。系统不仅可以提供常见的数控系统后置格式，用户还可以自定义专用数控系统的后置处理格式。</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、提供CPI空间圆弧后置处理技术。</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、★可直接读取EXB、DWG、DXF、IGES、DAT类型的文件生成的图形,完成加工编程，生成加工代码。</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提供演示视频</w:t>
            </w:r>
            <w:r>
              <w:rPr>
                <w:rFonts w:hint="eastAsia" w:ascii="宋体" w:hAnsi="宋体" w:eastAsia="宋体" w:cs="宋体"/>
                <w:b/>
                <w:bCs/>
                <w:color w:val="000000"/>
                <w:sz w:val="24"/>
                <w:szCs w:val="24"/>
                <w:lang w:eastAsia="zh-CN"/>
              </w:rPr>
              <w:t>）</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、机床通信：具有FANUC、SIEMENS、华中数控、广州数控系统通信功能。</w:t>
            </w:r>
          </w:p>
          <w:p>
            <w:pPr>
              <w:numPr>
                <w:ilvl w:val="0"/>
                <w:numId w:val="0"/>
              </w:numPr>
              <w:spacing w:line="360" w:lineRule="auto"/>
              <w:rPr>
                <w:rFonts w:hint="eastAsia" w:ascii="宋体" w:hAnsi="宋体" w:eastAsia="宋体" w:cs="宋体"/>
                <w:b/>
                <w:bCs/>
                <w:spacing w:val="-4"/>
                <w:kern w:val="0"/>
                <w:sz w:val="24"/>
                <w:szCs w:val="24"/>
                <w:lang w:val="en-US" w:eastAsia="zh-CN" w:bidi="ar-SA"/>
              </w:rPr>
            </w:pPr>
            <w:r>
              <w:rPr>
                <w:rFonts w:hint="eastAsia" w:ascii="宋体" w:hAnsi="宋体" w:eastAsia="宋体" w:cs="宋体"/>
                <w:color w:val="000000"/>
                <w:sz w:val="24"/>
                <w:szCs w:val="24"/>
                <w:lang w:val="en-US" w:eastAsia="zh-CN"/>
              </w:rPr>
              <w:t>18</w:t>
            </w:r>
            <w:r>
              <w:rPr>
                <w:rFonts w:hint="eastAsia" w:ascii="宋体" w:hAnsi="宋体" w:eastAsia="宋体" w:cs="宋体"/>
                <w:color w:val="000000"/>
                <w:sz w:val="24"/>
                <w:szCs w:val="24"/>
              </w:rPr>
              <w:t>、★</w:t>
            </w:r>
            <w:r>
              <w:rPr>
                <w:rFonts w:hint="eastAsia" w:ascii="宋体" w:hAnsi="宋体" w:eastAsia="宋体" w:cs="宋体"/>
                <w:sz w:val="24"/>
                <w:szCs w:val="24"/>
                <w:lang w:val="en-US" w:eastAsia="zh-CN"/>
              </w:rPr>
              <w:t>软件需支持教育部全国职业院校技能大赛--中职组“现代加工技术”赛项，需提供证明材料加盖制造商公章。（以2023年度全国职业院校技能大赛赛项规程文件为准）</w:t>
            </w:r>
          </w:p>
          <w:p>
            <w:pPr>
              <w:pStyle w:val="3"/>
              <w:numPr>
                <w:ilvl w:val="0"/>
                <w:numId w:val="0"/>
              </w:numPr>
              <w:ind w:leftChars="0"/>
              <w:rPr>
                <w:rFonts w:hint="eastAsia"/>
                <w:sz w:val="24"/>
                <w:szCs w:val="24"/>
                <w:lang w:val="en-US" w:eastAsia="zh-CN"/>
              </w:rPr>
            </w:pPr>
            <w:r>
              <w:rPr>
                <w:rFonts w:hint="eastAsia"/>
                <w:sz w:val="24"/>
                <w:szCs w:val="24"/>
                <w:lang w:val="en-US" w:eastAsia="zh-CN"/>
              </w:rPr>
              <w:t>19、</w:t>
            </w:r>
            <w:r>
              <w:rPr>
                <w:rFonts w:hint="eastAsia" w:ascii="宋体" w:hAnsi="宋体" w:cs="宋体"/>
                <w:b/>
                <w:bCs/>
                <w:sz w:val="24"/>
                <w:szCs w:val="24"/>
              </w:rPr>
              <w:t>▲</w:t>
            </w:r>
            <w:r>
              <w:rPr>
                <w:rFonts w:hint="eastAsia"/>
                <w:sz w:val="24"/>
                <w:szCs w:val="24"/>
                <w:lang w:val="en-US" w:eastAsia="zh-CN"/>
              </w:rPr>
              <w:t>需提供制造商正版软件授权书</w:t>
            </w:r>
          </w:p>
          <w:p>
            <w:pPr>
              <w:pStyle w:val="4"/>
              <w:ind w:left="0" w:leftChars="0" w:firstLine="0" w:firstLineChars="0"/>
              <w:rPr>
                <w:rFonts w:hint="default" w:ascii="宋体" w:hAnsi="宋体" w:eastAsia="宋体" w:cs="宋体"/>
                <w:b/>
                <w:bCs/>
                <w:sz w:val="24"/>
                <w:szCs w:val="24"/>
                <w:lang w:val="en-US" w:eastAsia="zh-CN"/>
              </w:rPr>
            </w:pPr>
            <w:r>
              <w:rPr>
                <w:rFonts w:hint="eastAsia"/>
                <w:b/>
                <w:bCs/>
                <w:sz w:val="24"/>
                <w:szCs w:val="24"/>
                <w:lang w:val="en-US" w:eastAsia="zh-CN"/>
              </w:rPr>
              <w:t>四、</w:t>
            </w:r>
            <w:r>
              <w:rPr>
                <w:rFonts w:hint="eastAsia" w:ascii="宋体" w:hAnsi="宋体" w:eastAsia="宋体" w:cs="宋体"/>
                <w:b/>
                <w:bCs/>
                <w:sz w:val="24"/>
                <w:szCs w:val="24"/>
              </w:rPr>
              <w:t>CAM数控车软件</w:t>
            </w:r>
            <w:r>
              <w:rPr>
                <w:rFonts w:hint="eastAsia" w:ascii="宋体" w:hAnsi="宋体" w:cs="宋体"/>
                <w:sz w:val="24"/>
                <w:szCs w:val="24"/>
                <w:lang w:eastAsia="zh-CN"/>
              </w:rPr>
              <w:t>（</w:t>
            </w:r>
            <w:r>
              <w:rPr>
                <w:rFonts w:hint="eastAsia" w:ascii="宋体" w:hAnsi="宋体" w:cs="宋体"/>
                <w:b/>
                <w:bCs/>
                <w:sz w:val="24"/>
                <w:szCs w:val="24"/>
                <w:lang w:val="en-US" w:eastAsia="zh-CN"/>
              </w:rPr>
              <w:t>包括</w:t>
            </w:r>
            <w:r>
              <w:rPr>
                <w:rFonts w:hint="eastAsia" w:ascii="宋体" w:hAnsi="宋体" w:eastAsia="宋体" w:cs="宋体"/>
                <w:b/>
                <w:bCs/>
                <w:sz w:val="24"/>
                <w:szCs w:val="24"/>
                <w:lang w:val="en-US" w:eastAsia="zh-CN"/>
              </w:rPr>
              <w:t>24个节点网络版</w:t>
            </w:r>
            <w:r>
              <w:rPr>
                <w:rFonts w:hint="eastAsia" w:ascii="宋体" w:hAnsi="宋体" w:eastAsia="宋体" w:cs="宋体"/>
                <w:b/>
                <w:bCs/>
                <w:sz w:val="24"/>
                <w:szCs w:val="24"/>
              </w:rPr>
              <w:t>院校升级</w:t>
            </w:r>
            <w:r>
              <w:rPr>
                <w:rFonts w:hint="eastAsia" w:ascii="宋体" w:hAnsi="宋体" w:eastAsia="宋体" w:cs="宋体"/>
                <w:b/>
                <w:bCs/>
                <w:sz w:val="24"/>
                <w:szCs w:val="24"/>
                <w:lang w:val="en-US" w:eastAsia="zh-CN"/>
              </w:rPr>
              <w:t>及6个节点的网络版</w:t>
            </w:r>
            <w:r>
              <w:rPr>
                <w:rFonts w:hint="eastAsia" w:ascii="宋体" w:hAnsi="宋体" w:eastAsia="宋体" w:cs="宋体"/>
                <w:b/>
                <w:bCs/>
                <w:sz w:val="24"/>
                <w:szCs w:val="24"/>
              </w:rPr>
              <w:t>院校</w:t>
            </w:r>
            <w:r>
              <w:rPr>
                <w:rFonts w:hint="eastAsia" w:ascii="宋体" w:hAnsi="宋体" w:eastAsia="宋体" w:cs="宋体"/>
                <w:b/>
                <w:bCs/>
                <w:sz w:val="24"/>
                <w:szCs w:val="24"/>
                <w:lang w:val="en-US" w:eastAsia="zh-CN"/>
              </w:rPr>
              <w:t>新增</w:t>
            </w:r>
            <w:r>
              <w:rPr>
                <w:rFonts w:hint="eastAsia" w:ascii="宋体" w:hAnsi="宋体" w:cs="宋体"/>
                <w:b/>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1、独立的数控车加工编程软件。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2、机床通信：具有FANUC、SIEMENS、华中数控、广州数控系统通信功能。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3、可以绘制任意复杂的图形，可通过DXF、IGES数据接口与其它系统交换数据。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4、★针对机械专业设计的要求，提供了符合新国标的参量化图库和构件库。共有50多个大类，4600余种，几十万个规格的标准图符，并提供图库管理和定制手段，支持建立、扩充参数化图库和构件库。</w:t>
            </w:r>
            <w:r>
              <w:rPr>
                <w:rFonts w:hint="eastAsia" w:ascii="宋体" w:hAnsi="宋体" w:eastAsia="宋体" w:cs="宋体"/>
                <w:b/>
                <w:bCs/>
                <w:sz w:val="24"/>
                <w:szCs w:val="24"/>
                <w:lang w:val="en-US" w:eastAsia="zh-CN"/>
              </w:rPr>
              <w:t>（提供演示视频）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5、基于2D线架进行加工编程，易学易用，编程效率高。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具有功能强大、使用简单的轨迹生成及通用后置处理功能，包括如下：轮廓粗车：实现对工件外轮廓表面、内轮廓表面和端面的粗车加工，用来快速清除毛坯的多余部分；轮廓精车：实现对工件外轮廓表面、内轮廓表面和端面的精车加工；切槽：该功能用于在工件外轮廓表面、内轮廓表面和端面切槽；钻中心孔：该功能用于在工件的旋转中心钻中心孔；车螺纹：该功能为非固定循环方式加工螺纹，可对螺纹加工中的各种工艺条件，加工方式进行灵活的控制；螺纹固定循环：该功能采用固定循环方式加工螺纹；参数修改：对生成的轨迹不满意时可以用参数修改功能对轨迹的各种参数进行修改，以生成新的加工轨迹；刀具管理：该功能定义、确定刀具的有关数据，以便于用户从刀具库中获取刀具信息和对刀具库进行维护；轨迹仿真：对已有的加工轨迹进行加工过程模拟，以检查加工轨迹的正确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7、可按加工要求生成各种复杂图形的加工轨迹。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8、支持用户坐标系，支持车床在双动力头情况下，从两个不同方向进行加工。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9、通用的后置处理模块使可以满足各种控制系统的代码格式，可输出G代码，并可对生成的代码进行校验及加工仿真。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10、★具有 CAD 软件的强大绘图功能和完善的外部数据接口。</w:t>
            </w:r>
            <w:r>
              <w:rPr>
                <w:rFonts w:hint="eastAsia" w:ascii="宋体" w:hAnsi="宋体" w:eastAsia="宋体" w:cs="宋体"/>
                <w:b/>
                <w:bCs/>
                <w:sz w:val="24"/>
                <w:szCs w:val="24"/>
                <w:lang w:val="en-US" w:eastAsia="zh-CN"/>
              </w:rPr>
              <w:t>（提供演示视频）</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11、★软件需支持教育部全国职业院校技能大赛--中职组“现代加工技术”赛项，需提供证明材料加盖制造商公章。（以2023年度全国职业院校技能大赛赛项规程文件为准）</w:t>
            </w:r>
          </w:p>
          <w:p>
            <w:pPr>
              <w:rPr>
                <w:rFonts w:hint="eastAsia"/>
                <w:sz w:val="24"/>
                <w:szCs w:val="24"/>
                <w:lang w:val="en-US" w:eastAsia="zh-CN"/>
              </w:rPr>
            </w:pPr>
            <w:r>
              <w:rPr>
                <w:rFonts w:hint="eastAsia"/>
                <w:sz w:val="24"/>
                <w:szCs w:val="24"/>
                <w:lang w:val="en-US" w:eastAsia="zh-CN"/>
              </w:rPr>
              <w:t>12、</w:t>
            </w:r>
            <w:r>
              <w:rPr>
                <w:rFonts w:hint="eastAsia" w:ascii="宋体" w:hAnsi="宋体" w:cs="宋体"/>
                <w:b/>
                <w:bCs/>
                <w:sz w:val="24"/>
                <w:szCs w:val="24"/>
              </w:rPr>
              <w:t>▲</w:t>
            </w:r>
            <w:r>
              <w:rPr>
                <w:rFonts w:hint="eastAsia"/>
                <w:sz w:val="24"/>
                <w:szCs w:val="24"/>
                <w:lang w:val="en-US" w:eastAsia="zh-CN"/>
              </w:rPr>
              <w:t>需提供制造商正版软件授权书</w:t>
            </w:r>
          </w:p>
          <w:p>
            <w:pPr>
              <w:pStyle w:val="2"/>
              <w:rPr>
                <w:rFonts w:hint="eastAsia"/>
                <w:b/>
                <w:bCs/>
                <w:sz w:val="24"/>
                <w:szCs w:val="24"/>
                <w:lang w:val="en-US" w:eastAsia="zh-CN"/>
              </w:rPr>
            </w:pPr>
            <w:r>
              <w:rPr>
                <w:rFonts w:hint="eastAsia"/>
                <w:b/>
                <w:bCs/>
                <w:sz w:val="24"/>
                <w:szCs w:val="24"/>
                <w:lang w:val="en-US" w:eastAsia="zh-CN"/>
              </w:rPr>
              <w:t>五、配套附件</w:t>
            </w:r>
          </w:p>
          <w:tbl>
            <w:tblPr>
              <w:tblStyle w:val="64"/>
              <w:tblW w:w="8040" w:type="dxa"/>
              <w:tblInd w:w="-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67"/>
              <w:gridCol w:w="3037"/>
              <w:gridCol w:w="1067"/>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内容</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规格型号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方形量块套装</w:t>
                  </w:r>
                </w:p>
              </w:tc>
              <w:tc>
                <w:tcPr>
                  <w:tcW w:w="3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112块，一级</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千分尺台架</w:t>
                  </w:r>
                </w:p>
              </w:tc>
              <w:tc>
                <w:tcPr>
                  <w:tcW w:w="3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MS-1 160*110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8倍抗震钨钢内孔尖刀</w:t>
                  </w:r>
                </w:p>
              </w:tc>
              <w:tc>
                <w:tcPr>
                  <w:tcW w:w="3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￠16/C16Q-SDUCR-07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8倍抗震钨钢内孔尖刀</w:t>
                  </w:r>
                </w:p>
              </w:tc>
              <w:tc>
                <w:tcPr>
                  <w:tcW w:w="3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￠12/C12Q-SDUCR-07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8倍抗震钨钢内螺纹刀杆</w:t>
                  </w:r>
                </w:p>
              </w:tc>
              <w:tc>
                <w:tcPr>
                  <w:tcW w:w="3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CNR-0016Q16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强力型外槽刀杆</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T20/H-KGMR-2020K-3-T20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强力型外槽刀杆</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T20/H-KGMR-2525K-3-T20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铝合金软爪</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8寸卡盘，齿距1.5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8倍抗震钨钢内孔刀杆</w:t>
                  </w:r>
                </w:p>
              </w:tc>
              <w:tc>
                <w:tcPr>
                  <w:tcW w:w="3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￠8/C8M-SCLCR-06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强力型端面槽刀</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H-KFMR20-30/44-3T20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强力型端面槽刀</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H-KFMR20-42/60-3T20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强力型端面槽刀</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H-KFMR20-58/80-3T20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强力型端面槽刀</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H-KFMR20-30/44-3T15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抗震钻头刀套</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D32-MTA3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外圆刀片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VPGT110302MFP-SKS PR1705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外圆刀片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VBGT160404R-Y KW10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内孔刀片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DCGT070202L-F KW10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外圆刀片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TNGG160404FP-TK   PR1225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外圆刀片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TNMG160404R-ST    PR1535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外圆刀片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CNMG120404MU      PR1535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京瓷精密圆弧槽刀片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钢用 GMM3020-150R TN90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京瓷精密圆弧槽刀片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铝用 GMM3020-150R KW10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精密槽刀片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钢用 GMM3020-020MW TN90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精密槽刀片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 铝用 GDG3020N-020GS GW15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内孔刀片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CCMT060202HQ TN60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内孔刀片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CCMT09T302-24 NS9530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切槽刀片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GDFM3020N-030GM  TN90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精密内槽刀片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GMM3015-040V</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切槽圆弧刀片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404040"/>
                      <w:sz w:val="24"/>
                      <w:szCs w:val="24"/>
                      <w:u w:val="none"/>
                    </w:rPr>
                  </w:pPr>
                  <w:r>
                    <w:rPr>
                      <w:rFonts w:hint="eastAsia" w:ascii="宋体" w:hAnsi="宋体" w:eastAsia="宋体" w:cs="宋体"/>
                      <w:b w:val="0"/>
                      <w:bCs w:val="0"/>
                      <w:i w:val="0"/>
                      <w:iCs w:val="0"/>
                      <w:color w:val="404040"/>
                      <w:kern w:val="0"/>
                      <w:sz w:val="24"/>
                      <w:szCs w:val="24"/>
                      <w:u w:val="none"/>
                      <w:lang w:val="en-US" w:eastAsia="zh-CN" w:bidi="ar"/>
                    </w:rPr>
                    <w:t>GMM3020-150R SW 5080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切槽刀片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404040"/>
                      <w:sz w:val="24"/>
                      <w:szCs w:val="24"/>
                      <w:u w:val="none"/>
                    </w:rPr>
                  </w:pPr>
                  <w:r>
                    <w:rPr>
                      <w:rFonts w:hint="eastAsia" w:ascii="宋体" w:hAnsi="宋体" w:eastAsia="宋体" w:cs="宋体"/>
                      <w:b w:val="0"/>
                      <w:bCs w:val="0"/>
                      <w:i w:val="0"/>
                      <w:iCs w:val="0"/>
                      <w:color w:val="404040"/>
                      <w:kern w:val="0"/>
                      <w:sz w:val="24"/>
                      <w:szCs w:val="24"/>
                      <w:u w:val="none"/>
                      <w:lang w:val="en-US" w:eastAsia="zh-CN" w:bidi="ar"/>
                    </w:rPr>
                    <w:t>GMM3020-020AC SW 5080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切槽刀片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KDFT-KCM300-040-CS</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切槽刀片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MGGN300-JM K10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切槽刀片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MGGN300-JM K10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切槽圆弧刀片</w:t>
                  </w:r>
                </w:p>
              </w:tc>
              <w:tc>
                <w:tcPr>
                  <w:tcW w:w="3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MRGN300-JM圆头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3mm切槽刀</w:t>
                  </w:r>
                </w:p>
              </w:tc>
              <w:tc>
                <w:tcPr>
                  <w:tcW w:w="3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KGMR2020-3T20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顶尖台湾进口-C6000转</w:t>
                  </w:r>
                </w:p>
              </w:tc>
              <w:tc>
                <w:tcPr>
                  <w:tcW w:w="3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MT4-C细尖</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三特切槽刀</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RF123G20-2020B</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3mm切槽刀</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 MEHR2020-3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外圆车刀</w:t>
                  </w:r>
                </w:p>
              </w:tc>
              <w:tc>
                <w:tcPr>
                  <w:tcW w:w="3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 SVJBR2020K-16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把</w:t>
                  </w:r>
                </w:p>
              </w:tc>
            </w:tr>
          </w:tbl>
          <w:p>
            <w:pPr>
              <w:pStyle w:val="3"/>
              <w:rPr>
                <w:rFonts w:hint="default"/>
                <w:sz w:val="24"/>
                <w:szCs w:val="24"/>
                <w:lang w:val="en-US" w:eastAsia="zh-CN"/>
              </w:rPr>
            </w:pPr>
          </w:p>
        </w:tc>
      </w:tr>
      <w:bookmarkEnd w:id="31"/>
    </w:tbl>
    <w:p>
      <w:pPr>
        <w:pStyle w:val="2"/>
        <w:rPr>
          <w:lang w:val="en-US"/>
        </w:rPr>
      </w:pPr>
    </w:p>
    <w:p>
      <w:pPr>
        <w:pStyle w:val="62"/>
        <w:jc w:val="left"/>
        <w:rPr>
          <w:rFonts w:hint="eastAsia" w:ascii="宋体" w:hAnsi="宋体" w:cs="仿宋"/>
          <w:b/>
          <w:color w:val="000000" w:themeColor="text1"/>
          <w:sz w:val="24"/>
          <w14:textFill>
            <w14:solidFill>
              <w14:schemeClr w14:val="tx1"/>
            </w14:solidFill>
          </w14:textFill>
        </w:rPr>
      </w:pPr>
      <w:r>
        <w:rPr>
          <w:rFonts w:hint="eastAsia"/>
          <w:lang w:val="en-US"/>
        </w:rPr>
        <w:t>备注：“技术规格和型号”中所列示的内容如涉及或近似某品牌产品，仅是对采购需求产品所要求达到的质量、性能以及应有的技术标准做进一步的说明之用，而非对所采购产品的品牌、厂家等的特殊偏好或指定。欢迎其他能满足本项目技术需求且性能、质量与所列示参考品牌相当或更优的产品参加。</w:t>
      </w:r>
    </w:p>
    <w:p>
      <w:pPr>
        <w:snapToGrid w:val="0"/>
        <w:spacing w:line="360" w:lineRule="auto"/>
        <w:ind w:firstLine="482" w:firstLineChars="200"/>
        <w:rPr>
          <w:rFonts w:hint="eastAsia"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lang w:val="en-US" w:eastAsia="zh-CN"/>
          <w14:textFill>
            <w14:solidFill>
              <w14:schemeClr w14:val="tx1"/>
            </w14:solidFill>
          </w14:textFill>
        </w:rPr>
        <w:t>三</w:t>
      </w:r>
      <w:r>
        <w:rPr>
          <w:rFonts w:hint="eastAsia" w:ascii="宋体" w:hAnsi="宋体" w:cs="仿宋"/>
          <w:b/>
          <w:color w:val="000000" w:themeColor="text1"/>
          <w:sz w:val="24"/>
          <w14:textFill>
            <w14:solidFill>
              <w14:schemeClr w14:val="tx1"/>
            </w14:solidFill>
          </w14:textFill>
        </w:rPr>
        <w:t>、供货</w:t>
      </w:r>
      <w:r>
        <w:rPr>
          <w:rFonts w:hint="eastAsia" w:ascii="宋体" w:hAnsi="宋体" w:eastAsia="宋体" w:cs="宋体"/>
          <w:b/>
          <w:color w:val="000000" w:themeColor="text1"/>
          <w:kern w:val="2"/>
          <w:sz w:val="24"/>
          <w:szCs w:val="24"/>
          <w:lang w:val="en-US" w:eastAsia="zh-CN" w:bidi="ar-SA"/>
          <w14:textFill>
            <w14:solidFill>
              <w14:schemeClr w14:val="tx1"/>
            </w14:solidFill>
          </w14:textFill>
        </w:rPr>
        <w:t>要</w:t>
      </w:r>
      <w:r>
        <w:rPr>
          <w:rFonts w:hint="eastAsia" w:ascii="宋体" w:hAnsi="宋体" w:cs="仿宋"/>
          <w:b/>
          <w:color w:val="000000" w:themeColor="text1"/>
          <w:sz w:val="24"/>
          <w14:textFill>
            <w14:solidFill>
              <w14:schemeClr w14:val="tx1"/>
            </w14:solidFill>
          </w14:textFill>
        </w:rPr>
        <w:t>求：</w:t>
      </w:r>
    </w:p>
    <w:p>
      <w:pPr>
        <w:snapToGrid w:val="0"/>
        <w:spacing w:line="360" w:lineRule="auto"/>
        <w:ind w:firstLine="352" w:firstLineChars="147"/>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1、投标人投标提供的设备必须是厂商原装的、全新的，配置与装箱单相符；数量、质量及性能不低于本标书中提出的要求；应准确无误地表明设备型号、规格、制造厂商；</w:t>
      </w:r>
    </w:p>
    <w:p>
      <w:pPr>
        <w:snapToGrid w:val="0"/>
        <w:spacing w:line="360" w:lineRule="auto"/>
        <w:ind w:firstLine="352" w:firstLineChars="147"/>
        <w:rPr>
          <w:rFonts w:ascii="宋体" w:hAnsi="宋体" w:cs="仿宋"/>
          <w:bCs/>
          <w:color w:val="000000" w:themeColor="text1"/>
          <w:sz w:val="24"/>
          <w14:textFill>
            <w14:solidFill>
              <w14:schemeClr w14:val="tx1"/>
            </w14:solidFill>
          </w14:textFill>
        </w:rPr>
      </w:pPr>
      <w:r>
        <w:rPr>
          <w:rFonts w:ascii="宋体" w:hAnsi="宋体" w:cs="仿宋"/>
          <w:bCs/>
          <w:color w:val="000000" w:themeColor="text1"/>
          <w:sz w:val="24"/>
          <w14:textFill>
            <w14:solidFill>
              <w14:schemeClr w14:val="tx1"/>
            </w14:solidFill>
          </w14:textFill>
        </w:rPr>
        <w:t>2</w:t>
      </w:r>
      <w:r>
        <w:rPr>
          <w:rFonts w:hint="eastAsia" w:ascii="宋体" w:hAnsi="宋体" w:cs="仿宋"/>
          <w:bCs/>
          <w:color w:val="000000" w:themeColor="text1"/>
          <w:sz w:val="24"/>
          <w14:textFill>
            <w14:solidFill>
              <w14:schemeClr w14:val="tx1"/>
            </w14:solidFill>
          </w14:textFill>
        </w:rPr>
        <w:t>、所供货物不会侵犯任何第三方知识产权；</w:t>
      </w:r>
    </w:p>
    <w:p>
      <w:pPr>
        <w:snapToGrid w:val="0"/>
        <w:spacing w:line="360" w:lineRule="auto"/>
        <w:ind w:firstLine="352" w:firstLineChars="147"/>
        <w:rPr>
          <w:rFonts w:hint="eastAsia" w:ascii="宋体" w:hAnsi="宋体" w:eastAsia="宋体" w:cs="仿宋"/>
          <w:bCs/>
          <w:color w:val="000000" w:themeColor="text1"/>
          <w:sz w:val="24"/>
          <w:lang w:eastAsia="zh-CN"/>
          <w14:textFill>
            <w14:solidFill>
              <w14:schemeClr w14:val="tx1"/>
            </w14:solidFill>
          </w14:textFill>
        </w:rPr>
      </w:pPr>
      <w:r>
        <w:rPr>
          <w:rFonts w:ascii="宋体" w:hAnsi="宋体" w:cs="仿宋"/>
          <w:bCs/>
          <w:color w:val="000000" w:themeColor="text1"/>
          <w:sz w:val="24"/>
          <w14:textFill>
            <w14:solidFill>
              <w14:schemeClr w14:val="tx1"/>
            </w14:solidFill>
          </w14:textFill>
        </w:rPr>
        <w:t>3</w:t>
      </w:r>
      <w:r>
        <w:rPr>
          <w:rFonts w:hint="eastAsia" w:ascii="宋体" w:hAnsi="宋体" w:cs="仿宋"/>
          <w:bCs/>
          <w:color w:val="000000" w:themeColor="text1"/>
          <w:sz w:val="24"/>
          <w14:textFill>
            <w14:solidFill>
              <w14:schemeClr w14:val="tx1"/>
            </w14:solidFill>
          </w14:textFill>
        </w:rPr>
        <w:t>、送货地址：杭州市临平区南苑街道政法街139号</w:t>
      </w:r>
      <w:r>
        <w:rPr>
          <w:rFonts w:hint="eastAsia" w:ascii="宋体" w:hAnsi="宋体" w:cs="仿宋"/>
          <w:bCs/>
          <w:color w:val="000000" w:themeColor="text1"/>
          <w:sz w:val="24"/>
          <w:lang w:eastAsia="zh-CN"/>
          <w14:textFill>
            <w14:solidFill>
              <w14:schemeClr w14:val="tx1"/>
            </w14:solidFill>
          </w14:textFill>
        </w:rPr>
        <w:t>。</w:t>
      </w:r>
    </w:p>
    <w:p>
      <w:pPr>
        <w:snapToGrid w:val="0"/>
        <w:spacing w:line="360" w:lineRule="auto"/>
        <w:ind w:firstLine="482" w:firstLineChars="200"/>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lang w:val="en-US" w:eastAsia="zh-CN"/>
          <w14:textFill>
            <w14:solidFill>
              <w14:schemeClr w14:val="tx1"/>
            </w14:solidFill>
          </w14:textFill>
        </w:rPr>
        <w:t>四</w:t>
      </w:r>
      <w:r>
        <w:rPr>
          <w:rFonts w:hint="eastAsia" w:ascii="宋体" w:hAnsi="宋体" w:cs="仿宋"/>
          <w:b/>
          <w:color w:val="000000" w:themeColor="text1"/>
          <w:sz w:val="24"/>
          <w14:textFill>
            <w14:solidFill>
              <w14:schemeClr w14:val="tx1"/>
            </w14:solidFill>
          </w14:textFill>
        </w:rPr>
        <w:t>、售后服务要求：</w:t>
      </w:r>
    </w:p>
    <w:p>
      <w:pPr>
        <w:snapToGrid w:val="0"/>
        <w:spacing w:line="360" w:lineRule="auto"/>
        <w:ind w:firstLine="352" w:firstLineChars="147"/>
        <w:rPr>
          <w:rFonts w:ascii="宋体" w:hAnsi="宋体" w:cs="仿宋"/>
          <w:bCs/>
          <w:color w:val="000000" w:themeColor="text1"/>
          <w:sz w:val="24"/>
          <w:highlight w:val="yellow"/>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w:t>
      </w:r>
      <w:r>
        <w:rPr>
          <w:rFonts w:hint="eastAsia" w:ascii="宋体" w:hAnsi="宋体" w:cs="仿宋"/>
          <w:bCs/>
          <w:color w:val="000000" w:themeColor="text1"/>
          <w:sz w:val="24"/>
          <w:highlight w:val="none"/>
          <w14:textFill>
            <w14:solidFill>
              <w14:schemeClr w14:val="tx1"/>
            </w14:solidFill>
          </w14:textFill>
        </w:rPr>
        <w:t>1、质保期要求：三年。</w:t>
      </w:r>
    </w:p>
    <w:p>
      <w:pPr>
        <w:snapToGrid w:val="0"/>
        <w:spacing w:line="360" w:lineRule="auto"/>
        <w:ind w:firstLine="352" w:firstLineChars="147"/>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2、技术支持要求：质保期内出现问题，2小时内响应，4小时内到位消障，7*24小时电话支持，若因特殊情况不能立即排除故障时，中标人应负责采取应急措施，采用备用设备等方式，确保买方基本使用不受影响。</w:t>
      </w:r>
    </w:p>
    <w:p>
      <w:pPr>
        <w:snapToGrid w:val="0"/>
        <w:spacing w:line="360" w:lineRule="auto"/>
        <w:ind w:firstLine="352" w:firstLineChars="147"/>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3、要求中标人提供易耗件的备件和日常保养维护的专用工具；中标人应于验收后向用户提供技术文档，并提供完整的软、硬件技术资料。</w:t>
      </w:r>
    </w:p>
    <w:p>
      <w:pPr>
        <w:snapToGrid w:val="0"/>
        <w:spacing w:line="360" w:lineRule="auto"/>
        <w:ind w:firstLine="352" w:firstLineChars="147"/>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4、在使用的所有时间范围内，提供多种方式的技术支持。提供免费上门维护、升级服务，在接到电话后1小时内响应，2小时以内到现场处理，3小时内解决问题。</w:t>
      </w:r>
    </w:p>
    <w:p>
      <w:pPr>
        <w:snapToGrid w:val="0"/>
        <w:spacing w:line="360" w:lineRule="auto"/>
        <w:ind w:firstLine="352" w:firstLineChars="147"/>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5、质保期内的维修费用（包括配件）全部由中标单位负责，质保修期后的维修酌情以成本价收费。</w:t>
      </w:r>
    </w:p>
    <w:p>
      <w:pPr>
        <w:snapToGrid w:val="0"/>
        <w:spacing w:line="360" w:lineRule="auto"/>
        <w:ind w:firstLine="482" w:firstLineChars="200"/>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五、培训要求：</w:t>
      </w:r>
    </w:p>
    <w:p>
      <w:pPr>
        <w:snapToGrid w:val="0"/>
        <w:spacing w:line="360" w:lineRule="auto"/>
        <w:ind w:firstLine="352" w:firstLineChars="147"/>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投标方必须提供项目中所有设备及设备配套软件的使用培训。</w:t>
      </w:r>
    </w:p>
    <w:p>
      <w:pPr>
        <w:snapToGrid w:val="0"/>
        <w:spacing w:line="360" w:lineRule="auto"/>
        <w:ind w:firstLine="482" w:firstLineChars="200"/>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▲六、工期要求：</w:t>
      </w:r>
    </w:p>
    <w:p>
      <w:pPr>
        <w:snapToGrid w:val="0"/>
        <w:spacing w:line="360" w:lineRule="auto"/>
        <w:ind w:firstLine="352" w:firstLineChars="147"/>
        <w:rPr>
          <w:rFonts w:ascii="宋体" w:hAnsi="宋体" w:cs="仿宋"/>
          <w:bCs/>
          <w:color w:val="000000" w:themeColor="text1"/>
          <w:sz w:val="24"/>
          <w:highlight w:val="yellow"/>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 xml:space="preserve">签订合同后 </w:t>
      </w:r>
      <w:r>
        <w:rPr>
          <w:rFonts w:hint="eastAsia" w:ascii="宋体" w:hAnsi="宋体" w:cs="仿宋"/>
          <w:bCs/>
          <w:color w:val="000000" w:themeColor="text1"/>
          <w:sz w:val="24"/>
          <w:highlight w:val="none"/>
          <w:lang w:val="en-US" w:eastAsia="zh-CN"/>
          <w14:textFill>
            <w14:solidFill>
              <w14:schemeClr w14:val="tx1"/>
            </w14:solidFill>
          </w14:textFill>
        </w:rPr>
        <w:t>7</w:t>
      </w:r>
      <w:r>
        <w:rPr>
          <w:rFonts w:hint="eastAsia" w:ascii="宋体" w:hAnsi="宋体" w:cs="仿宋"/>
          <w:bCs/>
          <w:color w:val="000000" w:themeColor="text1"/>
          <w:sz w:val="24"/>
          <w:highlight w:val="none"/>
          <w14:textFill>
            <w14:solidFill>
              <w14:schemeClr w14:val="tx1"/>
            </w14:solidFill>
          </w14:textFill>
        </w:rPr>
        <w:t xml:space="preserve"> 天内完成所有设备的供货、安装、调试等所有工作内容。</w:t>
      </w:r>
    </w:p>
    <w:p>
      <w:pPr>
        <w:snapToGrid w:val="0"/>
        <w:spacing w:line="360" w:lineRule="auto"/>
        <w:ind w:firstLine="482" w:firstLineChars="200"/>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▲七、货款支付：</w:t>
      </w:r>
    </w:p>
    <w:p>
      <w:pPr>
        <w:snapToGrid w:val="0"/>
        <w:spacing w:line="360" w:lineRule="auto"/>
        <w:ind w:firstLine="480" w:firstLineChars="200"/>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合同生效并具备实施条件后7个工作日内，采购人支付合同价的</w:t>
      </w:r>
      <w:r>
        <w:rPr>
          <w:rFonts w:hint="eastAsia" w:ascii="宋体" w:hAnsi="宋体" w:cs="仿宋"/>
          <w:bCs/>
          <w:color w:val="000000" w:themeColor="text1"/>
          <w:sz w:val="24"/>
          <w:highlight w:val="none"/>
          <w:lang w:val="en-US" w:eastAsia="zh-CN"/>
          <w14:textFill>
            <w14:solidFill>
              <w14:schemeClr w14:val="tx1"/>
            </w14:solidFill>
          </w14:textFill>
        </w:rPr>
        <w:t>30</w:t>
      </w:r>
      <w:r>
        <w:rPr>
          <w:rFonts w:hint="eastAsia" w:ascii="宋体" w:hAnsi="宋体" w:cs="仿宋"/>
          <w:bCs/>
          <w:color w:val="000000" w:themeColor="text1"/>
          <w:sz w:val="24"/>
          <w:highlight w:val="none"/>
          <w14:textFill>
            <w14:solidFill>
              <w14:schemeClr w14:val="tx1"/>
            </w14:solidFill>
          </w14:textFill>
        </w:rPr>
        <w:t>%作为预付款；项目完工并通过验收合格后，支付合同价剩余的</w:t>
      </w:r>
      <w:r>
        <w:rPr>
          <w:rFonts w:hint="eastAsia" w:ascii="宋体" w:hAnsi="宋体" w:cs="仿宋"/>
          <w:bCs/>
          <w:color w:val="000000" w:themeColor="text1"/>
          <w:sz w:val="24"/>
          <w:highlight w:val="none"/>
          <w:lang w:val="en-US" w:eastAsia="zh-CN"/>
          <w14:textFill>
            <w14:solidFill>
              <w14:schemeClr w14:val="tx1"/>
            </w14:solidFill>
          </w14:textFill>
        </w:rPr>
        <w:t>70</w:t>
      </w:r>
      <w:r>
        <w:rPr>
          <w:rFonts w:hint="eastAsia" w:ascii="宋体" w:hAnsi="宋体" w:cs="仿宋"/>
          <w:bCs/>
          <w:color w:val="000000" w:themeColor="text1"/>
          <w:sz w:val="24"/>
          <w:highlight w:val="none"/>
          <w14:textFill>
            <w14:solidFill>
              <w14:schemeClr w14:val="tx1"/>
            </w14:solidFill>
          </w14:textFill>
        </w:rPr>
        <w:t>% 。</w:t>
      </w:r>
    </w:p>
    <w:p>
      <w:pPr>
        <w:snapToGrid w:val="0"/>
        <w:spacing w:line="360" w:lineRule="auto"/>
        <w:ind w:firstLine="482" w:firstLineChars="200"/>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八、验收要求：</w:t>
      </w:r>
    </w:p>
    <w:p>
      <w:pPr>
        <w:snapToGrid w:val="0"/>
        <w:spacing w:line="360" w:lineRule="auto"/>
        <w:ind w:firstLine="352" w:firstLineChars="147"/>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根据临平财采监〔2021〕6号文件要求，采购人委托有资质的代理机构进行项目验收方案，验收方案应当包括项目基本情况、验收组织主体、验收小组组建方式、验收方法、验收流程、验收指标和标准等要素。受委托的采购代理机构应当按照采购文件确定的技术指标或者服务要求确定验收指标和标准。</w:t>
      </w:r>
    </w:p>
    <w:p>
      <w:pPr>
        <w:snapToGrid w:val="0"/>
        <w:spacing w:line="360" w:lineRule="auto"/>
        <w:ind w:firstLine="482" w:firstLineChars="200"/>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 xml:space="preserve">九、履约保证金 </w:t>
      </w:r>
    </w:p>
    <w:p>
      <w:pPr>
        <w:pStyle w:val="62"/>
        <w:rPr>
          <w:rFonts w:hAnsi="宋体"/>
          <w:highlight w:val="none"/>
          <w:lang w:val="en-US"/>
        </w:rPr>
      </w:pPr>
      <w:r>
        <w:rPr>
          <w:rFonts w:hint="eastAsia" w:hAnsi="宋体" w:cs="仿宋"/>
          <w:bCs/>
          <w:color w:val="000000" w:themeColor="text1"/>
          <w:szCs w:val="24"/>
          <w:highlight w:val="none"/>
          <w:lang w:val="en-US"/>
          <w14:textFill>
            <w14:solidFill>
              <w14:schemeClr w14:val="tx1"/>
            </w14:solidFill>
          </w14:textFill>
        </w:rPr>
        <w:t>本项目无需缴纳履约保证金。</w:t>
      </w:r>
    </w:p>
    <w:p>
      <w:pPr>
        <w:pStyle w:val="6"/>
        <w:rPr>
          <w:color w:val="000000" w:themeColor="text1"/>
          <w14:textFill>
            <w14:solidFill>
              <w14:schemeClr w14:val="tx1"/>
            </w14:solidFill>
          </w14:textFill>
        </w:rPr>
        <w:sectPr>
          <w:pgSz w:w="11906" w:h="16838"/>
          <w:pgMar w:top="680" w:right="1418" w:bottom="468" w:left="1418" w:header="851" w:footer="992" w:gutter="0"/>
          <w:cols w:space="720" w:num="1"/>
          <w:docGrid w:linePitch="312" w:charSpace="0"/>
        </w:sectPr>
      </w:pPr>
    </w:p>
    <w:p>
      <w:pPr>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第四部分   评标办法</w:t>
      </w:r>
      <w:r>
        <w:rPr>
          <w:rFonts w:ascii="宋体" w:hAnsi="宋体" w:cs="宋体"/>
          <w:b/>
          <w:color w:val="000000" w:themeColor="text1"/>
          <w:sz w:val="36"/>
          <w:szCs w:val="36"/>
          <w14:textFill>
            <w14:solidFill>
              <w14:schemeClr w14:val="tx1"/>
            </w14:solidFill>
          </w14:textFill>
        </w:rPr>
        <w:tab/>
      </w:r>
    </w:p>
    <w:p>
      <w:pPr>
        <w:snapToGrid w:val="0"/>
        <w:spacing w:line="360" w:lineRule="auto"/>
        <w:jc w:val="center"/>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评标办法前附表</w:t>
      </w:r>
    </w:p>
    <w:p>
      <w:pPr>
        <w:pStyle w:val="130"/>
        <w:snapToGrid w:val="0"/>
        <w:spacing w:before="0" w:line="440" w:lineRule="exact"/>
        <w:ind w:firstLine="602" w:firstLineChars="250"/>
        <w:jc w:val="left"/>
        <w:rPr>
          <w:rFonts w:ascii="宋体" w:hAnsi="宋体" w:cs="宋体"/>
          <w:b/>
          <w:color w:val="000000"/>
        </w:rPr>
      </w:pPr>
      <w:r>
        <w:rPr>
          <w:rFonts w:hint="eastAsia" w:ascii="宋体" w:hAnsi="宋体" w:cs="宋体"/>
          <w:b/>
          <w:color w:val="000000"/>
        </w:rPr>
        <w:t>（1）技术、商务分的计算：</w:t>
      </w:r>
    </w:p>
    <w:p>
      <w:pPr>
        <w:pStyle w:val="130"/>
        <w:snapToGrid w:val="0"/>
        <w:spacing w:before="0" w:line="440" w:lineRule="exact"/>
        <w:ind w:firstLine="600" w:firstLineChars="250"/>
        <w:rPr>
          <w:rFonts w:ascii="宋体" w:hAnsi="宋体" w:cs="宋体"/>
          <w:color w:val="000000"/>
        </w:rPr>
      </w:pPr>
      <w:r>
        <w:rPr>
          <w:rFonts w:hint="eastAsia" w:ascii="宋体" w:hAnsi="宋体" w:cs="宋体"/>
          <w:color w:val="000000"/>
        </w:rPr>
        <w:t>技术、商务分按照评标委员会成员的独立评分结果汇总数的算术平均分计算，计算公式为：</w:t>
      </w:r>
    </w:p>
    <w:p>
      <w:pPr>
        <w:pStyle w:val="130"/>
        <w:snapToGrid w:val="0"/>
        <w:spacing w:before="0" w:line="440" w:lineRule="exact"/>
        <w:ind w:firstLine="600" w:firstLineChars="250"/>
        <w:rPr>
          <w:rFonts w:ascii="宋体" w:hAnsi="宋体" w:cs="宋体"/>
          <w:color w:val="000000"/>
        </w:rPr>
      </w:pPr>
      <w:r>
        <w:rPr>
          <w:rFonts w:hint="eastAsia" w:ascii="宋体" w:hAnsi="宋体" w:cs="宋体"/>
          <w:color w:val="000000"/>
        </w:rPr>
        <w:t>技术、商务分=评标委员会所有成员评分合计数/评标委员会组成人员数</w:t>
      </w:r>
    </w:p>
    <w:p>
      <w:pPr>
        <w:pStyle w:val="130"/>
        <w:numPr>
          <w:ilvl w:val="0"/>
          <w:numId w:val="5"/>
        </w:numPr>
        <w:snapToGrid w:val="0"/>
        <w:spacing w:before="0" w:line="440" w:lineRule="exact"/>
        <w:ind w:firstLine="602" w:firstLineChars="250"/>
        <w:rPr>
          <w:rFonts w:ascii="宋体" w:hAnsi="宋体" w:cs="宋体"/>
          <w:b/>
          <w:color w:val="000000"/>
        </w:rPr>
      </w:pPr>
      <w:r>
        <w:rPr>
          <w:rFonts w:hint="eastAsia" w:ascii="宋体" w:hAnsi="宋体" w:cs="宋体"/>
          <w:b/>
          <w:color w:val="000000"/>
        </w:rPr>
        <w:t>、评分细则如下：</w:t>
      </w:r>
    </w:p>
    <w:tbl>
      <w:tblPr>
        <w:tblStyle w:val="64"/>
        <w:tblW w:w="9527" w:type="dxa"/>
        <w:tblInd w:w="-6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92"/>
        <w:gridCol w:w="688"/>
        <w:gridCol w:w="658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65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spacing w:before="120" w:beforeLines="50" w:line="240" w:lineRule="atLeast"/>
              <w:ind w:firstLine="0" w:firstLineChars="0"/>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spacing w:before="120" w:beforeLines="50" w:line="240" w:lineRule="atLeast"/>
              <w:ind w:firstLine="420"/>
              <w:jc w:val="left"/>
              <w:rPr>
                <w:rFonts w:ascii="宋体" w:hAnsi="宋体" w:cs="宋体"/>
                <w:color w:val="000000"/>
                <w:kern w:val="0"/>
                <w:sz w:val="24"/>
                <w:szCs w:val="24"/>
              </w:rPr>
            </w:pPr>
            <w:r>
              <w:rPr>
                <w:rFonts w:hint="eastAsia" w:ascii="宋体" w:hAnsi="宋体" w:cs="宋体"/>
                <w:color w:val="000000"/>
                <w:kern w:val="0"/>
                <w:sz w:val="24"/>
                <w:szCs w:val="24"/>
              </w:rPr>
              <w:t>评审</w:t>
            </w:r>
          </w:p>
          <w:p>
            <w:pPr>
              <w:widowControl/>
              <w:adjustRightInd w:val="0"/>
              <w:snapToGrid w:val="0"/>
              <w:spacing w:before="120" w:beforeLines="50" w:line="240" w:lineRule="atLeast"/>
              <w:ind w:firstLine="420"/>
              <w:jc w:val="left"/>
              <w:rPr>
                <w:rFonts w:ascii="宋体" w:hAnsi="宋体" w:cs="宋体"/>
                <w:color w:val="000000"/>
                <w:kern w:val="0"/>
                <w:sz w:val="24"/>
                <w:szCs w:val="24"/>
              </w:rPr>
            </w:pPr>
            <w:r>
              <w:rPr>
                <w:rFonts w:hint="eastAsia" w:ascii="宋体" w:hAnsi="宋体" w:cs="宋体"/>
                <w:color w:val="000000"/>
                <w:kern w:val="0"/>
                <w:sz w:val="24"/>
                <w:szCs w:val="24"/>
              </w:rPr>
              <w:t>因素</w:t>
            </w:r>
          </w:p>
        </w:tc>
        <w:tc>
          <w:tcPr>
            <w:tcW w:w="68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spacing w:before="120" w:beforeLines="50"/>
              <w:ind w:firstLine="0" w:firstLineChars="0"/>
              <w:jc w:val="center"/>
              <w:rPr>
                <w:rFonts w:ascii="宋体" w:hAnsi="宋体" w:cs="宋体"/>
                <w:color w:val="000000"/>
                <w:kern w:val="0"/>
                <w:sz w:val="24"/>
                <w:szCs w:val="24"/>
              </w:rPr>
            </w:pPr>
            <w:r>
              <w:rPr>
                <w:rFonts w:hint="eastAsia" w:ascii="宋体" w:hAnsi="宋体" w:cs="宋体"/>
                <w:color w:val="000000"/>
                <w:kern w:val="0"/>
                <w:sz w:val="24"/>
                <w:szCs w:val="24"/>
              </w:rPr>
              <w:t>权值</w:t>
            </w:r>
          </w:p>
        </w:tc>
        <w:tc>
          <w:tcPr>
            <w:tcW w:w="658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spacing w:before="120" w:beforeLines="50"/>
              <w:ind w:firstLine="420"/>
              <w:jc w:val="center"/>
              <w:rPr>
                <w:rFonts w:ascii="宋体" w:hAnsi="宋体" w:cs="宋体"/>
                <w:color w:val="000000"/>
                <w:kern w:val="0"/>
                <w:sz w:val="24"/>
                <w:szCs w:val="24"/>
              </w:rPr>
            </w:pPr>
            <w:r>
              <w:rPr>
                <w:rFonts w:hint="eastAsia" w:ascii="宋体" w:hAnsi="宋体" w:cs="宋体"/>
                <w:color w:val="000000"/>
                <w:kern w:val="0"/>
                <w:sz w:val="24"/>
                <w:szCs w:val="24"/>
              </w:rPr>
              <w:t>评分标准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400" w:lineRule="exact"/>
              <w:ind w:left="714" w:leftChars="1" w:hanging="712" w:hangingChars="297"/>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400" w:lineRule="exact"/>
              <w:ind w:firstLine="0" w:firstLineChars="0"/>
              <w:jc w:val="center"/>
              <w:rPr>
                <w:rFonts w:ascii="宋体" w:hAnsi="宋体" w:cs="宋体"/>
                <w:color w:val="000000"/>
                <w:kern w:val="0"/>
                <w:sz w:val="24"/>
                <w:szCs w:val="24"/>
              </w:rPr>
            </w:pPr>
            <w:r>
              <w:rPr>
                <w:rFonts w:hint="eastAsia" w:ascii="宋体" w:hAnsi="宋体" w:cs="宋体"/>
                <w:color w:val="000000"/>
                <w:kern w:val="0"/>
                <w:sz w:val="24"/>
                <w:szCs w:val="24"/>
              </w:rPr>
              <w:t>投标报价</w:t>
            </w:r>
          </w:p>
        </w:tc>
        <w:tc>
          <w:tcPr>
            <w:tcW w:w="68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pacing w:line="400" w:lineRule="exact"/>
              <w:ind w:firstLine="0" w:firstLineChars="0"/>
              <w:jc w:val="center"/>
              <w:rPr>
                <w:rFonts w:ascii="宋体" w:hAnsi="宋体" w:cs="宋体"/>
                <w:color w:val="000000"/>
                <w:kern w:val="0"/>
                <w:sz w:val="24"/>
                <w:szCs w:val="24"/>
              </w:rPr>
            </w:pPr>
            <w:r>
              <w:rPr>
                <w:rFonts w:hint="eastAsia" w:ascii="宋体" w:hAnsi="宋体" w:cs="宋体"/>
                <w:color w:val="000000"/>
                <w:kern w:val="0"/>
                <w:sz w:val="24"/>
                <w:szCs w:val="24"/>
              </w:rPr>
              <w:t>30</w:t>
            </w:r>
          </w:p>
        </w:tc>
        <w:tc>
          <w:tcPr>
            <w:tcW w:w="6589"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widowControl/>
              <w:spacing w:line="320" w:lineRule="exact"/>
              <w:ind w:firstLine="420"/>
              <w:jc w:val="left"/>
              <w:rPr>
                <w:rFonts w:ascii="宋体" w:hAnsi="宋体" w:cs="宋体"/>
                <w:color w:val="000000"/>
                <w:kern w:val="0"/>
                <w:sz w:val="24"/>
                <w:szCs w:val="24"/>
              </w:rPr>
            </w:pPr>
            <w:r>
              <w:rPr>
                <w:rFonts w:hint="eastAsia" w:ascii="宋体" w:hAnsi="宋体" w:cs="宋体"/>
                <w:color w:val="000000"/>
                <w:kern w:val="0"/>
                <w:sz w:val="24"/>
                <w:szCs w:val="24"/>
              </w:rPr>
              <w:t>评标基准价=满足招标文件要求且投标价最低的投标报价为评标基准价。</w:t>
            </w:r>
          </w:p>
          <w:p>
            <w:pPr>
              <w:widowControl/>
              <w:spacing w:line="320" w:lineRule="exact"/>
              <w:ind w:firstLine="420"/>
              <w:jc w:val="left"/>
              <w:rPr>
                <w:rFonts w:ascii="宋体" w:hAnsi="宋体" w:cs="宋体"/>
                <w:color w:val="000000"/>
                <w:kern w:val="0"/>
                <w:sz w:val="24"/>
                <w:szCs w:val="24"/>
              </w:rPr>
            </w:pPr>
            <w:r>
              <w:rPr>
                <w:rFonts w:hint="eastAsia" w:ascii="宋体" w:hAnsi="宋体" w:cs="宋体"/>
                <w:color w:val="000000"/>
                <w:kern w:val="0"/>
                <w:sz w:val="24"/>
                <w:szCs w:val="24"/>
              </w:rPr>
              <w:t>得分：投标价为基准价的，得满分30分，其他投标报价得分计算公式如下：</w:t>
            </w:r>
          </w:p>
          <w:p>
            <w:pPr>
              <w:widowControl/>
              <w:spacing w:line="320" w:lineRule="exact"/>
              <w:ind w:firstLine="420"/>
              <w:jc w:val="left"/>
              <w:rPr>
                <w:rFonts w:ascii="宋体" w:hAnsi="宋体" w:cs="宋体"/>
                <w:color w:val="000000"/>
                <w:kern w:val="0"/>
                <w:sz w:val="24"/>
                <w:szCs w:val="24"/>
              </w:rPr>
            </w:pPr>
            <w:r>
              <w:rPr>
                <w:rFonts w:hint="eastAsia" w:ascii="宋体" w:hAnsi="宋体" w:cs="宋体"/>
                <w:color w:val="000000"/>
                <w:kern w:val="0"/>
                <w:sz w:val="24"/>
                <w:szCs w:val="24"/>
              </w:rPr>
              <w:t>投标报价得分=（评标基准价/投标报价）×30%×100</w:t>
            </w:r>
          </w:p>
          <w:p>
            <w:pPr>
              <w:widowControl/>
              <w:ind w:firstLine="420"/>
              <w:jc w:val="left"/>
              <w:rPr>
                <w:rFonts w:ascii="宋体" w:hAnsi="宋体" w:cs="宋体"/>
                <w:color w:val="000000"/>
                <w:kern w:val="0"/>
                <w:sz w:val="24"/>
                <w:szCs w:val="24"/>
              </w:rPr>
            </w:pPr>
            <w:r>
              <w:rPr>
                <w:rFonts w:hint="eastAsia" w:ascii="宋体" w:hAnsi="宋体" w:cs="宋体"/>
                <w:color w:val="000000"/>
                <w:kern w:val="0"/>
                <w:sz w:val="24"/>
                <w:szCs w:val="24"/>
              </w:rPr>
              <w:t>（经评标委员会审核，投标商所投产品若有缺项，所缺部分将加上其他投标商所投产品同类部分中的最高价格作为其投标报价打分的依据）。得分四舍五入保留到小数点后一位。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65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0" w:firstLineChars="0"/>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0" w:firstLineChars="0"/>
              <w:jc w:val="center"/>
              <w:rPr>
                <w:rFonts w:ascii="宋体" w:hAnsi="宋体" w:cs="宋体"/>
                <w:color w:val="000000"/>
                <w:kern w:val="0"/>
                <w:sz w:val="24"/>
                <w:szCs w:val="24"/>
              </w:rPr>
            </w:pPr>
            <w:r>
              <w:rPr>
                <w:rFonts w:hint="eastAsia" w:ascii="宋体" w:hAnsi="宋体" w:cs="宋体"/>
                <w:color w:val="000000"/>
                <w:kern w:val="0"/>
                <w:sz w:val="24"/>
                <w:szCs w:val="24"/>
              </w:rPr>
              <w:t>产品配置及技术参数</w:t>
            </w:r>
          </w:p>
        </w:tc>
        <w:tc>
          <w:tcPr>
            <w:tcW w:w="68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0" w:firstLineChars="0"/>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2</w:t>
            </w:r>
            <w:r>
              <w:rPr>
                <w:rFonts w:hint="eastAsia" w:ascii="宋体" w:hAnsi="宋体" w:cs="宋体"/>
                <w:color w:val="000000"/>
                <w:kern w:val="0"/>
                <w:sz w:val="24"/>
                <w:szCs w:val="24"/>
                <w:lang w:val="en-US" w:eastAsia="zh-CN"/>
              </w:rPr>
              <w:t>0</w:t>
            </w:r>
          </w:p>
        </w:tc>
        <w:tc>
          <w:tcPr>
            <w:tcW w:w="658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420"/>
              <w:rPr>
                <w:rFonts w:ascii="宋体" w:hAnsi="宋体" w:cs="宋体" w:eastAsiaTheme="minorEastAsia"/>
                <w:color w:val="000000"/>
                <w:kern w:val="0"/>
                <w:sz w:val="24"/>
                <w:szCs w:val="24"/>
              </w:rPr>
            </w:pPr>
            <w:r>
              <w:rPr>
                <w:rFonts w:hint="eastAsia" w:ascii="宋体" w:hAnsi="宋体" w:cs="宋体"/>
                <w:color w:val="000000"/>
                <w:kern w:val="0"/>
                <w:sz w:val="24"/>
                <w:szCs w:val="24"/>
                <w:lang w:bidi="ar"/>
              </w:rPr>
              <w:t>所有指标都满足招标文件要求得2</w:t>
            </w:r>
            <w:r>
              <w:rPr>
                <w:rFonts w:hint="eastAsia" w:ascii="宋体" w:hAnsi="宋体" w:cs="宋体"/>
                <w:color w:val="000000"/>
                <w:kern w:val="0"/>
                <w:sz w:val="24"/>
                <w:szCs w:val="24"/>
                <w:lang w:val="en-US" w:eastAsia="zh-CN" w:bidi="ar"/>
              </w:rPr>
              <w:t>0</w:t>
            </w:r>
            <w:r>
              <w:rPr>
                <w:rFonts w:hint="eastAsia" w:ascii="宋体" w:hAnsi="宋体" w:cs="宋体"/>
                <w:color w:val="000000"/>
                <w:kern w:val="0"/>
                <w:sz w:val="24"/>
                <w:szCs w:val="24"/>
                <w:lang w:bidi="ar"/>
              </w:rPr>
              <w:t>分；一般技术指标参数不清、缺漏项、负偏离的每项扣1分；标“★”号重要技术指标参数不清、缺漏项、负偏离的每项扣3分，扣完为止，</w:t>
            </w:r>
            <w:r>
              <w:rPr>
                <w:rFonts w:hint="eastAsia" w:ascii="宋体" w:hAnsi="宋体" w:cs="宋体"/>
                <w:bCs/>
                <w:color w:val="000000"/>
                <w:kern w:val="0"/>
                <w:sz w:val="24"/>
                <w:szCs w:val="24"/>
                <w:lang w:bidi="ar"/>
              </w:rPr>
              <w:t>要求提供的</w:t>
            </w:r>
            <w:r>
              <w:rPr>
                <w:rFonts w:hint="eastAsia" w:ascii="宋体" w:hAnsi="宋体" w:cs="宋体"/>
                <w:bCs/>
                <w:color w:val="000000"/>
                <w:kern w:val="0"/>
                <w:sz w:val="24"/>
                <w:szCs w:val="24"/>
                <w:lang w:val="en-US" w:eastAsia="zh-CN" w:bidi="ar"/>
              </w:rPr>
              <w:t>佐证</w:t>
            </w:r>
            <w:r>
              <w:rPr>
                <w:rFonts w:hint="eastAsia" w:ascii="宋体" w:hAnsi="宋体" w:cs="宋体"/>
                <w:bCs/>
                <w:color w:val="000000"/>
                <w:kern w:val="0"/>
                <w:sz w:val="24"/>
                <w:szCs w:val="24"/>
                <w:lang w:bidi="ar"/>
              </w:rPr>
              <w:t>材料未提供的视作负偏离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5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0" w:firstLineChars="0"/>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0" w:firstLineChars="0"/>
              <w:jc w:val="center"/>
              <w:rPr>
                <w:rFonts w:hint="default" w:ascii="宋体" w:hAnsi="宋体" w:cs="宋体"/>
                <w:color w:val="000000"/>
                <w:kern w:val="0"/>
                <w:sz w:val="24"/>
                <w:szCs w:val="24"/>
              </w:rPr>
            </w:pPr>
            <w:r>
              <w:rPr>
                <w:rFonts w:hint="default" w:ascii="宋体" w:hAnsi="宋体" w:cs="宋体"/>
                <w:color w:val="000000"/>
                <w:kern w:val="0"/>
                <w:sz w:val="24"/>
                <w:szCs w:val="24"/>
              </w:rPr>
              <w:t>技术方案</w:t>
            </w:r>
          </w:p>
        </w:tc>
        <w:tc>
          <w:tcPr>
            <w:tcW w:w="68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0" w:firstLineChars="0"/>
              <w:jc w:val="center"/>
              <w:rPr>
                <w:rFonts w:hint="eastAsia" w:ascii="宋体" w:hAnsi="宋体" w:cs="宋体" w:eastAsiaTheme="minorEastAsia"/>
                <w:color w:val="000000"/>
                <w:kern w:val="0"/>
                <w:sz w:val="24"/>
                <w:szCs w:val="24"/>
                <w:lang w:eastAsia="zh-CN"/>
              </w:rPr>
            </w:pPr>
            <w:r>
              <w:rPr>
                <w:rFonts w:hint="eastAsia" w:ascii="宋体" w:hAnsi="宋体" w:cs="宋体"/>
                <w:color w:val="000000"/>
                <w:kern w:val="0"/>
                <w:sz w:val="24"/>
                <w:szCs w:val="24"/>
                <w:lang w:val="en-US" w:eastAsia="zh-CN"/>
              </w:rPr>
              <w:t>6</w:t>
            </w:r>
          </w:p>
        </w:tc>
        <w:tc>
          <w:tcPr>
            <w:tcW w:w="658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420"/>
              <w:rPr>
                <w:rFonts w:hint="eastAsia" w:ascii="宋体" w:hAnsi="宋体" w:cs="宋体"/>
                <w:color w:val="000000"/>
                <w:kern w:val="0"/>
                <w:sz w:val="24"/>
                <w:szCs w:val="24"/>
                <w:lang w:bidi="ar"/>
              </w:rPr>
            </w:pPr>
            <w:r>
              <w:rPr>
                <w:rFonts w:hint="eastAsia" w:ascii="宋体" w:hAnsi="宋体" w:eastAsia="宋体" w:cs="宋体"/>
                <w:sz w:val="24"/>
                <w:szCs w:val="24"/>
              </w:rPr>
              <w:t>根据投标人在投标文件中提供的产品的总体性能水平</w:t>
            </w:r>
            <w:r>
              <w:rPr>
                <w:rFonts w:hint="default" w:ascii="宋体" w:hAnsi="宋体" w:eastAsia="宋体" w:cs="宋体"/>
                <w:sz w:val="24"/>
                <w:szCs w:val="24"/>
              </w:rPr>
              <w:t>：先进性、</w:t>
            </w:r>
            <w:r>
              <w:rPr>
                <w:rFonts w:hint="eastAsia" w:ascii="宋体" w:hAnsi="宋体" w:eastAsia="宋体" w:cs="宋体"/>
                <w:sz w:val="24"/>
                <w:szCs w:val="24"/>
              </w:rPr>
              <w:t>可靠性、稳定性、</w:t>
            </w:r>
            <w:r>
              <w:rPr>
                <w:rFonts w:hint="default" w:ascii="宋体" w:hAnsi="宋体" w:eastAsia="宋体" w:cs="宋体"/>
                <w:sz w:val="24"/>
                <w:szCs w:val="24"/>
              </w:rPr>
              <w:t>适用性及</w:t>
            </w:r>
            <w:r>
              <w:rPr>
                <w:rFonts w:hint="eastAsia" w:ascii="宋体" w:hAnsi="宋体" w:eastAsia="宋体" w:cs="宋体"/>
                <w:sz w:val="24"/>
                <w:szCs w:val="24"/>
                <w:lang w:val="en-US" w:eastAsia="zh-CN"/>
              </w:rPr>
              <w:t>竞赛</w:t>
            </w:r>
            <w:r>
              <w:rPr>
                <w:rFonts w:hint="eastAsia" w:ascii="宋体" w:hAnsi="宋体" w:eastAsia="宋体" w:cs="宋体"/>
                <w:sz w:val="24"/>
                <w:szCs w:val="24"/>
              </w:rPr>
              <w:t>等方面打分，性能水平高的得4-</w:t>
            </w:r>
            <w:r>
              <w:rPr>
                <w:rFonts w:hint="eastAsia" w:ascii="宋体" w:hAnsi="宋体" w:eastAsia="宋体" w:cs="宋体"/>
                <w:sz w:val="24"/>
                <w:szCs w:val="24"/>
                <w:lang w:val="en-US" w:eastAsia="zh-CN"/>
              </w:rPr>
              <w:t>6</w:t>
            </w:r>
            <w:r>
              <w:rPr>
                <w:rFonts w:hint="eastAsia" w:ascii="宋体" w:hAnsi="宋体" w:eastAsia="宋体" w:cs="宋体"/>
                <w:sz w:val="24"/>
                <w:szCs w:val="24"/>
              </w:rPr>
              <w:t>分，性能水平一般的得</w:t>
            </w:r>
            <w:r>
              <w:rPr>
                <w:rFonts w:hint="eastAsia" w:ascii="宋体" w:hAnsi="宋体" w:cs="宋体"/>
                <w:sz w:val="24"/>
                <w:szCs w:val="24"/>
                <w:lang w:val="en-US" w:eastAsia="zh-CN"/>
              </w:rPr>
              <w:t>1</w:t>
            </w:r>
            <w:r>
              <w:rPr>
                <w:rFonts w:hint="eastAsia" w:ascii="宋体" w:hAnsi="宋体" w:eastAsia="宋体" w:cs="宋体"/>
                <w:sz w:val="24"/>
                <w:szCs w:val="24"/>
              </w:rPr>
              <w:t>-3分，其他不得分。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58" w:type="dxa"/>
            <w:tcBorders>
              <w:top w:val="single" w:color="000000" w:sz="4" w:space="0"/>
              <w:left w:val="single" w:color="000000" w:sz="4" w:space="0"/>
              <w:right w:val="single" w:color="000000" w:sz="4" w:space="0"/>
              <w:tl2br w:val="nil"/>
              <w:tr2bl w:val="nil"/>
            </w:tcBorders>
            <w:shd w:val="clear" w:color="auto" w:fill="FFFFFF"/>
            <w:vAlign w:val="center"/>
          </w:tcPr>
          <w:p>
            <w:pPr>
              <w:widowControl/>
              <w:ind w:firstLine="0" w:firstLineChars="0"/>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4</w:t>
            </w:r>
          </w:p>
        </w:tc>
        <w:tc>
          <w:tcPr>
            <w:tcW w:w="1592" w:type="dxa"/>
            <w:tcBorders>
              <w:top w:val="single" w:color="000000" w:sz="4" w:space="0"/>
              <w:left w:val="single" w:color="000000" w:sz="4" w:space="0"/>
              <w:right w:val="single" w:color="000000" w:sz="4" w:space="0"/>
              <w:tl2br w:val="nil"/>
              <w:tr2bl w:val="nil"/>
            </w:tcBorders>
            <w:shd w:val="clear" w:color="auto" w:fill="FFFFFF"/>
            <w:vAlign w:val="center"/>
          </w:tcPr>
          <w:p>
            <w:pPr>
              <w:widowControl/>
              <w:ind w:firstLine="0" w:firstLineChars="0"/>
              <w:jc w:val="center"/>
              <w:rPr>
                <w:rFonts w:hint="default" w:ascii="宋体" w:hAnsi="宋体" w:eastAsia="宋体" w:cs="宋体"/>
                <w:strike/>
                <w:dstrike w:val="0"/>
                <w:color w:val="000000"/>
                <w:kern w:val="0"/>
                <w:sz w:val="24"/>
                <w:szCs w:val="24"/>
                <w:lang w:val="en-US" w:eastAsia="zh-CN"/>
              </w:rPr>
            </w:pPr>
            <w:r>
              <w:rPr>
                <w:rFonts w:hint="eastAsia" w:ascii="宋体" w:hAnsi="宋体" w:cs="宋体"/>
                <w:strike w:val="0"/>
                <w:dstrike w:val="0"/>
                <w:color w:val="000000"/>
                <w:sz w:val="24"/>
                <w:szCs w:val="24"/>
                <w:lang w:val="en-US" w:eastAsia="zh-CN"/>
              </w:rPr>
              <w:t>服务能力</w:t>
            </w:r>
          </w:p>
        </w:tc>
        <w:tc>
          <w:tcPr>
            <w:tcW w:w="68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0" w:firstLineChars="0"/>
              <w:jc w:val="center"/>
              <w:rPr>
                <w:rFonts w:hint="default" w:ascii="宋体" w:hAnsi="宋体" w:eastAsia="宋体" w:cs="宋体"/>
                <w:strike/>
                <w:dstrike w:val="0"/>
                <w:color w:val="000000"/>
                <w:kern w:val="0"/>
                <w:sz w:val="24"/>
                <w:szCs w:val="24"/>
                <w:lang w:val="en-US" w:eastAsia="zh-CN"/>
              </w:rPr>
            </w:pPr>
            <w:r>
              <w:rPr>
                <w:rFonts w:hint="eastAsia" w:ascii="宋体" w:hAnsi="宋体" w:cs="宋体"/>
                <w:strike w:val="0"/>
                <w:dstrike w:val="0"/>
                <w:color w:val="000000"/>
                <w:kern w:val="0"/>
                <w:sz w:val="24"/>
                <w:szCs w:val="24"/>
                <w:u w:val="none"/>
                <w:lang w:val="en-US" w:eastAsia="zh-CN"/>
              </w:rPr>
              <w:t>10</w:t>
            </w:r>
          </w:p>
        </w:tc>
        <w:tc>
          <w:tcPr>
            <w:tcW w:w="658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ind w:firstLine="480" w:firstLineChars="200"/>
              <w:rPr>
                <w:rFonts w:hint="eastAsia"/>
                <w:color w:val="0000FF"/>
                <w:sz w:val="24"/>
                <w:szCs w:val="24"/>
                <w:lang w:eastAsia="zh-CN"/>
              </w:rPr>
            </w:pPr>
            <w:r>
              <w:rPr>
                <w:rFonts w:hint="eastAsia" w:ascii="宋体" w:hAnsi="宋体" w:cs="宋体"/>
                <w:color w:val="auto"/>
                <w:kern w:val="0"/>
                <w:sz w:val="24"/>
                <w:szCs w:val="24"/>
              </w:rPr>
              <w:t>所投产品制造商</w:t>
            </w:r>
            <w:r>
              <w:rPr>
                <w:rFonts w:hint="eastAsia" w:ascii="宋体" w:hAnsi="宋体" w:cs="宋体"/>
                <w:color w:val="auto"/>
                <w:kern w:val="0"/>
                <w:sz w:val="24"/>
                <w:szCs w:val="24"/>
                <w:lang w:val="en-US" w:eastAsia="zh-CN"/>
              </w:rPr>
              <w:t>为近五年</w:t>
            </w:r>
            <w:r>
              <w:rPr>
                <w:rFonts w:hint="eastAsia" w:ascii="宋体" w:hAnsi="宋体" w:cs="宋体"/>
                <w:color w:val="auto"/>
                <w:kern w:val="0"/>
                <w:sz w:val="24"/>
                <w:szCs w:val="24"/>
              </w:rPr>
              <w:t>全国职业院校技能大赛、全国数控技能大赛、中国技能大赛-智能制造应用技术大赛、中华人民共和国职业技能大赛、全国技能大赛世赛项目机械行业选拔赛的技术支持企业，</w:t>
            </w:r>
            <w:r>
              <w:rPr>
                <w:rFonts w:hint="eastAsia" w:ascii="宋体" w:hAnsi="宋体" w:cs="宋体"/>
                <w:color w:val="auto"/>
                <w:kern w:val="0"/>
                <w:sz w:val="24"/>
                <w:szCs w:val="24"/>
                <w:lang w:val="en-US" w:eastAsia="zh-CN"/>
              </w:rPr>
              <w:t>其中浙江省内市级选拔赛的支持企业</w:t>
            </w:r>
            <w:r>
              <w:rPr>
                <w:rFonts w:hint="eastAsia" w:ascii="宋体" w:hAnsi="宋体" w:cs="宋体"/>
                <w:color w:val="auto"/>
                <w:kern w:val="0"/>
                <w:sz w:val="24"/>
                <w:szCs w:val="24"/>
              </w:rPr>
              <w:t>每</w:t>
            </w:r>
            <w:r>
              <w:rPr>
                <w:rFonts w:hint="eastAsia" w:ascii="宋体" w:hAnsi="宋体" w:cs="宋体"/>
                <w:color w:val="auto"/>
                <w:kern w:val="0"/>
                <w:sz w:val="24"/>
                <w:szCs w:val="24"/>
                <w:lang w:val="en-US" w:eastAsia="zh-CN"/>
              </w:rPr>
              <w:t>提供</w:t>
            </w:r>
            <w:r>
              <w:rPr>
                <w:rFonts w:hint="eastAsia" w:ascii="宋体" w:hAnsi="宋体" w:cs="宋体"/>
                <w:color w:val="auto"/>
                <w:kern w:val="0"/>
                <w:sz w:val="24"/>
                <w:szCs w:val="24"/>
              </w:rPr>
              <w:t>一项得</w:t>
            </w:r>
            <w:r>
              <w:rPr>
                <w:rFonts w:hint="eastAsia" w:ascii="宋体" w:hAnsi="宋体" w:cs="宋体"/>
                <w:color w:val="auto"/>
                <w:kern w:val="0"/>
                <w:sz w:val="24"/>
                <w:szCs w:val="24"/>
                <w:lang w:val="en-US" w:eastAsia="zh-CN"/>
              </w:rPr>
              <w:t>0.5</w:t>
            </w:r>
            <w:r>
              <w:rPr>
                <w:rFonts w:hint="eastAsia" w:ascii="宋体" w:hAnsi="宋体" w:cs="宋体"/>
                <w:color w:val="auto"/>
                <w:kern w:val="0"/>
                <w:sz w:val="24"/>
                <w:szCs w:val="24"/>
              </w:rPr>
              <w:t>分，</w:t>
            </w:r>
            <w:r>
              <w:rPr>
                <w:rFonts w:hint="eastAsia" w:ascii="宋体" w:hAnsi="宋体" w:cs="宋体"/>
                <w:color w:val="auto"/>
                <w:kern w:val="0"/>
                <w:sz w:val="24"/>
                <w:szCs w:val="24"/>
                <w:lang w:val="en-US" w:eastAsia="zh-CN"/>
              </w:rPr>
              <w:t>浙江省选拔赛支持企业</w:t>
            </w:r>
            <w:r>
              <w:rPr>
                <w:rFonts w:hint="eastAsia" w:ascii="宋体" w:hAnsi="宋体" w:cs="宋体"/>
                <w:color w:val="auto"/>
                <w:kern w:val="0"/>
                <w:sz w:val="24"/>
                <w:szCs w:val="24"/>
              </w:rPr>
              <w:t>每</w:t>
            </w:r>
            <w:r>
              <w:rPr>
                <w:rFonts w:hint="eastAsia" w:ascii="宋体" w:hAnsi="宋体" w:cs="宋体"/>
                <w:color w:val="auto"/>
                <w:kern w:val="0"/>
                <w:sz w:val="24"/>
                <w:szCs w:val="24"/>
                <w:lang w:val="en-US" w:eastAsia="zh-CN"/>
              </w:rPr>
              <w:t>提供</w:t>
            </w:r>
            <w:r>
              <w:rPr>
                <w:rFonts w:hint="eastAsia" w:ascii="宋体" w:hAnsi="宋体" w:cs="宋体"/>
                <w:color w:val="auto"/>
                <w:kern w:val="0"/>
                <w:sz w:val="24"/>
                <w:szCs w:val="24"/>
              </w:rPr>
              <w:t>一项</w:t>
            </w:r>
            <w:r>
              <w:rPr>
                <w:rFonts w:hint="eastAsia" w:ascii="宋体" w:hAnsi="宋体" w:cs="宋体"/>
                <w:color w:val="auto"/>
                <w:kern w:val="0"/>
                <w:sz w:val="24"/>
                <w:szCs w:val="24"/>
                <w:lang w:val="en-US" w:eastAsia="zh-CN"/>
              </w:rPr>
              <w:t>得1分，国家级大赛支持企业</w:t>
            </w:r>
            <w:r>
              <w:rPr>
                <w:rFonts w:hint="eastAsia" w:ascii="宋体" w:hAnsi="宋体" w:cs="宋体"/>
                <w:color w:val="auto"/>
                <w:kern w:val="0"/>
                <w:sz w:val="24"/>
                <w:szCs w:val="24"/>
              </w:rPr>
              <w:t>每</w:t>
            </w:r>
            <w:r>
              <w:rPr>
                <w:rFonts w:hint="eastAsia" w:ascii="宋体" w:hAnsi="宋体" w:cs="宋体"/>
                <w:color w:val="auto"/>
                <w:kern w:val="0"/>
                <w:sz w:val="24"/>
                <w:szCs w:val="24"/>
                <w:lang w:val="en-US" w:eastAsia="zh-CN"/>
              </w:rPr>
              <w:t>提供</w:t>
            </w:r>
            <w:r>
              <w:rPr>
                <w:rFonts w:hint="eastAsia" w:ascii="宋体" w:hAnsi="宋体" w:cs="宋体"/>
                <w:color w:val="auto"/>
                <w:kern w:val="0"/>
                <w:sz w:val="24"/>
                <w:szCs w:val="24"/>
              </w:rPr>
              <w:t>一项</w:t>
            </w:r>
            <w:r>
              <w:rPr>
                <w:rFonts w:hint="eastAsia" w:ascii="宋体" w:hAnsi="宋体" w:cs="宋体"/>
                <w:color w:val="auto"/>
                <w:kern w:val="0"/>
                <w:sz w:val="24"/>
                <w:szCs w:val="24"/>
                <w:lang w:val="en-US" w:eastAsia="zh-CN"/>
              </w:rPr>
              <w:t>得2分，</w:t>
            </w:r>
            <w:r>
              <w:rPr>
                <w:rFonts w:hint="eastAsia" w:ascii="宋体" w:hAnsi="宋体" w:cs="宋体"/>
                <w:color w:val="auto"/>
                <w:kern w:val="0"/>
                <w:sz w:val="24"/>
                <w:szCs w:val="24"/>
              </w:rPr>
              <w:t>不提供不得分。提供证明材料（加盖制造商公章）</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最多</w:t>
            </w:r>
            <w:r>
              <w:rPr>
                <w:rFonts w:hint="eastAsia" w:ascii="宋体" w:hAnsi="宋体" w:cs="宋体"/>
                <w:color w:val="auto"/>
                <w:kern w:val="0"/>
                <w:sz w:val="24"/>
                <w:szCs w:val="24"/>
              </w:rPr>
              <w:t>得10分，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5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0" w:firstLineChars="0"/>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5</w:t>
            </w:r>
          </w:p>
        </w:tc>
        <w:tc>
          <w:tcPr>
            <w:tcW w:w="159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spacing w:line="90" w:lineRule="atLeast"/>
              <w:ind w:firstLine="0" w:firstLineChars="0"/>
              <w:jc w:val="center"/>
              <w:rPr>
                <w:rFonts w:ascii="宋体" w:hAnsi="宋体" w:cs="宋体"/>
                <w:color w:val="000000"/>
                <w:kern w:val="0"/>
                <w:sz w:val="24"/>
                <w:szCs w:val="24"/>
              </w:rPr>
            </w:pPr>
            <w:r>
              <w:rPr>
                <w:rFonts w:hint="eastAsia" w:ascii="宋体" w:hAnsi="宋体" w:cs="宋体"/>
                <w:color w:val="000000"/>
                <w:kern w:val="0"/>
                <w:sz w:val="24"/>
                <w:szCs w:val="24"/>
              </w:rPr>
              <w:t>综合实力</w:t>
            </w:r>
          </w:p>
          <w:p>
            <w:pPr>
              <w:widowControl/>
              <w:ind w:firstLine="420"/>
              <w:jc w:val="center"/>
              <w:rPr>
                <w:rFonts w:ascii="宋体" w:hAnsi="宋体" w:cs="宋体"/>
                <w:color w:val="000000"/>
                <w:kern w:val="0"/>
                <w:sz w:val="24"/>
                <w:szCs w:val="24"/>
              </w:rPr>
            </w:pPr>
          </w:p>
        </w:tc>
        <w:tc>
          <w:tcPr>
            <w:tcW w:w="68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spacing w:line="90" w:lineRule="atLeast"/>
              <w:ind w:firstLine="0" w:firstLineChars="0"/>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6</w:t>
            </w:r>
          </w:p>
        </w:tc>
        <w:tc>
          <w:tcPr>
            <w:tcW w:w="658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420"/>
              <w:rPr>
                <w:rFonts w:ascii="宋体" w:hAnsi="宋体" w:cs="宋体"/>
                <w:color w:val="000000"/>
                <w:kern w:val="0"/>
                <w:sz w:val="24"/>
                <w:szCs w:val="24"/>
              </w:rPr>
            </w:pPr>
            <w:r>
              <w:rPr>
                <w:rFonts w:hint="eastAsia" w:ascii="宋体" w:hAnsi="宋体" w:cs="宋体"/>
                <w:color w:val="000000"/>
                <w:kern w:val="0"/>
                <w:sz w:val="24"/>
                <w:szCs w:val="24"/>
              </w:rPr>
              <w:t>所投产品制造商获得省级以上认证的高新技术企业、全国机械行业职教教育（机械工业教育发展中心）“现代学徒制”试点牵头单位、全国机械行业先进制造领域“产教融合骨干企业”提供证明材料（加盖制造章公章），每提供一项得2分，</w:t>
            </w:r>
            <w:r>
              <w:rPr>
                <w:rFonts w:hint="eastAsia" w:ascii="宋体" w:hAnsi="宋体" w:cs="宋体"/>
                <w:color w:val="000000"/>
                <w:kern w:val="0"/>
                <w:sz w:val="24"/>
                <w:szCs w:val="24"/>
                <w:lang w:val="en-US" w:eastAsia="zh-CN"/>
              </w:rPr>
              <w:t>最高得6分</w:t>
            </w:r>
            <w:r>
              <w:rPr>
                <w:rFonts w:hint="eastAsia" w:ascii="宋体" w:hAnsi="宋体" w:cs="宋体"/>
                <w:color w:val="000000"/>
                <w:kern w:val="0"/>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658"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420"/>
              <w:jc w:val="center"/>
              <w:rPr>
                <w:rFonts w:hint="eastAsia" w:ascii="宋体" w:hAnsi="宋体" w:cs="宋体" w:eastAsiaTheme="minorEastAsia"/>
                <w:color w:val="000000"/>
                <w:kern w:val="0"/>
                <w:sz w:val="24"/>
                <w:szCs w:val="24"/>
                <w:lang w:eastAsia="zh-CN"/>
              </w:rPr>
            </w:pPr>
            <w:r>
              <w:rPr>
                <w:rFonts w:hint="eastAsia" w:ascii="宋体" w:hAnsi="宋体" w:cs="宋体"/>
                <w:color w:val="000000"/>
                <w:kern w:val="0"/>
                <w:sz w:val="24"/>
                <w:szCs w:val="24"/>
                <w:lang w:val="en-US" w:eastAsia="zh-CN"/>
              </w:rPr>
              <w:t>其中</w:t>
            </w:r>
          </w:p>
        </w:tc>
        <w:tc>
          <w:tcPr>
            <w:tcW w:w="159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420"/>
              <w:jc w:val="center"/>
              <w:rPr>
                <w:rFonts w:ascii="宋体" w:hAnsi="宋体" w:cs="宋体"/>
                <w:color w:val="000000"/>
                <w:kern w:val="0"/>
                <w:sz w:val="24"/>
                <w:szCs w:val="24"/>
              </w:rPr>
            </w:pPr>
          </w:p>
        </w:tc>
        <w:tc>
          <w:tcPr>
            <w:tcW w:w="68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spacing w:line="90" w:lineRule="atLeast"/>
              <w:ind w:firstLine="0" w:firstLineChars="0"/>
              <w:jc w:val="center"/>
              <w:rPr>
                <w:rFonts w:ascii="宋体" w:hAnsi="宋体" w:cs="宋体"/>
                <w:color w:val="000000"/>
                <w:kern w:val="0"/>
                <w:sz w:val="24"/>
                <w:szCs w:val="24"/>
              </w:rPr>
            </w:pPr>
            <w:r>
              <w:rPr>
                <w:rFonts w:hint="eastAsia" w:ascii="宋体" w:hAnsi="宋体" w:cs="宋体"/>
                <w:color w:val="000000"/>
                <w:kern w:val="0"/>
                <w:sz w:val="24"/>
                <w:szCs w:val="24"/>
                <w:lang w:val="en-US" w:eastAsia="zh-CN"/>
              </w:rPr>
              <w:t>2</w:t>
            </w:r>
          </w:p>
        </w:tc>
        <w:tc>
          <w:tcPr>
            <w:tcW w:w="658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480" w:firstLineChars="200"/>
              <w:rPr>
                <w:rFonts w:hint="eastAsia" w:ascii="宋体" w:hAnsi="宋体" w:cs="宋体" w:eastAsiaTheme="minorEastAsia"/>
                <w:color w:val="000000"/>
                <w:kern w:val="0"/>
                <w:sz w:val="24"/>
                <w:szCs w:val="24"/>
                <w:lang w:val="en-US" w:eastAsia="zh-CN"/>
              </w:rPr>
            </w:pPr>
            <w:r>
              <w:rPr>
                <w:rFonts w:hint="eastAsia" w:ascii="宋体" w:hAnsi="宋体" w:cs="宋体"/>
                <w:color w:val="000000"/>
                <w:kern w:val="0"/>
                <w:sz w:val="24"/>
                <w:szCs w:val="24"/>
              </w:rPr>
              <w:t>所投产品制造商荣获省级或以上“优质品牌”和“高端品牌”荣誉称号</w:t>
            </w:r>
            <w:r>
              <w:rPr>
                <w:rFonts w:hint="eastAsia" w:ascii="宋体" w:hAnsi="宋体" w:cs="宋体"/>
                <w:color w:val="000000"/>
                <w:kern w:val="0"/>
                <w:sz w:val="24"/>
                <w:szCs w:val="24"/>
                <w:lang w:val="en-US" w:eastAsia="zh-CN"/>
              </w:rPr>
              <w:t>,同时满足并提供证明材料（加盖制造商公章）得2分，提供一项得1分，不提供不得分。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5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spacing w:line="90" w:lineRule="atLeast"/>
              <w:ind w:firstLine="0" w:firstLineChars="0"/>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6</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ind w:firstLine="0" w:firstLineChars="0"/>
              <w:jc w:val="center"/>
              <w:rPr>
                <w:rFonts w:ascii="宋体" w:hAnsi="宋体" w:cs="宋体"/>
                <w:color w:val="000000"/>
                <w:kern w:val="0"/>
                <w:sz w:val="24"/>
                <w:szCs w:val="24"/>
              </w:rPr>
            </w:pPr>
            <w:r>
              <w:rPr>
                <w:rFonts w:hint="eastAsia" w:ascii="宋体" w:hAnsi="宋体" w:cs="宋体"/>
                <w:color w:val="000000"/>
                <w:sz w:val="24"/>
                <w:szCs w:val="24"/>
              </w:rPr>
              <w:t>售后服务方案</w:t>
            </w:r>
          </w:p>
        </w:tc>
        <w:tc>
          <w:tcPr>
            <w:tcW w:w="68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spacing w:line="90" w:lineRule="atLeast"/>
              <w:ind w:firstLine="0" w:firstLineChars="0"/>
              <w:jc w:val="center"/>
              <w:rPr>
                <w:rFonts w:hint="eastAsia" w:ascii="宋体" w:hAnsi="宋体" w:cs="宋体" w:eastAsiaTheme="minorEastAsia"/>
                <w:color w:val="000000"/>
                <w:kern w:val="0"/>
                <w:sz w:val="24"/>
                <w:szCs w:val="24"/>
                <w:highlight w:val="none"/>
                <w:lang w:eastAsia="zh-CN"/>
              </w:rPr>
            </w:pPr>
            <w:r>
              <w:rPr>
                <w:rFonts w:hint="eastAsia" w:ascii="宋体" w:hAnsi="宋体" w:cs="宋体"/>
                <w:color w:val="000000"/>
                <w:kern w:val="0"/>
                <w:sz w:val="24"/>
                <w:szCs w:val="24"/>
                <w:highlight w:val="none"/>
                <w:lang w:val="en-US" w:eastAsia="zh-CN"/>
              </w:rPr>
              <w:t>6</w:t>
            </w:r>
          </w:p>
        </w:tc>
        <w:tc>
          <w:tcPr>
            <w:tcW w:w="658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ind w:firstLine="420"/>
              <w:rPr>
                <w:rFonts w:ascii="宋体" w:hAnsi="宋体" w:cs="宋体"/>
                <w:color w:val="000000"/>
                <w:kern w:val="0"/>
                <w:sz w:val="24"/>
                <w:szCs w:val="24"/>
                <w:highlight w:val="none"/>
              </w:rPr>
            </w:pPr>
            <w:r>
              <w:rPr>
                <w:rFonts w:hint="eastAsia" w:ascii="宋体" w:hAnsi="宋体" w:cs="宋体"/>
                <w:color w:val="000000"/>
                <w:sz w:val="24"/>
                <w:szCs w:val="24"/>
                <w:highlight w:val="none"/>
              </w:rPr>
              <w:t>根据</w:t>
            </w:r>
            <w:r>
              <w:rPr>
                <w:rFonts w:hint="eastAsia" w:ascii="宋体" w:hAnsi="宋体" w:cs="宋体"/>
                <w:color w:val="000000"/>
                <w:sz w:val="24"/>
                <w:szCs w:val="24"/>
                <w:highlight w:val="none"/>
                <w:lang w:val="en-US" w:eastAsia="zh-CN"/>
              </w:rPr>
              <w:t>投标人提供的</w:t>
            </w:r>
            <w:r>
              <w:rPr>
                <w:rFonts w:hint="eastAsia" w:ascii="宋体" w:hAnsi="宋体" w:cs="宋体"/>
                <w:color w:val="000000"/>
                <w:sz w:val="24"/>
                <w:szCs w:val="24"/>
                <w:highlight w:val="none"/>
              </w:rPr>
              <w:t>售后服务承诺进行</w:t>
            </w:r>
            <w:r>
              <w:rPr>
                <w:rFonts w:hint="eastAsia" w:ascii="宋体" w:hAnsi="宋体" w:cs="宋体"/>
                <w:color w:val="000000"/>
                <w:sz w:val="24"/>
                <w:szCs w:val="24"/>
                <w:highlight w:val="none"/>
                <w:lang w:val="en-US" w:eastAsia="zh-CN"/>
              </w:rPr>
              <w:t>综合</w:t>
            </w:r>
            <w:r>
              <w:rPr>
                <w:rFonts w:hint="eastAsia" w:ascii="宋体" w:hAnsi="宋体" w:cs="宋体"/>
                <w:color w:val="000000"/>
                <w:sz w:val="24"/>
                <w:szCs w:val="24"/>
                <w:highlight w:val="none"/>
              </w:rPr>
              <w:t>打分，</w:t>
            </w:r>
            <w:r>
              <w:rPr>
                <w:rFonts w:hint="eastAsia" w:ascii="宋体" w:hAnsi="宋体" w:cs="宋体"/>
                <w:color w:val="000000"/>
                <w:sz w:val="24"/>
                <w:szCs w:val="24"/>
                <w:highlight w:val="none"/>
                <w:lang w:val="en-US" w:eastAsia="zh-CN"/>
              </w:rPr>
              <w:t>优5-6</w:t>
            </w:r>
            <w:r>
              <w:rPr>
                <w:rFonts w:hint="eastAsia" w:ascii="宋体" w:hAnsi="宋体" w:cs="宋体"/>
                <w:color w:val="000000"/>
                <w:sz w:val="24"/>
                <w:szCs w:val="24"/>
                <w:highlight w:val="none"/>
              </w:rPr>
              <w:t>分，</w:t>
            </w:r>
            <w:r>
              <w:rPr>
                <w:rFonts w:hint="eastAsia" w:ascii="宋体" w:hAnsi="宋体" w:cs="宋体"/>
                <w:color w:val="000000"/>
                <w:sz w:val="24"/>
                <w:szCs w:val="24"/>
                <w:highlight w:val="none"/>
                <w:lang w:val="en-US" w:eastAsia="zh-CN"/>
              </w:rPr>
              <w:t>中3-4</w:t>
            </w:r>
            <w:r>
              <w:rPr>
                <w:rFonts w:hint="eastAsia" w:ascii="宋体" w:hAnsi="宋体" w:cs="宋体"/>
                <w:color w:val="000000"/>
                <w:sz w:val="24"/>
                <w:szCs w:val="24"/>
                <w:highlight w:val="none"/>
              </w:rPr>
              <w:t>分</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差0-2分</w:t>
            </w:r>
            <w:r>
              <w:rPr>
                <w:rFonts w:hint="eastAsia" w:ascii="宋体" w:hAnsi="宋体" w:cs="宋体"/>
                <w:color w:val="000000"/>
                <w:sz w:val="24"/>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65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spacing w:line="90" w:lineRule="atLeast"/>
              <w:ind w:firstLine="0" w:firstLineChars="0"/>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7</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0" w:firstLineChars="0"/>
              <w:jc w:val="center"/>
              <w:rPr>
                <w:rFonts w:ascii="宋体" w:hAnsi="宋体" w:cs="宋体"/>
                <w:color w:val="000000"/>
                <w:kern w:val="0"/>
                <w:sz w:val="24"/>
                <w:szCs w:val="24"/>
              </w:rPr>
            </w:pPr>
            <w:r>
              <w:rPr>
                <w:rFonts w:hint="eastAsia" w:ascii="宋体" w:hAnsi="宋体" w:cs="宋体"/>
                <w:color w:val="000000"/>
                <w:sz w:val="24"/>
                <w:szCs w:val="24"/>
                <w:lang w:bidi="ar"/>
              </w:rPr>
              <w:t>供货、安装、调试、培训、验收的方案和措施</w:t>
            </w:r>
          </w:p>
        </w:tc>
        <w:tc>
          <w:tcPr>
            <w:tcW w:w="68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ind w:firstLine="0" w:firstLineChars="0"/>
              <w:jc w:val="center"/>
              <w:rPr>
                <w:rFonts w:hint="default" w:ascii="宋体" w:hAnsi="宋体" w:eastAsia="宋体" w:cs="宋体"/>
                <w:color w:val="000000"/>
                <w:kern w:val="0"/>
                <w:sz w:val="24"/>
                <w:szCs w:val="24"/>
                <w:highlight w:val="none"/>
                <w:lang w:eastAsia="zh-CN"/>
              </w:rPr>
            </w:pPr>
            <w:r>
              <w:rPr>
                <w:rFonts w:hint="eastAsia" w:ascii="宋体" w:hAnsi="宋体" w:cs="宋体"/>
                <w:color w:val="000000"/>
                <w:kern w:val="0"/>
                <w:sz w:val="24"/>
                <w:szCs w:val="24"/>
                <w:highlight w:val="none"/>
                <w:lang w:val="en-US" w:eastAsia="zh-CN"/>
              </w:rPr>
              <w:t>6</w:t>
            </w:r>
          </w:p>
        </w:tc>
        <w:tc>
          <w:tcPr>
            <w:tcW w:w="658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ind w:firstLine="420"/>
              <w:rPr>
                <w:rFonts w:ascii="宋体" w:hAnsi="宋体" w:cs="宋体"/>
                <w:color w:val="000000"/>
                <w:kern w:val="0"/>
                <w:sz w:val="24"/>
                <w:szCs w:val="24"/>
                <w:highlight w:val="none"/>
              </w:rPr>
            </w:pPr>
            <w:r>
              <w:rPr>
                <w:rFonts w:hint="eastAsia" w:ascii="宋体" w:hAnsi="宋体" w:cs="宋体"/>
                <w:color w:val="000000"/>
                <w:sz w:val="24"/>
                <w:szCs w:val="24"/>
                <w:highlight w:val="none"/>
              </w:rPr>
              <w:t>根据</w:t>
            </w:r>
            <w:r>
              <w:rPr>
                <w:rFonts w:hint="eastAsia" w:ascii="宋体" w:hAnsi="宋体" w:cs="宋体"/>
                <w:color w:val="000000"/>
                <w:sz w:val="24"/>
                <w:szCs w:val="24"/>
                <w:highlight w:val="none"/>
                <w:lang w:val="en-US" w:eastAsia="zh-CN"/>
              </w:rPr>
              <w:t>投标人提供的</w:t>
            </w:r>
            <w:r>
              <w:rPr>
                <w:rFonts w:hint="eastAsia" w:ascii="宋体" w:hAnsi="宋体" w:cs="宋体"/>
                <w:color w:val="000000"/>
                <w:sz w:val="24"/>
                <w:szCs w:val="24"/>
                <w:highlight w:val="none"/>
                <w:lang w:bidi="ar"/>
              </w:rPr>
              <w:t>供货、安装、调试、培训、验收的方案和措施</w:t>
            </w:r>
            <w:r>
              <w:rPr>
                <w:rFonts w:hint="eastAsia" w:ascii="宋体" w:hAnsi="宋体" w:cs="宋体"/>
                <w:color w:val="000000"/>
                <w:sz w:val="24"/>
                <w:szCs w:val="24"/>
                <w:highlight w:val="none"/>
              </w:rPr>
              <w:t>进行</w:t>
            </w:r>
            <w:r>
              <w:rPr>
                <w:rFonts w:hint="eastAsia" w:ascii="宋体" w:hAnsi="宋体" w:cs="宋体"/>
                <w:color w:val="000000"/>
                <w:sz w:val="24"/>
                <w:szCs w:val="24"/>
                <w:highlight w:val="none"/>
                <w:lang w:val="en-US" w:eastAsia="zh-CN"/>
              </w:rPr>
              <w:t>综合</w:t>
            </w:r>
            <w:r>
              <w:rPr>
                <w:rFonts w:hint="eastAsia" w:ascii="宋体" w:hAnsi="宋体" w:cs="宋体"/>
                <w:color w:val="000000"/>
                <w:sz w:val="24"/>
                <w:szCs w:val="24"/>
                <w:highlight w:val="none"/>
              </w:rPr>
              <w:t>打分，</w:t>
            </w:r>
            <w:r>
              <w:rPr>
                <w:rFonts w:hint="eastAsia" w:ascii="宋体" w:hAnsi="宋体" w:cs="宋体"/>
                <w:color w:val="000000"/>
                <w:sz w:val="24"/>
                <w:szCs w:val="24"/>
                <w:highlight w:val="none"/>
                <w:lang w:val="en-US" w:eastAsia="zh-CN"/>
              </w:rPr>
              <w:t>优5-6</w:t>
            </w:r>
            <w:r>
              <w:rPr>
                <w:rFonts w:hint="eastAsia" w:ascii="宋体" w:hAnsi="宋体" w:cs="宋体"/>
                <w:color w:val="000000"/>
                <w:sz w:val="24"/>
                <w:szCs w:val="24"/>
                <w:highlight w:val="none"/>
              </w:rPr>
              <w:t>分，</w:t>
            </w:r>
            <w:r>
              <w:rPr>
                <w:rFonts w:hint="eastAsia" w:ascii="宋体" w:hAnsi="宋体" w:cs="宋体"/>
                <w:color w:val="000000"/>
                <w:sz w:val="24"/>
                <w:szCs w:val="24"/>
                <w:highlight w:val="none"/>
                <w:lang w:val="en-US" w:eastAsia="zh-CN"/>
              </w:rPr>
              <w:t>中3-4</w:t>
            </w:r>
            <w:r>
              <w:rPr>
                <w:rFonts w:hint="eastAsia" w:ascii="宋体" w:hAnsi="宋体" w:cs="宋体"/>
                <w:color w:val="000000"/>
                <w:sz w:val="24"/>
                <w:szCs w:val="24"/>
                <w:highlight w:val="none"/>
              </w:rPr>
              <w:t>分</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差0-2分</w:t>
            </w:r>
            <w:r>
              <w:rPr>
                <w:rFonts w:hint="eastAsia" w:ascii="宋体" w:hAnsi="宋体" w:cs="宋体"/>
                <w:color w:val="000000"/>
                <w:sz w:val="24"/>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66" w:hRule="atLeast"/>
        </w:trPr>
        <w:tc>
          <w:tcPr>
            <w:tcW w:w="65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spacing w:line="90" w:lineRule="atLeast"/>
              <w:ind w:firstLine="0" w:firstLineChars="0"/>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9</w:t>
            </w:r>
          </w:p>
        </w:tc>
        <w:tc>
          <w:tcPr>
            <w:tcW w:w="1592"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0" w:firstLineChars="0"/>
              <w:jc w:val="center"/>
              <w:rPr>
                <w:rFonts w:ascii="宋体" w:hAnsi="宋体" w:cs="宋体"/>
                <w:color w:val="000000"/>
                <w:kern w:val="0"/>
                <w:sz w:val="24"/>
                <w:szCs w:val="24"/>
              </w:rPr>
            </w:pPr>
            <w:r>
              <w:rPr>
                <w:rFonts w:hint="eastAsia" w:ascii="宋体" w:hAnsi="宋体" w:cs="宋体"/>
                <w:color w:val="000000"/>
                <w:kern w:val="0"/>
                <w:sz w:val="24"/>
                <w:szCs w:val="24"/>
              </w:rPr>
              <w:t>演示</w:t>
            </w:r>
          </w:p>
        </w:tc>
        <w:tc>
          <w:tcPr>
            <w:tcW w:w="68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ind w:firstLine="0" w:firstLineChars="0"/>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4</w:t>
            </w:r>
          </w:p>
        </w:tc>
        <w:tc>
          <w:tcPr>
            <w:tcW w:w="658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rPr>
                <w:color w:val="000000"/>
                <w:sz w:val="24"/>
                <w:szCs w:val="24"/>
              </w:rPr>
            </w:pPr>
            <w:r>
              <w:rPr>
                <w:rFonts w:hint="eastAsia" w:ascii="宋体" w:hAnsi="宋体" w:cs="宋体"/>
                <w:b/>
                <w:bCs w:val="0"/>
                <w:color w:val="000000"/>
                <w:kern w:val="44"/>
                <w:sz w:val="24"/>
                <w:szCs w:val="24"/>
                <w:lang w:val="en-US" w:eastAsia="zh-CN"/>
              </w:rPr>
              <w:t>一、</w:t>
            </w:r>
            <w:r>
              <w:rPr>
                <w:rFonts w:hint="eastAsia" w:ascii="宋体" w:hAnsi="宋体" w:cs="宋体"/>
                <w:b/>
                <w:bCs w:val="0"/>
                <w:color w:val="000000"/>
                <w:kern w:val="44"/>
                <w:sz w:val="24"/>
                <w:szCs w:val="24"/>
              </w:rPr>
              <w:t>CAM制造工程师</w:t>
            </w:r>
            <w:r>
              <w:rPr>
                <w:rFonts w:hint="eastAsia" w:ascii="宋体" w:hAnsi="宋体" w:cs="宋体"/>
                <w:b/>
                <w:bCs w:val="0"/>
                <w:color w:val="000000"/>
                <w:kern w:val="44"/>
                <w:sz w:val="24"/>
                <w:szCs w:val="24"/>
                <w:lang w:val="en-US" w:eastAsia="zh-CN"/>
              </w:rPr>
              <w:t>加工</w:t>
            </w:r>
            <w:r>
              <w:rPr>
                <w:rFonts w:hint="eastAsia" w:ascii="宋体" w:hAnsi="宋体" w:cs="宋体"/>
                <w:b/>
                <w:bCs w:val="0"/>
                <w:color w:val="000000"/>
                <w:kern w:val="44"/>
                <w:sz w:val="24"/>
                <w:szCs w:val="24"/>
              </w:rPr>
              <w:t>软件</w:t>
            </w:r>
            <w:r>
              <w:rPr>
                <w:rFonts w:hint="eastAsia" w:ascii="宋体" w:hAnsi="宋体" w:cs="宋体"/>
                <w:b/>
                <w:bCs w:val="0"/>
                <w:color w:val="000000"/>
                <w:kern w:val="44"/>
                <w:sz w:val="24"/>
                <w:szCs w:val="24"/>
                <w:lang w:val="en-US" w:eastAsia="zh-CN"/>
              </w:rPr>
              <w:t>功能</w:t>
            </w:r>
            <w:r>
              <w:rPr>
                <w:rFonts w:hint="eastAsia" w:ascii="宋体" w:hAnsi="宋体" w:cs="宋体"/>
                <w:b/>
                <w:bCs w:val="0"/>
                <w:color w:val="000000"/>
                <w:kern w:val="44"/>
                <w:sz w:val="24"/>
                <w:szCs w:val="24"/>
              </w:rPr>
              <w:t>演示（</w:t>
            </w:r>
            <w:r>
              <w:rPr>
                <w:rFonts w:hint="eastAsia" w:ascii="宋体" w:hAnsi="宋体" w:cs="宋体"/>
                <w:b/>
                <w:bCs w:val="0"/>
                <w:color w:val="000000"/>
                <w:kern w:val="44"/>
                <w:sz w:val="24"/>
                <w:szCs w:val="24"/>
                <w:lang w:val="en-US" w:eastAsia="zh-CN"/>
              </w:rPr>
              <w:t>10</w:t>
            </w:r>
            <w:r>
              <w:rPr>
                <w:rFonts w:hint="eastAsia" w:ascii="宋体" w:hAnsi="宋体" w:cs="宋体"/>
                <w:b/>
                <w:bCs w:val="0"/>
                <w:color w:val="000000"/>
                <w:kern w:val="44"/>
                <w:sz w:val="24"/>
                <w:szCs w:val="24"/>
              </w:rPr>
              <w:t>分</w:t>
            </w:r>
            <w:r>
              <w:rPr>
                <w:rFonts w:hint="eastAsia" w:ascii="宋体" w:hAnsi="宋体" w:cs="宋体"/>
                <w:bCs/>
                <w:color w:val="000000"/>
                <w:kern w:val="44"/>
                <w:sz w:val="24"/>
                <w:szCs w:val="24"/>
              </w:rPr>
              <w:t>）</w:t>
            </w:r>
          </w:p>
          <w:p>
            <w:pPr>
              <w:numPr>
                <w:ilvl w:val="0"/>
                <w:numId w:val="6"/>
              </w:numPr>
              <w:ind w:left="425" w:leftChars="0" w:hanging="425"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提供创新模式和工程模式两种零件建模（三维造型）方式，支持用户构建3D模型，支持用户进行基于历史特征的全参数化设计。</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提供演示视频</w:t>
            </w:r>
            <w:r>
              <w:rPr>
                <w:rFonts w:hint="eastAsia" w:ascii="宋体" w:hAnsi="宋体" w:eastAsia="宋体" w:cs="宋体"/>
                <w:b/>
                <w:bCs/>
                <w:color w:val="000000"/>
                <w:sz w:val="24"/>
                <w:szCs w:val="24"/>
                <w:lang w:eastAsia="zh-CN"/>
              </w:rPr>
              <w:t>）</w:t>
            </w:r>
          </w:p>
          <w:p>
            <w:pPr>
              <w:numPr>
                <w:ilvl w:val="0"/>
                <w:numId w:val="6"/>
              </w:numPr>
              <w:ind w:left="425" w:leftChars="0" w:hanging="425" w:firstLine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三维实体造型功能 ：基于鼠标拖放设计元素的三维设计方式，提供基本图素、高级图素及对用户开放的自定义图素。具备拉伸、旋转、放样、导动、抽壳、过渡、拔模特征造型方式以及对特征的编辑、修改、物性计算和干涉检查功能。</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提供演示视频</w:t>
            </w:r>
            <w:r>
              <w:rPr>
                <w:rFonts w:hint="eastAsia" w:ascii="宋体" w:hAnsi="宋体" w:eastAsia="宋体" w:cs="宋体"/>
                <w:b/>
                <w:bCs/>
                <w:color w:val="000000"/>
                <w:sz w:val="24"/>
                <w:szCs w:val="24"/>
                <w:lang w:eastAsia="zh-CN"/>
              </w:rPr>
              <w:t>）</w:t>
            </w:r>
          </w:p>
          <w:p>
            <w:pPr>
              <w:numPr>
                <w:ilvl w:val="0"/>
                <w:numId w:val="6"/>
              </w:numPr>
              <w:ind w:left="425" w:leftChars="0" w:hanging="425" w:firstLineChars="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定位与装配：提供三维球工具为各种三维对象的平移、旋转、对齐、定向、定位和拷贝、镜像、阵列（矩形、圆形、螺旋、3D曲线）等各种复杂三维变换提供操作。</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提供演示视频</w:t>
            </w:r>
            <w:r>
              <w:rPr>
                <w:rFonts w:hint="eastAsia" w:ascii="宋体" w:hAnsi="宋体" w:eastAsia="宋体" w:cs="宋体"/>
                <w:b/>
                <w:bCs/>
                <w:color w:val="000000"/>
                <w:sz w:val="24"/>
                <w:szCs w:val="24"/>
                <w:lang w:eastAsia="zh-CN"/>
              </w:rPr>
              <w:t>）</w:t>
            </w:r>
          </w:p>
          <w:p>
            <w:pPr>
              <w:widowControl/>
              <w:numPr>
                <w:ilvl w:val="0"/>
                <w:numId w:val="6"/>
              </w:numPr>
              <w:ind w:left="425" w:leftChars="0" w:hanging="425" w:firstLineChars="0"/>
              <w:rPr>
                <w:rFonts w:hint="eastAsia" w:ascii="宋体" w:hAnsi="宋体" w:eastAsia="宋体" w:cs="宋体"/>
                <w:b/>
                <w:bCs/>
                <w:color w:val="000000"/>
                <w:sz w:val="24"/>
                <w:szCs w:val="24"/>
                <w:lang w:eastAsia="zh-CN"/>
              </w:rPr>
            </w:pPr>
            <w:r>
              <w:rPr>
                <w:rFonts w:hint="eastAsia" w:ascii="宋体" w:hAnsi="宋体" w:eastAsia="宋体" w:cs="宋体"/>
                <w:color w:val="000000"/>
                <w:sz w:val="24"/>
                <w:szCs w:val="24"/>
              </w:rPr>
              <w:t>加工工艺控制：提供丰富的工艺控制参数，可以方便地控制加工过程，使编程人员的经验得到充分的体现。丰富的刀具轨迹编辑功能可以控制切削方向以及轨迹形状的任意细节，提高机床的进给速度，可得到高品质的加工效果和加工效率。</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提供演示视频</w:t>
            </w:r>
            <w:r>
              <w:rPr>
                <w:rFonts w:hint="eastAsia" w:ascii="宋体" w:hAnsi="宋体" w:eastAsia="宋体" w:cs="宋体"/>
                <w:b/>
                <w:bCs/>
                <w:color w:val="000000"/>
                <w:sz w:val="24"/>
                <w:szCs w:val="24"/>
                <w:lang w:eastAsia="zh-CN"/>
              </w:rPr>
              <w:t>）</w:t>
            </w:r>
          </w:p>
          <w:p>
            <w:pPr>
              <w:widowControl/>
              <w:numPr>
                <w:ilvl w:val="0"/>
                <w:numId w:val="6"/>
              </w:numPr>
              <w:ind w:left="425" w:leftChars="0" w:hanging="425" w:firstLineChars="0"/>
              <w:rPr>
                <w:rFonts w:hint="eastAsia" w:eastAsia="宋体"/>
                <w:b/>
                <w:bCs/>
                <w:sz w:val="24"/>
                <w:szCs w:val="24"/>
                <w:lang w:val="en-US" w:eastAsia="zh-CN"/>
              </w:rPr>
            </w:pPr>
            <w:r>
              <w:rPr>
                <w:rFonts w:hint="eastAsia" w:ascii="宋体" w:hAnsi="宋体" w:eastAsia="宋体" w:cs="宋体"/>
                <w:color w:val="000000"/>
                <w:sz w:val="24"/>
                <w:szCs w:val="24"/>
              </w:rPr>
              <w:t>可直接读取EXB、DWG、DXF、IGES、DAT类型的文件生成的图形,完成加工编程，生成加工代码。</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提供演示视频</w:t>
            </w:r>
            <w:r>
              <w:rPr>
                <w:rFonts w:hint="eastAsia" w:ascii="宋体" w:hAnsi="宋体" w:eastAsia="宋体" w:cs="宋体"/>
                <w:b/>
                <w:bCs/>
                <w:color w:val="000000"/>
                <w:sz w:val="24"/>
                <w:szCs w:val="24"/>
                <w:lang w:eastAsia="zh-CN"/>
              </w:rPr>
              <w:t>）</w:t>
            </w:r>
          </w:p>
          <w:p>
            <w:pPr>
              <w:widowControl/>
              <w:rPr>
                <w:rFonts w:hint="default" w:eastAsia="宋体"/>
                <w:b/>
                <w:bCs/>
                <w:sz w:val="24"/>
                <w:szCs w:val="24"/>
                <w:lang w:val="en-US" w:eastAsia="zh-CN"/>
              </w:rPr>
            </w:pPr>
            <w:r>
              <w:rPr>
                <w:rFonts w:hint="eastAsia" w:eastAsia="宋体"/>
                <w:b/>
                <w:bCs/>
                <w:sz w:val="24"/>
                <w:szCs w:val="24"/>
                <w:lang w:val="en-US" w:eastAsia="zh-CN"/>
              </w:rPr>
              <w:t>二、CAM数控车软件演示（4分）</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425" w:leftChars="0" w:right="0" w:rightChars="0" w:hanging="425"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针对机械专业设计的要求，提供了符合新国标的参量化图库和构件库。共有50多个大类，4600余种，几十万个规格的标准图符，并提供图库管理和定制手段，支持建立、扩充参数化图库和构件库。</w:t>
            </w:r>
            <w:r>
              <w:rPr>
                <w:rFonts w:hint="eastAsia" w:ascii="宋体" w:hAnsi="宋体" w:eastAsia="宋体" w:cs="宋体"/>
                <w:b/>
                <w:bCs/>
                <w:sz w:val="24"/>
                <w:szCs w:val="24"/>
                <w:lang w:val="en-US" w:eastAsia="zh-CN"/>
              </w:rPr>
              <w:t>（提供演示视频）</w:t>
            </w:r>
          </w:p>
          <w:p>
            <w:pPr>
              <w:numPr>
                <w:ilvl w:val="0"/>
                <w:numId w:val="7"/>
              </w:numPr>
              <w:bidi w:val="0"/>
              <w:spacing w:line="240" w:lineRule="auto"/>
              <w:ind w:left="425" w:leftChars="0" w:hanging="425" w:firstLineChars="0"/>
              <w:rPr>
                <w:rFonts w:hint="eastAsia" w:ascii="宋体" w:hAnsi="宋体" w:cs="宋体"/>
                <w:b/>
                <w:bCs w:val="0"/>
                <w:color w:val="000000"/>
                <w:sz w:val="24"/>
                <w:szCs w:val="24"/>
                <w:highlight w:val="none"/>
              </w:rPr>
            </w:pPr>
            <w:r>
              <w:rPr>
                <w:rFonts w:hint="eastAsia" w:ascii="宋体" w:hAnsi="宋体" w:eastAsia="宋体" w:cs="宋体"/>
                <w:sz w:val="24"/>
                <w:szCs w:val="24"/>
                <w:lang w:val="en-US" w:eastAsia="zh-CN"/>
              </w:rPr>
              <w:t>具有 CAD 软件的强大绘图功能和完善的外部数据接口。</w:t>
            </w:r>
            <w:r>
              <w:rPr>
                <w:rFonts w:hint="eastAsia" w:ascii="宋体" w:hAnsi="宋体" w:eastAsia="宋体" w:cs="宋体"/>
                <w:b/>
                <w:bCs/>
                <w:sz w:val="24"/>
                <w:szCs w:val="24"/>
                <w:lang w:val="en-US" w:eastAsia="zh-CN"/>
              </w:rPr>
              <w:t>（提供演示视频）</w:t>
            </w:r>
          </w:p>
          <w:p>
            <w:pPr>
              <w:widowControl/>
              <w:spacing w:line="240" w:lineRule="auto"/>
              <w:ind w:firstLine="480"/>
              <w:rPr>
                <w:rFonts w:hint="default" w:ascii="宋体" w:hAnsi="宋体" w:eastAsia="宋体" w:cs="宋体"/>
                <w:sz w:val="24"/>
                <w:szCs w:val="24"/>
                <w:lang w:val="en-US" w:eastAsia="zh-CN"/>
              </w:rPr>
            </w:pPr>
            <w:r>
              <w:rPr>
                <w:rFonts w:hint="eastAsia" w:ascii="宋体" w:hAnsi="宋体" w:cs="宋体"/>
                <w:b/>
                <w:bCs w:val="0"/>
                <w:color w:val="000000"/>
                <w:sz w:val="24"/>
                <w:szCs w:val="24"/>
                <w:highlight w:val="none"/>
                <w:lang w:val="en-US" w:eastAsia="zh-CN"/>
              </w:rPr>
              <w:t>以上</w:t>
            </w:r>
            <w:r>
              <w:rPr>
                <w:rFonts w:hint="eastAsia" w:eastAsia="宋体"/>
                <w:b/>
                <w:bCs w:val="0"/>
                <w:sz w:val="24"/>
                <w:szCs w:val="24"/>
                <w:highlight w:val="none"/>
                <w:lang w:val="en-US" w:eastAsia="zh-CN"/>
              </w:rPr>
              <w:t>演示内容</w:t>
            </w:r>
            <w:r>
              <w:rPr>
                <w:rFonts w:hint="eastAsia" w:ascii="宋体" w:hAnsi="宋体" w:cs="宋体"/>
                <w:b/>
                <w:bCs w:val="0"/>
                <w:color w:val="000000"/>
                <w:sz w:val="24"/>
                <w:szCs w:val="24"/>
                <w:highlight w:val="none"/>
              </w:rPr>
              <w:t>每提供一条演示得</w:t>
            </w:r>
            <w:r>
              <w:rPr>
                <w:rFonts w:hint="eastAsia" w:ascii="宋体" w:hAnsi="宋体" w:cs="宋体"/>
                <w:b/>
                <w:bCs w:val="0"/>
                <w:color w:val="000000"/>
                <w:sz w:val="24"/>
                <w:szCs w:val="24"/>
                <w:highlight w:val="none"/>
                <w:lang w:val="en-US" w:eastAsia="zh-CN"/>
              </w:rPr>
              <w:t>2</w:t>
            </w:r>
            <w:r>
              <w:rPr>
                <w:rFonts w:hint="eastAsia" w:ascii="宋体" w:hAnsi="宋体" w:cs="宋体"/>
                <w:b/>
                <w:bCs w:val="0"/>
                <w:color w:val="000000"/>
                <w:sz w:val="24"/>
                <w:szCs w:val="24"/>
                <w:highlight w:val="none"/>
              </w:rPr>
              <w:t>分</w:t>
            </w:r>
            <w:r>
              <w:rPr>
                <w:rFonts w:hint="eastAsia" w:ascii="宋体" w:hAnsi="宋体" w:cs="宋体"/>
                <w:b/>
                <w:bCs w:val="0"/>
                <w:color w:val="000000"/>
                <w:sz w:val="24"/>
                <w:szCs w:val="24"/>
                <w:highlight w:val="none"/>
                <w:lang w:eastAsia="zh-CN"/>
              </w:rPr>
              <w:t>，</w:t>
            </w:r>
            <w:r>
              <w:rPr>
                <w:rFonts w:hint="eastAsia" w:ascii="宋体" w:hAnsi="宋体" w:cs="宋体"/>
                <w:b/>
                <w:bCs w:val="0"/>
                <w:color w:val="000000"/>
                <w:sz w:val="24"/>
                <w:szCs w:val="24"/>
                <w:highlight w:val="none"/>
                <w:lang w:val="en-US" w:eastAsia="zh-CN"/>
              </w:rPr>
              <w:t>共计14分，</w:t>
            </w:r>
            <w:r>
              <w:rPr>
                <w:rFonts w:hint="eastAsia" w:ascii="宋体" w:hAnsi="宋体" w:cs="宋体"/>
                <w:b/>
                <w:bCs w:val="0"/>
                <w:color w:val="000000"/>
                <w:sz w:val="24"/>
                <w:szCs w:val="24"/>
                <w:highlight w:val="none"/>
              </w:rPr>
              <w:t>演示内容不符或不演示不得分</w:t>
            </w:r>
            <w:r>
              <w:rPr>
                <w:rFonts w:hint="eastAsia" w:ascii="宋体" w:hAnsi="宋体" w:cs="宋体"/>
                <w:b/>
                <w:bCs w:val="0"/>
                <w:color w:val="000000"/>
                <w:sz w:val="24"/>
                <w:szCs w:val="24"/>
                <w:highlight w:val="none"/>
                <w:lang w:eastAsia="zh-CN"/>
              </w:rPr>
              <w:t>，</w:t>
            </w:r>
            <w:r>
              <w:rPr>
                <w:rFonts w:hint="eastAsia" w:ascii="宋体" w:hAnsi="宋体" w:cs="宋体"/>
                <w:b/>
                <w:bCs w:val="0"/>
                <w:color w:val="000000"/>
                <w:sz w:val="24"/>
                <w:szCs w:val="24"/>
                <w:highlight w:val="none"/>
                <w:lang w:val="en-US" w:eastAsia="zh-CN"/>
              </w:rPr>
              <w:t>所有演示演示时间控制在15分钟以内。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225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spacing w:before="120" w:beforeLines="50"/>
              <w:ind w:firstLine="420"/>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68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spacing w:before="120" w:beforeLines="50"/>
              <w:ind w:firstLine="0" w:firstLineChars="0"/>
              <w:jc w:val="center"/>
              <w:rPr>
                <w:rFonts w:ascii="宋体" w:hAnsi="宋体" w:cs="宋体"/>
                <w:color w:val="000000"/>
                <w:kern w:val="0"/>
                <w:sz w:val="24"/>
                <w:szCs w:val="24"/>
              </w:rPr>
            </w:pPr>
            <w:r>
              <w:rPr>
                <w:rFonts w:hint="eastAsia" w:ascii="宋体" w:hAnsi="宋体" w:cs="宋体"/>
                <w:color w:val="000000"/>
                <w:kern w:val="0"/>
                <w:sz w:val="24"/>
                <w:szCs w:val="24"/>
              </w:rPr>
              <w:t>100</w:t>
            </w:r>
          </w:p>
        </w:tc>
        <w:tc>
          <w:tcPr>
            <w:tcW w:w="658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adjustRightInd w:val="0"/>
              <w:snapToGrid w:val="0"/>
              <w:spacing w:before="120" w:beforeLines="50"/>
              <w:ind w:firstLine="420"/>
              <w:jc w:val="center"/>
              <w:rPr>
                <w:rFonts w:ascii="宋体" w:hAnsi="宋体" w:cs="宋体"/>
                <w:color w:val="000000"/>
                <w:kern w:val="0"/>
                <w:sz w:val="24"/>
                <w:szCs w:val="24"/>
              </w:rPr>
            </w:pPr>
          </w:p>
        </w:tc>
      </w:tr>
    </w:tbl>
    <w:p>
      <w:pPr>
        <w:pStyle w:val="130"/>
        <w:snapToGrid w:val="0"/>
        <w:spacing w:before="0" w:line="440" w:lineRule="exact"/>
        <w:ind w:left="0" w:leftChars="0" w:firstLine="0" w:firstLineChars="0"/>
        <w:rPr>
          <w:rFonts w:ascii="宋体" w:hAnsi="宋体" w:cs="宋体"/>
          <w:b/>
          <w:color w:val="000000"/>
        </w:rPr>
      </w:pPr>
    </w:p>
    <w:p>
      <w:pPr>
        <w:snapToGrid w:val="0"/>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r>
        <w:rPr>
          <w:rFonts w:hint="eastAsia" w:ascii="宋体" w:hAnsi="宋体" w:cs="宋体"/>
          <w:color w:val="000000" w:themeColor="text1"/>
          <w:sz w:val="24"/>
          <w14:textFill>
            <w14:solidFill>
              <w14:schemeClr w14:val="tx1"/>
            </w14:solidFill>
          </w14:textFill>
        </w:rPr>
        <w:t>1、投标人编制投标文件（商务技术文件部分）时，建议按此目录（序号和内容）提供评标标准相应的商务技术资料。</w:t>
      </w:r>
    </w:p>
    <w:p>
      <w:pPr>
        <w:pStyle w:val="62"/>
        <w:rPr>
          <w:lang w:val="en-US"/>
        </w:rPr>
      </w:pPr>
      <w:r>
        <w:rPr>
          <w:lang w:val="en-US"/>
        </w:rPr>
        <w:t>2</w:t>
      </w:r>
      <w:r>
        <w:rPr>
          <w:rFonts w:hint="eastAsia"/>
          <w:lang w:val="en-US"/>
        </w:rPr>
        <w:t>、专家小组在上表设定的分值范围内打分(四舍五入保留一位小数)，平均分值计算四舍五入保留两位小数点。</w:t>
      </w:r>
    </w:p>
    <w:p>
      <w:pPr>
        <w:snapToGrid w:val="0"/>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一、评标方法</w:t>
      </w:r>
    </w:p>
    <w:p>
      <w:pPr>
        <w:adjustRightInd/>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1.本项目采用综合评分法。</w:t>
      </w:r>
      <w:r>
        <w:rPr>
          <w:rFonts w:hint="eastAsia" w:ascii="宋体" w:hAnsi="宋体" w:cs="宋体"/>
          <w:color w:val="000000" w:themeColor="text1"/>
          <w:kern w:val="0"/>
          <w:sz w:val="24"/>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二、评标标准</w:t>
      </w:r>
    </w:p>
    <w:p>
      <w:pPr>
        <w:spacing w:line="360" w:lineRule="auto"/>
        <w:ind w:firstLine="472" w:firstLineChars="196"/>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评标标准：</w:t>
      </w:r>
      <w:r>
        <w:rPr>
          <w:rFonts w:hint="eastAsia" w:ascii="宋体" w:hAnsi="宋体" w:cs="宋体"/>
          <w:color w:val="000000" w:themeColor="text1"/>
          <w:kern w:val="0"/>
          <w:sz w:val="24"/>
          <w14:textFill>
            <w14:solidFill>
              <w14:schemeClr w14:val="tx1"/>
            </w14:solidFill>
          </w14:textFill>
        </w:rPr>
        <w:t>见评标办法前附表。</w:t>
      </w:r>
    </w:p>
    <w:p>
      <w:pPr>
        <w:spacing w:line="360" w:lineRule="auto"/>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三、评标程序</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3.1符合性审查。</w:t>
      </w:r>
      <w:r>
        <w:rPr>
          <w:rFonts w:hint="eastAsia" w:ascii="宋体" w:hAnsi="宋体" w:cs="宋体"/>
          <w:color w:val="000000" w:themeColor="text1"/>
          <w:kern w:val="0"/>
          <w:sz w:val="24"/>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3.2 比较与评价。</w:t>
      </w:r>
      <w:r>
        <w:rPr>
          <w:rFonts w:hint="eastAsia" w:ascii="宋体" w:hAnsi="宋体" w:cs="宋体"/>
          <w:color w:val="000000" w:themeColor="text1"/>
          <w:kern w:val="0"/>
          <w:sz w:val="24"/>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3.3汇总商务技术得分。</w:t>
      </w:r>
      <w:r>
        <w:rPr>
          <w:rFonts w:hint="eastAsia" w:ascii="宋体" w:hAnsi="宋体" w:cs="宋体"/>
          <w:color w:val="000000" w:themeColor="text1"/>
          <w:kern w:val="0"/>
          <w:sz w:val="24"/>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3.4报价评审。</w:t>
      </w:r>
    </w:p>
    <w:p>
      <w:pPr>
        <w:pStyle w:val="130"/>
        <w:spacing w:before="0"/>
        <w:ind w:firstLine="508" w:firstLineChars="212"/>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3.4.1投标文件报价出现前后不一致的，按照下列规定修正：</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3.4.1.1投标文件中开标一览表(报价表)内容与投标文件中相应内容不一致的，以开标一览表(报价表)为准;</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3.4.1.2大写金额和小写金额不一致的，以大写金额为准;</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3.4.1.3单价金额小数点或者百分比有明显错位的，以开标一览表的总价为准，并修改单价;</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3.4.1.4总价金额与按单价汇总金额不一致的，以单价金额计算结果为准。</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3.4.3投标报价超过招标文件中规定的预算金额或者最高限价的，投标无效。</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3.4.5对于未预留份额专门面向中小企业的政府采购货物项目，以及预留份额政府采购货物项目中的非预留部分标项，对小型和微型企业的投标报价给予10%-</w:t>
      </w:r>
      <w:r>
        <w:rPr>
          <w:rFonts w:ascii="宋体" w:hAnsi="宋体" w:cs="宋体"/>
          <w:color w:val="000000" w:themeColor="text1"/>
          <w:kern w:val="0"/>
          <w:szCs w:val="24"/>
          <w14:textFill>
            <w14:solidFill>
              <w14:schemeClr w14:val="tx1"/>
            </w14:solidFill>
          </w14:textFill>
        </w:rPr>
        <w:t>20</w:t>
      </w:r>
      <w:r>
        <w:rPr>
          <w:rFonts w:hint="eastAsia" w:ascii="宋体" w:hAnsi="宋体" w:cs="宋体"/>
          <w:color w:val="000000" w:themeColor="text1"/>
          <w:kern w:val="0"/>
          <w:szCs w:val="24"/>
          <w14:textFill>
            <w14:solidFill>
              <w14:schemeClr w14:val="tx1"/>
            </w14:solidFill>
          </w14:textFill>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color w:val="000000" w:themeColor="text1"/>
          <w:kern w:val="0"/>
          <w:szCs w:val="24"/>
          <w14:textFill>
            <w14:solidFill>
              <w14:schemeClr w14:val="tx1"/>
            </w14:solidFill>
          </w14:textFill>
        </w:rPr>
        <w:t>6</w:t>
      </w:r>
      <w:r>
        <w:rPr>
          <w:rFonts w:hint="eastAsia" w:ascii="宋体" w:hAnsi="宋体" w:cs="宋体"/>
          <w:color w:val="000000" w:themeColor="text1"/>
          <w:kern w:val="0"/>
          <w:szCs w:val="24"/>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3.5排序与推荐。</w:t>
      </w:r>
      <w:r>
        <w:rPr>
          <w:rFonts w:hint="eastAsia" w:ascii="宋体" w:hAnsi="宋体" w:cs="宋体"/>
          <w:color w:val="000000" w:themeColor="text1"/>
          <w:kern w:val="0"/>
          <w:sz w:val="24"/>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000000" w:themeColor="text1"/>
          <w:kern w:val="0"/>
          <w:sz w:val="24"/>
          <w14:textFill>
            <w14:solidFill>
              <w14:schemeClr w14:val="tx1"/>
            </w14:solidFill>
          </w14:textFill>
        </w:rPr>
        <w:sectPr>
          <w:pgSz w:w="11906" w:h="16838"/>
          <w:pgMar w:top="680" w:right="1418" w:bottom="468" w:left="1418" w:header="851" w:footer="992" w:gutter="0"/>
          <w:cols w:space="720" w:num="1"/>
          <w:docGrid w:linePitch="312" w:charSpace="0"/>
        </w:sectPr>
      </w:pPr>
      <w:r>
        <w:rPr>
          <w:rFonts w:hint="eastAsia" w:ascii="宋体" w:hAnsi="宋体" w:cs="宋体"/>
          <w:b/>
          <w:color w:val="000000" w:themeColor="text1"/>
          <w:kern w:val="0"/>
          <w:sz w:val="24"/>
          <w14:textFill>
            <w14:solidFill>
              <w14:schemeClr w14:val="tx1"/>
            </w14:solidFill>
          </w14:textFill>
        </w:rPr>
        <w:t>3.6编写评标报告。</w:t>
      </w:r>
      <w:r>
        <w:rPr>
          <w:rFonts w:hint="eastAsia" w:ascii="宋体" w:hAnsi="宋体" w:cs="宋体"/>
          <w:color w:val="000000" w:themeColor="text1"/>
          <w:kern w:val="0"/>
          <w:sz w:val="24"/>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bookmarkEnd w:id="13"/>
    <w:bookmarkEnd w:id="14"/>
    <w:p>
      <w:pPr>
        <w:widowControl/>
        <w:shd w:val="clear" w:color="auto" w:fill="FFFFFF"/>
        <w:adjustRightInd/>
        <w:spacing w:after="225" w:line="315" w:lineRule="atLeast"/>
        <w:jc w:val="left"/>
        <w:rPr>
          <w:rFonts w:ascii="宋体" w:hAnsi="宋体" w:cs="宋体"/>
          <w:b/>
          <w:color w:val="000000" w:themeColor="text1"/>
          <w:sz w:val="32"/>
          <w14:textFill>
            <w14:solidFill>
              <w14:schemeClr w14:val="tx1"/>
            </w14:solidFill>
          </w14:textFill>
        </w:rPr>
      </w:pPr>
      <w:bookmarkStart w:id="32" w:name="第四部分"/>
      <w:r>
        <w:rPr>
          <w:rFonts w:hint="eastAsia" w:ascii="宋体" w:hAnsi="宋体" w:cs="宋体"/>
          <w:b/>
          <w:color w:val="000000" w:themeColor="text1"/>
          <w:sz w:val="32"/>
          <w14:textFill>
            <w14:solidFill>
              <w14:schemeClr w14:val="tx1"/>
            </w14:solidFill>
          </w14:textFill>
        </w:rPr>
        <w:t>四、评标中的其他事项</w:t>
      </w:r>
    </w:p>
    <w:p>
      <w:pPr>
        <w:pStyle w:val="130"/>
        <w:spacing w:before="0"/>
        <w:ind w:firstLine="472" w:firstLineChars="196"/>
        <w:rPr>
          <w:rFonts w:ascii="宋体" w:hAnsi="宋体" w:cs="宋体"/>
          <w:color w:val="000000" w:themeColor="text1"/>
          <w:kern w:val="0"/>
          <w:szCs w:val="24"/>
          <w14:textFill>
            <w14:solidFill>
              <w14:schemeClr w14:val="tx1"/>
            </w14:solidFill>
          </w14:textFill>
        </w:rPr>
      </w:pPr>
      <w:r>
        <w:rPr>
          <w:rFonts w:hint="eastAsia" w:ascii="宋体" w:hAnsi="宋体" w:cs="宋体"/>
          <w:b/>
          <w:color w:val="000000" w:themeColor="text1"/>
          <w:kern w:val="0"/>
          <w:szCs w:val="24"/>
          <w14:textFill>
            <w14:solidFill>
              <w14:schemeClr w14:val="tx1"/>
            </w14:solidFill>
          </w14:textFill>
        </w:rPr>
        <w:t>4.1投标人澄清、说明或者补正。</w:t>
      </w:r>
      <w:r>
        <w:rPr>
          <w:rFonts w:hint="eastAsia" w:ascii="宋体" w:hAnsi="宋体" w:cs="宋体"/>
          <w:color w:val="000000" w:themeColor="text1"/>
          <w:kern w:val="0"/>
          <w:szCs w:val="24"/>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000000" w:themeColor="text1"/>
          <w:szCs w:val="21"/>
          <w14:textFill>
            <w14:solidFill>
              <w14:schemeClr w14:val="tx1"/>
            </w14:solidFill>
          </w14:textFill>
        </w:rPr>
      </w:pPr>
      <w:r>
        <w:rPr>
          <w:rFonts w:hint="eastAsia" w:cs="宋体"/>
          <w:b/>
          <w:color w:val="000000" w:themeColor="text1"/>
          <w:kern w:val="0"/>
          <w14:textFill>
            <w14:solidFill>
              <w14:schemeClr w14:val="tx1"/>
            </w14:solidFill>
          </w14:textFill>
        </w:rPr>
        <w:t>4.2投标无效。</w:t>
      </w:r>
      <w:r>
        <w:rPr>
          <w:rFonts w:hint="eastAsia" w:cs="宋体"/>
          <w:color w:val="000000" w:themeColor="text1"/>
          <w:szCs w:val="21"/>
          <w14:textFill>
            <w14:solidFill>
              <w14:schemeClr w14:val="tx1"/>
            </w14:solidFill>
          </w14:textFill>
        </w:rPr>
        <w:t>有下列情形之一的，投标无效：</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4.2.2投标文件未按照招标文件要求签署、盖章的；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4.2.4投标文件含有采购人不能接受的附加条件的；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4.2.6投标文件出现不是唯一的、有选择性投标报价的;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4.2.7投标报价超过招标文件中规定的预算金额或者最高限价的;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4.2.9投标人对根据修正原则修正后的报价不确认的；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4.2.10投标人提供虚假材料投标的；</w:t>
      </w:r>
    </w:p>
    <w:p>
      <w:pPr>
        <w:spacing w:line="360" w:lineRule="auto"/>
        <w:ind w:firstLine="240" w:firstLineChars="1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4.2.12投标人仅提交备份投标文件，未在电子交易平台传输递交投标文件的，投标无效；</w:t>
      </w:r>
    </w:p>
    <w:p>
      <w:pPr>
        <w:pStyle w:val="6"/>
        <w:ind w:left="862" w:leftChars="205"/>
        <w:rPr>
          <w:rFonts w:ascii="宋体" w:hAnsi="宋体" w:eastAsia="宋体" w:cs="宋体"/>
          <w:b w:val="0"/>
          <w:bCs w:val="0"/>
          <w:color w:val="000000" w:themeColor="text1"/>
          <w:kern w:val="0"/>
          <w:sz w:val="24"/>
          <w:szCs w:val="24"/>
          <w:lang w:val="en-US"/>
          <w14:textFill>
            <w14:solidFill>
              <w14:schemeClr w14:val="tx1"/>
            </w14:solidFill>
          </w14:textFill>
        </w:rPr>
      </w:pPr>
      <w:r>
        <w:rPr>
          <w:rFonts w:hint="eastAsia" w:ascii="宋体" w:hAnsi="宋体" w:eastAsia="宋体" w:cs="宋体"/>
          <w:b w:val="0"/>
          <w:bCs w:val="0"/>
          <w:color w:val="000000" w:themeColor="text1"/>
          <w:kern w:val="0"/>
          <w:sz w:val="24"/>
          <w:szCs w:val="24"/>
          <w:lang w:val="en-US"/>
          <w14:textFill>
            <w14:solidFill>
              <w14:schemeClr w14:val="tx1"/>
            </w14:solidFill>
          </w14:textFill>
        </w:rPr>
        <w:t>4.2.13 投标文件不满足招标文件的其它实质性要求的；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4.2.14法律、法规、规章（适用本市的）及省级以上规范性文件（适用本市的）规定的其他无效情形。</w:t>
      </w:r>
    </w:p>
    <w:p>
      <w:pPr>
        <w:pStyle w:val="26"/>
        <w:snapToGrid w:val="0"/>
        <w:spacing w:line="360" w:lineRule="auto"/>
        <w:ind w:firstLine="472" w:firstLineChars="196"/>
        <w:rPr>
          <w:rFonts w:cs="宋体"/>
          <w:color w:val="000000" w:themeColor="text1"/>
          <w14:textFill>
            <w14:solidFill>
              <w14:schemeClr w14:val="tx1"/>
            </w14:solidFill>
          </w14:textFill>
        </w:rPr>
      </w:pPr>
      <w:r>
        <w:rPr>
          <w:rFonts w:hint="eastAsia" w:cs="宋体"/>
          <w:b/>
          <w:color w:val="000000" w:themeColor="text1"/>
          <w14:textFill>
            <w14:solidFill>
              <w14:schemeClr w14:val="tx1"/>
            </w14:solidFill>
          </w14:textFill>
        </w:rPr>
        <w:t>5.废标。</w:t>
      </w:r>
      <w:r>
        <w:rPr>
          <w:rFonts w:hint="eastAsia" w:cs="宋体"/>
          <w:color w:val="000000" w:themeColor="text1"/>
          <w14:textFill>
            <w14:solidFill>
              <w14:schemeClr w14:val="tx1"/>
            </w14:solidFill>
          </w14:textFill>
        </w:rPr>
        <w:t>根据《中华人民共和国政府采购法》第三十六条之规定，在采购中，出现下列情形之一的，应予废标：</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5.1符合专业条件的供应商或者对招标文件作实质响应的供应商不足3家的；</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5.2出现影响采购公正的违法、违规行为的；</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5.3投标人的报价均超过了采购预算，采购人不能支付的；</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5.4因重大变故，采购任务取消的。</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废标后，采购代理机构应当将废标理由通知所有投标人。</w:t>
      </w:r>
    </w:p>
    <w:p>
      <w:pPr>
        <w:pStyle w:val="26"/>
        <w:snapToGrid w:val="0"/>
        <w:spacing w:line="360" w:lineRule="auto"/>
        <w:ind w:firstLine="590" w:firstLineChars="245"/>
        <w:rPr>
          <w:rFonts w:cs="宋体"/>
          <w:color w:val="000000" w:themeColor="text1"/>
          <w14:textFill>
            <w14:solidFill>
              <w14:schemeClr w14:val="tx1"/>
            </w14:solidFill>
          </w14:textFill>
        </w:rPr>
      </w:pPr>
      <w:r>
        <w:rPr>
          <w:rFonts w:hint="eastAsia" w:cs="宋体"/>
          <w:b/>
          <w:color w:val="000000" w:themeColor="text1"/>
          <w14:textFill>
            <w14:solidFill>
              <w14:schemeClr w14:val="tx1"/>
            </w14:solidFill>
          </w14:textFill>
        </w:rPr>
        <w:t>6.修改招标文件，重新组织采购活动。</w:t>
      </w:r>
      <w:r>
        <w:rPr>
          <w:rFonts w:hint="eastAsia" w:cs="宋体"/>
          <w:color w:val="000000" w:themeColor="text1"/>
          <w14:textFill>
            <w14:solidFill>
              <w14:schemeClr w14:val="tx1"/>
            </w14:solidFill>
          </w14:textFill>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color w:val="000000" w:themeColor="text1"/>
          <w14:textFill>
            <w14:solidFill>
              <w14:schemeClr w14:val="tx1"/>
            </w14:solidFill>
          </w14:textFill>
        </w:rPr>
      </w:pPr>
      <w:r>
        <w:rPr>
          <w:rFonts w:hint="eastAsia" w:cs="宋体"/>
          <w:b/>
          <w:color w:val="000000" w:themeColor="text1"/>
          <w:kern w:val="0"/>
          <w14:textFill>
            <w14:solidFill>
              <w14:schemeClr w14:val="tx1"/>
            </w14:solidFill>
          </w14:textFill>
        </w:rPr>
        <w:t>7.重新开展采购。</w:t>
      </w:r>
      <w:r>
        <w:rPr>
          <w:rFonts w:hint="eastAsia" w:cs="宋体"/>
          <w:color w:val="000000" w:themeColor="text1"/>
          <w14:textFill>
            <w14:solidFill>
              <w14:schemeClr w14:val="tx1"/>
            </w14:solidFill>
          </w14:textFill>
        </w:rPr>
        <w:t>有政府采购法第七十一条、第七十二条规定的违法行为之一，影响或者可能影响中标结果的，依照下列规定处理：</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7.1未确定中标供应商的，终止本次政府采购活动，重新开展政府采购活动。</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7.4政府采购合同已经履行，给采购人、供应商造成损失的，由责任人承担赔偿责任。</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bookmarkEnd w:id="32"/>
    <w:p>
      <w:pPr>
        <w:widowControl/>
        <w:adjustRightInd/>
        <w:jc w:val="left"/>
        <w:rPr>
          <w:rFonts w:ascii="宋体" w:hAnsi="宋体" w:cs="宋体"/>
          <w:b/>
          <w:color w:val="000000" w:themeColor="text1"/>
          <w:sz w:val="36"/>
          <w:szCs w:val="36"/>
          <w14:textFill>
            <w14:solidFill>
              <w14:schemeClr w14:val="tx1"/>
            </w14:solidFill>
          </w14:textFill>
        </w:rPr>
      </w:pPr>
      <w:bookmarkStart w:id="33" w:name="第五部分"/>
      <w:bookmarkStart w:id="34" w:name="_Toc86217003"/>
    </w:p>
    <w:p>
      <w:pPr>
        <w:spacing w:line="360" w:lineRule="auto"/>
        <w:ind w:left="720" w:leftChars="343" w:firstLine="1084" w:firstLineChars="300"/>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第五部分 拟签订的合同文本</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合同编号：</w:t>
      </w:r>
      <w:r>
        <w:rPr>
          <w:rFonts w:hint="eastAsia" w:ascii="宋体" w:hAnsi="宋体" w:cs="宋体"/>
          <w:color w:val="000000" w:themeColor="text1"/>
          <w:sz w:val="24"/>
          <w:u w:val="single"/>
          <w14:textFill>
            <w14:solidFill>
              <w14:schemeClr w14:val="tx1"/>
            </w14:solidFill>
          </w14:textFill>
        </w:rPr>
        <w:t xml:space="preserve">           </w:t>
      </w:r>
    </w:p>
    <w:p>
      <w:pPr>
        <w:spacing w:line="480" w:lineRule="auto"/>
        <w:jc w:val="center"/>
        <w:rPr>
          <w:rFonts w:ascii="宋体" w:hAnsi="宋体" w:cs="宋体"/>
          <w:b/>
          <w:color w:val="000000" w:themeColor="text1"/>
          <w:sz w:val="28"/>
          <w:szCs w:val="28"/>
          <w14:textFill>
            <w14:solidFill>
              <w14:schemeClr w14:val="tx1"/>
            </w14:solidFill>
          </w14:textFill>
        </w:rPr>
      </w:pPr>
    </w:p>
    <w:p>
      <w:pPr>
        <w:spacing w:line="480" w:lineRule="auto"/>
        <w:jc w:val="center"/>
        <w:rPr>
          <w:rFonts w:ascii="宋体" w:hAnsi="宋体" w:cs="宋体"/>
          <w:b/>
          <w:color w:val="000000" w:themeColor="text1"/>
          <w:sz w:val="24"/>
          <w14:textFill>
            <w14:solidFill>
              <w14:schemeClr w14:val="tx1"/>
            </w14:solidFill>
          </w14:textFill>
        </w:rPr>
      </w:pPr>
    </w:p>
    <w:p>
      <w:pPr>
        <w:spacing w:line="480" w:lineRule="auto"/>
        <w:jc w:val="center"/>
        <w:rPr>
          <w:rFonts w:ascii="宋体" w:hAnsi="宋体" w:cs="宋体"/>
          <w:b/>
          <w:color w:val="000000" w:themeColor="text1"/>
          <w:sz w:val="24"/>
          <w14:textFill>
            <w14:solidFill>
              <w14:schemeClr w14:val="tx1"/>
            </w14:solidFill>
          </w14:textFill>
        </w:rPr>
      </w:pPr>
    </w:p>
    <w:p>
      <w:pPr>
        <w:spacing w:line="480" w:lineRule="auto"/>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政府采购合同参考范本</w:t>
      </w:r>
    </w:p>
    <w:p>
      <w:pPr>
        <w:spacing w:line="480" w:lineRule="auto"/>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（货物类）</w:t>
      </w:r>
    </w:p>
    <w:p>
      <w:pPr>
        <w:pStyle w:val="700"/>
        <w:rPr>
          <w:rFonts w:ascii="宋体" w:hAnsi="宋体" w:cs="宋体"/>
          <w:color w:val="000000" w:themeColor="text1"/>
          <w:szCs w:val="24"/>
          <w14:textFill>
            <w14:solidFill>
              <w14:schemeClr w14:val="tx1"/>
            </w14:solidFill>
          </w14:textFill>
        </w:rPr>
      </w:pPr>
    </w:p>
    <w:p>
      <w:pPr>
        <w:pStyle w:val="700"/>
        <w:rPr>
          <w:rFonts w:ascii="宋体" w:hAnsi="宋体" w:cs="宋体"/>
          <w:color w:val="000000" w:themeColor="text1"/>
          <w:szCs w:val="24"/>
          <w14:textFill>
            <w14:solidFill>
              <w14:schemeClr w14:val="tx1"/>
            </w14:solidFill>
          </w14:textFill>
        </w:rPr>
      </w:pPr>
    </w:p>
    <w:p>
      <w:pPr>
        <w:pStyle w:val="700"/>
        <w:jc w:val="center"/>
        <w:rPr>
          <w:rFonts w:ascii="宋体" w:hAnsi="宋体" w:cs="宋体"/>
          <w:color w:val="000000" w:themeColor="text1"/>
          <w:szCs w:val="24"/>
          <w14:textFill>
            <w14:solidFill>
              <w14:schemeClr w14:val="tx1"/>
            </w14:solidFill>
          </w14:textFill>
        </w:rPr>
      </w:pPr>
    </w:p>
    <w:p>
      <w:pPr>
        <w:pStyle w:val="700"/>
        <w:ind w:firstLine="2843" w:firstLineChars="118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第一部分 合同书</w:t>
      </w:r>
    </w:p>
    <w:p>
      <w:pPr>
        <w:pStyle w:val="700"/>
        <w:rPr>
          <w:rFonts w:ascii="宋体" w:hAnsi="宋体" w:cs="宋体"/>
          <w:color w:val="000000" w:themeColor="text1"/>
          <w:szCs w:val="24"/>
          <w14:textFill>
            <w14:solidFill>
              <w14:schemeClr w14:val="tx1"/>
            </w14:solidFill>
          </w14:textFill>
        </w:rPr>
      </w:pPr>
    </w:p>
    <w:p>
      <w:pPr>
        <w:pStyle w:val="700"/>
        <w:rPr>
          <w:rFonts w:ascii="宋体" w:hAnsi="宋体" w:cs="宋体"/>
          <w:color w:val="000000" w:themeColor="text1"/>
          <w:szCs w:val="24"/>
          <w14:textFill>
            <w14:solidFill>
              <w14:schemeClr w14:val="tx1"/>
            </w14:solidFill>
          </w14:textFill>
        </w:rPr>
      </w:pPr>
    </w:p>
    <w:p>
      <w:pPr>
        <w:spacing w:before="120" w:line="22" w:lineRule="atLeast"/>
        <w:rPr>
          <w:rFonts w:ascii="宋体" w:hAnsi="宋体" w:cs="宋体"/>
          <w:color w:val="000000" w:themeColor="text1"/>
          <w:sz w:val="24"/>
          <w14:textFill>
            <w14:solidFill>
              <w14:schemeClr w14:val="tx1"/>
            </w14:solidFill>
          </w14:textFill>
        </w:rPr>
      </w:pPr>
    </w:p>
    <w:p>
      <w:pPr>
        <w:spacing w:before="120" w:line="22" w:lineRule="atLeast"/>
        <w:ind w:left="96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u w:val="single"/>
          <w14:textFill>
            <w14:solidFill>
              <w14:schemeClr w14:val="tx1"/>
            </w14:solidFill>
          </w14:textFill>
        </w:rPr>
        <w:t xml:space="preserve">                                   </w:t>
      </w:r>
    </w:p>
    <w:p>
      <w:pPr>
        <w:pStyle w:val="597"/>
        <w:spacing w:before="120" w:line="22" w:lineRule="atLeast"/>
        <w:rPr>
          <w:rFonts w:ascii="宋体" w:hAnsi="宋体" w:eastAsia="宋体" w:cs="宋体"/>
          <w:color w:val="000000" w:themeColor="text1"/>
          <w:szCs w:val="24"/>
          <w14:textFill>
            <w14:solidFill>
              <w14:schemeClr w14:val="tx1"/>
            </w14:solidFill>
          </w14:textFill>
        </w:rPr>
      </w:pPr>
    </w:p>
    <w:p>
      <w:pPr>
        <w:pStyle w:val="597"/>
        <w:spacing w:before="120" w:line="22" w:lineRule="atLeast"/>
        <w:rPr>
          <w:rFonts w:ascii="宋体" w:hAnsi="宋体" w:eastAsia="宋体" w:cs="宋体"/>
          <w:color w:val="000000" w:themeColor="text1"/>
          <w:szCs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p>
    <w:p>
      <w:pPr>
        <w:spacing w:before="120" w:line="22" w:lineRule="atLeast"/>
        <w:ind w:left="96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w:t>
      </w:r>
      <w:r>
        <w:rPr>
          <w:rFonts w:hint="eastAsia" w:ascii="宋体" w:hAnsi="宋体" w:cs="宋体"/>
          <w:color w:val="000000" w:themeColor="text1"/>
          <w:sz w:val="24"/>
          <w:u w:val="single"/>
          <w14:textFill>
            <w14:solidFill>
              <w14:schemeClr w14:val="tx1"/>
            </w14:solidFill>
          </w14:textFill>
        </w:rPr>
        <w:t xml:space="preserve">                                       </w:t>
      </w:r>
    </w:p>
    <w:p>
      <w:pPr>
        <w:spacing w:before="120" w:line="22" w:lineRule="atLeast"/>
        <w:rPr>
          <w:rFonts w:ascii="宋体" w:hAnsi="宋体" w:cs="宋体"/>
          <w:color w:val="000000" w:themeColor="text1"/>
          <w:sz w:val="24"/>
          <w14:textFill>
            <w14:solidFill>
              <w14:schemeClr w14:val="tx1"/>
            </w14:solidFill>
          </w14:textFill>
        </w:rPr>
      </w:pPr>
    </w:p>
    <w:p>
      <w:pPr>
        <w:spacing w:before="120" w:line="22" w:lineRule="atLeast"/>
        <w:ind w:left="96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w:t>
      </w:r>
      <w:r>
        <w:rPr>
          <w:rFonts w:hint="eastAsia" w:ascii="宋体" w:hAnsi="宋体" w:cs="宋体"/>
          <w:color w:val="000000" w:themeColor="text1"/>
          <w:sz w:val="24"/>
          <w:u w:val="single"/>
          <w14:textFill>
            <w14:solidFill>
              <w14:schemeClr w14:val="tx1"/>
            </w14:solidFill>
          </w14:textFill>
        </w:rPr>
        <w:t xml:space="preserve">                                       </w:t>
      </w:r>
    </w:p>
    <w:p>
      <w:pPr>
        <w:spacing w:before="120" w:line="22" w:lineRule="atLeast"/>
        <w:rPr>
          <w:rFonts w:ascii="宋体" w:hAnsi="宋体" w:cs="宋体"/>
          <w:color w:val="000000" w:themeColor="text1"/>
          <w:sz w:val="24"/>
          <w14:textFill>
            <w14:solidFill>
              <w14:schemeClr w14:val="tx1"/>
            </w14:solidFill>
          </w14:textFill>
        </w:rPr>
      </w:pPr>
    </w:p>
    <w:p>
      <w:pPr>
        <w:spacing w:before="120" w:line="22" w:lineRule="atLeast"/>
        <w:ind w:firstLine="960" w:firstLineChars="4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签订地：</w:t>
      </w:r>
      <w:r>
        <w:rPr>
          <w:rFonts w:hint="eastAsia" w:ascii="宋体" w:hAnsi="宋体" w:cs="宋体"/>
          <w:color w:val="000000" w:themeColor="text1"/>
          <w:sz w:val="24"/>
          <w:u w:val="single"/>
          <w14:textFill>
            <w14:solidFill>
              <w14:schemeClr w14:val="tx1"/>
            </w14:solidFill>
          </w14:textFill>
        </w:rPr>
        <w:t xml:space="preserve">                                     </w:t>
      </w:r>
    </w:p>
    <w:p>
      <w:pPr>
        <w:spacing w:before="120" w:line="22" w:lineRule="atLeast"/>
        <w:rPr>
          <w:rFonts w:ascii="宋体" w:hAnsi="宋体" w:cs="宋体"/>
          <w:color w:val="000000" w:themeColor="text1"/>
          <w:sz w:val="24"/>
          <w14:textFill>
            <w14:solidFill>
              <w14:schemeClr w14:val="tx1"/>
            </w14:solidFill>
          </w14:textFill>
        </w:rPr>
      </w:pPr>
    </w:p>
    <w:p>
      <w:pPr>
        <w:spacing w:before="120" w:line="22" w:lineRule="atLeast"/>
        <w:ind w:firstLine="960" w:firstLineChars="4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签订日期：</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widowControl/>
        <w:jc w:val="left"/>
        <w:rPr>
          <w:rFonts w:ascii="宋体" w:hAnsi="宋体" w:cs="宋体"/>
          <w:color w:val="000000" w:themeColor="text1"/>
          <w:kern w:val="0"/>
          <w:sz w:val="24"/>
          <w14:textFill>
            <w14:solidFill>
              <w14:schemeClr w14:val="tx1"/>
            </w14:solidFill>
          </w14:textFill>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年</w:t>
      </w:r>
      <w:r>
        <w:rPr>
          <w:rFonts w:hint="eastAsia"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月</w:t>
      </w:r>
      <w:r>
        <w:rPr>
          <w:rFonts w:hint="eastAsia"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日</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（采购人）   </w:t>
      </w:r>
      <w:r>
        <w:rPr>
          <w:rFonts w:hint="eastAsia" w:ascii="宋体" w:hAnsi="宋体" w:cs="宋体"/>
          <w:color w:val="000000" w:themeColor="text1"/>
          <w:sz w:val="24"/>
          <w14:textFill>
            <w14:solidFill>
              <w14:schemeClr w14:val="tx1"/>
            </w14:solidFill>
          </w14:textFill>
        </w:rPr>
        <w:t>以</w:t>
      </w:r>
      <w:r>
        <w:rPr>
          <w:rFonts w:hint="eastAsia" w:ascii="宋体" w:hAnsi="宋体" w:cs="宋体"/>
          <w:color w:val="000000" w:themeColor="text1"/>
          <w:sz w:val="24"/>
          <w:u w:val="single"/>
          <w14:textFill>
            <w14:solidFill>
              <w14:schemeClr w14:val="tx1"/>
            </w14:solidFill>
          </w14:textFill>
        </w:rPr>
        <w:t xml:space="preserve">   （政府采购方式）  </w:t>
      </w:r>
      <w:r>
        <w:rPr>
          <w:rFonts w:hint="eastAsia" w:ascii="宋体" w:hAnsi="宋体" w:cs="宋体"/>
          <w:color w:val="000000" w:themeColor="text1"/>
          <w:sz w:val="24"/>
          <w14:textFill>
            <w14:solidFill>
              <w14:schemeClr w14:val="tx1"/>
            </w14:solidFill>
          </w14:textFill>
        </w:rPr>
        <w:t>对</w:t>
      </w:r>
      <w:r>
        <w:rPr>
          <w:rFonts w:hint="eastAsia" w:ascii="宋体" w:hAnsi="宋体" w:cs="宋体"/>
          <w:color w:val="000000" w:themeColor="text1"/>
          <w:sz w:val="24"/>
          <w:u w:val="single"/>
          <w14:textFill>
            <w14:solidFill>
              <w14:schemeClr w14:val="tx1"/>
            </w14:solidFill>
          </w14:textFill>
        </w:rPr>
        <w:t xml:space="preserve">   （项目名称、编号）   </w:t>
      </w:r>
      <w:r>
        <w:rPr>
          <w:rFonts w:hint="eastAsia" w:ascii="宋体" w:hAnsi="宋体" w:cs="宋体"/>
          <w:color w:val="000000" w:themeColor="text1"/>
          <w:sz w:val="24"/>
          <w14:textFill>
            <w14:solidFill>
              <w14:schemeClr w14:val="tx1"/>
            </w14:solidFill>
          </w14:textFill>
        </w:rPr>
        <w:t>项目进行了采购。经</w:t>
      </w:r>
      <w:r>
        <w:rPr>
          <w:rFonts w:hint="eastAsia" w:ascii="宋体" w:hAnsi="宋体" w:cs="宋体"/>
          <w:color w:val="000000" w:themeColor="text1"/>
          <w:sz w:val="24"/>
          <w:u w:val="single"/>
          <w14:textFill>
            <w14:solidFill>
              <w14:schemeClr w14:val="tx1"/>
            </w14:solidFill>
          </w14:textFill>
        </w:rPr>
        <w:t xml:space="preserve">   （相关评定主体名称）   </w:t>
      </w:r>
      <w:r>
        <w:rPr>
          <w:rFonts w:hint="eastAsia" w:ascii="宋体" w:hAnsi="宋体" w:cs="宋体"/>
          <w:color w:val="000000" w:themeColor="text1"/>
          <w:sz w:val="24"/>
          <w14:textFill>
            <w14:solidFill>
              <w14:schemeClr w14:val="tx1"/>
            </w14:solidFill>
          </w14:textFill>
        </w:rPr>
        <w:t>评定，</w:t>
      </w:r>
      <w:r>
        <w:rPr>
          <w:rFonts w:hint="eastAsia" w:ascii="宋体" w:hAnsi="宋体" w:cs="宋体"/>
          <w:color w:val="000000" w:themeColor="text1"/>
          <w:sz w:val="24"/>
          <w:u w:val="single"/>
          <w14:textFill>
            <w14:solidFill>
              <w14:schemeClr w14:val="tx1"/>
            </w14:solidFill>
          </w14:textFill>
        </w:rPr>
        <w:t xml:space="preserve">   （中标或者成交供应商名称）</w:t>
      </w:r>
      <w:r>
        <w:rPr>
          <w:rFonts w:hint="eastAsia" w:ascii="宋体" w:hAnsi="宋体" w:cs="宋体"/>
          <w:color w:val="000000" w:themeColor="text1"/>
          <w:sz w:val="24"/>
          <w14:textFill>
            <w14:solidFill>
              <w14:schemeClr w14:val="tx1"/>
            </w14:solidFill>
          </w14:textFill>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根据《中华人民共和国民法典》《中华人民共和国政府采购法》等相关法律法规之规定，按照平等、自愿、公平、诚实信用和绿色的原则，经</w:t>
      </w:r>
      <w:r>
        <w:rPr>
          <w:rFonts w:hint="eastAsia" w:ascii="宋体" w:hAnsi="宋体" w:cs="宋体"/>
          <w:color w:val="000000" w:themeColor="text1"/>
          <w:sz w:val="24"/>
          <w:u w:val="single"/>
          <w14:textFill>
            <w14:solidFill>
              <w14:schemeClr w14:val="tx1"/>
            </w14:solidFill>
          </w14:textFill>
        </w:rPr>
        <w:t xml:space="preserve">   （采购人）   </w:t>
      </w:r>
      <w:r>
        <w:rPr>
          <w:rFonts w:hint="eastAsia" w:ascii="宋体" w:hAnsi="宋体" w:cs="宋体"/>
          <w:color w:val="000000" w:themeColor="text1"/>
          <w:sz w:val="24"/>
          <w:lang w:val="zh-CN"/>
          <w14:textFill>
            <w14:solidFill>
              <w14:schemeClr w14:val="tx1"/>
            </w14:solidFill>
          </w14:textFill>
        </w:rPr>
        <w:t>(以下简称：甲方)和</w:t>
      </w:r>
      <w:r>
        <w:rPr>
          <w:rFonts w:hint="eastAsia" w:ascii="宋体" w:hAnsi="宋体" w:cs="宋体"/>
          <w:color w:val="000000" w:themeColor="text1"/>
          <w:sz w:val="24"/>
          <w:u w:val="single"/>
          <w14:textFill>
            <w14:solidFill>
              <w14:schemeClr w14:val="tx1"/>
            </w14:solidFill>
          </w14:textFill>
        </w:rPr>
        <w:t xml:space="preserve">   （中标或者成交供应商名称）   </w:t>
      </w:r>
      <w:r>
        <w:rPr>
          <w:rFonts w:hint="eastAsia" w:ascii="宋体" w:hAnsi="宋体" w:cs="宋体"/>
          <w:color w:val="000000" w:themeColor="text1"/>
          <w:sz w:val="24"/>
          <w:lang w:val="zh-CN"/>
          <w14:textFill>
            <w14:solidFill>
              <w14:schemeClr w14:val="tx1"/>
            </w14:solidFill>
          </w14:textFill>
        </w:rPr>
        <w:t>(以下简称：乙方)协商一致，约定以下合同</w:t>
      </w:r>
      <w:r>
        <w:rPr>
          <w:rFonts w:hint="eastAsia" w:ascii="宋体" w:hAnsi="宋体" w:cs="宋体"/>
          <w:color w:val="000000" w:themeColor="text1"/>
          <w:sz w:val="24"/>
          <w14:textFill>
            <w14:solidFill>
              <w14:schemeClr w14:val="tx1"/>
            </w14:solidFill>
          </w14:textFill>
        </w:rPr>
        <w:t>条款，以兹共同遵守、全面履行。</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35" w:name="_Toc3029"/>
      <w:bookmarkStart w:id="36" w:name="_Toc24059"/>
      <w:bookmarkStart w:id="37" w:name="_Toc2232"/>
      <w:r>
        <w:rPr>
          <w:rFonts w:hint="eastAsia" w:ascii="宋体" w:hAnsi="宋体" w:cs="宋体"/>
          <w:b/>
          <w:color w:val="000000" w:themeColor="text1"/>
          <w:sz w:val="24"/>
          <w14:textFill>
            <w14:solidFill>
              <w14:schemeClr w14:val="tx1"/>
            </w14:solidFill>
          </w14:textFill>
        </w:rPr>
        <w:t>1.1 合同组成部分</w:t>
      </w:r>
      <w:bookmarkEnd w:id="35"/>
      <w:bookmarkEnd w:id="36"/>
      <w:bookmarkEnd w:id="37"/>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 本合同及其补充合同、变更协议；</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 中标或者成交通知书；</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 投标或者响应文件（含澄清或者说明文件）；</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1.1.4 采购文件（含澄清或者修改文件）；</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1.1.5 其他相关采购文件。</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38" w:name="_Toc24300"/>
      <w:bookmarkStart w:id="39" w:name="_Toc21295"/>
      <w:bookmarkStart w:id="40" w:name="_Toc27126"/>
      <w:r>
        <w:rPr>
          <w:rFonts w:hint="eastAsia" w:ascii="宋体" w:hAnsi="宋体" w:cs="宋体"/>
          <w:b/>
          <w:color w:val="000000" w:themeColor="text1"/>
          <w:sz w:val="24"/>
          <w14:textFill>
            <w14:solidFill>
              <w14:schemeClr w14:val="tx1"/>
            </w14:solidFill>
          </w14:textFill>
        </w:rPr>
        <w:t>1.2 货物</w:t>
      </w:r>
      <w:bookmarkEnd w:id="38"/>
      <w:bookmarkEnd w:id="39"/>
      <w:bookmarkEnd w:id="40"/>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1.2.1 货物名称、品牌、规格型号、花色：</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1.2.2 货物数量：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1.2.3 货物质量：</w:t>
      </w:r>
      <w:r>
        <w:rPr>
          <w:rFonts w:hint="eastAsia" w:ascii="宋体" w:hAnsi="宋体" w:cs="宋体"/>
          <w:color w:val="000000" w:themeColor="text1"/>
          <w:sz w:val="24"/>
          <w:u w:val="single"/>
          <w14:textFill>
            <w14:solidFill>
              <w14:schemeClr w14:val="tx1"/>
            </w14:solidFill>
          </w14:textFill>
        </w:rPr>
        <w:t>　　　　　　　　　                      　      ；</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1" w:name="_Toc21631"/>
      <w:bookmarkStart w:id="42" w:name="_Toc21551"/>
      <w:bookmarkStart w:id="43" w:name="_Toc23292"/>
      <w:r>
        <w:rPr>
          <w:rFonts w:hint="eastAsia" w:ascii="宋体" w:hAnsi="宋体" w:cs="宋体"/>
          <w:b/>
          <w:color w:val="000000" w:themeColor="text1"/>
          <w:sz w:val="24"/>
          <w14:textFill>
            <w14:solidFill>
              <w14:schemeClr w14:val="tx1"/>
            </w14:solidFill>
          </w14:textFill>
        </w:rPr>
        <w:t>1.3 价款</w:t>
      </w:r>
      <w:bookmarkEnd w:id="41"/>
      <w:bookmarkEnd w:id="42"/>
      <w:bookmarkEnd w:id="43"/>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本合同总价（含税）为：￥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元（大写：</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元人民币）。</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r>
    </w:tbl>
    <w:p>
      <w:pPr>
        <w:pStyle w:val="958"/>
        <w:spacing w:before="0" w:beforeAutospacing="0" w:after="0" w:afterAutospacing="0" w:line="360" w:lineRule="auto"/>
        <w:ind w:firstLine="480"/>
        <w:rPr>
          <w:b/>
          <w:color w:val="000000" w:themeColor="text1"/>
          <w14:textFill>
            <w14:solidFill>
              <w14:schemeClr w14:val="tx1"/>
            </w14:solidFill>
          </w14:textFill>
        </w:rPr>
      </w:pPr>
      <w:bookmarkStart w:id="44" w:name="_Toc22618"/>
      <w:bookmarkStart w:id="45" w:name="_Toc1814"/>
      <w:bookmarkStart w:id="46" w:name="_Toc10340"/>
      <w:r>
        <w:rPr>
          <w:rFonts w:hint="eastAsia"/>
          <w:b/>
          <w:color w:val="000000" w:themeColor="text1"/>
          <w14:textFill>
            <w14:solidFill>
              <w14:schemeClr w14:val="tx1"/>
            </w14:solidFill>
          </w14:textFill>
        </w:rPr>
        <w:t>1.4履约保证金</w:t>
      </w:r>
    </w:p>
    <w:p>
      <w:pPr>
        <w:pStyle w:val="958"/>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乙方</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（是</w:t>
      </w:r>
      <w:r>
        <w:rPr>
          <w:rFonts w:hint="eastAsia" w:ascii="仿宋" w:hAnsi="仿宋" w:eastAsia="仿宋" w:cs="仿宋"/>
          <w:color w:val="000000" w:themeColor="text1"/>
          <w14:textFill>
            <w14:solidFill>
              <w14:schemeClr w14:val="tx1"/>
            </w14:solidFill>
          </w14:textFill>
        </w:rPr>
        <w:t>/</w:t>
      </w:r>
      <w:r>
        <w:rPr>
          <w:rFonts w:hint="eastAsia"/>
          <w:color w:val="000000" w:themeColor="text1"/>
          <w14:textFill>
            <w14:solidFill>
              <w14:schemeClr w14:val="tx1"/>
            </w14:solidFill>
          </w14:textFill>
        </w:rPr>
        <w:t>否）需要支付履约保证金。若需要支付履约保证金的，则：</w:t>
      </w:r>
    </w:p>
    <w:p>
      <w:pPr>
        <w:spacing w:line="560" w:lineRule="exact"/>
        <w:ind w:firstLine="480" w:firstLineChars="200"/>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1.4.1履约保证金的比例为合同金额的</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spacing w:line="560" w:lineRule="exact"/>
        <w:ind w:firstLine="480" w:firstLineChars="200"/>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1.4.2履约保证金支付方式详见</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pStyle w:val="6"/>
        <w:tabs>
          <w:tab w:val="left" w:pos="0"/>
          <w:tab w:val="clear" w:pos="432"/>
        </w:tabs>
        <w:spacing w:line="560" w:lineRule="exact"/>
        <w:ind w:left="0" w:firstLine="480" w:firstLineChars="200"/>
        <w:rPr>
          <w:rFonts w:eastAsia="宋体"/>
          <w:color w:val="000000" w:themeColor="text1"/>
          <w:lang w:val="en-US"/>
          <w14:textFill>
            <w14:solidFill>
              <w14:schemeClr w14:val="tx1"/>
            </w14:solidFill>
          </w14:textFill>
        </w:rPr>
      </w:pPr>
      <w:r>
        <w:rPr>
          <w:rFonts w:hint="eastAsia" w:ascii="宋体" w:hAnsi="宋体" w:eastAsia="宋体" w:cs="宋体"/>
          <w:b w:val="0"/>
          <w:bCs w:val="0"/>
          <w:color w:val="000000" w:themeColor="text1"/>
          <w:kern w:val="0"/>
          <w:sz w:val="24"/>
          <w:szCs w:val="24"/>
          <w:lang w:val="en-US"/>
          <w14:textFill>
            <w14:solidFill>
              <w14:schemeClr w14:val="tx1"/>
            </w14:solidFill>
          </w14:textFill>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1.4.4 甲方在项目验收结束后及时退还履约保证金。甲方在项目通过验收之日起</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个工作日内将履约保证金无息退还乙方，逾期退还的，乙方可要求甲方支付违约金，违约金按每迟延退还一日的应退还而未退还金额的</w:t>
      </w:r>
      <w:r>
        <w:rPr>
          <w:rFonts w:hint="eastAsia" w:ascii="宋体" w:hAnsi="宋体" w:cs="宋体"/>
          <w:color w:val="000000" w:themeColor="text1"/>
          <w:kern w:val="0"/>
          <w:sz w:val="24"/>
          <w:u w:val="single"/>
          <w14:textFill>
            <w14:solidFill>
              <w14:schemeClr w14:val="tx1"/>
            </w14:solidFill>
          </w14:textFill>
        </w:rPr>
        <w:t xml:space="preserve">  0.05（可根据情况修改）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%计算，最高限额为本合同履约保证金的</w:t>
      </w:r>
      <w:r>
        <w:rPr>
          <w:rFonts w:hint="eastAsia" w:ascii="宋体" w:hAnsi="宋体" w:cs="宋体"/>
          <w:color w:val="000000" w:themeColor="text1"/>
          <w:kern w:val="0"/>
          <w:sz w:val="24"/>
          <w:u w:val="single"/>
          <w14:textFill>
            <w14:solidFill>
              <w14:schemeClr w14:val="tx1"/>
            </w14:solidFill>
          </w14:textFill>
        </w:rPr>
        <w:t xml:space="preserve">  20  </w:t>
      </w:r>
      <w:r>
        <w:rPr>
          <w:rFonts w:hint="eastAsia" w:ascii="宋体" w:hAnsi="宋体" w:cs="宋体"/>
          <w:color w:val="000000" w:themeColor="text1"/>
          <w:kern w:val="0"/>
          <w:sz w:val="24"/>
          <w14:textFill>
            <w14:solidFill>
              <w14:schemeClr w14:val="tx1"/>
            </w14:solidFill>
          </w14:textFill>
        </w:rPr>
        <w:t xml:space="preserve"> %。</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1.5</w:t>
      </w:r>
      <w:bookmarkEnd w:id="44"/>
      <w:bookmarkEnd w:id="45"/>
      <w:bookmarkEnd w:id="46"/>
      <w:r>
        <w:rPr>
          <w:rFonts w:hint="eastAsia" w:ascii="宋体" w:hAnsi="宋体" w:cs="宋体"/>
          <w:b/>
          <w:color w:val="000000" w:themeColor="text1"/>
          <w:sz w:val="24"/>
          <w14:textFill>
            <w14:solidFill>
              <w14:schemeClr w14:val="tx1"/>
            </w14:solidFill>
          </w14:textFill>
        </w:rPr>
        <w:t>预付款</w:t>
      </w:r>
    </w:p>
    <w:p>
      <w:pPr>
        <w:pStyle w:val="958"/>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甲方</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（是</w:t>
      </w:r>
      <w:r>
        <w:rPr>
          <w:rFonts w:hint="eastAsia" w:ascii="仿宋" w:hAnsi="仿宋" w:eastAsia="仿宋" w:cs="仿宋"/>
          <w:color w:val="000000" w:themeColor="text1"/>
          <w14:textFill>
            <w14:solidFill>
              <w14:schemeClr w14:val="tx1"/>
            </w14:solidFill>
          </w14:textFill>
        </w:rPr>
        <w:t>/</w:t>
      </w:r>
      <w:r>
        <w:rPr>
          <w:rFonts w:hint="eastAsia"/>
          <w:color w:val="000000" w:themeColor="text1"/>
          <w14:textFill>
            <w14:solidFill>
              <w14:schemeClr w14:val="tx1"/>
            </w14:solidFill>
          </w14:textFill>
        </w:rPr>
        <w:t>否）需要支付预付款。若需要支付预付款的，则：</w:t>
      </w:r>
    </w:p>
    <w:p>
      <w:pPr>
        <w:spacing w:line="5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1.5.1预付款比例、支付方式、时间详见</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pStyle w:val="958"/>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1.5.2预付款的扣回方式详见</w:t>
      </w:r>
      <w:r>
        <w:rPr>
          <w:rFonts w:hint="eastAsia"/>
          <w:color w:val="000000" w:themeColor="text1"/>
          <w:u w:val="single"/>
          <w14:textFill>
            <w14:solidFill>
              <w14:schemeClr w14:val="tx1"/>
            </w14:solidFill>
          </w14:textFill>
        </w:rPr>
        <w:t xml:space="preserve">    </w:t>
      </w:r>
      <w:r>
        <w:rPr>
          <w:rFonts w:hint="eastAsia"/>
          <w:b/>
          <w:i/>
          <w:color w:val="000000" w:themeColor="text1"/>
          <w:u w:val="single"/>
          <w14:textFill>
            <w14:solidFill>
              <w14:schemeClr w14:val="tx1"/>
            </w14:solidFill>
          </w14:textFill>
        </w:rPr>
        <w:t>合同专用条款</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pStyle w:val="958"/>
        <w:spacing w:before="0" w:beforeAutospacing="0" w:after="0" w:afterAutospacing="0" w:line="360" w:lineRule="auto"/>
        <w:ind w:firstLine="48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1.5.3预付款的担保措施详见</w:t>
      </w:r>
      <w:r>
        <w:rPr>
          <w:rFonts w:hint="eastAsia"/>
          <w:color w:val="000000" w:themeColor="text1"/>
          <w:u w:val="single"/>
          <w14:textFill>
            <w14:solidFill>
              <w14:schemeClr w14:val="tx1"/>
            </w14:solidFill>
          </w14:textFill>
        </w:rPr>
        <w:t xml:space="preserve">    </w:t>
      </w:r>
      <w:r>
        <w:rPr>
          <w:rFonts w:hint="eastAsia"/>
          <w:b/>
          <w:i/>
          <w:color w:val="000000" w:themeColor="text1"/>
          <w:u w:val="single"/>
          <w14:textFill>
            <w14:solidFill>
              <w14:schemeClr w14:val="tx1"/>
            </w14:solidFill>
          </w14:textFill>
        </w:rPr>
        <w:t>合同专用条款</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pStyle w:val="958"/>
        <w:spacing w:before="0" w:beforeAutospacing="0" w:after="0" w:afterAutospacing="0" w:line="360" w:lineRule="auto"/>
        <w:ind w:firstLine="48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1.6资金支付</w:t>
      </w:r>
    </w:p>
    <w:p>
      <w:pPr>
        <w:pStyle w:val="958"/>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1.6.2资金支付的方式、时间和条件详见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7" w:name="_Toc32071"/>
      <w:bookmarkStart w:id="48" w:name="_Toc19304"/>
      <w:bookmarkStart w:id="49" w:name="_Toc2846"/>
      <w:r>
        <w:rPr>
          <w:rFonts w:hint="eastAsia" w:ascii="宋体" w:hAnsi="宋体" w:cs="宋体"/>
          <w:b/>
          <w:color w:val="000000" w:themeColor="text1"/>
          <w:sz w:val="24"/>
          <w14:textFill>
            <w14:solidFill>
              <w14:schemeClr w14:val="tx1"/>
            </w14:solidFill>
          </w14:textFill>
        </w:rPr>
        <w:t>1.7货物交付期限、地点和方式</w:t>
      </w:r>
      <w:bookmarkEnd w:id="47"/>
      <w:bookmarkEnd w:id="48"/>
      <w:bookmarkEnd w:id="49"/>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1.7.1 交付期限：详见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1.7.2 交付地点：</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1.7.3 交付方式：</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50" w:name="_Toc19554"/>
      <w:bookmarkStart w:id="51" w:name="_Toc21423"/>
      <w:bookmarkStart w:id="52" w:name="_Toc27250"/>
      <w:r>
        <w:rPr>
          <w:rFonts w:hint="eastAsia" w:ascii="宋体" w:hAnsi="宋体" w:cs="宋体"/>
          <w:b/>
          <w:color w:val="000000" w:themeColor="text1"/>
          <w:sz w:val="24"/>
          <w14:textFill>
            <w14:solidFill>
              <w14:schemeClr w14:val="tx1"/>
            </w14:solidFill>
          </w14:textFill>
        </w:rPr>
        <w:t>1.8违约责任</w:t>
      </w:r>
      <w:bookmarkEnd w:id="50"/>
      <w:bookmarkEnd w:id="51"/>
      <w:bookmarkEnd w:id="52"/>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000000" w:themeColor="text1"/>
          <w:sz w:val="24"/>
          <w:u w:val="single"/>
          <w14:textFill>
            <w14:solidFill>
              <w14:schemeClr w14:val="tx1"/>
            </w14:solidFill>
          </w14:textFill>
        </w:rPr>
        <w:t xml:space="preserve">  0.05</w:t>
      </w:r>
      <w:r>
        <w:rPr>
          <w:rFonts w:hint="eastAsia" w:ascii="宋体" w:hAnsi="宋体" w:cs="宋体"/>
          <w:color w:val="000000" w:themeColor="text1"/>
          <w:kern w:val="0"/>
          <w:sz w:val="24"/>
          <w:u w:val="single"/>
          <w14:textFill>
            <w14:solidFill>
              <w14:schemeClr w14:val="tx1"/>
            </w14:solidFill>
          </w14:textFill>
        </w:rPr>
        <w:t>（可根据情况修改）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%计算，最高限额为本合同总价的</w:t>
      </w:r>
      <w:r>
        <w:rPr>
          <w:rFonts w:hint="eastAsia" w:ascii="宋体" w:hAnsi="宋体" w:cs="宋体"/>
          <w:color w:val="000000" w:themeColor="text1"/>
          <w:sz w:val="24"/>
          <w:u w:val="single"/>
          <w14:textFill>
            <w14:solidFill>
              <w14:schemeClr w14:val="tx1"/>
            </w14:solidFill>
          </w14:textFill>
        </w:rPr>
        <w:t xml:space="preserve"> 20   </w:t>
      </w:r>
      <w:r>
        <w:rPr>
          <w:rFonts w:hint="eastAsia" w:ascii="宋体" w:hAnsi="宋体" w:cs="宋体"/>
          <w:color w:val="000000" w:themeColor="text1"/>
          <w:sz w:val="24"/>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1.8.2 除不可抗力外，如果甲方没有按照本合同约定的付款方式付款，那么乙方可要求甲方支付违约金，违约金按每迟延付款一日的应付而未付款的</w:t>
      </w:r>
      <w:r>
        <w:rPr>
          <w:rFonts w:hint="eastAsia" w:ascii="宋体" w:hAnsi="宋体" w:cs="宋体"/>
          <w:color w:val="000000" w:themeColor="text1"/>
          <w:sz w:val="24"/>
          <w:u w:val="single"/>
          <w14:textFill>
            <w14:solidFill>
              <w14:schemeClr w14:val="tx1"/>
            </w14:solidFill>
          </w14:textFill>
        </w:rPr>
        <w:t xml:space="preserve"> 0.05</w:t>
      </w:r>
      <w:r>
        <w:rPr>
          <w:rFonts w:hint="eastAsia" w:ascii="宋体" w:hAnsi="宋体" w:cs="宋体"/>
          <w:color w:val="000000" w:themeColor="text1"/>
          <w:kern w:val="0"/>
          <w:sz w:val="24"/>
          <w:u w:val="single"/>
          <w14:textFill>
            <w14:solidFill>
              <w14:schemeClr w14:val="tx1"/>
            </w14:solidFill>
          </w14:textFill>
        </w:rPr>
        <w:t>（可根据情况修改）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%计算，最高限额为本合同总价的</w:t>
      </w:r>
      <w:r>
        <w:rPr>
          <w:rFonts w:hint="eastAsia" w:ascii="宋体" w:hAnsi="宋体" w:cs="宋体"/>
          <w:color w:val="000000" w:themeColor="text1"/>
          <w:sz w:val="24"/>
          <w:u w:val="single"/>
          <w14:textFill>
            <w14:solidFill>
              <w14:schemeClr w14:val="tx1"/>
            </w14:solidFill>
          </w14:textFill>
        </w:rPr>
        <w:t xml:space="preserve">   20   </w:t>
      </w:r>
      <w:r>
        <w:rPr>
          <w:rFonts w:hint="eastAsia" w:ascii="宋体" w:hAnsi="宋体" w:cs="宋体"/>
          <w:color w:val="000000" w:themeColor="text1"/>
          <w:sz w:val="24"/>
          <w14:textFill>
            <w14:solidFill>
              <w14:schemeClr w14:val="tx1"/>
            </w14:solidFill>
          </w14:textFill>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1.8.6违约责任</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另有约定的，从其约定。</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53" w:name="_Toc15583"/>
      <w:bookmarkStart w:id="54" w:name="_Toc28375"/>
      <w:bookmarkStart w:id="55" w:name="_Toc16021"/>
      <w:r>
        <w:rPr>
          <w:rFonts w:hint="eastAsia" w:ascii="宋体" w:hAnsi="宋体" w:cs="宋体"/>
          <w:b/>
          <w:color w:val="000000" w:themeColor="text1"/>
          <w:sz w:val="24"/>
          <w14:textFill>
            <w14:solidFill>
              <w14:schemeClr w14:val="tx1"/>
            </w14:solidFill>
          </w14:textFill>
        </w:rPr>
        <w:t>1.9合同争议的解决</w:t>
      </w:r>
      <w:bookmarkEnd w:id="53"/>
      <w:bookmarkEnd w:id="54"/>
      <w:bookmarkEnd w:id="55"/>
    </w:p>
    <w:p>
      <w:pPr>
        <w:spacing w:line="560" w:lineRule="exact"/>
        <w:ind w:left="-61" w:leftChars="-29" w:right="-420" w:rightChars="-200"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宋体" w:hAnsi="宋体" w:cs="宋体"/>
          <w:b/>
          <w:i/>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条款规定的方式解决：</w:t>
      </w:r>
    </w:p>
    <w:p>
      <w:pPr>
        <w:spacing w:line="560" w:lineRule="exact"/>
        <w:ind w:left="-420" w:leftChars="-200" w:right="-420" w:rightChars="-200" w:firstLine="840" w:firstLineChars="3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1.9.1 将争议提交</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仲裁委员会依申请仲裁时其现行有效的仲裁规则裁决；</w:t>
      </w:r>
    </w:p>
    <w:p>
      <w:pPr>
        <w:spacing w:line="560" w:lineRule="exact"/>
        <w:ind w:left="-420" w:leftChars="-200" w:right="-420" w:rightChars="-200" w:firstLine="840" w:firstLineChars="3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1.9.2 向</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人民法院起诉。</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56" w:name="_Toc15322"/>
      <w:bookmarkStart w:id="57" w:name="_Toc11173"/>
      <w:bookmarkStart w:id="58" w:name="_Toc7245"/>
      <w:r>
        <w:rPr>
          <w:rFonts w:hint="eastAsia" w:ascii="宋体" w:hAnsi="宋体" w:cs="宋体"/>
          <w:b/>
          <w:color w:val="000000" w:themeColor="text1"/>
          <w:sz w:val="24"/>
          <w14:textFill>
            <w14:solidFill>
              <w14:schemeClr w14:val="tx1"/>
            </w14:solidFill>
          </w14:textFill>
        </w:rPr>
        <w:t>2.0 合同生效</w:t>
      </w:r>
      <w:bookmarkEnd w:id="56"/>
      <w:bookmarkEnd w:id="57"/>
      <w:bookmarkEnd w:id="58"/>
    </w:p>
    <w:p>
      <w:pPr>
        <w:spacing w:line="56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本合同自双方当事人盖章签字时生效。</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b/>
          <w:color w:val="000000" w:themeColor="text1"/>
          <w:sz w:val="24"/>
          <w:lang w:val="zh-CN"/>
          <w14:textFill>
            <w14:solidFill>
              <w14:schemeClr w14:val="tx1"/>
            </w14:solidFill>
          </w14:textFill>
        </w:rPr>
        <w:t>甲方</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b/>
          <w:color w:val="000000" w:themeColor="text1"/>
          <w:sz w:val="24"/>
          <w:lang w:val="zh-CN"/>
          <w14:textFill>
            <w14:solidFill>
              <w14:schemeClr w14:val="tx1"/>
            </w14:solidFill>
          </w14:textFill>
        </w:rPr>
        <w:t xml:space="preserve">      乙方</w:t>
      </w:r>
      <w:r>
        <w:rPr>
          <w:rFonts w:hint="eastAsia" w:ascii="宋体" w:hAnsi="宋体" w:cs="宋体"/>
          <w:color w:val="000000" w:themeColor="text1"/>
          <w:sz w:val="24"/>
          <w:lang w:val="zh-CN"/>
          <w14:textFill>
            <w14:solidFill>
              <w14:schemeClr w14:val="tx1"/>
            </w14:solidFill>
          </w14:textFill>
        </w:rPr>
        <w:t>：</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统一社会信用代码：                        统一社会信用代码或身份证号码：</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住所：                                   住所：</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法定代表人或                             法定代表人</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 xml:space="preserve">授权代表（签字）：                        或授权代表（签字）: </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联系人：                                 联系人：</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约定送达地址：                           约定送达地址：</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邮政编码：                               邮政编码：</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 xml:space="preserve">电话:                                    电话: </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传真:                                    传真:</w:t>
      </w:r>
    </w:p>
    <w:p>
      <w:pPr>
        <w:autoSpaceDE w:val="0"/>
        <w:autoSpaceDN w:val="0"/>
        <w:spacing w:line="5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电子邮箱：                               电子邮箱：</w:t>
      </w:r>
    </w:p>
    <w:p>
      <w:pPr>
        <w:autoSpaceDE w:val="0"/>
        <w:autoSpaceDN w:val="0"/>
        <w:spacing w:line="5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开户银行：                               开户银行： </w:t>
      </w:r>
    </w:p>
    <w:p>
      <w:pPr>
        <w:autoSpaceDE w:val="0"/>
        <w:autoSpaceDN w:val="0"/>
        <w:spacing w:line="5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开户名称：                               开户名称： </w:t>
      </w:r>
    </w:p>
    <w:p>
      <w:pPr>
        <w:autoSpaceDE w:val="0"/>
        <w:autoSpaceDN w:val="0"/>
        <w:spacing w:line="5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开户账号：</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开户账号：</w:t>
      </w:r>
    </w:p>
    <w:p>
      <w:pPr>
        <w:pStyle w:val="711"/>
        <w:ind w:firstLine="480"/>
      </w:pPr>
    </w:p>
    <w:p>
      <w:pPr>
        <w:pStyle w:val="711"/>
        <w:ind w:firstLine="480"/>
      </w:pPr>
    </w:p>
    <w:p>
      <w:pPr>
        <w:pStyle w:val="711"/>
        <w:ind w:firstLine="480"/>
      </w:pPr>
    </w:p>
    <w:p>
      <w:pPr>
        <w:pStyle w:val="711"/>
        <w:ind w:firstLine="480"/>
      </w:pPr>
    </w:p>
    <w:p>
      <w:pPr>
        <w:pStyle w:val="711"/>
        <w:ind w:firstLine="480"/>
      </w:pPr>
    </w:p>
    <w:p>
      <w:pPr>
        <w:pStyle w:val="711"/>
        <w:ind w:firstLine="480"/>
      </w:pPr>
    </w:p>
    <w:p>
      <w:pPr>
        <w:pStyle w:val="700"/>
        <w:spacing w:line="560" w:lineRule="exact"/>
        <w:ind w:firstLine="482"/>
        <w:jc w:val="center"/>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第二部分 合同一般条款</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59" w:name="_Ref467379214"/>
      <w:bookmarkStart w:id="60" w:name="_Ref467379205"/>
      <w:bookmarkStart w:id="61" w:name="_Ref467379094"/>
      <w:bookmarkStart w:id="62" w:name="_Toc16917"/>
      <w:bookmarkStart w:id="63" w:name="_Toc259093669"/>
      <w:bookmarkStart w:id="64" w:name="_Ref467379109"/>
      <w:bookmarkStart w:id="65" w:name="_Ref467379101"/>
      <w:bookmarkStart w:id="66" w:name="_Ref467379195"/>
      <w:bookmarkStart w:id="67" w:name="_Toc28763"/>
      <w:bookmarkStart w:id="68" w:name="_Ref467378463"/>
      <w:bookmarkStart w:id="69" w:name="_Ref467378404"/>
      <w:bookmarkStart w:id="70" w:name="_Ref467378499"/>
      <w:bookmarkStart w:id="71" w:name="_Toc487900349"/>
      <w:bookmarkStart w:id="72" w:name="_Toc279701240"/>
      <w:bookmarkStart w:id="73" w:name="_Toc19614"/>
      <w:bookmarkStart w:id="74" w:name="_Ref467379225"/>
      <w:r>
        <w:rPr>
          <w:rFonts w:hint="eastAsia" w:ascii="宋体" w:hAnsi="宋体" w:cs="宋体"/>
          <w:b/>
          <w:color w:val="000000" w:themeColor="text1"/>
          <w:sz w:val="24"/>
          <w14:textFill>
            <w14:solidFill>
              <w14:schemeClr w14:val="tx1"/>
            </w14:solidFill>
          </w14:textFill>
        </w:rPr>
        <w:t>2.1 定义</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本合同中的下列词语应按以下内容进行解释：</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color w:val="000000" w:themeColor="text1"/>
          <w:sz w:val="24"/>
          <w14:textFill>
            <w14:solidFill>
              <w14:schemeClr w14:val="tx1"/>
            </w14:solidFill>
          </w14:textFill>
        </w:rPr>
      </w:pPr>
      <w:bookmarkStart w:id="75" w:name="_Ref467378840"/>
      <w:r>
        <w:rPr>
          <w:rFonts w:hint="eastAsia" w:ascii="宋体" w:hAnsi="宋体" w:cs="宋体"/>
          <w:color w:val="000000" w:themeColor="text1"/>
          <w:sz w:val="24"/>
          <w14:textFill>
            <w14:solidFill>
              <w14:schemeClr w14:val="tx1"/>
            </w14:solidFill>
          </w14:textFill>
        </w:rPr>
        <w:t>2.1.4 “甲方”系指与中标或成交供应商签署合同的采购人</w:t>
      </w:r>
      <w:bookmarkEnd w:id="75"/>
      <w:r>
        <w:rPr>
          <w:rFonts w:hint="eastAsia" w:ascii="宋体" w:hAnsi="宋体" w:cs="宋体"/>
          <w:color w:val="000000" w:themeColor="text1"/>
          <w:sz w:val="24"/>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宋体" w:hAnsi="宋体" w:cs="宋体"/>
          <w:color w:val="000000" w:themeColor="text1"/>
          <w:sz w:val="24"/>
          <w14:textFill>
            <w14:solidFill>
              <w14:schemeClr w14:val="tx1"/>
            </w14:solidFill>
          </w14:textFill>
        </w:rPr>
      </w:pPr>
      <w:bookmarkStart w:id="76" w:name="_Ref467379400"/>
      <w:r>
        <w:rPr>
          <w:rFonts w:hint="eastAsia" w:ascii="宋体" w:hAnsi="宋体" w:cs="宋体"/>
          <w:color w:val="000000" w:themeColor="text1"/>
          <w:sz w:val="24"/>
          <w14:textFill>
            <w14:solidFill>
              <w14:schemeClr w14:val="tx1"/>
            </w14:solidFill>
          </w14:textFill>
        </w:rPr>
        <w:t>2.1.5 “乙方”系指根据合同约定交付货物的中标或成交供应商</w:t>
      </w:r>
      <w:bookmarkEnd w:id="76"/>
      <w:r>
        <w:rPr>
          <w:rFonts w:hint="eastAsia" w:ascii="宋体" w:hAnsi="宋体" w:cs="宋体"/>
          <w:color w:val="000000" w:themeColor="text1"/>
          <w:sz w:val="24"/>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color w:val="000000" w:themeColor="text1"/>
          <w:sz w:val="24"/>
          <w14:textFill>
            <w14:solidFill>
              <w14:schemeClr w14:val="tx1"/>
            </w14:solidFill>
          </w14:textFill>
        </w:rPr>
      </w:pPr>
      <w:bookmarkStart w:id="77" w:name="_Ref467379436"/>
      <w:r>
        <w:rPr>
          <w:rFonts w:hint="eastAsia" w:ascii="宋体" w:hAnsi="宋体" w:cs="宋体"/>
          <w:color w:val="000000" w:themeColor="text1"/>
          <w:sz w:val="24"/>
          <w14:textFill>
            <w14:solidFill>
              <w14:schemeClr w14:val="tx1"/>
            </w14:solidFill>
          </w14:textFill>
        </w:rPr>
        <w:t>2.1.6 “现场”系指合同约定货物将要运至或者安装的地点。</w:t>
      </w:r>
      <w:bookmarkEnd w:id="77"/>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78" w:name="_Toc32504"/>
      <w:bookmarkStart w:id="79" w:name="_Toc27635"/>
      <w:bookmarkStart w:id="80" w:name="_Toc259093670"/>
      <w:bookmarkStart w:id="81" w:name="_Toc487900350"/>
      <w:bookmarkStart w:id="82" w:name="_Toc279701241"/>
      <w:bookmarkStart w:id="83" w:name="_Toc13336"/>
      <w:r>
        <w:rPr>
          <w:rFonts w:hint="eastAsia" w:ascii="宋体" w:hAnsi="宋体" w:cs="宋体"/>
          <w:b/>
          <w:color w:val="000000" w:themeColor="text1"/>
          <w:sz w:val="24"/>
          <w14:textFill>
            <w14:solidFill>
              <w14:schemeClr w14:val="tx1"/>
            </w14:solidFill>
          </w14:textFill>
        </w:rPr>
        <w:t>2.2 技术规范</w:t>
      </w:r>
      <w:bookmarkEnd w:id="78"/>
      <w:bookmarkEnd w:id="79"/>
      <w:bookmarkEnd w:id="80"/>
      <w:bookmarkEnd w:id="81"/>
      <w:bookmarkEnd w:id="82"/>
      <w:bookmarkEnd w:id="83"/>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84" w:name="_Toc487900351"/>
      <w:bookmarkStart w:id="85" w:name="_Toc31634"/>
      <w:bookmarkStart w:id="86" w:name="_Toc279701242"/>
      <w:bookmarkStart w:id="87" w:name="_Toc259093671"/>
      <w:bookmarkStart w:id="88" w:name="_Toc27853"/>
      <w:bookmarkStart w:id="89" w:name="_Toc9829"/>
      <w:r>
        <w:rPr>
          <w:rFonts w:hint="eastAsia" w:ascii="宋体" w:hAnsi="宋体" w:cs="宋体"/>
          <w:b/>
          <w:color w:val="000000" w:themeColor="text1"/>
          <w:sz w:val="24"/>
          <w14:textFill>
            <w14:solidFill>
              <w14:schemeClr w14:val="tx1"/>
            </w14:solidFill>
          </w14:textFill>
        </w:rPr>
        <w:t>2.3 知识产权</w:t>
      </w:r>
      <w:bookmarkEnd w:id="84"/>
      <w:bookmarkEnd w:id="85"/>
      <w:bookmarkEnd w:id="86"/>
      <w:bookmarkEnd w:id="87"/>
      <w:bookmarkEnd w:id="88"/>
      <w:bookmarkEnd w:id="89"/>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color w:val="000000" w:themeColor="text1"/>
          <w:sz w:val="24"/>
          <w14:textFill>
            <w14:solidFill>
              <w14:schemeClr w14:val="tx1"/>
            </w14:solidFill>
          </w14:textFill>
        </w:rPr>
        <w:t>乙方还应及时澄清相关信息，使甲方声誉免受损害，甲方保留追责的权利。</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2.3.2具有知识产权的计算机软件等货物的知识产权归属，详见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90" w:name="_Toc4194"/>
      <w:bookmarkStart w:id="91" w:name="_Toc29149"/>
      <w:bookmarkStart w:id="92" w:name="_Toc11932"/>
      <w:r>
        <w:rPr>
          <w:rFonts w:hint="eastAsia" w:ascii="宋体" w:hAnsi="宋体" w:cs="宋体"/>
          <w:b/>
          <w:color w:val="000000" w:themeColor="text1"/>
          <w:sz w:val="24"/>
          <w14:textFill>
            <w14:solidFill>
              <w14:schemeClr w14:val="tx1"/>
            </w14:solidFill>
          </w14:textFill>
        </w:rPr>
        <w:t>2.4 包装和装运</w:t>
      </w:r>
      <w:bookmarkEnd w:id="90"/>
      <w:bookmarkEnd w:id="91"/>
      <w:bookmarkEnd w:id="92"/>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2.4.1除</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2.4.3 装运货物的要求和通知，详见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93" w:name="_Ref467378591"/>
      <w:bookmarkStart w:id="94" w:name="_Ref467379527"/>
      <w:bookmarkStart w:id="95" w:name="_Ref467379542"/>
      <w:bookmarkStart w:id="96" w:name="_Toc279701245"/>
      <w:bookmarkStart w:id="97" w:name="_Ref467378541"/>
      <w:bookmarkStart w:id="98" w:name="_Toc487900354"/>
      <w:bookmarkStart w:id="99" w:name="_Toc259093674"/>
      <w:bookmarkStart w:id="100" w:name="_Ref467379536"/>
      <w:bookmarkStart w:id="101" w:name="_Toc30272"/>
      <w:bookmarkStart w:id="102" w:name="_Toc19074"/>
      <w:bookmarkStart w:id="103" w:name="_Toc26182"/>
      <w:r>
        <w:rPr>
          <w:rFonts w:hint="eastAsia" w:ascii="宋体" w:hAnsi="宋体" w:cs="宋体"/>
          <w:b/>
          <w:color w:val="000000" w:themeColor="text1"/>
          <w:sz w:val="24"/>
          <w14:textFill>
            <w14:solidFill>
              <w14:schemeClr w14:val="tx1"/>
            </w14:solidFill>
          </w14:textFill>
        </w:rPr>
        <w:t>2.</w:t>
      </w:r>
      <w:bookmarkEnd w:id="93"/>
      <w:bookmarkEnd w:id="94"/>
      <w:bookmarkEnd w:id="95"/>
      <w:bookmarkEnd w:id="96"/>
      <w:bookmarkEnd w:id="97"/>
      <w:bookmarkEnd w:id="98"/>
      <w:bookmarkEnd w:id="99"/>
      <w:bookmarkEnd w:id="100"/>
      <w:r>
        <w:rPr>
          <w:rFonts w:hint="eastAsia" w:ascii="宋体" w:hAnsi="宋体" w:cs="宋体"/>
          <w:b/>
          <w:color w:val="000000" w:themeColor="text1"/>
          <w:sz w:val="24"/>
          <w14:textFill>
            <w14:solidFill>
              <w14:schemeClr w14:val="tx1"/>
            </w14:solidFill>
          </w14:textFill>
        </w:rPr>
        <w:t>5 履约检查和问题反馈</w:t>
      </w:r>
      <w:bookmarkEnd w:id="101"/>
      <w:bookmarkEnd w:id="102"/>
      <w:bookmarkEnd w:id="103"/>
    </w:p>
    <w:p>
      <w:pPr>
        <w:spacing w:line="560" w:lineRule="exact"/>
        <w:ind w:firstLine="480" w:firstLineChars="200"/>
        <w:rPr>
          <w:rFonts w:ascii="宋体" w:hAnsi="宋体" w:cs="宋体"/>
          <w:color w:val="000000" w:themeColor="text1"/>
          <w:sz w:val="24"/>
          <w14:textFill>
            <w14:solidFill>
              <w14:schemeClr w14:val="tx1"/>
            </w14:solidFill>
          </w14:textFill>
        </w:rPr>
      </w:pPr>
      <w:bookmarkStart w:id="104" w:name="_Ref467379657"/>
      <w:r>
        <w:rPr>
          <w:rFonts w:hint="eastAsia" w:ascii="宋体" w:hAnsi="宋体" w:cs="宋体"/>
          <w:color w:val="000000" w:themeColor="text1"/>
          <w:sz w:val="24"/>
          <w14:textFill>
            <w14:solidFill>
              <w14:schemeClr w14:val="tx1"/>
            </w14:solidFill>
          </w14:textFill>
        </w:rPr>
        <w:t>2.5.1</w:t>
      </w:r>
      <w:bookmarkEnd w:id="104"/>
      <w:bookmarkStart w:id="105" w:name="_Toc186431854"/>
      <w:bookmarkStart w:id="106" w:name="_Ref467379807"/>
      <w:bookmarkStart w:id="107" w:name="_Toc487900357"/>
      <w:bookmarkStart w:id="108" w:name="_Toc279701247"/>
      <w:bookmarkStart w:id="109" w:name="_Ref467379793"/>
      <w:bookmarkStart w:id="110" w:name="_Toc259093676"/>
      <w:r>
        <w:rPr>
          <w:rFonts w:hint="eastAsia" w:ascii="宋体" w:hAnsi="宋体" w:cs="宋体"/>
          <w:color w:val="000000" w:themeColor="text1"/>
          <w:sz w:val="24"/>
          <w14:textFill>
            <w14:solidFill>
              <w14:schemeClr w14:val="tx1"/>
            </w14:solidFill>
          </w14:textFill>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2.5.2 合同履行期间，甲方有权将履行过程中出现的问题反馈给乙方，双方当事人应以书面形式约定需要完善和改进的内容</w:t>
      </w:r>
      <w:bookmarkEnd w:id="105"/>
      <w:bookmarkStart w:id="111" w:name="_Toc186431855"/>
      <w:r>
        <w:rPr>
          <w:rFonts w:hint="eastAsia" w:ascii="宋体" w:hAnsi="宋体" w:cs="宋体"/>
          <w:color w:val="000000" w:themeColor="text1"/>
          <w:sz w:val="24"/>
          <w14:textFill>
            <w14:solidFill>
              <w14:schemeClr w14:val="tx1"/>
            </w14:solidFill>
          </w14:textFill>
        </w:rPr>
        <w:t>。</w:t>
      </w:r>
    </w:p>
    <w:bookmarkEnd w:id="106"/>
    <w:bookmarkEnd w:id="107"/>
    <w:bookmarkEnd w:id="108"/>
    <w:bookmarkEnd w:id="109"/>
    <w:bookmarkEnd w:id="110"/>
    <w:bookmarkEnd w:id="111"/>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12" w:name="_Toc279701248"/>
      <w:bookmarkStart w:id="113" w:name="_Ref467379923"/>
      <w:bookmarkStart w:id="114" w:name="_Toc487900358"/>
      <w:bookmarkStart w:id="115" w:name="_Toc259093677"/>
      <w:bookmarkStart w:id="116" w:name="_Ref467379863"/>
      <w:bookmarkStart w:id="117" w:name="_Ref467379852"/>
      <w:bookmarkStart w:id="118" w:name="_Toc774"/>
      <w:bookmarkStart w:id="119" w:name="_Toc16110"/>
      <w:bookmarkStart w:id="120" w:name="_Toc3225"/>
      <w:r>
        <w:rPr>
          <w:rFonts w:hint="eastAsia" w:ascii="宋体" w:hAnsi="宋体" w:cs="宋体"/>
          <w:b/>
          <w:color w:val="000000" w:themeColor="text1"/>
          <w:sz w:val="24"/>
          <w14:textFill>
            <w14:solidFill>
              <w14:schemeClr w14:val="tx1"/>
            </w14:solidFill>
          </w14:textFill>
        </w:rPr>
        <w:t>2.6 技术资料</w:t>
      </w:r>
      <w:bookmarkEnd w:id="112"/>
      <w:bookmarkEnd w:id="113"/>
      <w:bookmarkEnd w:id="114"/>
      <w:bookmarkEnd w:id="115"/>
      <w:bookmarkEnd w:id="116"/>
      <w:bookmarkEnd w:id="117"/>
      <w:r>
        <w:rPr>
          <w:rFonts w:hint="eastAsia" w:ascii="宋体" w:hAnsi="宋体" w:cs="宋体"/>
          <w:b/>
          <w:color w:val="000000" w:themeColor="text1"/>
          <w:sz w:val="24"/>
          <w14:textFill>
            <w14:solidFill>
              <w14:schemeClr w14:val="tx1"/>
            </w14:solidFill>
          </w14:textFill>
        </w:rPr>
        <w:t>和保密义务</w:t>
      </w:r>
      <w:bookmarkEnd w:id="118"/>
      <w:bookmarkEnd w:id="119"/>
      <w:bookmarkEnd w:id="120"/>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2.6.1 乙方有权依据合同约定和项目需要，向甲方了解有关情况，调阅有关资料等，甲方应予积极配合；</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2.6.2 乙方有义务妥善保管和保护由甲方提供的前款信息和资料等；</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21" w:name="_Toc7860"/>
      <w:r>
        <w:rPr>
          <w:rFonts w:hint="eastAsia" w:ascii="宋体" w:hAnsi="宋体" w:cs="宋体"/>
          <w:b/>
          <w:color w:val="000000" w:themeColor="text1"/>
          <w:sz w:val="24"/>
          <w14:textFill>
            <w14:solidFill>
              <w14:schemeClr w14:val="tx1"/>
            </w14:solidFill>
          </w14:textFill>
        </w:rPr>
        <w:t>2.7 质量保证</w:t>
      </w:r>
      <w:bookmarkEnd w:id="121"/>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22" w:name="_Toc17244"/>
      <w:bookmarkStart w:id="123" w:name="_Toc487900362"/>
      <w:bookmarkStart w:id="124" w:name="_Toc259093681"/>
      <w:bookmarkStart w:id="125" w:name="_Toc279701252"/>
      <w:r>
        <w:rPr>
          <w:rFonts w:hint="eastAsia" w:ascii="宋体" w:hAnsi="宋体" w:cs="宋体"/>
          <w:b/>
          <w:color w:val="000000" w:themeColor="text1"/>
          <w:sz w:val="24"/>
          <w14:textFill>
            <w14:solidFill>
              <w14:schemeClr w14:val="tx1"/>
            </w14:solidFill>
          </w14:textFill>
        </w:rPr>
        <w:t>2.8 货物的风险负担</w:t>
      </w:r>
      <w:bookmarkEnd w:id="122"/>
    </w:p>
    <w:p>
      <w:pPr>
        <w:spacing w:line="56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货物或者在途货物或者交付给第一承运人后的货物毁损、灭失的风险负担详见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26" w:name="_Toc14055"/>
      <w:r>
        <w:rPr>
          <w:rFonts w:hint="eastAsia" w:ascii="宋体" w:hAnsi="宋体" w:cs="宋体"/>
          <w:b/>
          <w:color w:val="000000" w:themeColor="text1"/>
          <w:sz w:val="24"/>
          <w14:textFill>
            <w14:solidFill>
              <w14:schemeClr w14:val="tx1"/>
            </w14:solidFill>
          </w14:textFill>
        </w:rPr>
        <w:t>2.9 延迟交货</w:t>
      </w:r>
      <w:bookmarkEnd w:id="123"/>
      <w:bookmarkEnd w:id="124"/>
      <w:bookmarkEnd w:id="125"/>
      <w:bookmarkEnd w:id="126"/>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甲乙双方签订合同后，乙方应按照合同约定履行合同义务，除不可抗力外，乙方不得延迟交货。</w:t>
      </w:r>
      <w:r>
        <w:rPr>
          <w:rFonts w:hint="eastAsia" w:ascii="宋体" w:hAnsi="宋体" w:cs="宋体"/>
          <w:color w:val="000000" w:themeColor="text1"/>
          <w:sz w:val="24"/>
          <w14:textFill>
            <w14:solidFill>
              <w14:schemeClr w14:val="tx1"/>
            </w14:solidFill>
          </w14:textFill>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27" w:name="_Toc7502"/>
      <w:bookmarkStart w:id="128" w:name="_Toc279701254"/>
      <w:bookmarkStart w:id="129" w:name="_Toc487900364"/>
      <w:bookmarkStart w:id="130" w:name="_Ref467378121"/>
      <w:bookmarkStart w:id="131" w:name="_Toc259093683"/>
      <w:r>
        <w:rPr>
          <w:rFonts w:hint="eastAsia" w:ascii="宋体" w:hAnsi="宋体" w:cs="宋体"/>
          <w:b/>
          <w:color w:val="000000" w:themeColor="text1"/>
          <w:sz w:val="24"/>
          <w14:textFill>
            <w14:solidFill>
              <w14:schemeClr w14:val="tx1"/>
            </w14:solidFill>
          </w14:textFill>
        </w:rPr>
        <w:t>2.10 合同变更</w:t>
      </w:r>
      <w:bookmarkEnd w:id="127"/>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bookmarkStart w:id="132" w:name="_Toc259093688"/>
      <w:bookmarkStart w:id="133" w:name="_Toc279701259"/>
      <w:bookmarkStart w:id="134" w:name="_Toc487900369"/>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35" w:name="_Toc15237"/>
      <w:bookmarkStart w:id="136" w:name="_Toc10366"/>
      <w:bookmarkStart w:id="137" w:name="_Toc22955"/>
      <w:r>
        <w:rPr>
          <w:rFonts w:hint="eastAsia" w:ascii="宋体" w:hAnsi="宋体" w:cs="宋体"/>
          <w:b/>
          <w:color w:val="000000" w:themeColor="text1"/>
          <w:sz w:val="24"/>
          <w14:textFill>
            <w14:solidFill>
              <w14:schemeClr w14:val="tx1"/>
            </w14:solidFill>
          </w14:textFill>
        </w:rPr>
        <w:t>2.11 合同转让</w:t>
      </w:r>
      <w:bookmarkEnd w:id="132"/>
      <w:bookmarkEnd w:id="133"/>
      <w:bookmarkEnd w:id="134"/>
      <w:r>
        <w:rPr>
          <w:rFonts w:hint="eastAsia" w:ascii="宋体" w:hAnsi="宋体" w:cs="宋体"/>
          <w:b/>
          <w:color w:val="000000" w:themeColor="text1"/>
          <w:sz w:val="24"/>
          <w14:textFill>
            <w14:solidFill>
              <w14:schemeClr w14:val="tx1"/>
            </w14:solidFill>
          </w14:textFill>
        </w:rPr>
        <w:t>和分包</w:t>
      </w:r>
      <w:bookmarkEnd w:id="135"/>
      <w:bookmarkEnd w:id="136"/>
      <w:bookmarkEnd w:id="137"/>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2.11.2乙方采取分包方式履行合同的，甲方可直接向分包供应商支付款项。</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38" w:name="_Toc16508"/>
      <w:bookmarkStart w:id="139" w:name="_Toc13566"/>
      <w:bookmarkStart w:id="140" w:name="_Toc14066"/>
      <w:r>
        <w:rPr>
          <w:rFonts w:hint="eastAsia" w:ascii="宋体" w:hAnsi="宋体" w:cs="宋体"/>
          <w:b/>
          <w:color w:val="000000" w:themeColor="text1"/>
          <w:sz w:val="24"/>
          <w14:textFill>
            <w14:solidFill>
              <w14:schemeClr w14:val="tx1"/>
            </w14:solidFill>
          </w14:textFill>
        </w:rPr>
        <w:t>2.12 不可抗力</w:t>
      </w:r>
      <w:bookmarkEnd w:id="138"/>
      <w:bookmarkEnd w:id="139"/>
      <w:bookmarkEnd w:id="140"/>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2.12.2 因不可抗力致使不能实现合同目的的，当事人可以解除合同；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2.12.3 因不可抗力致使合同有变更必要的，双方当事人应在</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约定时间内以书面形式变更合同；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2.12.4受不可抗力影响的一方在不可抗力发生后，应在</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约定时间内以书面形式通知对方当事人，并在</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约定时间内，将有关部门出具的证明文件送达对方当事人。</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41" w:name="_Toc30676"/>
      <w:bookmarkStart w:id="142" w:name="_Toc487900365"/>
      <w:bookmarkStart w:id="143" w:name="_Toc689"/>
      <w:bookmarkStart w:id="144" w:name="_Toc279701255"/>
      <w:bookmarkStart w:id="145" w:name="_Toc6969"/>
      <w:bookmarkStart w:id="146" w:name="_Toc259093684"/>
      <w:r>
        <w:rPr>
          <w:rFonts w:hint="eastAsia" w:ascii="宋体" w:hAnsi="宋体" w:cs="宋体"/>
          <w:b/>
          <w:color w:val="000000" w:themeColor="text1"/>
          <w:sz w:val="24"/>
          <w14:textFill>
            <w14:solidFill>
              <w14:schemeClr w14:val="tx1"/>
            </w14:solidFill>
          </w14:textFill>
        </w:rPr>
        <w:t>2.13 税费</w:t>
      </w:r>
      <w:bookmarkEnd w:id="141"/>
      <w:bookmarkEnd w:id="142"/>
      <w:bookmarkEnd w:id="143"/>
      <w:bookmarkEnd w:id="144"/>
      <w:bookmarkEnd w:id="145"/>
      <w:bookmarkEnd w:id="146"/>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与合同有关的一切税费，均按照中华人民共和国法律的相关规定。</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47" w:name="_Toc279701258"/>
      <w:bookmarkStart w:id="148" w:name="_Toc259093687"/>
      <w:bookmarkStart w:id="149" w:name="_Toc8298"/>
      <w:bookmarkStart w:id="150" w:name="_Toc7102"/>
      <w:bookmarkStart w:id="151" w:name="_Toc16959"/>
      <w:bookmarkStart w:id="152" w:name="_Toc487900368"/>
      <w:r>
        <w:rPr>
          <w:rFonts w:hint="eastAsia" w:ascii="宋体" w:hAnsi="宋体" w:cs="宋体"/>
          <w:b/>
          <w:color w:val="000000" w:themeColor="text1"/>
          <w:sz w:val="24"/>
          <w14:textFill>
            <w14:solidFill>
              <w14:schemeClr w14:val="tx1"/>
            </w14:solidFill>
          </w14:textFill>
        </w:rPr>
        <w:t>2.14乙方破产</w:t>
      </w:r>
      <w:bookmarkEnd w:id="147"/>
      <w:bookmarkEnd w:id="148"/>
      <w:bookmarkEnd w:id="149"/>
      <w:bookmarkEnd w:id="150"/>
      <w:bookmarkEnd w:id="151"/>
      <w:bookmarkEnd w:id="152"/>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53" w:name="_Toc29333"/>
      <w:bookmarkStart w:id="154" w:name="_Toc15387"/>
      <w:bookmarkStart w:id="155" w:name="_Toc6134"/>
      <w:r>
        <w:rPr>
          <w:rFonts w:hint="eastAsia" w:ascii="宋体" w:hAnsi="宋体" w:cs="宋体"/>
          <w:b/>
          <w:color w:val="000000" w:themeColor="text1"/>
          <w:sz w:val="24"/>
          <w14:textFill>
            <w14:solidFill>
              <w14:schemeClr w14:val="tx1"/>
            </w14:solidFill>
          </w14:textFill>
        </w:rPr>
        <w:t>2.15 合同中止、终止</w:t>
      </w:r>
      <w:bookmarkEnd w:id="153"/>
      <w:bookmarkEnd w:id="154"/>
      <w:bookmarkEnd w:id="155"/>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2.15.1 双方当事人不得擅自中止或者终止合同；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56" w:name="_Toc14563"/>
      <w:bookmarkStart w:id="157" w:name="_Toc1125"/>
      <w:bookmarkStart w:id="158" w:name="_Toc6596"/>
      <w:r>
        <w:rPr>
          <w:rFonts w:hint="eastAsia" w:ascii="宋体" w:hAnsi="宋体" w:cs="宋体"/>
          <w:b/>
          <w:color w:val="000000" w:themeColor="text1"/>
          <w:sz w:val="24"/>
          <w14:textFill>
            <w14:solidFill>
              <w14:schemeClr w14:val="tx1"/>
            </w14:solidFill>
          </w14:textFill>
        </w:rPr>
        <w:t>2.16检验和验收</w:t>
      </w:r>
      <w:bookmarkEnd w:id="156"/>
      <w:bookmarkEnd w:id="157"/>
      <w:bookmarkEnd w:id="158"/>
    </w:p>
    <w:p>
      <w:pPr>
        <w:tabs>
          <w:tab w:val="left" w:pos="360"/>
          <w:tab w:val="left" w:pos="540"/>
          <w:tab w:val="left" w:pos="1080"/>
        </w:tabs>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2.16.1货物交付前，乙方应对货物的质量、数量等方面进行详细、全面的检验，并向甲方出具证明货物符合合同约定的文件；货物交付时，甲方在</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2.16.3 检验和验收标准、程序等具体内容以及前述验收书的效力详见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i/>
          <w:color w:val="000000" w:themeColor="text1"/>
          <w:sz w:val="24"/>
          <w14:textFill>
            <w14:solidFill>
              <w14:schemeClr w14:val="tx1"/>
            </w14:solidFill>
          </w14:textFill>
        </w:rPr>
        <w:t>。</w:t>
      </w:r>
    </w:p>
    <w:bookmarkEnd w:id="128"/>
    <w:bookmarkEnd w:id="129"/>
    <w:bookmarkEnd w:id="130"/>
    <w:bookmarkEnd w:id="131"/>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59" w:name="_Toc279701261"/>
      <w:bookmarkStart w:id="160" w:name="_Toc259093690"/>
      <w:bookmarkStart w:id="161" w:name="_Toc487900371"/>
      <w:bookmarkStart w:id="162" w:name="_Toc11284"/>
      <w:bookmarkStart w:id="163" w:name="_Toc25182"/>
      <w:bookmarkStart w:id="164" w:name="_Toc19604"/>
      <w:r>
        <w:rPr>
          <w:rFonts w:hint="eastAsia" w:ascii="宋体" w:hAnsi="宋体" w:cs="宋体"/>
          <w:b/>
          <w:color w:val="000000" w:themeColor="text1"/>
          <w:sz w:val="24"/>
          <w14:textFill>
            <w14:solidFill>
              <w14:schemeClr w14:val="tx1"/>
            </w14:solidFill>
          </w14:textFill>
        </w:rPr>
        <w:t>2.17 通知</w:t>
      </w:r>
      <w:bookmarkEnd w:id="159"/>
      <w:bookmarkEnd w:id="160"/>
      <w:bookmarkEnd w:id="161"/>
      <w:r>
        <w:rPr>
          <w:rFonts w:hint="eastAsia" w:ascii="宋体" w:hAnsi="宋体" w:cs="宋体"/>
          <w:b/>
          <w:color w:val="000000" w:themeColor="text1"/>
          <w:sz w:val="24"/>
          <w14:textFill>
            <w14:solidFill>
              <w14:schemeClr w14:val="tx1"/>
            </w14:solidFill>
          </w14:textFill>
        </w:rPr>
        <w:t>和送达</w:t>
      </w:r>
      <w:bookmarkEnd w:id="162"/>
      <w:bookmarkEnd w:id="163"/>
      <w:bookmarkEnd w:id="164"/>
    </w:p>
    <w:p>
      <w:pPr>
        <w:spacing w:line="560" w:lineRule="exact"/>
        <w:ind w:firstLine="480" w:firstLineChars="200"/>
        <w:rPr>
          <w:rFonts w:ascii="宋体" w:hAnsi="宋体" w:cs="宋体"/>
          <w:color w:val="000000" w:themeColor="text1"/>
          <w:sz w:val="24"/>
          <w14:textFill>
            <w14:solidFill>
              <w14:schemeClr w14:val="tx1"/>
            </w14:solidFill>
          </w14:textFill>
        </w:rPr>
      </w:pPr>
      <w:bookmarkStart w:id="165" w:name="_Toc6698"/>
      <w:bookmarkStart w:id="166" w:name="_Toc3135"/>
      <w:bookmarkStart w:id="167" w:name="_Toc259093691"/>
      <w:bookmarkStart w:id="168" w:name="_Toc279701262"/>
      <w:bookmarkStart w:id="169" w:name="_Toc487900372"/>
      <w:r>
        <w:rPr>
          <w:rFonts w:hint="eastAsia" w:ascii="宋体" w:hAnsi="宋体" w:cs="宋体"/>
          <w:color w:val="000000" w:themeColor="text1"/>
          <w:sz w:val="24"/>
          <w14:textFill>
            <w14:solidFill>
              <w14:schemeClr w14:val="tx1"/>
            </w14:solidFill>
          </w14:textFill>
        </w:rPr>
        <w:t xml:space="preserve">2.17.1任何一方因履行合同而以合同第一部分尾部所列明的传真或电子邮件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发出的所有通知、文件、材料，均视为已向对方当事人送达；任何一方变更上述送达方式或者地址的，应于</w:t>
      </w:r>
      <w:r>
        <w:rPr>
          <w:rFonts w:hint="eastAsia" w:ascii="宋体" w:hAnsi="宋体" w:cs="宋体"/>
          <w:color w:val="000000" w:themeColor="text1"/>
          <w:sz w:val="24"/>
          <w:u w:val="single"/>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个工作日内书面通知对方当事人，在对方当事人收到有关变更通知之前，变更前的约定送达方式或者地址仍视为有效。</w:t>
      </w:r>
      <w:bookmarkEnd w:id="165"/>
      <w:bookmarkEnd w:id="166"/>
    </w:p>
    <w:p>
      <w:pPr>
        <w:spacing w:line="560" w:lineRule="exact"/>
        <w:ind w:firstLine="480" w:firstLineChars="200"/>
        <w:rPr>
          <w:rFonts w:ascii="宋体" w:hAnsi="宋体" w:cs="宋体"/>
          <w:color w:val="000000" w:themeColor="text1"/>
          <w:sz w:val="24"/>
          <w14:textFill>
            <w14:solidFill>
              <w14:schemeClr w14:val="tx1"/>
            </w14:solidFill>
          </w14:textFill>
        </w:rPr>
      </w:pPr>
      <w:bookmarkStart w:id="170" w:name="_Toc23128"/>
      <w:bookmarkStart w:id="171" w:name="_Toc23294"/>
      <w:r>
        <w:rPr>
          <w:rFonts w:hint="eastAsia" w:ascii="宋体" w:hAnsi="宋体" w:cs="宋体"/>
          <w:color w:val="000000" w:themeColor="text1"/>
          <w:sz w:val="24"/>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170"/>
      <w:bookmarkEnd w:id="171"/>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72" w:name="_Toc30599"/>
      <w:bookmarkStart w:id="173" w:name="_Toc4355"/>
      <w:bookmarkStart w:id="174" w:name="_Toc18540"/>
      <w:r>
        <w:rPr>
          <w:rFonts w:hint="eastAsia" w:ascii="宋体" w:hAnsi="宋体" w:cs="宋体"/>
          <w:b/>
          <w:color w:val="000000" w:themeColor="text1"/>
          <w:sz w:val="24"/>
          <w14:textFill>
            <w14:solidFill>
              <w14:schemeClr w14:val="tx1"/>
            </w14:solidFill>
          </w14:textFill>
        </w:rPr>
        <w:t>2.18 计量单位</w:t>
      </w:r>
      <w:bookmarkEnd w:id="167"/>
      <w:bookmarkEnd w:id="168"/>
      <w:bookmarkEnd w:id="169"/>
      <w:bookmarkEnd w:id="172"/>
      <w:bookmarkEnd w:id="173"/>
      <w:bookmarkEnd w:id="174"/>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除技术规范中另有规定外,合同的计量单位均使用国家法定计量单位。</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75" w:name="_Toc279701263"/>
      <w:bookmarkStart w:id="176" w:name="_Toc259093692"/>
      <w:bookmarkStart w:id="177" w:name="_Toc487900373"/>
      <w:bookmarkStart w:id="178" w:name="_Toc18567"/>
      <w:bookmarkStart w:id="179" w:name="_Toc12773"/>
      <w:bookmarkStart w:id="180" w:name="_Toc10330"/>
      <w:r>
        <w:rPr>
          <w:rFonts w:hint="eastAsia" w:ascii="宋体" w:hAnsi="宋体" w:cs="宋体"/>
          <w:b/>
          <w:color w:val="000000" w:themeColor="text1"/>
          <w:sz w:val="24"/>
          <w14:textFill>
            <w14:solidFill>
              <w14:schemeClr w14:val="tx1"/>
            </w14:solidFill>
          </w14:textFill>
        </w:rPr>
        <w:t>2.19 合同使用的文字和适用的法律</w:t>
      </w:r>
      <w:bookmarkEnd w:id="175"/>
      <w:bookmarkEnd w:id="176"/>
      <w:bookmarkEnd w:id="177"/>
      <w:bookmarkEnd w:id="178"/>
      <w:bookmarkEnd w:id="179"/>
      <w:bookmarkEnd w:id="180"/>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2.19.1 合同使用汉语书就、变更和解释；</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2.19.2 合同适用中华人民共和国法律。</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181" w:name="_Toc6885"/>
      <w:bookmarkStart w:id="182" w:name="_Toc19890"/>
      <w:bookmarkStart w:id="183" w:name="_Toc14001"/>
      <w:r>
        <w:rPr>
          <w:rFonts w:hint="eastAsia" w:ascii="宋体" w:hAnsi="宋体" w:cs="宋体"/>
          <w:b/>
          <w:color w:val="000000" w:themeColor="text1"/>
          <w:sz w:val="24"/>
          <w14:textFill>
            <w14:solidFill>
              <w14:schemeClr w14:val="tx1"/>
            </w14:solidFill>
          </w14:textFill>
        </w:rPr>
        <w:t>2.20 合同份数</w:t>
      </w:r>
      <w:bookmarkEnd w:id="181"/>
      <w:bookmarkEnd w:id="182"/>
      <w:bookmarkEnd w:id="183"/>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合同份数按</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规定，每份均具有同等法律效力。</w:t>
      </w:r>
    </w:p>
    <w:p>
      <w:pPr>
        <w:adjustRightInd/>
        <w:spacing w:line="360" w:lineRule="auto"/>
        <w:ind w:firstLine="2513" w:firstLineChars="1197"/>
        <w:outlineLvl w:val="0"/>
        <w:rPr>
          <w:rFonts w:ascii="宋体" w:hAnsi="宋体" w:cs="宋体"/>
          <w:b/>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br w:type="page"/>
      </w:r>
      <w:r>
        <w:rPr>
          <w:rFonts w:hint="eastAsia" w:ascii="宋体" w:hAnsi="宋体" w:cs="宋体"/>
          <w:b/>
          <w:color w:val="000000" w:themeColor="text1"/>
          <w:sz w:val="32"/>
          <w:szCs w:val="20"/>
          <w14:textFill>
            <w14:solidFill>
              <w14:schemeClr w14:val="tx1"/>
            </w14:solidFill>
          </w14:textFill>
        </w:rPr>
        <w:t xml:space="preserve"> 第三部分  合同专用条款</w:t>
      </w:r>
    </w:p>
    <w:p>
      <w:pPr>
        <w:spacing w:line="560" w:lineRule="exact"/>
        <w:ind w:left="-420" w:leftChars="-200" w:right="-420" w:rightChars="-200"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4534" w:type="pct"/>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1.4.2</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1.5.1</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1.5.2 </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1.5.3</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1.6.2</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1.7.1</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1.7.2</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1.7.3</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1.8.6</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w:t>
            </w:r>
          </w:p>
        </w:tc>
        <w:tc>
          <w:tcPr>
            <w:tcW w:w="4534" w:type="pct"/>
            <w:vAlign w:val="center"/>
          </w:tcPr>
          <w:p>
            <w:pPr>
              <w:spacing w:line="360" w:lineRule="auto"/>
              <w:ind w:left="-420" w:leftChars="-200" w:right="-420" w:rightChars="-200" w:firstLine="480" w:firstLineChars="200"/>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2.4.1</w:t>
            </w:r>
          </w:p>
        </w:tc>
        <w:tc>
          <w:tcPr>
            <w:tcW w:w="4534" w:type="pct"/>
            <w:vAlign w:val="center"/>
          </w:tcPr>
          <w:p>
            <w:pPr>
              <w:spacing w:line="360" w:lineRule="auto"/>
              <w:ind w:left="-420" w:leftChars="-200" w:right="-420" w:rightChars="-200" w:firstLine="480" w:firstLineChars="200"/>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2.4.3</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2.8 </w:t>
            </w:r>
          </w:p>
        </w:tc>
        <w:tc>
          <w:tcPr>
            <w:tcW w:w="4534" w:type="pct"/>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2.12.3</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2.12.4</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2.16.1</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2.16.3</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2.20 </w:t>
            </w:r>
          </w:p>
        </w:tc>
        <w:tc>
          <w:tcPr>
            <w:tcW w:w="4534" w:type="pct"/>
            <w:vAlign w:val="center"/>
          </w:tcPr>
          <w:p>
            <w:pPr>
              <w:spacing w:line="360" w:lineRule="auto"/>
              <w:rPr>
                <w:rFonts w:ascii="宋体" w:hAnsi="宋体" w:cs="宋体"/>
                <w:color w:val="000000" w:themeColor="text1"/>
                <w:sz w:val="24"/>
                <w14:textFill>
                  <w14:solidFill>
                    <w14:schemeClr w14:val="tx1"/>
                  </w14:solidFill>
                </w14:textFill>
              </w:rPr>
            </w:pPr>
          </w:p>
        </w:tc>
      </w:tr>
    </w:tbl>
    <w:p>
      <w:pPr>
        <w:spacing w:line="360" w:lineRule="auto"/>
        <w:ind w:left="-420" w:leftChars="-200" w:right="-420" w:rightChars="-200" w:firstLine="480" w:firstLineChars="200"/>
        <w:rPr>
          <w:rFonts w:ascii="宋体" w:hAnsi="宋体" w:cs="宋体"/>
          <w:color w:val="000000" w:themeColor="text1"/>
          <w:sz w:val="24"/>
          <w14:textFill>
            <w14:solidFill>
              <w14:schemeClr w14:val="tx1"/>
            </w14:solidFill>
          </w14:textFill>
        </w:rPr>
      </w:pPr>
    </w:p>
    <w:p>
      <w:pPr>
        <w:spacing w:line="360" w:lineRule="auto"/>
        <w:ind w:left="-420" w:leftChars="-200" w:right="-420" w:rightChars="-200"/>
        <w:rPr>
          <w:rFonts w:ascii="宋体" w:hAnsi="宋体" w:cs="宋体"/>
          <w:color w:val="000000" w:themeColor="text1"/>
          <w:sz w:val="24"/>
          <w14:textFill>
            <w14:solidFill>
              <w14:schemeClr w14:val="tx1"/>
            </w14:solidFill>
          </w14:textFill>
        </w:rPr>
      </w:pPr>
    </w:p>
    <w:p>
      <w:pPr>
        <w:pStyle w:val="711"/>
        <w:ind w:firstLine="480"/>
      </w:pPr>
    </w:p>
    <w:p>
      <w:pPr>
        <w:rPr>
          <w:color w:val="000000" w:themeColor="text1"/>
          <w14:textFill>
            <w14:solidFill>
              <w14:schemeClr w14:val="tx1"/>
            </w14:solidFill>
          </w14:textFill>
        </w:rPr>
      </w:pPr>
    </w:p>
    <w:p>
      <w:pPr>
        <w:widowControl/>
        <w:adjustRightInd/>
        <w:jc w:val="left"/>
        <w:rPr>
          <w:rFonts w:ascii="宋体" w:hAnsi="宋体" w:cs="宋体"/>
          <w:b/>
          <w:color w:val="000000" w:themeColor="text1"/>
          <w:sz w:val="36"/>
          <w:szCs w:val="20"/>
          <w14:textFill>
            <w14:solidFill>
              <w14:schemeClr w14:val="tx1"/>
            </w14:solidFill>
          </w14:textFill>
        </w:rPr>
      </w:pPr>
      <w:r>
        <w:rPr>
          <w:rFonts w:ascii="宋体" w:hAnsi="宋体" w:cs="宋体"/>
          <w:b/>
          <w:color w:val="000000" w:themeColor="text1"/>
          <w:sz w:val="36"/>
          <w:szCs w:val="20"/>
          <w14:textFill>
            <w14:solidFill>
              <w14:schemeClr w14:val="tx1"/>
            </w14:solidFill>
          </w14:textFill>
        </w:rPr>
        <w:br w:type="page"/>
      </w:r>
    </w:p>
    <w:p>
      <w:pPr>
        <w:spacing w:line="360" w:lineRule="auto"/>
        <w:ind w:left="720" w:firstLine="723" w:firstLineChars="200"/>
        <w:outlineLvl w:val="0"/>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第六部分</w:t>
      </w:r>
      <w:bookmarkEnd w:id="33"/>
      <w:r>
        <w:rPr>
          <w:rFonts w:hint="eastAsia" w:ascii="宋体" w:hAnsi="宋体" w:cs="宋体"/>
          <w:b/>
          <w:color w:val="000000" w:themeColor="text1"/>
          <w:sz w:val="36"/>
          <w:szCs w:val="20"/>
          <w14:textFill>
            <w14:solidFill>
              <w14:schemeClr w14:val="tx1"/>
            </w14:solidFill>
          </w14:textFill>
        </w:rPr>
        <w:t xml:space="preserve"> </w:t>
      </w:r>
      <w:bookmarkEnd w:id="34"/>
      <w:r>
        <w:rPr>
          <w:rFonts w:hint="eastAsia" w:ascii="宋体" w:hAnsi="宋体" w:cs="宋体"/>
          <w:b/>
          <w:color w:val="000000" w:themeColor="text1"/>
          <w:sz w:val="36"/>
          <w:szCs w:val="20"/>
          <w14:textFill>
            <w14:solidFill>
              <w14:schemeClr w14:val="tx1"/>
            </w14:solidFill>
          </w14:textFill>
        </w:rPr>
        <w:t>应提交的有关格式范例</w:t>
      </w:r>
    </w:p>
    <w:p>
      <w:pPr>
        <w:pStyle w:val="84"/>
      </w:pP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资格文件部分</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目录</w:t>
      </w:r>
    </w:p>
    <w:p>
      <w:pPr>
        <w:pStyle w:val="84"/>
      </w:pP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（1）符合参加政府采购活动应当具备的一般条件的承诺函……………（页码）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（2）联合协议</w:t>
      </w:r>
      <w:r>
        <w:rPr>
          <w:rFonts w:hint="eastAsia" w:ascii="宋体" w:hAnsi="宋体" w:cs="宋体"/>
          <w:color w:val="000000" w:themeColor="text1"/>
          <w:sz w:val="24"/>
          <w14:textFill>
            <w14:solidFill>
              <w14:schemeClr w14:val="tx1"/>
            </w14:solidFill>
          </w14:textFill>
        </w:rPr>
        <w:t>………………………………………………………………（页码）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）落实政府采购政策需满足的资格要求………………………………（页码）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）本项目的特定资格要求………………………………………………（页码）</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br w:type="page"/>
      </w:r>
      <w:r>
        <w:rPr>
          <w:rFonts w:hint="eastAsia" w:ascii="宋体" w:hAnsi="宋体" w:cs="宋体"/>
          <w:b/>
          <w:color w:val="000000" w:themeColor="text1"/>
          <w:kern w:val="0"/>
          <w:sz w:val="32"/>
          <w:szCs w:val="32"/>
          <w14:textFill>
            <w14:solidFill>
              <w14:schemeClr w14:val="tx1"/>
            </w14:solidFill>
          </w14:textFill>
        </w:rPr>
        <w:t xml:space="preserve">  一、 符合参加政府采购活动应当具备的一般条件的承诺函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我方参与（项目名称）【招标编号：（采购编号）】政府采购活动，郑重承诺：</w:t>
      </w:r>
    </w:p>
    <w:p>
      <w:pPr>
        <w:snapToGrid w:val="0"/>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6、具有法律、行政法规规定的其他条件。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（三）不存在以下情况：</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日期</w:t>
      </w:r>
      <w:r>
        <w:rPr>
          <w:rFonts w:hint="eastAsia" w:ascii="宋体" w:hAnsi="宋体" w:cs="宋体"/>
          <w:color w:val="000000" w:themeColor="text1"/>
          <w:kern w:val="0"/>
          <w:sz w:val="24"/>
          <w14:textFill>
            <w14:solidFill>
              <w14:schemeClr w14:val="tx1"/>
            </w14:solidFill>
          </w14:textFill>
        </w:rPr>
        <w:t xml:space="preserve">：  年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firstLine="643" w:firstLineChars="20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firstLine="643" w:firstLineChars="20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二、联合协议（如果有）</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三、落实政府采购政策需满足的资格要求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.专门面向中小企业，货物全部由符合政策要求的中小企业（或小微企业）制造的，提供相应的中小企业声明函（附件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 xml:space="preserve">）。 </w:t>
      </w:r>
    </w:p>
    <w:p>
      <w:pPr>
        <w:widowControl/>
        <w:spacing w:line="360" w:lineRule="auto"/>
        <w:ind w:firstLine="480"/>
        <w:jc w:val="left"/>
        <w:rPr>
          <w:rFonts w:ascii="宋体" w:hAnsi="宋体" w:cs="宋体"/>
          <w:color w:val="000000" w:themeColor="text1"/>
          <w:sz w:val="24"/>
          <w14:textFill>
            <w14:solidFill>
              <w14:schemeClr w14:val="tx1"/>
            </w14:solidFill>
          </w14:textFill>
        </w:rPr>
      </w:pPr>
    </w:p>
    <w:p>
      <w:pPr>
        <w:widowControl/>
        <w:spacing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B.</w:t>
      </w:r>
      <w:r>
        <w:rPr>
          <w:rFonts w:hint="eastAsia" w:ascii="宋体" w:hAnsi="宋体" w:cs="宋体"/>
          <w:color w:val="000000" w:themeColor="text1"/>
          <w:sz w:val="24"/>
          <w14:textFill>
            <w14:solidFill>
              <w14:schemeClr w14:val="tx1"/>
            </w14:solidFill>
          </w14:textFill>
        </w:rPr>
        <w:t>要求以联合体形式参加的，提供联合协议（附件</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）和中小企业声明函（附件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），联合协议中中小企业合同金额应当达到招标公告载明的比例；如果供应商本身提供所有标的均由中小企业制造的，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C、</w:t>
      </w:r>
      <w:r>
        <w:rPr>
          <w:rFonts w:hint="eastAsia" w:ascii="宋体" w:hAnsi="宋体" w:cs="宋体"/>
          <w:color w:val="000000" w:themeColor="text1"/>
          <w:sz w:val="24"/>
          <w14:textFill>
            <w14:solidFill>
              <w14:schemeClr w14:val="tx1"/>
            </w14:solidFill>
          </w14:textFill>
        </w:rPr>
        <w:t>要求合同分包的，提供分包意向协议（附件6）和中小企业声明函（附件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），分包意向协议中中小企业合同金额应当达到招标公告载明的比例；如果供应商本身提供所有标的均由中小企业制造的，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四、本项目的特定资格要求</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（根据招标公告本项目的特定资格要求提供相应的材料；未要求的，无需提供）</w:t>
      </w:r>
    </w:p>
    <w:p>
      <w:pPr>
        <w:rPr>
          <w:rFonts w:ascii="宋体" w:hAnsi="宋体" w:cs="宋体"/>
          <w:color w:val="000000" w:themeColor="text1"/>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目录</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（1）投标函</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（2）授权委托书或法定代表人（单位负责人、自然人本人）身份证明</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color w:val="000000" w:themeColor="text1"/>
          <w14:textFill>
            <w14:solidFill>
              <w14:schemeClr w14:val="tx1"/>
            </w14:solidFill>
          </w14:textFill>
        </w:rPr>
        <w:t>…………………………………………………………………………（页码）</w:t>
      </w:r>
    </w:p>
    <w:p>
      <w:pPr>
        <w:snapToGrid w:val="0"/>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r>
        <w:rPr>
          <w:rFonts w:hint="eastAsia" w:ascii="宋体" w:hAnsi="宋体" w:cs="宋体"/>
          <w:color w:val="000000" w:themeColor="text1"/>
          <w14:textFill>
            <w14:solidFill>
              <w14:schemeClr w14:val="tx1"/>
            </w14:solidFill>
          </w14:textFill>
        </w:rPr>
        <w:t>…………………………………………………（页码）</w:t>
      </w: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pStyle w:val="84"/>
      </w:pPr>
    </w:p>
    <w:p>
      <w:pPr>
        <w:pStyle w:val="84"/>
      </w:pPr>
    </w:p>
    <w:p>
      <w:pPr>
        <w:pStyle w:val="84"/>
      </w:pPr>
    </w:p>
    <w:p>
      <w:pPr>
        <w:pStyle w:val="84"/>
      </w:pPr>
    </w:p>
    <w:p>
      <w:pPr>
        <w:pStyle w:val="84"/>
      </w:pPr>
    </w:p>
    <w:p>
      <w:pPr>
        <w:pStyle w:val="84"/>
      </w:pPr>
    </w:p>
    <w:p>
      <w:pPr>
        <w:pStyle w:val="84"/>
      </w:pPr>
    </w:p>
    <w:p>
      <w:pPr>
        <w:pStyle w:val="84"/>
      </w:pPr>
    </w:p>
    <w:p>
      <w:pPr>
        <w:pStyle w:val="84"/>
      </w:pPr>
    </w:p>
    <w:p>
      <w:pPr>
        <w:pStyle w:val="84"/>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snapToGrid w:val="0"/>
        <w:spacing w:line="360" w:lineRule="auto"/>
        <w:ind w:firstLine="3855" w:firstLineChars="1200"/>
        <w:outlineLvl w:val="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一、投标</w:t>
      </w:r>
      <w:r>
        <w:rPr>
          <w:rFonts w:hint="eastAsia" w:ascii="宋体" w:hAnsi="宋体" w:cs="宋体"/>
          <w:b/>
          <w:color w:val="000000" w:themeColor="text1"/>
          <w:sz w:val="32"/>
          <w:szCs w:val="32"/>
          <w14:textFill>
            <w14:solidFill>
              <w14:schemeClr w14:val="tx1"/>
            </w14:solidFill>
          </w14:textFill>
        </w:rPr>
        <w:t>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1、我方承诺投标有效期从提交投标文件的截止之日起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天（不少于90天）</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本投标文件在投标有效期满之前均具有约束力。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2、我方的投标文件包括以下内容：</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2.1资格文件：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2.1.1承诺函；</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r>
        <w:rPr>
          <w:rFonts w:hint="eastAsia" w:ascii="宋体" w:hAnsi="宋体" w:cs="宋体"/>
          <w:snapToGrid w:val="0"/>
          <w:color w:val="000000" w:themeColor="text1"/>
          <w:kern w:val="28"/>
          <w:sz w:val="24"/>
          <w:szCs w:val="20"/>
          <w14:textFill>
            <w14:solidFill>
              <w14:schemeClr w14:val="tx1"/>
            </w14:solidFill>
          </w14:textFill>
        </w:rPr>
        <w:t>联合协议（如果有)；</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.1.3</w:t>
      </w:r>
      <w:r>
        <w:rPr>
          <w:rFonts w:hint="eastAsia" w:ascii="宋体" w:hAnsi="宋体" w:cs="宋体"/>
          <w:color w:val="000000" w:themeColor="text1"/>
          <w:sz w:val="24"/>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210" w:leftChars="1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left="420" w:leftChars="2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3报价文件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2.3.1开标一览表（报价表）；</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2.3.2中小企业声明函（如果有）。</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4、如我方中标，我方承诺：</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5、其他补充说明:</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360" w:lineRule="auto"/>
        <w:ind w:firstLine="3600" w:firstLineChars="15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投标人名称（电子签名）：                          </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napToGrid w:val="0"/>
        <w:spacing w:line="360" w:lineRule="auto"/>
        <w:ind w:left="420" w:leftChars="200" w:firstLine="4200" w:firstLineChars="1750"/>
        <w:rPr>
          <w:rFonts w:ascii="宋体" w:hAnsi="宋体" w:cs="宋体"/>
          <w:color w:val="000000" w:themeColor="text1"/>
          <w:kern w:val="0"/>
          <w:sz w:val="24"/>
          <w:u w:val="single"/>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jc w:val="center"/>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2872" w:firstLineChars="894"/>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授权委托书（适用于非联合体投标）</w:t>
      </w:r>
      <w:r>
        <w:rPr>
          <w:rFonts w:hint="eastAsia" w:ascii="宋体" w:hAnsi="宋体" w:cs="宋体"/>
          <w:color w:val="000000" w:themeColor="text1"/>
          <w14:textFill>
            <w14:solidFill>
              <w14:schemeClr w14:val="tx1"/>
            </w14:solidFill>
          </w14:textFill>
        </w:rPr>
        <w:t xml:space="preserve">                               </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 xml:space="preserve">      </w:t>
      </w:r>
      <w:r>
        <w:rPr>
          <w:rFonts w:hint="eastAsia" w:ascii="宋体" w:hAnsi="宋体" w:cs="宋体"/>
          <w:b/>
          <w:color w:val="000000" w:themeColor="text1"/>
          <w:kern w:val="0"/>
          <w:sz w:val="32"/>
          <w:szCs w:val="32"/>
          <w14:textFill>
            <w14:solidFill>
              <w14:schemeClr w14:val="tx1"/>
            </w14:solidFill>
          </w14:textFill>
        </w:rPr>
        <w:t xml:space="preserve"> </w:t>
      </w:r>
      <w:r>
        <w:rPr>
          <w:rFonts w:hint="eastAsia" w:ascii="宋体" w:hAnsi="宋体" w:cs="宋体"/>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法定代表人、单位负责人或自然人本人</w:t>
      </w:r>
      <w:r>
        <w:rPr>
          <w:rFonts w:hint="eastAsia" w:ascii="宋体" w:hAnsi="宋体" w:cs="宋体"/>
          <w:b/>
          <w:color w:val="000000" w:themeColor="text1"/>
          <w:sz w:val="30"/>
          <w:szCs w:val="30"/>
          <w14:textFill>
            <w14:solidFill>
              <w14:schemeClr w14:val="tx1"/>
            </w14:solidFill>
          </w14:textFill>
        </w:rPr>
        <w:t>的身份证明（适用于法定代表人、单位负责人或者自然人本人代表投标人参加投标）</w:t>
      </w:r>
    </w:p>
    <w:p>
      <w:pPr>
        <w:pStyle w:val="148"/>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正面：                                 反面：</w:t>
            </w:r>
          </w:p>
          <w:p>
            <w:pPr>
              <w:pStyle w:val="148"/>
              <w:adjustRightInd w:val="0"/>
              <w:spacing w:line="360" w:lineRule="auto"/>
              <w:rPr>
                <w:rFonts w:hAnsi="宋体" w:cs="宋体"/>
                <w:bCs/>
                <w:color w:val="000000" w:themeColor="text1"/>
                <w:sz w:val="24"/>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                              </w:t>
      </w:r>
    </w:p>
    <w:p>
      <w:pPr>
        <w:spacing w:line="360" w:lineRule="auto"/>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docGrid w:linePitch="312" w:charSpace="0"/>
        </w:sect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三、分包意向协议（如果有）</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bookmarkStart w:id="184" w:name="_Hlk101169080"/>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中标后以分包方式履行合同的，提供分包意向协议(附件6</w:t>
      </w:r>
      <w:r>
        <w:rPr>
          <w:rFonts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bookmarkEnd w:id="184"/>
    <w:p>
      <w:pPr>
        <w:pStyle w:val="84"/>
      </w:pPr>
    </w:p>
    <w:p>
      <w:pPr>
        <w:pStyle w:val="84"/>
        <w:rPr>
          <w:b/>
          <w:sz w:val="32"/>
          <w:szCs w:val="32"/>
        </w:rPr>
      </w:pPr>
    </w:p>
    <w:p>
      <w:pPr>
        <w:pStyle w:val="84"/>
      </w:pPr>
    </w:p>
    <w:p>
      <w:pPr>
        <w:pStyle w:val="84"/>
      </w:pPr>
    </w:p>
    <w:p>
      <w:pPr>
        <w:pStyle w:val="84"/>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四、符合性审查资料</w:t>
      </w:r>
    </w:p>
    <w:p>
      <w:pPr>
        <w:jc w:val="center"/>
        <w:rPr>
          <w:rFonts w:ascii="宋体" w:hAnsi="宋体" w:cs="宋体"/>
          <w:b/>
          <w:color w:val="000000" w:themeColor="text1"/>
          <w:kern w:val="0"/>
          <w:sz w:val="32"/>
          <w:szCs w:val="32"/>
          <w14:textFill>
            <w14:solidFill>
              <w14:schemeClr w14:val="tx1"/>
            </w14:solidFill>
          </w14:textFill>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投标文件按照招标文件要求签署、盖章。</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需要使用电子签名或者签字盖章的投标文件的组成部分</w:t>
            </w:r>
          </w:p>
        </w:tc>
        <w:tc>
          <w:tcPr>
            <w:tcW w:w="1418" w:type="dxa"/>
          </w:tcPr>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投标文件中承诺的投标有效期不少于招标文件中载明的投标有效期。</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投标函</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投标文件满足招标文件的其它实质性要求。</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招标文件其它实质性要求相应的材料（“▲” 系指实质性要求条款，招标文件无其它实质性要求的，无需提供）</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 xml:space="preserve">            </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jc w:val="center"/>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五、评标标准相应的商务技术资料</w:t>
      </w:r>
    </w:p>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（按招标文件第四部分评标办法前附表中“投标文件中评标标准相应的商务技术资料目录”提供资料。）</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ind w:firstLine="2891" w:firstLineChars="9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六、投标标的清单</w:t>
      </w:r>
    </w:p>
    <w:tbl>
      <w:tblPr>
        <w:tblStyle w:val="6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序号</w:t>
            </w:r>
          </w:p>
        </w:tc>
        <w:tc>
          <w:tcPr>
            <w:tcW w:w="3683"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招标文件章节及具体内容</w:t>
            </w:r>
          </w:p>
        </w:tc>
        <w:tc>
          <w:tcPr>
            <w:tcW w:w="354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投标文件章节及具体内容</w:t>
            </w:r>
          </w:p>
        </w:tc>
        <w:tc>
          <w:tcPr>
            <w:tcW w:w="127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bl>
    <w:p>
      <w:pPr>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宋体" w:hAnsi="宋体" w:cs="宋体"/>
          <w:b/>
          <w:color w:val="000000" w:themeColor="text1"/>
          <w:kern w:val="0"/>
          <w:sz w:val="32"/>
          <w:szCs w:val="32"/>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widowControl/>
        <w:adjustRightInd/>
        <w:jc w:val="left"/>
        <w:rPr>
          <w:rFonts w:ascii="宋体" w:hAnsi="宋体" w:cs="宋体"/>
          <w:b/>
          <w:bCs/>
          <w:color w:val="000000" w:themeColor="text1"/>
          <w:sz w:val="32"/>
          <w:szCs w:val="32"/>
          <w14:textFill>
            <w14:solidFill>
              <w14:schemeClr w14:val="tx1"/>
            </w14:solidFill>
          </w14:textFill>
        </w:rPr>
      </w:pPr>
      <w:r>
        <w:rPr>
          <w:rFonts w:ascii="宋体" w:hAnsi="宋体" w:cs="宋体"/>
          <w:b/>
          <w:bCs/>
          <w:color w:val="000000" w:themeColor="text1"/>
          <w:sz w:val="32"/>
          <w:szCs w:val="32"/>
          <w14:textFill>
            <w14:solidFill>
              <w14:schemeClr w14:val="tx1"/>
            </w14:solidFill>
          </w14:textFill>
        </w:rPr>
        <w:br w:type="page"/>
      </w:r>
    </w:p>
    <w:p>
      <w:pPr>
        <w:ind w:firstLine="1911" w:firstLineChars="595"/>
        <w:rPr>
          <w:rFonts w:ascii="宋体" w:hAnsi="宋体" w:cs="宋体"/>
          <w:b/>
          <w:color w:val="000000" w:themeColor="text1"/>
          <w:kern w:val="0"/>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八</w:t>
      </w:r>
      <w:r>
        <w:rPr>
          <w:rFonts w:hint="eastAsia" w:ascii="宋体" w:hAnsi="宋体" w:cs="宋体"/>
          <w:b/>
          <w:color w:val="000000" w:themeColor="text1"/>
          <w:kern w:val="0"/>
          <w:sz w:val="32"/>
          <w:szCs w:val="32"/>
          <w14:textFill>
            <w14:solidFill>
              <w14:schemeClr w14:val="tx1"/>
            </w14:solidFill>
          </w14:textFill>
        </w:rPr>
        <w:t>、</w:t>
      </w:r>
      <w:r>
        <w:rPr>
          <w:rFonts w:hint="eastAsia" w:ascii="宋体" w:hAnsi="宋体" w:cs="宋体"/>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我单位响应你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好处；</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六、严格遵守《</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政府采购法》《</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招标投标</w:t>
      </w:r>
    </w:p>
    <w:p>
      <w:pPr>
        <w:autoSpaceDE w:val="0"/>
        <w:autoSpaceDN w:val="0"/>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法》</w:t>
      </w:r>
      <w:r>
        <w:rPr>
          <w:rFonts w:hint="eastAsia" w:ascii="宋体" w:hAnsi="宋体" w:cs="宋体"/>
          <w:color w:val="000000" w:themeColor="text1"/>
          <w:sz w:val="24"/>
          <w:lang w:val="zh-CN"/>
          <w14:textFill>
            <w14:solidFill>
              <w14:schemeClr w14:val="tx1"/>
            </w14:solidFill>
          </w14:textFill>
        </w:rPr>
        <w:t>《中华人民共和国民法典》</w:t>
      </w:r>
      <w:r>
        <w:rPr>
          <w:rFonts w:hint="eastAsia" w:ascii="宋体" w:hAnsi="宋体" w:cs="宋体"/>
          <w:color w:val="000000" w:themeColor="text1"/>
          <w:kern w:val="0"/>
          <w:sz w:val="24"/>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如违反上述承诺，你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w:t>
      </w:r>
      <w:r>
        <w:rPr>
          <w:rFonts w:hint="eastAsia" w:ascii="宋体" w:hAnsi="宋体" w:cs="宋体"/>
          <w:color w:val="000000" w:themeColor="text1"/>
          <w:sz w:val="24"/>
          <w14:textFill>
            <w14:solidFill>
              <w14:schemeClr w14:val="tx1"/>
            </w14:solidFill>
          </w14:textFill>
        </w:rPr>
        <w:t>电子签名</w:t>
      </w:r>
      <w:r>
        <w:rPr>
          <w:rFonts w:hint="eastAsia" w:ascii="宋体" w:hAnsi="宋体" w:cs="宋体"/>
          <w:color w:val="000000" w:themeColor="text1"/>
          <w:kern w:val="0"/>
          <w:sz w:val="24"/>
          <w:lang w:val="zh-CN"/>
          <w14:textFill>
            <w14:solidFill>
              <w14:schemeClr w14:val="tx1"/>
            </w14:solidFill>
          </w14:textFill>
        </w:rPr>
        <w:t xml:space="preserve">）：                                                                                                                                                                                                               </w:t>
      </w:r>
    </w:p>
    <w:p>
      <w:pPr>
        <w:spacing w:line="360" w:lineRule="auto"/>
        <w:ind w:left="4620" w:leftChars="2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 xml:space="preserve">   年   月   日</w:t>
      </w:r>
    </w:p>
    <w:p>
      <w:pPr>
        <w:spacing w:line="360" w:lineRule="auto"/>
        <w:jc w:val="center"/>
        <w:rPr>
          <w:rFonts w:ascii="宋体" w:hAnsi="宋体" w:cs="宋体"/>
          <w:b/>
          <w:bCs/>
          <w:color w:val="000000" w:themeColor="text1"/>
          <w:sz w:val="24"/>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pacing w:line="360" w:lineRule="auto"/>
        <w:jc w:val="center"/>
        <w:rPr>
          <w:rFonts w:ascii="宋体" w:hAnsi="宋体" w:cs="宋体"/>
          <w:b/>
          <w:bCs/>
          <w:color w:val="000000" w:themeColor="text1"/>
          <w:sz w:val="24"/>
          <w14:textFill>
            <w14:solidFill>
              <w14:schemeClr w14:val="tx1"/>
            </w14:solidFill>
          </w14:textFill>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docGrid w:linePitch="312" w:charSpace="0"/>
        </w:sectPr>
      </w:pP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报价文件部分</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目录</w:t>
      </w:r>
    </w:p>
    <w:p>
      <w:pPr>
        <w:pStyle w:val="84"/>
      </w:pP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（1）开标一览表（报价表）………………………………………………………（页码）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（2）中小企业声明函………………………………………………………………（页码）</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一、开标一览表（报价表）</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kern w:val="0"/>
          <w:sz w:val="24"/>
          <w:lang w:val="zh-CN"/>
          <w14:textFill>
            <w14:solidFill>
              <w14:schemeClr w14:val="tx1"/>
            </w14:solidFill>
          </w14:textFill>
        </w:rPr>
        <w:t>【招标编号：</w:t>
      </w:r>
      <w:r>
        <w:rPr>
          <w:rFonts w:hint="eastAsia" w:ascii="宋体" w:hAnsi="宋体" w:cs="宋体"/>
          <w:color w:val="000000" w:themeColor="text1"/>
          <w:sz w:val="24"/>
          <w14:textFill>
            <w14:solidFill>
              <w14:schemeClr w14:val="tx1"/>
            </w14:solidFill>
          </w14:textFill>
        </w:rPr>
        <w:t>（采购编号）】的实施</w:t>
      </w: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开标一览表（报价表）(单位均为人民币元)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417"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1843" w:type="dxa"/>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品牌（如果有）</w:t>
            </w:r>
          </w:p>
        </w:tc>
        <w:tc>
          <w:tcPr>
            <w:tcW w:w="3118"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规格型号</w:t>
            </w:r>
          </w:p>
        </w:tc>
        <w:tc>
          <w:tcPr>
            <w:tcW w:w="993"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数量</w:t>
            </w:r>
          </w:p>
        </w:tc>
        <w:tc>
          <w:tcPr>
            <w:tcW w:w="1559"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单价</w:t>
            </w:r>
          </w:p>
        </w:tc>
        <w:tc>
          <w:tcPr>
            <w:tcW w:w="1984"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合计</w:t>
            </w:r>
          </w:p>
        </w:tc>
        <w:tc>
          <w:tcPr>
            <w:tcW w:w="3119" w:type="dxa"/>
            <w:vAlign w:val="center"/>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备注（如果有）</w:t>
            </w:r>
          </w:p>
          <w:p>
            <w:pPr>
              <w:spacing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X</w:t>
            </w:r>
            <w:r>
              <w:rPr>
                <w:rFonts w:ascii="宋体" w:hAnsi="宋体" w:cs="宋体"/>
                <w:color w:val="000000" w:themeColor="text1"/>
                <w:sz w:val="24"/>
                <w14:textFill>
                  <w14:solidFill>
                    <w14:schemeClr w14:val="tx1"/>
                  </w14:solidFill>
                </w14:textFill>
              </w:rPr>
              <w:t>X</w:t>
            </w: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X</w:t>
            </w:r>
            <w:r>
              <w:rPr>
                <w:rFonts w:ascii="宋体" w:hAnsi="宋体" w:cs="宋体"/>
                <w:color w:val="000000" w:themeColor="text1"/>
                <w:sz w:val="24"/>
                <w14:textFill>
                  <w14:solidFill>
                    <w14:schemeClr w14:val="tx1"/>
                  </w14:solidFill>
                </w14:textFill>
              </w:rPr>
              <w:t>X</w:t>
            </w: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投标报价（小写）</w:t>
            </w:r>
          </w:p>
        </w:tc>
        <w:tc>
          <w:tcPr>
            <w:tcW w:w="7655" w:type="dxa"/>
            <w:gridSpan w:val="4"/>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投标报价（大写）</w:t>
            </w:r>
          </w:p>
        </w:tc>
        <w:tc>
          <w:tcPr>
            <w:tcW w:w="7655" w:type="dxa"/>
            <w:gridSpan w:val="4"/>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napToGrid w:val="0"/>
        <w:spacing w:line="360" w:lineRule="auto"/>
        <w:ind w:left="480"/>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注：</w:t>
      </w:r>
    </w:p>
    <w:p>
      <w:pPr>
        <w:spacing w:line="360" w:lineRule="auto"/>
        <w:ind w:left="-2" w:leftChars="-1"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1、投标人需按本表格式填写</w:t>
      </w:r>
      <w:r>
        <w:rPr>
          <w:rFonts w:hint="eastAsia" w:ascii="宋体" w:hAnsi="宋体" w:cs="宋体"/>
          <w:b/>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否则视为</w:t>
      </w:r>
      <w:r>
        <w:rPr>
          <w:rFonts w:hint="eastAsia" w:ascii="宋体" w:hAnsi="宋体" w:cs="宋体"/>
          <w:b/>
          <w:color w:val="000000" w:themeColor="text1"/>
          <w:sz w:val="24"/>
          <w14:textFill>
            <w14:solidFill>
              <w14:schemeClr w14:val="tx1"/>
            </w14:solidFill>
          </w14:textFill>
        </w:rPr>
        <w:t>投标文件含有采购人不能接受的附加条件，投标无效</w:t>
      </w:r>
      <w:r>
        <w:rPr>
          <w:rFonts w:hint="eastAsia" w:ascii="宋体" w:hAnsi="宋体" w:cs="宋体"/>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2、有关本项目实施所涉及的一切费用均计入报价。</w:t>
      </w:r>
      <w:r>
        <w:rPr>
          <w:rFonts w:hint="eastAsia" w:ascii="宋体" w:hAnsi="宋体" w:cs="宋体"/>
          <w:b/>
          <w:color w:val="000000" w:themeColor="text1"/>
          <w:kern w:val="0"/>
          <w:sz w:val="24"/>
          <w:lang w:val="zh-CN"/>
          <w14:textFill>
            <w14:solidFill>
              <w14:schemeClr w14:val="tx1"/>
            </w14:solidFill>
          </w14:textFill>
        </w:rPr>
        <w:t>采购人将以合同形式有偿取得货物或服务，不接受投标人给予的赠品、回扣或者与采购无关的其他商品、服务</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不得出现“0元”“免费赠送”等形式的无偿报价，</w:t>
      </w:r>
      <w:r>
        <w:rPr>
          <w:rFonts w:hint="eastAsia" w:ascii="宋体" w:hAnsi="宋体" w:cs="宋体"/>
          <w:b/>
          <w:color w:val="000000" w:themeColor="text1"/>
          <w:kern w:val="0"/>
          <w:sz w:val="24"/>
          <w14:textFill>
            <w14:solidFill>
              <w14:schemeClr w14:val="tx1"/>
            </w14:solidFill>
          </w14:textFill>
        </w:rPr>
        <w:t>否则视为</w:t>
      </w:r>
      <w:r>
        <w:rPr>
          <w:rFonts w:hint="eastAsia" w:ascii="宋体" w:hAnsi="宋体" w:cs="宋体"/>
          <w:b/>
          <w:color w:val="000000" w:themeColor="text1"/>
          <w:sz w:val="24"/>
          <w14:textFill>
            <w14:solidFill>
              <w14:schemeClr w14:val="tx1"/>
            </w14:solidFill>
          </w14:textFill>
        </w:rPr>
        <w:t>投标文件含有采购人不能接受的附加条件，投标无效</w:t>
      </w:r>
      <w:r>
        <w:rPr>
          <w:rFonts w:hint="eastAsia" w:ascii="宋体" w:hAnsi="宋体" w:cs="宋体"/>
          <w:b/>
          <w:color w:val="000000" w:themeColor="text1"/>
          <w:kern w:val="0"/>
          <w:sz w:val="24"/>
          <w:lang w:val="zh-CN"/>
          <w14:textFill>
            <w14:solidFill>
              <w14:schemeClr w14:val="tx1"/>
            </w14:solidFill>
          </w14:textFill>
        </w:rPr>
        <w:t>；采购内容未包含在《开标一览表（报价表）》名称栏中，投标人不能作出合理解释的，</w:t>
      </w:r>
      <w:r>
        <w:rPr>
          <w:rFonts w:hint="eastAsia" w:ascii="宋体" w:hAnsi="宋体" w:cs="宋体"/>
          <w:b/>
          <w:color w:val="000000" w:themeColor="text1"/>
          <w:kern w:val="0"/>
          <w:sz w:val="24"/>
          <w14:textFill>
            <w14:solidFill>
              <w14:schemeClr w14:val="tx1"/>
            </w14:solidFill>
          </w14:textFill>
        </w:rPr>
        <w:t>视为</w:t>
      </w: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szCs w:val="22"/>
          <w:lang w:val="zh-CN"/>
          <w14:textFill>
            <w14:solidFill>
              <w14:schemeClr w14:val="tx1"/>
            </w14:solidFill>
          </w14:textFill>
        </w:rPr>
        <w:t>4</w:t>
      </w:r>
      <w:r>
        <w:rPr>
          <w:rFonts w:hint="eastAsia" w:ascii="宋体" w:hAnsi="宋体" w:cs="宋体"/>
          <w:color w:val="000000" w:themeColor="text1"/>
          <w:kern w:val="0"/>
          <w:sz w:val="24"/>
          <w:szCs w:val="22"/>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000000" w:themeColor="text1"/>
          <w:kern w:val="0"/>
          <w:sz w:val="24"/>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sectPr>
          <w:pgSz w:w="16838" w:h="11906" w:orient="landscape"/>
          <w:pgMar w:top="1418" w:right="1247" w:bottom="1418" w:left="1276" w:header="851" w:footer="992" w:gutter="0"/>
          <w:cols w:space="720" w:num="1"/>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二、</w:t>
      </w:r>
      <w:r>
        <w:rPr>
          <w:rFonts w:hint="eastAsia" w:ascii="宋体" w:hAnsi="宋体" w:eastAsia="宋体" w:cs="宋体"/>
          <w:color w:val="000000" w:themeColor="text1"/>
          <w:sz w:val="32"/>
          <w:szCs w:val="32"/>
          <w14:textFill>
            <w14:solidFill>
              <w14:schemeClr w14:val="tx1"/>
            </w14:solidFill>
          </w14:textFill>
        </w:rPr>
        <w:t>中小企业声明函</w:t>
      </w:r>
      <w:bookmarkStart w:id="185" w:name="_Hlk101259491"/>
      <w:r>
        <w:rPr>
          <w:rFonts w:hint="eastAsia" w:ascii="宋体" w:hAnsi="宋体" w:eastAsia="宋体" w:cs="宋体"/>
          <w:color w:val="000000" w:themeColor="text1"/>
          <w:sz w:val="32"/>
          <w:szCs w:val="32"/>
          <w14:textFill>
            <w14:solidFill>
              <w14:schemeClr w14:val="tx1"/>
            </w14:solidFill>
          </w14:textFill>
        </w:rPr>
        <w:t>（如果有）</w:t>
      </w:r>
      <w:bookmarkEnd w:id="185"/>
    </w:p>
    <w:p>
      <w:pPr>
        <w:widowControl/>
        <w:spacing w:line="360" w:lineRule="auto"/>
        <w:ind w:firstLine="120" w:firstLineChars="5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themeColor="text1"/>
          <w:sz w:val="24"/>
          <w14:textFill>
            <w14:solidFill>
              <w14:schemeClr w14:val="tx1"/>
            </w14:solidFill>
          </w14:textFill>
        </w:rPr>
        <w:t>7</w:t>
      </w:r>
      <w:r>
        <w:rPr>
          <w:rFonts w:hint="eastAsia" w:ascii="宋体" w:hAnsi="宋体" w:cs="宋体"/>
          <w:b/>
          <w:color w:val="000000" w:themeColor="text1"/>
          <w:sz w:val="24"/>
          <w14:textFill>
            <w14:solidFill>
              <w14:schemeClr w14:val="tx1"/>
            </w14:solidFill>
          </w14:textFill>
        </w:rPr>
        <w:t>）。]</w:t>
      </w:r>
    </w:p>
    <w:p>
      <w:pPr>
        <w:pStyle w:val="691"/>
        <w:keepNext w:val="0"/>
        <w:pageBreakBefore w:val="0"/>
        <w:tabs>
          <w:tab w:val="clear" w:pos="720"/>
        </w:tabs>
        <w:snapToGrid w:val="0"/>
        <w:spacing w:before="120" w:after="120"/>
        <w:ind w:firstLine="643"/>
        <w:outlineLvl w:val="9"/>
        <w:rPr>
          <w:rFonts w:ascii="宋体" w:hAnsi="宋体" w:eastAsia="宋体" w:cs="宋体"/>
          <w:b w:val="0"/>
          <w:color w:val="000000" w:themeColor="text1"/>
          <w:sz w:val="32"/>
          <w:szCs w:val="32"/>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pStyle w:val="5"/>
        <w:keepNext w:val="0"/>
        <w:keepLines w:val="0"/>
        <w:pageBreakBefore/>
        <w:widowControl/>
        <w:spacing w:before="100" w:beforeAutospacing="1" w:after="100" w:afterAutospacing="1" w:line="360" w:lineRule="auto"/>
        <w:ind w:left="1290" w:firstLine="3092" w:firstLineChars="700"/>
        <w:rPr>
          <w:rFonts w:ascii="宋体" w:hAnsi="宋体" w:cs="宋体"/>
          <w:color w:val="000000" w:themeColor="text1"/>
          <w14:textFill>
            <w14:solidFill>
              <w14:schemeClr w14:val="tx1"/>
            </w14:solidFill>
          </w14:textFill>
        </w:rPr>
      </w:pPr>
      <w:bookmarkStart w:id="186" w:name="_Toc465665161"/>
      <w:r>
        <w:rPr>
          <w:rFonts w:hint="eastAsia" w:ascii="宋体" w:hAnsi="宋体" w:cs="宋体"/>
          <w:color w:val="000000" w:themeColor="text1"/>
          <w14:textFill>
            <w14:solidFill>
              <w14:schemeClr w14:val="tx1"/>
            </w14:solidFill>
          </w14:textFill>
        </w:rPr>
        <w:t>附件</w:t>
      </w:r>
      <w:bookmarkEnd w:id="186"/>
    </w:p>
    <w:p>
      <w:pPr>
        <w:spacing w:line="360" w:lineRule="auto"/>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附件1：</w:t>
      </w:r>
    </w:p>
    <w:p>
      <w:pPr>
        <w:spacing w:line="360" w:lineRule="auto"/>
        <w:jc w:val="center"/>
        <w:rPr>
          <w:rFonts w:ascii="宋体" w:hAnsi="宋体" w:cs="宋体"/>
          <w:b/>
          <w:color w:val="000000" w:themeColor="text1"/>
          <w:spacing w:val="6"/>
          <w:sz w:val="32"/>
          <w:szCs w:val="32"/>
          <w14:textFill>
            <w14:solidFill>
              <w14:schemeClr w14:val="tx1"/>
            </w14:solidFill>
          </w14:textFill>
        </w:rPr>
      </w:pPr>
      <w:bookmarkStart w:id="187" w:name="OLE_LINK13"/>
      <w:bookmarkStart w:id="188" w:name="OLE_LINK14"/>
      <w:r>
        <w:rPr>
          <w:rFonts w:hint="eastAsia" w:ascii="宋体" w:hAnsi="宋体" w:cs="宋体"/>
          <w:b/>
          <w:color w:val="000000" w:themeColor="text1"/>
          <w:spacing w:val="6"/>
          <w:sz w:val="32"/>
          <w:szCs w:val="32"/>
          <w14:textFill>
            <w14:solidFill>
              <w14:schemeClr w14:val="tx1"/>
            </w14:solidFill>
          </w14:textFill>
        </w:rPr>
        <w:t>残疾人福利性单位声明函</w:t>
      </w:r>
    </w:p>
    <w:bookmarkEnd w:id="187"/>
    <w:bookmarkEnd w:id="188"/>
    <w:p>
      <w:pPr>
        <w:spacing w:line="360" w:lineRule="auto"/>
        <w:rPr>
          <w:rFonts w:ascii="宋体" w:hAnsi="宋体" w:cs="宋体"/>
          <w:b/>
          <w:color w:val="000000" w:themeColor="text1"/>
          <w:spacing w:val="6"/>
          <w:sz w:val="30"/>
          <w:szCs w:val="30"/>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u w:val="single"/>
          <w14:textFill>
            <w14:solidFill>
              <w14:schemeClr w14:val="tx1"/>
            </w14:solidFill>
          </w14:textFill>
        </w:rPr>
        <w:t>（采购人）</w:t>
      </w:r>
      <w:r>
        <w:rPr>
          <w:rFonts w:hint="eastAsia" w:ascii="宋体" w:hAnsi="宋体" w:cs="宋体"/>
          <w:color w:val="000000" w:themeColor="text1"/>
          <w:sz w:val="24"/>
          <w14:textFill>
            <w14:solidFill>
              <w14:schemeClr w14:val="tx1"/>
            </w14:solidFill>
          </w14:textFill>
        </w:rPr>
        <w:t>_单位的_</w:t>
      </w:r>
      <w:r>
        <w:rPr>
          <w:rFonts w:hint="eastAsia" w:ascii="宋体" w:hAnsi="宋体" w:cs="宋体"/>
          <w:color w:val="000000" w:themeColor="text1"/>
          <w:sz w:val="24"/>
          <w:u w:val="single"/>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投标人名称（电子签名）</w:t>
      </w:r>
      <w:r>
        <w:rPr>
          <w:rFonts w:hint="eastAsia" w:ascii="宋体" w:hAnsi="宋体" w:cs="宋体"/>
          <w:color w:val="000000" w:themeColor="text1"/>
          <w:sz w:val="24"/>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  期：</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附件2：质疑函范本及制作说明</w:t>
      </w:r>
    </w:p>
    <w:p>
      <w:pPr>
        <w:pStyle w:val="482"/>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质疑函范本</w:t>
      </w:r>
    </w:p>
    <w:p>
      <w:pPr>
        <w:snapToGrid w:val="0"/>
        <w:spacing w:before="240" w:beforeLines="100"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一、质疑供应商基本信息</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质疑供应商：</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授权代表：</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地址： </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二、质疑项目基本情况</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质疑项目的名称：</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质疑项目的编号：</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包号：</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采购文件获取日期：</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三、质疑事项具体内容</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质疑事项1：</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事实依据：</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法律依据：</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质疑事项2</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四、与质疑事项相关的质疑请求</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请求：</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签字(签章)：                   公章：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日期：    </w:t>
      </w:r>
    </w:p>
    <w:p>
      <w:pPr>
        <w:spacing w:line="360" w:lineRule="auto"/>
        <w:jc w:val="center"/>
        <w:rPr>
          <w:rFonts w:ascii="宋体" w:hAnsi="宋体" w:cs="宋体"/>
          <w:b/>
          <w:bCs/>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000000" w:themeColor="text1"/>
          <w:sz w:val="30"/>
          <w:szCs w:val="30"/>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附件3：投诉书范本及制作说明</w:t>
      </w:r>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投诉书范本</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一、投诉相关主体基本情况</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投诉人：</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tabs>
          <w:tab w:val="left" w:pos="651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法定代表人/主要负责人：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tabs>
          <w:tab w:val="left" w:pos="6510"/>
        </w:tabs>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授权代表：</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被投诉人1：</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被投诉人2</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相关供应商：</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二、投诉项目基本情况</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采购项目名称：</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采购项目编号：</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包号：</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代理机构名称：</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采购文件公告:</w:t>
      </w:r>
      <w:r>
        <w:rPr>
          <w:rFonts w:hint="eastAsia" w:ascii="宋体" w:hAnsi="宋体" w:cs="宋体"/>
          <w:color w:val="000000" w:themeColor="text1"/>
          <w:sz w:val="24"/>
          <w:u w:val="dotted"/>
          <w14:textFill>
            <w14:solidFill>
              <w14:schemeClr w14:val="tx1"/>
            </w14:solidFill>
          </w14:textFill>
        </w:rPr>
        <w:t xml:space="preserve">是/否 </w:t>
      </w:r>
      <w:r>
        <w:rPr>
          <w:rFonts w:hint="eastAsia" w:ascii="宋体" w:hAnsi="宋体" w:cs="宋体"/>
          <w:color w:val="000000" w:themeColor="text1"/>
          <w:sz w:val="24"/>
          <w14:textFill>
            <w14:solidFill>
              <w14:schemeClr w14:val="tx1"/>
            </w14:solidFill>
          </w14:textFill>
        </w:rPr>
        <w:t>公告期限：</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采购结果公告:</w:t>
      </w:r>
      <w:r>
        <w:rPr>
          <w:rFonts w:hint="eastAsia" w:ascii="宋体" w:hAnsi="宋体" w:cs="宋体"/>
          <w:color w:val="000000" w:themeColor="text1"/>
          <w:sz w:val="24"/>
          <w:u w:val="dotted"/>
          <w14:textFill>
            <w14:solidFill>
              <w14:schemeClr w14:val="tx1"/>
            </w14:solidFill>
          </w14:textFill>
        </w:rPr>
        <w:t xml:space="preserve">是/否 </w:t>
      </w:r>
      <w:r>
        <w:rPr>
          <w:rFonts w:hint="eastAsia" w:ascii="宋体" w:hAnsi="宋体" w:cs="宋体"/>
          <w:color w:val="000000" w:themeColor="text1"/>
          <w:sz w:val="24"/>
          <w14:textFill>
            <w14:solidFill>
              <w14:schemeClr w14:val="tx1"/>
            </w14:solidFill>
          </w14:textFill>
        </w:rPr>
        <w:t>公告期限：</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三、质疑基本情况</w:t>
      </w:r>
    </w:p>
    <w:p>
      <w:pPr>
        <w:spacing w:line="360" w:lineRule="auto"/>
        <w:ind w:firstLine="480" w:firstLineChars="200"/>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投诉人于</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日,向</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提出质疑，质疑事项为：</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采购人/代理机构</w:t>
      </w:r>
      <w:r>
        <w:rPr>
          <w:rFonts w:hint="eastAsia" w:ascii="宋体" w:hAnsi="宋体" w:cs="宋体"/>
          <w:color w:val="000000" w:themeColor="text1"/>
          <w:sz w:val="24"/>
          <w14:textFill>
            <w14:solidFill>
              <w14:schemeClr w14:val="tx1"/>
            </w14:solidFill>
          </w14:textFill>
        </w:rPr>
        <w:t>于</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日,就质疑事项作出了答复/没有在法定期限内作出答复。</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四、投诉事项具体内容</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投诉事项 1：</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事实依据：</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法律依据：</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投诉事项2</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五、与投诉事项相关的投诉请求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请求：</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签字(签章)：                   公章：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日期：    </w: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投诉书制作说明：</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宋体" w:hAnsi="宋体"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000000" w:themeColor="text1"/>
          <w:sz w:val="24"/>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附件4：</w:t>
      </w:r>
      <w:r>
        <w:rPr>
          <w:rFonts w:hint="eastAsia" w:ascii="宋体" w:hAnsi="宋体" w:cs="宋体"/>
          <w:b/>
          <w:bCs/>
          <w:color w:val="000000" w:themeColor="text1"/>
          <w:sz w:val="32"/>
          <w:szCs w:val="32"/>
          <w14:textFill>
            <w14:solidFill>
              <w14:schemeClr w14:val="tx1"/>
            </w14:solidFill>
          </w14:textFill>
        </w:rPr>
        <w:t>业务专用章使用说明函</w:t>
      </w:r>
    </w:p>
    <w:p>
      <w:pPr>
        <w:spacing w:line="360" w:lineRule="auto"/>
        <w:rPr>
          <w:rFonts w:ascii="宋体" w:hAnsi="宋体" w:cs="宋体"/>
          <w:color w:val="000000" w:themeColor="text1"/>
          <w:sz w:val="24"/>
          <w:u w:val="single"/>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（采购人）、（采购代理机构）：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我方</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(投标人全称)是中华人民共和国依法登记注册的合法企业，</w:t>
      </w:r>
      <w:r>
        <w:rPr>
          <w:rFonts w:hint="eastAsia" w:ascii="宋体" w:hAnsi="宋体" w:cs="宋体"/>
          <w:bCs/>
          <w:color w:val="000000" w:themeColor="text1"/>
          <w:sz w:val="24"/>
          <w14:textFill>
            <w14:solidFill>
              <w14:schemeClr w14:val="tx1"/>
            </w14:solidFill>
          </w14:textFill>
        </w:rPr>
        <w:t>在参加</w:t>
      </w:r>
      <w:r>
        <w:rPr>
          <w:rFonts w:hint="eastAsia" w:ascii="宋体" w:hAnsi="宋体" w:cs="宋体"/>
          <w:color w:val="000000" w:themeColor="text1"/>
          <w:sz w:val="24"/>
          <w14:textFill>
            <w14:solidFill>
              <w14:schemeClr w14:val="tx1"/>
            </w14:solidFill>
          </w14:textFill>
        </w:rPr>
        <w:t>你方组织的（项目名称）【招标编号：（采购编号）】</w:t>
      </w:r>
      <w:r>
        <w:rPr>
          <w:rFonts w:hint="eastAsia" w:ascii="宋体" w:hAnsi="宋体" w:cs="宋体"/>
          <w:bCs/>
          <w:color w:val="000000" w:themeColor="text1"/>
          <w:sz w:val="24"/>
          <w14:textFill>
            <w14:solidFill>
              <w14:schemeClr w14:val="tx1"/>
            </w14:solidFill>
          </w14:textFill>
        </w:rPr>
        <w:t>投标活动中作如下说明：</w:t>
      </w:r>
      <w:r>
        <w:rPr>
          <w:rFonts w:hint="eastAsia" w:ascii="宋体" w:hAnsi="宋体" w:cs="宋体"/>
          <w:color w:val="000000" w:themeColor="text1"/>
          <w:sz w:val="24"/>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特此说明。</w:t>
      </w: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right="480" w:firstLine="4080" w:firstLineChars="17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投标单位（法定名称章）：</w:t>
      </w:r>
    </w:p>
    <w:p>
      <w:pPr>
        <w:ind w:right="1440" w:firstLine="494"/>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附：</w:t>
      </w: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4144;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000000" w:themeColor="text1"/>
          <w:sz w:val="24"/>
          <w14:textFill>
            <w14:solidFill>
              <w14:schemeClr w14:val="tx1"/>
            </w14:solidFill>
          </w14:textFill>
        </w:rPr>
        <w:t>投标单位法定名称章（印模）                投标单位“XX专用章”（印模）</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附件</w:t>
      </w:r>
      <w:r>
        <w:rPr>
          <w:rFonts w:ascii="宋体" w:hAnsi="宋体" w:cs="宋体"/>
          <w:b/>
          <w:color w:val="000000" w:themeColor="text1"/>
          <w:kern w:val="0"/>
          <w:sz w:val="32"/>
          <w:szCs w:val="32"/>
          <w14:textFill>
            <w14:solidFill>
              <w14:schemeClr w14:val="tx1"/>
            </w14:solidFill>
          </w14:textFill>
        </w:rPr>
        <w:t>5</w:t>
      </w:r>
      <w:r>
        <w:rPr>
          <w:rFonts w:hint="eastAsia" w:ascii="宋体" w:hAnsi="宋体" w:cs="宋体"/>
          <w:b/>
          <w:color w:val="000000" w:themeColor="text1"/>
          <w:kern w:val="0"/>
          <w:sz w:val="32"/>
          <w:szCs w:val="32"/>
          <w14:textFill>
            <w14:solidFill>
              <w14:schemeClr w14:val="tx1"/>
            </w14:solidFill>
          </w14:textFill>
        </w:rPr>
        <w:t>：联合协议</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（联合体所有成员名称）</w:t>
      </w:r>
      <w:r>
        <w:rPr>
          <w:rFonts w:hint="eastAsia" w:ascii="宋体" w:hAnsi="宋体" w:cs="宋体"/>
          <w:color w:val="000000" w:themeColor="text1"/>
          <w:kern w:val="0"/>
          <w:sz w:val="24"/>
          <w14:textFill>
            <w14:solidFill>
              <w14:schemeClr w14:val="tx1"/>
            </w14:solidFill>
          </w14:textFill>
        </w:rPr>
        <w:t>自愿</w:t>
      </w:r>
      <w:r>
        <w:rPr>
          <w:rFonts w:hint="eastAsia" w:ascii="宋体" w:hAnsi="宋体" w:cs="宋体"/>
          <w:color w:val="000000" w:themeColor="text1"/>
          <w:kern w:val="0"/>
          <w:sz w:val="24"/>
          <w:lang w:val="zh-CN"/>
          <w14:textFill>
            <w14:solidFill>
              <w14:schemeClr w14:val="tx1"/>
            </w14:solidFill>
          </w14:textFill>
        </w:rPr>
        <w:t>组成一个联合体，以一个投标人的身份</w:t>
      </w:r>
      <w:r>
        <w:rPr>
          <w:rFonts w:hint="eastAsia" w:ascii="宋体" w:hAnsi="宋体" w:cs="宋体"/>
          <w:color w:val="000000" w:themeColor="text1"/>
          <w:kern w:val="0"/>
          <w:sz w:val="24"/>
          <w14:textFill>
            <w14:solidFill>
              <w14:schemeClr w14:val="tx1"/>
            </w14:solidFill>
          </w14:textFill>
        </w:rPr>
        <w:t>参加</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一、各方一致决定，</w:t>
      </w:r>
      <w:r>
        <w:rPr>
          <w:rFonts w:hint="eastAsia" w:ascii="宋体" w:hAnsi="宋体" w:cs="宋体"/>
          <w:color w:val="000000" w:themeColor="text1"/>
          <w:kern w:val="0"/>
          <w:sz w:val="24"/>
          <w:u w:val="single"/>
          <w14:textFill>
            <w14:solidFill>
              <w14:schemeClr w14:val="tx1"/>
            </w14:solidFill>
          </w14:textFill>
        </w:rPr>
        <w:t>（某联合体成员名称）</w:t>
      </w:r>
      <w:r>
        <w:rPr>
          <w:rFonts w:hint="eastAsia" w:ascii="宋体" w:hAnsi="宋体" w:cs="宋体"/>
          <w:color w:val="000000" w:themeColor="text1"/>
          <w:kern w:val="0"/>
          <w:sz w:val="24"/>
          <w14:textFill>
            <w14:solidFill>
              <w14:schemeClr w14:val="tx1"/>
            </w14:solidFill>
          </w14:textFill>
        </w:rPr>
        <w:t>为联合体</w:t>
      </w:r>
      <w:r>
        <w:rPr>
          <w:rFonts w:hint="eastAsia" w:ascii="宋体" w:hAnsi="宋体" w:cs="宋体"/>
          <w:color w:val="000000" w:themeColor="text1"/>
          <w:kern w:val="0"/>
          <w:sz w:val="24"/>
          <w:lang w:val="zh-CN"/>
          <w14:textFill>
            <w14:solidFill>
              <w14:schemeClr w14:val="tx1"/>
            </w14:solidFill>
          </w14:textFill>
        </w:rPr>
        <w:t>牵头人</w:t>
      </w:r>
      <w:r>
        <w:rPr>
          <w:rFonts w:hint="eastAsia" w:ascii="宋体" w:hAnsi="宋体" w:cs="宋体"/>
          <w:color w:val="000000" w:themeColor="text1"/>
          <w:sz w:val="24"/>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所有联合体成员各方签署授权书，授权书载明的</w:t>
      </w:r>
      <w:r>
        <w:rPr>
          <w:rFonts w:hint="eastAsia" w:ascii="宋体" w:hAnsi="宋体" w:cs="宋体"/>
          <w:color w:val="000000" w:themeColor="text1"/>
          <w:kern w:val="0"/>
          <w:sz w:val="24"/>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bookmarkStart w:id="189" w:name="_Hlk101134295"/>
      <w:r>
        <w:rPr>
          <w:rFonts w:hint="eastAsia" w:ascii="宋体" w:hAnsi="宋体" w:cs="宋体"/>
          <w:color w:val="000000" w:themeColor="text1"/>
          <w:kern w:val="0"/>
          <w:sz w:val="24"/>
          <w:u w:val="single"/>
          <w14:textFill>
            <w14:solidFill>
              <w14:schemeClr w14:val="tx1"/>
            </w14:solidFill>
          </w14:textFill>
        </w:rPr>
        <w:t>（联合体成员1）</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（联合体成员</w:t>
      </w:r>
      <w:r>
        <w:rPr>
          <w:rFonts w:ascii="宋体" w:hAnsi="宋体" w:cs="宋体"/>
          <w:color w:val="000000" w:themeColor="text1"/>
          <w:kern w:val="0"/>
          <w:sz w:val="24"/>
          <w:u w:val="single"/>
          <w14:textFill>
            <w14:solidFill>
              <w14:schemeClr w14:val="tx1"/>
            </w14:solidFill>
          </w14:textFill>
        </w:rPr>
        <w:t>2</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bookmarkEnd w:id="189"/>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（联合体成员</w:t>
      </w:r>
      <w:r>
        <w:rPr>
          <w:rFonts w:ascii="宋体" w:hAnsi="宋体" w:cs="宋体"/>
          <w:color w:val="000000" w:themeColor="text1"/>
          <w:kern w:val="0"/>
          <w:sz w:val="24"/>
          <w:u w:val="single"/>
          <w14:textFill>
            <w14:solidFill>
              <w14:schemeClr w14:val="tx1"/>
            </w14:solidFill>
          </w14:textFill>
        </w:rPr>
        <w:t>X,</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提供的全部货物由小微企业制造，其合同份额占到合同总金额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r>
        <w:rPr>
          <w:rFonts w:hint="eastAsia" w:ascii="宋体" w:hAnsi="宋体" w:cs="宋体"/>
          <w:b/>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五、如果中标，</w:t>
      </w:r>
      <w:r>
        <w:rPr>
          <w:rFonts w:hint="eastAsia" w:ascii="宋体" w:hAnsi="宋体" w:cs="宋体"/>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right="960"/>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附件</w:t>
      </w:r>
      <w:r>
        <w:rPr>
          <w:rFonts w:ascii="宋体" w:hAnsi="宋体" w:cs="宋体"/>
          <w:b/>
          <w:color w:val="000000" w:themeColor="text1"/>
          <w:kern w:val="0"/>
          <w:sz w:val="32"/>
          <w:szCs w:val="32"/>
          <w14:textFill>
            <w14:solidFill>
              <w14:schemeClr w14:val="tx1"/>
            </w14:solidFill>
          </w14:textFill>
        </w:rPr>
        <w:t>6</w:t>
      </w:r>
      <w:r>
        <w:rPr>
          <w:rFonts w:hint="eastAsia" w:ascii="宋体" w:hAnsi="宋体" w:cs="宋体"/>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若成为</w:t>
      </w:r>
      <w:r>
        <w:rPr>
          <w:rFonts w:hint="eastAsia" w:ascii="宋体" w:hAnsi="宋体" w:cs="宋体"/>
          <w:color w:val="000000" w:themeColor="text1"/>
          <w:sz w:val="24"/>
          <w14:textFill>
            <w14:solidFill>
              <w14:schemeClr w14:val="tx1"/>
            </w14:solidFill>
          </w14:textFill>
        </w:rPr>
        <w:t>（项目名称）【招标编号：（采购编号）】</w:t>
      </w:r>
      <w:r>
        <w:rPr>
          <w:rFonts w:hint="eastAsia" w:ascii="宋体" w:hAnsi="宋体" w:cs="宋体"/>
          <w:color w:val="000000" w:themeColor="text1"/>
          <w:kern w:val="0"/>
          <w:sz w:val="24"/>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14:textFill>
            <w14:solidFill>
              <w14:schemeClr w14:val="tx1"/>
            </w14:solidFill>
          </w14:textFill>
        </w:rPr>
        <w:t>与</w:t>
      </w:r>
      <w:r>
        <w:rPr>
          <w:rFonts w:hint="eastAsia" w:ascii="宋体" w:hAnsi="宋体" w:cs="宋体"/>
          <w:color w:val="000000" w:themeColor="text1"/>
          <w:kern w:val="0"/>
          <w:sz w:val="24"/>
          <w:u w:val="single"/>
          <w14:textFill>
            <w14:solidFill>
              <w14:schemeClr w14:val="tx1"/>
            </w14:solidFill>
          </w14:textFill>
        </w:rPr>
        <w:t>（所有分包供应商名称）</w:t>
      </w:r>
      <w:r>
        <w:rPr>
          <w:rFonts w:hint="eastAsia" w:ascii="宋体" w:hAnsi="宋体" w:cs="宋体"/>
          <w:color w:val="000000" w:themeColor="text1"/>
          <w:kern w:val="0"/>
          <w:sz w:val="24"/>
          <w14:textFill>
            <w14:solidFill>
              <w14:schemeClr w14:val="tx1"/>
            </w14:solidFill>
          </w14:textFill>
        </w:rPr>
        <w:t>达成分包意向协议</w:t>
      </w: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将</w:t>
      </w:r>
      <w:r>
        <w:rPr>
          <w:rFonts w:hint="eastAsia" w:ascii="宋体" w:hAnsi="宋体" w:cs="宋体"/>
          <w:color w:val="000000" w:themeColor="text1"/>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XX工作内容   </w:t>
      </w:r>
      <w:r>
        <w:rPr>
          <w:rFonts w:hint="eastAsia" w:ascii="宋体" w:hAnsi="宋体" w:cs="宋体"/>
          <w:color w:val="000000" w:themeColor="text1"/>
          <w:sz w:val="24"/>
          <w14:textFill>
            <w14:solidFill>
              <w14:schemeClr w14:val="tx1"/>
            </w14:solidFill>
          </w14:textFill>
        </w:rPr>
        <w:t>分包给</w:t>
      </w:r>
      <w:r>
        <w:rPr>
          <w:rFonts w:hint="eastAsia" w:ascii="宋体" w:hAnsi="宋体" w:cs="宋体"/>
          <w:color w:val="000000" w:themeColor="text1"/>
          <w:kern w:val="0"/>
          <w:sz w:val="24"/>
          <w:u w:val="single"/>
          <w14:textFill>
            <w14:solidFill>
              <w14:schemeClr w14:val="tx1"/>
            </w14:solidFill>
          </w14:textFill>
        </w:rPr>
        <w:t>（分包供应商1名称）</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（分包供应商1名称），</w:t>
      </w:r>
      <w:r>
        <w:rPr>
          <w:rFonts w:hint="eastAsia" w:ascii="宋体" w:hAnsi="宋体" w:cs="宋体"/>
          <w:color w:val="000000" w:themeColor="text1"/>
          <w:kern w:val="0"/>
          <w:sz w:val="24"/>
          <w:lang w:val="zh-CN"/>
          <w14:textFill>
            <w14:solidFill>
              <w14:schemeClr w14:val="tx1"/>
            </w14:solidFill>
          </w14:textFill>
        </w:rPr>
        <w:t>具备承</w:t>
      </w:r>
      <w:r>
        <w:rPr>
          <w:rFonts w:hint="eastAsia" w:ascii="宋体" w:hAnsi="宋体" w:cs="宋体"/>
          <w:color w:val="000000" w:themeColor="text1"/>
          <w:kern w:val="0"/>
          <w:sz w:val="24"/>
          <w14:textFill>
            <w14:solidFill>
              <w14:schemeClr w14:val="tx1"/>
            </w14:solidFill>
          </w14:textFill>
        </w:rPr>
        <w:t>担</w:t>
      </w:r>
      <w:r>
        <w:rPr>
          <w:rFonts w:hint="eastAsia" w:ascii="宋体" w:hAnsi="宋体" w:cs="宋体"/>
          <w:color w:val="000000" w:themeColor="text1"/>
          <w:kern w:val="0"/>
          <w:sz w:val="24"/>
          <w:u w:val="single"/>
          <w:lang w:val="zh-CN"/>
          <w14:textFill>
            <w14:solidFill>
              <w14:schemeClr w14:val="tx1"/>
            </w14:solidFill>
          </w14:textFill>
        </w:rPr>
        <w:t>XX工作内容</w:t>
      </w:r>
      <w:r>
        <w:rPr>
          <w:rFonts w:hint="eastAsia" w:ascii="宋体" w:hAnsi="宋体" w:cs="宋体"/>
          <w:color w:val="000000" w:themeColor="text1"/>
          <w:kern w:val="0"/>
          <w:sz w:val="24"/>
          <w:lang w:val="zh-CN"/>
          <w14:textFill>
            <w14:solidFill>
              <w14:schemeClr w14:val="tx1"/>
            </w14:solidFill>
          </w14:textFill>
        </w:rPr>
        <w:t>相应资质条件且不得再次分包；</w:t>
      </w:r>
    </w:p>
    <w:p>
      <w:pPr>
        <w:pStyle w:val="6"/>
        <w:ind w:left="664" w:leftChars="316" w:firstLine="229" w:firstLineChars="95"/>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（分包供应商X</w:t>
      </w:r>
      <w:r>
        <w:rPr>
          <w:rFonts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……）提供的货物全部由小微企业制造，</w:t>
      </w:r>
      <w:r>
        <w:rPr>
          <w:rFonts w:hint="eastAsia" w:ascii="宋体" w:hAnsi="宋体" w:cs="宋体"/>
          <w:color w:val="000000" w:themeColor="text1"/>
          <w:kern w:val="0"/>
          <w:sz w:val="24"/>
          <w14:textFill>
            <w14:solidFill>
              <w14:schemeClr w14:val="tx1"/>
            </w14:solidFill>
          </w14:textFill>
        </w:rPr>
        <w:t>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r>
        <w:rPr>
          <w:rFonts w:hint="eastAsia" w:ascii="宋体" w:hAnsi="宋体" w:cs="宋体"/>
          <w:b/>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bookmarkStart w:id="190" w:name="_Hlk101133173"/>
      <w:r>
        <w:rPr>
          <w:rFonts w:hint="eastAsia" w:ascii="宋体" w:hAnsi="宋体" w:cs="宋体"/>
          <w:color w:val="000000" w:themeColor="text1"/>
          <w:sz w:val="24"/>
          <w14:textFill>
            <w14:solidFill>
              <w14:schemeClr w14:val="tx1"/>
            </w14:solidFill>
          </w14:textFill>
        </w:rPr>
        <w:t>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要求合同分包形式参加的项目或采购包，供应商按招标文件第一部分招标公告申请人的资格要求中规定的</w:t>
      </w:r>
      <w:r>
        <w:rPr>
          <w:rFonts w:hint="eastAsia" w:ascii="宋体" w:hAnsi="宋体" w:cs="宋体"/>
          <w:b/>
          <w:color w:val="000000" w:themeColor="text1"/>
          <w:kern w:val="0"/>
          <w:sz w:val="24"/>
          <w:lang w:val="zh-CN"/>
          <w14:textFill>
            <w14:solidFill>
              <w14:schemeClr w14:val="tx1"/>
            </w14:solidFill>
          </w14:textFill>
        </w:rPr>
        <w:t>分包意向协议</w:t>
      </w:r>
      <w:r>
        <w:rPr>
          <w:rFonts w:hint="eastAsia" w:ascii="宋体" w:hAnsi="宋体" w:cs="宋体"/>
          <w:b/>
          <w:bCs/>
          <w:color w:val="000000" w:themeColor="text1"/>
          <w:sz w:val="24"/>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bookmarkEnd w:id="190"/>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三、分包工作履行期限、地点、方式</w:t>
      </w:r>
    </w:p>
    <w:p>
      <w:pPr>
        <w:snapToGrid w:val="0"/>
        <w:spacing w:line="360" w:lineRule="auto"/>
        <w:ind w:firstLine="576"/>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四、质量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五、价款或者报酬</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六、违约责任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七、争议解决的办法</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left="5758" w:leftChars="342" w:hanging="5040" w:hanging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分包供应商名称(电子签名/公章)：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snapToGrid w:val="0"/>
        <w:spacing w:line="360" w:lineRule="auto"/>
        <w:outlineLvl w:val="0"/>
        <w:rPr>
          <w:rFonts w:ascii="宋体" w:hAnsi="宋体" w:cs="宋体"/>
          <w:b/>
          <w:color w:val="000000" w:themeColor="text1"/>
          <w:kern w:val="0"/>
          <w:sz w:val="44"/>
          <w:szCs w:val="44"/>
          <w14:textFill>
            <w14:solidFill>
              <w14:schemeClr w14:val="tx1"/>
            </w14:solidFill>
          </w14:textFill>
        </w:rPr>
      </w:pPr>
      <w:r>
        <w:rPr>
          <w:rFonts w:hint="eastAsia" w:ascii="宋体" w:hAnsi="宋体" w:cs="宋体"/>
          <w:b/>
          <w:color w:val="000000" w:themeColor="text1"/>
          <w:kern w:val="0"/>
          <w:sz w:val="44"/>
          <w:szCs w:val="44"/>
          <w14:textFill>
            <w14:solidFill>
              <w14:schemeClr w14:val="tx1"/>
            </w14:solidFill>
          </w14:textFill>
        </w:rPr>
        <w:t>附件</w:t>
      </w:r>
      <w:r>
        <w:rPr>
          <w:rFonts w:ascii="宋体" w:hAnsi="宋体" w:cs="宋体"/>
          <w:b/>
          <w:color w:val="000000" w:themeColor="text1"/>
          <w:kern w:val="0"/>
          <w:sz w:val="44"/>
          <w:szCs w:val="44"/>
          <w14:textFill>
            <w14:solidFill>
              <w14:schemeClr w14:val="tx1"/>
            </w14:solidFill>
          </w14:textFill>
        </w:rPr>
        <w:t>7</w:t>
      </w:r>
      <w:r>
        <w:rPr>
          <w:rFonts w:hint="eastAsia" w:ascii="宋体" w:hAnsi="宋体" w:cs="宋体"/>
          <w:b/>
          <w:color w:val="000000" w:themeColor="text1"/>
          <w:kern w:val="0"/>
          <w:sz w:val="44"/>
          <w:szCs w:val="44"/>
          <w14:textFill>
            <w14:solidFill>
              <w14:schemeClr w14:val="tx1"/>
            </w14:solidFill>
          </w14:textFill>
        </w:rPr>
        <w:t>：中小企业声明函</w:t>
      </w:r>
    </w:p>
    <w:p>
      <w:pPr>
        <w:spacing w:line="360" w:lineRule="auto"/>
        <w:jc w:val="center"/>
        <w:rPr>
          <w:rFonts w:ascii="宋体" w:hAnsi="宋体" w:cs="宋体"/>
          <w:color w:val="000000" w:themeColor="text1"/>
          <w:sz w:val="24"/>
          <w:u w:val="single"/>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中小企业声明函（货物）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cs="宋体"/>
          <w:color w:val="000000" w:themeColor="text1"/>
          <w:sz w:val="24"/>
          <w:u w:val="single"/>
          <w14:textFill>
            <w14:solidFill>
              <w14:schemeClr w14:val="tx1"/>
            </w14:solidFill>
          </w14:textFill>
        </w:rPr>
        <w:t xml:space="preserve">（采购人） </w:t>
      </w:r>
      <w:r>
        <w:rPr>
          <w:rFonts w:hint="eastAsia" w:ascii="宋体" w:hAnsi="宋体" w:cs="宋体"/>
          <w:color w:val="000000" w:themeColor="text1"/>
          <w:sz w:val="24"/>
          <w14:textFill>
            <w14:solidFill>
              <w14:schemeClr w14:val="tx1"/>
            </w14:solidFill>
          </w14:textFill>
        </w:rPr>
        <w:t xml:space="preserve">的 </w:t>
      </w:r>
      <w:r>
        <w:rPr>
          <w:rFonts w:hint="eastAsia" w:ascii="宋体" w:hAnsi="宋体" w:cs="宋体"/>
          <w:color w:val="000000" w:themeColor="text1"/>
          <w:sz w:val="24"/>
          <w:u w:val="single"/>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（标的名称）</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（采购文件中明确的所属行业）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（标的名称）</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（采购文件中明确的所属行业）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w:t>
      </w:r>
      <w:r>
        <w:rPr>
          <w:rFonts w:hint="eastAsia" w:ascii="宋体" w:hAnsi="宋体" w:cs="宋体"/>
          <w:color w:val="000000" w:themeColor="text1"/>
          <w:kern w:val="0"/>
          <w:sz w:val="24"/>
          <w14:textFill>
            <w14:solidFill>
              <w14:schemeClr w14:val="tx1"/>
            </w14:solidFill>
          </w14:textFill>
        </w:rPr>
        <w:t xml:space="preserve">：  年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w:t>
      </w:r>
    </w:p>
    <w:p>
      <w:pPr>
        <w:spacing w:line="360" w:lineRule="auto"/>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000000" w:themeColor="text1"/>
          <w:sz w:val="32"/>
          <w:szCs w:val="32"/>
          <w14:textFill>
            <w14:solidFill>
              <w14:schemeClr w14:val="tx1"/>
            </w14:solidFill>
          </w14:textFill>
        </w:rPr>
      </w:pPr>
    </w:p>
    <w:p>
      <w:pPr>
        <w:widowControl/>
        <w:adjustRightInd/>
        <w:jc w:val="left"/>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br w:type="page"/>
      </w:r>
    </w:p>
    <w:p>
      <w:pPr>
        <w:pStyle w:val="62"/>
        <w:ind w:firstLine="361"/>
        <w:rPr>
          <w:rFonts w:ascii="仿宋" w:hAnsi="仿宋" w:eastAsia="仿宋" w:cs="宋体"/>
          <w:b/>
          <w:sz w:val="36"/>
          <w:lang w:val="en-US"/>
        </w:rPr>
      </w:pPr>
      <w:r>
        <w:rPr>
          <w:rFonts w:hint="eastAsia" w:ascii="仿宋" w:hAnsi="仿宋" w:eastAsia="仿宋" w:cs="宋体"/>
          <w:b/>
          <w:sz w:val="36"/>
          <w:lang w:val="en-US"/>
        </w:rPr>
        <w:t>附件8：</w:t>
      </w:r>
    </w:p>
    <w:p>
      <w:pPr>
        <w:pStyle w:val="62"/>
        <w:ind w:firstLine="361"/>
        <w:jc w:val="center"/>
        <w:rPr>
          <w:rFonts w:hAnsi="宋体" w:cs="宋体"/>
          <w:color w:val="000000" w:themeColor="text1"/>
          <w:szCs w:val="24"/>
          <w:lang w:val="en-US"/>
          <w14:textFill>
            <w14:solidFill>
              <w14:schemeClr w14:val="tx1"/>
            </w14:solidFill>
          </w14:textFill>
        </w:rPr>
      </w:pPr>
      <w:r>
        <w:rPr>
          <w:rFonts w:hint="eastAsia" w:hAnsi="宋体" w:cs="宋体"/>
          <w:color w:val="000000" w:themeColor="text1"/>
          <w:szCs w:val="24"/>
          <w:lang w:val="en-US"/>
          <w14:textFill>
            <w14:solidFill>
              <w14:schemeClr w14:val="tx1"/>
            </w14:solidFill>
          </w14:textFill>
        </w:rPr>
        <w:t>中小企业划型标准规定</w:t>
      </w:r>
    </w:p>
    <w:p>
      <w:pPr>
        <w:pStyle w:val="964"/>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一、根据《中华人民共和国中小企业促进法》和《</w:t>
      </w:r>
      <w:r>
        <w:fldChar w:fldCharType="begin"/>
      </w:r>
      <w:r>
        <w:instrText xml:space="preserve"> HYPERLINK "https://www.shui5.cn/article/47/26142.html" </w:instrText>
      </w:r>
      <w:r>
        <w:fldChar w:fldCharType="separate"/>
      </w:r>
      <w:r>
        <w:rPr>
          <w:rFonts w:hint="eastAsia" w:ascii="宋体" w:hAnsi="宋体" w:eastAsia="宋体"/>
          <w:snapToGrid w:val="0"/>
          <w:color w:val="000000" w:themeColor="text1"/>
          <w:sz w:val="24"/>
          <w:szCs w:val="24"/>
          <w14:textFill>
            <w14:solidFill>
              <w14:schemeClr w14:val="tx1"/>
            </w14:solidFill>
          </w14:textFill>
        </w:rPr>
        <w:t>国务院关于进一步促进中小企业发展的若干意见</w:t>
      </w:r>
      <w:r>
        <w:rPr>
          <w:rFonts w:hint="eastAsia" w:ascii="宋体" w:hAnsi="宋体" w:eastAsia="宋体"/>
          <w:snapToGrid w:val="0"/>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w:t>
      </w:r>
      <w:r>
        <w:fldChar w:fldCharType="begin"/>
      </w:r>
      <w:r>
        <w:instrText xml:space="preserve"> HYPERLINK "https://www.shui5.cn/article/47/26142.html" </w:instrText>
      </w:r>
      <w:r>
        <w:fldChar w:fldCharType="separate"/>
      </w:r>
      <w:r>
        <w:rPr>
          <w:rFonts w:hint="eastAsia" w:ascii="宋体" w:hAnsi="宋体" w:eastAsia="宋体"/>
          <w:snapToGrid w:val="0"/>
          <w:color w:val="000000" w:themeColor="text1"/>
          <w:sz w:val="24"/>
          <w:szCs w:val="24"/>
          <w14:textFill>
            <w14:solidFill>
              <w14:schemeClr w14:val="tx1"/>
            </w14:solidFill>
          </w14:textFill>
        </w:rPr>
        <w:t>国发〔2009〕36号</w:t>
      </w:r>
      <w:r>
        <w:rPr>
          <w:rFonts w:hint="eastAsia" w:ascii="宋体" w:hAnsi="宋体" w:eastAsia="宋体"/>
          <w:snapToGrid w:val="0"/>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)，制定本规定。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二、中小企业划分为中型、小型、微型三种类型，具体标准根据企业从业人员、营业收入、资产总额等指标，结合行业特点制定。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四、各行业划型标准为：</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（一）农、林、牧、渔业。营业收入20000万元以下的为中小微型企业。其中，营业收入500万元及以上的为中型企业，营业收入50万元及以上的为小型企业，营业收入50万元以下的为微型企业。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62"/>
        <w:ind w:firstLine="222"/>
        <w:rPr>
          <w:rFonts w:hAnsi="宋体" w:cs="宋体"/>
          <w:color w:val="000000" w:themeColor="text1"/>
          <w:szCs w:val="24"/>
          <w:lang w:val="en-US"/>
          <w14:textFill>
            <w14:solidFill>
              <w14:schemeClr w14:val="tx1"/>
            </w14:solidFill>
          </w14:textFill>
        </w:rPr>
      </w:pPr>
      <w:r>
        <w:rPr>
          <w:rFonts w:hint="eastAsia" w:hAnsi="宋体" w:cs="宋体"/>
          <w:color w:val="000000" w:themeColor="text1"/>
          <w:szCs w:val="24"/>
          <w:lang w:val="en-US"/>
          <w14:textFill>
            <w14:solidFill>
              <w14:schemeClr w14:val="tx1"/>
            </w14:solidFill>
          </w14:textFill>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（十六）其他未列明行业。从业人员300人以下的为中小微型企业。其中，从业人员100人及以上的为中型企业；从业人员10人及以上的为小型企业；从业人员10人以下的为微型企业。</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五、企业类型的划分以统计部门的统计数据为依据。</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六、本规定适用于在中华人民共和国境内依法设立的各类所有制和各种组织形式的企业。个体工商户和本规定以外的行业，参照本规定进行划型。</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八、本规定由工业和信息化部、国家统计局会同有关部门根据《国民经济行业分类》修订情况和企业发展变化情况适时修订。</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九、本规定由工业和信息化部、国家统计局会同有关部门负责解释。</w:t>
      </w:r>
    </w:p>
    <w:p>
      <w:pPr>
        <w:pStyle w:val="964"/>
        <w:adjustRightInd w:val="0"/>
        <w:spacing w:line="360" w:lineRule="auto"/>
        <w:ind w:firstLine="480" w:firstLineChars="200"/>
        <w:jc w:val="both"/>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十、本规定自发布之日起执行，原国家经贸委、原国家计委、财政部和国家统计局2003年颁布的《</w:t>
      </w:r>
      <w:r>
        <w:fldChar w:fldCharType="begin"/>
      </w:r>
      <w:r>
        <w:instrText xml:space="preserve"> HYPERLINK "https://www.shui5.cn/article/df/24263.html" </w:instrText>
      </w:r>
      <w:r>
        <w:fldChar w:fldCharType="separate"/>
      </w:r>
      <w:r>
        <w:rPr>
          <w:rFonts w:hint="eastAsia" w:ascii="宋体" w:hAnsi="宋体" w:eastAsia="宋体"/>
          <w:snapToGrid w:val="0"/>
          <w:color w:val="000000" w:themeColor="text1"/>
          <w:sz w:val="24"/>
          <w:szCs w:val="24"/>
          <w14:textFill>
            <w14:solidFill>
              <w14:schemeClr w14:val="tx1"/>
            </w14:solidFill>
          </w14:textFill>
        </w:rPr>
        <w:t>中小企业标准暂行规定</w:t>
      </w:r>
      <w:r>
        <w:rPr>
          <w:rFonts w:hint="eastAsia" w:ascii="宋体" w:hAnsi="宋体" w:eastAsia="宋体"/>
          <w:snapToGrid w:val="0"/>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w:t>
      </w:r>
      <w:r>
        <w:fldChar w:fldCharType="begin"/>
      </w:r>
      <w:r>
        <w:instrText xml:space="preserve"> HYPERLINK "https://www.shui5.cn/article/df/24263.html" </w:instrText>
      </w:r>
      <w:r>
        <w:fldChar w:fldCharType="separate"/>
      </w:r>
      <w:r>
        <w:rPr>
          <w:rFonts w:hint="eastAsia" w:ascii="宋体" w:hAnsi="宋体" w:eastAsia="宋体"/>
          <w:snapToGrid w:val="0"/>
          <w:color w:val="000000" w:themeColor="text1"/>
          <w:sz w:val="24"/>
          <w:szCs w:val="24"/>
          <w14:textFill>
            <w14:solidFill>
              <w14:schemeClr w14:val="tx1"/>
            </w14:solidFill>
          </w14:textFill>
        </w:rPr>
        <w:t>国经贸中小企[2003]143号</w:t>
      </w:r>
      <w:r>
        <w:rPr>
          <w:rFonts w:hint="eastAsia" w:ascii="宋体" w:hAnsi="宋体" w:eastAsia="宋体"/>
          <w:snapToGrid w:val="0"/>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同时废止。</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auto"/>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00" w:usb3="00000000" w:csb0="003E0000"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191" w:name="_Toc164085800"/>
    <w:bookmarkStart w:id="192" w:name="_Toc131845147"/>
    <w:bookmarkStart w:id="193" w:name="_Toc91899912"/>
    <w:bookmarkStart w:id="194" w:name="_Toc36110187"/>
    <w:r>
      <w:rPr>
        <w:rFonts w:hint="eastAsia" w:ascii="仿宋_GB2312" w:eastAsia="仿宋_GB2312"/>
        <w:kern w:val="0"/>
        <w:szCs w:val="21"/>
      </w:rPr>
      <w:t xml:space="preserve"> 页</w:t>
    </w:r>
    <w:bookmarkEnd w:id="191"/>
    <w:bookmarkEnd w:id="192"/>
    <w:bookmarkEnd w:id="193"/>
    <w:bookmarkEnd w:id="19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tabs>
        <w:tab w:val="center" w:pos="3969"/>
        <w:tab w:val="clear" w:pos="4153"/>
      </w:tabs>
      <w:jc w:val="right"/>
    </w:pPr>
    <w:r>
      <w:rPr>
        <w:i/>
        <w:sz w:val="15"/>
      </w:rPr>
      <w:drawing>
        <wp:anchor distT="0" distB="0" distL="114300" distR="114300" simplePos="0" relativeHeight="251661312" behindDoc="0" locked="0" layoutInCell="1" allowOverlap="1">
          <wp:simplePos x="0" y="0"/>
          <wp:positionH relativeFrom="column">
            <wp:posOffset>-95250</wp:posOffset>
          </wp:positionH>
          <wp:positionV relativeFrom="paragraph">
            <wp:posOffset>-114300</wp:posOffset>
          </wp:positionV>
          <wp:extent cx="1336040" cy="270510"/>
          <wp:effectExtent l="0" t="0" r="0" b="0"/>
          <wp:wrapNone/>
          <wp:docPr id="1037593134" name="图片 1037593134"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593134" name="图片 1037593134"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t></w:t>
    </w:r>
    <w:r>
      <w:rPr>
        <w:rFonts w:hint="eastAsia"/>
      </w:rPr>
      <w:t xml:space="preserve">      浙江中达工程造价事务所有限公司</w:t>
    </w:r>
    <w:r>
      <w:t>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浙江中达工程造价事务所有限公司</w:t>
    </w:r>
    <w: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浙江中达工程造价事务所有限公司</w:t>
    </w:r>
    <w:r>
      <w:rPr>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i/>
        <w:sz w:val="15"/>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1336040" cy="270510"/>
          <wp:effectExtent l="0" t="0" r="0" b="0"/>
          <wp:wrapNone/>
          <wp:docPr id="1" name="图片 1"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t></w:t>
    </w:r>
    <w:r>
      <w:rPr>
        <w:rFonts w:hint="eastAsia"/>
      </w:rPr>
      <w:t xml:space="preserve">                               浙江中达工程造价事务所有限公司</w:t>
    </w:r>
    <w:r>
      <w:t>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right" w:pos="8364"/>
        <w:tab w:val="clear" w:pos="8306"/>
      </w:tabs>
      <w:jc w:val="right"/>
    </w:pPr>
    <w:r>
      <w:t></w:t>
    </w:r>
    <w:r>
      <w:rPr>
        <w:rFonts w:hint="eastAsia"/>
      </w:rPr>
      <w:t>浙江中达工程造价事务所有限公司</w:t>
    </w:r>
    <w:r>
      <w:t>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rPr>
        <w:i/>
        <w:sz w:val="15"/>
      </w:rPr>
      <w:drawing>
        <wp:anchor distT="0" distB="0" distL="114300" distR="114300" simplePos="0" relativeHeight="251661312" behindDoc="0" locked="0" layoutInCell="1" allowOverlap="1">
          <wp:simplePos x="0" y="0"/>
          <wp:positionH relativeFrom="column">
            <wp:posOffset>-95250</wp:posOffset>
          </wp:positionH>
          <wp:positionV relativeFrom="paragraph">
            <wp:posOffset>-142875</wp:posOffset>
          </wp:positionV>
          <wp:extent cx="1336040" cy="270510"/>
          <wp:effectExtent l="0" t="0" r="0" b="0"/>
          <wp:wrapNone/>
          <wp:docPr id="5" name="图片 5"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t></w:t>
    </w:r>
    <w:r>
      <w:rPr>
        <w:rFonts w:hint="eastAsia"/>
      </w:rPr>
      <w:t xml:space="preserve">                                            浙江中达工程造价事务所有限公司</w:t>
    </w:r>
    <w:r>
      <w:t>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i/>
        <w:sz w:val="15"/>
      </w:rPr>
      <w:drawing>
        <wp:anchor distT="0" distB="0" distL="114300" distR="114300" simplePos="0" relativeHeight="251660288" behindDoc="0" locked="0" layoutInCell="1" allowOverlap="1">
          <wp:simplePos x="0" y="0"/>
          <wp:positionH relativeFrom="column">
            <wp:posOffset>-47625</wp:posOffset>
          </wp:positionH>
          <wp:positionV relativeFrom="paragraph">
            <wp:posOffset>-28575</wp:posOffset>
          </wp:positionV>
          <wp:extent cx="1336040" cy="270510"/>
          <wp:effectExtent l="0" t="0" r="0" b="0"/>
          <wp:wrapNone/>
          <wp:docPr id="2" name="图片 2"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i/>
        <w:sz w:val="15"/>
      </w:rPr>
      <w:drawing>
        <wp:anchor distT="0" distB="0" distL="114300" distR="114300" simplePos="0" relativeHeight="251662336" behindDoc="0" locked="0" layoutInCell="1" allowOverlap="1">
          <wp:simplePos x="0" y="0"/>
          <wp:positionH relativeFrom="column">
            <wp:posOffset>-118745</wp:posOffset>
          </wp:positionH>
          <wp:positionV relativeFrom="paragraph">
            <wp:posOffset>-133350</wp:posOffset>
          </wp:positionV>
          <wp:extent cx="1336040" cy="270510"/>
          <wp:effectExtent l="0" t="0" r="0" b="0"/>
          <wp:wrapNone/>
          <wp:docPr id="6" name="图片 6"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rPr>
        <w:rFonts w:hint="eastAsia"/>
      </w:rPr>
      <w:t xml:space="preserve">                              浙江中达工程造价事务所有限公司</w:t>
    </w:r>
    <w:r>
      <w:t>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浙江中达工程造价事务所有限公司</w:t>
    </w:r>
    <w:r>
      <w:t>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rPr>
        <w:i/>
        <w:sz w:val="15"/>
      </w:rPr>
      <w:drawing>
        <wp:anchor distT="0" distB="0" distL="114300" distR="114300" simplePos="0" relativeHeight="251663360" behindDoc="0" locked="0" layoutInCell="1" allowOverlap="1">
          <wp:simplePos x="0" y="0"/>
          <wp:positionH relativeFrom="column">
            <wp:posOffset>0</wp:posOffset>
          </wp:positionH>
          <wp:positionV relativeFrom="paragraph">
            <wp:posOffset>-171450</wp:posOffset>
          </wp:positionV>
          <wp:extent cx="1336040" cy="270510"/>
          <wp:effectExtent l="0" t="0" r="0" b="0"/>
          <wp:wrapNone/>
          <wp:docPr id="7" name="图片 7" descr="yyyyyyyyyyyy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yyyyyyyyyyyy 拷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36040" cy="270510"/>
                  </a:xfrm>
                  <a:prstGeom prst="rect">
                    <a:avLst/>
                  </a:prstGeom>
                  <a:noFill/>
                  <a:ln>
                    <a:noFill/>
                  </a:ln>
                  <a:effectLst/>
                </pic:spPr>
              </pic:pic>
            </a:graphicData>
          </a:graphic>
        </wp:anchor>
      </w:drawing>
    </w:r>
    <w:r>
      <w:t></w:t>
    </w:r>
    <w:r>
      <w:rPr>
        <w:rFonts w:hint="eastAsia"/>
      </w:rPr>
      <w:t>浙江中达工程造价事务所有限公司</w:t>
    </w:r>
    <w: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37B836"/>
    <w:multiLevelType w:val="singleLevel"/>
    <w:tmpl w:val="C337B836"/>
    <w:lvl w:ilvl="0" w:tentative="0">
      <w:start w:val="1"/>
      <w:numFmt w:val="chineseCounting"/>
      <w:suff w:val="nothing"/>
      <w:lvlText w:val="%1、"/>
      <w:lvlJc w:val="left"/>
      <w:rPr>
        <w:rFonts w:hint="eastAsia"/>
      </w:rPr>
    </w:lvl>
  </w:abstractNum>
  <w:abstractNum w:abstractNumId="1">
    <w:nsid w:val="D126E1C5"/>
    <w:multiLevelType w:val="singleLevel"/>
    <w:tmpl w:val="D126E1C5"/>
    <w:lvl w:ilvl="0" w:tentative="0">
      <w:start w:val="1"/>
      <w:numFmt w:val="decimal"/>
      <w:lvlText w:val="%1."/>
      <w:lvlJc w:val="left"/>
      <w:pPr>
        <w:ind w:left="425" w:hanging="425"/>
      </w:pPr>
      <w:rPr>
        <w:rFonts w:hint="default"/>
      </w:rPr>
    </w:lvl>
  </w:abstractNum>
  <w:abstractNum w:abstractNumId="2">
    <w:nsid w:val="D5CCB67C"/>
    <w:multiLevelType w:val="singleLevel"/>
    <w:tmpl w:val="D5CCB67C"/>
    <w:lvl w:ilvl="0" w:tentative="0">
      <w:start w:val="12"/>
      <w:numFmt w:val="decimal"/>
      <w:lvlText w:val="%1."/>
      <w:lvlJc w:val="left"/>
      <w:pPr>
        <w:tabs>
          <w:tab w:val="left" w:pos="312"/>
        </w:tabs>
      </w:pPr>
    </w:lvl>
  </w:abstractNum>
  <w:abstractNum w:abstractNumId="3">
    <w:nsid w:val="E01179DD"/>
    <w:multiLevelType w:val="singleLevel"/>
    <w:tmpl w:val="E01179DD"/>
    <w:lvl w:ilvl="0" w:tentative="0">
      <w:start w:val="2"/>
      <w:numFmt w:val="decimal"/>
      <w:suff w:val="nothing"/>
      <w:lvlText w:val="（%1）"/>
      <w:lvlJc w:val="left"/>
    </w:lvl>
  </w:abstractNum>
  <w:abstractNum w:abstractNumId="4">
    <w:nsid w:val="06D9307D"/>
    <w:multiLevelType w:val="singleLevel"/>
    <w:tmpl w:val="06D9307D"/>
    <w:lvl w:ilvl="0" w:tentative="0">
      <w:start w:val="3"/>
      <w:numFmt w:val="chineseCounting"/>
      <w:suff w:val="space"/>
      <w:lvlText w:val="第%1部分"/>
      <w:lvlJc w:val="left"/>
      <w:rPr>
        <w:rFonts w:hint="eastAsia"/>
      </w:rPr>
    </w:lvl>
  </w:abstractNum>
  <w:abstractNum w:abstractNumId="5">
    <w:nsid w:val="23D3D8CC"/>
    <w:multiLevelType w:val="singleLevel"/>
    <w:tmpl w:val="23D3D8CC"/>
    <w:lvl w:ilvl="0" w:tentative="0">
      <w:start w:val="1"/>
      <w:numFmt w:val="decimal"/>
      <w:lvlText w:val="%1."/>
      <w:lvlJc w:val="left"/>
      <w:pPr>
        <w:ind w:left="425" w:hanging="425"/>
      </w:pPr>
      <w:rPr>
        <w:rFonts w:hint="default" w:ascii="宋体" w:hAnsi="宋体" w:eastAsia="宋体" w:cs="宋体"/>
        <w:b w:val="0"/>
        <w:bCs w:val="0"/>
      </w:rPr>
    </w:lvl>
  </w:abstractNum>
  <w:abstractNum w:abstractNumId="6">
    <w:nsid w:val="7BE3086C"/>
    <w:multiLevelType w:val="multilevel"/>
    <w:tmpl w:val="7BE3086C"/>
    <w:lvl w:ilvl="0" w:tentative="0">
      <w:start w:val="1"/>
      <w:numFmt w:val="japaneseCounting"/>
      <w:lvlText w:val="%1、"/>
      <w:lvlJc w:val="left"/>
      <w:pPr>
        <w:ind w:left="864" w:hanging="510"/>
      </w:pPr>
      <w:rPr>
        <w:rFonts w:hint="default"/>
      </w:rPr>
    </w:lvl>
    <w:lvl w:ilvl="1" w:tentative="0">
      <w:start w:val="1"/>
      <w:numFmt w:val="lowerLetter"/>
      <w:lvlText w:val="%2)"/>
      <w:lvlJc w:val="left"/>
      <w:pPr>
        <w:ind w:left="1234" w:hanging="440"/>
      </w:pPr>
    </w:lvl>
    <w:lvl w:ilvl="2" w:tentative="0">
      <w:start w:val="1"/>
      <w:numFmt w:val="lowerRoman"/>
      <w:lvlText w:val="%3."/>
      <w:lvlJc w:val="right"/>
      <w:pPr>
        <w:ind w:left="1674" w:hanging="440"/>
      </w:pPr>
    </w:lvl>
    <w:lvl w:ilvl="3" w:tentative="0">
      <w:start w:val="1"/>
      <w:numFmt w:val="decimal"/>
      <w:lvlText w:val="%4."/>
      <w:lvlJc w:val="left"/>
      <w:pPr>
        <w:ind w:left="2114" w:hanging="440"/>
      </w:pPr>
    </w:lvl>
    <w:lvl w:ilvl="4" w:tentative="0">
      <w:start w:val="1"/>
      <w:numFmt w:val="lowerLetter"/>
      <w:lvlText w:val="%5)"/>
      <w:lvlJc w:val="left"/>
      <w:pPr>
        <w:ind w:left="2554" w:hanging="440"/>
      </w:pPr>
    </w:lvl>
    <w:lvl w:ilvl="5" w:tentative="0">
      <w:start w:val="1"/>
      <w:numFmt w:val="lowerRoman"/>
      <w:lvlText w:val="%6."/>
      <w:lvlJc w:val="right"/>
      <w:pPr>
        <w:ind w:left="2994" w:hanging="440"/>
      </w:pPr>
    </w:lvl>
    <w:lvl w:ilvl="6" w:tentative="0">
      <w:start w:val="1"/>
      <w:numFmt w:val="decimal"/>
      <w:lvlText w:val="%7."/>
      <w:lvlJc w:val="left"/>
      <w:pPr>
        <w:ind w:left="3434" w:hanging="440"/>
      </w:pPr>
    </w:lvl>
    <w:lvl w:ilvl="7" w:tentative="0">
      <w:start w:val="1"/>
      <w:numFmt w:val="lowerLetter"/>
      <w:lvlText w:val="%8)"/>
      <w:lvlJc w:val="left"/>
      <w:pPr>
        <w:ind w:left="3874" w:hanging="440"/>
      </w:pPr>
    </w:lvl>
    <w:lvl w:ilvl="8" w:tentative="0">
      <w:start w:val="1"/>
      <w:numFmt w:val="lowerRoman"/>
      <w:lvlText w:val="%9."/>
      <w:lvlJc w:val="right"/>
      <w:pPr>
        <w:ind w:left="4314" w:hanging="44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MmVjNThjZjcwOWQ1NWQ2YTkwNTgyZThkYWU4ZG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6F6"/>
    <w:rsid w:val="000578A3"/>
    <w:rsid w:val="00057BF3"/>
    <w:rsid w:val="00057D4C"/>
    <w:rsid w:val="00060C48"/>
    <w:rsid w:val="000612C2"/>
    <w:rsid w:val="00061A3C"/>
    <w:rsid w:val="00061C48"/>
    <w:rsid w:val="00064278"/>
    <w:rsid w:val="000646CA"/>
    <w:rsid w:val="000665C4"/>
    <w:rsid w:val="00067821"/>
    <w:rsid w:val="0006785E"/>
    <w:rsid w:val="00067F92"/>
    <w:rsid w:val="00067FA7"/>
    <w:rsid w:val="0007038E"/>
    <w:rsid w:val="0007077C"/>
    <w:rsid w:val="00070825"/>
    <w:rsid w:val="00071152"/>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66"/>
    <w:rsid w:val="00092FE9"/>
    <w:rsid w:val="000936BF"/>
    <w:rsid w:val="0009382F"/>
    <w:rsid w:val="00093A30"/>
    <w:rsid w:val="00094342"/>
    <w:rsid w:val="000945BA"/>
    <w:rsid w:val="00094833"/>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0E1D"/>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5B9"/>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0DB"/>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863"/>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509"/>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ED1"/>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799"/>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3DE3"/>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66B"/>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365"/>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5B70"/>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6D7"/>
    <w:rsid w:val="003D3D83"/>
    <w:rsid w:val="003D4685"/>
    <w:rsid w:val="003D4A41"/>
    <w:rsid w:val="003D4CDF"/>
    <w:rsid w:val="003D514A"/>
    <w:rsid w:val="003D5ADB"/>
    <w:rsid w:val="003D5F35"/>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C8C"/>
    <w:rsid w:val="00410E76"/>
    <w:rsid w:val="004110E8"/>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08F"/>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150"/>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54A"/>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3CAF"/>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82D"/>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390"/>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B8A"/>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89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491"/>
    <w:rsid w:val="006755F0"/>
    <w:rsid w:val="00675745"/>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3E0B"/>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0E4"/>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616"/>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57B"/>
    <w:rsid w:val="007378FD"/>
    <w:rsid w:val="007403FE"/>
    <w:rsid w:val="007413EB"/>
    <w:rsid w:val="007413FB"/>
    <w:rsid w:val="00742D32"/>
    <w:rsid w:val="00742E9B"/>
    <w:rsid w:val="007444E6"/>
    <w:rsid w:val="0074592C"/>
    <w:rsid w:val="00745C91"/>
    <w:rsid w:val="00746098"/>
    <w:rsid w:val="00746D58"/>
    <w:rsid w:val="00747578"/>
    <w:rsid w:val="00750ACA"/>
    <w:rsid w:val="00750BF2"/>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5E8A"/>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1B0"/>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6DB"/>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4C"/>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41AA"/>
    <w:rsid w:val="0085517F"/>
    <w:rsid w:val="0085562D"/>
    <w:rsid w:val="00855A78"/>
    <w:rsid w:val="00856154"/>
    <w:rsid w:val="00856286"/>
    <w:rsid w:val="0085657E"/>
    <w:rsid w:val="00856F0E"/>
    <w:rsid w:val="008573AF"/>
    <w:rsid w:val="008576B0"/>
    <w:rsid w:val="008578E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1AC"/>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87411"/>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018"/>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3656"/>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5CD6"/>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A87"/>
    <w:rsid w:val="00942F8E"/>
    <w:rsid w:val="00943543"/>
    <w:rsid w:val="00943B3A"/>
    <w:rsid w:val="009441DB"/>
    <w:rsid w:val="00944834"/>
    <w:rsid w:val="00946128"/>
    <w:rsid w:val="0094633F"/>
    <w:rsid w:val="00947BA5"/>
    <w:rsid w:val="00950805"/>
    <w:rsid w:val="00950CFF"/>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2DC"/>
    <w:rsid w:val="009604AE"/>
    <w:rsid w:val="009609AF"/>
    <w:rsid w:val="00960DE4"/>
    <w:rsid w:val="009610C7"/>
    <w:rsid w:val="00961164"/>
    <w:rsid w:val="009612A4"/>
    <w:rsid w:val="00961867"/>
    <w:rsid w:val="00961A4F"/>
    <w:rsid w:val="009625B7"/>
    <w:rsid w:val="00962FB8"/>
    <w:rsid w:val="00963183"/>
    <w:rsid w:val="0096373F"/>
    <w:rsid w:val="00964007"/>
    <w:rsid w:val="0096415F"/>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91B"/>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8D9"/>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ED5"/>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A1"/>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E53"/>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56E9D"/>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83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612"/>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6BBE"/>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27EED"/>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B58"/>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5BEE"/>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1F3E"/>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69AC"/>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78A"/>
    <w:rsid w:val="00BF2DDC"/>
    <w:rsid w:val="00BF3054"/>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19E"/>
    <w:rsid w:val="00C0724C"/>
    <w:rsid w:val="00C07C11"/>
    <w:rsid w:val="00C07E10"/>
    <w:rsid w:val="00C10015"/>
    <w:rsid w:val="00C1110A"/>
    <w:rsid w:val="00C11689"/>
    <w:rsid w:val="00C12414"/>
    <w:rsid w:val="00C12ECB"/>
    <w:rsid w:val="00C1387E"/>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3C3A"/>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3C37"/>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35"/>
    <w:rsid w:val="00C95F87"/>
    <w:rsid w:val="00C96035"/>
    <w:rsid w:val="00C968EF"/>
    <w:rsid w:val="00C972CE"/>
    <w:rsid w:val="00CA0492"/>
    <w:rsid w:val="00CA05B0"/>
    <w:rsid w:val="00CA0632"/>
    <w:rsid w:val="00CA0A04"/>
    <w:rsid w:val="00CA2528"/>
    <w:rsid w:val="00CA33D8"/>
    <w:rsid w:val="00CA3BAA"/>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A9B"/>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2F0"/>
    <w:rsid w:val="00D5743F"/>
    <w:rsid w:val="00D57F1F"/>
    <w:rsid w:val="00D60065"/>
    <w:rsid w:val="00D60270"/>
    <w:rsid w:val="00D605C2"/>
    <w:rsid w:val="00D60623"/>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54D"/>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3B8"/>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696"/>
    <w:rsid w:val="00E24A62"/>
    <w:rsid w:val="00E24F52"/>
    <w:rsid w:val="00E255CC"/>
    <w:rsid w:val="00E25636"/>
    <w:rsid w:val="00E25755"/>
    <w:rsid w:val="00E25956"/>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6DD1"/>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4DE0"/>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2624"/>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4E5"/>
    <w:rsid w:val="00E8747D"/>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869"/>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9FD"/>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5C3"/>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5EEC"/>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6FF"/>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4BB"/>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4314"/>
    <w:rsid w:val="00FB5138"/>
    <w:rsid w:val="00FB547F"/>
    <w:rsid w:val="00FB5A71"/>
    <w:rsid w:val="00FB63F6"/>
    <w:rsid w:val="00FB7823"/>
    <w:rsid w:val="00FC05B2"/>
    <w:rsid w:val="00FC08B3"/>
    <w:rsid w:val="00FC09D7"/>
    <w:rsid w:val="00FC0ABE"/>
    <w:rsid w:val="00FC1269"/>
    <w:rsid w:val="00FC22D0"/>
    <w:rsid w:val="00FC3027"/>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C7FFB"/>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D7D7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C43E29"/>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7A115E8"/>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1A67F7"/>
    <w:rsid w:val="12255233"/>
    <w:rsid w:val="12530213"/>
    <w:rsid w:val="127723A9"/>
    <w:rsid w:val="12862074"/>
    <w:rsid w:val="12883966"/>
    <w:rsid w:val="129E45B4"/>
    <w:rsid w:val="12D81596"/>
    <w:rsid w:val="13072A44"/>
    <w:rsid w:val="131A3751"/>
    <w:rsid w:val="135F4BE2"/>
    <w:rsid w:val="139B1A0A"/>
    <w:rsid w:val="139D25C7"/>
    <w:rsid w:val="13BF3CE4"/>
    <w:rsid w:val="13D72EAC"/>
    <w:rsid w:val="141008D8"/>
    <w:rsid w:val="14125FE6"/>
    <w:rsid w:val="146D271E"/>
    <w:rsid w:val="14982588"/>
    <w:rsid w:val="149A5AD9"/>
    <w:rsid w:val="14A7619D"/>
    <w:rsid w:val="150536C3"/>
    <w:rsid w:val="150C1963"/>
    <w:rsid w:val="151447A0"/>
    <w:rsid w:val="154A6454"/>
    <w:rsid w:val="15762120"/>
    <w:rsid w:val="16841530"/>
    <w:rsid w:val="16A8729C"/>
    <w:rsid w:val="16B33777"/>
    <w:rsid w:val="16BC70A7"/>
    <w:rsid w:val="16C6339E"/>
    <w:rsid w:val="172F2D79"/>
    <w:rsid w:val="17557BEF"/>
    <w:rsid w:val="17D349C1"/>
    <w:rsid w:val="18244F26"/>
    <w:rsid w:val="1830729E"/>
    <w:rsid w:val="1870062C"/>
    <w:rsid w:val="18817102"/>
    <w:rsid w:val="18830A15"/>
    <w:rsid w:val="18852B28"/>
    <w:rsid w:val="188B5321"/>
    <w:rsid w:val="18A575F7"/>
    <w:rsid w:val="18EA38C6"/>
    <w:rsid w:val="19932372"/>
    <w:rsid w:val="19A20DD5"/>
    <w:rsid w:val="19AE03F1"/>
    <w:rsid w:val="19B74EE4"/>
    <w:rsid w:val="1A071A03"/>
    <w:rsid w:val="1A1F16AE"/>
    <w:rsid w:val="1A3B5C77"/>
    <w:rsid w:val="1A984BAD"/>
    <w:rsid w:val="1AB8220E"/>
    <w:rsid w:val="1AE4166C"/>
    <w:rsid w:val="1AF06CFB"/>
    <w:rsid w:val="1AF11B8D"/>
    <w:rsid w:val="1B11359C"/>
    <w:rsid w:val="1B2A271F"/>
    <w:rsid w:val="1B3F6DB0"/>
    <w:rsid w:val="1B530544"/>
    <w:rsid w:val="1B713184"/>
    <w:rsid w:val="1B7A205D"/>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75BE1"/>
    <w:rsid w:val="1FE868A9"/>
    <w:rsid w:val="20034907"/>
    <w:rsid w:val="20173E4B"/>
    <w:rsid w:val="204E48BC"/>
    <w:rsid w:val="208921B3"/>
    <w:rsid w:val="20973DEB"/>
    <w:rsid w:val="20B26522"/>
    <w:rsid w:val="20B44310"/>
    <w:rsid w:val="211116EB"/>
    <w:rsid w:val="216133FC"/>
    <w:rsid w:val="21C418CA"/>
    <w:rsid w:val="21D56769"/>
    <w:rsid w:val="21E52EF3"/>
    <w:rsid w:val="21FB5D7B"/>
    <w:rsid w:val="22015E94"/>
    <w:rsid w:val="220B1C3D"/>
    <w:rsid w:val="221D1D20"/>
    <w:rsid w:val="22334A87"/>
    <w:rsid w:val="22BE6801"/>
    <w:rsid w:val="22DD2113"/>
    <w:rsid w:val="233500BF"/>
    <w:rsid w:val="23377FF7"/>
    <w:rsid w:val="236B425F"/>
    <w:rsid w:val="23836192"/>
    <w:rsid w:val="23901F29"/>
    <w:rsid w:val="239C0061"/>
    <w:rsid w:val="23B908A4"/>
    <w:rsid w:val="23E95BEF"/>
    <w:rsid w:val="23FD0064"/>
    <w:rsid w:val="245375B0"/>
    <w:rsid w:val="24642C0A"/>
    <w:rsid w:val="24B22173"/>
    <w:rsid w:val="24B24BBD"/>
    <w:rsid w:val="24B95AD9"/>
    <w:rsid w:val="24BE24DA"/>
    <w:rsid w:val="24CF5825"/>
    <w:rsid w:val="24D663E6"/>
    <w:rsid w:val="24D77F2B"/>
    <w:rsid w:val="258B00E2"/>
    <w:rsid w:val="25902C01"/>
    <w:rsid w:val="25A917A6"/>
    <w:rsid w:val="25BE27CC"/>
    <w:rsid w:val="25F74A5C"/>
    <w:rsid w:val="2628662C"/>
    <w:rsid w:val="262D45DE"/>
    <w:rsid w:val="26871DC8"/>
    <w:rsid w:val="26A53EF9"/>
    <w:rsid w:val="26A94201"/>
    <w:rsid w:val="26AC274F"/>
    <w:rsid w:val="27044A29"/>
    <w:rsid w:val="271D34C8"/>
    <w:rsid w:val="27440207"/>
    <w:rsid w:val="275E2215"/>
    <w:rsid w:val="276142BF"/>
    <w:rsid w:val="27783712"/>
    <w:rsid w:val="27907362"/>
    <w:rsid w:val="28333E1D"/>
    <w:rsid w:val="28454BD6"/>
    <w:rsid w:val="28455253"/>
    <w:rsid w:val="28551971"/>
    <w:rsid w:val="285B1C53"/>
    <w:rsid w:val="2893066F"/>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1B109C"/>
    <w:rsid w:val="317A135D"/>
    <w:rsid w:val="319C6071"/>
    <w:rsid w:val="31AC537E"/>
    <w:rsid w:val="31E3679B"/>
    <w:rsid w:val="31E732FD"/>
    <w:rsid w:val="32517576"/>
    <w:rsid w:val="32BE5C2C"/>
    <w:rsid w:val="32FB6478"/>
    <w:rsid w:val="33263B3F"/>
    <w:rsid w:val="336963EB"/>
    <w:rsid w:val="33816EEB"/>
    <w:rsid w:val="339B14C7"/>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930F8"/>
    <w:rsid w:val="3E0D48F6"/>
    <w:rsid w:val="3E1868B4"/>
    <w:rsid w:val="3E377251"/>
    <w:rsid w:val="3E42664B"/>
    <w:rsid w:val="3E522CF1"/>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7E044B"/>
    <w:rsid w:val="428667D2"/>
    <w:rsid w:val="42B217C8"/>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A47E62"/>
    <w:rsid w:val="46C4686E"/>
    <w:rsid w:val="477B778F"/>
    <w:rsid w:val="478203EC"/>
    <w:rsid w:val="47B025FA"/>
    <w:rsid w:val="47D26C51"/>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394D65"/>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390829"/>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735DE2"/>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02083"/>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25706"/>
    <w:rsid w:val="624F3E49"/>
    <w:rsid w:val="62632286"/>
    <w:rsid w:val="62885958"/>
    <w:rsid w:val="628C4DA7"/>
    <w:rsid w:val="62C423F5"/>
    <w:rsid w:val="62F40B65"/>
    <w:rsid w:val="62FC2CFE"/>
    <w:rsid w:val="63024505"/>
    <w:rsid w:val="63526C12"/>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5765D7"/>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2C06E3"/>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A92C51"/>
    <w:rsid w:val="76C87133"/>
    <w:rsid w:val="76CD08D5"/>
    <w:rsid w:val="76DB4B92"/>
    <w:rsid w:val="77052AA4"/>
    <w:rsid w:val="77136511"/>
    <w:rsid w:val="77340A39"/>
    <w:rsid w:val="77351FD0"/>
    <w:rsid w:val="77472422"/>
    <w:rsid w:val="777F31F2"/>
    <w:rsid w:val="77D1700D"/>
    <w:rsid w:val="77EC04CC"/>
    <w:rsid w:val="781225CE"/>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170BC"/>
    <w:rsid w:val="7B667AF9"/>
    <w:rsid w:val="7B7468F8"/>
    <w:rsid w:val="7BEE0103"/>
    <w:rsid w:val="7C0A0FE4"/>
    <w:rsid w:val="7C254906"/>
    <w:rsid w:val="7C590818"/>
    <w:rsid w:val="7C7C10F6"/>
    <w:rsid w:val="7C853BEA"/>
    <w:rsid w:val="7C881368"/>
    <w:rsid w:val="7CE27788"/>
    <w:rsid w:val="7D0C32F1"/>
    <w:rsid w:val="7D0F408D"/>
    <w:rsid w:val="7D154658"/>
    <w:rsid w:val="7D3B70AE"/>
    <w:rsid w:val="7D491C6C"/>
    <w:rsid w:val="7D5429C0"/>
    <w:rsid w:val="7D6E6D43"/>
    <w:rsid w:val="7DA500D2"/>
    <w:rsid w:val="7DB57A34"/>
    <w:rsid w:val="7DE60973"/>
    <w:rsid w:val="7DEF0916"/>
    <w:rsid w:val="7E1E5218"/>
    <w:rsid w:val="7E751B09"/>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5"/>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5"/>
    <w:autoRedefine/>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428"/>
    <w:autoRedefine/>
    <w:qFormat/>
    <w:uiPriority w:val="0"/>
    <w:pPr>
      <w:autoSpaceDE w:val="0"/>
      <w:autoSpaceDN w:val="0"/>
      <w:spacing w:line="360" w:lineRule="auto"/>
    </w:pPr>
    <w:rPr>
      <w:rFonts w:ascii="宋体" w:hAnsi="Arial" w:cs="Arial"/>
      <w:snapToGrid w:val="0"/>
      <w:sz w:val="24"/>
      <w:szCs w:val="21"/>
      <w:lang w:val="zh-CN"/>
    </w:rPr>
  </w:style>
  <w:style w:type="paragraph" w:customStyle="1" w:styleId="3">
    <w:name w:val="Default"/>
    <w:next w:val="4"/>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styleId="8">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autoRedefine/>
    <w:qFormat/>
    <w:uiPriority w:val="0"/>
    <w:pPr>
      <w:ind w:left="2520" w:leftChars="1200"/>
    </w:pPr>
  </w:style>
  <w:style w:type="paragraph" w:styleId="16">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228"/>
    <w:autoRedefine/>
    <w:qFormat/>
    <w:uiPriority w:val="0"/>
    <w:rPr>
      <w:b/>
      <w:sz w:val="28"/>
      <w:szCs w:val="20"/>
    </w:rPr>
  </w:style>
  <w:style w:type="paragraph" w:styleId="20">
    <w:name w:val="index 5"/>
    <w:basedOn w:val="1"/>
    <w:next w:val="1"/>
    <w:autoRedefine/>
    <w:qFormat/>
    <w:uiPriority w:val="0"/>
    <w:pPr>
      <w:adjustRightInd/>
      <w:ind w:left="800" w:leftChars="800" w:firstLine="200" w:firstLineChars="200"/>
    </w:pPr>
  </w:style>
  <w:style w:type="paragraph" w:styleId="21">
    <w:name w:val="Document Map"/>
    <w:basedOn w:val="1"/>
    <w:link w:val="201"/>
    <w:autoRedefine/>
    <w:qFormat/>
    <w:uiPriority w:val="0"/>
    <w:pPr>
      <w:shd w:val="clear" w:color="auto" w:fill="000080"/>
    </w:pPr>
  </w:style>
  <w:style w:type="paragraph" w:styleId="22">
    <w:name w:val="annotation text"/>
    <w:basedOn w:val="1"/>
    <w:link w:val="342"/>
    <w:autoRedefine/>
    <w:qFormat/>
    <w:uiPriority w:val="99"/>
    <w:pPr>
      <w:jc w:val="left"/>
    </w:pPr>
  </w:style>
  <w:style w:type="paragraph" w:styleId="23">
    <w:name w:val="Salutation"/>
    <w:basedOn w:val="1"/>
    <w:next w:val="1"/>
    <w:link w:val="296"/>
    <w:autoRedefine/>
    <w:qFormat/>
    <w:uiPriority w:val="0"/>
    <w:rPr>
      <w:rFonts w:ascii="仿宋_GB2312" w:eastAsia="仿宋_GB2312"/>
      <w:sz w:val="28"/>
      <w:szCs w:val="20"/>
    </w:rPr>
  </w:style>
  <w:style w:type="paragraph" w:styleId="24">
    <w:name w:val="Body Text 3"/>
    <w:basedOn w:val="1"/>
    <w:link w:val="328"/>
    <w:autoRedefine/>
    <w:qFormat/>
    <w:uiPriority w:val="0"/>
    <w:pPr>
      <w:jc w:val="center"/>
    </w:pPr>
    <w:rPr>
      <w:szCs w:val="20"/>
    </w:rPr>
  </w:style>
  <w:style w:type="paragraph" w:styleId="25">
    <w:name w:val="List Bullet 3"/>
    <w:basedOn w:val="1"/>
    <w:autoRedefine/>
    <w:unhideWhenUsed/>
    <w:qFormat/>
    <w:uiPriority w:val="0"/>
    <w:pPr>
      <w:snapToGrid w:val="0"/>
      <w:spacing w:line="360" w:lineRule="auto"/>
      <w:ind w:left="360" w:right="238" w:hanging="360"/>
      <w:contextualSpacing/>
    </w:pPr>
    <w:rPr>
      <w:sz w:val="24"/>
    </w:rPr>
  </w:style>
  <w:style w:type="paragraph" w:styleId="26">
    <w:name w:val="Body Text Indent"/>
    <w:basedOn w:val="1"/>
    <w:next w:val="1"/>
    <w:link w:val="263"/>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4"/>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0"/>
    <w:autoRedefine/>
    <w:qFormat/>
    <w:uiPriority w:val="0"/>
    <w:pPr>
      <w:ind w:left="100" w:leftChars="2500"/>
    </w:pPr>
    <w:rPr>
      <w:rFonts w:ascii="宋体"/>
      <w:sz w:val="24"/>
      <w:szCs w:val="21"/>
      <w:lang w:val="zh-CN"/>
    </w:rPr>
  </w:style>
  <w:style w:type="paragraph" w:styleId="38">
    <w:name w:val="Body Text Indent 2"/>
    <w:basedOn w:val="1"/>
    <w:link w:val="306"/>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0"/>
    <w:autoRedefine/>
    <w:qFormat/>
    <w:uiPriority w:val="0"/>
    <w:rPr>
      <w:lang w:val="zh-CN"/>
    </w:rPr>
  </w:style>
  <w:style w:type="paragraph" w:styleId="40">
    <w:name w:val="Balloon Text"/>
    <w:basedOn w:val="1"/>
    <w:link w:val="187"/>
    <w:autoRedefine/>
    <w:qFormat/>
    <w:uiPriority w:val="0"/>
    <w:rPr>
      <w:sz w:val="18"/>
      <w:szCs w:val="18"/>
    </w:rPr>
  </w:style>
  <w:style w:type="paragraph" w:styleId="41">
    <w:name w:val="footer"/>
    <w:basedOn w:val="1"/>
    <w:link w:val="381"/>
    <w:autoRedefine/>
    <w:qFormat/>
    <w:uiPriority w:val="99"/>
    <w:pPr>
      <w:tabs>
        <w:tab w:val="center" w:pos="4153"/>
        <w:tab w:val="right" w:pos="8306"/>
      </w:tabs>
      <w:snapToGrid w:val="0"/>
      <w:jc w:val="left"/>
    </w:pPr>
    <w:rPr>
      <w:sz w:val="18"/>
      <w:szCs w:val="18"/>
    </w:rPr>
  </w:style>
  <w:style w:type="paragraph" w:styleId="42">
    <w:name w:val="header"/>
    <w:basedOn w:val="1"/>
    <w:link w:val="390"/>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8"/>
    <w:link w:val="308"/>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3"/>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0"/>
    <w:autoRedefine/>
    <w:qFormat/>
    <w:uiPriority w:val="0"/>
    <w:pPr>
      <w:spacing w:after="120" w:line="480" w:lineRule="auto"/>
    </w:pPr>
  </w:style>
  <w:style w:type="paragraph" w:styleId="58">
    <w:name w:val="HTML Preformatted"/>
    <w:basedOn w:val="1"/>
    <w:link w:val="29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95"/>
    <w:autoRedefine/>
    <w:qFormat/>
    <w:uiPriority w:val="0"/>
    <w:rPr>
      <w:b/>
      <w:bCs/>
    </w:rPr>
  </w:style>
  <w:style w:type="paragraph" w:styleId="62">
    <w:name w:val="Body Text First Indent"/>
    <w:basedOn w:val="2"/>
    <w:next w:val="1"/>
    <w:link w:val="319"/>
    <w:autoRedefine/>
    <w:qFormat/>
    <w:uiPriority w:val="0"/>
    <w:pPr>
      <w:ind w:firstLine="420"/>
    </w:pPr>
    <w:rPr>
      <w:rFonts w:hAnsi="Calibri" w:cs="Times New Roman"/>
      <w:snapToGrid/>
      <w:szCs w:val="20"/>
    </w:rPr>
  </w:style>
  <w:style w:type="paragraph" w:styleId="63">
    <w:name w:val="Body Text First Indent 2"/>
    <w:basedOn w:val="26"/>
    <w:next w:val="1"/>
    <w:link w:val="120"/>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字符"/>
    <w:link w:val="61"/>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3"/>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71"/>
    <w:autoRedefine/>
    <w:qFormat/>
    <w:uiPriority w:val="0"/>
    <w:rPr>
      <w:rFonts w:ascii="Arial" w:hAnsi="Arial" w:eastAsia="黑体" w:cs="Arial"/>
      <w:snapToGrid w:val="0"/>
      <w:kern w:val="0"/>
      <w:szCs w:val="21"/>
    </w:rPr>
  </w:style>
  <w:style w:type="character" w:customStyle="1" w:styleId="124">
    <w:name w:val="纯文本 字符1"/>
    <w:link w:val="34"/>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字符"/>
    <w:link w:val="48"/>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字符"/>
    <w:link w:val="11"/>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6"/>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字符"/>
    <w:link w:val="37"/>
    <w:autoRedefine/>
    <w:qFormat/>
    <w:uiPriority w:val="0"/>
    <w:rPr>
      <w:rFonts w:ascii="宋体"/>
      <w:kern w:val="2"/>
      <w:sz w:val="24"/>
      <w:szCs w:val="21"/>
      <w:lang w:val="zh-CN"/>
    </w:rPr>
  </w:style>
  <w:style w:type="character" w:customStyle="1" w:styleId="181">
    <w:name w:val="标题 9 字符"/>
    <w:link w:val="14"/>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0"/>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字符1"/>
    <w:link w:val="40"/>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8"/>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7"/>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字符"/>
    <w:link w:val="21"/>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71"/>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字符"/>
    <w:link w:val="31"/>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9"/>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字符"/>
    <w:link w:val="19"/>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3"/>
    <w:autoRedefine/>
    <w:qFormat/>
    <w:uiPriority w:val="0"/>
    <w:rPr>
      <w:rFonts w:ascii="仿宋_GB2312" w:eastAsia="仿宋_GB2312" w:cs="仿宋_GB2312"/>
      <w:color w:val="000000"/>
      <w:sz w:val="24"/>
      <w:szCs w:val="24"/>
      <w:lang w:val="en-US" w:eastAsia="zh-CN" w:bidi="ar-SA"/>
    </w:rPr>
  </w:style>
  <w:style w:type="character" w:customStyle="1" w:styleId="234">
    <w:name w:val="style91"/>
    <w:autoRedefine/>
    <w:qFormat/>
    <w:uiPriority w:val="0"/>
    <w:rPr>
      <w:color w:val="333333"/>
    </w:rPr>
  </w:style>
  <w:style w:type="character" w:customStyle="1" w:styleId="235">
    <w:name w:val="列出段落 Char2"/>
    <w:autoRedefine/>
    <w:qFormat/>
    <w:uiPriority w:val="34"/>
    <w:rPr>
      <w:rFonts w:ascii="Calibri" w:hAnsi="Calibri"/>
      <w:kern w:val="2"/>
      <w:sz w:val="28"/>
    </w:rPr>
  </w:style>
  <w:style w:type="character" w:customStyle="1" w:styleId="236">
    <w:name w:val="mdeck"/>
    <w:autoRedefine/>
    <w:qFormat/>
    <w:uiPriority w:val="0"/>
    <w:rPr>
      <w:rFonts w:ascii="仿宋_GB2312" w:eastAsia="微软雅黑"/>
      <w:b/>
      <w:kern w:val="2"/>
      <w:sz w:val="32"/>
      <w:szCs w:val="32"/>
      <w:lang w:val="en-US" w:eastAsia="zh-CN" w:bidi="ar-SA"/>
    </w:rPr>
  </w:style>
  <w:style w:type="character" w:customStyle="1" w:styleId="237">
    <w:name w:val="unnamed11"/>
    <w:autoRedefine/>
    <w:qFormat/>
    <w:uiPriority w:val="0"/>
    <w:rPr>
      <w:sz w:val="20"/>
      <w:szCs w:val="20"/>
    </w:rPr>
  </w:style>
  <w:style w:type="character" w:customStyle="1" w:styleId="238">
    <w:name w:val="正文文本 Char2"/>
    <w:autoRedefine/>
    <w:semiHidden/>
    <w:qFormat/>
    <w:uiPriority w:val="99"/>
    <w:rPr>
      <w:rFonts w:ascii="Times New Roman" w:hAnsi="Times New Roman" w:eastAsia="宋体" w:cs="Times New Roman"/>
      <w:snapToGrid w:val="0"/>
      <w:kern w:val="0"/>
      <w:szCs w:val="24"/>
    </w:rPr>
  </w:style>
  <w:style w:type="character" w:customStyle="1" w:styleId="239">
    <w:name w:val="标书正文格式 Char"/>
    <w:autoRedefine/>
    <w:qFormat/>
    <w:uiPriority w:val="0"/>
    <w:rPr>
      <w:rFonts w:eastAsia="楷体_GB2312"/>
      <w:kern w:val="2"/>
      <w:sz w:val="24"/>
      <w:szCs w:val="24"/>
      <w:lang w:bidi="ar-SA"/>
    </w:rPr>
  </w:style>
  <w:style w:type="character" w:customStyle="1" w:styleId="240">
    <w:name w:val="Char Char11"/>
    <w:autoRedefine/>
    <w:qFormat/>
    <w:locked/>
    <w:uiPriority w:val="0"/>
    <w:rPr>
      <w:rFonts w:ascii="宋体" w:hAnsi="宋体" w:eastAsia="宋体"/>
      <w:b/>
      <w:kern w:val="2"/>
      <w:sz w:val="24"/>
      <w:szCs w:val="24"/>
      <w:lang w:val="en-US" w:eastAsia="zh-CN" w:bidi="ar-SA"/>
    </w:rPr>
  </w:style>
  <w:style w:type="character" w:customStyle="1" w:styleId="241">
    <w:name w:val="ca-131"/>
    <w:autoRedefine/>
    <w:qFormat/>
    <w:uiPriority w:val="0"/>
    <w:rPr>
      <w:rFonts w:hint="eastAsia" w:ascii="仿宋_GB2312" w:eastAsia="仿宋_GB2312"/>
      <w:b/>
      <w:bCs/>
      <w:color w:val="000000"/>
      <w:spacing w:val="-20"/>
      <w:sz w:val="24"/>
      <w:szCs w:val="24"/>
    </w:rPr>
  </w:style>
  <w:style w:type="character" w:customStyle="1" w:styleId="242">
    <w:name w:val="tw4winMark"/>
    <w:autoRedefine/>
    <w:qFormat/>
    <w:uiPriority w:val="0"/>
    <w:rPr>
      <w:rFonts w:ascii="Courier New" w:hAnsi="Courier New" w:cs="Courier New"/>
      <w:vanish/>
      <w:color w:val="800080"/>
      <w:sz w:val="24"/>
      <w:szCs w:val="24"/>
      <w:vertAlign w:val="subscript"/>
    </w:rPr>
  </w:style>
  <w:style w:type="character" w:customStyle="1" w:styleId="243">
    <w:name w:val="正文样式 Char"/>
    <w:link w:val="244"/>
    <w:autoRedefine/>
    <w:qFormat/>
    <w:uiPriority w:val="0"/>
    <w:rPr>
      <w:rFonts w:ascii="Calibri" w:hAnsi="Calibri"/>
      <w:sz w:val="24"/>
      <w:szCs w:val="24"/>
    </w:rPr>
  </w:style>
  <w:style w:type="paragraph" w:customStyle="1" w:styleId="244">
    <w:name w:val="正文样式"/>
    <w:basedOn w:val="1"/>
    <w:link w:val="243"/>
    <w:autoRedefine/>
    <w:qFormat/>
    <w:uiPriority w:val="0"/>
    <w:pPr>
      <w:adjustRightInd/>
      <w:spacing w:line="360" w:lineRule="auto"/>
      <w:ind w:firstLine="480" w:firstLineChars="200"/>
    </w:pPr>
    <w:rPr>
      <w:kern w:val="0"/>
      <w:sz w:val="24"/>
    </w:rPr>
  </w:style>
  <w:style w:type="character" w:customStyle="1" w:styleId="245">
    <w:name w:val="表正文 Char3"/>
    <w:autoRedefine/>
    <w:qFormat/>
    <w:uiPriority w:val="0"/>
    <w:rPr>
      <w:rFonts w:eastAsia="宋体"/>
    </w:rPr>
  </w:style>
  <w:style w:type="character" w:customStyle="1" w:styleId="246">
    <w:name w:val="H5 Char"/>
    <w:autoRedefine/>
    <w:qFormat/>
    <w:uiPriority w:val="0"/>
    <w:rPr>
      <w:b/>
      <w:bCs/>
      <w:kern w:val="2"/>
      <w:sz w:val="28"/>
      <w:szCs w:val="28"/>
    </w:rPr>
  </w:style>
  <w:style w:type="character" w:customStyle="1" w:styleId="247">
    <w:name w:val="Char Char3"/>
    <w:autoRedefine/>
    <w:qFormat/>
    <w:uiPriority w:val="0"/>
    <w:rPr>
      <w:rFonts w:eastAsia="宋体"/>
      <w:kern w:val="2"/>
      <w:sz w:val="21"/>
      <w:szCs w:val="24"/>
      <w:lang w:val="en-US" w:eastAsia="zh-CN" w:bidi="ar-SA"/>
    </w:rPr>
  </w:style>
  <w:style w:type="character" w:customStyle="1" w:styleId="248">
    <w:name w:val="正文 编号 Char"/>
    <w:autoRedefine/>
    <w:qFormat/>
    <w:uiPriority w:val="0"/>
    <w:rPr>
      <w:rFonts w:ascii="仿宋_GB2312" w:hAnsi="仿宋_GB2312" w:eastAsia="仿宋_GB2312"/>
      <w:kern w:val="2"/>
      <w:sz w:val="24"/>
      <w:lang w:bidi="ar-SA"/>
    </w:rPr>
  </w:style>
  <w:style w:type="character" w:customStyle="1" w:styleId="249">
    <w:name w:val="question-title2"/>
    <w:autoRedefine/>
    <w:qFormat/>
    <w:uiPriority w:val="6"/>
    <w:rPr>
      <w:rFonts w:ascii="Arial" w:hAnsi="Arial" w:eastAsia="黑体" w:cs="Arial"/>
      <w:snapToGrid w:val="0"/>
      <w:kern w:val="0"/>
      <w:szCs w:val="21"/>
    </w:rPr>
  </w:style>
  <w:style w:type="character" w:customStyle="1" w:styleId="250">
    <w:name w:val="gf正文1 Char Char"/>
    <w:link w:val="251"/>
    <w:autoRedefine/>
    <w:qFormat/>
    <w:uiPriority w:val="0"/>
    <w:rPr>
      <w:rFonts w:ascii="宋体" w:hAnsi="宋体" w:cs="宋体"/>
      <w:kern w:val="2"/>
      <w:sz w:val="24"/>
      <w:szCs w:val="24"/>
    </w:rPr>
  </w:style>
  <w:style w:type="paragraph" w:customStyle="1" w:styleId="251">
    <w:name w:val="gf正文1"/>
    <w:basedOn w:val="1"/>
    <w:link w:val="250"/>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autoRedefine/>
    <w:qFormat/>
    <w:uiPriority w:val="6"/>
    <w:rPr>
      <w:rFonts w:ascii="宋体" w:hAnsi="宋体"/>
      <w:kern w:val="1"/>
      <w:sz w:val="21"/>
    </w:rPr>
  </w:style>
  <w:style w:type="character" w:customStyle="1" w:styleId="253">
    <w:name w:val="正文缩进 Char3"/>
    <w:autoRedefine/>
    <w:qFormat/>
    <w:uiPriority w:val="0"/>
    <w:rPr>
      <w:rFonts w:ascii="宋体" w:eastAsia="宋体"/>
      <w:snapToGrid w:val="0"/>
      <w:color w:val="000000"/>
      <w:kern w:val="28"/>
      <w:sz w:val="28"/>
      <w:lang w:val="en-US" w:eastAsia="zh-CN" w:bidi="ar-SA"/>
    </w:rPr>
  </w:style>
  <w:style w:type="character" w:customStyle="1" w:styleId="254">
    <w:name w:val="列出段落 Char1"/>
    <w:link w:val="255"/>
    <w:autoRedefine/>
    <w:qFormat/>
    <w:uiPriority w:val="0"/>
    <w:rPr>
      <w:rFonts w:ascii="Calibri" w:hAnsi="Calibri"/>
      <w:sz w:val="24"/>
      <w:lang w:eastAsia="en-US"/>
    </w:rPr>
  </w:style>
  <w:style w:type="paragraph" w:customStyle="1" w:styleId="255">
    <w:name w:val="列表1"/>
    <w:basedOn w:val="1"/>
    <w:next w:val="256"/>
    <w:link w:val="25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7">
    <w:name w:val="Char Char8"/>
    <w:autoRedefine/>
    <w:qFormat/>
    <w:uiPriority w:val="0"/>
    <w:rPr>
      <w:rFonts w:eastAsia="宋体"/>
      <w:b/>
      <w:sz w:val="24"/>
      <w:lang w:val="en-GB" w:eastAsia="zh-CN"/>
    </w:rPr>
  </w:style>
  <w:style w:type="character" w:customStyle="1" w:styleId="258">
    <w:name w:val="Normal Indent Char Char"/>
    <w:autoRedefine/>
    <w:qFormat/>
    <w:uiPriority w:val="0"/>
    <w:rPr>
      <w:rFonts w:eastAsia="宋体"/>
      <w:kern w:val="2"/>
      <w:sz w:val="21"/>
      <w:lang w:val="en-US" w:eastAsia="zh-CN" w:bidi="ar-SA"/>
    </w:rPr>
  </w:style>
  <w:style w:type="character" w:customStyle="1" w:styleId="259">
    <w:name w:val="列表段落 字符"/>
    <w:autoRedefine/>
    <w:qFormat/>
    <w:uiPriority w:val="99"/>
  </w:style>
  <w:style w:type="character" w:customStyle="1" w:styleId="260">
    <w:name w:val="Ò³Ã¼ Char Char1"/>
    <w:autoRedefine/>
    <w:qFormat/>
    <w:uiPriority w:val="0"/>
    <w:rPr>
      <w:rFonts w:eastAsia="宋体"/>
      <w:kern w:val="2"/>
      <w:sz w:val="18"/>
      <w:szCs w:val="18"/>
      <w:lang w:val="en-US" w:eastAsia="zh-CN" w:bidi="ar-SA"/>
    </w:rPr>
  </w:style>
  <w:style w:type="character" w:customStyle="1" w:styleId="261">
    <w:name w:val="方案正文 Char"/>
    <w:autoRedefine/>
    <w:qFormat/>
    <w:uiPriority w:val="0"/>
    <w:rPr>
      <w:rFonts w:ascii="仿宋_GB2312" w:eastAsia="仿宋_GB2312"/>
      <w:b/>
      <w:color w:val="000000"/>
      <w:kern w:val="2"/>
      <w:sz w:val="24"/>
      <w:lang w:val="en-US" w:eastAsia="zh-CN" w:bidi="ar-SA"/>
    </w:rPr>
  </w:style>
  <w:style w:type="character" w:customStyle="1" w:styleId="262">
    <w:name w:val="Char Char30"/>
    <w:autoRedefine/>
    <w:qFormat/>
    <w:uiPriority w:val="6"/>
    <w:rPr>
      <w:rFonts w:ascii="Arial" w:hAnsi="Arial" w:eastAsia="黑体"/>
      <w:kern w:val="1"/>
      <w:sz w:val="21"/>
      <w:szCs w:val="21"/>
    </w:rPr>
  </w:style>
  <w:style w:type="character" w:customStyle="1" w:styleId="263">
    <w:name w:val="正文文本缩进 字符1"/>
    <w:link w:val="26"/>
    <w:autoRedefine/>
    <w:qFormat/>
    <w:uiPriority w:val="0"/>
    <w:rPr>
      <w:rFonts w:ascii="宋体" w:hAnsi="宋体"/>
      <w:kern w:val="2"/>
      <w:sz w:val="24"/>
      <w:szCs w:val="24"/>
    </w:rPr>
  </w:style>
  <w:style w:type="character" w:customStyle="1" w:styleId="264">
    <w:name w:val="font01"/>
    <w:autoRedefine/>
    <w:qFormat/>
    <w:uiPriority w:val="0"/>
    <w:rPr>
      <w:rFonts w:hint="eastAsia" w:ascii="微软雅黑" w:hAnsi="微软雅黑" w:eastAsia="微软雅黑" w:cs="微软雅黑"/>
      <w:color w:val="000000"/>
      <w:sz w:val="20"/>
      <w:szCs w:val="20"/>
      <w:u w:val="none"/>
    </w:rPr>
  </w:style>
  <w:style w:type="character" w:customStyle="1" w:styleId="265">
    <w:name w:val="Char Char20"/>
    <w:autoRedefine/>
    <w:qFormat/>
    <w:uiPriority w:val="6"/>
    <w:rPr>
      <w:kern w:val="1"/>
      <w:sz w:val="24"/>
    </w:rPr>
  </w:style>
  <w:style w:type="character" w:customStyle="1" w:styleId="266">
    <w:name w:val="tw4winExternal"/>
    <w:autoRedefine/>
    <w:qFormat/>
    <w:uiPriority w:val="0"/>
    <w:rPr>
      <w:rFonts w:ascii="Courier New" w:hAnsi="Courier New" w:cs="Courier New"/>
      <w:color w:val="808080"/>
      <w:lang w:val="en-US" w:eastAsia="zh-CN"/>
    </w:rPr>
  </w:style>
  <w:style w:type="character" w:customStyle="1" w:styleId="267">
    <w:name w:val="标题 4 Char1"/>
    <w:autoRedefine/>
    <w:qFormat/>
    <w:uiPriority w:val="9"/>
    <w:rPr>
      <w:rFonts w:ascii="Cambria" w:hAnsi="Cambria" w:eastAsia="宋体" w:cs="Times New Roman"/>
      <w:b/>
      <w:bCs/>
      <w:kern w:val="2"/>
      <w:sz w:val="28"/>
      <w:szCs w:val="28"/>
    </w:rPr>
  </w:style>
  <w:style w:type="character" w:customStyle="1" w:styleId="268">
    <w:name w:val="批注文字 Char2"/>
    <w:autoRedefine/>
    <w:qFormat/>
    <w:uiPriority w:val="99"/>
    <w:rPr>
      <w:rFonts w:ascii="Times New Roman" w:hAnsi="Times New Roman" w:eastAsia="宋体" w:cs="Times New Roman"/>
      <w:snapToGrid w:val="0"/>
      <w:kern w:val="0"/>
      <w:szCs w:val="24"/>
    </w:rPr>
  </w:style>
  <w:style w:type="character" w:customStyle="1" w:styleId="269">
    <w:name w:val="正文文本 2 Char"/>
    <w:autoRedefine/>
    <w:qFormat/>
    <w:uiPriority w:val="0"/>
    <w:rPr>
      <w:rFonts w:eastAsia="宋体"/>
      <w:kern w:val="2"/>
      <w:sz w:val="21"/>
      <w:szCs w:val="24"/>
      <w:lang w:val="en-US" w:eastAsia="zh-CN" w:bidi="ar-SA"/>
    </w:rPr>
  </w:style>
  <w:style w:type="character" w:customStyle="1" w:styleId="270">
    <w:name w:val="Ò³Ã¼ Char Char"/>
    <w:autoRedefine/>
    <w:qFormat/>
    <w:uiPriority w:val="0"/>
    <w:rPr>
      <w:rFonts w:eastAsia="宋体"/>
      <w:kern w:val="2"/>
      <w:sz w:val="18"/>
      <w:lang w:val="en-US" w:eastAsia="zh-CN" w:bidi="ar-SA"/>
    </w:rPr>
  </w:style>
  <w:style w:type="character" w:customStyle="1" w:styleId="271">
    <w:name w:val="message1"/>
    <w:autoRedefine/>
    <w:qFormat/>
    <w:uiPriority w:val="0"/>
    <w:rPr>
      <w:rFonts w:hint="default" w:ascii="Tahoma" w:hAnsi="Tahoma" w:cs="Tahoma"/>
      <w:sz w:val="18"/>
      <w:szCs w:val="18"/>
    </w:rPr>
  </w:style>
  <w:style w:type="character" w:customStyle="1" w:styleId="272">
    <w:name w:val="Char Char23"/>
    <w:autoRedefine/>
    <w:qFormat/>
    <w:uiPriority w:val="6"/>
    <w:rPr>
      <w:color w:val="0000FF"/>
      <w:sz w:val="21"/>
    </w:rPr>
  </w:style>
  <w:style w:type="character" w:customStyle="1" w:styleId="273">
    <w:name w:val="批注框文本 字符"/>
    <w:autoRedefine/>
    <w:qFormat/>
    <w:uiPriority w:val="0"/>
    <w:rPr>
      <w:rFonts w:ascii="Arial" w:hAnsi="Arial" w:eastAsia="黑体" w:cs="Arial"/>
      <w:snapToGrid w:val="0"/>
      <w:kern w:val="0"/>
      <w:sz w:val="18"/>
      <w:szCs w:val="18"/>
    </w:rPr>
  </w:style>
  <w:style w:type="character" w:customStyle="1" w:styleId="274">
    <w:name w:val="纯文本 Char2"/>
    <w:autoRedefine/>
    <w:semiHidden/>
    <w:qFormat/>
    <w:uiPriority w:val="99"/>
    <w:rPr>
      <w:rFonts w:ascii="宋体" w:hAnsi="Courier New" w:eastAsia="宋体" w:cs="Courier New"/>
    </w:rPr>
  </w:style>
  <w:style w:type="character" w:customStyle="1" w:styleId="275">
    <w:name w:val="Char Char25"/>
    <w:autoRedefine/>
    <w:qFormat/>
    <w:uiPriority w:val="6"/>
    <w:rPr>
      <w:rFonts w:ascii="宋体" w:hAnsi="宋体"/>
      <w:kern w:val="1"/>
      <w:sz w:val="24"/>
      <w:lang w:val="zh-CN"/>
    </w:rPr>
  </w:style>
  <w:style w:type="character" w:customStyle="1" w:styleId="276">
    <w:name w:val="Char Char411"/>
    <w:autoRedefine/>
    <w:qFormat/>
    <w:uiPriority w:val="0"/>
    <w:rPr>
      <w:rFonts w:eastAsia="宋体"/>
      <w:b/>
      <w:sz w:val="24"/>
      <w:lang w:val="en-GB" w:eastAsia="zh-CN" w:bidi="ar-SA"/>
    </w:rPr>
  </w:style>
  <w:style w:type="character" w:customStyle="1" w:styleId="277">
    <w:name w:val="Heading 7 Char"/>
    <w:autoRedefine/>
    <w:qFormat/>
    <w:locked/>
    <w:uiPriority w:val="0"/>
    <w:rPr>
      <w:rFonts w:ascii="宋体" w:hAnsi="宋体" w:eastAsia="宋体"/>
      <w:b/>
      <w:bCs/>
      <w:kern w:val="2"/>
      <w:sz w:val="24"/>
      <w:szCs w:val="24"/>
      <w:lang w:val="en-US" w:eastAsia="zh-CN" w:bidi="ar-SA"/>
    </w:rPr>
  </w:style>
  <w:style w:type="character" w:customStyle="1" w:styleId="278">
    <w:name w:val="此正文 Char"/>
    <w:link w:val="279"/>
    <w:autoRedefine/>
    <w:qFormat/>
    <w:uiPriority w:val="0"/>
    <w:rPr>
      <w:kern w:val="2"/>
      <w:sz w:val="24"/>
      <w:szCs w:val="24"/>
    </w:rPr>
  </w:style>
  <w:style w:type="paragraph" w:customStyle="1" w:styleId="279">
    <w:name w:val="此正文"/>
    <w:basedOn w:val="1"/>
    <w:link w:val="278"/>
    <w:autoRedefine/>
    <w:qFormat/>
    <w:uiPriority w:val="0"/>
    <w:pPr>
      <w:adjustRightInd/>
      <w:spacing w:line="360" w:lineRule="auto"/>
      <w:ind w:firstLine="200" w:firstLineChars="200"/>
    </w:pPr>
    <w:rPr>
      <w:sz w:val="24"/>
    </w:rPr>
  </w:style>
  <w:style w:type="character" w:customStyle="1" w:styleId="280">
    <w:name w:val="Char Char2"/>
    <w:autoRedefine/>
    <w:qFormat/>
    <w:uiPriority w:val="0"/>
    <w:rPr>
      <w:rFonts w:eastAsia="宋体"/>
      <w:b/>
      <w:bCs/>
      <w:kern w:val="2"/>
      <w:sz w:val="21"/>
      <w:szCs w:val="24"/>
      <w:lang w:val="en-US" w:eastAsia="zh-CN" w:bidi="ar-SA"/>
    </w:rPr>
  </w:style>
  <w:style w:type="character" w:customStyle="1" w:styleId="281">
    <w:name w:val="标题 1 字符1"/>
    <w:link w:val="5"/>
    <w:autoRedefine/>
    <w:qFormat/>
    <w:uiPriority w:val="9"/>
    <w:rPr>
      <w:b/>
      <w:bCs/>
      <w:kern w:val="44"/>
      <w:sz w:val="44"/>
      <w:szCs w:val="44"/>
    </w:rPr>
  </w:style>
  <w:style w:type="character" w:customStyle="1" w:styleId="282">
    <w:name w:val="Footer-Even Char1"/>
    <w:autoRedefine/>
    <w:qFormat/>
    <w:uiPriority w:val="0"/>
    <w:rPr>
      <w:rFonts w:eastAsia="宋体"/>
      <w:kern w:val="2"/>
      <w:sz w:val="18"/>
      <w:szCs w:val="18"/>
      <w:lang w:val="en-US" w:eastAsia="zh-CN" w:bidi="ar-SA"/>
    </w:rPr>
  </w:style>
  <w:style w:type="character" w:customStyle="1" w:styleId="283">
    <w:name w:val="Char Char29"/>
    <w:autoRedefine/>
    <w:qFormat/>
    <w:uiPriority w:val="6"/>
    <w:rPr>
      <w:rFonts w:ascii="Arial" w:hAnsi="Arial" w:eastAsia="微软雅黑"/>
      <w:b/>
      <w:kern w:val="1"/>
      <w:sz w:val="44"/>
      <w:szCs w:val="32"/>
      <w:lang w:val="en-US" w:eastAsia="zh-CN" w:bidi="ar-SA"/>
    </w:rPr>
  </w:style>
  <w:style w:type="character" w:customStyle="1" w:styleId="284">
    <w:name w:val="标题 字符"/>
    <w:link w:val="60"/>
    <w:autoRedefine/>
    <w:qFormat/>
    <w:uiPriority w:val="10"/>
    <w:rPr>
      <w:b/>
      <w:sz w:val="24"/>
      <w:lang w:val="en-GB"/>
    </w:rPr>
  </w:style>
  <w:style w:type="character" w:customStyle="1" w:styleId="285">
    <w:name w:val="font81"/>
    <w:autoRedefine/>
    <w:qFormat/>
    <w:uiPriority w:val="0"/>
    <w:rPr>
      <w:rFonts w:ascii="微软雅黑" w:hAnsi="微软雅黑" w:eastAsia="微软雅黑" w:cs="微软雅黑"/>
      <w:color w:val="000000"/>
      <w:sz w:val="20"/>
      <w:szCs w:val="20"/>
      <w:u w:val="none"/>
    </w:rPr>
  </w:style>
  <w:style w:type="character" w:customStyle="1" w:styleId="28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7">
    <w:name w:val="t21"/>
    <w:autoRedefine/>
    <w:qFormat/>
    <w:uiPriority w:val="0"/>
    <w:rPr>
      <w:rFonts w:ascii="仿宋_GB2312" w:eastAsia="微软雅黑"/>
      <w:b/>
      <w:kern w:val="2"/>
      <w:sz w:val="23"/>
      <w:szCs w:val="23"/>
      <w:lang w:val="en-US" w:eastAsia="zh-CN" w:bidi="ar-SA"/>
    </w:rPr>
  </w:style>
  <w:style w:type="character" w:customStyle="1" w:styleId="288">
    <w:name w:val="样式8 Char"/>
    <w:autoRedefine/>
    <w:qFormat/>
    <w:uiPriority w:val="0"/>
    <w:rPr>
      <w:rFonts w:ascii="仿宋_GB2312" w:hAnsi="宋体" w:eastAsia="仿宋_GB2312"/>
      <w:b/>
      <w:bCs/>
      <w:kern w:val="2"/>
      <w:sz w:val="24"/>
      <w:szCs w:val="24"/>
    </w:rPr>
  </w:style>
  <w:style w:type="character" w:customStyle="1" w:styleId="289">
    <w:name w:val="表格 Char Char"/>
    <w:autoRedefine/>
    <w:qFormat/>
    <w:uiPriority w:val="0"/>
    <w:rPr>
      <w:rFonts w:ascii="宋体" w:hAnsi="宋体" w:eastAsia="宋体"/>
      <w:lang w:bidi="ar-SA"/>
    </w:rPr>
  </w:style>
  <w:style w:type="character" w:customStyle="1" w:styleId="290">
    <w:name w:val="正文文本 字符1"/>
    <w:autoRedefine/>
    <w:qFormat/>
    <w:uiPriority w:val="0"/>
    <w:rPr>
      <w:rFonts w:ascii="Calibri" w:hAnsi="Calibri" w:eastAsia="黑体" w:cs="Arial"/>
      <w:snapToGrid w:val="0"/>
      <w:kern w:val="2"/>
      <w:sz w:val="28"/>
      <w:szCs w:val="21"/>
    </w:rPr>
  </w:style>
  <w:style w:type="character" w:customStyle="1" w:styleId="291">
    <w:name w:val="标题 5 字符"/>
    <w:link w:val="10"/>
    <w:autoRedefine/>
    <w:qFormat/>
    <w:uiPriority w:val="9"/>
    <w:rPr>
      <w:b/>
      <w:bCs/>
      <w:kern w:val="2"/>
      <w:sz w:val="28"/>
      <w:szCs w:val="28"/>
    </w:rPr>
  </w:style>
  <w:style w:type="character" w:customStyle="1" w:styleId="292">
    <w:name w:val="标题 6 Char1"/>
    <w:autoRedefine/>
    <w:qFormat/>
    <w:uiPriority w:val="0"/>
    <w:rPr>
      <w:rFonts w:ascii="Arial" w:hAnsi="Arial" w:eastAsia="黑体" w:cs="Times New Roman"/>
      <w:b/>
      <w:sz w:val="24"/>
      <w:szCs w:val="20"/>
      <w:lang w:bidi="ar-SA"/>
    </w:rPr>
  </w:style>
  <w:style w:type="character" w:customStyle="1" w:styleId="293">
    <w:name w:val="带编号样式 Char"/>
    <w:autoRedefine/>
    <w:qFormat/>
    <w:uiPriority w:val="0"/>
    <w:rPr>
      <w:rFonts w:ascii="仿宋_GB2312" w:eastAsia="仿宋_GB2312"/>
      <w:color w:val="000000"/>
      <w:sz w:val="24"/>
      <w:lang w:bidi="ar-SA"/>
    </w:rPr>
  </w:style>
  <w:style w:type="character" w:customStyle="1" w:styleId="294">
    <w:name w:val="unnamed31"/>
    <w:autoRedefine/>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autoRedefine/>
    <w:qFormat/>
    <w:uiPriority w:val="0"/>
    <w:rPr>
      <w:rFonts w:ascii="宋体" w:eastAsia="宋体"/>
      <w:kern w:val="2"/>
      <w:sz w:val="24"/>
      <w:szCs w:val="24"/>
      <w:lang w:val="zh-CN" w:bidi="ar-SA"/>
    </w:rPr>
  </w:style>
  <w:style w:type="character" w:customStyle="1" w:styleId="296">
    <w:name w:val="称呼 字符"/>
    <w:link w:val="23"/>
    <w:autoRedefine/>
    <w:qFormat/>
    <w:uiPriority w:val="0"/>
    <w:rPr>
      <w:rFonts w:ascii="仿宋_GB2312" w:eastAsia="仿宋_GB2312"/>
      <w:kern w:val="2"/>
      <w:sz w:val="28"/>
    </w:rPr>
  </w:style>
  <w:style w:type="character" w:customStyle="1" w:styleId="297">
    <w:name w:val="文本正文 Char Char"/>
    <w:autoRedefine/>
    <w:qFormat/>
    <w:locked/>
    <w:uiPriority w:val="0"/>
    <w:rPr>
      <w:sz w:val="24"/>
      <w:lang w:bidi="ar-SA"/>
    </w:rPr>
  </w:style>
  <w:style w:type="character" w:customStyle="1" w:styleId="298">
    <w:name w:val="正文缩进 字符"/>
    <w:autoRedefine/>
    <w:qFormat/>
    <w:uiPriority w:val="0"/>
    <w:rPr>
      <w:rFonts w:ascii="宋体" w:eastAsia="宋体"/>
      <w:snapToGrid w:val="0"/>
      <w:color w:val="000000"/>
      <w:kern w:val="28"/>
      <w:sz w:val="28"/>
      <w:lang w:val="en-US" w:eastAsia="zh-CN" w:bidi="ar-SA"/>
    </w:rPr>
  </w:style>
  <w:style w:type="character" w:customStyle="1" w:styleId="299">
    <w:name w:val="HTML 预设格式 字符"/>
    <w:link w:val="58"/>
    <w:autoRedefine/>
    <w:qFormat/>
    <w:uiPriority w:val="0"/>
    <w:rPr>
      <w:rFonts w:ascii="黑体" w:hAnsi="Courier New" w:eastAsia="黑体"/>
    </w:rPr>
  </w:style>
  <w:style w:type="character" w:customStyle="1" w:styleId="300">
    <w:name w:val="正文文本 2 字符1"/>
    <w:link w:val="57"/>
    <w:autoRedefine/>
    <w:qFormat/>
    <w:uiPriority w:val="0"/>
    <w:rPr>
      <w:kern w:val="2"/>
      <w:sz w:val="21"/>
      <w:szCs w:val="24"/>
    </w:rPr>
  </w:style>
  <w:style w:type="character" w:customStyle="1" w:styleId="301">
    <w:name w:val="样式 样式 标题 4h4H4Fab-4T5Ref Heading 1rh1Heading sqlsect 1.2.3.... +... Char"/>
    <w:link w:val="302"/>
    <w:autoRedefine/>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autoRedefine/>
    <w:qFormat/>
    <w:uiPriority w:val="0"/>
    <w:pPr>
      <w:tabs>
        <w:tab w:val="left" w:pos="2356"/>
      </w:tabs>
    </w:pPr>
  </w:style>
  <w:style w:type="paragraph" w:customStyle="1" w:styleId="303">
    <w:name w:val="样式 标题 4h4H4Fab-4T5Ref Heading 1rh1Heading sqlsect 1.2.3...."/>
    <w:basedOn w:val="9"/>
    <w:link w:val="41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autoRedefine/>
    <w:qFormat/>
    <w:uiPriority w:val="0"/>
    <w:rPr>
      <w:rFonts w:ascii="宋体" w:eastAsia="宋体"/>
      <w:snapToGrid w:val="0"/>
      <w:color w:val="000000"/>
      <w:kern w:val="28"/>
      <w:sz w:val="28"/>
      <w:lang w:val="en-US" w:eastAsia="zh-CN" w:bidi="ar-SA"/>
    </w:rPr>
  </w:style>
  <w:style w:type="character" w:customStyle="1" w:styleId="305">
    <w:name w:val="标题 7 字符"/>
    <w:link w:val="12"/>
    <w:autoRedefine/>
    <w:qFormat/>
    <w:uiPriority w:val="0"/>
    <w:rPr>
      <w:b/>
      <w:bCs/>
      <w:kern w:val="2"/>
      <w:sz w:val="24"/>
      <w:szCs w:val="24"/>
    </w:rPr>
  </w:style>
  <w:style w:type="character" w:customStyle="1" w:styleId="306">
    <w:name w:val="正文文本缩进 2 字符"/>
    <w:link w:val="38"/>
    <w:autoRedefine/>
    <w:qFormat/>
    <w:uiPriority w:val="0"/>
    <w:rPr>
      <w:rFonts w:ascii="宋体"/>
      <w:sz w:val="28"/>
    </w:rPr>
  </w:style>
  <w:style w:type="character" w:customStyle="1" w:styleId="307">
    <w:name w:val="Char Char5"/>
    <w:autoRedefine/>
    <w:qFormat/>
    <w:uiPriority w:val="0"/>
    <w:rPr>
      <w:rFonts w:ascii="宋体" w:hAnsi="Courier New" w:eastAsia="宋体"/>
      <w:kern w:val="2"/>
      <w:sz w:val="21"/>
      <w:lang w:val="en-US" w:eastAsia="zh-CN"/>
    </w:rPr>
  </w:style>
  <w:style w:type="character" w:customStyle="1" w:styleId="308">
    <w:name w:val="脚注文本 字符"/>
    <w:link w:val="51"/>
    <w:autoRedefine/>
    <w:qFormat/>
    <w:uiPriority w:val="0"/>
    <w:rPr>
      <w:color w:val="0000FF"/>
      <w:sz w:val="21"/>
    </w:rPr>
  </w:style>
  <w:style w:type="character" w:customStyle="1" w:styleId="309">
    <w:name w:val="称呼 Char1"/>
    <w:autoRedefine/>
    <w:qFormat/>
    <w:uiPriority w:val="0"/>
    <w:rPr>
      <w:rFonts w:ascii="Times New Roman" w:hAnsi="Times New Roman" w:eastAsia="宋体" w:cs="Times New Roman"/>
      <w:szCs w:val="24"/>
    </w:rPr>
  </w:style>
  <w:style w:type="character" w:customStyle="1" w:styleId="310">
    <w:name w:val="正文1 Char"/>
    <w:autoRedefine/>
    <w:qFormat/>
    <w:uiPriority w:val="0"/>
    <w:rPr>
      <w:rFonts w:ascii="宋体" w:eastAsia="宋体"/>
      <w:snapToGrid w:val="0"/>
      <w:color w:val="000000"/>
      <w:kern w:val="28"/>
      <w:sz w:val="28"/>
      <w:lang w:val="en-US" w:eastAsia="zh-CN" w:bidi="ar-SA"/>
    </w:rPr>
  </w:style>
  <w:style w:type="character" w:customStyle="1" w:styleId="311">
    <w:name w:val="正文缩进 Char1"/>
    <w:autoRedefine/>
    <w:qFormat/>
    <w:uiPriority w:val="0"/>
    <w:rPr>
      <w:rFonts w:ascii="宋体" w:eastAsia="宋体"/>
      <w:snapToGrid w:val="0"/>
      <w:color w:val="000000"/>
      <w:kern w:val="28"/>
      <w:sz w:val="28"/>
      <w:lang w:val="en-US" w:eastAsia="zh-CN" w:bidi="ar-SA"/>
    </w:rPr>
  </w:style>
  <w:style w:type="character" w:customStyle="1" w:styleId="312">
    <w:name w:val="font21"/>
    <w:autoRedefine/>
    <w:qFormat/>
    <w:uiPriority w:val="0"/>
    <w:rPr>
      <w:rFonts w:hint="eastAsia" w:ascii="宋体" w:hAnsi="宋体" w:eastAsia="宋体"/>
      <w:kern w:val="2"/>
      <w:sz w:val="28"/>
      <w:szCs w:val="28"/>
      <w:lang w:val="en-US" w:eastAsia="zh-CN" w:bidi="ar-SA"/>
    </w:rPr>
  </w:style>
  <w:style w:type="character" w:customStyle="1" w:styleId="313">
    <w:name w:val="Char Char26"/>
    <w:autoRedefine/>
    <w:qFormat/>
    <w:uiPriority w:val="6"/>
    <w:rPr>
      <w:kern w:val="1"/>
      <w:sz w:val="21"/>
      <w:szCs w:val="24"/>
    </w:rPr>
  </w:style>
  <w:style w:type="character" w:customStyle="1" w:styleId="314">
    <w:name w:val="Item List Char"/>
    <w:link w:val="315"/>
    <w:autoRedefine/>
    <w:qFormat/>
    <w:uiPriority w:val="0"/>
    <w:rPr>
      <w:rFonts w:ascii="Arial"/>
      <w:bCs/>
      <w:sz w:val="21"/>
      <w:szCs w:val="21"/>
      <w:lang w:val="en-US" w:eastAsia="zh-CN" w:bidi="ar-SA"/>
    </w:rPr>
  </w:style>
  <w:style w:type="paragraph" w:customStyle="1" w:styleId="315">
    <w:name w:val="Item List"/>
    <w:link w:val="314"/>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autoRedefine/>
    <w:qFormat/>
    <w:uiPriority w:val="0"/>
    <w:rPr>
      <w:rFonts w:ascii="Times New Roman" w:hAnsi="Times New Roman" w:eastAsia="宋体" w:cs="Times New Roman"/>
      <w:sz w:val="18"/>
      <w:szCs w:val="18"/>
    </w:rPr>
  </w:style>
  <w:style w:type="character" w:customStyle="1" w:styleId="317">
    <w:name w:val="纯文本 Char1"/>
    <w:link w:val="318"/>
    <w:autoRedefine/>
    <w:qFormat/>
    <w:uiPriority w:val="0"/>
    <w:rPr>
      <w:rFonts w:ascii="宋体" w:hAnsi="Courier New"/>
    </w:rPr>
  </w:style>
  <w:style w:type="paragraph" w:customStyle="1" w:styleId="318">
    <w:name w:val="纯文本1"/>
    <w:basedOn w:val="1"/>
    <w:link w:val="317"/>
    <w:autoRedefine/>
    <w:qFormat/>
    <w:uiPriority w:val="0"/>
    <w:pPr>
      <w:adjustRightInd/>
    </w:pPr>
    <w:rPr>
      <w:rFonts w:ascii="宋体" w:hAnsi="Courier New"/>
      <w:kern w:val="0"/>
      <w:sz w:val="20"/>
      <w:szCs w:val="20"/>
    </w:rPr>
  </w:style>
  <w:style w:type="character" w:customStyle="1" w:styleId="319">
    <w:name w:val="正文文本首行缩进 字符"/>
    <w:link w:val="62"/>
    <w:autoRedefine/>
    <w:qFormat/>
    <w:uiPriority w:val="0"/>
    <w:rPr>
      <w:rFonts w:ascii="宋体"/>
      <w:kern w:val="2"/>
      <w:sz w:val="24"/>
      <w:lang w:val="zh-CN"/>
    </w:rPr>
  </w:style>
  <w:style w:type="character" w:customStyle="1" w:styleId="320">
    <w:name w:val="h3 Char"/>
    <w:autoRedefine/>
    <w:qFormat/>
    <w:uiPriority w:val="0"/>
    <w:rPr>
      <w:rFonts w:eastAsia="宋体"/>
      <w:b/>
      <w:kern w:val="2"/>
      <w:sz w:val="32"/>
      <w:lang w:val="en-US" w:eastAsia="zh-CN" w:bidi="ar-SA"/>
    </w:rPr>
  </w:style>
  <w:style w:type="character" w:customStyle="1" w:styleId="321">
    <w:name w:val="dandyren_title1"/>
    <w:autoRedefine/>
    <w:qFormat/>
    <w:uiPriority w:val="0"/>
    <w:rPr>
      <w:b/>
      <w:bCs/>
      <w:color w:val="FF6633"/>
      <w:sz w:val="18"/>
      <w:szCs w:val="18"/>
    </w:rPr>
  </w:style>
  <w:style w:type="character" w:customStyle="1" w:styleId="322">
    <w:name w:val="Char Char31"/>
    <w:autoRedefine/>
    <w:qFormat/>
    <w:uiPriority w:val="6"/>
    <w:rPr>
      <w:rFonts w:ascii="Arial" w:hAnsi="Arial" w:eastAsia="黑体"/>
      <w:kern w:val="1"/>
      <w:sz w:val="24"/>
      <w:szCs w:val="24"/>
    </w:rPr>
  </w:style>
  <w:style w:type="character" w:customStyle="1" w:styleId="323">
    <w:name w:val="h Char1"/>
    <w:autoRedefine/>
    <w:qFormat/>
    <w:uiPriority w:val="0"/>
    <w:rPr>
      <w:sz w:val="18"/>
      <w:szCs w:val="18"/>
    </w:rPr>
  </w:style>
  <w:style w:type="character" w:customStyle="1" w:styleId="324">
    <w:name w:val="solutionfonts"/>
    <w:autoRedefine/>
    <w:qFormat/>
    <w:uiPriority w:val="0"/>
  </w:style>
  <w:style w:type="character" w:customStyle="1" w:styleId="325">
    <w:name w:val="标题 4 字符1"/>
    <w:link w:val="9"/>
    <w:autoRedefine/>
    <w:qFormat/>
    <w:uiPriority w:val="9"/>
    <w:rPr>
      <w:rFonts w:ascii="Arial" w:hAnsi="Arial" w:eastAsia="黑体"/>
      <w:b/>
      <w:bCs/>
      <w:kern w:val="2"/>
      <w:sz w:val="28"/>
      <w:szCs w:val="28"/>
      <w:lang w:val="zh-CN"/>
    </w:rPr>
  </w:style>
  <w:style w:type="character" w:customStyle="1" w:styleId="326">
    <w:name w:val="首行缩进 Char"/>
    <w:autoRedefine/>
    <w:qFormat/>
    <w:uiPriority w:val="0"/>
    <w:rPr>
      <w:rFonts w:ascii="宋体" w:eastAsia="宋体"/>
      <w:kern w:val="2"/>
      <w:sz w:val="24"/>
      <w:lang w:val="en-US" w:eastAsia="zh-CN" w:bidi="ar-SA"/>
    </w:rPr>
  </w:style>
  <w:style w:type="character" w:customStyle="1" w:styleId="327">
    <w:name w:val="Char Char52"/>
    <w:autoRedefine/>
    <w:qFormat/>
    <w:uiPriority w:val="0"/>
    <w:rPr>
      <w:rFonts w:ascii="宋体" w:hAnsi="Courier New" w:eastAsia="宋体"/>
      <w:kern w:val="2"/>
      <w:sz w:val="21"/>
      <w:lang w:val="en-US" w:eastAsia="zh-CN"/>
    </w:rPr>
  </w:style>
  <w:style w:type="character" w:customStyle="1" w:styleId="328">
    <w:name w:val="正文文本 3 字符"/>
    <w:link w:val="24"/>
    <w:autoRedefine/>
    <w:qFormat/>
    <w:uiPriority w:val="0"/>
    <w:rPr>
      <w:kern w:val="2"/>
      <w:sz w:val="21"/>
    </w:rPr>
  </w:style>
  <w:style w:type="character" w:customStyle="1" w:styleId="329">
    <w:name w:val="font31"/>
    <w:autoRedefine/>
    <w:qFormat/>
    <w:uiPriority w:val="0"/>
    <w:rPr>
      <w:rFonts w:hint="eastAsia" w:ascii="仿宋" w:hAnsi="仿宋" w:eastAsia="仿宋" w:cs="仿宋"/>
      <w:color w:val="000000"/>
      <w:sz w:val="20"/>
      <w:szCs w:val="20"/>
      <w:u w:val="none"/>
    </w:rPr>
  </w:style>
  <w:style w:type="character" w:customStyle="1" w:styleId="330">
    <w:name w:val="正文说明 Char"/>
    <w:link w:val="331"/>
    <w:autoRedefine/>
    <w:qFormat/>
    <w:uiPriority w:val="0"/>
    <w:rPr>
      <w:sz w:val="24"/>
      <w:szCs w:val="24"/>
    </w:rPr>
  </w:style>
  <w:style w:type="paragraph" w:customStyle="1" w:styleId="331">
    <w:name w:val="正文说明"/>
    <w:basedOn w:val="1"/>
    <w:link w:val="330"/>
    <w:autoRedefine/>
    <w:qFormat/>
    <w:uiPriority w:val="0"/>
    <w:pPr>
      <w:adjustRightInd/>
      <w:spacing w:line="360" w:lineRule="auto"/>
    </w:pPr>
    <w:rPr>
      <w:kern w:val="0"/>
      <w:sz w:val="24"/>
    </w:rPr>
  </w:style>
  <w:style w:type="character" w:customStyle="1" w:styleId="332">
    <w:name w:val="脚注文本 Char1"/>
    <w:autoRedefine/>
    <w:qFormat/>
    <w:uiPriority w:val="0"/>
    <w:rPr>
      <w:rFonts w:ascii="Times New Roman" w:hAnsi="Times New Roman" w:eastAsia="宋体" w:cs="Times New Roman"/>
      <w:sz w:val="18"/>
      <w:szCs w:val="18"/>
    </w:rPr>
  </w:style>
  <w:style w:type="character" w:customStyle="1" w:styleId="333">
    <w:name w:val="Char Char1211"/>
    <w:autoRedefine/>
    <w:qFormat/>
    <w:uiPriority w:val="0"/>
    <w:rPr>
      <w:rFonts w:ascii="仿宋_GB2312" w:eastAsia="仿宋_GB2312"/>
      <w:b/>
      <w:bCs/>
      <w:kern w:val="2"/>
      <w:sz w:val="24"/>
      <w:szCs w:val="24"/>
      <w:lang w:val="zh-CN" w:eastAsia="zh-CN" w:bidi="ar-SA"/>
    </w:rPr>
  </w:style>
  <w:style w:type="character" w:customStyle="1" w:styleId="334">
    <w:name w:val="标题 Char"/>
    <w:autoRedefine/>
    <w:qFormat/>
    <w:uiPriority w:val="0"/>
    <w:rPr>
      <w:rFonts w:eastAsia="宋体"/>
      <w:b/>
      <w:sz w:val="24"/>
      <w:lang w:val="en-GB" w:eastAsia="zh-CN" w:bidi="ar-SA"/>
    </w:rPr>
  </w:style>
  <w:style w:type="character" w:customStyle="1" w:styleId="335">
    <w:name w:val="Char Char35"/>
    <w:autoRedefine/>
    <w:qFormat/>
    <w:uiPriority w:val="6"/>
    <w:rPr>
      <w:rFonts w:ascii="Arial" w:hAnsi="Arial" w:eastAsia="黑体"/>
      <w:b/>
      <w:kern w:val="1"/>
      <w:sz w:val="28"/>
      <w:szCs w:val="28"/>
      <w:lang w:val="zh-CN"/>
    </w:rPr>
  </w:style>
  <w:style w:type="character" w:customStyle="1" w:styleId="336">
    <w:name w:val="纯文本 Char Char Char"/>
    <w:autoRedefine/>
    <w:qFormat/>
    <w:uiPriority w:val="0"/>
    <w:rPr>
      <w:rFonts w:ascii="宋体" w:hAnsi="Courier New" w:eastAsia="宋体"/>
      <w:kern w:val="2"/>
      <w:sz w:val="21"/>
      <w:lang w:val="en-US" w:eastAsia="zh-CN" w:bidi="ar-SA"/>
    </w:rPr>
  </w:style>
  <w:style w:type="character" w:customStyle="1" w:styleId="337">
    <w:name w:val="Table Text Char"/>
    <w:link w:val="338"/>
    <w:autoRedefine/>
    <w:qFormat/>
    <w:uiPriority w:val="0"/>
    <w:rPr>
      <w:sz w:val="24"/>
      <w:szCs w:val="24"/>
    </w:rPr>
  </w:style>
  <w:style w:type="paragraph" w:customStyle="1" w:styleId="338">
    <w:name w:val="Table Text"/>
    <w:basedOn w:val="1"/>
    <w:link w:val="337"/>
    <w:autoRedefine/>
    <w:qFormat/>
    <w:uiPriority w:val="0"/>
    <w:pPr>
      <w:widowControl/>
      <w:spacing w:before="60" w:after="60"/>
      <w:jc w:val="left"/>
    </w:pPr>
    <w:rPr>
      <w:kern w:val="0"/>
      <w:sz w:val="24"/>
    </w:rPr>
  </w:style>
  <w:style w:type="character" w:customStyle="1" w:styleId="339">
    <w:name w:val="正文1 Char1"/>
    <w:autoRedefine/>
    <w:qFormat/>
    <w:uiPriority w:val="0"/>
    <w:rPr>
      <w:rFonts w:ascii="仿宋_GB2312" w:hAnsi="Courier New" w:eastAsia="仿宋_GB2312"/>
      <w:kern w:val="28"/>
      <w:sz w:val="24"/>
      <w:szCs w:val="24"/>
      <w:lang w:val="en-US" w:eastAsia="zh-CN"/>
    </w:rPr>
  </w:style>
  <w:style w:type="character" w:customStyle="1" w:styleId="340">
    <w:name w:val="页脚 Char1"/>
    <w:autoRedefine/>
    <w:qFormat/>
    <w:uiPriority w:val="0"/>
    <w:rPr>
      <w:rFonts w:eastAsia="宋体"/>
      <w:kern w:val="2"/>
      <w:sz w:val="18"/>
      <w:szCs w:val="18"/>
      <w:lang w:val="en-US" w:eastAsia="zh-CN" w:bidi="ar-SA"/>
    </w:rPr>
  </w:style>
  <w:style w:type="character" w:customStyle="1" w:styleId="341">
    <w:name w:val="Bold"/>
    <w:autoRedefine/>
    <w:qFormat/>
    <w:uiPriority w:val="0"/>
    <w:rPr>
      <w:rFonts w:ascii="Arial" w:hAnsi="Arial" w:eastAsia="黑体" w:cs="Times New Roman"/>
      <w:b/>
      <w:kern w:val="2"/>
      <w:sz w:val="32"/>
      <w:szCs w:val="32"/>
      <w:lang w:val="en-US" w:eastAsia="zh-CN" w:bidi="ar-SA"/>
    </w:rPr>
  </w:style>
  <w:style w:type="character" w:customStyle="1" w:styleId="342">
    <w:name w:val="批注文字 字符1"/>
    <w:link w:val="22"/>
    <w:autoRedefine/>
    <w:qFormat/>
    <w:uiPriority w:val="0"/>
    <w:rPr>
      <w:kern w:val="2"/>
      <w:sz w:val="21"/>
      <w:szCs w:val="24"/>
    </w:rPr>
  </w:style>
  <w:style w:type="character" w:customStyle="1" w:styleId="343">
    <w:name w:val="签名 字符"/>
    <w:link w:val="43"/>
    <w:autoRedefine/>
    <w:qFormat/>
    <w:uiPriority w:val="0"/>
    <w:rPr>
      <w:rFonts w:eastAsia="仿宋_GB2312"/>
      <w:sz w:val="24"/>
    </w:rPr>
  </w:style>
  <w:style w:type="character" w:customStyle="1" w:styleId="344">
    <w:name w:val="hui3"/>
    <w:autoRedefine/>
    <w:qFormat/>
    <w:uiPriority w:val="0"/>
    <w:rPr>
      <w:color w:val="333333"/>
    </w:rPr>
  </w:style>
  <w:style w:type="character" w:customStyle="1" w:styleId="345">
    <w:name w:val="Char Char17"/>
    <w:autoRedefine/>
    <w:qFormat/>
    <w:uiPriority w:val="6"/>
    <w:rPr>
      <w:rFonts w:eastAsia="仿宋_GB2312"/>
      <w:sz w:val="24"/>
    </w:rPr>
  </w:style>
  <w:style w:type="character" w:customStyle="1" w:styleId="346">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7">
    <w:name w:val="Char Char37"/>
    <w:autoRedefine/>
    <w:qFormat/>
    <w:uiPriority w:val="6"/>
    <w:rPr>
      <w:b/>
      <w:kern w:val="1"/>
      <w:sz w:val="44"/>
      <w:szCs w:val="44"/>
    </w:rPr>
  </w:style>
  <w:style w:type="character" w:customStyle="1" w:styleId="348">
    <w:name w:val="列出段落 Char"/>
    <w:autoRedefine/>
    <w:qFormat/>
    <w:uiPriority w:val="0"/>
    <w:rPr>
      <w:rFonts w:eastAsia="楷体_GB2312" w:cs="Lucida Sans"/>
      <w:kern w:val="2"/>
      <w:sz w:val="24"/>
      <w:szCs w:val="24"/>
      <w:lang w:val="en-US" w:eastAsia="zh-CN" w:bidi="ar-SA"/>
    </w:rPr>
  </w:style>
  <w:style w:type="character" w:customStyle="1" w:styleId="349">
    <w:name w:val="正文文本缩进 3 Char1"/>
    <w:autoRedefine/>
    <w:semiHidden/>
    <w:qFormat/>
    <w:uiPriority w:val="99"/>
    <w:rPr>
      <w:rFonts w:ascii="Times New Roman" w:hAnsi="Times New Roman" w:eastAsia="宋体" w:cs="Times New Roman"/>
      <w:sz w:val="16"/>
      <w:szCs w:val="16"/>
    </w:rPr>
  </w:style>
  <w:style w:type="character" w:customStyle="1" w:styleId="350">
    <w:name w:val="公文正文 Char Char"/>
    <w:link w:val="351"/>
    <w:autoRedefine/>
    <w:qFormat/>
    <w:uiPriority w:val="0"/>
    <w:rPr>
      <w:rFonts w:ascii="仿宋_GB2312" w:eastAsia="仿宋_GB2312"/>
      <w:kern w:val="2"/>
      <w:sz w:val="24"/>
      <w:szCs w:val="24"/>
    </w:rPr>
  </w:style>
  <w:style w:type="paragraph" w:customStyle="1" w:styleId="351">
    <w:name w:val="公文正文"/>
    <w:basedOn w:val="1"/>
    <w:link w:val="350"/>
    <w:autoRedefine/>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autoRedefine/>
    <w:qFormat/>
    <w:uiPriority w:val="0"/>
    <w:rPr>
      <w:rFonts w:eastAsia="宋体"/>
      <w:sz w:val="24"/>
      <w:szCs w:val="24"/>
      <w:lang w:val="en-US" w:eastAsia="zh-CN" w:bidi="ar-SA"/>
    </w:rPr>
  </w:style>
  <w:style w:type="character" w:customStyle="1" w:styleId="353">
    <w:name w:val="标题 1 Char Char"/>
    <w:autoRedefine/>
    <w:qFormat/>
    <w:uiPriority w:val="0"/>
    <w:rPr>
      <w:rFonts w:hint="eastAsia" w:ascii="宋体" w:hAnsi="宋体" w:eastAsia="宋体"/>
      <w:b/>
      <w:spacing w:val="-2"/>
      <w:sz w:val="24"/>
      <w:lang w:val="en-US" w:eastAsia="zh-CN" w:bidi="ar-SA"/>
    </w:rPr>
  </w:style>
  <w:style w:type="character" w:customStyle="1" w:styleId="354">
    <w:name w:val="正文（缩进2汉字） Char"/>
    <w:link w:val="355"/>
    <w:autoRedefine/>
    <w:qFormat/>
    <w:uiPriority w:val="0"/>
    <w:rPr>
      <w:rFonts w:ascii="宋体"/>
    </w:rPr>
  </w:style>
  <w:style w:type="paragraph" w:customStyle="1" w:styleId="355">
    <w:name w:val="正文（缩进2汉字）"/>
    <w:basedOn w:val="1"/>
    <w:link w:val="35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13"/>
    <w:autoRedefine/>
    <w:qFormat/>
    <w:uiPriority w:val="0"/>
    <w:rPr>
      <w:rFonts w:ascii="Arial" w:hAnsi="Arial" w:eastAsia="黑体"/>
      <w:kern w:val="2"/>
      <w:sz w:val="24"/>
      <w:szCs w:val="24"/>
    </w:rPr>
  </w:style>
  <w:style w:type="character" w:customStyle="1" w:styleId="357">
    <w:name w:val="标书表格字体格式 Char"/>
    <w:autoRedefine/>
    <w:qFormat/>
    <w:uiPriority w:val="0"/>
    <w:rPr>
      <w:kern w:val="2"/>
      <w:sz w:val="21"/>
      <w:szCs w:val="24"/>
      <w:lang w:bidi="ar-SA"/>
    </w:rPr>
  </w:style>
  <w:style w:type="character" w:customStyle="1" w:styleId="358">
    <w:name w:val="tw4winError"/>
    <w:autoRedefine/>
    <w:qFormat/>
    <w:uiPriority w:val="0"/>
    <w:rPr>
      <w:rFonts w:ascii="Courier New" w:hAnsi="Courier New" w:cs="Courier New"/>
      <w:color w:val="00FF00"/>
      <w:sz w:val="40"/>
      <w:szCs w:val="40"/>
    </w:rPr>
  </w:style>
  <w:style w:type="character" w:customStyle="1" w:styleId="359">
    <w:name w:val="Body Text(ch) Char Char"/>
    <w:autoRedefine/>
    <w:qFormat/>
    <w:uiPriority w:val="0"/>
    <w:rPr>
      <w:rFonts w:ascii="宋体"/>
      <w:kern w:val="2"/>
      <w:sz w:val="24"/>
      <w:szCs w:val="21"/>
      <w:lang w:val="zh-CN"/>
    </w:rPr>
  </w:style>
  <w:style w:type="character" w:customStyle="1" w:styleId="360">
    <w:name w:val="正文首行缩进两字 Char"/>
    <w:autoRedefine/>
    <w:qFormat/>
    <w:uiPriority w:val="0"/>
    <w:rPr>
      <w:sz w:val="24"/>
      <w:szCs w:val="24"/>
      <w:lang w:val="en-US" w:eastAsia="zh-CN" w:bidi="ar-SA"/>
    </w:rPr>
  </w:style>
  <w:style w:type="character" w:customStyle="1" w:styleId="361">
    <w:name w:val="正文文本 Char"/>
    <w:autoRedefine/>
    <w:qFormat/>
    <w:uiPriority w:val="0"/>
    <w:rPr>
      <w:rFonts w:eastAsia="宋体"/>
      <w:kern w:val="2"/>
      <w:sz w:val="24"/>
      <w:szCs w:val="24"/>
      <w:lang w:val="en-US" w:eastAsia="zh-CN" w:bidi="ar-SA"/>
    </w:rPr>
  </w:style>
  <w:style w:type="character" w:customStyle="1" w:styleId="362">
    <w:name w:val="文档结构图 字符1"/>
    <w:autoRedefine/>
    <w:qFormat/>
    <w:uiPriority w:val="0"/>
    <w:rPr>
      <w:rFonts w:ascii="宋体" w:hAnsi="Calibri" w:eastAsia="黑体" w:cs="Arial"/>
      <w:snapToGrid w:val="0"/>
      <w:kern w:val="2"/>
      <w:sz w:val="18"/>
      <w:szCs w:val="18"/>
    </w:rPr>
  </w:style>
  <w:style w:type="character" w:customStyle="1" w:styleId="363">
    <w:name w:val="content"/>
    <w:autoRedefine/>
    <w:qFormat/>
    <w:uiPriority w:val="0"/>
  </w:style>
  <w:style w:type="character" w:customStyle="1" w:styleId="364">
    <w:name w:val="tw4winPopup"/>
    <w:autoRedefine/>
    <w:qFormat/>
    <w:uiPriority w:val="0"/>
    <w:rPr>
      <w:rFonts w:ascii="Courier New" w:hAnsi="Courier New" w:cs="Courier New"/>
      <w:color w:val="008000"/>
      <w:lang w:val="en-US" w:eastAsia="zh-CN"/>
    </w:rPr>
  </w:style>
  <w:style w:type="character" w:customStyle="1" w:styleId="365">
    <w:name w:val="param-name"/>
    <w:autoRedefine/>
    <w:qFormat/>
    <w:uiPriority w:val="99"/>
    <w:rPr>
      <w:rFonts w:ascii="Arial" w:hAnsi="Arial" w:eastAsia="黑体" w:cs="Arial"/>
      <w:snapToGrid w:val="0"/>
      <w:kern w:val="0"/>
      <w:szCs w:val="21"/>
    </w:rPr>
  </w:style>
  <w:style w:type="character" w:customStyle="1" w:styleId="366">
    <w:name w:val="标准正文格式 Char"/>
    <w:autoRedefine/>
    <w:qFormat/>
    <w:uiPriority w:val="0"/>
    <w:rPr>
      <w:rFonts w:ascii="宋体" w:eastAsia="仿宋_GB2312" w:cs="宋体"/>
      <w:color w:val="000000"/>
      <w:sz w:val="24"/>
      <w:lang w:val="en-US" w:eastAsia="zh-CN" w:bidi="ar-SA"/>
    </w:rPr>
  </w:style>
  <w:style w:type="character" w:customStyle="1" w:styleId="367">
    <w:name w:val="Char Char212"/>
    <w:autoRedefine/>
    <w:qFormat/>
    <w:uiPriority w:val="0"/>
    <w:rPr>
      <w:rFonts w:eastAsia="宋体"/>
      <w:b/>
      <w:bCs/>
      <w:kern w:val="2"/>
      <w:sz w:val="21"/>
      <w:szCs w:val="24"/>
      <w:lang w:val="en-US" w:eastAsia="zh-CN" w:bidi="ar-SA"/>
    </w:rPr>
  </w:style>
  <w:style w:type="character" w:customStyle="1" w:styleId="368">
    <w:name w:val="文档结构图 Char"/>
    <w:autoRedefine/>
    <w:qFormat/>
    <w:uiPriority w:val="0"/>
    <w:rPr>
      <w:rFonts w:eastAsia="宋体"/>
      <w:kern w:val="2"/>
      <w:sz w:val="21"/>
      <w:szCs w:val="24"/>
      <w:lang w:val="en-US" w:eastAsia="zh-CN" w:bidi="ar-SA"/>
    </w:rPr>
  </w:style>
  <w:style w:type="character" w:customStyle="1" w:styleId="369">
    <w:name w:val="zbggmain style9"/>
    <w:autoRedefine/>
    <w:qFormat/>
    <w:uiPriority w:val="0"/>
  </w:style>
  <w:style w:type="character" w:customStyle="1" w:styleId="370">
    <w:name w:val="Char Char16"/>
    <w:autoRedefine/>
    <w:qFormat/>
    <w:uiPriority w:val="6"/>
    <w:rPr>
      <w:kern w:val="1"/>
      <w:sz w:val="18"/>
      <w:szCs w:val="18"/>
    </w:rPr>
  </w:style>
  <w:style w:type="character" w:customStyle="1" w:styleId="371">
    <w:name w:val="font51"/>
    <w:autoRedefine/>
    <w:qFormat/>
    <w:uiPriority w:val="0"/>
    <w:rPr>
      <w:rFonts w:hint="eastAsia" w:ascii="仿宋" w:hAnsi="仿宋" w:eastAsia="仿宋" w:cs="仿宋"/>
      <w:color w:val="000000"/>
      <w:sz w:val="20"/>
      <w:szCs w:val="20"/>
      <w:u w:val="none"/>
    </w:rPr>
  </w:style>
  <w:style w:type="character" w:customStyle="1" w:styleId="372">
    <w:name w:val="Char Char82"/>
    <w:autoRedefine/>
    <w:qFormat/>
    <w:uiPriority w:val="0"/>
    <w:rPr>
      <w:rFonts w:eastAsia="宋体"/>
      <w:b/>
      <w:sz w:val="24"/>
      <w:lang w:val="en-GB" w:eastAsia="zh-CN"/>
    </w:rPr>
  </w:style>
  <w:style w:type="character" w:customStyle="1" w:styleId="373">
    <w:name w:val="正文文本缩进 3 字符"/>
    <w:link w:val="54"/>
    <w:autoRedefine/>
    <w:qFormat/>
    <w:uiPriority w:val="0"/>
    <w:rPr>
      <w:kern w:val="2"/>
      <w:sz w:val="24"/>
    </w:rPr>
  </w:style>
  <w:style w:type="character" w:customStyle="1" w:styleId="374">
    <w:name w:val="日期 Char1"/>
    <w:autoRedefine/>
    <w:semiHidden/>
    <w:qFormat/>
    <w:uiPriority w:val="99"/>
    <w:rPr>
      <w:rFonts w:ascii="Times New Roman" w:hAnsi="Times New Roman" w:eastAsia="宋体" w:cs="Times New Roman"/>
      <w:szCs w:val="24"/>
    </w:rPr>
  </w:style>
  <w:style w:type="character" w:customStyle="1" w:styleId="375">
    <w:name w:val="页眉 字符"/>
    <w:autoRedefine/>
    <w:qFormat/>
    <w:uiPriority w:val="99"/>
    <w:rPr>
      <w:kern w:val="2"/>
      <w:sz w:val="18"/>
      <w:szCs w:val="18"/>
    </w:rPr>
  </w:style>
  <w:style w:type="character" w:customStyle="1" w:styleId="376">
    <w:name w:val="Char Char33"/>
    <w:autoRedefine/>
    <w:qFormat/>
    <w:uiPriority w:val="6"/>
    <w:rPr>
      <w:rFonts w:ascii="Arial" w:hAnsi="Arial" w:eastAsia="黑体"/>
      <w:b/>
      <w:kern w:val="1"/>
      <w:sz w:val="24"/>
      <w:szCs w:val="24"/>
    </w:rPr>
  </w:style>
  <w:style w:type="character" w:customStyle="1" w:styleId="377">
    <w:name w:val="b11_01b Char"/>
    <w:link w:val="378"/>
    <w:autoRedefine/>
    <w:qFormat/>
    <w:uiPriority w:val="0"/>
    <w:rPr>
      <w:rFonts w:ascii="Verdana" w:hAnsi="Verdana"/>
      <w:b/>
      <w:bCs/>
      <w:color w:val="4A82CA"/>
      <w:sz w:val="17"/>
      <w:szCs w:val="17"/>
    </w:rPr>
  </w:style>
  <w:style w:type="paragraph" w:customStyle="1" w:styleId="378">
    <w:name w:val="b11_01b"/>
    <w:basedOn w:val="1"/>
    <w:next w:val="1"/>
    <w:link w:val="37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autoRedefine/>
    <w:qFormat/>
    <w:uiPriority w:val="6"/>
    <w:rPr>
      <w:rFonts w:ascii="仿宋_GB2312" w:eastAsia="仿宋_GB2312"/>
      <w:b/>
      <w:bCs/>
      <w:kern w:val="2"/>
      <w:sz w:val="24"/>
      <w:szCs w:val="24"/>
      <w:lang w:val="zh-CN" w:eastAsia="zh-CN" w:bidi="ar-SA"/>
    </w:rPr>
  </w:style>
  <w:style w:type="character" w:customStyle="1" w:styleId="380">
    <w:name w:val="Footer-Even Char"/>
    <w:autoRedefine/>
    <w:qFormat/>
    <w:uiPriority w:val="0"/>
    <w:rPr>
      <w:rFonts w:eastAsia="宋体"/>
      <w:kern w:val="2"/>
      <w:sz w:val="18"/>
      <w:lang w:val="en-US" w:eastAsia="zh-CN" w:bidi="ar-SA"/>
    </w:rPr>
  </w:style>
  <w:style w:type="character" w:customStyle="1" w:styleId="381">
    <w:name w:val="页脚 字符2"/>
    <w:link w:val="41"/>
    <w:autoRedefine/>
    <w:qFormat/>
    <w:locked/>
    <w:uiPriority w:val="99"/>
    <w:rPr>
      <w:kern w:val="2"/>
      <w:sz w:val="18"/>
      <w:szCs w:val="18"/>
    </w:rPr>
  </w:style>
  <w:style w:type="character" w:customStyle="1" w:styleId="382">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3">
    <w:name w:val="Char Char61"/>
    <w:autoRedefine/>
    <w:qFormat/>
    <w:uiPriority w:val="6"/>
    <w:rPr>
      <w:rFonts w:eastAsia="宋体"/>
      <w:kern w:val="2"/>
      <w:sz w:val="21"/>
      <w:szCs w:val="24"/>
      <w:lang w:val="en-US" w:eastAsia="zh-CN" w:bidi="ar-SA"/>
    </w:rPr>
  </w:style>
  <w:style w:type="character" w:customStyle="1" w:styleId="384">
    <w:name w:val="正文文字缩进 2 Char Char"/>
    <w:autoRedefine/>
    <w:qFormat/>
    <w:uiPriority w:val="0"/>
    <w:rPr>
      <w:rFonts w:ascii="宋体"/>
      <w:sz w:val="28"/>
    </w:rPr>
  </w:style>
  <w:style w:type="character" w:customStyle="1" w:styleId="385">
    <w:name w:val="f141"/>
    <w:autoRedefine/>
    <w:qFormat/>
    <w:uiPriority w:val="0"/>
    <w:rPr>
      <w:rFonts w:ascii="Tahoma" w:hAnsi="Tahoma" w:eastAsia="宋体"/>
      <w:b/>
      <w:kern w:val="2"/>
      <w:sz w:val="21"/>
      <w:szCs w:val="21"/>
      <w:lang w:val="en-US" w:eastAsia="zh-CN" w:bidi="ar-SA"/>
    </w:rPr>
  </w:style>
  <w:style w:type="character" w:customStyle="1" w:styleId="386">
    <w:name w:val="段落 Char Char"/>
    <w:link w:val="387"/>
    <w:autoRedefine/>
    <w:qFormat/>
    <w:uiPriority w:val="0"/>
    <w:rPr>
      <w:rFonts w:ascii="宋体" w:hAnsi="宋体"/>
      <w:sz w:val="24"/>
    </w:rPr>
  </w:style>
  <w:style w:type="paragraph" w:customStyle="1" w:styleId="387">
    <w:name w:val="段落"/>
    <w:basedOn w:val="1"/>
    <w:link w:val="386"/>
    <w:autoRedefine/>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autoRedefine/>
    <w:qFormat/>
    <w:uiPriority w:val="0"/>
    <w:rPr>
      <w:rFonts w:eastAsia="宋体"/>
      <w:b/>
      <w:bCs/>
      <w:kern w:val="2"/>
      <w:sz w:val="32"/>
      <w:szCs w:val="32"/>
      <w:lang w:val="en-US" w:eastAsia="zh-CN" w:bidi="ar-SA"/>
    </w:rPr>
  </w:style>
  <w:style w:type="character" w:customStyle="1" w:styleId="389">
    <w:name w:val="apple-converted-space"/>
    <w:autoRedefine/>
    <w:qFormat/>
    <w:uiPriority w:val="0"/>
  </w:style>
  <w:style w:type="character" w:customStyle="1" w:styleId="390">
    <w:name w:val="页眉 字符2"/>
    <w:link w:val="42"/>
    <w:autoRedefine/>
    <w:qFormat/>
    <w:uiPriority w:val="99"/>
    <w:rPr>
      <w:kern w:val="2"/>
      <w:sz w:val="18"/>
      <w:szCs w:val="18"/>
    </w:rPr>
  </w:style>
  <w:style w:type="character" w:customStyle="1" w:styleId="391">
    <w:name w:val="Char Char9"/>
    <w:autoRedefine/>
    <w:qFormat/>
    <w:uiPriority w:val="0"/>
    <w:rPr>
      <w:rFonts w:eastAsia="宋体"/>
      <w:kern w:val="2"/>
      <w:sz w:val="18"/>
      <w:szCs w:val="18"/>
      <w:lang w:val="en-US" w:eastAsia="zh-CN" w:bidi="ar-SA"/>
    </w:rPr>
  </w:style>
  <w:style w:type="character" w:customStyle="1" w:styleId="392">
    <w:name w:val="Char Char41"/>
    <w:autoRedefine/>
    <w:qFormat/>
    <w:uiPriority w:val="0"/>
    <w:rPr>
      <w:rFonts w:eastAsia="宋体"/>
      <w:b/>
      <w:sz w:val="24"/>
      <w:lang w:val="en-GB" w:eastAsia="zh-CN" w:bidi="ar-SA"/>
    </w:rPr>
  </w:style>
  <w:style w:type="character" w:customStyle="1" w:styleId="393">
    <w:name w:val="large1"/>
    <w:autoRedefine/>
    <w:qFormat/>
    <w:uiPriority w:val="0"/>
    <w:rPr>
      <w:rFonts w:hint="eastAsia" w:ascii="宋体" w:hAnsi="宋体" w:eastAsia="宋体"/>
      <w:sz w:val="21"/>
      <w:szCs w:val="21"/>
    </w:rPr>
  </w:style>
  <w:style w:type="character" w:customStyle="1" w:styleId="394">
    <w:name w:val="正文段 Char"/>
    <w:link w:val="395"/>
    <w:autoRedefine/>
    <w:qFormat/>
    <w:uiPriority w:val="0"/>
    <w:rPr>
      <w:sz w:val="24"/>
    </w:rPr>
  </w:style>
  <w:style w:type="paragraph" w:customStyle="1" w:styleId="395">
    <w:name w:val="正文段"/>
    <w:basedOn w:val="1"/>
    <w:link w:val="394"/>
    <w:autoRedefine/>
    <w:qFormat/>
    <w:uiPriority w:val="0"/>
    <w:pPr>
      <w:widowControl/>
      <w:snapToGrid w:val="0"/>
      <w:spacing w:after="156" w:afterLines="50"/>
      <w:ind w:firstLine="200" w:firstLineChars="200"/>
    </w:pPr>
    <w:rPr>
      <w:kern w:val="0"/>
      <w:sz w:val="24"/>
      <w:szCs w:val="20"/>
    </w:rPr>
  </w:style>
  <w:style w:type="character" w:customStyle="1" w:styleId="396">
    <w:name w:val="Char Char13"/>
    <w:autoRedefine/>
    <w:qFormat/>
    <w:uiPriority w:val="6"/>
    <w:rPr>
      <w:rFonts w:ascii="宋体" w:hAnsi="宋体"/>
      <w:kern w:val="1"/>
      <w:sz w:val="21"/>
      <w:szCs w:val="24"/>
    </w:rPr>
  </w:style>
  <w:style w:type="character" w:customStyle="1" w:styleId="39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autoRedefine/>
    <w:qFormat/>
    <w:uiPriority w:val="0"/>
    <w:rPr>
      <w:rFonts w:ascii="宋体" w:hAnsi="宋体"/>
      <w:kern w:val="2"/>
      <w:sz w:val="24"/>
      <w:szCs w:val="22"/>
    </w:rPr>
  </w:style>
  <w:style w:type="paragraph" w:customStyle="1" w:styleId="399">
    <w:name w:val="冯广丽"/>
    <w:basedOn w:val="1"/>
    <w:link w:val="398"/>
    <w:autoRedefine/>
    <w:qFormat/>
    <w:uiPriority w:val="0"/>
    <w:pPr>
      <w:adjustRightInd/>
      <w:spacing w:line="360" w:lineRule="auto"/>
      <w:ind w:firstLine="480" w:firstLineChars="200"/>
    </w:pPr>
    <w:rPr>
      <w:rFonts w:ascii="宋体" w:hAnsi="宋体"/>
      <w:sz w:val="24"/>
      <w:szCs w:val="22"/>
    </w:rPr>
  </w:style>
  <w:style w:type="character" w:customStyle="1" w:styleId="400">
    <w:name w:val="批注文字 字符"/>
    <w:autoRedefine/>
    <w:qFormat/>
    <w:uiPriority w:val="0"/>
    <w:rPr>
      <w:rFonts w:ascii="Arial" w:hAnsi="Arial" w:eastAsia="黑体" w:cs="Arial"/>
      <w:snapToGrid w:val="0"/>
      <w:kern w:val="0"/>
      <w:szCs w:val="21"/>
    </w:rPr>
  </w:style>
  <w:style w:type="character" w:customStyle="1" w:styleId="401">
    <w:name w:val="Char Char161"/>
    <w:autoRedefine/>
    <w:qFormat/>
    <w:uiPriority w:val="0"/>
    <w:rPr>
      <w:rFonts w:eastAsia="宋体"/>
      <w:b/>
      <w:kern w:val="2"/>
      <w:sz w:val="32"/>
      <w:lang w:val="en-US" w:eastAsia="zh-CN"/>
    </w:rPr>
  </w:style>
  <w:style w:type="character" w:customStyle="1" w:styleId="402">
    <w:name w:val="javascript"/>
    <w:autoRedefine/>
    <w:qFormat/>
    <w:uiPriority w:val="0"/>
  </w:style>
  <w:style w:type="character" w:customStyle="1" w:styleId="403">
    <w:name w:val="图名 Char"/>
    <w:autoRedefine/>
    <w:qFormat/>
    <w:uiPriority w:val="0"/>
    <w:rPr>
      <w:rFonts w:ascii="Arial" w:hAnsi="Arial" w:eastAsia="黑体"/>
      <w:kern w:val="2"/>
      <w:sz w:val="24"/>
      <w:szCs w:val="24"/>
      <w:lang w:val="en-US" w:eastAsia="zh-CN" w:bidi="ar-SA"/>
    </w:rPr>
  </w:style>
  <w:style w:type="character" w:customStyle="1" w:styleId="404">
    <w:name w:val="Used by Word for text of Help footnotes Char Char"/>
    <w:autoRedefine/>
    <w:qFormat/>
    <w:uiPriority w:val="0"/>
    <w:rPr>
      <w:rFonts w:ascii="Times New Roman" w:hAnsi="Times New Roman" w:eastAsia="宋体" w:cs="Times New Roman"/>
      <w:sz w:val="20"/>
      <w:szCs w:val="20"/>
    </w:rPr>
  </w:style>
  <w:style w:type="character" w:customStyle="1" w:styleId="405">
    <w:name w:val="编号，小四 Char"/>
    <w:link w:val="406"/>
    <w:autoRedefine/>
    <w:qFormat/>
    <w:uiPriority w:val="0"/>
    <w:rPr>
      <w:rFonts w:ascii="Arial" w:hAnsi="Arial"/>
      <w:sz w:val="24"/>
    </w:rPr>
  </w:style>
  <w:style w:type="paragraph" w:customStyle="1" w:styleId="406">
    <w:name w:val="编号，小四"/>
    <w:basedOn w:val="1"/>
    <w:link w:val="405"/>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autoRedefine/>
    <w:qFormat/>
    <w:uiPriority w:val="99"/>
    <w:rPr>
      <w:rFonts w:ascii="宋体" w:eastAsia="宋体" w:cs="宋体"/>
      <w:color w:val="000000"/>
      <w:sz w:val="14"/>
      <w:szCs w:val="14"/>
    </w:rPr>
  </w:style>
  <w:style w:type="character" w:customStyle="1" w:styleId="408">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9">
    <w:name w:val="未用 Char"/>
    <w:autoRedefine/>
    <w:qFormat/>
    <w:uiPriority w:val="0"/>
    <w:rPr>
      <w:rFonts w:ascii="Arial" w:hAnsi="Arial" w:eastAsia="黑体"/>
      <w:kern w:val="2"/>
      <w:sz w:val="21"/>
      <w:szCs w:val="21"/>
      <w:lang w:val="en-US" w:eastAsia="zh-CN" w:bidi="ar-SA"/>
    </w:rPr>
  </w:style>
  <w:style w:type="character" w:customStyle="1" w:styleId="410">
    <w:name w:val="myp1111"/>
    <w:autoRedefine/>
    <w:qFormat/>
    <w:uiPriority w:val="0"/>
    <w:rPr>
      <w:rFonts w:hint="default" w:ascii="ˎ̥" w:hAnsi="ˎ̥"/>
      <w:color w:val="000000"/>
      <w:sz w:val="20"/>
      <w:szCs w:val="20"/>
      <w:u w:val="none"/>
    </w:rPr>
  </w:style>
  <w:style w:type="character" w:customStyle="1" w:styleId="411">
    <w:name w:val="样式 标题 4h4H4Fab-4T5Ref Heading 1rh1Heading sqlsect 1.2.3.... Char"/>
    <w:link w:val="303"/>
    <w:autoRedefine/>
    <w:qFormat/>
    <w:uiPriority w:val="0"/>
    <w:rPr>
      <w:rFonts w:ascii="微软雅黑" w:hAnsi="微软雅黑" w:eastAsia="微软雅黑"/>
      <w:b/>
      <w:bCs/>
      <w:kern w:val="2"/>
      <w:sz w:val="24"/>
      <w:szCs w:val="28"/>
    </w:rPr>
  </w:style>
  <w:style w:type="character" w:customStyle="1" w:styleId="412">
    <w:name w:val="h Char Char"/>
    <w:autoRedefine/>
    <w:qFormat/>
    <w:uiPriority w:val="0"/>
    <w:rPr>
      <w:rFonts w:eastAsia="宋体"/>
      <w:kern w:val="2"/>
      <w:sz w:val="18"/>
      <w:lang w:val="en-US" w:eastAsia="zh-CN" w:bidi="ar-SA"/>
    </w:rPr>
  </w:style>
  <w:style w:type="character" w:customStyle="1" w:styleId="413">
    <w:name w:val="仿宋正文 Char"/>
    <w:link w:val="414"/>
    <w:autoRedefine/>
    <w:qFormat/>
    <w:uiPriority w:val="0"/>
    <w:rPr>
      <w:rFonts w:ascii="仿宋_GB2312" w:eastAsia="仿宋_GB2312"/>
      <w:kern w:val="2"/>
      <w:sz w:val="24"/>
      <w:lang w:val="en-US" w:eastAsia="zh-CN" w:bidi="ar-SA"/>
    </w:rPr>
  </w:style>
  <w:style w:type="paragraph" w:customStyle="1" w:styleId="414">
    <w:name w:val="仿宋正文"/>
    <w:basedOn w:val="1"/>
    <w:link w:val="413"/>
    <w:autoRedefine/>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autoRedefine/>
    <w:qFormat/>
    <w:uiPriority w:val="0"/>
    <w:rPr>
      <w:rFonts w:ascii="宋体" w:eastAsia="宋体"/>
      <w:kern w:val="2"/>
      <w:sz w:val="24"/>
      <w:lang w:val="zh-CN" w:bidi="ar-SA"/>
    </w:rPr>
  </w:style>
  <w:style w:type="character" w:customStyle="1" w:styleId="416">
    <w:name w:val="样式 宋体"/>
    <w:autoRedefine/>
    <w:qFormat/>
    <w:uiPriority w:val="0"/>
    <w:rPr>
      <w:rFonts w:ascii="宋体" w:hAnsi="宋体"/>
      <w:sz w:val="24"/>
    </w:rPr>
  </w:style>
  <w:style w:type="character" w:customStyle="1" w:styleId="417">
    <w:name w:val="tw4winJump"/>
    <w:autoRedefine/>
    <w:qFormat/>
    <w:uiPriority w:val="0"/>
    <w:rPr>
      <w:rFonts w:ascii="Courier New" w:hAnsi="Courier New" w:cs="Courier New"/>
      <w:color w:val="008080"/>
      <w:lang w:val="en-US" w:eastAsia="zh-CN"/>
    </w:rPr>
  </w:style>
  <w:style w:type="character" w:customStyle="1" w:styleId="418">
    <w:name w:val="标题 1 字符"/>
    <w:autoRedefine/>
    <w:qFormat/>
    <w:uiPriority w:val="9"/>
    <w:rPr>
      <w:rFonts w:ascii="Arial" w:hAnsi="Arial" w:eastAsia="黑体" w:cs="Arial"/>
      <w:b/>
      <w:bCs/>
      <w:snapToGrid w:val="0"/>
      <w:kern w:val="44"/>
      <w:sz w:val="44"/>
      <w:szCs w:val="44"/>
    </w:rPr>
  </w:style>
  <w:style w:type="character" w:customStyle="1" w:styleId="419">
    <w:name w:val="style36"/>
    <w:basedOn w:val="71"/>
    <w:autoRedefine/>
    <w:qFormat/>
    <w:uiPriority w:val="0"/>
    <w:rPr>
      <w:rFonts w:ascii="Arial" w:hAnsi="Arial" w:eastAsia="黑体" w:cs="Arial"/>
      <w:snapToGrid w:val="0"/>
      <w:kern w:val="0"/>
      <w:szCs w:val="21"/>
    </w:rPr>
  </w:style>
  <w:style w:type="character" w:customStyle="1" w:styleId="420">
    <w:name w:val="pt9"/>
    <w:autoRedefine/>
    <w:qFormat/>
    <w:uiPriority w:val="0"/>
    <w:rPr>
      <w:rFonts w:ascii="仿宋_GB2312" w:eastAsia="微软雅黑"/>
      <w:b/>
      <w:kern w:val="2"/>
      <w:sz w:val="32"/>
      <w:szCs w:val="32"/>
      <w:lang w:val="en-US" w:eastAsia="zh-CN" w:bidi="ar-SA"/>
    </w:rPr>
  </w:style>
  <w:style w:type="character" w:customStyle="1" w:styleId="421">
    <w:name w:val="DO_NOT_TRANSLATE"/>
    <w:autoRedefine/>
    <w:qFormat/>
    <w:uiPriority w:val="0"/>
    <w:rPr>
      <w:rFonts w:ascii="Courier New" w:hAnsi="Courier New" w:cs="Courier New"/>
      <w:color w:val="800000"/>
      <w:lang w:val="en-US" w:eastAsia="zh-CN"/>
    </w:rPr>
  </w:style>
  <w:style w:type="character" w:customStyle="1" w:styleId="422">
    <w:name w:val="标书1 Char1"/>
    <w:autoRedefine/>
    <w:qFormat/>
    <w:uiPriority w:val="0"/>
    <w:rPr>
      <w:rFonts w:eastAsia="宋体"/>
      <w:b/>
      <w:bCs/>
      <w:kern w:val="44"/>
      <w:sz w:val="44"/>
      <w:szCs w:val="44"/>
      <w:lang w:val="en-US" w:eastAsia="zh-CN" w:bidi="ar-SA"/>
    </w:rPr>
  </w:style>
  <w:style w:type="character" w:customStyle="1" w:styleId="423">
    <w:name w:val="页脚 字符"/>
    <w:autoRedefine/>
    <w:qFormat/>
    <w:uiPriority w:val="99"/>
    <w:rPr>
      <w:kern w:val="2"/>
      <w:sz w:val="18"/>
      <w:szCs w:val="18"/>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8"/>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71"/>
    <w:autoRedefine/>
    <w:qFormat/>
    <w:uiPriority w:val="0"/>
    <w:rPr>
      <w:rFonts w:ascii="Arial" w:hAnsi="Arial" w:eastAsia="黑体" w:cs="Arial"/>
      <w:snapToGrid w:val="0"/>
      <w:kern w:val="0"/>
      <w:szCs w:val="21"/>
    </w:rPr>
  </w:style>
  <w:style w:type="character" w:customStyle="1" w:styleId="430">
    <w:name w:val="hui"/>
    <w:basedOn w:val="71"/>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9"/>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autoRedefine/>
    <w:qFormat/>
    <w:uiPriority w:val="0"/>
    <w:pPr>
      <w:tabs>
        <w:tab w:val="left" w:pos="2790"/>
        <w:tab w:val="left" w:pos="4230"/>
      </w:tabs>
      <w:spacing w:before="312" w:beforeLines="100"/>
      <w:jc w:val="left"/>
    </w:pPr>
  </w:style>
  <w:style w:type="paragraph" w:customStyle="1" w:styleId="45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6"/>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6"/>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spacing w:before="0" w:after="0"/>
      <w:outlineLvl w:val="5"/>
    </w:pPr>
  </w:style>
  <w:style w:type="paragraph" w:customStyle="1" w:styleId="472">
    <w:name w:val="5级标题"/>
    <w:basedOn w:val="473"/>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autoRedefine/>
    <w:qFormat/>
    <w:uiPriority w:val="34"/>
    <w:pPr>
      <w:adjustRightInd/>
      <w:ind w:firstLine="420" w:firstLineChars="200"/>
    </w:pPr>
    <w:rPr>
      <w:rFonts w:eastAsia="仿宋_GB2312"/>
      <w:sz w:val="28"/>
    </w:rPr>
  </w:style>
  <w:style w:type="paragraph" w:customStyle="1" w:styleId="47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11"/>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autoRedefine/>
    <w:qFormat/>
    <w:uiPriority w:val="99"/>
    <w:rPr>
      <w:szCs w:val="22"/>
    </w:rPr>
  </w:style>
  <w:style w:type="paragraph" w:customStyle="1" w:styleId="4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autoRedefine/>
    <w:qFormat/>
    <w:uiPriority w:val="6"/>
    <w:rPr>
      <w:rFonts w:ascii="Tahoma" w:hAnsi="Tahoma" w:cs="仿宋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6"/>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5"/>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7"/>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10"/>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仿宋_GB2312" w:eastAsia="仿宋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7"/>
    <w:autoRedefine/>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autoRedefine/>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8"/>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1"/>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仿宋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9"/>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3"/>
    <w:next w:val="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3"/>
    <w:next w:val="3"/>
    <w:autoRedefine/>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8"/>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autoRedefine/>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autoRedefine/>
    <w:qFormat/>
    <w:uiPriority w:val="0"/>
    <w:pPr>
      <w:adjustRightInd/>
      <w:spacing w:before="156"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autoRedefine/>
    <w:qFormat/>
    <w:uiPriority w:val="0"/>
    <w:pPr>
      <w:tabs>
        <w:tab w:val="left" w:pos="360"/>
      </w:tabs>
    </w:pPr>
    <w:rPr>
      <w:sz w:val="24"/>
      <w:szCs w:val="20"/>
    </w:rPr>
  </w:style>
  <w:style w:type="paragraph" w:customStyle="1" w:styleId="585">
    <w:name w:val="Char Char Char 字元 字元"/>
    <w:basedOn w:val="1"/>
    <w:autoRedefine/>
    <w:qFormat/>
    <w:uiPriority w:val="0"/>
    <w:pPr>
      <w:adjustRightInd/>
      <w:spacing w:line="360" w:lineRule="auto"/>
      <w:ind w:firstLine="200" w:firstLineChars="200"/>
    </w:pPr>
    <w:rPr>
      <w:szCs w:val="20"/>
    </w:rPr>
  </w:style>
  <w:style w:type="paragraph" w:customStyle="1" w:styleId="5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autoRedefine/>
    <w:qFormat/>
    <w:uiPriority w:val="0"/>
    <w:rPr>
      <w:rFonts w:ascii="仿宋_GB2312" w:eastAsia="仿宋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6"/>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autoRedefine/>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autoRedefine/>
    <w:qFormat/>
    <w:uiPriority w:val="0"/>
    <w:pPr>
      <w:snapToGrid w:val="0"/>
      <w:spacing w:line="360" w:lineRule="auto"/>
    </w:pPr>
    <w:rPr>
      <w:rFonts w:ascii="宋体"/>
      <w:b/>
      <w:sz w:val="24"/>
      <w:szCs w:val="20"/>
    </w:rPr>
  </w:style>
  <w:style w:type="paragraph" w:customStyle="1" w:styleId="603">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7"/>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autoRedefine/>
    <w:qFormat/>
    <w:uiPriority w:val="0"/>
    <w:pPr>
      <w:adjustRightInd/>
    </w:pPr>
    <w:rPr>
      <w:rFonts w:ascii="仿宋_GB2312" w:eastAsia="仿宋_GB2312"/>
      <w:b/>
      <w:sz w:val="32"/>
      <w:szCs w:val="32"/>
    </w:rPr>
  </w:style>
  <w:style w:type="paragraph" w:customStyle="1" w:styleId="60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6"/>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7"/>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autoRedefine/>
    <w:qFormat/>
    <w:uiPriority w:val="0"/>
    <w:rPr>
      <w:b/>
    </w:rPr>
  </w:style>
  <w:style w:type="paragraph" w:customStyle="1" w:styleId="616">
    <w:name w:val="表格内文"/>
    <w:basedOn w:val="1"/>
    <w:autoRedefine/>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autoRedefine/>
    <w:qFormat/>
    <w:uiPriority w:val="0"/>
    <w:rPr>
      <w:rFonts w:ascii="仿宋_GB2312" w:eastAsia="仿宋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autoRedefine/>
    <w:qFormat/>
    <w:uiPriority w:val="0"/>
    <w:pPr>
      <w:spacing w:line="360" w:lineRule="auto"/>
    </w:pPr>
    <w:rPr>
      <w:szCs w:val="20"/>
    </w:rPr>
  </w:style>
  <w:style w:type="paragraph" w:customStyle="1" w:styleId="6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3">
    <w:name w:val="MM Topic 1"/>
    <w:basedOn w:val="5"/>
    <w:autoRedefine/>
    <w:qFormat/>
    <w:uiPriority w:val="0"/>
    <w:pPr>
      <w:tabs>
        <w:tab w:val="left" w:pos="840"/>
      </w:tabs>
      <w:adjustRightInd/>
      <w:ind w:left="840" w:hanging="420"/>
    </w:pPr>
  </w:style>
  <w:style w:type="paragraph" w:customStyle="1" w:styleId="624">
    <w:name w:val="样式 标题 2标题2H2Heading 2 HiddenHeading 2 CCBSheading 22nd lev..."/>
    <w:basedOn w:val="6"/>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autoRedefine/>
    <w:qFormat/>
    <w:uiPriority w:val="0"/>
    <w:pPr>
      <w:snapToGrid w:val="0"/>
      <w:ind w:firstLine="42" w:firstLineChars="21"/>
    </w:pPr>
    <w:rPr>
      <w:rFonts w:ascii="宋体" w:hAnsi="宋体"/>
      <w:kern w:val="0"/>
      <w:sz w:val="20"/>
      <w:szCs w:val="20"/>
    </w:rPr>
  </w:style>
  <w:style w:type="paragraph" w:customStyle="1" w:styleId="627">
    <w:name w:val="标书标题4"/>
    <w:basedOn w:val="9"/>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autoRedefine/>
    <w:qFormat/>
    <w:uiPriority w:val="0"/>
    <w:pPr>
      <w:adjustRightInd/>
      <w:spacing w:line="300" w:lineRule="auto"/>
      <w:jc w:val="center"/>
    </w:pPr>
  </w:style>
  <w:style w:type="paragraph" w:customStyle="1" w:styleId="632">
    <w:name w:val="_Style 6"/>
    <w:basedOn w:val="1"/>
    <w:autoRedefine/>
    <w:qFormat/>
    <w:uiPriority w:val="34"/>
    <w:pPr>
      <w:adjustRightInd/>
      <w:ind w:firstLine="420" w:firstLineChars="200"/>
    </w:pPr>
    <w:rPr>
      <w:rFonts w:eastAsia="仿宋_GB2312"/>
      <w:sz w:val="28"/>
    </w:rPr>
  </w:style>
  <w:style w:type="paragraph" w:customStyle="1" w:styleId="63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6"/>
    <w:autoRedefine/>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autoRedefine/>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仿宋_GB2312" w:eastAsia="仿宋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autoRedefine/>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156" w:afterLines="50"/>
      <w:jc w:val="left"/>
      <w:outlineLvl w:val="3"/>
    </w:pPr>
    <w:rPr>
      <w:sz w:val="24"/>
      <w:szCs w:val="24"/>
    </w:rPr>
  </w:style>
  <w:style w:type="paragraph" w:customStyle="1" w:styleId="64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autoRedefine/>
    <w:qFormat/>
    <w:uiPriority w:val="0"/>
    <w:pPr>
      <w:adjustRightInd/>
    </w:pPr>
    <w:rPr>
      <w:rFonts w:ascii="Tahoma" w:hAnsi="Tahoma"/>
      <w:sz w:val="24"/>
      <w:szCs w:val="20"/>
    </w:rPr>
  </w:style>
  <w:style w:type="paragraph" w:customStyle="1" w:styleId="65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autoRedefine/>
    <w:qFormat/>
    <w:uiPriority w:val="0"/>
    <w:pPr>
      <w:tabs>
        <w:tab w:val="left" w:pos="1260"/>
        <w:tab w:val="left" w:pos="1680"/>
        <w:tab w:val="left" w:pos="2100"/>
      </w:tabs>
      <w:ind w:left="0"/>
      <w:outlineLvl w:val="3"/>
    </w:pPr>
  </w:style>
  <w:style w:type="paragraph" w:customStyle="1" w:styleId="655">
    <w:name w:val="一级条标题"/>
    <w:basedOn w:val="656"/>
    <w:next w:val="638"/>
    <w:autoRedefine/>
    <w:qFormat/>
    <w:uiPriority w:val="0"/>
    <w:pPr>
      <w:tabs>
        <w:tab w:val="left" w:pos="1260"/>
        <w:tab w:val="left" w:pos="1680"/>
      </w:tabs>
      <w:spacing w:before="0" w:beforeLines="0" w:after="0" w:afterLines="0"/>
      <w:ind w:left="1680"/>
      <w:outlineLvl w:val="2"/>
    </w:pPr>
  </w:style>
  <w:style w:type="paragraph" w:customStyle="1" w:styleId="656">
    <w:name w:val="章标题"/>
    <w:next w:val="63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6"/>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5"/>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5"/>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autoRedefine/>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autoRedefine/>
    <w:qFormat/>
    <w:uiPriority w:val="0"/>
    <w:pPr>
      <w:jc w:val="left"/>
      <w:outlineLvl w:val="1"/>
    </w:pPr>
    <w:rPr>
      <w:rFonts w:ascii="Times New Roman" w:hAnsi="Times New Roman" w:eastAsia="仿宋"/>
      <w:sz w:val="30"/>
    </w:rPr>
  </w:style>
  <w:style w:type="paragraph" w:customStyle="1" w:styleId="671">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autoRedefine/>
    <w:qFormat/>
    <w:uiPriority w:val="0"/>
    <w:pPr>
      <w:tabs>
        <w:tab w:val="left" w:pos="840"/>
      </w:tabs>
      <w:adjustRightInd/>
      <w:ind w:left="840" w:hanging="420"/>
    </w:pPr>
  </w:style>
  <w:style w:type="paragraph" w:customStyle="1" w:styleId="67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9"/>
    <w:autoRedefine/>
    <w:qFormat/>
    <w:uiPriority w:val="0"/>
    <w:pPr>
      <w:tabs>
        <w:tab w:val="left" w:pos="2100"/>
      </w:tabs>
      <w:adjustRightInd/>
      <w:ind w:left="2100" w:hanging="420"/>
    </w:pPr>
    <w:rPr>
      <w:lang w:val="en-US"/>
    </w:rPr>
  </w:style>
  <w:style w:type="paragraph" w:customStyle="1" w:styleId="685">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autoRedefine/>
    <w:qFormat/>
    <w:uiPriority w:val="6"/>
    <w:pPr>
      <w:spacing w:line="360" w:lineRule="auto"/>
    </w:pPr>
    <w:rPr>
      <w:szCs w:val="20"/>
    </w:rPr>
  </w:style>
  <w:style w:type="paragraph" w:customStyle="1" w:styleId="68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autoRedefine/>
    <w:qFormat/>
    <w:uiPriority w:val="0"/>
    <w:pPr>
      <w:adjustRightInd/>
      <w:spacing w:line="360" w:lineRule="auto"/>
      <w:jc w:val="center"/>
    </w:pPr>
    <w:rPr>
      <w:sz w:val="24"/>
    </w:rPr>
  </w:style>
  <w:style w:type="paragraph" w:customStyle="1" w:styleId="698">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autoRedefine/>
    <w:qFormat/>
    <w:uiPriority w:val="6"/>
    <w:rPr>
      <w:rFonts w:ascii="仿宋_GB2312" w:eastAsia="仿宋_GB2312"/>
      <w:b/>
      <w:sz w:val="32"/>
      <w:szCs w:val="32"/>
    </w:rPr>
  </w:style>
  <w:style w:type="paragraph" w:customStyle="1" w:styleId="700">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autoRedefine/>
    <w:qFormat/>
    <w:uiPriority w:val="0"/>
    <w:pPr>
      <w:widowControl/>
      <w:adjustRightInd/>
      <w:spacing w:after="160" w:line="240" w:lineRule="exact"/>
      <w:jc w:val="left"/>
    </w:pPr>
    <w:rPr>
      <w:szCs w:val="20"/>
    </w:rPr>
  </w:style>
  <w:style w:type="paragraph" w:customStyle="1" w:styleId="703">
    <w:name w:val="Char Char1121"/>
    <w:basedOn w:val="1"/>
    <w:autoRedefine/>
    <w:qFormat/>
    <w:uiPriority w:val="0"/>
    <w:pPr>
      <w:spacing w:line="360" w:lineRule="auto"/>
    </w:pPr>
    <w:rPr>
      <w:szCs w:val="20"/>
    </w:rPr>
  </w:style>
  <w:style w:type="paragraph" w:customStyle="1" w:styleId="70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autoRedefine/>
    <w:qFormat/>
    <w:uiPriority w:val="0"/>
    <w:rPr>
      <w:rFonts w:ascii="Times New Roman" w:hAnsi="Times New Roman" w:eastAsia="宋体" w:cs="Times New Roman"/>
      <w:lang w:val="en-US" w:eastAsia="en-US" w:bidi="ar-SA"/>
    </w:rPr>
  </w:style>
  <w:style w:type="paragraph" w:customStyle="1" w:styleId="707">
    <w:name w:val="带编号样式"/>
    <w:basedOn w:val="625"/>
    <w:autoRedefine/>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autoRedefine/>
    <w:qFormat/>
    <w:uiPriority w:val="0"/>
    <w:pPr>
      <w:spacing w:line="240" w:lineRule="atLeast"/>
      <w:ind w:left="420" w:firstLine="420"/>
    </w:pPr>
    <w:rPr>
      <w:sz w:val="24"/>
    </w:rPr>
  </w:style>
  <w:style w:type="paragraph" w:customStyle="1" w:styleId="714">
    <w:name w:val="WW-正文文字缩进 2"/>
    <w:basedOn w:val="1"/>
    <w:autoRedefine/>
    <w:qFormat/>
    <w:uiPriority w:val="0"/>
    <w:pPr>
      <w:suppressAutoHyphens/>
      <w:adjustRightInd/>
      <w:ind w:firstLine="420"/>
    </w:pPr>
    <w:rPr>
      <w:kern w:val="1"/>
      <w:szCs w:val="20"/>
    </w:rPr>
  </w:style>
  <w:style w:type="paragraph" w:customStyle="1" w:styleId="71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6"/>
    <w:autoRedefine/>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autoRedefine/>
    <w:qFormat/>
    <w:uiPriority w:val="0"/>
    <w:pPr>
      <w:adjustRightInd/>
      <w:spacing w:line="400" w:lineRule="exact"/>
      <w:ind w:firstLine="200" w:firstLineChars="200"/>
    </w:pPr>
    <w:rPr>
      <w:rFonts w:ascii="Arial" w:hAnsi="Arial"/>
    </w:rPr>
  </w:style>
  <w:style w:type="paragraph" w:customStyle="1" w:styleId="71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autoRedefine/>
    <w:qFormat/>
    <w:uiPriority w:val="0"/>
    <w:pPr>
      <w:spacing w:after="120" w:line="480" w:lineRule="auto"/>
      <w:ind w:left="420" w:leftChars="200"/>
    </w:pPr>
    <w:rPr>
      <w:sz w:val="24"/>
      <w:szCs w:val="20"/>
    </w:rPr>
  </w:style>
  <w:style w:type="paragraph" w:customStyle="1" w:styleId="72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7"/>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9"/>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1"/>
    <w:next w:val="711"/>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autoRedefine/>
    <w:qFormat/>
    <w:uiPriority w:val="0"/>
    <w:rPr>
      <w:rFonts w:ascii="宋体" w:hAnsi="Times New Roman" w:eastAsia="宋体" w:cs="Times New Roman"/>
      <w:kern w:val="2"/>
      <w:lang w:val="en-US" w:eastAsia="zh-CN" w:bidi="ar-SA"/>
    </w:rPr>
  </w:style>
  <w:style w:type="paragraph" w:customStyle="1" w:styleId="770">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8"/>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autoRedefine/>
    <w:qFormat/>
    <w:uiPriority w:val="0"/>
    <w:rPr>
      <w:rFonts w:ascii="仿宋_GB2312" w:eastAsia="仿宋_GB2312"/>
      <w:b/>
      <w:sz w:val="32"/>
      <w:szCs w:val="32"/>
    </w:rPr>
  </w:style>
  <w:style w:type="paragraph" w:customStyle="1" w:styleId="784">
    <w:name w:val="Char111"/>
    <w:basedOn w:val="1"/>
    <w:autoRedefine/>
    <w:qFormat/>
    <w:uiPriority w:val="0"/>
    <w:rPr>
      <w:rFonts w:ascii="仿宋_GB2312" w:eastAsia="仿宋_GB2312"/>
      <w:b/>
      <w:sz w:val="32"/>
      <w:szCs w:val="32"/>
    </w:rPr>
  </w:style>
  <w:style w:type="paragraph" w:customStyle="1" w:styleId="785">
    <w:name w:val="标题3"/>
    <w:basedOn w:val="7"/>
    <w:next w:val="54"/>
    <w:autoRedefine/>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5"/>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9"/>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1"/>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7"/>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10"/>
    <w:next w:val="1"/>
    <w:qFormat/>
    <w:uiPriority w:val="0"/>
    <w:pPr>
      <w:tabs>
        <w:tab w:val="left" w:pos="1080"/>
      </w:tabs>
      <w:ind w:left="1080" w:hanging="1080"/>
    </w:pPr>
  </w:style>
  <w:style w:type="paragraph" w:customStyle="1" w:styleId="895">
    <w:name w:val="数字标题1"/>
    <w:basedOn w:val="5"/>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字符"/>
    <w:link w:val="39"/>
    <w:qFormat/>
    <w:uiPriority w:val="0"/>
    <w:rPr>
      <w:kern w:val="2"/>
      <w:sz w:val="21"/>
      <w:szCs w:val="24"/>
      <w:lang w:val="zh-CN"/>
    </w:rPr>
  </w:style>
  <w:style w:type="character" w:customStyle="1" w:styleId="931">
    <w:name w:val="无间隔 字符"/>
    <w:link w:val="481"/>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6"/>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1"/>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Unresolved Mention"/>
    <w:basedOn w:val="71"/>
    <w:semiHidden/>
    <w:unhideWhenUsed/>
    <w:qFormat/>
    <w:uiPriority w:val="99"/>
    <w:rPr>
      <w:color w:val="605E5C"/>
      <w:shd w:val="clear" w:color="auto" w:fill="E1DFDD"/>
    </w:rPr>
  </w:style>
  <w:style w:type="paragraph" w:customStyle="1" w:styleId="964">
    <w:name w:val="纯文本3"/>
    <w:basedOn w:val="1"/>
    <w:qFormat/>
    <w:uiPriority w:val="0"/>
    <w:pPr>
      <w:adjustRightInd/>
      <w:snapToGrid w:val="0"/>
      <w:jc w:val="left"/>
    </w:pPr>
    <w:rPr>
      <w:rFonts w:ascii="Century Gothic" w:hAnsi="楷体_GB2312" w:eastAsia="Century Gothic"/>
      <w:szCs w:val="20"/>
    </w:rPr>
  </w:style>
  <w:style w:type="paragraph" w:customStyle="1" w:styleId="965">
    <w:name w:val="[Normal]"/>
    <w:autoRedefine/>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72B4D-9256-4782-95A6-08916EF33AD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80</Pages>
  <Words>7169</Words>
  <Characters>40866</Characters>
  <Lines>340</Lines>
  <Paragraphs>95</Paragraphs>
  <TotalTime>48</TotalTime>
  <ScaleCrop>false</ScaleCrop>
  <LinksUpToDate>false</LinksUpToDate>
  <CharactersWithSpaces>47940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2021-12-27T03:06:00Z</cp:lastPrinted>
  <dcterms:modified xsi:type="dcterms:W3CDTF">2024-04-17T06:11:41Z</dcterms:modified>
  <dc:title>杭州市市民卡扩大发卡工程</dc:title>
  <cp:revision>384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B41B205B7C93437595104BEDFDBE84B8_13</vt:lpwstr>
  </property>
</Properties>
</file>