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highlight w:val="none"/>
        </w:rPr>
      </w:pPr>
    </w:p>
    <w:p>
      <w:pPr>
        <w:pStyle w:val="2"/>
        <w:rPr>
          <w:rFonts w:hint="eastAsia"/>
          <w:highlight w:val="none"/>
        </w:rPr>
      </w:pPr>
    </w:p>
    <w:p>
      <w:pPr>
        <w:adjustRightInd/>
        <w:spacing w:line="360" w:lineRule="auto"/>
        <w:jc w:val="center"/>
        <w:rPr>
          <w:rFonts w:hint="eastAsia" w:ascii="宋体" w:hAnsi="宋体" w:eastAsia="宋体" w:cs="宋体"/>
          <w:b/>
          <w:sz w:val="52"/>
          <w:szCs w:val="52"/>
          <w:highlight w:val="none"/>
          <w:lang w:eastAsia="zh-CN"/>
        </w:rPr>
      </w:pPr>
      <w:r>
        <w:rPr>
          <w:rFonts w:hint="eastAsia" w:ascii="宋体" w:hAnsi="宋体" w:cs="宋体"/>
          <w:b/>
          <w:sz w:val="56"/>
          <w:szCs w:val="56"/>
          <w:highlight w:val="none"/>
          <w:lang w:eastAsia="zh-CN"/>
        </w:rPr>
        <w:t>派驻祥符、康桥***92名保安人员</w:t>
      </w:r>
      <w:r>
        <w:rPr>
          <w:rFonts w:hint="eastAsia" w:ascii="宋体" w:hAnsi="宋体" w:cs="宋体"/>
          <w:b/>
          <w:sz w:val="56"/>
          <w:szCs w:val="56"/>
          <w:highlight w:val="none"/>
          <w:lang w:val="en-US" w:eastAsia="zh-CN"/>
        </w:rPr>
        <w:t>服务单位</w:t>
      </w:r>
      <w:r>
        <w:rPr>
          <w:rFonts w:hint="eastAsia" w:ascii="宋体" w:hAnsi="宋体" w:cs="宋体"/>
          <w:b/>
          <w:sz w:val="56"/>
          <w:szCs w:val="56"/>
          <w:highlight w:val="none"/>
          <w:lang w:eastAsia="zh-CN"/>
        </w:rPr>
        <w:t>采购项目</w:t>
      </w:r>
    </w:p>
    <w:p>
      <w:pPr>
        <w:adjustRightInd/>
        <w:spacing w:line="360" w:lineRule="auto"/>
        <w:jc w:val="center"/>
        <w:rPr>
          <w:rFonts w:hint="eastAsia" w:ascii="宋体" w:hAnsi="宋体" w:eastAsia="宋体" w:cs="宋体"/>
          <w:b/>
          <w:sz w:val="44"/>
          <w:szCs w:val="44"/>
          <w:highlight w:val="none"/>
        </w:rPr>
      </w:pPr>
    </w:p>
    <w:p>
      <w:pPr>
        <w:adjustRightInd/>
        <w:spacing w:line="360" w:lineRule="auto"/>
        <w:jc w:val="center"/>
        <w:rPr>
          <w:rFonts w:hint="eastAsia" w:ascii="宋体" w:hAnsi="宋体" w:eastAsia="宋体" w:cs="宋体"/>
          <w:sz w:val="48"/>
          <w:szCs w:val="48"/>
          <w:highlight w:val="none"/>
          <w:lang w:val="en-US" w:eastAsia="zh-CN"/>
        </w:rPr>
      </w:pPr>
      <w:r>
        <w:rPr>
          <w:rFonts w:hint="eastAsia" w:ascii="宋体" w:hAnsi="宋体" w:eastAsia="宋体" w:cs="宋体"/>
          <w:sz w:val="72"/>
          <w:szCs w:val="72"/>
          <w:highlight w:val="none"/>
        </w:rPr>
        <w:t>招标文件</w:t>
      </w:r>
      <w:r>
        <w:rPr>
          <w:rFonts w:hint="eastAsia" w:ascii="宋体" w:hAnsi="宋体" w:eastAsia="宋体" w:cs="宋体"/>
          <w:sz w:val="48"/>
          <w:szCs w:val="48"/>
          <w:highlight w:val="none"/>
          <w:lang w:val="en-US" w:eastAsia="zh-CN"/>
        </w:rPr>
        <w:t xml:space="preserve"> </w:t>
      </w: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pPr>
        <w:snapToGrid w:val="0"/>
        <w:spacing w:line="360" w:lineRule="auto"/>
        <w:jc w:val="center"/>
        <w:rPr>
          <w:rFonts w:hint="eastAsia" w:ascii="宋体" w:hAnsi="宋体" w:eastAsia="宋体" w:cs="宋体"/>
          <w:sz w:val="30"/>
          <w:szCs w:val="30"/>
          <w:highlight w:val="none"/>
        </w:rPr>
      </w:pPr>
    </w:p>
    <w:p>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lang w:eastAsia="zh-CN"/>
        </w:rPr>
        <w:t>项目</w:t>
      </w:r>
      <w:r>
        <w:rPr>
          <w:rFonts w:hint="eastAsia" w:ascii="宋体" w:hAnsi="宋体" w:eastAsia="宋体" w:cs="宋体"/>
          <w:sz w:val="30"/>
          <w:szCs w:val="30"/>
          <w:highlight w:val="none"/>
        </w:rPr>
        <w:t>编号</w:t>
      </w:r>
      <w:r>
        <w:rPr>
          <w:rFonts w:hint="eastAsia" w:ascii="宋体" w:hAnsi="宋体" w:cs="宋体"/>
          <w:sz w:val="30"/>
          <w:szCs w:val="30"/>
          <w:highlight w:val="none"/>
          <w:lang w:val="en-US" w:eastAsia="zh-CN"/>
        </w:rPr>
        <w:t>:BACG20221207</w:t>
      </w: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rPr>
      </w:pPr>
    </w:p>
    <w:p>
      <w:pPr>
        <w:snapToGrid w:val="0"/>
        <w:spacing w:line="360" w:lineRule="auto"/>
        <w:jc w:val="center"/>
        <w:rPr>
          <w:rFonts w:hint="eastAsia" w:ascii="宋体" w:hAnsi="宋体" w:eastAsia="宋体" w:cs="宋体"/>
          <w:sz w:val="32"/>
          <w:szCs w:val="32"/>
          <w:highlight w:val="none"/>
        </w:rPr>
      </w:pPr>
    </w:p>
    <w:p>
      <w:pPr>
        <w:spacing w:line="360" w:lineRule="auto"/>
        <w:ind w:firstLine="640" w:firstLineChars="200"/>
        <w:rPr>
          <w:rFonts w:hint="eastAsia" w:ascii="宋体" w:hAnsi="宋体" w:eastAsia="宋体" w:cs="宋体"/>
          <w:b w:val="0"/>
          <w:bCs/>
          <w:sz w:val="32"/>
          <w:szCs w:val="32"/>
          <w:highlight w:val="none"/>
          <w:u w:val="none"/>
        </w:rPr>
      </w:pPr>
      <w:r>
        <w:rPr>
          <w:rFonts w:hint="eastAsia" w:ascii="宋体" w:hAnsi="宋体" w:eastAsia="宋体" w:cs="宋体"/>
          <w:b w:val="0"/>
          <w:bCs/>
          <w:sz w:val="32"/>
          <w:szCs w:val="32"/>
          <w:highlight w:val="none"/>
          <w:u w:val="none"/>
        </w:rPr>
        <w:t>采购</w:t>
      </w:r>
      <w:r>
        <w:rPr>
          <w:rFonts w:hint="eastAsia" w:ascii="宋体" w:hAnsi="宋体" w:cs="宋体"/>
          <w:b w:val="0"/>
          <w:bCs/>
          <w:sz w:val="32"/>
          <w:szCs w:val="32"/>
          <w:highlight w:val="none"/>
          <w:u w:val="none"/>
          <w:lang w:val="en-US" w:eastAsia="zh-CN"/>
        </w:rPr>
        <w:t>人</w:t>
      </w:r>
      <w:r>
        <w:rPr>
          <w:rFonts w:hint="eastAsia" w:ascii="宋体" w:hAnsi="宋体" w:eastAsia="宋体" w:cs="宋体"/>
          <w:b w:val="0"/>
          <w:bCs/>
          <w:sz w:val="32"/>
          <w:szCs w:val="32"/>
          <w:highlight w:val="none"/>
          <w:u w:val="none"/>
        </w:rPr>
        <w:t>：</w:t>
      </w:r>
      <w:r>
        <w:rPr>
          <w:rFonts w:hint="eastAsia" w:ascii="宋体" w:hAnsi="宋体" w:eastAsia="宋体" w:cs="宋体"/>
          <w:b w:val="0"/>
          <w:bCs/>
          <w:sz w:val="32"/>
          <w:szCs w:val="32"/>
          <w:highlight w:val="none"/>
          <w:u w:val="single"/>
          <w:lang w:eastAsia="zh-CN"/>
        </w:rPr>
        <w:t>杭州市拱墅区科技工业功能区管理委员会</w:t>
      </w:r>
      <w:r>
        <w:rPr>
          <w:rFonts w:hint="eastAsia" w:ascii="宋体" w:hAnsi="宋体" w:cs="宋体"/>
          <w:b w:val="0"/>
          <w:bCs/>
          <w:sz w:val="32"/>
          <w:szCs w:val="32"/>
          <w:highlight w:val="none"/>
          <w:u w:val="single"/>
          <w:lang w:val="en-US" w:eastAsia="zh-CN"/>
        </w:rPr>
        <w:t xml:space="preserve">  </w:t>
      </w:r>
      <w:r>
        <w:rPr>
          <w:rFonts w:hint="eastAsia" w:ascii="宋体" w:hAnsi="宋体" w:eastAsia="宋体" w:cs="宋体"/>
          <w:b w:val="0"/>
          <w:bCs/>
          <w:sz w:val="32"/>
          <w:szCs w:val="32"/>
          <w:highlight w:val="none"/>
          <w:u w:val="single"/>
        </w:rPr>
        <w:t>(盖章)</w:t>
      </w:r>
    </w:p>
    <w:p>
      <w:pPr>
        <w:spacing w:line="360" w:lineRule="auto"/>
        <w:ind w:firstLine="633" w:firstLineChars="198"/>
        <w:rPr>
          <w:rFonts w:hint="eastAsia" w:ascii="宋体" w:hAnsi="宋体" w:eastAsia="宋体" w:cs="宋体"/>
          <w:b w:val="0"/>
          <w:bCs/>
          <w:sz w:val="32"/>
          <w:szCs w:val="32"/>
          <w:highlight w:val="none"/>
          <w:u w:val="single"/>
        </w:rPr>
      </w:pPr>
      <w:r>
        <w:rPr>
          <w:rFonts w:hint="eastAsia" w:ascii="宋体" w:hAnsi="宋体" w:eastAsia="宋体" w:cs="宋体"/>
          <w:b w:val="0"/>
          <w:bCs/>
          <w:sz w:val="32"/>
          <w:szCs w:val="32"/>
          <w:highlight w:val="none"/>
        </w:rPr>
        <w:t xml:space="preserve">法定代表人或其委托代理人: </w:t>
      </w:r>
      <w:r>
        <w:rPr>
          <w:rFonts w:hint="eastAsia" w:ascii="宋体" w:hAnsi="宋体" w:eastAsia="宋体" w:cs="宋体"/>
          <w:b w:val="0"/>
          <w:bCs/>
          <w:sz w:val="32"/>
          <w:szCs w:val="32"/>
          <w:highlight w:val="none"/>
          <w:u w:val="single"/>
        </w:rPr>
        <w:t xml:space="preserve">          </w:t>
      </w:r>
      <w:r>
        <w:rPr>
          <w:rFonts w:hint="eastAsia" w:ascii="宋体" w:hAnsi="宋体" w:eastAsia="宋体" w:cs="宋体"/>
          <w:b w:val="0"/>
          <w:bCs/>
          <w:sz w:val="32"/>
          <w:szCs w:val="32"/>
          <w:highlight w:val="none"/>
          <w:u w:val="single"/>
          <w:lang w:val="en-US" w:eastAsia="zh-CN"/>
        </w:rPr>
        <w:t xml:space="preserve">  </w:t>
      </w:r>
      <w:r>
        <w:rPr>
          <w:rFonts w:hint="eastAsia" w:ascii="宋体" w:hAnsi="宋体" w:eastAsia="宋体" w:cs="宋体"/>
          <w:b w:val="0"/>
          <w:bCs/>
          <w:sz w:val="32"/>
          <w:szCs w:val="32"/>
          <w:highlight w:val="none"/>
          <w:u w:val="single"/>
        </w:rPr>
        <w:t xml:space="preserve">  (签字或盖章)</w:t>
      </w:r>
    </w:p>
    <w:p>
      <w:pPr>
        <w:pStyle w:val="80"/>
        <w:rPr>
          <w:rFonts w:hint="eastAsia"/>
          <w:b w:val="0"/>
          <w:bCs/>
          <w:sz w:val="32"/>
          <w:szCs w:val="32"/>
          <w:highlight w:val="none"/>
        </w:rPr>
      </w:pPr>
    </w:p>
    <w:p>
      <w:pPr>
        <w:spacing w:line="360" w:lineRule="auto"/>
        <w:ind w:firstLine="633" w:firstLineChars="198"/>
        <w:rPr>
          <w:rFonts w:hint="eastAsia" w:ascii="宋体" w:hAnsi="宋体" w:eastAsia="宋体" w:cs="宋体"/>
          <w:b w:val="0"/>
          <w:bCs/>
          <w:sz w:val="32"/>
          <w:szCs w:val="32"/>
          <w:highlight w:val="none"/>
          <w:u w:val="single"/>
        </w:rPr>
      </w:pPr>
      <w:r>
        <w:rPr>
          <w:rFonts w:hint="eastAsia" w:ascii="宋体" w:hAnsi="宋体" w:eastAsia="宋体" w:cs="宋体"/>
          <w:b w:val="0"/>
          <w:bCs/>
          <w:sz w:val="32"/>
          <w:szCs w:val="32"/>
          <w:highlight w:val="none"/>
          <w:u w:val="none"/>
        </w:rPr>
        <w:t>采购代理机构：</w:t>
      </w:r>
      <w:r>
        <w:rPr>
          <w:rFonts w:hint="eastAsia" w:ascii="宋体" w:hAnsi="宋体" w:eastAsia="宋体" w:cs="宋体"/>
          <w:b w:val="0"/>
          <w:bCs/>
          <w:sz w:val="32"/>
          <w:szCs w:val="32"/>
          <w:highlight w:val="none"/>
          <w:u w:val="single"/>
          <w:lang w:eastAsia="zh-CN"/>
        </w:rPr>
        <w:t>浙江新诚信工程咨询有限公司</w:t>
      </w:r>
      <w:r>
        <w:rPr>
          <w:rFonts w:hint="eastAsia" w:ascii="宋体" w:hAnsi="宋体" w:eastAsia="宋体" w:cs="宋体"/>
          <w:b w:val="0"/>
          <w:bCs/>
          <w:sz w:val="32"/>
          <w:szCs w:val="32"/>
          <w:highlight w:val="none"/>
          <w:u w:val="single"/>
        </w:rPr>
        <w:t xml:space="preserve"> </w:t>
      </w:r>
      <w:r>
        <w:rPr>
          <w:rFonts w:hint="eastAsia" w:ascii="宋体" w:hAnsi="宋体" w:eastAsia="宋体" w:cs="宋体"/>
          <w:b w:val="0"/>
          <w:bCs/>
          <w:sz w:val="32"/>
          <w:szCs w:val="32"/>
          <w:highlight w:val="none"/>
          <w:u w:val="single"/>
          <w:lang w:val="en-US" w:eastAsia="zh-CN"/>
        </w:rPr>
        <w:t xml:space="preserve">     </w:t>
      </w:r>
      <w:r>
        <w:rPr>
          <w:rFonts w:hint="eastAsia" w:ascii="宋体" w:hAnsi="宋体" w:eastAsia="宋体" w:cs="宋体"/>
          <w:b w:val="0"/>
          <w:bCs/>
          <w:sz w:val="32"/>
          <w:szCs w:val="32"/>
          <w:highlight w:val="none"/>
          <w:u w:val="single"/>
        </w:rPr>
        <w:t>(盖章)</w:t>
      </w:r>
    </w:p>
    <w:p>
      <w:pPr>
        <w:spacing w:line="360" w:lineRule="auto"/>
        <w:ind w:firstLine="640" w:firstLineChars="200"/>
        <w:jc w:val="both"/>
        <w:rPr>
          <w:rFonts w:hint="eastAsia" w:ascii="宋体" w:hAnsi="宋体" w:eastAsia="宋体" w:cs="宋体"/>
          <w:b w:val="0"/>
          <w:bCs/>
          <w:sz w:val="30"/>
          <w:szCs w:val="30"/>
          <w:highlight w:val="none"/>
          <w:lang w:val="en-US" w:eastAsia="zh-CN"/>
        </w:rPr>
      </w:pPr>
      <w:r>
        <w:rPr>
          <w:rFonts w:hint="eastAsia" w:ascii="宋体" w:hAnsi="宋体" w:eastAsia="宋体" w:cs="宋体"/>
          <w:b w:val="0"/>
          <w:bCs/>
          <w:sz w:val="32"/>
          <w:szCs w:val="32"/>
          <w:highlight w:val="none"/>
        </w:rPr>
        <w:t xml:space="preserve">法定代表人或其委托代理人: </w:t>
      </w:r>
      <w:r>
        <w:rPr>
          <w:rFonts w:hint="eastAsia" w:ascii="宋体" w:hAnsi="宋体" w:eastAsia="宋体" w:cs="宋体"/>
          <w:b w:val="0"/>
          <w:bCs/>
          <w:sz w:val="32"/>
          <w:szCs w:val="32"/>
          <w:highlight w:val="none"/>
          <w:u w:val="single"/>
        </w:rPr>
        <w:t xml:space="preserve">              (签字或盖章)</w:t>
      </w:r>
    </w:p>
    <w:p>
      <w:pPr>
        <w:snapToGrid w:val="0"/>
        <w:spacing w:line="360" w:lineRule="auto"/>
        <w:jc w:val="center"/>
        <w:rPr>
          <w:rFonts w:hint="eastAsia" w:ascii="宋体" w:hAnsi="宋体" w:eastAsia="宋体" w:cs="宋体"/>
          <w:bCs/>
          <w:sz w:val="32"/>
          <w:szCs w:val="32"/>
          <w:highlight w:val="none"/>
        </w:rPr>
      </w:pPr>
    </w:p>
    <w:p>
      <w:pPr>
        <w:snapToGrid w:val="0"/>
        <w:spacing w:line="360" w:lineRule="auto"/>
        <w:jc w:val="center"/>
        <w:rPr>
          <w:rFonts w:hint="eastAsia" w:ascii="宋体" w:hAnsi="宋体" w:eastAsia="宋体" w:cs="宋体"/>
          <w:sz w:val="30"/>
          <w:szCs w:val="30"/>
          <w:highlight w:val="none"/>
        </w:rPr>
        <w:sectPr>
          <w:footerReference r:id="rId3" w:type="even"/>
          <w:pgSz w:w="11906" w:h="16838"/>
          <w:pgMar w:top="1440" w:right="1080" w:bottom="1440" w:left="1080" w:header="851" w:footer="992" w:gutter="0"/>
          <w:pgNumType w:start="0"/>
          <w:cols w:space="720" w:num="1"/>
          <w:titlePg/>
          <w:docGrid w:linePitch="312" w:charSpace="0"/>
        </w:sectPr>
      </w:pPr>
      <w:r>
        <w:rPr>
          <w:rFonts w:hint="eastAsia" w:ascii="宋体" w:hAnsi="宋体" w:eastAsia="宋体" w:cs="宋体"/>
          <w:bCs/>
          <w:sz w:val="30"/>
          <w:szCs w:val="30"/>
          <w:highlight w:val="none"/>
        </w:rPr>
        <w:t>二〇二</w:t>
      </w:r>
      <w:r>
        <w:rPr>
          <w:rFonts w:hint="eastAsia" w:ascii="宋体" w:hAnsi="宋体" w:cs="宋体"/>
          <w:bCs/>
          <w:sz w:val="30"/>
          <w:szCs w:val="30"/>
          <w:highlight w:val="none"/>
          <w:lang w:eastAsia="zh-CN"/>
        </w:rPr>
        <w:t>二</w:t>
      </w:r>
      <w:r>
        <w:rPr>
          <w:rFonts w:hint="eastAsia" w:ascii="宋体" w:hAnsi="宋体" w:eastAsia="宋体" w:cs="宋体"/>
          <w:bCs/>
          <w:sz w:val="30"/>
          <w:szCs w:val="30"/>
          <w:highlight w:val="none"/>
        </w:rPr>
        <w:t>年</w:t>
      </w:r>
      <w:r>
        <w:rPr>
          <w:rFonts w:hint="eastAsia" w:ascii="宋体" w:hAnsi="宋体" w:cs="宋体"/>
          <w:bCs/>
          <w:sz w:val="30"/>
          <w:szCs w:val="30"/>
          <w:highlight w:val="none"/>
          <w:lang w:eastAsia="zh-CN"/>
        </w:rPr>
        <w:t>十二月七</w:t>
      </w:r>
      <w:r>
        <w:rPr>
          <w:rFonts w:hint="eastAsia" w:ascii="宋体" w:hAnsi="宋体" w:eastAsia="宋体" w:cs="宋体"/>
          <w:bCs/>
          <w:sz w:val="30"/>
          <w:szCs w:val="30"/>
          <w:highlight w:val="none"/>
        </w:rPr>
        <w:t>日</w:t>
      </w:r>
    </w:p>
    <w:p>
      <w:pPr>
        <w:pStyle w:val="5"/>
        <w:ind w:left="0" w:leftChars="0" w:firstLine="0" w:firstLineChars="0"/>
        <w:rPr>
          <w:rFonts w:hint="eastAsia"/>
          <w:highlight w:val="none"/>
        </w:rPr>
      </w:pPr>
    </w:p>
    <w:p>
      <w:pPr>
        <w:spacing w:line="360" w:lineRule="auto"/>
        <w:jc w:val="center"/>
        <w:rPr>
          <w:rFonts w:hint="eastAsia"/>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highlight w:val="none"/>
        </w:rPr>
      </w:pPr>
      <w:r>
        <w:rPr>
          <w:rFonts w:hint="eastAsia" w:ascii="宋体" w:hAnsi="宋体" w:eastAsia="宋体" w:cs="宋体"/>
          <w:b/>
          <w:sz w:val="36"/>
          <w:szCs w:val="36"/>
          <w:highlight w:val="none"/>
        </w:rPr>
        <w:br w:type="page"/>
      </w:r>
      <w:bookmarkEnd w:id="1"/>
      <w:bookmarkStart w:id="2" w:name="_Hlt74729822"/>
      <w:bookmarkEnd w:id="2"/>
      <w:bookmarkStart w:id="3" w:name="_Hlt74707423"/>
      <w:bookmarkEnd w:id="3"/>
      <w:bookmarkStart w:id="4" w:name="_Hlt74728647"/>
      <w:bookmarkEnd w:id="4"/>
      <w:bookmarkStart w:id="5" w:name="_Hlt74649545"/>
      <w:bookmarkEnd w:id="5"/>
      <w:bookmarkStart w:id="6" w:name="_Toc91899870"/>
      <w:bookmarkStart w:id="7" w:name="_Toc91899871"/>
      <w:r>
        <w:rPr>
          <w:rFonts w:hint="eastAsia" w:ascii="宋体" w:hAnsi="宋体" w:eastAsia="宋体" w:cs="宋体"/>
          <w:b/>
          <w:sz w:val="36"/>
          <w:szCs w:val="20"/>
          <w:highlight w:val="none"/>
        </w:rPr>
        <w:t>第一部分</w:t>
      </w:r>
      <w:r>
        <w:rPr>
          <w:rFonts w:hint="eastAsia" w:ascii="宋体" w:hAnsi="宋体" w:cs="宋体"/>
          <w:b/>
          <w:sz w:val="36"/>
          <w:szCs w:val="20"/>
          <w:highlight w:val="none"/>
          <w:lang w:val="en-US" w:eastAsia="zh-CN"/>
        </w:rPr>
        <w:t xml:space="preserve"> </w:t>
      </w:r>
      <w:r>
        <w:rPr>
          <w:rFonts w:hint="eastAsia" w:ascii="宋体" w:hAnsi="宋体" w:eastAsia="宋体" w:cs="宋体"/>
          <w:b/>
          <w:sz w:val="36"/>
          <w:szCs w:val="20"/>
          <w:highlight w:val="none"/>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cs="宋体"/>
          <w:sz w:val="24"/>
          <w:highlight w:val="none"/>
          <w:u w:val="single"/>
          <w:lang w:eastAsia="zh-CN"/>
        </w:rPr>
        <w:t>派驻祥符、康桥***92名保安人员</w:t>
      </w:r>
      <w:r>
        <w:rPr>
          <w:rFonts w:hint="eastAsia" w:ascii="宋体" w:hAnsi="宋体" w:cs="宋体"/>
          <w:sz w:val="24"/>
          <w:highlight w:val="none"/>
          <w:u w:val="single"/>
          <w:lang w:val="en-US" w:eastAsia="zh-CN"/>
        </w:rPr>
        <w:t>服务单位</w:t>
      </w:r>
      <w:r>
        <w:rPr>
          <w:rFonts w:hint="eastAsia" w:ascii="宋体" w:hAnsi="宋体" w:cs="宋体"/>
          <w:sz w:val="24"/>
          <w:highlight w:val="none"/>
          <w:u w:val="single"/>
          <w:lang w:eastAsia="zh-CN"/>
        </w:rPr>
        <w:t>采购项目</w:t>
      </w:r>
      <w:r>
        <w:rPr>
          <w:rFonts w:hint="eastAsia" w:ascii="宋体" w:hAnsi="宋体" w:eastAsia="宋体" w:cs="宋体"/>
          <w:sz w:val="24"/>
          <w:highlight w:val="none"/>
        </w:rPr>
        <w:t>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eastAsia="宋体" w:cs="宋体"/>
          <w:bCs/>
          <w:sz w:val="24"/>
          <w:highlight w:val="none"/>
          <w:u w:val="single"/>
        </w:rPr>
        <w:t>秒</w:t>
      </w:r>
      <w:r>
        <w:rPr>
          <w:rFonts w:hint="eastAsia" w:ascii="宋体" w:hAnsi="宋体" w:eastAsia="宋体" w:cs="宋体"/>
          <w:bCs/>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b w:val="0"/>
          <w:bCs/>
          <w:sz w:val="24"/>
          <w:highlight w:val="none"/>
        </w:rPr>
        <w:t>BACG20221207</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项目名称：</w:t>
      </w:r>
      <w:r>
        <w:rPr>
          <w:rFonts w:hint="eastAsia" w:ascii="宋体" w:hAnsi="宋体" w:cs="宋体"/>
          <w:b w:val="0"/>
          <w:bCs/>
          <w:sz w:val="24"/>
          <w:highlight w:val="none"/>
          <w:lang w:eastAsia="zh-CN"/>
        </w:rPr>
        <w:t>派驻祥符、康桥***92名保安人员</w:t>
      </w:r>
      <w:r>
        <w:rPr>
          <w:rFonts w:hint="eastAsia" w:ascii="宋体" w:hAnsi="宋体" w:cs="宋体"/>
          <w:b w:val="0"/>
          <w:bCs/>
          <w:sz w:val="24"/>
          <w:highlight w:val="none"/>
          <w:lang w:val="en-US" w:eastAsia="zh-CN"/>
        </w:rPr>
        <w:t>服务单位</w:t>
      </w:r>
      <w:r>
        <w:rPr>
          <w:rFonts w:hint="eastAsia" w:ascii="宋体" w:hAnsi="宋体" w:cs="宋体"/>
          <w:b w:val="0"/>
          <w:bCs/>
          <w:sz w:val="24"/>
          <w:highlight w:val="none"/>
          <w:lang w:eastAsia="zh-CN"/>
        </w:rPr>
        <w:t>采购项目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eastAsia="宋体" w:cs="宋体"/>
          <w:b w:val="0"/>
          <w:bCs/>
          <w:sz w:val="24"/>
          <w:highlight w:val="none"/>
        </w:rPr>
        <w:t>6532000</w:t>
      </w:r>
      <w:r>
        <w:rPr>
          <w:rFonts w:hint="eastAsia" w:ascii="宋体" w:hAnsi="宋体" w:cs="宋体"/>
          <w:b w:val="0"/>
          <w:bCs/>
          <w:sz w:val="24"/>
          <w:highlight w:val="none"/>
          <w:lang w:val="en-US" w:eastAsia="zh-CN"/>
        </w:rPr>
        <w:t>.00</w:t>
      </w:r>
      <w:r>
        <w:rPr>
          <w:rFonts w:hint="eastAsia" w:ascii="宋体" w:hAnsi="宋体" w:eastAsia="宋体" w:cs="宋体"/>
          <w:b w:val="0"/>
          <w:bCs/>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b/>
          <w:sz w:val="24"/>
          <w:highlight w:val="none"/>
        </w:rPr>
        <w:t>最高限价（元）：</w:t>
      </w:r>
      <w:r>
        <w:rPr>
          <w:rFonts w:hint="eastAsia" w:ascii="宋体" w:hAnsi="宋体" w:eastAsia="宋体" w:cs="宋体"/>
          <w:b w:val="0"/>
          <w:bCs/>
          <w:sz w:val="24"/>
          <w:highlight w:val="none"/>
        </w:rPr>
        <w:t>6532000</w:t>
      </w:r>
      <w:r>
        <w:rPr>
          <w:rFonts w:hint="eastAsia" w:ascii="宋体" w:hAnsi="宋体" w:cs="宋体"/>
          <w:b w:val="0"/>
          <w:bCs/>
          <w:sz w:val="24"/>
          <w:highlight w:val="none"/>
          <w:lang w:val="en-US" w:eastAsia="zh-CN"/>
        </w:rPr>
        <w:t>.00</w:t>
      </w:r>
      <w:r>
        <w:rPr>
          <w:rFonts w:hint="eastAsia" w:ascii="宋体" w:hAnsi="宋体" w:eastAsia="宋体" w:cs="宋体"/>
          <w:b w:val="0"/>
          <w:bCs/>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b w:val="0"/>
          <w:bCs/>
          <w:sz w:val="24"/>
          <w:highlight w:val="none"/>
          <w:lang w:eastAsia="zh-CN"/>
        </w:rPr>
        <w:t>派驻祥符、康桥***92名保安人员</w:t>
      </w:r>
      <w:r>
        <w:rPr>
          <w:rFonts w:hint="eastAsia" w:ascii="宋体" w:hAnsi="宋体" w:cs="宋体"/>
          <w:b w:val="0"/>
          <w:bCs/>
          <w:sz w:val="24"/>
          <w:highlight w:val="none"/>
          <w:lang w:val="en-US" w:eastAsia="zh-CN"/>
        </w:rPr>
        <w:t>服务单位</w:t>
      </w:r>
      <w:r>
        <w:rPr>
          <w:rFonts w:hint="eastAsia" w:ascii="宋体" w:hAnsi="宋体" w:cs="宋体"/>
          <w:b w:val="0"/>
          <w:bCs/>
          <w:sz w:val="24"/>
          <w:highlight w:val="none"/>
          <w:lang w:eastAsia="zh-CN"/>
        </w:rPr>
        <w:t>采购项目，</w:t>
      </w:r>
      <w:r>
        <w:rPr>
          <w:rFonts w:hint="eastAsia" w:ascii="宋体" w:hAnsi="宋体" w:eastAsia="宋体" w:cs="宋体"/>
          <w:bCs/>
          <w:snapToGrid/>
          <w:color w:val="auto"/>
          <w:kern w:val="2"/>
          <w:sz w:val="24"/>
          <w:szCs w:val="24"/>
          <w:highlight w:val="none"/>
        </w:rPr>
        <w:t>主要内容：</w:t>
      </w:r>
      <w:r>
        <w:rPr>
          <w:rFonts w:hint="eastAsia" w:ascii="宋体" w:hAnsi="宋体" w:cs="宋体"/>
          <w:bCs/>
          <w:snapToGrid/>
          <w:color w:val="auto"/>
          <w:kern w:val="2"/>
          <w:sz w:val="24"/>
          <w:szCs w:val="24"/>
          <w:highlight w:val="none"/>
          <w:lang w:eastAsia="zh-CN"/>
        </w:rPr>
        <w:t>为</w:t>
      </w:r>
      <w:r>
        <w:rPr>
          <w:rFonts w:hint="eastAsia" w:ascii="宋体" w:hAnsi="宋体" w:eastAsia="宋体" w:cs="宋体"/>
          <w:bCs/>
          <w:snapToGrid/>
          <w:color w:val="auto"/>
          <w:kern w:val="2"/>
          <w:sz w:val="24"/>
          <w:szCs w:val="24"/>
          <w:highlight w:val="none"/>
        </w:rPr>
        <w:t>加强园区范围内巡防治安等工作</w:t>
      </w:r>
      <w:r>
        <w:rPr>
          <w:rFonts w:hint="eastAsia" w:ascii="宋体" w:hAnsi="宋体" w:cs="宋体"/>
          <w:bCs/>
          <w:snapToGrid/>
          <w:color w:val="auto"/>
          <w:kern w:val="2"/>
          <w:sz w:val="24"/>
          <w:szCs w:val="24"/>
          <w:highlight w:val="none"/>
          <w:lang w:eastAsia="zh-CN"/>
        </w:rPr>
        <w:t>，采购的</w:t>
      </w:r>
      <w:r>
        <w:rPr>
          <w:rFonts w:hint="eastAsia" w:ascii="宋体" w:hAnsi="宋体" w:eastAsia="宋体" w:cs="宋体"/>
          <w:bCs/>
          <w:snapToGrid/>
          <w:color w:val="auto"/>
          <w:kern w:val="2"/>
          <w:sz w:val="24"/>
          <w:szCs w:val="24"/>
          <w:highlight w:val="none"/>
        </w:rPr>
        <w:t>92名保安人员统一由祥符、康桥***进行日常管理和考核工作</w:t>
      </w:r>
      <w:r>
        <w:rPr>
          <w:rFonts w:hint="eastAsia" w:ascii="宋体" w:hAnsi="宋体" w:cs="宋体"/>
          <w:bCs/>
          <w:snapToGrid/>
          <w:color w:val="auto"/>
          <w:kern w:val="2"/>
          <w:sz w:val="24"/>
          <w:szCs w:val="24"/>
          <w:highlight w:val="none"/>
          <w:lang w:eastAsia="zh-CN"/>
        </w:rPr>
        <w:t>。</w:t>
      </w:r>
      <w:r>
        <w:rPr>
          <w:rFonts w:hint="eastAsia" w:ascii="宋体" w:hAnsi="宋体" w:eastAsia="宋体" w:cs="宋体"/>
          <w:bCs/>
          <w:snapToGrid/>
          <w:color w:val="auto"/>
          <w:kern w:val="2"/>
          <w:sz w:val="24"/>
          <w:szCs w:val="24"/>
          <w:highlight w:val="none"/>
        </w:rPr>
        <w:t>详见招标文件第三部分采购需求。</w:t>
      </w:r>
    </w:p>
    <w:p>
      <w:pPr>
        <w:pStyle w:val="131"/>
        <w:keepNext w:val="0"/>
        <w:keepLines w:val="0"/>
        <w:pageBreakBefore w:val="0"/>
        <w:kinsoku/>
        <w:wordWrap/>
        <w:overflowPunct/>
        <w:topLinePunct w:val="0"/>
        <w:autoSpaceDE/>
        <w:autoSpaceDN/>
        <w:bidi w:val="0"/>
        <w:adjustRightInd/>
        <w:snapToGrid/>
        <w:spacing w:before="0" w:line="360" w:lineRule="auto"/>
        <w:ind w:firstLine="482"/>
        <w:textAlignment w:val="auto"/>
        <w:outlineLvl w:val="2"/>
        <w:rPr>
          <w:rFonts w:hint="eastAsia" w:ascii="宋体" w:hAnsi="宋体" w:eastAsia="宋体" w:cs="宋体"/>
          <w:highlight w:val="none"/>
          <w:lang w:eastAsia="zh-CN"/>
        </w:rPr>
      </w:pPr>
      <w:r>
        <w:rPr>
          <w:rFonts w:hint="eastAsia" w:ascii="宋体" w:hAnsi="宋体" w:eastAsia="宋体" w:cs="宋体"/>
          <w:b/>
          <w:highlight w:val="none"/>
        </w:rPr>
        <w:t>合同履约期限：</w:t>
      </w:r>
      <w:r>
        <w:rPr>
          <w:rFonts w:hint="eastAsia" w:ascii="宋体" w:hAnsi="宋体" w:cs="宋体"/>
          <w:b w:val="0"/>
          <w:bCs/>
          <w:highlight w:val="none"/>
          <w:lang w:eastAsia="zh-CN"/>
        </w:rPr>
        <w:t>一年</w:t>
      </w:r>
    </w:p>
    <w:p>
      <w:pPr>
        <w:pStyle w:val="7"/>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MS Gothic" w:hAnsi="MS Gothic" w:eastAsia="宋体" w:cs="宋体"/>
              <w:b w:val="0"/>
              <w:bCs w:val="0"/>
              <w:snapToGrid w:val="0"/>
              <w:color w:val="auto"/>
              <w:kern w:val="0"/>
              <w:sz w:val="24"/>
              <w:szCs w:val="20"/>
              <w:highlight w:val="none"/>
              <w:lang w:val="en-US" w:eastAsia="zh-CN" w:bidi="ar-SA"/>
            </w:rPr>
            <w:t>☐</w:t>
          </w:r>
        </w:sdtContent>
      </w:sdt>
      <w:r>
        <w:rPr>
          <w:rFonts w:hint="eastAsia" w:ascii="宋体" w:hAnsi="宋体" w:eastAsia="宋体" w:cs="宋体"/>
          <w:b w:val="0"/>
          <w:bCs w:val="0"/>
          <w:color w:val="auto"/>
          <w:sz w:val="24"/>
          <w:highlight w:val="none"/>
        </w:rPr>
        <w:t>是，</w:t>
      </w:r>
      <w:sdt>
        <w:sdtPr>
          <w:rPr>
            <w:rFonts w:hint="eastAsia" w:ascii="宋体" w:hAnsi="宋体" w:eastAsia="宋体" w:cs="宋体"/>
            <w:b w:val="0"/>
            <w:bCs w:val="0"/>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Wingdings" w:hAnsi="Wingdings" w:eastAsia="宋体" w:cs="宋体"/>
              <w:b w:val="0"/>
              <w:bCs w:val="0"/>
              <w:snapToGrid w:val="0"/>
              <w:color w:val="auto"/>
              <w:kern w:val="0"/>
              <w:sz w:val="24"/>
              <w:szCs w:val="20"/>
              <w:highlight w:val="none"/>
              <w:lang w:val="en-US" w:eastAsia="zh-CN" w:bidi="ar-SA"/>
            </w:rPr>
            <w:t>þ</w:t>
          </w:r>
        </w:sdtContent>
      </w:sdt>
      <w:r>
        <w:rPr>
          <w:rFonts w:hint="eastAsia" w:ascii="宋体" w:hAnsi="宋体" w:eastAsia="宋体" w:cs="宋体"/>
          <w:b w:val="0"/>
          <w:bCs w:val="0"/>
          <w:color w:val="auto"/>
          <w:sz w:val="24"/>
          <w:highlight w:val="none"/>
        </w:rPr>
        <w:t>否</w:t>
      </w:r>
      <w:r>
        <w:rPr>
          <w:rFonts w:hint="eastAsia" w:ascii="宋体" w:hAnsi="宋体" w:eastAsia="宋体" w:cs="宋体"/>
          <w:b w:val="0"/>
          <w:bCs w:val="0"/>
          <w:color w:val="auto"/>
          <w:kern w:val="0"/>
          <w:sz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8"/>
          <w:sz w:val="24"/>
          <w:szCs w:val="20"/>
          <w:highlight w:val="none"/>
          <w:lang w:val="en-US" w:eastAsia="zh-CN"/>
        </w:rPr>
      </w:pPr>
      <w:r>
        <w:rPr>
          <w:rFonts w:hint="eastAsia" w:ascii="宋体" w:hAnsi="宋体" w:eastAsia="宋体" w:cs="宋体"/>
          <w:snapToGrid w:val="0"/>
          <w:kern w:val="28"/>
          <w:sz w:val="24"/>
          <w:szCs w:val="20"/>
          <w:highlight w:val="none"/>
        </w:rPr>
        <w:t xml:space="preserve"> </w:t>
      </w:r>
      <w:r>
        <w:rPr>
          <w:rFonts w:hint="eastAsia" w:ascii="宋体" w:hAnsi="宋体" w:eastAsia="宋体" w:cs="宋体"/>
          <w:snapToGrid w:val="0"/>
          <w:color w:val="auto"/>
          <w:kern w:val="28"/>
          <w:sz w:val="24"/>
          <w:szCs w:val="20"/>
          <w:highlight w:val="none"/>
        </w:rPr>
        <w:t xml:space="preserve">   2.落实政府采购政策需满足的资格要求</w:t>
      </w:r>
      <w:r>
        <w:rPr>
          <w:rFonts w:hint="eastAsia" w:ascii="宋体" w:hAnsi="宋体" w:cs="宋体"/>
          <w:snapToGrid w:val="0"/>
          <w:color w:val="auto"/>
          <w:kern w:val="28"/>
          <w:sz w:val="24"/>
          <w:szCs w:val="20"/>
          <w:highlight w:val="none"/>
          <w:lang w:eastAsia="zh-CN"/>
        </w:rPr>
        <w:t>：投标人具有由省级及以上公安机关核发的《保安服务许可证》，且在有效期内；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F0FE"/>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货物全部由符合政策要求的中小企业制造，提供中小企业声明函；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货物全部由符合政策要求的小微企业制造，提供中小企业声明函；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服务全部由符合政策要求的中小企业承接，提供中小企业声明函；</w:t>
      </w:r>
    </w:p>
    <w:p>
      <w:pPr>
        <w:keepNext w:val="0"/>
        <w:keepLines w:val="0"/>
        <w:pageBreakBefore w:val="0"/>
        <w:kinsoku/>
        <w:wordWrap/>
        <w:overflowPunct/>
        <w:topLinePunct w:val="0"/>
        <w:autoSpaceDE/>
        <w:autoSpaceDN/>
        <w:bidi w:val="0"/>
        <w:adjustRightInd/>
        <w:snapToGrid/>
        <w:spacing w:line="360" w:lineRule="auto"/>
        <w:ind w:firstLine="897" w:firstLineChars="374"/>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服务全部由符合政策要求的小微企业承接，提供中小企业声明函；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sdt>
        <w:sdtPr>
          <w:rPr>
            <w:rFonts w:hint="eastAsia" w:ascii="宋体" w:hAnsi="宋体" w:eastAsia="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eastAsia="zh-CN"/>
        </w:rPr>
        <w:t>；</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3.本项目的特定资格要求：无；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cs="宋体"/>
          <w:b/>
          <w:sz w:val="24"/>
          <w:highlight w:val="none"/>
          <w:u w:val="single"/>
          <w:lang w:val="en-US" w:eastAsia="zh-CN"/>
        </w:rPr>
        <w:t xml:space="preserve"> </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12</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）招标文件公告期限与招标公告的公告期限一致</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cs="宋体"/>
          <w:sz w:val="24"/>
          <w:highlight w:val="none"/>
          <w:lang w:eastAsia="zh-CN"/>
        </w:rPr>
        <w:t>杭州市拱墅区科技工业功能区管理委员会</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cs="宋体"/>
          <w:sz w:val="24"/>
          <w:highlight w:val="none"/>
          <w:lang w:eastAsia="zh-CN"/>
        </w:rPr>
        <w:t>杭州市拱墅区祥园路99号</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传    真：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：沈佳庆</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0571-85776711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周运鹏</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宋体" w:hAnsi="宋体" w:cs="宋体"/>
          <w:sz w:val="24"/>
          <w:highlight w:val="none"/>
          <w:lang w:val="en-US" w:eastAsia="zh-CN"/>
        </w:rPr>
        <w:t>0571-85770583</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cs="宋体"/>
          <w:spacing w:val="0"/>
          <w:w w:val="100"/>
          <w:kern w:val="0"/>
          <w:sz w:val="24"/>
          <w:szCs w:val="24"/>
          <w:highlight w:val="none"/>
          <w:lang w:eastAsia="zh-CN"/>
        </w:rPr>
        <w:t>浙江新诚信工程咨询有限公司</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pacing w:val="0"/>
          <w:w w:val="100"/>
          <w:kern w:val="0"/>
          <w:sz w:val="24"/>
          <w:szCs w:val="24"/>
          <w:highlight w:val="none"/>
          <w:lang w:eastAsia="zh-CN"/>
        </w:rPr>
        <w:t>杭州市拱墅区湖墅南路356号锦绣大厦10楼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传    真：/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eastAsia="宋体" w:cs="宋体"/>
          <w:spacing w:val="0"/>
          <w:w w:val="100"/>
          <w:kern w:val="0"/>
          <w:sz w:val="24"/>
          <w:szCs w:val="24"/>
          <w:highlight w:val="none"/>
          <w:lang w:eastAsia="zh-CN"/>
        </w:rPr>
        <w:t>杜工</w:t>
      </w:r>
      <w:r>
        <w:rPr>
          <w:rFonts w:hint="eastAsia" w:ascii="宋体" w:hAnsi="宋体" w:cs="宋体"/>
          <w:spacing w:val="0"/>
          <w:w w:val="100"/>
          <w:kern w:val="0"/>
          <w:sz w:val="24"/>
          <w:szCs w:val="24"/>
          <w:highlight w:val="none"/>
          <w:lang w:val="en-US" w:eastAsia="zh-CN"/>
        </w:rPr>
        <w:t xml:space="preserve">  曹工</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项目联系方式（询问）：</w:t>
      </w:r>
      <w:r>
        <w:rPr>
          <w:rFonts w:hint="eastAsia" w:ascii="宋体" w:hAnsi="宋体" w:eastAsia="宋体" w:cs="宋体"/>
          <w:spacing w:val="0"/>
          <w:w w:val="100"/>
          <w:kern w:val="0"/>
          <w:sz w:val="24"/>
          <w:szCs w:val="24"/>
          <w:highlight w:val="none"/>
          <w:lang w:val="en-US" w:eastAsia="zh-CN"/>
        </w:rPr>
        <w:t>17321050812</w:t>
      </w:r>
      <w:r>
        <w:rPr>
          <w:rFonts w:hint="eastAsia" w:ascii="宋体" w:hAnsi="宋体" w:cs="宋体"/>
          <w:spacing w:val="0"/>
          <w:w w:val="100"/>
          <w:kern w:val="0"/>
          <w:sz w:val="24"/>
          <w:szCs w:val="24"/>
          <w:highlight w:val="none"/>
          <w:lang w:val="en-US" w:eastAsia="zh-CN"/>
        </w:rPr>
        <w:t xml:space="preserve">  15988803725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pacing w:val="0"/>
          <w:w w:val="100"/>
          <w:kern w:val="0"/>
          <w:sz w:val="24"/>
          <w:szCs w:val="24"/>
          <w:highlight w:val="none"/>
          <w:lang w:eastAsia="zh-CN"/>
        </w:rPr>
        <w:t>方工</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 w:val="24"/>
          <w:highlight w:val="none"/>
          <w:lang w:val="en-US"/>
        </w:rPr>
      </w:pPr>
      <w:r>
        <w:rPr>
          <w:rFonts w:hint="eastAsia" w:ascii="宋体" w:hAnsi="宋体" w:eastAsia="宋体" w:cs="宋体"/>
          <w:sz w:val="24"/>
          <w:highlight w:val="none"/>
        </w:rPr>
        <w:t xml:space="preserve">    质疑联系方式：</w:t>
      </w:r>
      <w:r>
        <w:rPr>
          <w:rFonts w:hint="eastAsia" w:ascii="宋体" w:hAnsi="宋体" w:cs="宋体"/>
          <w:spacing w:val="0"/>
          <w:w w:val="100"/>
          <w:kern w:val="0"/>
          <w:sz w:val="24"/>
          <w:szCs w:val="24"/>
          <w:highlight w:val="none"/>
          <w:lang w:val="en-US" w:eastAsia="zh-CN"/>
        </w:rPr>
        <w:t>15868887140</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名    称：杭州市拱墅区财政局（政府采购监管科）</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地    址：杭州市拱墅区祥符街道北城街55号人防大厦1017室</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传    真： </w:t>
      </w:r>
      <w:r>
        <w:rPr>
          <w:rFonts w:hint="eastAsia" w:ascii="宋体" w:hAnsi="宋体" w:eastAsia="宋体" w:cs="宋体"/>
          <w:sz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联系人 ：彭先生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监督投诉电话：0571-85463096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5"/>
        <w:spacing w:line="360" w:lineRule="auto"/>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第二部分 投标人须知</w:t>
      </w:r>
      <w:bookmarkEnd w:id="6"/>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3"/>
        <w:tblW w:w="96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927"/>
        <w:gridCol w:w="6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项目属性与核心产品</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货物类，单一产品或</w:t>
            </w:r>
            <w:r>
              <w:rPr>
                <w:rFonts w:hint="eastAsia" w:ascii="宋体" w:hAnsi="宋体" w:eastAsia="宋体" w:cs="宋体"/>
                <w:kern w:val="0"/>
                <w:sz w:val="24"/>
                <w:szCs w:val="24"/>
                <w:highlight w:val="none"/>
              </w:rPr>
              <w:t>核心产品为：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B</w:t>
            </w:r>
            <w:r>
              <w:rPr>
                <w:rFonts w:hint="eastAsia" w:ascii="宋体" w:hAnsi="宋体" w:eastAsia="宋体" w:cs="宋体"/>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采购标的对应的中小企业划分标准所属行业</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rPr>
              <w:t>标的：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eastAsia="zh-CN"/>
              </w:rPr>
              <w:t>服务</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rPr>
              <w:t xml:space="preserve"> 租赁和商务服务业 </w:t>
            </w:r>
            <w:r>
              <w:rPr>
                <w:rFonts w:hint="eastAsia" w:ascii="宋体" w:hAnsi="宋体" w:eastAsia="宋体" w:cs="宋体"/>
                <w:kern w:val="0"/>
                <w:sz w:val="24"/>
                <w:szCs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是否允许采购进口产品</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本项目不允许采购进口产品。</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可以就</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工作分包。</w:t>
            </w:r>
            <w:sdt>
              <w:sdtPr>
                <w:rPr>
                  <w:rFonts w:hint="eastAsia" w:ascii="宋体" w:hAnsi="宋体" w:eastAsia="宋体" w:cs="宋体"/>
                  <w:kern w:val="0"/>
                  <w:sz w:val="24"/>
                  <w:szCs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样品提供</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不要求提供。</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kern w:val="0"/>
                <w:sz w:val="24"/>
                <w:szCs w:val="24"/>
                <w:highlight w:val="none"/>
              </w:rPr>
              <w:t>B要求提供，</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snapToGrid w:val="0"/>
                <w:kern w:val="28"/>
                <w:sz w:val="24"/>
                <w:szCs w:val="24"/>
                <w:highlight w:val="none"/>
              </w:rPr>
              <w:t>样品：</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snapToGrid w:val="0"/>
                <w:kern w:val="28"/>
                <w:sz w:val="24"/>
                <w:szCs w:val="24"/>
                <w:highlight w:val="none"/>
              </w:rPr>
              <w:t>样品制作的标准和要求：</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（3）样品的评审方法以及评审标准</w:t>
            </w:r>
            <w:r>
              <w:rPr>
                <w:rFonts w:hint="eastAsia" w:ascii="宋体" w:hAnsi="宋体" w:eastAsia="宋体" w:cs="宋体"/>
                <w:snapToGrid w:val="0"/>
                <w:kern w:val="28"/>
                <w:sz w:val="24"/>
                <w:szCs w:val="24"/>
                <w:highlight w:val="none"/>
              </w:rPr>
              <w:t>：详见</w:t>
            </w:r>
            <w:r>
              <w:rPr>
                <w:rFonts w:hint="eastAsia" w:ascii="宋体" w:hAnsi="宋体" w:eastAsia="宋体" w:cs="宋体"/>
                <w:sz w:val="24"/>
                <w:szCs w:val="24"/>
                <w:highlight w:val="none"/>
                <w:u w:val="single"/>
              </w:rPr>
              <w:t>评标办法</w:t>
            </w:r>
            <w:r>
              <w:rPr>
                <w:rFonts w:hint="eastAsia" w:ascii="宋体" w:hAnsi="宋体" w:eastAsia="宋体" w:cs="宋体"/>
                <w:kern w:val="0"/>
                <w:sz w:val="24"/>
                <w:szCs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（4）是否需要随样品提交检测报告：</w:t>
            </w:r>
            <w:sdt>
              <w:sdtPr>
                <w:rPr>
                  <w:rFonts w:hint="eastAsia" w:ascii="宋体" w:hAnsi="宋体" w:eastAsia="宋体" w:cs="宋体"/>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否；</w:t>
            </w:r>
            <w:sdt>
              <w:sdtPr>
                <w:rPr>
                  <w:rFonts w:hint="eastAsia" w:ascii="宋体" w:hAnsi="宋体" w:eastAsia="宋体" w:cs="宋体"/>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是，检测机构的要求</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；检测内容</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（5）提供样品的时间：</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；联系人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。请投标人在上述时间内提供样品并按规定位置安装完毕。超过截止时间的，采购人或采购代理机构将不予接收，并将清场并封闭样品现场。</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927" w:type="dxa"/>
            <w:tcBorders>
              <w:top w:val="single" w:color="000000" w:sz="8" w:space="0"/>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方案讲解演示</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sdt>
              <w:sdtPr>
                <w:rPr>
                  <w:rFonts w:hint="eastAsia" w:ascii="宋体" w:hAnsi="宋体" w:eastAsia="宋体" w:cs="宋体"/>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B组织。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（2）方案讲解演示可选择以下其中一种方式：</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方式一：政采云平台在线讲解演示。政采云平台在线讲解需投标人根据政采云平台操作要求做好准备工作，提前完善软硬件配置环境。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方式二：交易中心现场讲解演示。现场讲解地点为</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，讲解演示所用电脑等设备由投标人自备。现场讲解演示人员进场时提供讲解人员名单（加盖公章</w:t>
            </w:r>
            <w:r>
              <w:rPr>
                <w:rFonts w:hint="eastAsia" w:ascii="宋体" w:hAnsi="宋体" w:eastAsia="宋体" w:cs="宋体"/>
                <w:kern w:val="0"/>
                <w:sz w:val="24"/>
                <w:szCs w:val="24"/>
                <w:highlight w:val="none"/>
                <w:lang w:eastAsia="zh-CN"/>
              </w:rPr>
              <w:t>或授权代表签名</w:t>
            </w:r>
            <w:r>
              <w:rPr>
                <w:rFonts w:hint="eastAsia" w:ascii="宋体" w:hAnsi="宋体" w:eastAsia="宋体" w:cs="宋体"/>
                <w:kern w:val="0"/>
                <w:sz w:val="24"/>
                <w:szCs w:val="24"/>
                <w:highlight w:val="none"/>
              </w:rPr>
              <w:t>）及身份证明，否则不得讲解演示。</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927" w:type="dxa"/>
            <w:vMerge w:val="restart"/>
            <w:tcBorders>
              <w:top w:val="single" w:color="000000" w:sz="8" w:space="0"/>
              <w:left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投标人应当提供的资格、资信证明文件</w:t>
            </w:r>
          </w:p>
        </w:tc>
        <w:tc>
          <w:tcPr>
            <w:tcW w:w="6135" w:type="dxa"/>
            <w:tcBorders>
              <w:top w:val="single" w:color="000000" w:sz="8" w:space="0"/>
              <w:left w:val="single" w:color="000000" w:sz="2" w:space="0"/>
              <w:bottom w:val="single" w:color="auto" w:sz="4"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2927" w:type="dxa"/>
            <w:vMerge w:val="continue"/>
            <w:tcBorders>
              <w:left w:val="single" w:color="auto" w:sz="4"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p>
        </w:tc>
        <w:tc>
          <w:tcPr>
            <w:tcW w:w="6135" w:type="dxa"/>
            <w:tcBorders>
              <w:top w:val="single" w:color="auto" w:sz="4"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9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节能产品、环境标志产品</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9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报价要求</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kern w:val="0"/>
                <w:sz w:val="24"/>
                <w:szCs w:val="24"/>
                <w:highlight w:val="none"/>
                <w:lang w:val="zh-CN"/>
              </w:rPr>
              <w:t>提醒：验收时检测费用由采购人承担，不包含在投标总价中。</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pPr>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pPr>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rPr>
              <w:t>;</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2927" w:type="dxa"/>
            <w:vMerge w:val="restart"/>
            <w:tcBorders>
              <w:top w:val="single" w:color="000000" w:sz="8" w:space="0"/>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中小企业信用融资</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tc>
        <w:tc>
          <w:tcPr>
            <w:tcW w:w="2927" w:type="dxa"/>
            <w:vMerge w:val="continue"/>
            <w:tcBorders>
              <w:left w:val="single" w:color="000000" w:sz="2"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29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备份投标文件送达地点和签收人员 </w:t>
            </w:r>
          </w:p>
        </w:tc>
        <w:tc>
          <w:tcPr>
            <w:tcW w:w="6135" w:type="dxa"/>
            <w:tcBorders>
              <w:top w:val="single" w:color="000000" w:sz="8" w:space="0"/>
              <w:left w:val="single" w:color="000000" w:sz="2" w:space="0"/>
              <w:bottom w:val="single" w:color="000000" w:sz="8" w:space="0"/>
              <w:right w:val="single" w:color="000000" w:sz="8" w:space="0"/>
            </w:tcBorders>
            <w:vAlign w:val="center"/>
          </w:tcPr>
          <w:p>
            <w:pPr>
              <w:pStyle w:val="3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备份投标文件送达地点：</w:t>
            </w:r>
            <w:r>
              <w:rPr>
                <w:rFonts w:hint="eastAsia" w:hAnsi="宋体" w:cs="宋体"/>
                <w:kern w:val="28"/>
                <w:sz w:val="24"/>
                <w:szCs w:val="24"/>
                <w:highlight w:val="none"/>
                <w:u w:val="single"/>
                <w:lang w:eastAsia="zh-CN"/>
              </w:rPr>
              <w:t>杭州市拱墅区湖墅南路356号锦绣大厦10楼</w:t>
            </w:r>
            <w:r>
              <w:rPr>
                <w:rFonts w:hint="eastAsia" w:ascii="宋体" w:hAnsi="宋体" w:eastAsia="宋体" w:cs="宋体"/>
                <w:sz w:val="24"/>
                <w:szCs w:val="24"/>
                <w:highlight w:val="none"/>
                <w:u w:val="single"/>
              </w:rPr>
              <w:t xml:space="preserve"> </w:t>
            </w:r>
            <w:r>
              <w:rPr>
                <w:rFonts w:hint="eastAsia" w:ascii="宋体" w:hAnsi="宋体" w:eastAsia="宋体" w:cs="宋体"/>
                <w:kern w:val="28"/>
                <w:sz w:val="24"/>
                <w:szCs w:val="24"/>
                <w:highlight w:val="none"/>
              </w:rPr>
              <w:t>；</w:t>
            </w:r>
          </w:p>
          <w:p>
            <w:pPr>
              <w:pStyle w:val="3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kern w:val="28"/>
                <w:sz w:val="24"/>
                <w:szCs w:val="24"/>
                <w:highlight w:val="none"/>
              </w:rPr>
              <w:t>备份投标文件签收人员联系电话：</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eastAsia="zh-CN"/>
              </w:rPr>
              <w:t>曹</w:t>
            </w:r>
            <w:r>
              <w:rPr>
                <w:rFonts w:hint="eastAsia" w:ascii="宋体" w:hAnsi="宋体" w:eastAsia="宋体" w:cs="宋体"/>
                <w:sz w:val="24"/>
                <w:szCs w:val="24"/>
                <w:highlight w:val="none"/>
                <w:u w:val="single"/>
                <w:lang w:eastAsia="zh-CN"/>
              </w:rPr>
              <w:t>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15988803725</w:t>
            </w:r>
            <w:r>
              <w:rPr>
                <w:rFonts w:hint="eastAsia" w:ascii="宋体" w:hAnsi="宋体" w:eastAsia="宋体" w:cs="宋体"/>
                <w:sz w:val="24"/>
                <w:szCs w:val="24"/>
                <w:highlight w:val="none"/>
              </w:rPr>
              <w:t>。</w:t>
            </w:r>
          </w:p>
          <w:p>
            <w:pPr>
              <w:pStyle w:val="3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8"/>
                <w:sz w:val="24"/>
                <w:szCs w:val="24"/>
                <w:highlight w:val="none"/>
              </w:rPr>
            </w:pPr>
            <w:r>
              <w:rPr>
                <w:rFonts w:hint="eastAsia" w:ascii="宋体" w:hAnsi="宋体" w:eastAsia="宋体" w:cs="宋体"/>
                <w:b/>
                <w:bCs w:val="0"/>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2927"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特别说明</w:t>
            </w:r>
          </w:p>
        </w:tc>
        <w:tc>
          <w:tcPr>
            <w:tcW w:w="613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中标</w:t>
            </w:r>
            <w:r>
              <w:rPr>
                <w:rFonts w:hint="eastAsia" w:ascii="宋体" w:hAnsi="宋体" w:eastAsia="宋体" w:cs="宋体"/>
                <w:snapToGrid w:val="0"/>
                <w:kern w:val="28"/>
                <w:sz w:val="24"/>
                <w:szCs w:val="24"/>
                <w:highlight w:val="none"/>
                <w:lang w:eastAsia="zh-CN"/>
              </w:rPr>
              <w:t>人</w:t>
            </w:r>
            <w:r>
              <w:rPr>
                <w:rFonts w:hint="eastAsia" w:ascii="宋体" w:hAnsi="宋体" w:eastAsia="宋体" w:cs="宋体"/>
                <w:snapToGrid w:val="0"/>
                <w:kern w:val="28"/>
                <w:sz w:val="24"/>
                <w:szCs w:val="24"/>
                <w:highlight w:val="none"/>
              </w:rPr>
              <w:t>需在中标后将纸质版投标文件送至</w:t>
            </w:r>
            <w:r>
              <w:rPr>
                <w:rFonts w:hint="eastAsia" w:ascii="宋体" w:hAnsi="宋体" w:eastAsia="宋体" w:cs="宋体"/>
                <w:snapToGrid w:val="0"/>
                <w:kern w:val="28"/>
                <w:sz w:val="24"/>
                <w:szCs w:val="24"/>
                <w:highlight w:val="none"/>
                <w:lang w:eastAsia="zh-CN"/>
              </w:rPr>
              <w:t>采购</w:t>
            </w:r>
            <w:r>
              <w:rPr>
                <w:rFonts w:hint="eastAsia" w:ascii="宋体" w:hAnsi="宋体" w:eastAsia="宋体" w:cs="宋体"/>
                <w:snapToGrid w:val="0"/>
                <w:kern w:val="28"/>
                <w:sz w:val="24"/>
                <w:szCs w:val="24"/>
                <w:highlight w:val="none"/>
              </w:rPr>
              <w:t>代理</w:t>
            </w:r>
            <w:r>
              <w:rPr>
                <w:rFonts w:hint="eastAsia" w:ascii="宋体" w:hAnsi="宋体" w:eastAsia="宋体" w:cs="宋体"/>
                <w:snapToGrid w:val="0"/>
                <w:kern w:val="28"/>
                <w:sz w:val="24"/>
                <w:szCs w:val="24"/>
                <w:highlight w:val="none"/>
                <w:lang w:eastAsia="zh-CN"/>
              </w:rPr>
              <w:t>机构</w:t>
            </w:r>
            <w:r>
              <w:rPr>
                <w:rFonts w:hint="eastAsia" w:ascii="宋体" w:hAnsi="宋体" w:eastAsia="宋体" w:cs="宋体"/>
                <w:snapToGrid w:val="0"/>
                <w:kern w:val="28"/>
                <w:sz w:val="24"/>
                <w:szCs w:val="24"/>
                <w:highlight w:val="none"/>
              </w:rPr>
              <w:t>，投标文件数量：一正</w:t>
            </w:r>
            <w:r>
              <w:rPr>
                <w:rFonts w:hint="eastAsia" w:ascii="宋体" w:hAnsi="宋体" w:eastAsia="宋体" w:cs="宋体"/>
                <w:snapToGrid w:val="0"/>
                <w:kern w:val="28"/>
                <w:sz w:val="24"/>
                <w:szCs w:val="24"/>
                <w:highlight w:val="none"/>
                <w:lang w:eastAsia="zh-CN"/>
              </w:rPr>
              <w:t>四</w:t>
            </w:r>
            <w:r>
              <w:rPr>
                <w:rFonts w:hint="eastAsia" w:ascii="宋体" w:hAnsi="宋体" w:eastAsia="宋体" w:cs="宋体"/>
                <w:snapToGrid w:val="0"/>
                <w:kern w:val="28"/>
                <w:sz w:val="24"/>
                <w:szCs w:val="24"/>
                <w:highlight w:val="none"/>
              </w:rPr>
              <w:t>副，</w:t>
            </w:r>
            <w:r>
              <w:rPr>
                <w:rFonts w:hint="eastAsia" w:ascii="宋体" w:hAnsi="宋体" w:eastAsia="宋体" w:cs="宋体"/>
                <w:snapToGrid w:val="0"/>
                <w:kern w:val="28"/>
                <w:sz w:val="24"/>
                <w:szCs w:val="24"/>
                <w:highlight w:val="none"/>
                <w:u w:val="none"/>
              </w:rPr>
              <w:t>投标文件送达地点：</w:t>
            </w:r>
            <w:r>
              <w:rPr>
                <w:rFonts w:hint="eastAsia" w:ascii="宋体" w:hAnsi="宋体" w:cs="宋体"/>
                <w:kern w:val="28"/>
                <w:sz w:val="24"/>
                <w:szCs w:val="24"/>
                <w:highlight w:val="none"/>
                <w:u w:val="none"/>
                <w:lang w:eastAsia="zh-CN"/>
              </w:rPr>
              <w:t>杭州市拱墅区湖墅南路356号锦绣大厦10楼</w:t>
            </w:r>
            <w:r>
              <w:rPr>
                <w:rFonts w:hint="eastAsia" w:ascii="宋体" w:hAnsi="宋体" w:eastAsia="宋体" w:cs="宋体"/>
                <w:snapToGrid w:val="0"/>
                <w:kern w:val="28"/>
                <w:sz w:val="24"/>
                <w:szCs w:val="24"/>
                <w:highlight w:val="none"/>
                <w:u w:val="none"/>
              </w:rPr>
              <w:t>。</w:t>
            </w:r>
          </w:p>
        </w:tc>
      </w:tr>
    </w:tbl>
    <w:p>
      <w:pPr>
        <w:snapToGrid w:val="0"/>
        <w:spacing w:line="360" w:lineRule="auto"/>
        <w:jc w:val="center"/>
        <w:rPr>
          <w:rFonts w:hint="eastAsia" w:ascii="宋体" w:hAnsi="宋体" w:eastAsia="宋体" w:cs="宋体"/>
          <w:b/>
          <w:sz w:val="32"/>
          <w:szCs w:val="20"/>
          <w:highlight w:val="none"/>
        </w:rPr>
      </w:pPr>
    </w:p>
    <w:bookmarkEnd w:id="7"/>
    <w:p>
      <w:pPr>
        <w:rPr>
          <w:rFonts w:hint="eastAsia" w:ascii="宋体" w:hAnsi="宋体" w:eastAsia="宋体" w:cs="宋体"/>
          <w:b/>
          <w:sz w:val="32"/>
          <w:szCs w:val="20"/>
          <w:highlight w:val="none"/>
        </w:rPr>
      </w:pPr>
      <w:bookmarkStart w:id="8" w:name="_Toc164416483"/>
      <w:r>
        <w:rPr>
          <w:rFonts w:hint="eastAsia" w:ascii="宋体" w:hAnsi="宋体" w:eastAsia="宋体" w:cs="宋体"/>
          <w:b/>
          <w:sz w:val="32"/>
          <w:szCs w:val="20"/>
          <w:highlight w:val="none"/>
        </w:rPr>
        <w:br w:type="page"/>
      </w:r>
    </w:p>
    <w:p>
      <w:pPr>
        <w:pageBreakBefore w:val="0"/>
        <w:kinsoku/>
        <w:wordWrap/>
        <w:overflowPunct/>
        <w:topLinePunct w:val="0"/>
        <w:bidi w:val="0"/>
        <w:adjustRightInd/>
        <w:snapToGrid/>
        <w:spacing w:beforeAutospacing="0"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一、总则</w:t>
      </w:r>
    </w:p>
    <w:p>
      <w:pPr>
        <w:pageBreakBefore w:val="0"/>
        <w:kinsoku/>
        <w:wordWrap/>
        <w:overflowPunct/>
        <w:topLinePunct w:val="0"/>
        <w:bidi w:val="0"/>
        <w:adjustRightInd/>
        <w:snapToGrid/>
        <w:spacing w:beforeAutospacing="0" w:line="360" w:lineRule="auto"/>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1. 适用范围</w:t>
      </w:r>
    </w:p>
    <w:p>
      <w:pPr>
        <w:pageBreakBefore w:val="0"/>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本招标文件适用于该项目的招标、投标、开标、资格审查及信用信息查询、评标、定标、合同、验收等行为（法律、法规另有规定的，从其规定）。</w:t>
      </w:r>
    </w:p>
    <w:p>
      <w:pPr>
        <w:pageBreakBefore w:val="0"/>
        <w:numPr>
          <w:ilvl w:val="0"/>
          <w:numId w:val="1"/>
        </w:numPr>
        <w:kinsoku/>
        <w:wordWrap/>
        <w:overflowPunct/>
        <w:topLinePunct w:val="0"/>
        <w:bidi w:val="0"/>
        <w:adjustRightInd/>
        <w:snapToGrid/>
        <w:spacing w:beforeAutospacing="0" w:line="360" w:lineRule="auto"/>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定义</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“采购人”系指招标公告中载明的本项目的采购人。</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“采购机构”系指招标公告中载明的本项目的采购机构。</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“投标人”系指是指响应招标、参加投标竞争的法人、其他组织或者自然人。</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2.6“电子交易平台”是指本项目政府采购活动所依托的政府采购云平台（https://www.zcygov.cn/）。</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 系指实质性要求条款，“</w:t>
      </w:r>
      <w:sdt>
        <w:sdtPr>
          <w:rPr>
            <w:rFonts w:hint="eastAsia" w:ascii="宋体" w:hAnsi="宋体" w:eastAsia="宋体" w:cs="宋体"/>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szCs w:val="24"/>
          <w:highlight w:val="none"/>
        </w:rPr>
        <w:t>” 系指适用本项目的要求，“</w:t>
      </w:r>
      <w:sdt>
        <w:sdtPr>
          <w:rPr>
            <w:rFonts w:hint="eastAsia" w:ascii="宋体" w:hAnsi="宋体" w:eastAsia="宋体" w:cs="宋体"/>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sz w:val="24"/>
          <w:szCs w:val="24"/>
          <w:highlight w:val="none"/>
        </w:rPr>
        <w:t>” 系指不适用本项目的要求。</w:t>
      </w:r>
    </w:p>
    <w:p>
      <w:pPr>
        <w:pageBreakBefore w:val="0"/>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采购项目需要落实的政府采购政策</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szCs w:val="24"/>
          <w:highlight w:val="none"/>
        </w:rPr>
        <w:t>优先采购向我国企业转让技术、与我国企业签订消化吸收再创新方案的供应商的进口产品</w:t>
      </w:r>
      <w:r>
        <w:rPr>
          <w:rFonts w:hint="eastAsia" w:ascii="宋体" w:hAnsi="宋体" w:eastAsia="宋体" w:cs="宋体"/>
          <w:sz w:val="24"/>
          <w:szCs w:val="24"/>
          <w:highlight w:val="none"/>
        </w:rPr>
        <w:t>。</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支持绿色发展</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 修缮、装修类项目采购建材的，采购人应将绿色建筑和绿色建材性能、指标等作为实质性条件纳入招标文件和合同。</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3.3支持中小企业发展</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bCs/>
          <w:sz w:val="24"/>
          <w:szCs w:val="24"/>
          <w:highlight w:val="none"/>
        </w:rPr>
        <w:t>3.3.2</w:t>
      </w:r>
      <w:r>
        <w:rPr>
          <w:rFonts w:hint="eastAsia" w:ascii="宋体" w:hAnsi="宋体" w:eastAsia="宋体" w:cs="宋体"/>
          <w:kern w:val="0"/>
          <w:sz w:val="24"/>
          <w:szCs w:val="24"/>
          <w:highlight w:val="none"/>
        </w:rPr>
        <w:t>在政府采购活动中，投标人提供的货物、工程或者服务符合下列情形的，享受中小企业扶持政策：</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3.3.2.1在货物采购项目中，货物由中小企业制造，即货物由中小企业生产且使用该中小企业商号或者注册商标；</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3.3.2.2在工程采购项目中，工程由中小企业承建，即工程施工单位为中小企业；</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3.3.2.3在服务采购项目中，服务由中小企业承接，即提供服务的人员为中小企业依照《中华人民共和国劳动合同法》订立劳动合同的从业人员。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在货物采购项目中，投标人提供的货物既有中小企业制造货物，也有大型企业制造货物的，不享受中小企业扶持政策。</w:t>
      </w:r>
    </w:p>
    <w:p>
      <w:pPr>
        <w:pageBreakBefore w:val="0"/>
        <w:widowControl/>
        <w:kinsoku/>
        <w:wordWrap/>
        <w:overflowPunct/>
        <w:topLinePunct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bCs/>
          <w:sz w:val="24"/>
          <w:szCs w:val="24"/>
          <w:highlight w:val="none"/>
        </w:rPr>
        <w:t>支持创新发展</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3.4.1 采购人优先采购被认定为首台套产品和“制造精品”的自主创新产品。</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3.6平等对待内外资企业和符合条件的破产重整企业，切实保障企业公平竞争，平等维护企业的合法利益。</w:t>
      </w:r>
      <w:r>
        <w:rPr>
          <w:rFonts w:hint="eastAsia" w:ascii="宋体" w:hAnsi="宋体" w:eastAsia="宋体" w:cs="宋体"/>
          <w:sz w:val="24"/>
          <w:szCs w:val="24"/>
          <w:highlight w:val="none"/>
        </w:rPr>
        <w:cr/>
      </w:r>
      <w:r>
        <w:rPr>
          <w:rFonts w:hint="eastAsia" w:ascii="宋体" w:hAnsi="宋体" w:eastAsia="宋体" w:cs="宋体"/>
          <w:b/>
          <w:sz w:val="24"/>
          <w:szCs w:val="24"/>
          <w:highlight w:val="none"/>
        </w:rPr>
        <w:t>4. 询问、质疑、投诉</w:t>
      </w:r>
    </w:p>
    <w:p>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4.1供应商询问</w:t>
      </w:r>
    </w:p>
    <w:p>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adjustRightInd/>
        <w:snapToGrid/>
        <w:spacing w:beforeAutospacing="0" w:line="360" w:lineRule="auto"/>
        <w:ind w:firstLine="480" w:firstLineChars="2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4.2供应商质疑</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.1提出质疑的供应商应当是参与所质疑项目采购活动的供应商。潜在供应商已依法获取其可质疑的招标文件的，可以对该文件提出质疑。</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4.2</w:t>
      </w:r>
      <w:r>
        <w:rPr>
          <w:rFonts w:hint="eastAsia" w:ascii="宋体" w:hAnsi="宋体" w:eastAsia="宋体" w:cs="宋体"/>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4.2.2.1对招标文件提出质疑的，质疑期限为供应商获得招标文件之日或者招标文件公告期限届满之日起计算。</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4.2.2.2对采购过程提出质疑的，质疑期限为各采购程序环节结束之日起计算。4.2.2.3对采购结果提出质疑的，质疑期限自采购结果公告期限届满之日起计算。</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w:t>
      </w:r>
      <w:r>
        <w:rPr>
          <w:rFonts w:hint="eastAsia" w:ascii="宋体" w:hAnsi="宋体" w:eastAsia="宋体" w:cs="宋体"/>
          <w:sz w:val="24"/>
          <w:szCs w:val="24"/>
          <w:highlight w:val="none"/>
        </w:rPr>
        <w:t>供应商提出质疑应当提交质疑函和必要的证明材料。质疑函应当包括下列内容：</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4.2.3.1供应商的姓名或者名称、地址、邮编、联系人及联系电话；</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4.2.3.2质疑项目的名称、编号；</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4.2.3.3具体、明确的质疑事项和与质疑事项相关的请求；</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4.2.3.4事实依据；</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4.2.3.5必要的法律依据；</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4.2.3.6提出质疑的日期。</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质疑函范本及制作说明详见附件2。</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4.2.4</w:t>
      </w:r>
      <w:r>
        <w:rPr>
          <w:rFonts w:hint="eastAsia" w:ascii="宋体" w:hAnsi="宋体" w:eastAsia="宋体" w:cs="宋体"/>
          <w:sz w:val="24"/>
          <w:szCs w:val="24"/>
          <w:highlight w:val="none"/>
        </w:rPr>
        <w:t>对同一采购程序环节的质疑，供应商须在法定质疑期内一次性提出。</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4.2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4.2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询问或者质疑事项可能影响采购结果的，采购人应当暂停签订合同，已经签订合同的，应当中止履行合同。</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4.3供应商投诉</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供应商投诉的事项不得超出已质疑事项的范围，基于质疑答复内容提出的投诉事项除外。</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4.3.3供应商投诉应当有明确的请求和必要的证明材料。</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4.3.5 以联合体形式参加政府采购活动的，其投诉应当由组成联合体的所有供应商共同提出。</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4.4在线质疑、投诉</w:t>
      </w:r>
      <w:r>
        <w:rPr>
          <w:rFonts w:hint="eastAsia" w:ascii="宋体" w:hAnsi="宋体" w:eastAsia="宋体" w:cs="宋体"/>
          <w:sz w:val="24"/>
          <w:szCs w:val="24"/>
          <w:highlight w:val="none"/>
          <w:lang w:eastAsia="zh-CN"/>
        </w:rPr>
        <w:t>。</w:t>
      </w:r>
    </w:p>
    <w:p>
      <w:pPr>
        <w:pStyle w:val="888"/>
        <w:pageBreakBefore w:val="0"/>
        <w:shd w:val="clear" w:color="auto" w:fill="FFFFFF"/>
        <w:kinsoku/>
        <w:wordWrap/>
        <w:overflowPunct/>
        <w:topLinePunct w:val="0"/>
        <w:bidi w:val="0"/>
        <w:adjustRightInd/>
        <w:snapToGrid/>
        <w:spacing w:before="0" w:beforeAutospacing="0" w:after="0" w:afterAutospacing="0" w:line="360" w:lineRule="auto"/>
        <w:ind w:firstLine="480" w:firstLineChars="200"/>
        <w:contextualSpacing/>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adjustRightInd/>
        <w:snapToGrid/>
        <w:spacing w:beforeAutospacing="0" w:line="360" w:lineRule="auto"/>
        <w:jc w:val="center"/>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32"/>
          <w:szCs w:val="32"/>
          <w:highlight w:val="none"/>
        </w:rPr>
        <w:t>二、招标文件的构成、澄清、修改</w:t>
      </w:r>
    </w:p>
    <w:p>
      <w:pPr>
        <w:pStyle w:val="35"/>
        <w:pageBreakBefore w:val="0"/>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5"/>
        <w:pageBreakBefore w:val="0"/>
        <w:tabs>
          <w:tab w:val="left" w:pos="840"/>
        </w:tabs>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5.1.6应提交的有关格式范例。</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5.2与本项目有关的</w:t>
      </w:r>
      <w:r>
        <w:rPr>
          <w:rFonts w:hint="eastAsia" w:ascii="宋体" w:hAnsi="宋体" w:eastAsia="宋体" w:cs="宋体"/>
          <w:bCs/>
          <w:sz w:val="24"/>
          <w:szCs w:val="24"/>
          <w:highlight w:val="none"/>
        </w:rPr>
        <w:t>澄清或者修改的内容为招标文件的组成部分</w:t>
      </w:r>
      <w:r>
        <w:rPr>
          <w:rFonts w:hint="eastAsia" w:ascii="宋体" w:hAnsi="宋体" w:eastAsia="宋体" w:cs="宋体"/>
          <w:sz w:val="24"/>
          <w:szCs w:val="24"/>
          <w:highlight w:val="none"/>
        </w:rPr>
        <w:t>。</w:t>
      </w:r>
    </w:p>
    <w:p>
      <w:pPr>
        <w:pStyle w:val="35"/>
        <w:pageBreakBefore w:val="0"/>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6.1已获取招标文件的潜在投标人，若有问题需要澄清，应于投标截止时间前，以书面形式向采购机构提出。</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31"/>
        <w:pageBreakBefore w:val="0"/>
        <w:kinsoku/>
        <w:wordWrap/>
        <w:overflowPunct/>
        <w:topLinePunct w:val="0"/>
        <w:bidi w:val="0"/>
        <w:adjustRightInd/>
        <w:snapToGrid/>
        <w:spacing w:before="0" w:beforeAutospacing="0"/>
        <w:ind w:left="0" w:leftChars="0" w:firstLine="0" w:firstLineChars="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三、投标</w:t>
      </w:r>
    </w:p>
    <w:p>
      <w:pPr>
        <w:pStyle w:val="35"/>
        <w:pageBreakBefore w:val="0"/>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详见招标公告中获取招标文件的时间期限、地点、方式及招标文件售价。</w:t>
      </w:r>
    </w:p>
    <w:p>
      <w:pPr>
        <w:pStyle w:val="35"/>
        <w:pageBreakBefore w:val="0"/>
        <w:numPr>
          <w:ilvl w:val="0"/>
          <w:numId w:val="2"/>
        </w:numPr>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开标前答疑会或现场考察</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5"/>
        <w:pageBreakBefore w:val="0"/>
        <w:numPr>
          <w:ilvl w:val="0"/>
          <w:numId w:val="2"/>
        </w:numPr>
        <w:kinsoku/>
        <w:wordWrap/>
        <w:overflowPunct/>
        <w:topLinePunct w:val="0"/>
        <w:bidi w:val="0"/>
        <w:adjustRightInd/>
        <w:snapToGrid/>
        <w:spacing w:beforeAutospacing="0" w:line="360" w:lineRule="auto"/>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kern w:val="28"/>
          <w:sz w:val="24"/>
          <w:szCs w:val="24"/>
          <w:highlight w:val="none"/>
        </w:rPr>
        <w:t>投标保证金</w:t>
      </w:r>
    </w:p>
    <w:p>
      <w:pPr>
        <w:pStyle w:val="7"/>
        <w:pageBreakBefore w:val="0"/>
        <w:kinsoku/>
        <w:wordWrap/>
        <w:overflowPunct/>
        <w:topLinePunct w:val="0"/>
        <w:bidi w:val="0"/>
        <w:adjustRightInd/>
        <w:snapToGrid/>
        <w:spacing w:beforeAutospacing="0"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5"/>
        <w:pageBreakBefore w:val="0"/>
        <w:numPr>
          <w:ilvl w:val="0"/>
          <w:numId w:val="2"/>
        </w:numPr>
        <w:kinsoku/>
        <w:wordWrap/>
        <w:overflowPunct/>
        <w:topLinePunct w:val="0"/>
        <w:bidi w:val="0"/>
        <w:adjustRightInd/>
        <w:snapToGrid/>
        <w:spacing w:beforeAutospacing="0" w:line="360" w:lineRule="auto"/>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投标文件的语言</w:t>
      </w:r>
    </w:p>
    <w:p>
      <w:pPr>
        <w:pageBreakBefore w:val="0"/>
        <w:kinsoku/>
        <w:wordWrap/>
        <w:overflowPunct/>
        <w:topLinePunct w:val="0"/>
        <w:autoSpaceDE w:val="0"/>
        <w:autoSpaceDN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投标文件及投标人与采购有关的来往通知、函件和文件均应使用中文。</w:t>
      </w:r>
    </w:p>
    <w:p>
      <w:pPr>
        <w:pStyle w:val="35"/>
        <w:pageBreakBefore w:val="0"/>
        <w:numPr>
          <w:ilvl w:val="0"/>
          <w:numId w:val="2"/>
        </w:numPr>
        <w:kinsoku/>
        <w:wordWrap/>
        <w:overflowPunct/>
        <w:topLinePunct w:val="0"/>
        <w:bidi w:val="0"/>
        <w:adjustRightInd/>
        <w:snapToGrid/>
        <w:spacing w:beforeAutospacing="0" w:line="360" w:lineRule="auto"/>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投标文件的组成</w:t>
      </w:r>
    </w:p>
    <w:p>
      <w:pPr>
        <w:pageBreakBefore w:val="0"/>
        <w:kinsoku/>
        <w:wordWrap/>
        <w:overflowPunct/>
        <w:topLinePunct w:val="0"/>
        <w:bidi w:val="0"/>
        <w:adjustRightInd/>
        <w:snapToGrid/>
        <w:spacing w:beforeAutospacing="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11.1资格文件：</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11.1.1符合参加政府采购活动应当具备的一般条件的承诺函；</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11.1.2落实政府采购政策需满足的资格要求；</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11.1.3本项目的特定资格要求。</w:t>
      </w:r>
    </w:p>
    <w:p>
      <w:pPr>
        <w:pageBreakBefore w:val="0"/>
        <w:kinsoku/>
        <w:wordWrap/>
        <w:overflowPunct/>
        <w:topLinePunct w:val="0"/>
        <w:bidi w:val="0"/>
        <w:adjustRightInd/>
        <w:snapToGrid/>
        <w:spacing w:beforeAutospacing="0"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11.</w:t>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zh-CN"/>
        </w:rPr>
        <w:t xml:space="preserve">  </w:t>
      </w:r>
      <w:r>
        <w:rPr>
          <w:rFonts w:hint="eastAsia" w:ascii="宋体" w:hAnsi="宋体" w:eastAsia="宋体" w:cs="宋体"/>
          <w:b/>
          <w:bCs/>
          <w:sz w:val="24"/>
          <w:szCs w:val="24"/>
          <w:highlight w:val="none"/>
        </w:rPr>
        <w:t>商务技术</w:t>
      </w:r>
      <w:r>
        <w:rPr>
          <w:rFonts w:hint="eastAsia" w:ascii="宋体" w:hAnsi="宋体" w:eastAsia="宋体" w:cs="宋体"/>
          <w:b/>
          <w:bCs/>
          <w:sz w:val="24"/>
          <w:szCs w:val="24"/>
          <w:highlight w:val="none"/>
          <w:lang w:val="zh-CN"/>
        </w:rPr>
        <w:t>文件：</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11.2.1投标函；</w:t>
      </w:r>
      <w:r>
        <w:rPr>
          <w:rFonts w:hint="eastAsia" w:ascii="宋体" w:hAnsi="宋体" w:eastAsia="宋体" w:cs="宋体"/>
          <w:sz w:val="24"/>
          <w:szCs w:val="24"/>
          <w:highlight w:val="none"/>
          <w:lang w:val="zh-CN"/>
        </w:rPr>
        <w:t xml:space="preserve"> </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11.2.2授权委托书或法定代表人（单位负责人、自然人本人）身份证明；</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11.2.3联合协议；</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11.2.4分包意向协议；</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11.2.5符合性审查资料；</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11.2.</w:t>
      </w:r>
      <w:r>
        <w:rPr>
          <w:rFonts w:hint="eastAsia" w:ascii="宋体" w:hAnsi="宋体" w:eastAsia="宋体" w:cs="宋体"/>
          <w:color w:val="000000" w:themeColor="text1"/>
          <w:sz w:val="24"/>
          <w:szCs w:val="24"/>
          <w:highlight w:val="none"/>
          <w14:textFill>
            <w14:solidFill>
              <w14:schemeClr w14:val="tx1"/>
            </w14:solidFill>
          </w14:textFill>
        </w:rPr>
        <w:t>6评标标准相应的商务技术资料；</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商务技术偏离表；</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11.</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政府采购供应商廉洁自律承诺书；</w:t>
      </w:r>
    </w:p>
    <w:p>
      <w:pPr>
        <w:pageBreakBefore w:val="0"/>
        <w:kinsoku/>
        <w:wordWrap/>
        <w:overflowPunct/>
        <w:topLinePunct w:val="0"/>
        <w:bidi w:val="0"/>
        <w:adjustRightInd/>
        <w:snapToGrid/>
        <w:spacing w:beforeAutospacing="0" w:line="360" w:lineRule="auto"/>
        <w:ind w:firstLine="482" w:firstLineChars="200"/>
        <w:textAlignment w:val="auto"/>
        <w:rPr>
          <w:rFonts w:hint="eastAsia" w:ascii="宋体" w:hAnsi="宋体" w:eastAsia="宋体" w:cs="宋体"/>
          <w:sz w:val="24"/>
          <w:szCs w:val="24"/>
          <w:highlight w:val="none"/>
          <w:u w:val="single"/>
          <w:lang w:val="zh-CN"/>
        </w:rPr>
      </w:pPr>
      <w:r>
        <w:rPr>
          <w:rFonts w:hint="eastAsia" w:ascii="宋体" w:hAnsi="宋体" w:eastAsia="宋体" w:cs="宋体"/>
          <w:b/>
          <w:bCs/>
          <w:kern w:val="0"/>
          <w:sz w:val="24"/>
          <w:szCs w:val="24"/>
          <w:highlight w:val="none"/>
          <w:lang w:val="zh-CN"/>
        </w:rPr>
        <w:t>11.</w:t>
      </w:r>
      <w:r>
        <w:rPr>
          <w:rFonts w:hint="eastAsia" w:ascii="宋体" w:hAnsi="宋体" w:eastAsia="宋体" w:cs="宋体"/>
          <w:b/>
          <w:bCs/>
          <w:kern w:val="0"/>
          <w:sz w:val="24"/>
          <w:szCs w:val="24"/>
          <w:highlight w:val="none"/>
        </w:rPr>
        <w:t>3</w:t>
      </w:r>
      <w:r>
        <w:rPr>
          <w:rFonts w:hint="eastAsia" w:ascii="宋体" w:hAnsi="宋体" w:eastAsia="宋体" w:cs="宋体"/>
          <w:b/>
          <w:bCs/>
          <w:sz w:val="24"/>
          <w:szCs w:val="24"/>
          <w:highlight w:val="none"/>
        </w:rPr>
        <w:t>报价文件：</w:t>
      </w:r>
      <w:r>
        <w:rPr>
          <w:rFonts w:hint="eastAsia" w:ascii="宋体" w:hAnsi="宋体" w:eastAsia="宋体" w:cs="宋体"/>
          <w:sz w:val="24"/>
          <w:szCs w:val="24"/>
          <w:highlight w:val="none"/>
        </w:rPr>
        <w:t xml:space="preserve"> </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11.3.1开标一览表（报价表）；</w:t>
      </w:r>
    </w:p>
    <w:p>
      <w:pPr>
        <w:pageBreakBefore w:val="0"/>
        <w:kinsoku/>
        <w:wordWrap/>
        <w:overflowPunct/>
        <w:topLinePunct w:val="0"/>
        <w:bidi w:val="0"/>
        <w:adjustRightInd/>
        <w:snapToGrid/>
        <w:spacing w:beforeAutospacing="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11.3.2中小企业声明函。</w:t>
      </w:r>
    </w:p>
    <w:p>
      <w:pPr>
        <w:pageBreakBefore w:val="0"/>
        <w:kinsoku/>
        <w:wordWrap/>
        <w:overflowPunct/>
        <w:topLinePunct w:val="0"/>
        <w:bidi w:val="0"/>
        <w:adjustRightInd/>
        <w:snapToGrid/>
        <w:spacing w:beforeAutospacing="0" w:line="360" w:lineRule="auto"/>
        <w:ind w:firstLine="723" w:firstLineChars="3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投标文件含有采购人不能接受的附加条件的，投标无效；</w:t>
      </w:r>
    </w:p>
    <w:p>
      <w:pPr>
        <w:pageBreakBefore w:val="0"/>
        <w:kinsoku/>
        <w:wordWrap/>
        <w:overflowPunct/>
        <w:topLinePunct w:val="0"/>
        <w:bidi w:val="0"/>
        <w:adjustRightInd/>
        <w:snapToGrid/>
        <w:spacing w:beforeAutospacing="0" w:line="360" w:lineRule="auto"/>
        <w:ind w:firstLine="723" w:firstLineChars="3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投标人提供虚假材料投标的，投标无效。</w:t>
      </w:r>
    </w:p>
    <w:p>
      <w:pPr>
        <w:pStyle w:val="131"/>
        <w:pageBreakBefore w:val="0"/>
        <w:kinsoku/>
        <w:wordWrap/>
        <w:overflowPunct/>
        <w:topLinePunct w:val="0"/>
        <w:bidi w:val="0"/>
        <w:adjustRightInd/>
        <w:snapToGrid/>
        <w:spacing w:before="0" w:beforeAutospacing="0"/>
        <w:ind w:firstLine="0" w:firstLineChars="0"/>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12</w:t>
      </w:r>
      <w:r>
        <w:rPr>
          <w:rFonts w:hint="eastAsia" w:ascii="宋体" w:hAnsi="宋体" w:eastAsia="宋体" w:cs="宋体"/>
          <w:b/>
          <w:kern w:val="0"/>
          <w:sz w:val="24"/>
          <w:szCs w:val="24"/>
          <w:highlight w:val="none"/>
          <w:lang w:val="zh-CN"/>
        </w:rPr>
        <w:t xml:space="preserve">. </w:t>
      </w:r>
      <w:r>
        <w:rPr>
          <w:rFonts w:hint="eastAsia" w:ascii="宋体" w:hAnsi="宋体" w:eastAsia="宋体" w:cs="宋体"/>
          <w:b/>
          <w:sz w:val="24"/>
          <w:szCs w:val="24"/>
          <w:highlight w:val="none"/>
        </w:rPr>
        <w:t>投标文件的编制</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pStyle w:val="131"/>
        <w:pageBreakBefore w:val="0"/>
        <w:kinsoku/>
        <w:wordWrap/>
        <w:overflowPunct/>
        <w:topLinePunct w:val="0"/>
        <w:bidi w:val="0"/>
        <w:adjustRightInd/>
        <w:snapToGrid/>
        <w:spacing w:before="0" w:beforeAutospacing="0"/>
        <w:ind w:firstLine="0" w:firstLineChars="0"/>
        <w:textAlignment w:val="auto"/>
        <w:outlineLvl w:val="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 xml:space="preserve">13. </w:t>
      </w:r>
      <w:r>
        <w:rPr>
          <w:rFonts w:hint="eastAsia" w:ascii="宋体" w:hAnsi="宋体" w:eastAsia="宋体" w:cs="宋体"/>
          <w:b/>
          <w:sz w:val="24"/>
          <w:szCs w:val="24"/>
          <w:highlight w:val="none"/>
          <w:lang w:val="zh-CN" w:eastAsia="zh-CN"/>
        </w:rPr>
        <w:t>投标文件的签署、</w:t>
      </w:r>
      <w:r>
        <w:rPr>
          <w:rFonts w:hint="eastAsia" w:ascii="宋体" w:hAnsi="宋体" w:eastAsia="宋体" w:cs="宋体"/>
          <w:b/>
          <w:sz w:val="24"/>
          <w:szCs w:val="24"/>
          <w:highlight w:val="none"/>
        </w:rPr>
        <w:t>盖章</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13.1投标文件按照招标文件第六部分格式要求进行签署、盖章。</w:t>
      </w:r>
      <w:r>
        <w:rPr>
          <w:rFonts w:hint="eastAsia" w:ascii="宋体" w:hAnsi="宋体" w:eastAsia="宋体" w:cs="宋体"/>
          <w:b/>
          <w:sz w:val="24"/>
          <w:szCs w:val="24"/>
          <w:highlight w:val="none"/>
        </w:rPr>
        <w:t>▲投标人的投标文件未按照招标文件要求签署、盖章的，其投标无效</w:t>
      </w:r>
      <w:r>
        <w:rPr>
          <w:rFonts w:hint="eastAsia" w:ascii="宋体" w:hAnsi="宋体" w:eastAsia="宋体" w:cs="宋体"/>
          <w:sz w:val="24"/>
          <w:szCs w:val="24"/>
          <w:highlight w:val="none"/>
        </w:rPr>
        <w:t>。</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13.3招标文件对投标文件签署、盖章的要求适用于电子签名。</w:t>
      </w:r>
    </w:p>
    <w:p>
      <w:pPr>
        <w:pStyle w:val="131"/>
        <w:pageBreakBefore w:val="0"/>
        <w:kinsoku/>
        <w:wordWrap/>
        <w:overflowPunct/>
        <w:topLinePunct w:val="0"/>
        <w:bidi w:val="0"/>
        <w:adjustRightInd/>
        <w:snapToGrid/>
        <w:spacing w:before="0" w:beforeAutospacing="0"/>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投标文件的提交、补充、修改、撤回</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pageBreakBefore w:val="0"/>
        <w:numPr>
          <w:ilvl w:val="0"/>
          <w:numId w:val="3"/>
        </w:numPr>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备份投标文件</w:t>
      </w:r>
    </w:p>
    <w:p>
      <w:pPr>
        <w:pStyle w:val="35"/>
        <w:pageBreakBefore w:val="0"/>
        <w:kinsoku/>
        <w:wordWrap/>
        <w:overflowPunct/>
        <w:topLinePunct w:val="0"/>
        <w:bidi w:val="0"/>
        <w:adjustRightInd/>
        <w:snapToGrid/>
        <w:spacing w:beforeAutospacing="0" w:line="360" w:lineRule="auto"/>
        <w:ind w:firstLine="360" w:firstLineChars="15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szCs w:val="24"/>
          <w:highlight w:val="none"/>
        </w:rPr>
        <w:t>不符合上述制作、存储、密封规定的备份投标文件将被视为无效或者被拒绝接收。</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pageBreakBefore w:val="0"/>
        <w:kinsoku/>
        <w:wordWrap/>
        <w:overflowPunct/>
        <w:topLinePunct w:val="0"/>
        <w:bidi w:val="0"/>
        <w:adjustRightInd/>
        <w:snapToGrid/>
        <w:spacing w:beforeAutospacing="0" w:line="360" w:lineRule="auto"/>
        <w:ind w:firstLine="479" w:firstLine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w:t>
      </w:r>
      <w:r>
        <w:rPr>
          <w:rFonts w:hint="eastAsia" w:ascii="宋体" w:hAnsi="宋体" w:eastAsia="宋体" w:cs="宋体"/>
          <w:b/>
          <w:color w:val="000000" w:themeColor="text1"/>
          <w:sz w:val="24"/>
          <w:szCs w:val="24"/>
          <w:highlight w:val="none"/>
          <w14:textFill>
            <w14:solidFill>
              <w14:schemeClr w14:val="tx1"/>
            </w14:solidFill>
          </w14:textFill>
        </w:rPr>
        <w:t>标文件，未在电子交易平台传输递交投标文件的，投标无效。</w:t>
      </w:r>
    </w:p>
    <w:p>
      <w:pPr>
        <w:pStyle w:val="131"/>
        <w:pageBreakBefore w:val="0"/>
        <w:numPr>
          <w:ilvl w:val="0"/>
          <w:numId w:val="3"/>
        </w:numPr>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投标文件的无效处理</w:t>
      </w:r>
    </w:p>
    <w:p>
      <w:pPr>
        <w:pStyle w:val="3"/>
        <w:pageBreakBefore w:val="0"/>
        <w:kinsoku/>
        <w:wordWrap/>
        <w:overflowPunct/>
        <w:topLinePunct w:val="0"/>
        <w:bidi w:val="0"/>
        <w:adjustRightInd/>
        <w:snapToGrid/>
        <w:spacing w:beforeAutospacing="0" w:line="360"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有招标文件第四部分4.2规定的情形之一的，投标无效：</w:t>
      </w:r>
    </w:p>
    <w:p>
      <w:pPr>
        <w:pStyle w:val="131"/>
        <w:pageBreakBefore w:val="0"/>
        <w:numPr>
          <w:ilvl w:val="0"/>
          <w:numId w:val="3"/>
        </w:numPr>
        <w:kinsoku/>
        <w:wordWrap/>
        <w:overflowPunct/>
        <w:topLinePunct w:val="0"/>
        <w:bidi w:val="0"/>
        <w:adjustRightInd/>
        <w:snapToGrid/>
        <w:spacing w:before="0" w:beforeAutospacing="0"/>
        <w:ind w:left="0" w:leftChars="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投标有效期</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17.1投标有效期为从提交投标文件的截止之日起90天。▲</w:t>
      </w:r>
      <w:r>
        <w:rPr>
          <w:rFonts w:hint="eastAsia" w:ascii="宋体" w:hAnsi="宋体" w:eastAsia="宋体" w:cs="宋体"/>
          <w:b/>
          <w:sz w:val="24"/>
          <w:szCs w:val="24"/>
          <w:highlight w:val="none"/>
        </w:rPr>
        <w:t>投标人的投标文件中承诺的投标有效期少于招标文件中载明的投标有效期的，投标无效。</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17.2投标文件合格投递后，自投标截止日期起，在投标有效期内有效。</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pageBreakBefore w:val="0"/>
        <w:kinsoku/>
        <w:wordWrap/>
        <w:overflowPunct/>
        <w:topLinePunct w:val="0"/>
        <w:bidi w:val="0"/>
        <w:adjustRightInd/>
        <w:snapToGrid/>
        <w:spacing w:before="0" w:beforeAutospacing="0"/>
        <w:ind w:left="0" w:leftChars="0" w:firstLine="0" w:firstLineChars="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四、开标、资格审查与信用信息查询</w:t>
      </w:r>
    </w:p>
    <w:p>
      <w:pPr>
        <w:pStyle w:val="557"/>
        <w:pageBreakBefore w:val="0"/>
        <w:kinsoku/>
        <w:wordWrap/>
        <w:overflowPunct/>
        <w:topLinePunct w:val="0"/>
        <w:bidi w:val="0"/>
        <w:adjustRightInd/>
        <w:snapToGrid/>
        <w:spacing w:before="0" w:beforeAutospacing="0" w:line="360" w:lineRule="auto"/>
        <w:ind w:left="0" w:leftChars="0" w:firstLine="0" w:firstLineChars="0"/>
        <w:contextualSpacing/>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18.</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开标</w:t>
      </w:r>
      <w:r>
        <w:rPr>
          <w:rFonts w:hint="eastAsia" w:ascii="宋体" w:hAnsi="宋体" w:eastAsia="宋体" w:cs="宋体"/>
          <w:sz w:val="24"/>
          <w:szCs w:val="24"/>
          <w:highlight w:val="none"/>
        </w:rPr>
        <w:t xml:space="preserve"> </w:t>
      </w:r>
    </w:p>
    <w:p>
      <w:pPr>
        <w:pStyle w:val="557"/>
        <w:pageBreakBefore w:val="0"/>
        <w:kinsoku/>
        <w:wordWrap/>
        <w:overflowPunct/>
        <w:topLinePunct w:val="0"/>
        <w:bidi w:val="0"/>
        <w:adjustRightInd/>
        <w:snapToGrid/>
        <w:spacing w:before="0" w:beforeAutospacing="0" w:line="360" w:lineRule="auto"/>
        <w:ind w:left="0"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18.1采购机构按照招标文件规定的时间通过电子交易平台组织开标，所有投标人均应当准时在线参加。投标人不足3家的，不得开标。</w:t>
      </w:r>
    </w:p>
    <w:p>
      <w:pPr>
        <w:pStyle w:val="557"/>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　18.3</w:t>
      </w:r>
      <w:r>
        <w:rPr>
          <w:rFonts w:hint="eastAsia" w:ascii="宋体" w:hAnsi="宋体" w:eastAsia="宋体" w:cs="宋体"/>
          <w:b/>
          <w:sz w:val="24"/>
          <w:szCs w:val="24"/>
          <w:highlight w:val="none"/>
        </w:rPr>
        <w:t>投标文件未按时解密，投标人提供了备份投标文件的，以备份投标文件作为依据，否则视为投标文件撤回。投标文件已按时解密的，备份投标文件自动失效。</w:t>
      </w:r>
    </w:p>
    <w:p>
      <w:pPr>
        <w:pageBreakBefore w:val="0"/>
        <w:widowControl/>
        <w:numPr>
          <w:ilvl w:val="0"/>
          <w:numId w:val="0"/>
        </w:numPr>
        <w:kinsoku/>
        <w:wordWrap/>
        <w:overflowPunct/>
        <w:topLinePunct w:val="0"/>
        <w:bidi w:val="0"/>
        <w:adjustRightInd/>
        <w:snapToGrid/>
        <w:spacing w:beforeAutospacing="0" w:line="360" w:lineRule="auto"/>
        <w:ind w:leftChars="0"/>
        <w:jc w:val="left"/>
        <w:textAlignment w:val="auto"/>
        <w:rPr>
          <w:rFonts w:hint="eastAsia" w:ascii="宋体" w:hAnsi="宋体" w:eastAsia="宋体" w:cs="宋体"/>
          <w:b/>
          <w:kern w:val="0"/>
          <w:sz w:val="24"/>
          <w:szCs w:val="24"/>
          <w:highlight w:val="none"/>
          <w:lang w:val="en-US" w:eastAsia="zh-CN" w:bidi="ar-SA"/>
        </w:rPr>
      </w:pPr>
      <w:r>
        <w:rPr>
          <w:rFonts w:hint="eastAsia" w:ascii="宋体" w:hAnsi="宋体" w:eastAsia="宋体" w:cs="宋体"/>
          <w:b/>
          <w:sz w:val="24"/>
          <w:szCs w:val="24"/>
          <w:highlight w:val="none"/>
        </w:rPr>
        <w:t>1</w:t>
      </w:r>
      <w:r>
        <w:rPr>
          <w:rFonts w:hint="eastAsia" w:ascii="宋体" w:hAnsi="宋体" w:cs="宋体"/>
          <w:b/>
          <w:sz w:val="24"/>
          <w:szCs w:val="24"/>
          <w:highlight w:val="none"/>
          <w:lang w:val="en-US" w:eastAsia="zh-CN"/>
        </w:rPr>
        <w:t>9</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kern w:val="0"/>
          <w:sz w:val="24"/>
          <w:szCs w:val="24"/>
          <w:highlight w:val="none"/>
          <w:lang w:val="en-US" w:eastAsia="zh-CN" w:bidi="ar-SA"/>
        </w:rPr>
        <w:t>资格审查</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19.1开标后，采购人或采购机构将依法对投标人的资格进行审查。</w:t>
      </w:r>
    </w:p>
    <w:p>
      <w:pPr>
        <w:pageBreakBefore w:val="0"/>
        <w:kinsoku/>
        <w:wordWrap/>
        <w:overflowPunct/>
        <w:topLinePunct w:val="0"/>
        <w:bidi w:val="0"/>
        <w:adjustRightInd/>
        <w:snapToGrid/>
        <w:spacing w:before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19.2</w:t>
      </w:r>
      <w:r>
        <w:rPr>
          <w:rFonts w:hint="eastAsia" w:ascii="宋体" w:hAnsi="宋体" w:eastAsia="宋体" w:cs="宋体"/>
          <w:sz w:val="24"/>
          <w:szCs w:val="24"/>
          <w:highlight w:val="none"/>
        </w:rPr>
        <w:t>采购人或采购机构依据法律法规和招标文件的规定，对投标人的基本资格条件、特定资格条件进行审查。</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19.3投标人未按照招标文件要求提供与</w:t>
      </w:r>
      <w:r>
        <w:rPr>
          <w:rFonts w:hint="eastAsia" w:ascii="宋体" w:hAnsi="宋体" w:eastAsia="宋体" w:cs="宋体"/>
          <w:sz w:val="24"/>
          <w:szCs w:val="24"/>
          <w:highlight w:val="none"/>
        </w:rPr>
        <w:t>基本资格条件、特定资格条件相应的</w:t>
      </w:r>
      <w:r>
        <w:rPr>
          <w:rFonts w:hint="eastAsia" w:ascii="宋体" w:hAnsi="宋体" w:eastAsia="宋体" w:cs="宋体"/>
          <w:kern w:val="0"/>
          <w:sz w:val="24"/>
          <w:szCs w:val="24"/>
          <w:highlight w:val="none"/>
        </w:rPr>
        <w:t>有效资格证明材料的，视为</w:t>
      </w:r>
      <w:r>
        <w:rPr>
          <w:rFonts w:hint="eastAsia" w:ascii="宋体" w:hAnsi="宋体" w:eastAsia="宋体" w:cs="宋体"/>
          <w:sz w:val="24"/>
          <w:szCs w:val="24"/>
          <w:highlight w:val="none"/>
        </w:rPr>
        <w:t>投标人不具备招标文件中规定的资格要求，其投标无效。</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w:t>
      </w:r>
      <w:r>
        <w:rPr>
          <w:rFonts w:hint="eastAsia" w:ascii="宋体" w:hAnsi="宋体" w:eastAsia="宋体" w:cs="宋体"/>
          <w:sz w:val="24"/>
          <w:szCs w:val="24"/>
          <w:highlight w:val="none"/>
        </w:rPr>
        <w:t>4对未通过资格审查的投标人，采购人或采购机构告知其未通过的原因。</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19.</w:t>
      </w:r>
      <w:r>
        <w:rPr>
          <w:rFonts w:hint="eastAsia" w:ascii="宋体" w:hAnsi="宋体" w:eastAsia="宋体" w:cs="宋体"/>
          <w:sz w:val="24"/>
          <w:szCs w:val="24"/>
          <w:highlight w:val="none"/>
        </w:rPr>
        <w:t>5合格投标人不足3家的，不再评标。</w:t>
      </w:r>
    </w:p>
    <w:p>
      <w:pPr>
        <w:pStyle w:val="131"/>
        <w:pageBreakBefore w:val="0"/>
        <w:kinsoku/>
        <w:wordWrap/>
        <w:overflowPunct/>
        <w:topLinePunct w:val="0"/>
        <w:bidi w:val="0"/>
        <w:adjustRightInd/>
        <w:snapToGrid/>
        <w:spacing w:before="0" w:beforeAutospacing="0"/>
        <w:ind w:firstLine="0" w:firstLineChars="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20</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信用信息查询</w:t>
      </w:r>
    </w:p>
    <w:p>
      <w:pPr>
        <w:pStyle w:val="131"/>
        <w:pageBreakBefore w:val="0"/>
        <w:kinsoku/>
        <w:wordWrap/>
        <w:overflowPunct/>
        <w:topLinePunct w:val="0"/>
        <w:bidi w:val="0"/>
        <w:adjustRightInd/>
        <w:snapToGrid/>
        <w:spacing w:before="0" w:beforeAutospacing="0"/>
        <w:ind w:firstLine="495"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20.1信用信息查询渠道及截止时间：采购机构将通过“信用中国”网站(www.creditchina.gov.cn)、中国政府采购网(www.ccgp.gov.cn)渠道查询投标人投标截止时间当天的信用记录。</w:t>
      </w:r>
    </w:p>
    <w:p>
      <w:pPr>
        <w:pStyle w:val="131"/>
        <w:pageBreakBefore w:val="0"/>
        <w:kinsoku/>
        <w:wordWrap/>
        <w:overflowPunct/>
        <w:topLinePunct w:val="0"/>
        <w:bidi w:val="0"/>
        <w:adjustRightInd/>
        <w:snapToGrid/>
        <w:spacing w:before="0" w:beforeAutospacing="0"/>
        <w:ind w:firstLine="495"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20.2信用信息查询记录和证据留存的具体方式：现场查询的投标人的信用记录、查询结果经确认后将与采购文件一起存档。</w:t>
      </w:r>
    </w:p>
    <w:p>
      <w:pPr>
        <w:pStyle w:val="131"/>
        <w:pageBreakBefore w:val="0"/>
        <w:kinsoku/>
        <w:wordWrap/>
        <w:overflowPunct/>
        <w:topLinePunct w:val="0"/>
        <w:bidi w:val="0"/>
        <w:adjustRightInd/>
        <w:snapToGrid/>
        <w:spacing w:before="0" w:beforeAutospacing="0"/>
        <w:ind w:firstLine="495"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highlight w:val="none"/>
        </w:rPr>
        <w:t>。</w:t>
      </w:r>
    </w:p>
    <w:p>
      <w:pPr>
        <w:pageBreakBefore w:val="0"/>
        <w:kinsoku/>
        <w:wordWrap/>
        <w:overflowPunct/>
        <w:topLinePunct w:val="0"/>
        <w:bidi w:val="0"/>
        <w:adjustRightInd/>
        <w:snapToGrid/>
        <w:spacing w:beforeAutospacing="0"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五、评标</w:t>
      </w:r>
    </w:p>
    <w:p>
      <w:pPr>
        <w:pageBreakBefore w:val="0"/>
        <w:kinsoku/>
        <w:wordWrap/>
        <w:overflowPunct/>
        <w:topLinePunct w:val="0"/>
        <w:bidi w:val="0"/>
        <w:adjustRightInd/>
        <w:snapToGrid/>
        <w:spacing w:beforeAutospacing="0" w:line="360" w:lineRule="auto"/>
        <w:textAlignment w:val="auto"/>
        <w:rPr>
          <w:rFonts w:hint="eastAsia" w:ascii="宋体" w:hAnsi="宋体" w:eastAsia="宋体" w:cs="宋体"/>
          <w:b/>
          <w:sz w:val="24"/>
          <w:szCs w:val="24"/>
          <w:highlight w:val="none"/>
        </w:rPr>
      </w:pPr>
      <w:bookmarkStart w:id="9" w:name="_Toc91899903"/>
      <w:r>
        <w:rPr>
          <w:rFonts w:hint="eastAsia" w:ascii="宋体" w:hAnsi="宋体" w:eastAsia="宋体" w:cs="宋体"/>
          <w:b/>
          <w:sz w:val="24"/>
          <w:szCs w:val="24"/>
          <w:highlight w:val="none"/>
        </w:rPr>
        <w:t>21.</w:t>
      </w:r>
      <w:r>
        <w:rPr>
          <w:rFonts w:hint="eastAsia" w:ascii="宋体" w:hAnsi="宋体" w:eastAsia="宋体" w:cs="宋体"/>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highlight w:val="none"/>
        </w:rPr>
        <w:t>详见招标文件第四部分评标办法。</w:t>
      </w:r>
    </w:p>
    <w:p>
      <w:pPr>
        <w:pageBreakBefore w:val="0"/>
        <w:kinsoku/>
        <w:wordWrap/>
        <w:overflowPunct/>
        <w:topLinePunct w:val="0"/>
        <w:bidi w:val="0"/>
        <w:adjustRightInd/>
        <w:snapToGrid/>
        <w:spacing w:beforeAutospacing="0"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六、定标</w:t>
      </w:r>
    </w:p>
    <w:p>
      <w:pPr>
        <w:pStyle w:val="3"/>
        <w:pageBreakBefore w:val="0"/>
        <w:kinsoku/>
        <w:wordWrap/>
        <w:overflowPunct/>
        <w:topLinePunct w:val="0"/>
        <w:bidi w:val="0"/>
        <w:adjustRightInd/>
        <w:snapToGrid/>
        <w:spacing w:beforeAutospacing="0" w:line="360" w:lineRule="auto"/>
        <w:ind w:left="479" w:hanging="479" w:hanging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22. 确定中标供应商</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pageBreakBefore w:val="0"/>
        <w:numPr>
          <w:ilvl w:val="0"/>
          <w:numId w:val="4"/>
        </w:numPr>
        <w:kinsoku/>
        <w:wordWrap/>
        <w:overflowPunct/>
        <w:topLinePunct w:val="0"/>
        <w:bidi w:val="0"/>
        <w:adjustRightInd/>
        <w:snapToGrid/>
        <w:spacing w:before="0" w:beforeAutospacing="0"/>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中标通知与中标结果公告</w:t>
      </w:r>
    </w:p>
    <w:p>
      <w:pPr>
        <w:pStyle w:val="131"/>
        <w:pageBreakBefore w:val="0"/>
        <w:numPr>
          <w:ilvl w:val="0"/>
          <w:numId w:val="0"/>
        </w:numPr>
        <w:kinsoku/>
        <w:wordWrap/>
        <w:overflowPunct/>
        <w:topLinePunct w:val="0"/>
        <w:bidi w:val="0"/>
        <w:adjustRightInd/>
        <w:snapToGrid/>
        <w:spacing w:before="0" w:beforeAutospacing="0"/>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23.1自中标人确定之日起2个工作日内，采购机构通过电子交易平台向中标人发出中标通知书，同时编制发布采购结果公告。采购机构也可以以纸质形式进行中标通知。</w:t>
      </w:r>
    </w:p>
    <w:p>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23.3公告期限为1个工作日。</w:t>
      </w:r>
    </w:p>
    <w:p>
      <w:pPr>
        <w:pageBreakBefore w:val="0"/>
        <w:kinsoku/>
        <w:wordWrap/>
        <w:overflowPunct/>
        <w:topLinePunct w:val="0"/>
        <w:bidi w:val="0"/>
        <w:adjustRightInd/>
        <w:snapToGrid/>
        <w:spacing w:beforeAutospacing="0" w:line="360" w:lineRule="auto"/>
        <w:ind w:left="120" w:leftChars="57" w:firstLine="482" w:firstLineChars="150"/>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七、合同授予</w:t>
      </w:r>
    </w:p>
    <w:p>
      <w:pPr>
        <w:pStyle w:val="3"/>
        <w:pageBreakBefore w:val="0"/>
        <w:kinsoku/>
        <w:wordWrap/>
        <w:overflowPunct/>
        <w:topLinePunct w:val="0"/>
        <w:bidi w:val="0"/>
        <w:adjustRightInd/>
        <w:snapToGrid/>
        <w:spacing w:beforeAutospacing="0" w:line="360" w:lineRule="auto"/>
        <w:ind w:left="479" w:hanging="479" w:hanging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24. </w:t>
      </w:r>
      <w:r>
        <w:rPr>
          <w:rFonts w:hint="eastAsia" w:ascii="宋体" w:hAnsi="宋体" w:eastAsia="宋体" w:cs="宋体"/>
          <w:sz w:val="24"/>
          <w:szCs w:val="24"/>
          <w:highlight w:val="none"/>
        </w:rPr>
        <w:t>合同主要条款详见第五部分拟签订的合同文本。</w:t>
      </w:r>
    </w:p>
    <w:p>
      <w:pPr>
        <w:pStyle w:val="3"/>
        <w:pageBreakBefore w:val="0"/>
        <w:kinsoku/>
        <w:wordWrap/>
        <w:overflowPunct/>
        <w:topLinePunct w:val="0"/>
        <w:bidi w:val="0"/>
        <w:adjustRightInd/>
        <w:snapToGrid/>
        <w:spacing w:beforeAutospacing="0" w:line="360" w:lineRule="auto"/>
        <w:ind w:left="479" w:hanging="479" w:hanging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25. 合同的签订</w:t>
      </w:r>
    </w:p>
    <w:p>
      <w:pPr>
        <w:pageBreakBefore w:val="0"/>
        <w:widowControl/>
        <w:shd w:val="clear" w:color="auto" w:fill="FFFFFF"/>
        <w:kinsoku/>
        <w:wordWrap/>
        <w:overflowPunct/>
        <w:topLinePunct w:val="0"/>
        <w:bidi w:val="0"/>
        <w:adjustRightInd/>
        <w:snapToGrid/>
        <w:spacing w:beforeAutospacing="0" w:line="360" w:lineRule="auto"/>
        <w:ind w:firstLine="48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w:t>
      </w:r>
      <w:r>
        <w:rPr>
          <w:rFonts w:hint="eastAsia" w:ascii="宋体" w:hAnsi="宋体" w:eastAsia="宋体" w:cs="宋体"/>
          <w:kern w:val="0"/>
          <w:sz w:val="24"/>
          <w:szCs w:val="24"/>
          <w:highlight w:val="none"/>
          <w:lang w:eastAsia="zh-CN"/>
        </w:rPr>
        <w:t>人</w:t>
      </w:r>
      <w:r>
        <w:rPr>
          <w:rFonts w:hint="eastAsia" w:ascii="宋体" w:hAnsi="宋体" w:eastAsia="宋体" w:cs="宋体"/>
          <w:kern w:val="0"/>
          <w:sz w:val="24"/>
          <w:szCs w:val="24"/>
          <w:highlight w:val="none"/>
        </w:rPr>
        <w:t>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25.3如签订合同并生效后，供应商无故拒绝或延期，除按照合同条款处理外，列入不良行为记录一次，并给予通报。</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25.5采购合同由采购人与中标供应商根据招标文件、投标文件等内容通过政府采购电子交易平台在线签订，自动备案。</w:t>
      </w:r>
    </w:p>
    <w:p>
      <w:pPr>
        <w:pStyle w:val="3"/>
        <w:pageBreakBefore w:val="0"/>
        <w:kinsoku/>
        <w:wordWrap/>
        <w:overflowPunct/>
        <w:topLinePunct w:val="0"/>
        <w:bidi w:val="0"/>
        <w:adjustRightInd/>
        <w:snapToGrid/>
        <w:spacing w:beforeAutospacing="0" w:line="360" w:lineRule="auto"/>
        <w:ind w:left="479" w:hanging="479" w:hangingChars="199"/>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26. 履约保证金</w:t>
      </w:r>
    </w:p>
    <w:p>
      <w:pPr>
        <w:pageBreakBefore w:val="0"/>
        <w:tabs>
          <w:tab w:val="left" w:pos="0"/>
        </w:tabs>
        <w:kinsoku/>
        <w:wordWrap/>
        <w:overflowPunct/>
        <w:topLinePunct w:val="0"/>
        <w:bidi w:val="0"/>
        <w:adjustRightInd/>
        <w:snapToGrid/>
        <w:spacing w:beforeAutospacing="0" w:line="360" w:lineRule="auto"/>
        <w:ind w:firstLine="482"/>
        <w:textAlignment w:val="auto"/>
        <w:rPr>
          <w:rFonts w:hint="eastAsia" w:ascii="宋体" w:hAnsi="宋体" w:eastAsia="宋体" w:cs="宋体"/>
          <w:b w:val="0"/>
          <w:sz w:val="24"/>
          <w:szCs w:val="24"/>
          <w:highlight w:val="none"/>
          <w:lang w:eastAsia="zh-CN"/>
        </w:rPr>
      </w:pPr>
      <w:r>
        <w:rPr>
          <w:rFonts w:hint="eastAsia" w:ascii="宋体" w:hAnsi="宋体" w:eastAsia="宋体" w:cs="宋体"/>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highlight w:val="none"/>
        </w:rPr>
        <w:t>。履约保证金的数额不得超过政府采购合同金额的</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%。鼓励和支持供应商以银行、保险公司出具的保函形式提供履约保证金。</w:t>
      </w:r>
      <w:r>
        <w:rPr>
          <w:rFonts w:hint="eastAsia" w:ascii="宋体" w:hAnsi="宋体" w:eastAsia="宋体" w:cs="宋体"/>
          <w:b w:val="0"/>
          <w:sz w:val="24"/>
          <w:szCs w:val="24"/>
          <w:highlight w:val="none"/>
        </w:rPr>
        <w:t>采购人不得拒收履约保函</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项目验收结束后应及时退还</w:t>
      </w:r>
      <w:r>
        <w:rPr>
          <w:rFonts w:hint="eastAsia" w:ascii="宋体" w:hAnsi="宋体" w:eastAsia="宋体" w:cs="宋体"/>
          <w:b w:val="0"/>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延迟退还的，应当按照合同约定和法律规定承担相应的赔偿责任</w:t>
      </w:r>
      <w:r>
        <w:rPr>
          <w:rFonts w:hint="eastAsia" w:ascii="宋体" w:hAnsi="宋体" w:eastAsia="宋体" w:cs="宋体"/>
          <w:b w:val="0"/>
          <w:sz w:val="24"/>
          <w:szCs w:val="24"/>
          <w:highlight w:val="none"/>
          <w:lang w:eastAsia="zh-CN"/>
        </w:rPr>
        <w:t>。</w:t>
      </w:r>
    </w:p>
    <w:p>
      <w:pPr>
        <w:pageBreakBefore w:val="0"/>
        <w:tabs>
          <w:tab w:val="left" w:pos="0"/>
        </w:tabs>
        <w:kinsoku/>
        <w:wordWrap/>
        <w:overflowPunct/>
        <w:topLinePunct w:val="0"/>
        <w:bidi w:val="0"/>
        <w:adjustRightInd/>
        <w:snapToGrid/>
        <w:spacing w:beforeAutospacing="0" w:line="360" w:lineRule="auto"/>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p>
    <w:p>
      <w:pPr>
        <w:pStyle w:val="5"/>
        <w:pageBreakBefore w:val="0"/>
        <w:kinsoku/>
        <w:wordWrap/>
        <w:overflowPunct/>
        <w:topLinePunct w:val="0"/>
        <w:bidi w:val="0"/>
        <w:adjustRightInd/>
        <w:snapToGrid/>
        <w:spacing w:beforeAutospacing="0"/>
        <w:ind w:left="0"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b w:val="0"/>
          <w:bCs w:val="0"/>
          <w:snapToGrid w:val="0"/>
          <w:kern w:val="28"/>
          <w:sz w:val="24"/>
          <w:szCs w:val="24"/>
          <w:highlight w:val="none"/>
        </w:rPr>
        <w:t>供应商</w:t>
      </w:r>
      <w:r>
        <w:rPr>
          <w:rFonts w:hint="eastAsia" w:ascii="宋体" w:hAnsi="宋体" w:eastAsia="宋体" w:cs="宋体"/>
          <w:b w:val="0"/>
          <w:bCs w:val="0"/>
          <w:snapToGrid w:val="0"/>
          <w:kern w:val="28"/>
          <w:sz w:val="24"/>
          <w:szCs w:val="24"/>
          <w:highlight w:val="none"/>
          <w:lang w:val="en-US"/>
        </w:rPr>
        <w:t>可</w:t>
      </w:r>
      <w:r>
        <w:rPr>
          <w:rFonts w:hint="eastAsia" w:ascii="宋体" w:hAnsi="宋体" w:eastAsia="宋体" w:cs="宋体"/>
          <w:b w:val="0"/>
          <w:bCs w:val="0"/>
          <w:snapToGrid w:val="0"/>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kinsoku/>
        <w:wordWrap/>
        <w:overflowPunct/>
        <w:topLinePunct w:val="0"/>
        <w:bidi w:val="0"/>
        <w:adjustRightInd/>
        <w:snapToGrid/>
        <w:spacing w:beforeAutospacing="0"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八、电子交易活动的中止</w:t>
      </w:r>
    </w:p>
    <w:p>
      <w:pPr>
        <w:pStyle w:val="131"/>
        <w:pageBreakBefore w:val="0"/>
        <w:kinsoku/>
        <w:wordWrap/>
        <w:overflowPunct/>
        <w:topLinePunct w:val="0"/>
        <w:bidi w:val="0"/>
        <w:adjustRightInd/>
        <w:snapToGrid/>
        <w:spacing w:before="0" w:beforeAutospacing="0"/>
        <w:ind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27</w:t>
      </w:r>
      <w:r>
        <w:rPr>
          <w:rFonts w:hint="eastAsia" w:ascii="宋体" w:hAnsi="宋体" w:eastAsia="宋体" w:cs="宋体"/>
          <w:b/>
          <w:sz w:val="24"/>
          <w:szCs w:val="24"/>
          <w:highlight w:val="none"/>
        </w:rPr>
        <w:t>. 电子交易活动的中止。</w:t>
      </w:r>
      <w:r>
        <w:rPr>
          <w:rFonts w:hint="eastAsia" w:ascii="宋体" w:hAnsi="宋体" w:eastAsia="宋体" w:cs="宋体"/>
          <w:sz w:val="24"/>
          <w:szCs w:val="24"/>
          <w:highlight w:val="none"/>
        </w:rPr>
        <w:t>采购过程中出现以下情形，导致电子交易平台无法正常运行，或者无法保证电子交易的公平、公正和安全时，采购机构可中止电子交易活动：</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27.1电子交易平台发生故障而无法登录访问的； </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27.2电子交易平台应用或数据库出现错误，不能进行正常操作的；</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27.3电子交易平台发现严重安全漏洞，有潜在泄密危险的；</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27.4病毒发作导致不能进行正常操作的； </w:t>
      </w:r>
    </w:p>
    <w:p>
      <w:pPr>
        <w:pStyle w:val="131"/>
        <w:pageBreakBefore w:val="0"/>
        <w:kinsoku/>
        <w:wordWrap/>
        <w:overflowPunct/>
        <w:topLinePunct w:val="0"/>
        <w:bidi w:val="0"/>
        <w:adjustRightInd/>
        <w:snapToGrid/>
        <w:spacing w:before="0" w:beforeAutospacing="0"/>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27.5其他无法保证电子交易的公平、公正和安全的情况。</w:t>
      </w:r>
    </w:p>
    <w:p>
      <w:pPr>
        <w:pStyle w:val="131"/>
        <w:pageBreakBefore w:val="0"/>
        <w:kinsoku/>
        <w:wordWrap/>
        <w:overflowPunct/>
        <w:topLinePunct w:val="0"/>
        <w:bidi w:val="0"/>
        <w:adjustRightInd/>
        <w:snapToGrid/>
        <w:spacing w:before="0" w:beforeAutospacing="0"/>
        <w:ind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28.</w:t>
      </w:r>
      <w:r>
        <w:rPr>
          <w:rFonts w:hint="eastAsia" w:ascii="宋体" w:hAnsi="宋体" w:eastAsia="宋体" w:cs="宋体"/>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adjustRightInd/>
        <w:snapToGrid/>
        <w:spacing w:beforeAutospacing="0" w:line="360" w:lineRule="auto"/>
        <w:jc w:val="center"/>
        <w:textAlignment w:val="auto"/>
        <w:rPr>
          <w:rFonts w:hint="eastAsia" w:ascii="宋体" w:hAnsi="宋体" w:eastAsia="宋体" w:cs="宋体"/>
          <w:b/>
          <w:sz w:val="32"/>
          <w:szCs w:val="32"/>
          <w:highlight w:val="none"/>
        </w:rPr>
      </w:pPr>
      <w:r>
        <w:rPr>
          <w:rFonts w:hint="eastAsia" w:ascii="宋体" w:hAnsi="宋体" w:eastAsia="宋体" w:cs="宋体"/>
          <w:b/>
          <w:sz w:val="32"/>
          <w:szCs w:val="32"/>
          <w:highlight w:val="none"/>
        </w:rPr>
        <w:t>九、验收</w:t>
      </w:r>
    </w:p>
    <w:p>
      <w:pPr>
        <w:pStyle w:val="3"/>
        <w:pageBreakBefore w:val="0"/>
        <w:kinsoku/>
        <w:wordWrap/>
        <w:overflowPunct/>
        <w:topLinePunct w:val="0"/>
        <w:bidi w:val="0"/>
        <w:adjustRightInd/>
        <w:snapToGrid/>
        <w:spacing w:beforeAutospacing="0"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29.</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验收</w:t>
      </w:r>
    </w:p>
    <w:p>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pageBreakBefore w:val="0"/>
        <w:tabs>
          <w:tab w:val="left" w:pos="0"/>
        </w:tabs>
        <w:kinsoku/>
        <w:wordWrap/>
        <w:overflowPunct/>
        <w:topLinePunct w:val="0"/>
        <w:bidi w:val="0"/>
        <w:adjustRightInd/>
        <w:snapToGrid/>
        <w:spacing w:beforeAutospacing="0" w:line="360" w:lineRule="auto"/>
        <w:ind w:firstLine="480"/>
        <w:textAlignment w:val="auto"/>
        <w:rPr>
          <w:rFonts w:hint="eastAsia" w:ascii="宋体" w:hAnsi="宋体" w:eastAsia="宋体" w:cs="宋体"/>
          <w:kern w:val="0"/>
          <w:sz w:val="24"/>
          <w:szCs w:val="24"/>
          <w:highlight w:val="none"/>
        </w:rPr>
        <w:sectPr>
          <w:footerReference r:id="rId5" w:type="first"/>
          <w:footerReference r:id="rId4" w:type="default"/>
          <w:pgSz w:w="11906" w:h="16838"/>
          <w:pgMar w:top="1440" w:right="1080" w:bottom="1440" w:left="1080" w:header="851" w:footer="992" w:gutter="0"/>
          <w:pgNumType w:start="1"/>
          <w:cols w:space="720" w:num="1"/>
          <w:docGrid w:linePitch="312" w:charSpace="0"/>
        </w:sectPr>
      </w:pPr>
      <w:bookmarkStart w:id="10" w:name="_Hlt75236101"/>
      <w:bookmarkEnd w:id="10"/>
      <w:bookmarkStart w:id="11" w:name="_Hlt68403820"/>
      <w:bookmarkEnd w:id="11"/>
      <w:bookmarkStart w:id="12" w:name="_Hlt68072990"/>
      <w:bookmarkEnd w:id="12"/>
      <w:bookmarkStart w:id="13" w:name="_Hlt68072998"/>
      <w:bookmarkEnd w:id="13"/>
      <w:bookmarkStart w:id="14" w:name="_Hlt74730295"/>
      <w:bookmarkEnd w:id="14"/>
      <w:bookmarkStart w:id="15" w:name="_Hlt75236290"/>
      <w:bookmarkEnd w:id="15"/>
      <w:bookmarkStart w:id="16" w:name="_Hlt74714665"/>
      <w:bookmarkEnd w:id="16"/>
      <w:bookmarkStart w:id="17" w:name="_Hlt68057669"/>
      <w:bookmarkEnd w:id="17"/>
      <w:bookmarkStart w:id="18" w:name="_Hlt75236011"/>
      <w:bookmarkEnd w:id="18"/>
      <w:bookmarkStart w:id="19" w:name="_Hlt74729768"/>
      <w:bookmarkEnd w:id="19"/>
      <w:bookmarkStart w:id="20" w:name="_Hlt74707468"/>
      <w:bookmarkEnd w:id="20"/>
      <w:bookmarkStart w:id="21" w:name="_Hlt68073093"/>
      <w:bookmarkEnd w:id="21"/>
    </w:p>
    <w:bookmarkEnd w:id="8"/>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highlight w:val="none"/>
        </w:rPr>
      </w:pPr>
      <w:r>
        <w:rPr>
          <w:rFonts w:hint="eastAsia" w:ascii="宋体" w:hAnsi="宋体" w:eastAsia="宋体" w:cs="宋体"/>
          <w:b/>
          <w:sz w:val="36"/>
          <w:szCs w:val="36"/>
          <w:highlight w:val="none"/>
        </w:rPr>
        <w:t>第三部分</w:t>
      </w:r>
      <w:r>
        <w:rPr>
          <w:rFonts w:hint="eastAsia" w:ascii="宋体" w:hAnsi="宋体" w:cs="宋体"/>
          <w:b/>
          <w:sz w:val="36"/>
          <w:szCs w:val="36"/>
          <w:highlight w:val="none"/>
          <w:lang w:val="en-US" w:eastAsia="zh-CN"/>
        </w:rPr>
        <w:t xml:space="preserve"> </w:t>
      </w:r>
      <w:r>
        <w:rPr>
          <w:rFonts w:hint="eastAsia" w:ascii="宋体" w:hAnsi="宋体" w:eastAsia="宋体" w:cs="宋体"/>
          <w:b/>
          <w:sz w:val="36"/>
          <w:szCs w:val="36"/>
          <w:highlight w:val="none"/>
        </w:rPr>
        <w:t>采购需求</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eastAsia="zh-CN"/>
        </w:rPr>
        <w:t>一、概括</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bookmarkStart w:id="22" w:name="_Toc453936155"/>
      <w:bookmarkEnd w:id="22"/>
      <w:bookmarkStart w:id="23" w:name="_Toc453935922"/>
      <w:bookmarkEnd w:id="23"/>
      <w:bookmarkStart w:id="24" w:name="_Toc453935864"/>
      <w:bookmarkEnd w:id="24"/>
      <w:bookmarkStart w:id="25" w:name="_Toc456104652"/>
      <w:bookmarkEnd w:id="25"/>
      <w:bookmarkStart w:id="26" w:name="_Toc455154062"/>
      <w:bookmarkEnd w:id="26"/>
      <w:bookmarkStart w:id="27" w:name="_Toc454442338"/>
      <w:bookmarkEnd w:id="27"/>
      <w:bookmarkStart w:id="28" w:name="_Toc453936205"/>
      <w:bookmarkEnd w:id="28"/>
      <w:bookmarkStart w:id="29" w:name="_Toc453837239"/>
      <w:bookmarkEnd w:id="29"/>
      <w:bookmarkStart w:id="30" w:name="_Toc455058839"/>
      <w:bookmarkEnd w:id="30"/>
      <w:bookmarkStart w:id="31" w:name="_Toc454451679"/>
      <w:bookmarkEnd w:id="31"/>
      <w:r>
        <w:rPr>
          <w:rFonts w:hint="eastAsia" w:hAnsi="宋体" w:eastAsia="宋体" w:cs="宋体"/>
          <w:bCs/>
          <w:color w:val="auto"/>
          <w:sz w:val="24"/>
          <w:highlight w:val="none"/>
          <w:lang w:eastAsia="zh-CN"/>
        </w:rPr>
        <w:t>派驻祥符</w:t>
      </w:r>
      <w:r>
        <w:rPr>
          <w:rFonts w:hint="eastAsia" w:cs="宋体"/>
          <w:bCs/>
          <w:color w:val="auto"/>
          <w:sz w:val="24"/>
          <w:highlight w:val="none"/>
          <w:lang w:eastAsia="zh-CN"/>
        </w:rPr>
        <w:t>、康桥</w:t>
      </w:r>
      <w:r>
        <w:rPr>
          <w:rFonts w:hint="eastAsia" w:hAnsi="宋体" w:eastAsia="宋体" w:cs="宋体"/>
          <w:bCs/>
          <w:color w:val="auto"/>
          <w:sz w:val="24"/>
          <w:highlight w:val="none"/>
          <w:lang w:eastAsia="zh-CN"/>
        </w:rPr>
        <w:t>***</w:t>
      </w:r>
      <w:r>
        <w:rPr>
          <w:rFonts w:hint="eastAsia" w:cs="宋体"/>
          <w:bCs/>
          <w:color w:val="auto"/>
          <w:sz w:val="24"/>
          <w:highlight w:val="none"/>
          <w:lang w:val="en-US" w:eastAsia="zh-CN"/>
        </w:rPr>
        <w:t>92</w:t>
      </w:r>
      <w:r>
        <w:rPr>
          <w:rFonts w:hint="eastAsia" w:hAnsi="宋体" w:eastAsia="宋体" w:cs="宋体"/>
          <w:bCs/>
          <w:color w:val="auto"/>
          <w:sz w:val="24"/>
          <w:highlight w:val="none"/>
          <w:lang w:eastAsia="zh-CN"/>
        </w:rPr>
        <w:t>名保安</w:t>
      </w:r>
      <w:r>
        <w:rPr>
          <w:rFonts w:hint="eastAsia" w:cs="宋体"/>
          <w:bCs/>
          <w:color w:val="auto"/>
          <w:sz w:val="24"/>
          <w:highlight w:val="none"/>
          <w:lang w:eastAsia="zh-CN"/>
        </w:rPr>
        <w:t>人员（其中派驻祥符***</w:t>
      </w:r>
      <w:r>
        <w:rPr>
          <w:rFonts w:hint="eastAsia" w:cs="宋体"/>
          <w:bCs/>
          <w:color w:val="auto"/>
          <w:sz w:val="24"/>
          <w:highlight w:val="none"/>
          <w:lang w:val="en-US" w:eastAsia="zh-CN"/>
        </w:rPr>
        <w:t>41名、康桥***51名</w:t>
      </w:r>
      <w:r>
        <w:rPr>
          <w:rFonts w:hint="eastAsia" w:cs="宋体"/>
          <w:bCs/>
          <w:color w:val="auto"/>
          <w:sz w:val="24"/>
          <w:highlight w:val="none"/>
          <w:lang w:eastAsia="zh-CN"/>
        </w:rPr>
        <w:t>）</w:t>
      </w:r>
      <w:r>
        <w:rPr>
          <w:rFonts w:hint="eastAsia" w:ascii="宋体" w:hAnsi="宋体" w:eastAsia="宋体" w:cs="宋体"/>
          <w:bCs/>
          <w:color w:val="auto"/>
          <w:sz w:val="24"/>
          <w:highlight w:val="none"/>
        </w:rPr>
        <w:t>，</w:t>
      </w:r>
      <w:r>
        <w:rPr>
          <w:rFonts w:hint="eastAsia" w:hAnsi="宋体" w:eastAsia="宋体" w:cs="宋体"/>
          <w:bCs/>
          <w:color w:val="auto"/>
          <w:sz w:val="24"/>
          <w:highlight w:val="none"/>
          <w:lang w:eastAsia="zh-CN"/>
        </w:rPr>
        <w:t>统一由祥符</w:t>
      </w:r>
      <w:r>
        <w:rPr>
          <w:rFonts w:hint="eastAsia" w:cs="宋体"/>
          <w:bCs/>
          <w:color w:val="auto"/>
          <w:sz w:val="24"/>
          <w:highlight w:val="none"/>
          <w:lang w:eastAsia="zh-CN"/>
        </w:rPr>
        <w:t>、康桥</w:t>
      </w:r>
      <w:r>
        <w:rPr>
          <w:rFonts w:hint="eastAsia" w:hAnsi="宋体" w:eastAsia="宋体" w:cs="宋体"/>
          <w:bCs/>
          <w:color w:val="auto"/>
          <w:sz w:val="24"/>
          <w:highlight w:val="none"/>
          <w:lang w:eastAsia="zh-CN"/>
        </w:rPr>
        <w:t>***进行日常管理和考核工作，</w:t>
      </w:r>
      <w:r>
        <w:rPr>
          <w:rFonts w:hint="eastAsia" w:eastAsia="宋体" w:cs="宋体"/>
          <w:color w:val="auto"/>
          <w:sz w:val="24"/>
          <w:szCs w:val="24"/>
          <w:highlight w:val="none"/>
          <w:lang w:eastAsia="zh-CN"/>
        </w:rPr>
        <w:t>加强园区范围内</w:t>
      </w:r>
      <w:r>
        <w:rPr>
          <w:rFonts w:hint="eastAsia" w:cs="宋体"/>
          <w:color w:val="auto"/>
          <w:sz w:val="24"/>
          <w:szCs w:val="24"/>
          <w:highlight w:val="none"/>
          <w:lang w:eastAsia="zh-CN"/>
        </w:rPr>
        <w:t>巡防治安</w:t>
      </w:r>
      <w:r>
        <w:rPr>
          <w:rFonts w:hint="eastAsia" w:eastAsia="宋体" w:cs="宋体"/>
          <w:color w:val="auto"/>
          <w:sz w:val="24"/>
          <w:szCs w:val="24"/>
          <w:highlight w:val="none"/>
          <w:lang w:eastAsia="zh-CN"/>
        </w:rPr>
        <w:t>等工作</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委托服务期限：自合同签订后一年。服务地点：</w:t>
      </w:r>
      <w:r>
        <w:rPr>
          <w:rFonts w:hint="eastAsia" w:hAnsi="宋体" w:eastAsia="宋体" w:cs="宋体"/>
          <w:bCs/>
          <w:color w:val="auto"/>
          <w:sz w:val="24"/>
          <w:highlight w:val="none"/>
          <w:lang w:eastAsia="zh-CN"/>
        </w:rPr>
        <w:t>祥符***</w:t>
      </w:r>
      <w:r>
        <w:rPr>
          <w:rFonts w:hint="eastAsia" w:cs="宋体"/>
          <w:bCs/>
          <w:color w:val="auto"/>
          <w:sz w:val="24"/>
          <w:highlight w:val="none"/>
          <w:lang w:eastAsia="zh-CN"/>
        </w:rPr>
        <w:t>和康桥***</w:t>
      </w:r>
      <w:r>
        <w:rPr>
          <w:rFonts w:hint="eastAsia" w:ascii="宋体" w:hAnsi="宋体" w:eastAsia="宋体" w:cs="宋体"/>
          <w:bCs/>
          <w:color w:val="auto"/>
          <w:sz w:val="24"/>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本项目报价包括但不限于：</w:t>
      </w:r>
      <w:r>
        <w:rPr>
          <w:rFonts w:hint="eastAsia" w:ascii="宋体" w:hAnsi="宋体" w:cs="宋体"/>
          <w:b/>
          <w:bCs w:val="0"/>
          <w:color w:val="auto"/>
          <w:sz w:val="24"/>
          <w:szCs w:val="24"/>
          <w:highlight w:val="none"/>
          <w:lang w:eastAsia="zh-CN"/>
        </w:rPr>
        <w:t>管理费、其他费用（包括</w:t>
      </w:r>
      <w:r>
        <w:rPr>
          <w:rFonts w:hint="eastAsia" w:ascii="宋体" w:hAnsi="宋体" w:eastAsia="宋体" w:cs="宋体"/>
          <w:b/>
          <w:bCs w:val="0"/>
          <w:color w:val="auto"/>
          <w:sz w:val="24"/>
          <w:szCs w:val="24"/>
          <w:highlight w:val="none"/>
        </w:rPr>
        <w:t>人员工资、社会保险、人身意外伤害险、残疾人保障金、</w:t>
      </w:r>
      <w:r>
        <w:rPr>
          <w:rFonts w:hint="eastAsia" w:ascii="宋体" w:hAnsi="宋体" w:cs="宋体"/>
          <w:b/>
          <w:bCs w:val="0"/>
          <w:color w:val="auto"/>
          <w:sz w:val="24"/>
          <w:szCs w:val="24"/>
          <w:highlight w:val="none"/>
          <w:lang w:eastAsia="zh-CN"/>
        </w:rPr>
        <w:t>工作日及</w:t>
      </w:r>
      <w:r>
        <w:rPr>
          <w:rFonts w:hint="eastAsia" w:ascii="宋体" w:hAnsi="宋体" w:eastAsia="宋体" w:cs="宋体"/>
          <w:b/>
          <w:bCs w:val="0"/>
          <w:color w:val="auto"/>
          <w:sz w:val="24"/>
          <w:szCs w:val="24"/>
          <w:highlight w:val="none"/>
        </w:rPr>
        <w:t>节假日加班、</w:t>
      </w:r>
      <w:r>
        <w:rPr>
          <w:rFonts w:hint="eastAsia" w:hAnsi="宋体" w:eastAsia="宋体" w:cs="宋体"/>
          <w:b/>
          <w:bCs w:val="0"/>
          <w:color w:val="auto"/>
          <w:sz w:val="24"/>
          <w:szCs w:val="24"/>
          <w:highlight w:val="none"/>
          <w:lang w:eastAsia="zh-CN"/>
        </w:rPr>
        <w:t>高温费、职务津贴</w:t>
      </w:r>
      <w:r>
        <w:rPr>
          <w:rFonts w:hint="eastAsia" w:ascii="宋体" w:hAnsi="宋体" w:eastAsia="宋体" w:cs="宋体"/>
          <w:b/>
          <w:bCs w:val="0"/>
          <w:color w:val="auto"/>
          <w:sz w:val="24"/>
          <w:szCs w:val="24"/>
          <w:highlight w:val="none"/>
        </w:rPr>
        <w:t>、票面税金等</w:t>
      </w:r>
      <w:r>
        <w:rPr>
          <w:rFonts w:hint="eastAsia" w:ascii="宋体" w:hAnsi="宋体" w:cs="宋体"/>
          <w:b/>
          <w:bCs w:val="0"/>
          <w:color w:val="auto"/>
          <w:sz w:val="24"/>
          <w:szCs w:val="24"/>
          <w:highlight w:val="none"/>
          <w:lang w:eastAsia="zh-CN"/>
        </w:rPr>
        <w:t>各项</w:t>
      </w:r>
      <w:r>
        <w:rPr>
          <w:rFonts w:hint="eastAsia" w:ascii="宋体" w:hAnsi="宋体" w:eastAsia="宋体" w:cs="宋体"/>
          <w:b/>
          <w:bCs w:val="0"/>
          <w:color w:val="auto"/>
          <w:sz w:val="24"/>
          <w:szCs w:val="24"/>
          <w:highlight w:val="none"/>
        </w:rPr>
        <w:t>费用</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，如有漏项，视同已包含在其总项目报价中，合同总价不做调整。报价为供应商所能承受的最低、最终一次性报价。</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本项目总预算金额为</w:t>
      </w:r>
      <w:r>
        <w:rPr>
          <w:rFonts w:hint="eastAsia" w:cs="宋体"/>
          <w:b/>
          <w:bCs/>
          <w:color w:val="auto"/>
          <w:sz w:val="24"/>
          <w:szCs w:val="24"/>
          <w:highlight w:val="none"/>
          <w:lang w:val="en-US" w:eastAsia="zh-CN"/>
        </w:rPr>
        <w:t>6532000元，</w:t>
      </w:r>
      <w:r>
        <w:rPr>
          <w:rFonts w:hint="eastAsia" w:cs="宋体"/>
          <w:b/>
          <w:bCs/>
          <w:color w:val="auto"/>
          <w:sz w:val="24"/>
          <w:szCs w:val="24"/>
          <w:highlight w:val="none"/>
          <w:lang w:eastAsia="zh-CN"/>
        </w:rPr>
        <w:t>每人每年总费用不高于71000元。</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lang w:eastAsia="zh-CN"/>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每人每年管理费最高限价为1800元，管理费总报价最高限价为</w:t>
      </w:r>
      <w:r>
        <w:rPr>
          <w:rFonts w:hint="eastAsia" w:cs="宋体"/>
          <w:b/>
          <w:bCs/>
          <w:color w:val="auto"/>
          <w:sz w:val="24"/>
          <w:szCs w:val="24"/>
          <w:highlight w:val="none"/>
          <w:lang w:val="en-US" w:eastAsia="zh-CN"/>
        </w:rPr>
        <w:t>165600元，超过此最高限价，作废标处理。</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eastAsia="zh-CN"/>
        </w:rPr>
        <w:t>其余费用（包括人员工资、社会保险、人身意外伤害险、残疾人保障金、工作日及节假日加班、高温费、职务津贴、票面税金等各项费用）由中标单位代收代付，此笔费用为不可竞争费用，投标单位在投标报价时每人每年合计按69200元固定报价，其余费用最终依据合同签订双方协商按实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highlight w:val="none"/>
          <w:lang w:val="en-US" w:eastAsia="zh-CN"/>
        </w:rPr>
      </w:pPr>
      <w:r>
        <w:rPr>
          <w:rFonts w:hint="eastAsia" w:cs="宋体"/>
          <w:b/>
          <w:bCs/>
          <w:color w:val="auto"/>
          <w:sz w:val="24"/>
          <w:szCs w:val="24"/>
          <w:highlight w:val="none"/>
          <w:lang w:eastAsia="zh-CN"/>
        </w:rPr>
        <w:t>最终结算金额依据人员实际到岗人数及考勤等情况按实支付。</w:t>
      </w:r>
    </w:p>
    <w:p>
      <w:pPr>
        <w:pStyle w:val="3"/>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二、工作要求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r>
        <w:rPr>
          <w:rFonts w:hint="eastAsia" w:hAnsi="宋体" w:eastAsia="宋体" w:cs="宋体"/>
          <w:bCs/>
          <w:color w:val="auto"/>
          <w:sz w:val="24"/>
          <w:szCs w:val="24"/>
          <w:highlight w:val="none"/>
          <w:lang w:eastAsia="zh-CN"/>
        </w:rPr>
        <w:t>保安人员</w:t>
      </w:r>
      <w:r>
        <w:rPr>
          <w:rFonts w:hint="eastAsia" w:ascii="宋体" w:hAnsi="宋体" w:eastAsia="宋体" w:cs="宋体"/>
          <w:bCs/>
          <w:color w:val="auto"/>
          <w:sz w:val="24"/>
          <w:szCs w:val="24"/>
          <w:highlight w:val="none"/>
        </w:rPr>
        <w:t>要求：</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rPr>
        <w:t>1、内部管理体制健全，</w:t>
      </w:r>
      <w:r>
        <w:rPr>
          <w:rFonts w:hint="eastAsia" w:ascii="宋体" w:hAnsi="宋体" w:eastAsia="宋体" w:cs="宋体"/>
          <w:b/>
          <w:bCs w:val="0"/>
          <w:color w:val="auto"/>
          <w:sz w:val="24"/>
          <w:szCs w:val="24"/>
          <w:highlight w:val="none"/>
        </w:rPr>
        <w:t>中标</w:t>
      </w:r>
      <w:r>
        <w:rPr>
          <w:rFonts w:hint="eastAsia" w:ascii="宋体" w:hAnsi="宋体" w:eastAsia="宋体" w:cs="宋体"/>
          <w:b/>
          <w:bCs w:val="0"/>
          <w:color w:val="auto"/>
          <w:sz w:val="24"/>
          <w:highlight w:val="none"/>
        </w:rPr>
        <w:t>单位设置项目负责人一名</w:t>
      </w:r>
      <w:r>
        <w:rPr>
          <w:rFonts w:hint="eastAsia" w:cs="宋体"/>
          <w:b/>
          <w:bCs w:val="0"/>
          <w:color w:val="auto"/>
          <w:sz w:val="24"/>
          <w:highlight w:val="none"/>
          <w:lang w:eastAsia="zh-CN"/>
        </w:rPr>
        <w:t>、</w:t>
      </w:r>
      <w:r>
        <w:rPr>
          <w:rFonts w:hint="eastAsia" w:cs="宋体"/>
          <w:b/>
          <w:bCs w:val="0"/>
          <w:color w:val="auto"/>
          <w:sz w:val="24"/>
          <w:highlight w:val="none"/>
          <w:lang w:val="en-US" w:eastAsia="zh-CN"/>
        </w:rPr>
        <w:t>保安队长2名</w:t>
      </w:r>
      <w:r>
        <w:rPr>
          <w:rFonts w:hint="eastAsia" w:ascii="宋体" w:hAnsi="宋体" w:eastAsia="宋体" w:cs="宋体"/>
          <w:bCs/>
          <w:color w:val="auto"/>
          <w:sz w:val="24"/>
          <w:highlight w:val="none"/>
        </w:rPr>
        <w:t>，全面负责日常</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队伍的规范化管理。</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要求</w:t>
      </w:r>
      <w:r>
        <w:rPr>
          <w:rFonts w:hint="eastAsia" w:cs="宋体"/>
          <w:bCs/>
          <w:color w:val="auto"/>
          <w:sz w:val="24"/>
          <w:highlight w:val="none"/>
          <w:lang w:eastAsia="zh-CN"/>
        </w:rPr>
        <w:t>具有良好的职业道德素质，有较强的事业心和责任心，</w:t>
      </w:r>
      <w:r>
        <w:rPr>
          <w:rFonts w:hint="eastAsia" w:ascii="宋体" w:hAnsi="宋体" w:eastAsia="宋体" w:cs="宋体"/>
          <w:bCs/>
          <w:color w:val="auto"/>
          <w:sz w:val="24"/>
          <w:highlight w:val="none"/>
        </w:rPr>
        <w:t>能较熟练使用智能手机、初中以上文化水平，年龄在50周岁以下，所有人员应按有关规定持证上岗，并受过专门岗前培训，相关培训费用由中标单位负责。</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3、中标单位必须采取切实有效的措施保持</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队伍的稳定，严格控制非违纪人员的轮换岗比例，如需要更换</w:t>
      </w:r>
      <w:r>
        <w:rPr>
          <w:rFonts w:hint="eastAsia" w:hAnsi="宋体" w:eastAsia="宋体" w:cs="宋体"/>
          <w:bCs/>
          <w:color w:val="auto"/>
          <w:sz w:val="24"/>
          <w:highlight w:val="none"/>
          <w:lang w:eastAsia="zh-CN"/>
        </w:rPr>
        <w:t>保安</w:t>
      </w:r>
      <w:r>
        <w:rPr>
          <w:rFonts w:hint="eastAsia" w:ascii="宋体" w:hAnsi="宋体" w:eastAsia="宋体" w:cs="宋体"/>
          <w:bCs/>
          <w:color w:val="auto"/>
          <w:sz w:val="24"/>
          <w:highlight w:val="none"/>
        </w:rPr>
        <w:t>服务主要管理人员的，需提前一个月以书面形式通知采购人分管领导，其他</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更换要提前二个星期通知采购人分管领导，并征得其同意，确保服务质量不因人员变动而受影响；</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4、所有在岗</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必须与中标单位签定劳动合同，并且按国家规定缴纳社会养老保险，</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的应聘、录用、离职等管理档案规范，手续齐全，所有的</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个人信息报请当地公安***核查无误后方能使用，相应资料必须报采购人备案；</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个人素质条件：确保年龄在要求以下，政治上可靠，身体</w:t>
      </w:r>
      <w:r>
        <w:rPr>
          <w:rFonts w:hint="eastAsia" w:cs="宋体"/>
          <w:bCs/>
          <w:color w:val="auto"/>
          <w:sz w:val="24"/>
          <w:highlight w:val="none"/>
          <w:lang w:eastAsia="zh-CN"/>
        </w:rPr>
        <w:t>健康，符合相关体检标准</w:t>
      </w:r>
      <w:r>
        <w:rPr>
          <w:rFonts w:hint="eastAsia" w:ascii="宋体" w:hAnsi="宋体" w:eastAsia="宋体" w:cs="宋体"/>
          <w:bCs/>
          <w:color w:val="auto"/>
          <w:sz w:val="24"/>
          <w:highlight w:val="none"/>
        </w:rPr>
        <w:t>，没有传染病及精神疾病等不能控制自己行为能力的疾病病史，体貌端正</w:t>
      </w:r>
      <w:r>
        <w:rPr>
          <w:rFonts w:hint="eastAsia" w:cs="宋体"/>
          <w:bCs/>
          <w:color w:val="auto"/>
          <w:sz w:val="24"/>
          <w:highlight w:val="none"/>
          <w:lang w:eastAsia="zh-CN"/>
        </w:rPr>
        <w:t>。遵守中华人民共和国宪法、法律，拥护中国共产党的领导，无违法违纪纪律</w:t>
      </w:r>
      <w:r>
        <w:rPr>
          <w:rFonts w:hint="eastAsia" w:ascii="宋体" w:hAnsi="宋体" w:eastAsia="宋体" w:cs="宋体"/>
          <w:bCs/>
          <w:color w:val="auto"/>
          <w:sz w:val="24"/>
          <w:highlight w:val="none"/>
        </w:rPr>
        <w:t>；</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6、所聘用的</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有吃苦耐劳的精神和高度的责任感，熟练掌握各项</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设施的运用，严格履行岗位职责，善于发现各类问题，具备一定的管理经验和处理突发事件的能力；</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7、如发现</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不能胜任</w:t>
      </w:r>
      <w:r>
        <w:rPr>
          <w:rFonts w:hint="eastAsia" w:ascii="宋体" w:hAnsi="宋体" w:eastAsia="宋体" w:cs="宋体"/>
          <w:bCs/>
          <w:color w:val="auto"/>
          <w:sz w:val="24"/>
          <w:highlight w:val="none"/>
          <w:lang w:eastAsia="zh-CN"/>
        </w:rPr>
        <w:t>保安</w:t>
      </w:r>
      <w:r>
        <w:rPr>
          <w:rFonts w:hint="eastAsia" w:ascii="宋体" w:hAnsi="宋体" w:eastAsia="宋体" w:cs="宋体"/>
          <w:bCs/>
          <w:color w:val="auto"/>
          <w:sz w:val="24"/>
          <w:highlight w:val="none"/>
        </w:rPr>
        <w:t>工作或指出错误屡教不改的，应及时更换；</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在岗履行工作职责期间，发生自身的人身伤害、伤亡等各类事故，均由中标单位负全部责任，采购人不承担任何责任；</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w:t>
      </w:r>
      <w:r>
        <w:rPr>
          <w:rFonts w:hint="eastAsia" w:hAnsi="宋体" w:eastAsia="宋体" w:cs="宋体"/>
          <w:bCs/>
          <w:color w:val="auto"/>
          <w:sz w:val="24"/>
          <w:highlight w:val="none"/>
          <w:lang w:eastAsia="zh-CN"/>
        </w:rPr>
        <w:t>中标单位</w:t>
      </w:r>
      <w:r>
        <w:rPr>
          <w:rFonts w:hint="eastAsia" w:ascii="宋体" w:hAnsi="宋体" w:eastAsia="宋体" w:cs="宋体"/>
          <w:bCs/>
          <w:color w:val="auto"/>
          <w:sz w:val="24"/>
          <w:highlight w:val="none"/>
        </w:rPr>
        <w:t>在</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服务中，因过失造成他人人身伤亡或任何财产损失事故的，均由</w:t>
      </w:r>
      <w:r>
        <w:rPr>
          <w:rFonts w:hint="eastAsia" w:hAnsi="宋体" w:eastAsia="宋体" w:cs="宋体"/>
          <w:bCs/>
          <w:color w:val="auto"/>
          <w:sz w:val="24"/>
          <w:highlight w:val="none"/>
          <w:lang w:eastAsia="zh-CN"/>
        </w:rPr>
        <w:t>中标单位</w:t>
      </w:r>
      <w:r>
        <w:rPr>
          <w:rFonts w:hint="eastAsia" w:ascii="宋体" w:hAnsi="宋体" w:eastAsia="宋体" w:cs="宋体"/>
          <w:bCs/>
          <w:color w:val="auto"/>
          <w:sz w:val="24"/>
          <w:highlight w:val="none"/>
        </w:rPr>
        <w:t>负责处理及承担一切责任，采购人不承担任何责任；</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10、中标单位与聘用人员发生任何纠纷，均由中标单位自行处理，采购人不承担任何责任。</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在岗履行工作职责期间，应接受采购人的领导和监督。</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12、执勤时间：每天24小时全天候不间断执勤。分2 班执勤。</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13、服从用人单位的管理、考勤及考核工作。</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服务的主要职责</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1、按规着装（装备）值岗，衣领、扣子、徽章、腰带、帽子、领带等均需整齐。</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2、各种意见或投诉、要认真听取，弄清情况，做好笔记，即时处理存在的安全隐患，如非本职工作范围，即时通知责任人或向领导汇报。</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3、业务训练是</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工作的一个重要组成部分，每位</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都必须参加全部训练。</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要主动进行业务练兵，摸熟摸透与安全、消防工作相关的环境、人员、设施等等因素，掌握接待、应对基本功，以熟生巧，以提高业务知识和技能来提高工作效率。</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4、所有</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必须对服务园区内所有物防、技防设备、报警设备分布，正确并熟练使用。</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5、完成采购人交办的其它工作，既要明确责任分工，又要加强合作。</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6、中标单位如因工作失职，造成采购人财产损失或人员伤亡，承担全部责任。</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服务的考核</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（一）采购人将对</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服务质量进行全过程监控，</w:t>
      </w:r>
      <w:r>
        <w:rPr>
          <w:rFonts w:hint="eastAsia" w:hAnsi="宋体" w:eastAsia="宋体" w:cs="宋体"/>
          <w:bCs/>
          <w:color w:val="auto"/>
          <w:sz w:val="24"/>
          <w:highlight w:val="none"/>
          <w:lang w:eastAsia="zh-CN"/>
        </w:rPr>
        <w:t>中标单位</w:t>
      </w:r>
      <w:r>
        <w:rPr>
          <w:rFonts w:hint="eastAsia" w:ascii="宋体" w:hAnsi="宋体" w:eastAsia="宋体" w:cs="宋体"/>
          <w:bCs/>
          <w:color w:val="auto"/>
          <w:sz w:val="24"/>
          <w:highlight w:val="none"/>
        </w:rPr>
        <w:t>日常工作不到位，不达标或有违约现象，将依据合同约定，作出相应的违约处理与处罚；</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（二）考评方法：为加强对</w:t>
      </w:r>
      <w:r>
        <w:rPr>
          <w:rFonts w:hint="eastAsia" w:hAnsi="宋体" w:eastAsia="宋体" w:cs="宋体"/>
          <w:bCs/>
          <w:color w:val="auto"/>
          <w:sz w:val="24"/>
          <w:highlight w:val="none"/>
          <w:lang w:eastAsia="zh-CN"/>
        </w:rPr>
        <w:t>保安人员</w:t>
      </w:r>
      <w:r>
        <w:rPr>
          <w:rFonts w:hint="eastAsia" w:ascii="宋体" w:hAnsi="宋体" w:eastAsia="宋体" w:cs="宋体"/>
          <w:bCs/>
          <w:color w:val="auto"/>
          <w:sz w:val="24"/>
          <w:highlight w:val="none"/>
        </w:rPr>
        <w:t>质量的考核，由采购人相关各部门共同参与考核；</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1、日常考核：各部门开展日常巡查考核，并建立考核台帐，作为考核依据；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kern w:val="0"/>
          <w:sz w:val="24"/>
          <w:highlight w:val="none"/>
        </w:rPr>
      </w:pPr>
      <w:r>
        <w:rPr>
          <w:rFonts w:hint="eastAsia" w:ascii="宋体" w:hAnsi="宋体" w:eastAsia="宋体" w:cs="宋体"/>
          <w:bCs/>
          <w:color w:val="auto"/>
          <w:sz w:val="24"/>
          <w:highlight w:val="none"/>
        </w:rPr>
        <w:t>2、定期考核：由采购人相关各部门共同参与考核，定期抽查；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highlight w:val="none"/>
        </w:rPr>
      </w:pPr>
      <w:r>
        <w:rPr>
          <w:rFonts w:hint="eastAsia" w:ascii="宋体" w:hAnsi="宋体" w:eastAsia="宋体" w:cs="宋体"/>
          <w:b/>
          <w:sz w:val="24"/>
          <w:highlight w:val="none"/>
        </w:rPr>
        <w:br w:type="page"/>
      </w:r>
      <w:r>
        <w:rPr>
          <w:rFonts w:hint="eastAsia" w:ascii="宋体" w:hAnsi="宋体" w:eastAsia="宋体" w:cs="宋体"/>
          <w:b/>
          <w:sz w:val="36"/>
          <w:szCs w:val="36"/>
          <w:highlight w:val="none"/>
        </w:rPr>
        <w:t>第四部分</w:t>
      </w:r>
      <w:bookmarkStart w:id="32" w:name="_Toc184313270"/>
      <w:bookmarkEnd w:id="32"/>
      <w:bookmarkStart w:id="33" w:name="_Toc184310280"/>
      <w:bookmarkEnd w:id="33"/>
      <w:bookmarkStart w:id="34" w:name="_Toc184312082"/>
      <w:bookmarkEnd w:id="34"/>
      <w:bookmarkStart w:id="35" w:name="_Toc184308088"/>
      <w:bookmarkEnd w:id="35"/>
      <w:bookmarkStart w:id="36" w:name="_Toc184310322"/>
      <w:bookmarkEnd w:id="36"/>
      <w:bookmarkStart w:id="37" w:name="_Toc184313305"/>
      <w:bookmarkEnd w:id="37"/>
      <w:bookmarkStart w:id="38" w:name="_Toc184308049"/>
      <w:bookmarkEnd w:id="38"/>
      <w:bookmarkStart w:id="39" w:name="_Toc184310302"/>
      <w:bookmarkEnd w:id="39"/>
      <w:bookmarkStart w:id="40" w:name="_Toc184310303"/>
      <w:bookmarkEnd w:id="40"/>
      <w:bookmarkStart w:id="41" w:name="_Toc184313278"/>
      <w:bookmarkEnd w:id="41"/>
      <w:bookmarkStart w:id="42" w:name="_Toc184308102"/>
      <w:bookmarkEnd w:id="42"/>
      <w:bookmarkStart w:id="43" w:name="_Toc184312117"/>
      <w:bookmarkEnd w:id="43"/>
      <w:bookmarkStart w:id="44" w:name="_Toc184312077"/>
      <w:bookmarkEnd w:id="44"/>
      <w:bookmarkStart w:id="45" w:name="_Toc184313242"/>
      <w:bookmarkEnd w:id="45"/>
      <w:bookmarkStart w:id="46" w:name="_Toc184308037"/>
      <w:bookmarkEnd w:id="46"/>
      <w:bookmarkStart w:id="47" w:name="_Toc184314454"/>
      <w:bookmarkEnd w:id="47"/>
      <w:bookmarkStart w:id="48" w:name="_Toc184313287"/>
      <w:bookmarkEnd w:id="48"/>
      <w:bookmarkStart w:id="49" w:name="_Toc184308066"/>
      <w:bookmarkEnd w:id="49"/>
      <w:bookmarkStart w:id="50" w:name="_Toc184314434"/>
      <w:bookmarkEnd w:id="50"/>
      <w:bookmarkStart w:id="51" w:name="_Toc184308089"/>
      <w:bookmarkEnd w:id="51"/>
      <w:bookmarkStart w:id="52" w:name="_Toc184314457"/>
      <w:bookmarkEnd w:id="52"/>
      <w:bookmarkStart w:id="53" w:name="_Toc184314441"/>
      <w:bookmarkEnd w:id="53"/>
      <w:bookmarkStart w:id="54" w:name="_Toc184312132"/>
      <w:bookmarkEnd w:id="54"/>
      <w:bookmarkStart w:id="55" w:name="_Toc184312097"/>
      <w:bookmarkEnd w:id="55"/>
      <w:bookmarkStart w:id="56" w:name="_Toc184314442"/>
      <w:bookmarkEnd w:id="56"/>
      <w:bookmarkStart w:id="57" w:name="_Toc184314422"/>
      <w:bookmarkEnd w:id="57"/>
      <w:bookmarkStart w:id="58" w:name="_Toc184310312"/>
      <w:bookmarkEnd w:id="58"/>
      <w:bookmarkStart w:id="59" w:name="_Toc184314433"/>
      <w:bookmarkEnd w:id="59"/>
      <w:bookmarkStart w:id="60" w:name="_Toc184313268"/>
      <w:bookmarkEnd w:id="60"/>
      <w:bookmarkStart w:id="61" w:name="_Toc184313241"/>
      <w:bookmarkEnd w:id="61"/>
      <w:bookmarkStart w:id="62" w:name="_Toc184312087"/>
      <w:bookmarkEnd w:id="62"/>
      <w:bookmarkStart w:id="63" w:name="_Toc184310276"/>
      <w:bookmarkEnd w:id="63"/>
      <w:bookmarkStart w:id="64" w:name="_Toc184310342"/>
      <w:bookmarkEnd w:id="64"/>
      <w:bookmarkStart w:id="65" w:name="_Toc184308046"/>
      <w:bookmarkEnd w:id="65"/>
      <w:bookmarkStart w:id="66" w:name="_Toc184314464"/>
      <w:bookmarkEnd w:id="66"/>
      <w:bookmarkStart w:id="67" w:name="_Toc184312106"/>
      <w:bookmarkEnd w:id="67"/>
      <w:bookmarkStart w:id="68" w:name="_Toc184310287"/>
      <w:bookmarkEnd w:id="68"/>
      <w:bookmarkStart w:id="69" w:name="_Toc184313273"/>
      <w:bookmarkEnd w:id="69"/>
      <w:bookmarkStart w:id="70" w:name="_Toc184308058"/>
      <w:bookmarkEnd w:id="70"/>
      <w:bookmarkStart w:id="71" w:name="_Toc184308073"/>
      <w:bookmarkEnd w:id="71"/>
      <w:bookmarkStart w:id="72" w:name="_Toc184310308"/>
      <w:bookmarkEnd w:id="72"/>
      <w:bookmarkStart w:id="73" w:name="_Toc184314478"/>
      <w:bookmarkEnd w:id="73"/>
      <w:bookmarkStart w:id="74" w:name="_Toc184308091"/>
      <w:bookmarkEnd w:id="74"/>
      <w:bookmarkStart w:id="75" w:name="_Toc184312067"/>
      <w:bookmarkEnd w:id="75"/>
      <w:bookmarkStart w:id="76" w:name="_Toc184308083"/>
      <w:bookmarkEnd w:id="76"/>
      <w:bookmarkStart w:id="77" w:name="_Toc184313267"/>
      <w:bookmarkEnd w:id="77"/>
      <w:bookmarkStart w:id="78" w:name="_Toc184310290"/>
      <w:bookmarkEnd w:id="78"/>
      <w:bookmarkStart w:id="79" w:name="_Toc184314465"/>
      <w:bookmarkEnd w:id="79"/>
      <w:bookmarkStart w:id="80" w:name="_Toc184308107"/>
      <w:bookmarkEnd w:id="80"/>
      <w:bookmarkStart w:id="81" w:name="_Toc184314449"/>
      <w:bookmarkEnd w:id="81"/>
      <w:bookmarkStart w:id="82" w:name="_Toc184310325"/>
      <w:bookmarkEnd w:id="82"/>
      <w:bookmarkStart w:id="83" w:name="_Toc184312134"/>
      <w:bookmarkEnd w:id="83"/>
      <w:bookmarkStart w:id="84" w:name="_Toc184314436"/>
      <w:bookmarkEnd w:id="84"/>
      <w:bookmarkStart w:id="85" w:name="_Toc184314443"/>
      <w:bookmarkEnd w:id="85"/>
      <w:bookmarkStart w:id="86" w:name="_Toc184313240"/>
      <w:bookmarkEnd w:id="86"/>
      <w:bookmarkStart w:id="87" w:name="_Toc184312116"/>
      <w:bookmarkEnd w:id="87"/>
      <w:bookmarkStart w:id="88" w:name="_Toc184312092"/>
      <w:bookmarkEnd w:id="88"/>
      <w:bookmarkStart w:id="89" w:name="_Toc184312100"/>
      <w:bookmarkEnd w:id="89"/>
      <w:bookmarkStart w:id="90" w:name="_Toc184312114"/>
      <w:bookmarkEnd w:id="90"/>
      <w:bookmarkStart w:id="91" w:name="_Toc184310341"/>
      <w:bookmarkEnd w:id="91"/>
      <w:bookmarkStart w:id="92" w:name="_Toc184314477"/>
      <w:bookmarkEnd w:id="92"/>
      <w:bookmarkStart w:id="93" w:name="_Toc184313309"/>
      <w:bookmarkEnd w:id="93"/>
      <w:bookmarkStart w:id="94" w:name="_Toc184312130"/>
      <w:bookmarkEnd w:id="94"/>
      <w:bookmarkStart w:id="95" w:name="_Toc184310286"/>
      <w:bookmarkEnd w:id="95"/>
      <w:bookmarkStart w:id="96" w:name="_Toc184312099"/>
      <w:bookmarkEnd w:id="96"/>
      <w:bookmarkStart w:id="97" w:name="_Toc184308101"/>
      <w:bookmarkEnd w:id="97"/>
      <w:bookmarkStart w:id="98" w:name="_Toc184310304"/>
      <w:bookmarkEnd w:id="98"/>
      <w:bookmarkStart w:id="99" w:name="_Toc184310283"/>
      <w:bookmarkEnd w:id="99"/>
      <w:bookmarkStart w:id="100" w:name="_Toc184314416"/>
      <w:bookmarkEnd w:id="100"/>
      <w:bookmarkStart w:id="101" w:name="_Toc184308075"/>
      <w:bookmarkEnd w:id="101"/>
      <w:bookmarkStart w:id="102" w:name="_Toc184310315"/>
      <w:bookmarkEnd w:id="102"/>
      <w:bookmarkStart w:id="103" w:name="_Toc184310278"/>
      <w:bookmarkEnd w:id="103"/>
      <w:bookmarkStart w:id="104" w:name="_Toc184308056"/>
      <w:bookmarkEnd w:id="104"/>
      <w:bookmarkStart w:id="105" w:name="_Toc184310331"/>
      <w:bookmarkEnd w:id="105"/>
      <w:bookmarkStart w:id="106" w:name="_Toc184313254"/>
      <w:bookmarkEnd w:id="106"/>
      <w:bookmarkStart w:id="107" w:name="_Toc184312094"/>
      <w:bookmarkEnd w:id="107"/>
      <w:bookmarkStart w:id="108" w:name="_Toc184313308"/>
      <w:bookmarkEnd w:id="108"/>
      <w:bookmarkStart w:id="109" w:name="_Toc184314420"/>
      <w:bookmarkEnd w:id="109"/>
      <w:bookmarkStart w:id="110" w:name="_Toc184313261"/>
      <w:bookmarkEnd w:id="110"/>
      <w:bookmarkStart w:id="111" w:name="_Toc184314412"/>
      <w:bookmarkEnd w:id="111"/>
      <w:bookmarkStart w:id="112" w:name="_Toc184308055"/>
      <w:bookmarkEnd w:id="112"/>
      <w:bookmarkStart w:id="113" w:name="_Toc184308085"/>
      <w:bookmarkEnd w:id="113"/>
      <w:bookmarkStart w:id="114" w:name="_Toc184308081"/>
      <w:bookmarkEnd w:id="114"/>
      <w:bookmarkStart w:id="115" w:name="_Toc184308057"/>
      <w:bookmarkEnd w:id="115"/>
      <w:bookmarkStart w:id="116" w:name="_Toc184310317"/>
      <w:bookmarkEnd w:id="116"/>
      <w:bookmarkStart w:id="117" w:name="_Toc184312079"/>
      <w:bookmarkEnd w:id="117"/>
      <w:bookmarkStart w:id="118" w:name="_Toc184314469"/>
      <w:bookmarkEnd w:id="118"/>
      <w:bookmarkStart w:id="119" w:name="_Toc184313286"/>
      <w:bookmarkEnd w:id="119"/>
      <w:bookmarkStart w:id="120" w:name="_Toc184314424"/>
      <w:bookmarkEnd w:id="120"/>
      <w:bookmarkStart w:id="121" w:name="_Toc184313294"/>
      <w:bookmarkEnd w:id="121"/>
      <w:bookmarkStart w:id="122" w:name="_Toc184308061"/>
      <w:bookmarkEnd w:id="122"/>
      <w:bookmarkStart w:id="123" w:name="_Toc184314453"/>
      <w:bookmarkEnd w:id="123"/>
      <w:bookmarkStart w:id="124" w:name="_Toc184313297"/>
      <w:bookmarkEnd w:id="124"/>
      <w:bookmarkStart w:id="125" w:name="_Toc184314458"/>
      <w:bookmarkEnd w:id="125"/>
      <w:bookmarkStart w:id="126" w:name="_Toc184308087"/>
      <w:bookmarkEnd w:id="126"/>
      <w:bookmarkStart w:id="127" w:name="_Toc184310326"/>
      <w:bookmarkEnd w:id="127"/>
      <w:bookmarkStart w:id="128" w:name="_Toc184312139"/>
      <w:bookmarkEnd w:id="128"/>
      <w:bookmarkStart w:id="129" w:name="_Toc184313306"/>
      <w:bookmarkEnd w:id="129"/>
      <w:bookmarkStart w:id="130" w:name="_Toc184308062"/>
      <w:bookmarkEnd w:id="130"/>
      <w:bookmarkStart w:id="131" w:name="_Toc184314466"/>
      <w:bookmarkEnd w:id="131"/>
      <w:bookmarkStart w:id="132" w:name="_Toc184313257"/>
      <w:bookmarkEnd w:id="132"/>
      <w:bookmarkStart w:id="133" w:name="_Toc184314470"/>
      <w:bookmarkEnd w:id="133"/>
      <w:bookmarkStart w:id="134" w:name="_Toc184313299"/>
      <w:bookmarkEnd w:id="134"/>
      <w:bookmarkStart w:id="135" w:name="_Toc184308065"/>
      <w:bookmarkEnd w:id="135"/>
      <w:bookmarkStart w:id="136" w:name="_Toc184310337"/>
      <w:bookmarkEnd w:id="136"/>
      <w:bookmarkStart w:id="137" w:name="_Toc184310306"/>
      <w:bookmarkEnd w:id="137"/>
      <w:bookmarkStart w:id="138" w:name="_Toc184312109"/>
      <w:bookmarkEnd w:id="138"/>
      <w:bookmarkStart w:id="139" w:name="_Toc184308048"/>
      <w:bookmarkEnd w:id="139"/>
      <w:bookmarkStart w:id="140" w:name="_Toc184313288"/>
      <w:bookmarkEnd w:id="140"/>
      <w:bookmarkStart w:id="141" w:name="_Toc184313289"/>
      <w:bookmarkEnd w:id="141"/>
      <w:bookmarkStart w:id="142" w:name="_Toc184310330"/>
      <w:bookmarkEnd w:id="142"/>
      <w:bookmarkStart w:id="143" w:name="_Toc184313276"/>
      <w:bookmarkEnd w:id="143"/>
      <w:bookmarkStart w:id="144" w:name="_Toc184308079"/>
      <w:bookmarkEnd w:id="144"/>
      <w:bookmarkStart w:id="145" w:name="_Toc184314419"/>
      <w:bookmarkEnd w:id="145"/>
      <w:bookmarkStart w:id="146" w:name="_Toc184310335"/>
      <w:bookmarkEnd w:id="146"/>
      <w:bookmarkStart w:id="147" w:name="_Toc184313300"/>
      <w:bookmarkEnd w:id="147"/>
      <w:bookmarkStart w:id="148" w:name="_Toc184310296"/>
      <w:bookmarkEnd w:id="148"/>
      <w:bookmarkStart w:id="149" w:name="_Toc184313307"/>
      <w:bookmarkEnd w:id="149"/>
      <w:bookmarkStart w:id="150" w:name="_Toc184310275"/>
      <w:bookmarkEnd w:id="150"/>
      <w:bookmarkStart w:id="151" w:name="_Toc184312123"/>
      <w:bookmarkEnd w:id="151"/>
      <w:bookmarkStart w:id="152" w:name="_Toc184310294"/>
      <w:bookmarkEnd w:id="152"/>
      <w:bookmarkStart w:id="153" w:name="_Toc184314430"/>
      <w:bookmarkEnd w:id="153"/>
      <w:bookmarkStart w:id="154" w:name="_Toc184314410"/>
      <w:bookmarkEnd w:id="154"/>
      <w:bookmarkStart w:id="155" w:name="_Toc184314472"/>
      <w:bookmarkEnd w:id="155"/>
      <w:bookmarkStart w:id="156" w:name="_Toc184314468"/>
      <w:bookmarkEnd w:id="156"/>
      <w:bookmarkStart w:id="157" w:name="_Toc184314440"/>
      <w:bookmarkEnd w:id="157"/>
      <w:bookmarkStart w:id="158" w:name="_Toc184312096"/>
      <w:bookmarkEnd w:id="158"/>
      <w:bookmarkStart w:id="159" w:name="_Toc184312076"/>
      <w:bookmarkEnd w:id="159"/>
      <w:bookmarkStart w:id="160" w:name="_Toc184312122"/>
      <w:bookmarkEnd w:id="160"/>
      <w:bookmarkStart w:id="161" w:name="_Toc184310297"/>
      <w:bookmarkEnd w:id="161"/>
      <w:bookmarkStart w:id="162" w:name="_Toc184310327"/>
      <w:bookmarkEnd w:id="162"/>
      <w:bookmarkStart w:id="163" w:name="_Toc184308038"/>
      <w:bookmarkEnd w:id="163"/>
      <w:bookmarkStart w:id="164" w:name="_Toc184312108"/>
      <w:bookmarkEnd w:id="164"/>
      <w:bookmarkStart w:id="165" w:name="_Toc184314415"/>
      <w:bookmarkEnd w:id="165"/>
      <w:bookmarkStart w:id="166" w:name="_Toc184310323"/>
      <w:bookmarkEnd w:id="166"/>
      <w:bookmarkStart w:id="167" w:name="_Toc184310273"/>
      <w:bookmarkEnd w:id="167"/>
      <w:bookmarkStart w:id="168" w:name="_Toc184313274"/>
      <w:bookmarkEnd w:id="168"/>
      <w:bookmarkStart w:id="169" w:name="_Toc184308097"/>
      <w:bookmarkEnd w:id="169"/>
      <w:bookmarkStart w:id="170" w:name="_Toc184312081"/>
      <w:bookmarkEnd w:id="170"/>
      <w:bookmarkStart w:id="171" w:name="_Toc184312120"/>
      <w:bookmarkEnd w:id="171"/>
      <w:bookmarkStart w:id="172" w:name="_Toc184312068"/>
      <w:bookmarkEnd w:id="172"/>
      <w:bookmarkStart w:id="173" w:name="_Toc184310320"/>
      <w:bookmarkEnd w:id="173"/>
      <w:bookmarkStart w:id="174" w:name="_Toc184308080"/>
      <w:bookmarkEnd w:id="174"/>
      <w:bookmarkStart w:id="175" w:name="_Toc184310319"/>
      <w:bookmarkEnd w:id="175"/>
      <w:bookmarkStart w:id="176" w:name="_Toc184308047"/>
      <w:bookmarkEnd w:id="176"/>
      <w:bookmarkStart w:id="177" w:name="_Toc184310321"/>
      <w:bookmarkEnd w:id="177"/>
      <w:bookmarkStart w:id="178" w:name="_Toc184312102"/>
      <w:bookmarkEnd w:id="178"/>
      <w:bookmarkStart w:id="179" w:name="_Toc184314427"/>
      <w:bookmarkEnd w:id="179"/>
      <w:bookmarkStart w:id="180" w:name="_Toc184310291"/>
      <w:bookmarkEnd w:id="180"/>
      <w:bookmarkStart w:id="181" w:name="_Toc184308076"/>
      <w:bookmarkEnd w:id="181"/>
      <w:bookmarkStart w:id="182" w:name="_Toc184310318"/>
      <w:bookmarkEnd w:id="182"/>
      <w:bookmarkStart w:id="183" w:name="_Toc184313310"/>
      <w:bookmarkEnd w:id="183"/>
      <w:bookmarkStart w:id="184" w:name="_Toc184314425"/>
      <w:bookmarkEnd w:id="184"/>
      <w:bookmarkStart w:id="185" w:name="_Toc184313304"/>
      <w:bookmarkEnd w:id="185"/>
      <w:bookmarkStart w:id="186" w:name="_Toc184314462"/>
      <w:bookmarkEnd w:id="186"/>
      <w:bookmarkStart w:id="187" w:name="_Toc184312098"/>
      <w:bookmarkEnd w:id="187"/>
      <w:bookmarkStart w:id="188" w:name="_Toc184312084"/>
      <w:bookmarkEnd w:id="188"/>
      <w:bookmarkStart w:id="189" w:name="_Toc184312088"/>
      <w:bookmarkEnd w:id="189"/>
      <w:bookmarkStart w:id="190" w:name="_Toc184314460"/>
      <w:bookmarkEnd w:id="190"/>
      <w:bookmarkStart w:id="191" w:name="_Toc184313280"/>
      <w:bookmarkEnd w:id="191"/>
      <w:bookmarkStart w:id="192" w:name="_Toc184308043"/>
      <w:bookmarkEnd w:id="192"/>
      <w:bookmarkStart w:id="193" w:name="_Toc184313283"/>
      <w:bookmarkEnd w:id="193"/>
      <w:bookmarkStart w:id="194" w:name="_Toc184314411"/>
      <w:bookmarkEnd w:id="194"/>
      <w:bookmarkStart w:id="195" w:name="_Toc184314482"/>
      <w:bookmarkEnd w:id="195"/>
      <w:bookmarkStart w:id="196" w:name="_Toc184313238"/>
      <w:bookmarkEnd w:id="196"/>
      <w:bookmarkStart w:id="197" w:name="_Toc184313293"/>
      <w:bookmarkEnd w:id="197"/>
      <w:bookmarkStart w:id="198" w:name="_Toc184310300"/>
      <w:bookmarkEnd w:id="198"/>
      <w:bookmarkStart w:id="199" w:name="_Toc184314435"/>
      <w:bookmarkEnd w:id="199"/>
      <w:bookmarkStart w:id="200" w:name="_Toc184308082"/>
      <w:bookmarkEnd w:id="200"/>
      <w:bookmarkStart w:id="201" w:name="_Toc184314467"/>
      <w:bookmarkEnd w:id="201"/>
      <w:bookmarkStart w:id="202" w:name="_Toc184312138"/>
      <w:bookmarkEnd w:id="202"/>
      <w:bookmarkStart w:id="203" w:name="_Toc184313303"/>
      <w:bookmarkEnd w:id="203"/>
      <w:bookmarkStart w:id="204" w:name="_Toc184313296"/>
      <w:bookmarkEnd w:id="204"/>
      <w:bookmarkStart w:id="205" w:name="_Toc184312090"/>
      <w:bookmarkEnd w:id="205"/>
      <w:bookmarkStart w:id="206" w:name="_Toc184314438"/>
      <w:bookmarkEnd w:id="206"/>
      <w:bookmarkStart w:id="207" w:name="_Toc184310329"/>
      <w:bookmarkEnd w:id="207"/>
      <w:bookmarkStart w:id="208" w:name="_Toc184313279"/>
      <w:bookmarkEnd w:id="208"/>
      <w:bookmarkStart w:id="209" w:name="_Toc184308051"/>
      <w:bookmarkEnd w:id="209"/>
      <w:bookmarkStart w:id="210" w:name="_Toc184313281"/>
      <w:bookmarkEnd w:id="210"/>
      <w:bookmarkStart w:id="211" w:name="_Toc184312111"/>
      <w:bookmarkEnd w:id="211"/>
      <w:bookmarkStart w:id="212" w:name="_Toc184308092"/>
      <w:bookmarkEnd w:id="212"/>
      <w:bookmarkStart w:id="213" w:name="_Toc184310338"/>
      <w:bookmarkEnd w:id="213"/>
      <w:bookmarkStart w:id="214" w:name="_Toc184308106"/>
      <w:bookmarkEnd w:id="214"/>
      <w:bookmarkStart w:id="215" w:name="_Toc184312112"/>
      <w:bookmarkEnd w:id="215"/>
      <w:bookmarkStart w:id="216" w:name="_Toc184313277"/>
      <w:bookmarkEnd w:id="216"/>
      <w:bookmarkStart w:id="217" w:name="_Toc184313264"/>
      <w:bookmarkEnd w:id="217"/>
      <w:bookmarkStart w:id="218" w:name="_Toc184313266"/>
      <w:bookmarkEnd w:id="218"/>
      <w:bookmarkStart w:id="219" w:name="_Toc184314439"/>
      <w:bookmarkEnd w:id="219"/>
      <w:bookmarkStart w:id="220" w:name="_Toc184314474"/>
      <w:bookmarkEnd w:id="220"/>
      <w:bookmarkStart w:id="221" w:name="_Toc184308044"/>
      <w:bookmarkEnd w:id="221"/>
      <w:bookmarkStart w:id="222" w:name="_Toc184314437"/>
      <w:bookmarkEnd w:id="222"/>
      <w:bookmarkStart w:id="223" w:name="_Toc184312137"/>
      <w:bookmarkEnd w:id="223"/>
      <w:bookmarkStart w:id="224" w:name="_Toc184310334"/>
      <w:bookmarkEnd w:id="224"/>
      <w:bookmarkStart w:id="225" w:name="_Toc184310288"/>
      <w:bookmarkEnd w:id="225"/>
      <w:bookmarkStart w:id="226" w:name="_Toc184312072"/>
      <w:bookmarkEnd w:id="226"/>
      <w:bookmarkStart w:id="227" w:name="_Toc184314445"/>
      <w:bookmarkEnd w:id="227"/>
      <w:bookmarkStart w:id="228" w:name="_Toc184308086"/>
      <w:bookmarkEnd w:id="228"/>
      <w:bookmarkStart w:id="229" w:name="_Toc184312078"/>
      <w:bookmarkEnd w:id="229"/>
      <w:bookmarkStart w:id="230" w:name="_Toc184313247"/>
      <w:bookmarkEnd w:id="230"/>
      <w:bookmarkStart w:id="231" w:name="_Toc184314446"/>
      <w:bookmarkEnd w:id="231"/>
      <w:bookmarkStart w:id="232" w:name="_Toc184310305"/>
      <w:bookmarkEnd w:id="232"/>
      <w:bookmarkStart w:id="233" w:name="_Toc184313262"/>
      <w:bookmarkEnd w:id="233"/>
      <w:bookmarkStart w:id="234" w:name="_Toc184313263"/>
      <w:bookmarkEnd w:id="234"/>
      <w:bookmarkStart w:id="235" w:name="_Toc184310333"/>
      <w:bookmarkEnd w:id="235"/>
      <w:bookmarkStart w:id="236" w:name="_Toc184312121"/>
      <w:bookmarkEnd w:id="236"/>
      <w:bookmarkStart w:id="237" w:name="_Toc184308084"/>
      <w:bookmarkEnd w:id="237"/>
      <w:bookmarkStart w:id="238" w:name="_Toc184314431"/>
      <w:bookmarkEnd w:id="238"/>
      <w:bookmarkStart w:id="239" w:name="_Toc184313253"/>
      <w:bookmarkEnd w:id="239"/>
      <w:bookmarkStart w:id="240" w:name="_Toc184310284"/>
      <w:bookmarkEnd w:id="240"/>
      <w:bookmarkStart w:id="241" w:name="_Toc184310272"/>
      <w:bookmarkEnd w:id="241"/>
      <w:bookmarkStart w:id="242" w:name="_Toc184308067"/>
      <w:bookmarkEnd w:id="242"/>
      <w:bookmarkStart w:id="243" w:name="_Toc184313246"/>
      <w:bookmarkEnd w:id="243"/>
      <w:bookmarkStart w:id="244" w:name="_Toc184313258"/>
      <w:bookmarkEnd w:id="244"/>
      <w:bookmarkStart w:id="245" w:name="_Toc184310310"/>
      <w:bookmarkEnd w:id="245"/>
      <w:bookmarkStart w:id="246" w:name="_Toc184313256"/>
      <w:bookmarkEnd w:id="246"/>
      <w:bookmarkStart w:id="247" w:name="_Toc184310307"/>
      <w:bookmarkEnd w:id="247"/>
      <w:bookmarkStart w:id="248" w:name="_Toc184308077"/>
      <w:bookmarkEnd w:id="248"/>
      <w:bookmarkStart w:id="249" w:name="_Toc184313260"/>
      <w:bookmarkEnd w:id="249"/>
      <w:bookmarkStart w:id="250" w:name="_Toc184312071"/>
      <w:bookmarkEnd w:id="250"/>
      <w:bookmarkStart w:id="251" w:name="_Toc184313250"/>
      <w:bookmarkEnd w:id="251"/>
      <w:bookmarkStart w:id="252" w:name="_Toc184310311"/>
      <w:bookmarkEnd w:id="252"/>
      <w:bookmarkStart w:id="253" w:name="_Toc184310336"/>
      <w:bookmarkEnd w:id="253"/>
      <w:bookmarkStart w:id="254" w:name="_Toc184314459"/>
      <w:bookmarkEnd w:id="254"/>
      <w:bookmarkStart w:id="255" w:name="_Toc184312091"/>
      <w:bookmarkEnd w:id="255"/>
      <w:bookmarkStart w:id="256" w:name="_Toc184308072"/>
      <w:bookmarkEnd w:id="256"/>
      <w:bookmarkStart w:id="257" w:name="_Toc184308094"/>
      <w:bookmarkEnd w:id="257"/>
      <w:bookmarkStart w:id="258" w:name="_Toc184314463"/>
      <w:bookmarkEnd w:id="258"/>
      <w:bookmarkStart w:id="259" w:name="_Toc184314444"/>
      <w:bookmarkEnd w:id="259"/>
      <w:bookmarkStart w:id="260" w:name="_Toc184310279"/>
      <w:bookmarkEnd w:id="260"/>
      <w:bookmarkStart w:id="261" w:name="_Toc184314481"/>
      <w:bookmarkEnd w:id="261"/>
      <w:bookmarkStart w:id="262" w:name="_Toc184310343"/>
      <w:bookmarkEnd w:id="262"/>
      <w:bookmarkStart w:id="263" w:name="_Toc184314428"/>
      <w:bookmarkEnd w:id="263"/>
      <w:bookmarkStart w:id="264" w:name="_Toc184312133"/>
      <w:bookmarkEnd w:id="264"/>
      <w:bookmarkStart w:id="265" w:name="_Toc184308042"/>
      <w:bookmarkEnd w:id="265"/>
      <w:bookmarkStart w:id="266" w:name="_Toc184310301"/>
      <w:bookmarkEnd w:id="266"/>
      <w:bookmarkStart w:id="267" w:name="_Toc184310324"/>
      <w:bookmarkEnd w:id="267"/>
      <w:bookmarkStart w:id="268" w:name="_Toc184313285"/>
      <w:bookmarkEnd w:id="268"/>
      <w:bookmarkStart w:id="269" w:name="_Toc184310295"/>
      <w:bookmarkEnd w:id="269"/>
      <w:bookmarkStart w:id="270" w:name="_Toc184312118"/>
      <w:bookmarkEnd w:id="270"/>
      <w:bookmarkStart w:id="271" w:name="_Toc184313249"/>
      <w:bookmarkEnd w:id="271"/>
      <w:bookmarkStart w:id="272" w:name="_Toc184308103"/>
      <w:bookmarkEnd w:id="272"/>
      <w:bookmarkStart w:id="273" w:name="_Toc184314432"/>
      <w:bookmarkEnd w:id="273"/>
      <w:bookmarkStart w:id="274" w:name="_Toc184314473"/>
      <w:bookmarkEnd w:id="274"/>
      <w:bookmarkStart w:id="275" w:name="_Toc184312105"/>
      <w:bookmarkEnd w:id="275"/>
      <w:bookmarkStart w:id="276" w:name="_Toc184308098"/>
      <w:bookmarkEnd w:id="276"/>
      <w:bookmarkStart w:id="277" w:name="_Toc184313243"/>
      <w:bookmarkEnd w:id="277"/>
      <w:bookmarkStart w:id="278" w:name="_Toc184313291"/>
      <w:bookmarkEnd w:id="278"/>
      <w:bookmarkStart w:id="279" w:name="_Toc184312095"/>
      <w:bookmarkEnd w:id="279"/>
      <w:bookmarkStart w:id="280" w:name="_Toc184308105"/>
      <w:bookmarkEnd w:id="280"/>
      <w:bookmarkStart w:id="281" w:name="_Toc184313272"/>
      <w:bookmarkEnd w:id="281"/>
      <w:bookmarkStart w:id="282" w:name="_Toc184308095"/>
      <w:bookmarkEnd w:id="282"/>
      <w:bookmarkStart w:id="283" w:name="_Toc184310340"/>
      <w:bookmarkEnd w:id="283"/>
      <w:bookmarkStart w:id="284" w:name="_Toc184312089"/>
      <w:bookmarkEnd w:id="284"/>
      <w:bookmarkStart w:id="285" w:name="_Toc184308040"/>
      <w:bookmarkEnd w:id="285"/>
      <w:bookmarkStart w:id="286" w:name="_Toc184310316"/>
      <w:bookmarkEnd w:id="286"/>
      <w:bookmarkStart w:id="287" w:name="_Toc184313265"/>
      <w:bookmarkEnd w:id="287"/>
      <w:bookmarkStart w:id="288" w:name="_Toc184312104"/>
      <w:bookmarkEnd w:id="288"/>
      <w:bookmarkStart w:id="289" w:name="_Toc184312103"/>
      <w:bookmarkEnd w:id="289"/>
      <w:bookmarkStart w:id="290" w:name="_Toc184314455"/>
      <w:bookmarkEnd w:id="290"/>
      <w:bookmarkStart w:id="291" w:name="_Toc184314475"/>
      <w:bookmarkEnd w:id="291"/>
      <w:bookmarkStart w:id="292" w:name="_Toc184312135"/>
      <w:bookmarkEnd w:id="292"/>
      <w:bookmarkStart w:id="293" w:name="_Toc184312083"/>
      <w:bookmarkEnd w:id="293"/>
      <w:bookmarkStart w:id="294" w:name="_Toc184314471"/>
      <w:bookmarkEnd w:id="294"/>
      <w:bookmarkStart w:id="295" w:name="_Toc184308064"/>
      <w:bookmarkEnd w:id="295"/>
      <w:bookmarkStart w:id="296" w:name="_Toc184308071"/>
      <w:bookmarkEnd w:id="296"/>
      <w:bookmarkStart w:id="297" w:name="_Toc184314448"/>
      <w:bookmarkEnd w:id="297"/>
      <w:bookmarkStart w:id="298" w:name="_Toc184308069"/>
      <w:bookmarkEnd w:id="298"/>
      <w:bookmarkStart w:id="299" w:name="_Toc184308060"/>
      <w:bookmarkEnd w:id="299"/>
      <w:bookmarkStart w:id="300" w:name="_Toc184312073"/>
      <w:bookmarkEnd w:id="300"/>
      <w:bookmarkStart w:id="301" w:name="_Toc184314450"/>
      <w:bookmarkEnd w:id="301"/>
      <w:bookmarkStart w:id="302" w:name="_Toc184313252"/>
      <w:bookmarkEnd w:id="302"/>
      <w:bookmarkStart w:id="303" w:name="_Toc184313244"/>
      <w:bookmarkEnd w:id="303"/>
      <w:bookmarkStart w:id="304" w:name="_Toc184310309"/>
      <w:bookmarkEnd w:id="304"/>
      <w:bookmarkStart w:id="305" w:name="_Toc184313284"/>
      <w:bookmarkEnd w:id="305"/>
      <w:bookmarkStart w:id="306" w:name="_Toc184312107"/>
      <w:bookmarkEnd w:id="306"/>
      <w:bookmarkStart w:id="307" w:name="_Toc184312125"/>
      <w:bookmarkEnd w:id="307"/>
      <w:bookmarkStart w:id="308" w:name="_Toc184312128"/>
      <w:bookmarkEnd w:id="308"/>
      <w:bookmarkStart w:id="309" w:name="_Toc184310332"/>
      <w:bookmarkEnd w:id="309"/>
      <w:bookmarkStart w:id="310" w:name="_Toc184313295"/>
      <w:bookmarkEnd w:id="310"/>
      <w:bookmarkStart w:id="311" w:name="_Toc184313239"/>
      <w:bookmarkEnd w:id="311"/>
      <w:bookmarkStart w:id="312" w:name="_Toc184314476"/>
      <w:bookmarkEnd w:id="312"/>
      <w:bookmarkStart w:id="313" w:name="_Toc184308104"/>
      <w:bookmarkEnd w:id="313"/>
      <w:bookmarkStart w:id="314" w:name="_Toc184314480"/>
      <w:bookmarkEnd w:id="314"/>
      <w:bookmarkStart w:id="315" w:name="_Toc184312085"/>
      <w:bookmarkEnd w:id="315"/>
      <w:bookmarkStart w:id="316" w:name="_Toc184308074"/>
      <w:bookmarkEnd w:id="316"/>
      <w:bookmarkStart w:id="317" w:name="_Toc184308050"/>
      <w:bookmarkEnd w:id="317"/>
      <w:bookmarkStart w:id="318" w:name="_Toc184313298"/>
      <w:bookmarkEnd w:id="318"/>
      <w:bookmarkStart w:id="319" w:name="_Toc184308063"/>
      <w:bookmarkEnd w:id="319"/>
      <w:bookmarkStart w:id="320" w:name="_Toc184310339"/>
      <w:bookmarkEnd w:id="320"/>
      <w:bookmarkStart w:id="321" w:name="_Toc184310274"/>
      <w:bookmarkEnd w:id="321"/>
      <w:bookmarkStart w:id="322" w:name="_Toc184314461"/>
      <w:bookmarkEnd w:id="322"/>
      <w:bookmarkStart w:id="323" w:name="_Toc184313290"/>
      <w:bookmarkEnd w:id="323"/>
      <w:bookmarkStart w:id="324" w:name="_Toc184313301"/>
      <w:bookmarkEnd w:id="324"/>
      <w:bookmarkStart w:id="325" w:name="_Toc184308052"/>
      <w:bookmarkEnd w:id="325"/>
      <w:bookmarkStart w:id="326" w:name="_Toc184308053"/>
      <w:bookmarkEnd w:id="326"/>
      <w:bookmarkStart w:id="327" w:name="_Toc184313302"/>
      <w:bookmarkEnd w:id="327"/>
      <w:bookmarkStart w:id="328" w:name="_Toc184308041"/>
      <w:bookmarkEnd w:id="328"/>
      <w:bookmarkStart w:id="329" w:name="_Toc184308068"/>
      <w:bookmarkEnd w:id="329"/>
      <w:bookmarkStart w:id="330" w:name="_Toc184310285"/>
      <w:bookmarkEnd w:id="330"/>
      <w:bookmarkStart w:id="331" w:name="_Toc184308108"/>
      <w:bookmarkEnd w:id="331"/>
      <w:bookmarkStart w:id="332" w:name="_Toc184308099"/>
      <w:bookmarkEnd w:id="332"/>
      <w:bookmarkStart w:id="333" w:name="_Toc184308096"/>
      <w:bookmarkEnd w:id="333"/>
      <w:bookmarkStart w:id="334" w:name="_Toc184312101"/>
      <w:bookmarkEnd w:id="334"/>
      <w:bookmarkStart w:id="335" w:name="_Toc184310313"/>
      <w:bookmarkEnd w:id="335"/>
      <w:bookmarkStart w:id="336" w:name="_Toc184308059"/>
      <w:bookmarkEnd w:id="336"/>
      <w:bookmarkStart w:id="337" w:name="_Toc184313255"/>
      <w:bookmarkEnd w:id="337"/>
      <w:bookmarkStart w:id="338" w:name="_Toc184310282"/>
      <w:bookmarkEnd w:id="338"/>
      <w:bookmarkStart w:id="339" w:name="_Toc184314423"/>
      <w:bookmarkEnd w:id="339"/>
      <w:bookmarkStart w:id="340" w:name="_Toc184314413"/>
      <w:bookmarkEnd w:id="340"/>
      <w:bookmarkStart w:id="341" w:name="_Toc184310299"/>
      <w:bookmarkEnd w:id="341"/>
      <w:bookmarkStart w:id="342" w:name="_Toc184310281"/>
      <w:bookmarkEnd w:id="342"/>
      <w:bookmarkStart w:id="343" w:name="_Toc184308039"/>
      <w:bookmarkEnd w:id="343"/>
      <w:bookmarkStart w:id="344" w:name="_Toc184310277"/>
      <w:bookmarkEnd w:id="344"/>
      <w:bookmarkStart w:id="345" w:name="_Toc184312086"/>
      <w:bookmarkEnd w:id="345"/>
      <w:bookmarkStart w:id="346" w:name="_Toc184313282"/>
      <w:bookmarkEnd w:id="346"/>
      <w:bookmarkStart w:id="347" w:name="_Toc184310289"/>
      <w:bookmarkEnd w:id="347"/>
      <w:bookmarkStart w:id="348" w:name="_Toc184310328"/>
      <w:bookmarkEnd w:id="348"/>
      <w:bookmarkStart w:id="349" w:name="_Toc184312110"/>
      <w:bookmarkEnd w:id="349"/>
      <w:bookmarkStart w:id="350" w:name="_Toc184310314"/>
      <w:bookmarkEnd w:id="350"/>
      <w:bookmarkStart w:id="351" w:name="_Toc184312113"/>
      <w:bookmarkEnd w:id="351"/>
      <w:bookmarkStart w:id="352" w:name="_Toc184310344"/>
      <w:bookmarkEnd w:id="352"/>
      <w:bookmarkStart w:id="353" w:name="_Toc184313269"/>
      <w:bookmarkEnd w:id="353"/>
      <w:bookmarkStart w:id="354" w:name="_Toc184313248"/>
      <w:bookmarkEnd w:id="354"/>
      <w:bookmarkStart w:id="355" w:name="_Toc184313275"/>
      <w:bookmarkEnd w:id="355"/>
      <w:bookmarkStart w:id="356" w:name="_Toc184312127"/>
      <w:bookmarkEnd w:id="356"/>
      <w:bookmarkStart w:id="357" w:name="_Toc184313259"/>
      <w:bookmarkEnd w:id="357"/>
      <w:bookmarkStart w:id="358" w:name="_Toc184314456"/>
      <w:bookmarkEnd w:id="358"/>
      <w:bookmarkStart w:id="359" w:name="_Toc184314451"/>
      <w:bookmarkEnd w:id="359"/>
      <w:bookmarkStart w:id="360" w:name="_Toc184308078"/>
      <w:bookmarkEnd w:id="360"/>
      <w:bookmarkStart w:id="361" w:name="_Toc184314447"/>
      <w:bookmarkEnd w:id="361"/>
      <w:bookmarkStart w:id="362" w:name="_Toc184314418"/>
      <w:bookmarkEnd w:id="362"/>
      <w:bookmarkStart w:id="363" w:name="_Toc184312119"/>
      <w:bookmarkEnd w:id="363"/>
      <w:bookmarkStart w:id="364" w:name="_Toc184310292"/>
      <w:bookmarkEnd w:id="364"/>
      <w:bookmarkStart w:id="365" w:name="_Toc184312129"/>
      <w:bookmarkEnd w:id="365"/>
      <w:bookmarkStart w:id="366" w:name="_Toc184312080"/>
      <w:bookmarkEnd w:id="366"/>
      <w:bookmarkStart w:id="367" w:name="_Toc184312115"/>
      <w:bookmarkEnd w:id="367"/>
      <w:bookmarkStart w:id="368" w:name="_Toc184310293"/>
      <w:bookmarkEnd w:id="368"/>
      <w:bookmarkStart w:id="369" w:name="_Toc184312131"/>
      <w:bookmarkEnd w:id="369"/>
      <w:bookmarkStart w:id="370" w:name="_Toc184313292"/>
      <w:bookmarkEnd w:id="370"/>
      <w:bookmarkStart w:id="371" w:name="_Toc184312070"/>
      <w:bookmarkEnd w:id="371"/>
      <w:bookmarkStart w:id="372" w:name="_Toc184312075"/>
      <w:bookmarkEnd w:id="372"/>
      <w:bookmarkStart w:id="373" w:name="_Toc184308093"/>
      <w:bookmarkEnd w:id="373"/>
      <w:bookmarkStart w:id="374" w:name="_Toc184314429"/>
      <w:bookmarkEnd w:id="374"/>
      <w:bookmarkStart w:id="375" w:name="_Toc184308036"/>
      <w:bookmarkEnd w:id="375"/>
      <w:bookmarkStart w:id="376" w:name="_Toc184314479"/>
      <w:bookmarkEnd w:id="376"/>
      <w:bookmarkStart w:id="377" w:name="_Toc184314421"/>
      <w:bookmarkEnd w:id="377"/>
      <w:bookmarkStart w:id="378" w:name="_Toc184310298"/>
      <w:bookmarkEnd w:id="378"/>
      <w:bookmarkStart w:id="379" w:name="_Toc184312093"/>
      <w:bookmarkEnd w:id="379"/>
      <w:bookmarkStart w:id="380" w:name="_Toc184312074"/>
      <w:bookmarkEnd w:id="380"/>
      <w:bookmarkStart w:id="381" w:name="_Toc184308100"/>
      <w:bookmarkEnd w:id="381"/>
      <w:bookmarkStart w:id="382" w:name="_Toc184308045"/>
      <w:bookmarkEnd w:id="382"/>
      <w:bookmarkStart w:id="383" w:name="_Toc184308070"/>
      <w:bookmarkEnd w:id="383"/>
      <w:bookmarkStart w:id="384" w:name="_Toc184308054"/>
      <w:bookmarkEnd w:id="384"/>
      <w:bookmarkStart w:id="385" w:name="_Toc184312136"/>
      <w:bookmarkEnd w:id="385"/>
      <w:bookmarkStart w:id="386" w:name="_Toc184312124"/>
      <w:bookmarkEnd w:id="386"/>
      <w:bookmarkStart w:id="387" w:name="_Toc184312126"/>
      <w:bookmarkEnd w:id="387"/>
      <w:bookmarkStart w:id="388" w:name="_Toc184314414"/>
      <w:bookmarkEnd w:id="388"/>
      <w:bookmarkStart w:id="389" w:name="_Toc184312069"/>
      <w:bookmarkEnd w:id="389"/>
      <w:bookmarkStart w:id="390" w:name="_Toc184314452"/>
      <w:bookmarkEnd w:id="390"/>
      <w:bookmarkStart w:id="391" w:name="_Toc184314426"/>
      <w:bookmarkEnd w:id="391"/>
      <w:bookmarkStart w:id="392" w:name="_Toc184313251"/>
      <w:bookmarkEnd w:id="392"/>
      <w:bookmarkStart w:id="393" w:name="_Toc184313271"/>
      <w:bookmarkEnd w:id="393"/>
      <w:bookmarkStart w:id="394" w:name="_Toc184314417"/>
      <w:bookmarkEnd w:id="394"/>
      <w:bookmarkStart w:id="395" w:name="_Toc184313245"/>
      <w:bookmarkEnd w:id="395"/>
      <w:bookmarkStart w:id="396" w:name="_Toc184308090"/>
      <w:bookmarkEnd w:id="396"/>
      <w:r>
        <w:rPr>
          <w:rFonts w:hint="eastAsia" w:ascii="宋体" w:hAnsi="宋体" w:cs="宋体"/>
          <w:b/>
          <w:sz w:val="36"/>
          <w:szCs w:val="36"/>
          <w:highlight w:val="none"/>
          <w:lang w:val="en-US" w:eastAsia="zh-CN"/>
        </w:rPr>
        <w:t xml:space="preserve"> </w:t>
      </w:r>
      <w:r>
        <w:rPr>
          <w:rFonts w:hint="eastAsia" w:ascii="宋体" w:hAnsi="宋体" w:eastAsia="宋体" w:cs="宋体"/>
          <w:b/>
          <w:sz w:val="36"/>
          <w:szCs w:val="36"/>
          <w:highlight w:val="none"/>
        </w:rPr>
        <w:t>评标办法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63"/>
        <w:tblpPr w:leftFromText="180" w:rightFromText="180" w:vertAnchor="text" w:horzAnchor="page" w:tblpXSpec="center" w:tblpY="126"/>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432"/>
        <w:gridCol w:w="5049"/>
        <w:gridCol w:w="79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2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评分因素</w:t>
            </w:r>
          </w:p>
        </w:tc>
        <w:tc>
          <w:tcPr>
            <w:tcW w:w="263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评标标准</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投标文件中评标标准相应的商务技术资料目录</w:t>
            </w:r>
            <w:r>
              <w:rPr>
                <w:rFonts w:hint="eastAsia" w:ascii="宋体" w:hAnsi="宋体" w:eastAsia="宋体" w:cs="宋体"/>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2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类似项目业绩</w:t>
            </w:r>
          </w:p>
        </w:tc>
        <w:tc>
          <w:tcPr>
            <w:tcW w:w="2632"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具有类似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个得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。（证明材料：合同扫描件加盖公章）</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2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业主评价</w:t>
            </w:r>
          </w:p>
        </w:tc>
        <w:tc>
          <w:tcPr>
            <w:tcW w:w="2632"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以往完成的类似项目用户评价情况。每个用户评价为“优”或“满意”或90分以上的每个得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分。（证明材料：用户满意度及合同评价表扫描件加盖公章，缺一不得分）</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32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74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认证情况</w:t>
            </w:r>
          </w:p>
        </w:tc>
        <w:tc>
          <w:tcPr>
            <w:tcW w:w="2632" w:type="pc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具有有效的</w:t>
            </w:r>
            <w:r>
              <w:rPr>
                <w:rFonts w:hint="eastAsia" w:ascii="宋体" w:hAnsi="宋体" w:eastAsia="宋体" w:cs="宋体"/>
                <w:color w:val="auto"/>
                <w:kern w:val="0"/>
                <w:sz w:val="24"/>
                <w:szCs w:val="24"/>
                <w:highlight w:val="none"/>
              </w:rPr>
              <w:t>质量管理体系认证证书、环境管理体系认证证书、职业健康安全管理体系认证证书的</w:t>
            </w:r>
            <w:r>
              <w:rPr>
                <w:rFonts w:hint="eastAsia" w:ascii="宋体" w:hAnsi="宋体" w:eastAsia="宋体" w:cs="宋体"/>
                <w:color w:val="auto"/>
                <w:sz w:val="24"/>
                <w:szCs w:val="24"/>
                <w:highlight w:val="none"/>
              </w:rPr>
              <w:t>每个得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分。（证明材料：认证证书扫描件加盖公章)</w:t>
            </w:r>
          </w:p>
        </w:tc>
        <w:tc>
          <w:tcPr>
            <w:tcW w:w="41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324"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746" w:type="pct"/>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保安服务企业信用评价等级</w:t>
            </w:r>
          </w:p>
        </w:tc>
        <w:tc>
          <w:tcPr>
            <w:tcW w:w="2632" w:type="pct"/>
            <w:vAlign w:val="center"/>
          </w:tcPr>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投标人具有浙江省公安厅评定的保安服务企业信用评价等级：A级得5分，B级得2分，C级及以下不得分。</w:t>
            </w:r>
          </w:p>
          <w:p>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（证明材料：浙江省公安厅公布的信用评价结果通告）</w:t>
            </w:r>
          </w:p>
        </w:tc>
        <w:tc>
          <w:tcPr>
            <w:tcW w:w="413" w:type="pct"/>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5</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4"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746"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管理制度</w:t>
            </w: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《保安工作人员职责》</w:t>
            </w:r>
          </w:p>
        </w:tc>
        <w:tc>
          <w:tcPr>
            <w:tcW w:w="413" w:type="pct"/>
            <w:vAlign w:val="center"/>
          </w:tcPr>
          <w:p>
            <w:pPr>
              <w:pStyle w:val="35"/>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4"/>
                <w:szCs w:val="24"/>
                <w:highlight w:val="none"/>
              </w:rPr>
            </w:pPr>
            <w:r>
              <w:rPr>
                <w:rFonts w:hint="eastAsia" w:hAnsi="宋体" w:cs="宋体"/>
                <w:color w:val="auto"/>
                <w:sz w:val="24"/>
                <w:szCs w:val="24"/>
                <w:highlight w:val="none"/>
                <w:lang w:val="en-US" w:eastAsia="zh-CN"/>
              </w:rPr>
              <w:t>3</w:t>
            </w:r>
          </w:p>
        </w:tc>
        <w:tc>
          <w:tcPr>
            <w:tcW w:w="8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4"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746"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《保安交接班、队伍例会制度》</w:t>
            </w:r>
          </w:p>
        </w:tc>
        <w:tc>
          <w:tcPr>
            <w:tcW w:w="413"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8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4"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746"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队伍招聘、使用、管理、调配和辞退制度、监督考核机制</w:t>
            </w:r>
            <w:r>
              <w:rPr>
                <w:rFonts w:hint="eastAsia" w:ascii="宋体" w:hAnsi="宋体" w:eastAsia="宋体" w:cs="宋体"/>
                <w:color w:val="auto"/>
                <w:sz w:val="24"/>
                <w:szCs w:val="24"/>
                <w:highlight w:val="none"/>
                <w:lang w:eastAsia="zh-CN"/>
              </w:rPr>
              <w:t>》</w:t>
            </w:r>
          </w:p>
        </w:tc>
        <w:tc>
          <w:tcPr>
            <w:tcW w:w="413"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lang w:val="en-US" w:eastAsia="zh-CN"/>
              </w:rPr>
              <w:t>3</w:t>
            </w:r>
          </w:p>
        </w:tc>
        <w:tc>
          <w:tcPr>
            <w:tcW w:w="88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4"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746" w:type="pct"/>
            <w:vMerge w:val="continue"/>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信息化保密管理工作制度</w:t>
            </w:r>
            <w:r>
              <w:rPr>
                <w:rFonts w:hint="eastAsia" w:ascii="宋体" w:hAnsi="宋体" w:eastAsia="宋体" w:cs="宋体"/>
                <w:color w:val="auto"/>
                <w:sz w:val="24"/>
                <w:szCs w:val="24"/>
                <w:highlight w:val="none"/>
                <w:lang w:eastAsia="zh-CN"/>
              </w:rPr>
              <w:t>》</w:t>
            </w:r>
          </w:p>
        </w:tc>
        <w:tc>
          <w:tcPr>
            <w:tcW w:w="413" w:type="pct"/>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lang w:val="en-US" w:eastAsia="zh-CN"/>
              </w:rPr>
              <w:t>3</w:t>
            </w:r>
          </w:p>
        </w:tc>
        <w:tc>
          <w:tcPr>
            <w:tcW w:w="883" w:type="pct"/>
            <w:vAlign w:val="center"/>
          </w:tcPr>
          <w:p>
            <w:pPr>
              <w:keepNext w:val="0"/>
              <w:keepLines w:val="0"/>
              <w:pageBreakBefore w:val="0"/>
              <w:widowControl w:val="0"/>
              <w:kinsoku/>
              <w:wordWrap/>
              <w:overflowPunct/>
              <w:topLinePunct w:val="0"/>
              <w:autoSpaceDE/>
              <w:autoSpaceDN/>
              <w:bidi w:val="0"/>
              <w:snapToGrid/>
              <w:spacing w:line="360" w:lineRule="auto"/>
              <w:textAlignment w:val="auto"/>
              <w:outlineLvl w:val="2"/>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24"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746"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应急方案及措施</w:t>
            </w: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对突发事件（包括发生灾害性天气及其他突发事件）时的</w:t>
            </w:r>
            <w:r>
              <w:rPr>
                <w:rFonts w:hint="eastAsia" w:ascii="宋体" w:hAnsi="宋体" w:eastAsia="宋体" w:cs="宋体"/>
                <w:color w:val="auto"/>
                <w:sz w:val="24"/>
                <w:szCs w:val="24"/>
                <w:highlight w:val="none"/>
                <w:lang w:eastAsia="zh-CN"/>
              </w:rPr>
              <w:t>紧急</w:t>
            </w:r>
            <w:r>
              <w:rPr>
                <w:rFonts w:hint="eastAsia" w:ascii="宋体" w:hAnsi="宋体" w:eastAsia="宋体" w:cs="宋体"/>
                <w:color w:val="auto"/>
                <w:sz w:val="24"/>
                <w:szCs w:val="24"/>
                <w:highlight w:val="none"/>
              </w:rPr>
              <w:t>预案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可行性、可操作性及针对性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24"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rPr>
            </w:pPr>
          </w:p>
        </w:tc>
        <w:tc>
          <w:tcPr>
            <w:tcW w:w="746"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保安人员服务区域内安全防范措施</w:t>
            </w:r>
            <w:r>
              <w:rPr>
                <w:rFonts w:hint="eastAsia" w:ascii="宋体" w:hAnsi="宋体" w:eastAsia="宋体" w:cs="宋体"/>
                <w:color w:val="auto"/>
                <w:sz w:val="24"/>
                <w:szCs w:val="24"/>
                <w:highlight w:val="none"/>
              </w:rPr>
              <w:t>、消防等紧急预案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可行性、可操作性及针对性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24"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c>
          <w:tcPr>
            <w:tcW w:w="746"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保安人员服务区域内群体性事件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暴恐</w:t>
            </w:r>
            <w:r>
              <w:rPr>
                <w:rFonts w:hint="eastAsia" w:ascii="宋体" w:hAnsi="宋体" w:eastAsia="宋体" w:cs="宋体"/>
                <w:color w:val="auto"/>
                <w:sz w:val="24"/>
                <w:szCs w:val="24"/>
                <w:highlight w:val="none"/>
              </w:rPr>
              <w:t>事件等应急预案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可行性、可操作性及针对性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24"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c>
          <w:tcPr>
            <w:tcW w:w="746" w:type="pct"/>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对重大活动或重要接待任务等的应急预案的可行性、可操作性及针对性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74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服装、设备、工器具的储备情况</w:t>
            </w: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保安人员的各季节服装配备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防暑防雨用品配置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通讯器材装备</w:t>
            </w:r>
            <w:r>
              <w:rPr>
                <w:rFonts w:hint="eastAsia" w:ascii="宋体" w:hAnsi="宋体" w:cs="宋体"/>
                <w:color w:val="auto"/>
                <w:sz w:val="24"/>
                <w:szCs w:val="24"/>
                <w:highlight w:val="none"/>
                <w:lang w:eastAsia="zh-CN"/>
              </w:rPr>
              <w:t>配置</w:t>
            </w:r>
            <w:r>
              <w:rPr>
                <w:rFonts w:hint="eastAsia" w:ascii="宋体" w:hAnsi="宋体" w:eastAsia="宋体" w:cs="宋体"/>
                <w:color w:val="auto"/>
                <w:sz w:val="24"/>
                <w:szCs w:val="24"/>
                <w:highlight w:val="none"/>
                <w:lang w:eastAsia="zh-CN"/>
              </w:rPr>
              <w:t>情况</w:t>
            </w:r>
          </w:p>
        </w:tc>
        <w:tc>
          <w:tcPr>
            <w:tcW w:w="413" w:type="pct"/>
            <w:vAlign w:val="center"/>
          </w:tcPr>
          <w:p>
            <w:pPr>
              <w:pStyle w:val="35"/>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sz w:val="24"/>
                <w:szCs w:val="24"/>
                <w:highlight w:val="none"/>
                <w:lang w:val="en-US" w:eastAsia="zh-CN"/>
              </w:rPr>
            </w:pPr>
            <w:r>
              <w:rPr>
                <w:rFonts w:hint="eastAsia" w:hAnsi="宋体" w:cs="宋体"/>
                <w:color w:val="auto"/>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4"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746"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t>团队及构架</w:t>
            </w: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拟派安保人员团队组成、人员素质、岗位职责界定等</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4" w:type="pct"/>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746" w:type="pct"/>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节假日员工缺岗、临时换岗调整方案、稳定员工队伍解决方案的可行性、可操作性及针对性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74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培训计划</w:t>
            </w:r>
          </w:p>
        </w:tc>
        <w:tc>
          <w:tcPr>
            <w:tcW w:w="2632" w:type="pct"/>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sz w:val="24"/>
                <w:szCs w:val="24"/>
                <w:highlight w:val="none"/>
                <w:lang w:val="en-US" w:eastAsia="zh-CN"/>
              </w:rPr>
            </w:pPr>
            <w:r>
              <w:rPr>
                <w:rFonts w:hint="eastAsia"/>
                <w:sz w:val="24"/>
                <w:szCs w:val="24"/>
                <w:highlight w:val="none"/>
                <w:lang w:eastAsia="zh-CN"/>
              </w:rPr>
              <w:t>服务团队从业能力的专业知识、安全意识培训</w:t>
            </w:r>
            <w:r>
              <w:rPr>
                <w:rFonts w:hint="eastAsia"/>
                <w:sz w:val="24"/>
                <w:szCs w:val="24"/>
                <w:highlight w:val="none"/>
                <w:lang w:val="en-US" w:eastAsia="zh-CN"/>
              </w:rPr>
              <w:t>是否具有针对性、科学性、合理性</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4"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746" w:type="pct"/>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拟派项目人员情况</w:t>
            </w: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投标人派出的项目负责人情况：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具有国家职业资格保安员壹级证书的得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分；具有保安服务专家聘书的得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分，没有不得分。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说明：上述人员必须均为投标人在职员工，根据投标文件中提供一年以上的社保缴纳证明、有关证书（国家职业资格保安员证书、保安服务专家聘书）进行评分，未提供或不符合以上条件不得分。社保缴纳证明以社保机构出具的社保证明为准。</w:t>
            </w:r>
          </w:p>
        </w:tc>
        <w:tc>
          <w:tcPr>
            <w:tcW w:w="413"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default" w:ascii="宋体" w:hAnsi="宋体" w:cs="宋体"/>
                <w:sz w:val="24"/>
                <w:szCs w:val="24"/>
                <w:highlight w:val="none"/>
                <w:lang w:val="en-US" w:eastAsia="zh-CN"/>
              </w:rPr>
            </w:pPr>
            <w:r>
              <w:rPr>
                <w:rFonts w:hint="eastAsia" w:ascii="宋体" w:hAnsi="宋体" w:cs="宋体"/>
                <w:i w:val="0"/>
                <w:iCs w:val="0"/>
                <w:color w:val="000000"/>
                <w:kern w:val="0"/>
                <w:sz w:val="24"/>
                <w:szCs w:val="24"/>
                <w:highlight w:val="none"/>
                <w:u w:val="none"/>
                <w:lang w:val="en-US" w:eastAsia="zh-CN" w:bidi="ar"/>
              </w:rPr>
              <w:t>8</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24" w:type="pct"/>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746" w:type="pct"/>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both"/>
              <w:textAlignment w:val="auto"/>
              <w:rPr>
                <w:rStyle w:val="122"/>
                <w:sz w:val="24"/>
                <w:szCs w:val="24"/>
                <w:highlight w:val="none"/>
                <w:lang w:val="en-US" w:eastAsia="zh-CN" w:bidi="ar"/>
              </w:rPr>
            </w:pPr>
            <w:r>
              <w:rPr>
                <w:rStyle w:val="122"/>
                <w:sz w:val="24"/>
                <w:szCs w:val="24"/>
                <w:highlight w:val="none"/>
                <w:lang w:val="en-US" w:eastAsia="zh-CN" w:bidi="ar"/>
              </w:rPr>
              <w:t>其他人员情况：</w:t>
            </w:r>
            <w:r>
              <w:rPr>
                <w:rStyle w:val="314"/>
                <w:rFonts w:eastAsia="宋体"/>
                <w:sz w:val="24"/>
                <w:szCs w:val="24"/>
                <w:highlight w:val="none"/>
                <w:lang w:val="en-US" w:eastAsia="zh-CN" w:bidi="ar"/>
              </w:rPr>
              <w:br w:type="textWrapping"/>
            </w:r>
            <w:r>
              <w:rPr>
                <w:rStyle w:val="122"/>
                <w:sz w:val="24"/>
                <w:szCs w:val="24"/>
                <w:highlight w:val="none"/>
                <w:lang w:val="en-US" w:eastAsia="zh-CN" w:bidi="ar"/>
              </w:rPr>
              <w:t>人员内具有大专（含）以上文化的每有</w:t>
            </w:r>
            <w:r>
              <w:rPr>
                <w:rStyle w:val="314"/>
                <w:rFonts w:eastAsia="宋体"/>
                <w:sz w:val="24"/>
                <w:szCs w:val="24"/>
                <w:highlight w:val="none"/>
                <w:lang w:val="en-US" w:eastAsia="zh-CN" w:bidi="ar"/>
              </w:rPr>
              <w:t>1</w:t>
            </w:r>
            <w:r>
              <w:rPr>
                <w:rStyle w:val="122"/>
                <w:sz w:val="24"/>
                <w:szCs w:val="24"/>
                <w:highlight w:val="none"/>
                <w:lang w:val="en-US" w:eastAsia="zh-CN" w:bidi="ar"/>
              </w:rPr>
              <w:t>名</w:t>
            </w:r>
            <w:r>
              <w:rPr>
                <w:rStyle w:val="122"/>
                <w:rFonts w:hint="eastAsia"/>
                <w:sz w:val="24"/>
                <w:szCs w:val="24"/>
                <w:highlight w:val="none"/>
                <w:lang w:val="en-US" w:eastAsia="zh-CN" w:bidi="ar"/>
              </w:rPr>
              <w:t>得</w:t>
            </w:r>
            <w:r>
              <w:rPr>
                <w:rStyle w:val="314"/>
                <w:rFonts w:eastAsia="宋体"/>
                <w:sz w:val="24"/>
                <w:szCs w:val="24"/>
                <w:highlight w:val="none"/>
                <w:lang w:val="en-US" w:eastAsia="zh-CN" w:bidi="ar"/>
              </w:rPr>
              <w:t>1</w:t>
            </w:r>
            <w:r>
              <w:rPr>
                <w:rStyle w:val="122"/>
                <w:sz w:val="24"/>
                <w:szCs w:val="24"/>
                <w:highlight w:val="none"/>
                <w:lang w:val="en-US" w:eastAsia="zh-CN" w:bidi="ar"/>
              </w:rPr>
              <w:t>分，最多</w:t>
            </w:r>
            <w:r>
              <w:rPr>
                <w:rStyle w:val="122"/>
                <w:rFonts w:hint="eastAsia"/>
                <w:sz w:val="24"/>
                <w:szCs w:val="24"/>
                <w:highlight w:val="none"/>
                <w:lang w:val="en-US" w:eastAsia="zh-CN" w:bidi="ar"/>
              </w:rPr>
              <w:t>得</w:t>
            </w:r>
            <w:r>
              <w:rPr>
                <w:rStyle w:val="314"/>
                <w:rFonts w:eastAsia="宋体"/>
                <w:sz w:val="24"/>
                <w:szCs w:val="24"/>
                <w:highlight w:val="none"/>
                <w:lang w:val="en-US" w:eastAsia="zh-CN" w:bidi="ar"/>
              </w:rPr>
              <w:t>5</w:t>
            </w:r>
            <w:r>
              <w:rPr>
                <w:rStyle w:val="122"/>
                <w:sz w:val="24"/>
                <w:szCs w:val="24"/>
                <w:highlight w:val="none"/>
                <w:lang w:val="en-US" w:eastAsia="zh-CN" w:bidi="ar"/>
              </w:rPr>
              <w:t>分；</w:t>
            </w:r>
          </w:p>
          <w:p>
            <w:pPr>
              <w:keepNext w:val="0"/>
              <w:keepLines w:val="0"/>
              <w:pageBreakBefore w:val="0"/>
              <w:widowControl/>
              <w:suppressLineNumbers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szCs w:val="24"/>
                <w:highlight w:val="none"/>
                <w:lang w:eastAsia="zh-CN"/>
              </w:rPr>
            </w:pPr>
            <w:r>
              <w:rPr>
                <w:rStyle w:val="122"/>
                <w:sz w:val="24"/>
                <w:szCs w:val="24"/>
                <w:highlight w:val="none"/>
                <w:lang w:val="en-US" w:eastAsia="zh-CN" w:bidi="ar"/>
              </w:rPr>
              <w:t>人员内具有国家职业资格保安员贰级（含）及以上的每有</w:t>
            </w:r>
            <w:r>
              <w:rPr>
                <w:rStyle w:val="314"/>
                <w:rFonts w:eastAsia="宋体"/>
                <w:sz w:val="24"/>
                <w:szCs w:val="24"/>
                <w:highlight w:val="none"/>
                <w:lang w:val="en-US" w:eastAsia="zh-CN" w:bidi="ar"/>
              </w:rPr>
              <w:t>1</w:t>
            </w:r>
            <w:r>
              <w:rPr>
                <w:rStyle w:val="122"/>
                <w:sz w:val="24"/>
                <w:szCs w:val="24"/>
                <w:highlight w:val="none"/>
                <w:lang w:val="en-US" w:eastAsia="zh-CN" w:bidi="ar"/>
              </w:rPr>
              <w:t>名</w:t>
            </w:r>
            <w:r>
              <w:rPr>
                <w:rStyle w:val="122"/>
                <w:rFonts w:hint="eastAsia"/>
                <w:sz w:val="24"/>
                <w:szCs w:val="24"/>
                <w:highlight w:val="none"/>
                <w:lang w:val="en-US" w:eastAsia="zh-CN" w:bidi="ar"/>
              </w:rPr>
              <w:t>得</w:t>
            </w:r>
            <w:r>
              <w:rPr>
                <w:rStyle w:val="314"/>
                <w:rFonts w:eastAsia="宋体"/>
                <w:sz w:val="24"/>
                <w:szCs w:val="24"/>
                <w:highlight w:val="none"/>
                <w:lang w:val="en-US" w:eastAsia="zh-CN" w:bidi="ar"/>
              </w:rPr>
              <w:t>1</w:t>
            </w:r>
            <w:r>
              <w:rPr>
                <w:rStyle w:val="122"/>
                <w:sz w:val="24"/>
                <w:szCs w:val="24"/>
                <w:highlight w:val="none"/>
                <w:lang w:val="en-US" w:eastAsia="zh-CN" w:bidi="ar"/>
              </w:rPr>
              <w:t>分，最多</w:t>
            </w:r>
            <w:r>
              <w:rPr>
                <w:rStyle w:val="122"/>
                <w:rFonts w:hint="eastAsia"/>
                <w:sz w:val="24"/>
                <w:szCs w:val="24"/>
                <w:highlight w:val="none"/>
                <w:lang w:val="en-US" w:eastAsia="zh-CN" w:bidi="ar"/>
              </w:rPr>
              <w:t>得</w:t>
            </w:r>
            <w:r>
              <w:rPr>
                <w:rStyle w:val="314"/>
                <w:rFonts w:eastAsia="宋体"/>
                <w:sz w:val="24"/>
                <w:szCs w:val="24"/>
                <w:highlight w:val="none"/>
                <w:lang w:val="en-US" w:eastAsia="zh-CN" w:bidi="ar"/>
              </w:rPr>
              <w:t>5</w:t>
            </w:r>
            <w:r>
              <w:rPr>
                <w:rStyle w:val="122"/>
                <w:sz w:val="24"/>
                <w:szCs w:val="24"/>
                <w:highlight w:val="none"/>
                <w:lang w:val="en-US" w:eastAsia="zh-CN" w:bidi="ar"/>
              </w:rPr>
              <w:t>分。</w:t>
            </w:r>
            <w:r>
              <w:rPr>
                <w:rStyle w:val="314"/>
                <w:rFonts w:eastAsia="宋体"/>
                <w:sz w:val="24"/>
                <w:szCs w:val="24"/>
                <w:highlight w:val="none"/>
                <w:lang w:val="en-US" w:eastAsia="zh-CN" w:bidi="ar"/>
              </w:rPr>
              <w:br w:type="textWrapping"/>
            </w:r>
            <w:r>
              <w:rPr>
                <w:rStyle w:val="122"/>
                <w:sz w:val="24"/>
                <w:szCs w:val="24"/>
                <w:highlight w:val="none"/>
                <w:lang w:val="en-US" w:eastAsia="zh-CN" w:bidi="ar"/>
              </w:rPr>
              <w:t>说明：上述人员必须均为投标人在职员工，根据投标文件中提供以上人员的一年以上的社保缴纳证明、有关证书（毕业证书或学历证明、国家职业资格保安员证书）进行评分，未提供或不符合以上条件不得分。社保缴纳证明以社保机构出具的社保证明为准。一人仅计分一次。</w:t>
            </w:r>
          </w:p>
        </w:tc>
        <w:tc>
          <w:tcPr>
            <w:tcW w:w="413"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eastAsia" w:ascii="宋体" w:hAnsi="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p>
        </w:tc>
        <w:tc>
          <w:tcPr>
            <w:tcW w:w="746"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合理化</w:t>
            </w:r>
            <w:r>
              <w:rPr>
                <w:rFonts w:hint="eastAsia" w:ascii="宋体" w:hAnsi="宋体" w:cs="宋体"/>
                <w:i w:val="0"/>
                <w:iCs w:val="0"/>
                <w:color w:val="000000"/>
                <w:kern w:val="0"/>
                <w:sz w:val="24"/>
                <w:szCs w:val="24"/>
                <w:highlight w:val="none"/>
                <w:u w:val="none"/>
                <w:lang w:val="en-US" w:eastAsia="zh-CN" w:bidi="ar"/>
              </w:rPr>
              <w:t>建议</w:t>
            </w: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其他实质性的合理化措施，包括先进科技措施、数字化应用等，满足招标人的各方面需求，有利于本项目顺利实施等方面的措施</w:t>
            </w:r>
          </w:p>
        </w:tc>
        <w:tc>
          <w:tcPr>
            <w:tcW w:w="413"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eastAsia" w:ascii="宋体" w:hAnsi="宋体" w:cs="宋体"/>
                <w:sz w:val="24"/>
                <w:szCs w:val="24"/>
                <w:highlight w:val="none"/>
                <w:lang w:val="en-US" w:eastAsia="zh-CN"/>
              </w:rPr>
            </w:pPr>
            <w:r>
              <w:rPr>
                <w:rFonts w:hint="eastAsia" w:ascii="宋体" w:hAnsi="宋体" w:cs="宋体"/>
                <w:i w:val="0"/>
                <w:iCs w:val="0"/>
                <w:color w:val="000000"/>
                <w:kern w:val="0"/>
                <w:sz w:val="24"/>
                <w:szCs w:val="24"/>
                <w:highlight w:val="none"/>
                <w:u w:val="none"/>
                <w:lang w:val="en-US" w:eastAsia="zh-CN" w:bidi="ar"/>
              </w:rPr>
              <w:t>4</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746"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后勤保障</w:t>
            </w:r>
          </w:p>
        </w:tc>
        <w:tc>
          <w:tcPr>
            <w:tcW w:w="2632"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对保安人员的劳动保障、住房保障、其他福利待遇保障等情况</w:t>
            </w:r>
          </w:p>
        </w:tc>
        <w:tc>
          <w:tcPr>
            <w:tcW w:w="413" w:type="pct"/>
            <w:vAlign w:val="center"/>
          </w:tcPr>
          <w:p>
            <w:pPr>
              <w:keepNext w:val="0"/>
              <w:keepLines w:val="0"/>
              <w:pageBreakBefore w:val="0"/>
              <w:widowControl/>
              <w:suppressLineNumbers w:val="0"/>
              <w:kinsoku/>
              <w:wordWrap/>
              <w:overflowPunct/>
              <w:topLinePunct w:val="0"/>
              <w:autoSpaceDE/>
              <w:autoSpaceDN/>
              <w:bidi w:val="0"/>
              <w:snapToGrid/>
              <w:spacing w:line="360" w:lineRule="auto"/>
              <w:jc w:val="center"/>
              <w:textAlignment w:val="auto"/>
              <w:rPr>
                <w:rFonts w:hint="eastAsia" w:ascii="宋体" w:hAnsi="宋体" w:cs="宋体"/>
                <w:sz w:val="24"/>
                <w:szCs w:val="24"/>
                <w:highlight w:val="none"/>
                <w:lang w:val="en-US" w:eastAsia="zh-CN"/>
              </w:rPr>
            </w:pPr>
            <w:r>
              <w:rPr>
                <w:rFonts w:hint="eastAsia" w:ascii="宋体" w:hAnsi="宋体" w:cs="宋体"/>
                <w:i w:val="0"/>
                <w:iCs w:val="0"/>
                <w:color w:val="000000"/>
                <w:kern w:val="0"/>
                <w:sz w:val="24"/>
                <w:szCs w:val="24"/>
                <w:highlight w:val="none"/>
                <w:u w:val="none"/>
                <w:lang w:val="en-US" w:eastAsia="zh-CN" w:bidi="ar"/>
              </w:rPr>
              <w:t>4</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p>
        </w:tc>
        <w:tc>
          <w:tcPr>
            <w:tcW w:w="74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服务承诺</w:t>
            </w:r>
          </w:p>
        </w:tc>
        <w:tc>
          <w:tcPr>
            <w:tcW w:w="2632" w:type="pc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包括提高服务质量、管理水平和其他服务的承诺是否合理可行</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p>
        </w:tc>
        <w:tc>
          <w:tcPr>
            <w:tcW w:w="74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疫情</w:t>
            </w:r>
            <w:r>
              <w:rPr>
                <w:rFonts w:hint="eastAsia" w:ascii="宋体" w:hAnsi="宋体" w:eastAsia="宋体" w:cs="宋体"/>
                <w:color w:val="auto"/>
                <w:sz w:val="24"/>
                <w:szCs w:val="24"/>
                <w:highlight w:val="none"/>
                <w:lang w:val="en-US" w:eastAsia="zh-CN"/>
              </w:rPr>
              <w:t>防控</w:t>
            </w:r>
            <w:r>
              <w:rPr>
                <w:rFonts w:hint="eastAsia" w:ascii="宋体" w:hAnsi="宋体" w:eastAsia="宋体" w:cs="宋体"/>
                <w:color w:val="auto"/>
                <w:sz w:val="24"/>
                <w:szCs w:val="24"/>
                <w:highlight w:val="none"/>
              </w:rPr>
              <w:t>措施</w:t>
            </w:r>
          </w:p>
        </w:tc>
        <w:tc>
          <w:tcPr>
            <w:tcW w:w="2632" w:type="pc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szCs w:val="24"/>
                <w:highlight w:val="none"/>
              </w:rPr>
              <w:t>疫情防控时的应急预案及相应的人员措施是否合理，配置防疫消毒物质是否齐全</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883" w:type="pc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24"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p>
        </w:tc>
        <w:tc>
          <w:tcPr>
            <w:tcW w:w="746"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投标报价得分</w:t>
            </w:r>
          </w:p>
        </w:tc>
        <w:tc>
          <w:tcPr>
            <w:tcW w:w="2632" w:type="pct"/>
          </w:tcPr>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w:t>
            </w:r>
            <w:r>
              <w:rPr>
                <w:rFonts w:hint="eastAsia" w:ascii="宋体" w:hAnsi="宋体" w:eastAsia="宋体" w:cs="宋体"/>
                <w:b/>
                <w:bCs/>
                <w:sz w:val="24"/>
                <w:szCs w:val="24"/>
                <w:highlight w:val="none"/>
                <w:lang w:eastAsia="zh-CN"/>
              </w:rPr>
              <w:t>（即管理费总报价）</w:t>
            </w:r>
            <w:r>
              <w:rPr>
                <w:rFonts w:hint="eastAsia" w:ascii="宋体" w:hAnsi="宋体" w:eastAsia="宋体" w:cs="宋体"/>
                <w:sz w:val="24"/>
                <w:szCs w:val="24"/>
                <w:highlight w:val="none"/>
              </w:rPr>
              <w:t>的最低价作为评标基准价，其最低报价为满分；按［投标报价得分=（评标基准价/投标报价）*</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因落实政府采购政策需要进行价格调整的，以调整后的价格计算评标基准价和投标报价。</w:t>
            </w:r>
          </w:p>
        </w:tc>
        <w:tc>
          <w:tcPr>
            <w:tcW w:w="41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883" w:type="pc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highlight w:val="none"/>
        </w:rPr>
      </w:pPr>
      <w:r>
        <w:rPr>
          <w:rFonts w:hint="eastAsia" w:ascii="宋体" w:hAnsi="宋体" w:eastAsia="宋体" w:cs="宋体"/>
          <w:sz w:val="24"/>
          <w:szCs w:val="24"/>
          <w:highlight w:val="none"/>
          <w:shd w:val="clear" w:color="auto" w:fill="FFFFFF"/>
        </w:rPr>
        <w:t> *</w:t>
      </w:r>
      <w:r>
        <w:rPr>
          <w:rFonts w:hint="eastAsia" w:ascii="宋体" w:hAnsi="宋体" w:eastAsia="宋体" w:cs="宋体"/>
          <w:b/>
          <w:sz w:val="24"/>
          <w:szCs w:val="24"/>
          <w:highlight w:val="none"/>
        </w:rPr>
        <w:t>备注：</w:t>
      </w:r>
      <w:r>
        <w:rPr>
          <w:rFonts w:hint="eastAsia" w:ascii="宋体" w:hAnsi="宋体" w:eastAsia="宋体" w:cs="宋体"/>
          <w:sz w:val="24"/>
          <w:szCs w:val="24"/>
          <w:highlight w:val="none"/>
        </w:rPr>
        <w:t>投标人编制投标文件（商务技术文件部分）时，建议按此目录（序号和内容）提供评标标准相应的商务技术资料。 </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一、评标方法</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1.本项目采用综合评分法。</w:t>
      </w:r>
      <w:r>
        <w:rPr>
          <w:rFonts w:hint="eastAsia" w:ascii="宋体" w:hAnsi="宋体" w:eastAsia="宋体" w:cs="宋体"/>
          <w:kern w:val="0"/>
          <w:sz w:val="24"/>
          <w:szCs w:val="24"/>
          <w:highlight w:val="none"/>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二、评标标准</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评标标准：</w:t>
      </w:r>
      <w:r>
        <w:rPr>
          <w:rFonts w:hint="eastAsia" w:ascii="宋体" w:hAnsi="宋体" w:eastAsia="宋体" w:cs="宋体"/>
          <w:kern w:val="0"/>
          <w:sz w:val="24"/>
          <w:szCs w:val="24"/>
          <w:highlight w:val="none"/>
        </w:rPr>
        <w:t>见评标办法前附表。</w:t>
      </w:r>
    </w:p>
    <w:p>
      <w:pPr>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三、评标程序</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3.1符合性审查。</w:t>
      </w:r>
      <w:r>
        <w:rPr>
          <w:rFonts w:hint="eastAsia" w:ascii="宋体" w:hAnsi="宋体" w:eastAsia="宋体" w:cs="宋体"/>
          <w:kern w:val="0"/>
          <w:sz w:val="24"/>
          <w:szCs w:val="24"/>
          <w:highlight w:val="none"/>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3.2 比较与评价。</w:t>
      </w:r>
      <w:r>
        <w:rPr>
          <w:rFonts w:hint="eastAsia" w:ascii="宋体" w:hAnsi="宋体" w:eastAsia="宋体" w:cs="宋体"/>
          <w:kern w:val="0"/>
          <w:sz w:val="24"/>
          <w:szCs w:val="24"/>
          <w:highlight w:val="none"/>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3.3汇总商务技术得分。</w:t>
      </w:r>
      <w:r>
        <w:rPr>
          <w:rFonts w:hint="eastAsia" w:ascii="宋体" w:hAnsi="宋体" w:eastAsia="宋体" w:cs="宋体"/>
          <w:kern w:val="0"/>
          <w:sz w:val="24"/>
          <w:szCs w:val="24"/>
          <w:highlight w:val="none"/>
        </w:rPr>
        <w:t>评标委员会各成员应当独立对每个投标人的商务和技术文件进行评价，并汇总商务技术得分情况。</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3.4报价评审。</w:t>
      </w:r>
    </w:p>
    <w:p>
      <w:pPr>
        <w:pStyle w:val="131"/>
        <w:pageBreakBefore w:val="0"/>
        <w:kinsoku/>
        <w:wordWrap/>
        <w:overflowPunct/>
        <w:topLinePunct w:val="0"/>
        <w:autoSpaceDE/>
        <w:autoSpaceDN/>
        <w:bidi w:val="0"/>
        <w:adjustRightInd/>
        <w:snapToGrid/>
        <w:spacing w:before="0" w:line="360" w:lineRule="auto"/>
        <w:ind w:firstLine="508" w:firstLineChars="212"/>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3.4.1投标文件报价出现前后不一致的，按照下列规定修正：</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3.4.1.1投标文件中开标一览表(报价表)内容与投标文件中相应内容不一致的，以开标一览表(报价表)为准;</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3.4.1.2大写金额和小写金额不一致的，以大写金额为准;</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3.4.1.3单价金额小数点或者百分比有明显错位的，以开标一览表的总价为准，并修改单价;</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3.4.1.4总价金额与按单价汇总金额不一致的，以单价金额计算结果为准。</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3.4.2投标文件出现不是唯一的、有选择性投标报价的，投标无效。</w:t>
      </w:r>
    </w:p>
    <w:p>
      <w:pPr>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3.4.3投标报价超过招标文件中规定的预算金额或者最高限价的，投标无效。</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pageBreakBefore w:val="0"/>
        <w:kinsoku/>
        <w:wordWrap/>
        <w:overflowPunct/>
        <w:topLinePunct w:val="0"/>
        <w:autoSpaceDE/>
        <w:autoSpaceDN/>
        <w:bidi w:val="0"/>
        <w:adjustRightInd/>
        <w:snapToGrid/>
        <w:spacing w:before="0" w:line="360" w:lineRule="auto"/>
        <w:ind w:firstLine="48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 w:val="24"/>
          <w:szCs w:val="24"/>
          <w:highlight w:val="none"/>
          <w:lang w:val="en-US" w:eastAsia="zh-CN"/>
        </w:rPr>
        <w:t>20</w:t>
      </w:r>
      <w:r>
        <w:rPr>
          <w:rFonts w:hint="eastAsia" w:ascii="宋体" w:hAnsi="宋体" w:eastAsia="宋体" w:cs="宋体"/>
          <w:kern w:val="0"/>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3.5排序与推荐。</w:t>
      </w:r>
      <w:r>
        <w:rPr>
          <w:rFonts w:hint="eastAsia" w:ascii="宋体" w:hAnsi="宋体" w:eastAsia="宋体" w:cs="宋体"/>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3.6编写评标报告。</w:t>
      </w:r>
      <w:r>
        <w:rPr>
          <w:rFonts w:hint="eastAsia" w:ascii="宋体" w:hAnsi="宋体" w:eastAsia="宋体" w:cs="宋体"/>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四、评标中的其他事项</w:t>
      </w:r>
    </w:p>
    <w:p>
      <w:pPr>
        <w:pStyle w:val="131"/>
        <w:pageBreakBefore w:val="0"/>
        <w:kinsoku/>
        <w:wordWrap/>
        <w:overflowPunct/>
        <w:topLinePunct w:val="0"/>
        <w:autoSpaceDE/>
        <w:autoSpaceDN/>
        <w:bidi w:val="0"/>
        <w:adjustRightInd/>
        <w:snapToGrid/>
        <w:spacing w:before="0" w:line="360" w:lineRule="auto"/>
        <w:ind w:firstLine="472" w:firstLineChars="196"/>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4.1投标人澄清、说明或者补正。</w:t>
      </w:r>
      <w:r>
        <w:rPr>
          <w:rFonts w:hint="eastAsia" w:ascii="宋体" w:hAnsi="宋体" w:eastAsia="宋体" w:cs="宋体"/>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pageBreakBefore w:val="0"/>
        <w:kinsoku/>
        <w:wordWrap/>
        <w:overflowPunct/>
        <w:topLinePunct w:val="0"/>
        <w:autoSpaceDE/>
        <w:autoSpaceDN/>
        <w:bidi w:val="0"/>
        <w:adjustRightInd/>
        <w:snapToGrid/>
        <w:spacing w:line="360" w:lineRule="auto"/>
        <w:ind w:left="954" w:leftChars="226" w:hanging="479" w:firstLineChars="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4.2投标无效。</w:t>
      </w:r>
      <w:r>
        <w:rPr>
          <w:rFonts w:hint="eastAsia" w:ascii="宋体" w:hAnsi="宋体" w:eastAsia="宋体" w:cs="宋体"/>
          <w:b/>
          <w:bCs/>
          <w:sz w:val="24"/>
          <w:szCs w:val="24"/>
          <w:highlight w:val="none"/>
        </w:rPr>
        <w:t>有下列情形之一的，投标无效：</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4.2.2投标文件未按照招标文件要求签署、盖章的；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4.2.4</w:t>
      </w:r>
      <w:r>
        <w:rPr>
          <w:rFonts w:hint="eastAsia" w:ascii="宋体" w:hAnsi="宋体" w:eastAsia="宋体" w:cs="宋体"/>
          <w:kern w:val="0"/>
          <w:sz w:val="24"/>
          <w:szCs w:val="24"/>
          <w:highlight w:val="none"/>
        </w:rPr>
        <w:t>投标文件含有采购人不能接受的附加条件的；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4.2.5投标文件中承诺的投标有效期少于招标文件中载明的投标有效期的；</w:t>
      </w:r>
    </w:p>
    <w:p>
      <w:pPr>
        <w:pageBreakBefore w:val="0"/>
        <w:kinsoku/>
        <w:wordWrap/>
        <w:overflowPunct/>
        <w:topLinePunct w:val="0"/>
        <w:autoSpaceDE/>
        <w:autoSpaceDN/>
        <w:bidi w:val="0"/>
        <w:adjustRightInd/>
        <w:snapToGrid/>
        <w:spacing w:line="360" w:lineRule="auto"/>
        <w:ind w:firstLine="120" w:firstLineChars="50"/>
        <w:jc w:val="left"/>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4.2.6</w:t>
      </w:r>
      <w:r>
        <w:rPr>
          <w:rFonts w:hint="eastAsia" w:ascii="宋体" w:hAnsi="宋体" w:eastAsia="宋体" w:cs="宋体"/>
          <w:kern w:val="0"/>
          <w:sz w:val="24"/>
          <w:szCs w:val="24"/>
          <w:highlight w:val="none"/>
        </w:rPr>
        <w:t>投标文件出现不是唯一的、有选择性投标报价的</w:t>
      </w:r>
      <w:r>
        <w:rPr>
          <w:rFonts w:hint="eastAsia" w:ascii="宋体" w:hAnsi="宋体" w:cs="宋体"/>
          <w:kern w:val="0"/>
          <w:sz w:val="24"/>
          <w:szCs w:val="24"/>
          <w:highlight w:val="none"/>
          <w:lang w:eastAsia="zh-CN"/>
        </w:rPr>
        <w:t>；</w:t>
      </w:r>
      <w:bookmarkStart w:id="403" w:name="_GoBack"/>
      <w:bookmarkEnd w:id="403"/>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4.2.7投标报价超过招标文件中规定的预算金额或者最高限价的</w:t>
      </w:r>
      <w:r>
        <w:rPr>
          <w:rFonts w:hint="eastAsia" w:ascii="宋体" w:hAnsi="宋体" w:cs="宋体"/>
          <w:kern w:val="0"/>
          <w:sz w:val="24"/>
          <w:szCs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szCs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4.2.9投标人对根据修正原则修正后的报价不确认的；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4.2.10投标人提供虚假材料投标的；</w:t>
      </w:r>
    </w:p>
    <w:p>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4.2.12投标人仅提交备份投标文件，未在电子交易平台传输递交投标文件的，投标无效；</w:t>
      </w:r>
    </w:p>
    <w:p>
      <w:pPr>
        <w:pStyle w:val="5"/>
        <w:pageBreakBefore w:val="0"/>
        <w:kinsoku/>
        <w:wordWrap/>
        <w:overflowPunct/>
        <w:topLinePunct w:val="0"/>
        <w:autoSpaceDE/>
        <w:autoSpaceDN/>
        <w:bidi w:val="0"/>
        <w:adjustRightInd/>
        <w:snapToGrid/>
        <w:spacing w:line="360" w:lineRule="auto"/>
        <w:ind w:left="433" w:leftChars="202" w:hanging="9" w:hangingChars="4"/>
        <w:textAlignment w:val="auto"/>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4.2.14法律、法规、规章（适用本市的）及省级以上规范性文件（适用本市的）规定的其他无效情形。</w:t>
      </w:r>
    </w:p>
    <w:p>
      <w:pPr>
        <w:pStyle w:val="3"/>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5.废标。</w:t>
      </w:r>
      <w:r>
        <w:rPr>
          <w:rFonts w:hint="eastAsia" w:ascii="宋体" w:hAnsi="宋体" w:eastAsia="宋体" w:cs="宋体"/>
          <w:sz w:val="24"/>
          <w:szCs w:val="24"/>
          <w:highlight w:val="none"/>
        </w:rPr>
        <w:t>根据《中华人民共和国政府采购法》第三十六条之规定，在采购中，出现下列情形之一的，应予废标：</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5.1符合专业条件的供应商或者对招标文件作实质响应的供应商不足3家的；</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5.2出现影响采购公正的违法、违规行为的；</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5.3投标人的报价均超过了采购预算，采购人不能支付的；</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5.4因重大变故，采购任务取消的。</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废标后，采购机构应当将废标理由通知所有投标人。</w:t>
      </w:r>
    </w:p>
    <w:p>
      <w:pPr>
        <w:pStyle w:val="3"/>
        <w:pageBreakBefore w:val="0"/>
        <w:kinsoku/>
        <w:wordWrap/>
        <w:overflowPunct/>
        <w:topLinePunct w:val="0"/>
        <w:autoSpaceDE/>
        <w:autoSpaceDN/>
        <w:bidi w:val="0"/>
        <w:adjustRightInd/>
        <w:snapToGrid/>
        <w:spacing w:line="360" w:lineRule="auto"/>
        <w:ind w:firstLine="590" w:firstLineChars="245"/>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6.修改招标文件，重新组织采购活动。</w:t>
      </w:r>
      <w:r>
        <w:rPr>
          <w:rFonts w:hint="eastAsia" w:ascii="宋体" w:hAnsi="宋体" w:eastAsia="宋体" w:cs="宋体"/>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7.重新开展采购。</w:t>
      </w:r>
      <w:r>
        <w:rPr>
          <w:rFonts w:hint="eastAsia" w:ascii="宋体" w:hAnsi="宋体" w:eastAsia="宋体" w:cs="宋体"/>
          <w:sz w:val="24"/>
          <w:szCs w:val="24"/>
          <w:highlight w:val="none"/>
        </w:rPr>
        <w:t>有政府采购法第七十一条、第七十二条规定的违法行为之一，影响或者可能影响中标结果的，依照下列规定处理：</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7.1未确定中标供应商的，终止本次政府采购活动，重新开展政府采购活动。</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7.2已确定中标供应商但尚未签订政府采购合同的，中标结果无效，从合格的中标候选人中另行确定中标供应商；没有合格的中标候选人的，重新开展政府采购活动。</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7.3政府采购合同已签订但尚未履行的，撤销合同，从合格的中标候选人中另行确定中标供应商；没有合格的中标候选人的，重新开展政府采购活动。</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7.4政府采购合同已经履行，给采购人、供应商造成损失的，由责任人承担赔偿责任。</w:t>
      </w:r>
    </w:p>
    <w:p>
      <w:pPr>
        <w:pStyle w:val="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hint="eastAsia" w:ascii="宋体" w:hAnsi="宋体" w:eastAsia="宋体" w:cs="宋体"/>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bookmarkStart w:id="397" w:name="_Toc86217003"/>
    </w:p>
    <w:p>
      <w:pPr>
        <w:spacing w:line="360" w:lineRule="auto"/>
        <w:ind w:left="720" w:leftChars="343" w:firstLine="1084" w:firstLineChars="300"/>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sz w:val="36"/>
          <w:szCs w:val="36"/>
          <w:highlight w:val="none"/>
        </w:rPr>
      </w:pPr>
    </w:p>
    <w:p>
      <w:pPr>
        <w:spacing w:line="360" w:lineRule="auto"/>
        <w:ind w:left="720" w:leftChars="343" w:firstLine="1084" w:firstLineChars="300"/>
        <w:outlineLvl w:val="0"/>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477" w:firstLineChars="198"/>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特别提示：以下为合同范本，仅供参考。</w:t>
      </w:r>
      <w:r>
        <w:rPr>
          <w:rFonts w:hint="eastAsia" w:ascii="宋体" w:hAnsi="宋体" w:cs="宋体"/>
          <w:b/>
          <w:bCs/>
          <w:color w:val="auto"/>
          <w:sz w:val="24"/>
          <w:szCs w:val="24"/>
          <w:highlight w:val="none"/>
          <w:lang w:eastAsia="zh-CN"/>
        </w:rPr>
        <w:t>如合同备案时，政采云平台有合同模板，以政采云合同文本为准。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eastAsia="zh-CN"/>
        </w:rPr>
        <w:t>杭州市拱墅区科技工业功能区管理委员会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乙方根据甲方委托派出</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，负责甲方所指定</w:t>
      </w:r>
      <w:r>
        <w:rPr>
          <w:rFonts w:hint="eastAsia" w:ascii="宋体" w:hAnsi="宋体" w:cs="宋体"/>
          <w:color w:val="auto"/>
          <w:sz w:val="24"/>
          <w:szCs w:val="24"/>
          <w:highlight w:val="none"/>
          <w:lang w:eastAsia="zh-CN"/>
        </w:rPr>
        <w:t>园区范围内的巡防治安等工作</w:t>
      </w:r>
      <w:r>
        <w:rPr>
          <w:rFonts w:hint="eastAsia" w:ascii="宋体" w:hAnsi="宋体" w:eastAsia="宋体" w:cs="宋体"/>
          <w:color w:val="auto"/>
          <w:sz w:val="24"/>
          <w:szCs w:val="24"/>
          <w:highlight w:val="none"/>
        </w:rPr>
        <w:t>，不干涉甲方内部管理和内部行政事务及纠纷。如有重大变更或要求，甲方必须事先和乙方直属部门取得联系，达成一致协议，作为合同之补充。根据实施共同管理，分头负责的原则，经双方协商，特签订以下具体条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乙方向甲方提供</w:t>
      </w:r>
      <w:r>
        <w:rPr>
          <w:rFonts w:hint="eastAsia" w:ascii="宋体" w:hAnsi="宋体" w:cs="宋体"/>
          <w:color w:val="auto"/>
          <w:sz w:val="24"/>
          <w:szCs w:val="24"/>
          <w:highlight w:val="none"/>
          <w:lang w:eastAsia="zh-CN"/>
        </w:rPr>
        <w:t>园区巡防治安等工作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乙方按甲方的要求提供与保卫、安全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秩序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环境等相关的其他服务。</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1.3未尽之处按招标文件要求。</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二、运行方式</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受甲方的委托乙方全权负责甲方安全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秩序、环境等管理保卫工作，并对甲方负责。乙方向甲方派驻</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，派驻的</w:t>
      </w:r>
      <w:r>
        <w:rPr>
          <w:rFonts w:hint="eastAsia" w:ascii="宋体" w:hAnsi="宋体" w:cs="宋体"/>
          <w:color w:val="auto"/>
          <w:sz w:val="24"/>
          <w:szCs w:val="24"/>
          <w:highlight w:val="none"/>
          <w:lang w:eastAsia="zh-CN"/>
        </w:rPr>
        <w:t>保安人员统一由甲方进行日常的管理和考核工作</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合同期限：合同期限为</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r>
        <w:rPr>
          <w:rFonts w:hint="eastAsia" w:ascii="宋体" w:hAnsi="宋体"/>
          <w:sz w:val="24"/>
          <w:highlight w:val="none"/>
        </w:rPr>
        <w:t>合同约定的服务期满，甲方如有需要，可要求乙方延续提供1-3个月的服务，费用标准按原合同规定执行。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服务人数：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个，（具体人员名单签订合同时作为合同附件）。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乙方向</w:t>
      </w:r>
      <w:r>
        <w:rPr>
          <w:rFonts w:hint="eastAsia" w:ascii="宋体" w:hAnsi="宋体" w:eastAsia="宋体" w:cs="宋体"/>
          <w:color w:val="auto"/>
          <w:sz w:val="24"/>
          <w:szCs w:val="24"/>
          <w:highlight w:val="none"/>
        </w:rPr>
        <w:t>甲方选派</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w:t>
      </w:r>
      <w:r>
        <w:rPr>
          <w:rFonts w:hint="eastAsia" w:ascii="宋体" w:hAnsi="宋体"/>
          <w:sz w:val="24"/>
          <w:highlight w:val="none"/>
          <w:lang w:val="en-US" w:eastAsia="zh-CN"/>
        </w:rPr>
        <w:t>需经</w:t>
      </w:r>
      <w:r>
        <w:rPr>
          <w:rFonts w:hint="eastAsia" w:cs="宋体"/>
          <w:bCs/>
          <w:color w:val="auto"/>
          <w:sz w:val="24"/>
          <w:highlight w:val="none"/>
          <w:lang w:eastAsia="zh-CN"/>
        </w:rPr>
        <w:t>派驻</w:t>
      </w:r>
      <w:r>
        <w:rPr>
          <w:rFonts w:hint="eastAsia" w:cs="宋体"/>
          <w:bCs/>
          <w:color w:val="auto"/>
          <w:sz w:val="24"/>
          <w:highlight w:val="none"/>
          <w:lang w:val="en-US" w:eastAsia="zh-CN"/>
        </w:rPr>
        <w:t>单位</w:t>
      </w:r>
      <w:r>
        <w:rPr>
          <w:rFonts w:hint="eastAsia" w:cs="宋体"/>
          <w:bCs/>
          <w:color w:val="auto"/>
          <w:sz w:val="24"/>
          <w:highlight w:val="none"/>
          <w:lang w:eastAsia="zh-CN"/>
        </w:rPr>
        <w:t>祥符***</w:t>
      </w:r>
      <w:r>
        <w:rPr>
          <w:rFonts w:hint="eastAsia" w:cs="宋体"/>
          <w:bCs/>
          <w:color w:val="auto"/>
          <w:sz w:val="24"/>
          <w:highlight w:val="none"/>
          <w:lang w:val="en-US" w:eastAsia="zh-CN"/>
        </w:rPr>
        <w:t>、康桥***的</w:t>
      </w:r>
      <w:r>
        <w:rPr>
          <w:rFonts w:hint="eastAsia" w:ascii="宋体" w:hAnsi="宋体"/>
          <w:sz w:val="24"/>
          <w:highlight w:val="none"/>
          <w:lang w:val="en-US" w:eastAsia="zh-CN"/>
        </w:rPr>
        <w:t>面试并签字确认</w:t>
      </w:r>
      <w:r>
        <w:rPr>
          <w:rFonts w:hint="eastAsia" w:ascii="宋体" w:hAnsi="宋体"/>
          <w:sz w:val="24"/>
          <w:highlight w:val="none"/>
          <w:lang w:val="en-US" w:eastAsia="zh-CN"/>
        </w:rPr>
        <w:t>；</w:t>
      </w:r>
      <w:r>
        <w:rPr>
          <w:rFonts w:hint="eastAsia" w:ascii="宋体" w:hAnsi="宋体" w:eastAsia="宋体" w:cs="宋体"/>
          <w:color w:val="auto"/>
          <w:sz w:val="24"/>
          <w:szCs w:val="24"/>
          <w:highlight w:val="none"/>
        </w:rPr>
        <w:t>甲方有权根据</w:t>
      </w:r>
      <w:r>
        <w:rPr>
          <w:rFonts w:hint="eastAsia" w:cs="宋体"/>
          <w:bCs/>
          <w:color w:val="auto"/>
          <w:sz w:val="24"/>
          <w:highlight w:val="none"/>
          <w:lang w:eastAsia="zh-CN"/>
        </w:rPr>
        <w:t>派驻</w:t>
      </w:r>
      <w:r>
        <w:rPr>
          <w:rFonts w:hint="eastAsia" w:cs="宋体"/>
          <w:bCs/>
          <w:color w:val="auto"/>
          <w:sz w:val="24"/>
          <w:highlight w:val="none"/>
          <w:lang w:val="en-US" w:eastAsia="zh-CN"/>
        </w:rPr>
        <w:t>单位</w:t>
      </w:r>
      <w:r>
        <w:rPr>
          <w:rFonts w:hint="eastAsia" w:ascii="宋体" w:hAnsi="宋体" w:eastAsia="宋体" w:cs="宋体"/>
          <w:color w:val="auto"/>
          <w:sz w:val="24"/>
          <w:szCs w:val="24"/>
          <w:highlight w:val="none"/>
        </w:rPr>
        <w:t>工作需要随时增减</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人数，需增加或减少</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eastAsia="zh-CN"/>
        </w:rPr>
        <w:t>要</w:t>
      </w:r>
      <w:r>
        <w:rPr>
          <w:rFonts w:hint="eastAsia" w:ascii="宋体" w:hAnsi="宋体" w:eastAsia="宋体" w:cs="宋体"/>
          <w:color w:val="auto"/>
          <w:sz w:val="24"/>
          <w:szCs w:val="24"/>
          <w:highlight w:val="none"/>
        </w:rPr>
        <w:t>提前3个工作日书面通知乙方。乙方每月月末向甲方书面上报下月排班表、岗位表。</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2.4执勤时间：每天24小时全天候不间断执勤。分2班执勤。</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2.5服务费用及支付</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2.5.1本合同共</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w:t>
      </w:r>
      <w:r>
        <w:rPr>
          <w:rFonts w:hint="eastAsia" w:ascii="宋体" w:hAnsi="宋体"/>
          <w:sz w:val="24"/>
          <w:highlight w:val="none"/>
        </w:rPr>
        <w:t>甲方支付乙方</w:t>
      </w:r>
      <w:r>
        <w:rPr>
          <w:rFonts w:hint="eastAsia" w:ascii="宋体" w:hAnsi="宋体"/>
          <w:sz w:val="24"/>
          <w:highlight w:val="none"/>
          <w:lang w:val="en-US" w:eastAsia="zh-CN"/>
        </w:rPr>
        <w:t>管理费</w:t>
      </w:r>
      <w:r>
        <w:rPr>
          <w:rFonts w:hint="eastAsia" w:ascii="宋体" w:hAnsi="宋体"/>
          <w:sz w:val="24"/>
          <w:highlight w:val="none"/>
        </w:rPr>
        <w:t>每人每月</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eastAsia="宋体" w:cs="宋体"/>
          <w:b w:val="0"/>
          <w:bCs/>
          <w:sz w:val="24"/>
          <w:highlight w:val="none"/>
          <w:lang w:eastAsia="zh-CN"/>
        </w:rPr>
        <w:t>除管理费以外费用全部用于人员工资奖金、社会保险、人身意外伤害险、残疾人保障金、工作日及节假日加班费、高温费、职务津贴、票面税金等各项费用，</w:t>
      </w:r>
      <w:r>
        <w:rPr>
          <w:rFonts w:hint="eastAsia" w:ascii="宋体" w:hAnsi="宋体" w:eastAsia="宋体" w:cs="宋体"/>
          <w:b w:val="0"/>
          <w:bCs/>
          <w:sz w:val="24"/>
          <w:highlight w:val="none"/>
          <w:lang w:val="en-US" w:eastAsia="zh-CN"/>
        </w:rPr>
        <w:t>具体</w:t>
      </w:r>
      <w:r>
        <w:rPr>
          <w:rFonts w:hint="eastAsia" w:ascii="宋体" w:hAnsi="宋体" w:eastAsia="宋体" w:cs="宋体"/>
          <w:b w:val="0"/>
          <w:bCs/>
          <w:sz w:val="24"/>
          <w:highlight w:val="none"/>
          <w:lang w:eastAsia="zh-CN"/>
        </w:rPr>
        <w:t>费用由双方协商确定，按实结算，</w:t>
      </w:r>
      <w:r>
        <w:rPr>
          <w:rFonts w:hint="eastAsia" w:ascii="宋体" w:hAnsi="宋体" w:eastAsia="宋体" w:cs="宋体"/>
          <w:b w:val="0"/>
          <w:bCs/>
          <w:sz w:val="24"/>
          <w:highlight w:val="none"/>
          <w:lang w:val="en-US" w:eastAsia="zh-CN"/>
        </w:rPr>
        <w:t>平均</w:t>
      </w:r>
      <w:r>
        <w:rPr>
          <w:rFonts w:hint="eastAsia" w:ascii="宋体" w:hAnsi="宋体" w:eastAsia="宋体" w:cs="宋体"/>
          <w:b w:val="0"/>
          <w:bCs/>
          <w:sz w:val="24"/>
          <w:highlight w:val="none"/>
        </w:rPr>
        <w:t>个人</w:t>
      </w:r>
      <w:r>
        <w:rPr>
          <w:rFonts w:hint="eastAsia" w:ascii="宋体" w:hAnsi="宋体" w:eastAsia="宋体" w:cs="宋体"/>
          <w:b w:val="0"/>
          <w:bCs/>
          <w:sz w:val="24"/>
          <w:highlight w:val="none"/>
          <w:lang w:eastAsia="zh-CN"/>
        </w:rPr>
        <w:t>总</w:t>
      </w:r>
      <w:r>
        <w:rPr>
          <w:rFonts w:hint="eastAsia" w:ascii="宋体" w:hAnsi="宋体" w:eastAsia="宋体" w:cs="宋体"/>
          <w:b w:val="0"/>
          <w:bCs/>
          <w:sz w:val="24"/>
          <w:highlight w:val="none"/>
        </w:rPr>
        <w:t>费用不超过</w:t>
      </w:r>
      <w:r>
        <w:rPr>
          <w:rFonts w:hint="eastAsia" w:ascii="宋体" w:hAnsi="宋体" w:cs="宋体"/>
          <w:b w:val="0"/>
          <w:bCs/>
          <w:sz w:val="24"/>
          <w:highlight w:val="none"/>
          <w:u w:val="single"/>
          <w:lang w:val="en-US" w:eastAsia="zh-CN"/>
        </w:rPr>
        <w:t xml:space="preserve">      </w:t>
      </w:r>
      <w:r>
        <w:rPr>
          <w:rFonts w:hint="eastAsia" w:ascii="宋体" w:hAnsi="宋体" w:eastAsia="宋体" w:cs="宋体"/>
          <w:b w:val="0"/>
          <w:bCs/>
          <w:sz w:val="24"/>
          <w:highlight w:val="none"/>
          <w:u w:val="none"/>
        </w:rPr>
        <w:t>万元/人/年</w:t>
      </w:r>
      <w:r>
        <w:rPr>
          <w:rFonts w:hint="eastAsia" w:ascii="宋体" w:hAnsi="宋体" w:eastAsia="宋体" w:cs="宋体"/>
          <w:b w:val="0"/>
          <w:bCs/>
          <w:sz w:val="24"/>
          <w:highlight w:val="none"/>
          <w:u w:val="none"/>
          <w:lang w:eastAsia="zh-CN"/>
        </w:rPr>
        <w:t>（</w:t>
      </w:r>
      <w:r>
        <w:rPr>
          <w:rFonts w:hint="eastAsia" w:ascii="宋体" w:hAnsi="宋体" w:eastAsia="宋体" w:cs="宋体"/>
          <w:b w:val="0"/>
          <w:bCs/>
          <w:sz w:val="24"/>
          <w:highlight w:val="none"/>
          <w:u w:val="none"/>
          <w:lang w:val="en-US" w:eastAsia="zh-CN"/>
        </w:rPr>
        <w:t>含管理费）</w:t>
      </w:r>
      <w:r>
        <w:rPr>
          <w:rFonts w:hint="eastAsia" w:ascii="宋体" w:hAnsi="宋体" w:eastAsia="宋体" w:cs="宋体"/>
          <w:b w:val="0"/>
          <w:bCs/>
          <w:sz w:val="24"/>
          <w:highlight w:val="none"/>
        </w:rPr>
        <w:t>；</w:t>
      </w:r>
      <w:r>
        <w:rPr>
          <w:rFonts w:hint="eastAsia" w:ascii="宋体" w:hAnsi="宋体"/>
          <w:sz w:val="24"/>
          <w:highlight w:val="none"/>
        </w:rPr>
        <w:t>乙方完成当月工作，甲方根据考勤结果在次月支付上月费用。</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甲方每月对乙方工作情况进行</w:t>
      </w:r>
      <w:r>
        <w:rPr>
          <w:rFonts w:hint="eastAsia" w:ascii="宋体" w:hAnsi="宋体" w:eastAsia="宋体" w:cs="宋体"/>
          <w:color w:val="auto"/>
          <w:sz w:val="24"/>
          <w:szCs w:val="24"/>
          <w:highlight w:val="none"/>
          <w:lang w:val="en-US" w:eastAsia="zh-CN"/>
        </w:rPr>
        <w:t>统一</w:t>
      </w:r>
      <w:r>
        <w:rPr>
          <w:rFonts w:hint="eastAsia" w:ascii="宋体" w:hAnsi="宋体" w:eastAsia="宋体" w:cs="宋体"/>
          <w:color w:val="auto"/>
          <w:sz w:val="24"/>
          <w:szCs w:val="24"/>
          <w:highlight w:val="none"/>
        </w:rPr>
        <w:t>考核（考核细则由甲方指定，作为合同附件），考核不合格时，扣除当月服务费的5%，在服务期内出现两次考核不合格的，甲方有权单方终止</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合同。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支付方式：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合同生效、具备</w:t>
      </w:r>
      <w:r>
        <w:rPr>
          <w:rFonts w:hint="eastAsia" w:ascii="宋体" w:hAnsi="宋体" w:eastAsia="宋体" w:cs="宋体"/>
          <w:color w:val="auto"/>
          <w:sz w:val="24"/>
          <w:szCs w:val="24"/>
          <w:highlight w:val="none"/>
          <w:lang w:val="en-US" w:eastAsia="zh-CN"/>
        </w:rPr>
        <w:t>支付条件后15天内，甲方凭乙方开具的发票支付合同总价的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%作为预付款给乙方。2）按月支付，根据每月考核情况按实结算（当月实际支付金额为当月按实结算金额-预付款金额（即合同总价的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%），若当月按实结算金额小于预付款金额（即合同总价的</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%），则从下个月中扣不足部分，依此类推，直至扣回全部预付款），甲方于乙方开具的发票日后一月内支付。</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甲方支付乙方每人每月的</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费中</w:t>
      </w:r>
      <w:r>
        <w:rPr>
          <w:rFonts w:hint="eastAsia" w:ascii="宋体" w:hAnsi="宋体" w:eastAsia="宋体" w:cs="宋体"/>
          <w:color w:val="auto"/>
          <w:sz w:val="24"/>
          <w:szCs w:val="24"/>
          <w:highlight w:val="none"/>
          <w:lang w:eastAsia="zh-CN"/>
        </w:rPr>
        <w:t>包含</w:t>
      </w:r>
      <w:r>
        <w:rPr>
          <w:rFonts w:hint="eastAsia" w:ascii="宋体" w:hAnsi="宋体" w:cs="宋体"/>
          <w:color w:val="auto"/>
          <w:sz w:val="24"/>
          <w:szCs w:val="24"/>
          <w:highlight w:val="none"/>
          <w:lang w:eastAsia="zh-CN"/>
        </w:rPr>
        <w:t>个人管理费、其他费用（包括</w:t>
      </w:r>
      <w:r>
        <w:rPr>
          <w:rFonts w:hint="eastAsia" w:ascii="宋体" w:hAnsi="宋体" w:eastAsia="宋体" w:cs="宋体"/>
          <w:bCs/>
          <w:color w:val="auto"/>
          <w:sz w:val="24"/>
          <w:szCs w:val="24"/>
          <w:highlight w:val="none"/>
        </w:rPr>
        <w:t>人员工资、社会保险、人身意外伤害险、残疾人保障金、</w:t>
      </w:r>
      <w:r>
        <w:rPr>
          <w:rFonts w:hint="eastAsia" w:ascii="宋体" w:hAnsi="宋体" w:cs="宋体"/>
          <w:bCs/>
          <w:color w:val="auto"/>
          <w:sz w:val="24"/>
          <w:szCs w:val="24"/>
          <w:highlight w:val="none"/>
          <w:lang w:eastAsia="zh-CN"/>
        </w:rPr>
        <w:t>工作日及</w:t>
      </w:r>
      <w:r>
        <w:rPr>
          <w:rFonts w:hint="eastAsia" w:ascii="宋体" w:hAnsi="宋体" w:eastAsia="宋体" w:cs="宋体"/>
          <w:bCs/>
          <w:color w:val="auto"/>
          <w:sz w:val="24"/>
          <w:szCs w:val="24"/>
          <w:highlight w:val="none"/>
        </w:rPr>
        <w:t>节假日加班、</w:t>
      </w:r>
      <w:r>
        <w:rPr>
          <w:rFonts w:hint="eastAsia" w:hAnsi="宋体" w:eastAsia="宋体" w:cs="宋体"/>
          <w:bCs/>
          <w:color w:val="auto"/>
          <w:sz w:val="24"/>
          <w:szCs w:val="24"/>
          <w:highlight w:val="none"/>
          <w:lang w:eastAsia="zh-CN"/>
        </w:rPr>
        <w:t>高温费、职务津贴</w:t>
      </w:r>
      <w:r>
        <w:rPr>
          <w:rFonts w:hint="eastAsia" w:ascii="宋体" w:hAnsi="宋体" w:eastAsia="宋体" w:cs="宋体"/>
          <w:bCs/>
          <w:color w:val="auto"/>
          <w:sz w:val="24"/>
          <w:szCs w:val="24"/>
          <w:highlight w:val="none"/>
        </w:rPr>
        <w:t>、票面税金等</w:t>
      </w:r>
      <w:r>
        <w:rPr>
          <w:rFonts w:hint="eastAsia" w:ascii="宋体" w:hAnsi="宋体" w:cs="宋体"/>
          <w:bCs/>
          <w:color w:val="auto"/>
          <w:sz w:val="24"/>
          <w:szCs w:val="24"/>
          <w:highlight w:val="none"/>
          <w:lang w:eastAsia="zh-CN"/>
        </w:rPr>
        <w:t>各项</w:t>
      </w:r>
      <w:r>
        <w:rPr>
          <w:rFonts w:hint="eastAsia" w:ascii="宋体" w:hAnsi="宋体" w:eastAsia="宋体" w:cs="宋体"/>
          <w:bCs/>
          <w:color w:val="auto"/>
          <w:sz w:val="24"/>
          <w:szCs w:val="24"/>
          <w:highlight w:val="none"/>
        </w:rPr>
        <w:t>费用</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三、管理</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上岗必须统一着装（着特保人员服装及</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服、系武装带、配警棍，关键岗和巡逻人员配对讲机），坚守岗位、履行职责、文明执勤、保守机密。</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所需的费用均已包含在每月的</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服务费中。</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乙方</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要遵守并严格执行甲方制定的所有规章制度，接受甲方的统一管理，维护甲方的利益，保障甲方的财产安全。</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乙方必须严格管理，制定内部规章及考核处罚规定，并严格检查考核，按月将检查考核情况报甲方管理人员。</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甲方有权随时对乙方</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进行检查，有权对违规或不称职</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提出处罚、调换的要求，乙方必须接受；</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在履行合同时，不得擅自挪用甲方的公物和财产。</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乙方应建立并完善各项管理制度与应急预案，加强日常培训与演练，保障他人人身和财产安全，预防各类刑事案件和治安事件的发生。若因乙方监管不力、管理不善或</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工作失职等原因，造成甲方损失的，甲方将视情节严重，扣除当月考核奖，并向乙方追偿相应损失。造成甲方损失严重的，甲方有权扣除履约保证金、单方解除合约，并追究乙方法律责任。</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 </w:t>
      </w:r>
      <w:r>
        <w:rPr>
          <w:rFonts w:hint="eastAsia" w:ascii="宋体" w:hAnsi="宋体" w:cs="宋体"/>
          <w:color w:val="auto"/>
          <w:sz w:val="24"/>
          <w:szCs w:val="24"/>
          <w:highlight w:val="none"/>
          <w:lang w:eastAsia="zh-CN"/>
        </w:rPr>
        <w:t>保安人员</w:t>
      </w:r>
      <w:r>
        <w:rPr>
          <w:rFonts w:hint="eastAsia" w:ascii="宋体" w:hAnsi="宋体" w:eastAsia="宋体" w:cs="宋体"/>
          <w:color w:val="auto"/>
          <w:sz w:val="24"/>
          <w:szCs w:val="24"/>
          <w:highlight w:val="none"/>
        </w:rPr>
        <w:t>在执勤期间，为确保甲方生命和财产免遭损失而发生受伤致残、身亡事故，甲、乙双方就伤害程度经协商后共同承担经济补偿责任。</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四、本合同如需终止，双方必须提前</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个月通知对方，经双方协商确定。如单方擅自终止合同，应支付对方违约金。</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五、未尽事宜，由双方协商解决，并以补充合同的方式加以确认，如协商不成，向甲方所在地人民法院提起诉讼。</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六、本合同一式陆份，甲方执肆份，乙方执贰份，合同经双方代表签字盖章后生效。</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附合同附件：1、考核细则； 2、廉政协议书； </w:t>
      </w:r>
    </w:p>
    <w:p>
      <w:pPr>
        <w:keepNext w:val="0"/>
        <w:keepLines w:val="0"/>
        <w:pageBreakBefore w:val="0"/>
        <w:widowControl w:val="0"/>
        <w:kinsoku/>
        <w:wordWrap/>
        <w:overflowPunct/>
        <w:topLinePunct w:val="0"/>
        <w:autoSpaceDE w:val="0"/>
        <w:autoSpaceDN w:val="0"/>
        <w:bidi w:val="0"/>
        <w:adjustRightInd/>
        <w:snapToGrid/>
        <w:spacing w:line="360" w:lineRule="auto"/>
        <w:ind w:firstLine="440"/>
        <w:jc w:val="left"/>
        <w:textAlignment w:val="auto"/>
        <w:rPr>
          <w:rFonts w:hint="eastAsia" w:ascii="宋体" w:hAnsi="宋体" w:eastAsia="宋体" w:cs="宋体"/>
          <w:color w:val="auto"/>
          <w:spacing w:val="-10"/>
          <w:sz w:val="24"/>
          <w:szCs w:val="24"/>
          <w:highlight w:val="none"/>
        </w:rPr>
      </w:pPr>
    </w:p>
    <w:p>
      <w:pPr>
        <w:keepNext w:val="0"/>
        <w:keepLines w:val="0"/>
        <w:pageBreakBefore w:val="0"/>
        <w:widowControl w:val="0"/>
        <w:tabs>
          <w:tab w:val="left" w:pos="0"/>
        </w:tabs>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pPr>
        <w:keepNext w:val="0"/>
        <w:keepLines w:val="0"/>
        <w:pageBreakBefore w:val="0"/>
        <w:widowControl w:val="0"/>
        <w:tabs>
          <w:tab w:val="left" w:pos="0"/>
        </w:tabs>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                               （签章）</w:t>
      </w:r>
    </w:p>
    <w:p>
      <w:pPr>
        <w:keepNext w:val="0"/>
        <w:keepLines w:val="0"/>
        <w:pageBreakBefore w:val="0"/>
        <w:widowControl w:val="0"/>
        <w:tabs>
          <w:tab w:val="left" w:pos="0"/>
        </w:tabs>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法人代表或其授权代理人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法人代表或其授权代理人</w:t>
      </w:r>
    </w:p>
    <w:p>
      <w:pPr>
        <w:keepNext w:val="0"/>
        <w:keepLines w:val="0"/>
        <w:pageBreakBefore w:val="0"/>
        <w:widowControl w:val="0"/>
        <w:tabs>
          <w:tab w:val="left" w:pos="0"/>
        </w:tabs>
        <w:kinsoku/>
        <w:wordWrap/>
        <w:overflowPunct/>
        <w:topLinePunct w:val="0"/>
        <w:bidi w:val="0"/>
        <w:adjustRightInd/>
        <w:snapToGrid/>
        <w:spacing w:line="360" w:lineRule="auto"/>
        <w:ind w:firstLine="14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pPr>
        <w:keepNext w:val="0"/>
        <w:keepLines w:val="0"/>
        <w:pageBreakBefore w:val="0"/>
        <w:widowControl w:val="0"/>
        <w:tabs>
          <w:tab w:val="left" w:pos="0"/>
        </w:tabs>
        <w:kinsoku/>
        <w:wordWrap/>
        <w:overflowPunct/>
        <w:topLinePunct w:val="0"/>
        <w:bidi w:val="0"/>
        <w:adjustRightInd/>
        <w:snapToGrid/>
        <w:spacing w:line="360" w:lineRule="auto"/>
        <w:ind w:firstLine="1440"/>
        <w:textAlignment w:val="auto"/>
        <w:rPr>
          <w:rFonts w:hint="eastAsia" w:ascii="宋体" w:hAnsi="宋体" w:eastAsia="宋体" w:cs="宋体"/>
          <w:color w:val="auto"/>
          <w:sz w:val="24"/>
          <w:szCs w:val="24"/>
          <w:highlight w:val="none"/>
        </w:rPr>
        <w:sectPr>
          <w:headerReference r:id="rId6" w:type="default"/>
          <w:footerReference r:id="rId7" w:type="default"/>
          <w:pgSz w:w="11907" w:h="16840"/>
          <w:pgMar w:top="1440" w:right="1080" w:bottom="1440" w:left="1080" w:header="851" w:footer="992" w:gutter="0"/>
          <w:pgNumType w:fmt="decimal"/>
          <w:cols w:space="720" w:num="1"/>
          <w:docGrid w:linePitch="312" w:charSpace="0"/>
        </w:sectPr>
      </w:pPr>
    </w:p>
    <w:p>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合同附件1</w:t>
      </w:r>
    </w:p>
    <w:p>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考核细则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1、新入职</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必须接受</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公司的岗前培训，所有</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必须持证上岗（25分）；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公司（公司的管理人员组织，大队长及以上级别）每月至少组织一次大规模的队伍训练（队列训练、体能测试、消防疏散、逃生、灭火器使用、车辆指挥手势训练、应急突发性事件的演练等内容（25分）；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公司（公司的管理人员组织，大队长及以上级别）另每月组织不少于一次的特保队员（不含第二条），体能测试、消防技能测试、园区的安防、消防设施的熟悉程度等技能考核（25分）。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s="宋体"/>
          <w:color w:val="auto"/>
          <w:sz w:val="24"/>
          <w:highlight w:val="none"/>
          <w:lang w:eastAsia="zh-CN"/>
        </w:rPr>
        <w:t>保安人员</w:t>
      </w:r>
      <w:r>
        <w:rPr>
          <w:rFonts w:hint="eastAsia" w:ascii="宋体" w:hAnsi="宋体" w:eastAsia="宋体" w:cs="宋体"/>
          <w:color w:val="auto"/>
          <w:sz w:val="24"/>
          <w:highlight w:val="none"/>
        </w:rPr>
        <w:t>公司管理层与我方管理部门每月召开至少一次的工作例会（25分）；</w:t>
      </w:r>
    </w:p>
    <w:p>
      <w:pPr>
        <w:spacing w:line="360" w:lineRule="auto"/>
        <w:ind w:firstLine="480" w:firstLineChars="200"/>
        <w:rPr>
          <w:rFonts w:hint="eastAsia" w:ascii="宋体" w:hAnsi="宋体" w:eastAsia="宋体" w:cs="宋体"/>
          <w:color w:val="auto"/>
          <w:highlight w:val="none"/>
        </w:rPr>
        <w:sectPr>
          <w:pgSz w:w="11907" w:h="16840"/>
          <w:pgMar w:top="1440" w:right="1080" w:bottom="1440" w:left="1080" w:header="851" w:footer="992" w:gutter="0"/>
          <w:pgNumType w:fmt="decimal"/>
          <w:cols w:space="720" w:num="1"/>
          <w:docGrid w:linePitch="312" w:charSpace="0"/>
        </w:sectPr>
      </w:pPr>
      <w:r>
        <w:rPr>
          <w:rFonts w:hint="eastAsia" w:ascii="宋体" w:hAnsi="宋体" w:eastAsia="宋体" w:cs="宋体"/>
          <w:color w:val="auto"/>
          <w:sz w:val="24"/>
          <w:highlight w:val="none"/>
        </w:rPr>
        <w:t>5、考核得分80分以上（包含80分）即为合格</w:t>
      </w:r>
      <w:r>
        <w:rPr>
          <w:rFonts w:hint="eastAsia" w:ascii="宋体" w:hAnsi="宋体" w:eastAsia="宋体" w:cs="宋体"/>
          <w:color w:val="auto"/>
          <w:highlight w:val="none"/>
        </w:rPr>
        <w:t xml:space="preserve"> 。</w:t>
      </w:r>
    </w:p>
    <w:p>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合同附件2</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廉政协议书</w:t>
      </w:r>
    </w:p>
    <w:p>
      <w:pPr>
        <w:widowControl/>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 </w:t>
      </w:r>
      <w:r>
        <w:rPr>
          <w:rFonts w:hint="eastAsia" w:ascii="宋体" w:hAnsi="宋体" w:eastAsia="宋体" w:cs="宋体"/>
          <w:b w:val="0"/>
          <w:bCs/>
          <w:color w:val="auto"/>
          <w:sz w:val="24"/>
          <w:szCs w:val="24"/>
          <w:highlight w:val="none"/>
          <w:u w:val="single"/>
          <w:lang w:eastAsia="zh-CN"/>
        </w:rPr>
        <w:t>杭州市拱墅区科技工业功能区管理委员会</w:t>
      </w:r>
    </w:p>
    <w:p>
      <w:pPr>
        <w:widowControl/>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为了进一步规范园区采购，认真贯彻公平、公正、公开的原则，建立有效的反商业贿赂机制，加强党风廉政建设，防止经营活动中不正之风和腐败现象的发生，经双方协商同意，签订本协议。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协议双方须严格遵守国家法律和廉政建设各项规定及采购合同。双方有相互监督、遵纪守法、履行合同的义务和权利。</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乙方对甲方及有关工作人员的违法违纪行为和不正当要求，可及时据实向甲方纪检、监察部门投诉和举报。</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第五条  对违反本协议者，根据其后果和违纪程度，可以做出以下处理：批评、诫勉；党纪政纪处分；追究法律责任；追究违约方经济责任；中止合同。    </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本协议贯穿于整个经营过程，在产品验收时：应一并考核本协议的履行结果。</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园区监察部门负责本合同的廉政监督，投诉、举报受理和违法违纪行为的查处。</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本协议作为双方合同的附件，经双方签署后生效。</w:t>
      </w:r>
    </w:p>
    <w:p>
      <w:pPr>
        <w:widowControl/>
        <w:spacing w:line="360" w:lineRule="auto"/>
        <w:ind w:firstLine="240" w:firstLineChars="100"/>
        <w:jc w:val="left"/>
        <w:rPr>
          <w:rFonts w:hint="eastAsia" w:ascii="宋体" w:hAnsi="宋体" w:eastAsia="宋体" w:cs="宋体"/>
          <w:color w:val="auto"/>
          <w:sz w:val="24"/>
          <w:highlight w:val="none"/>
        </w:rPr>
      </w:pPr>
    </w:p>
    <w:p>
      <w:pPr>
        <w:pStyle w:val="80"/>
        <w:rPr>
          <w:rFonts w:hint="eastAsia"/>
          <w:highlight w:val="none"/>
          <w:lang w:val="zh-CN"/>
        </w:rPr>
      </w:pPr>
      <w:r>
        <w:rPr>
          <w:rFonts w:hint="eastAsia" w:ascii="宋体" w:hAnsi="宋体" w:eastAsia="宋体" w:cs="宋体"/>
          <w:color w:val="auto"/>
          <w:sz w:val="24"/>
          <w:highlight w:val="none"/>
        </w:rPr>
        <w:t>甲方(盖章)：                          乙方(盖章、签字) ：</w:t>
      </w:r>
    </w:p>
    <w:p>
      <w:pPr>
        <w:rPr>
          <w:rFonts w:hint="eastAsia" w:ascii="宋体" w:hAnsi="宋体" w:cs="宋体"/>
          <w:color w:val="000000"/>
          <w:sz w:val="24"/>
          <w:highlight w:val="none"/>
        </w:rPr>
      </w:pPr>
      <w:r>
        <w:rPr>
          <w:rFonts w:hint="eastAsia" w:ascii="宋体" w:hAnsi="宋体" w:cs="宋体"/>
          <w:color w:val="000000"/>
          <w:sz w:val="24"/>
          <w:highlight w:val="none"/>
        </w:rPr>
        <w:br w:type="page"/>
      </w:r>
    </w:p>
    <w:p>
      <w:pPr>
        <w:pStyle w:val="2"/>
        <w:spacing w:line="360" w:lineRule="auto"/>
        <w:ind w:left="0" w:leftChars="0" w:firstLine="0" w:firstLineChars="0"/>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 xml:space="preserve">第六部分 </w:t>
      </w:r>
      <w:bookmarkEnd w:id="397"/>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72" w:firstLineChars="196"/>
        <w:jc w:val="left"/>
        <w:rPr>
          <w:rFonts w:hint="eastAsia" w:ascii="宋体" w:hAnsi="宋体" w:eastAsia="宋体" w:cs="宋体"/>
          <w:b/>
          <w:sz w:val="24"/>
          <w:highlight w:val="none"/>
        </w:rPr>
      </w:pPr>
    </w:p>
    <w:p>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firstLine="480" w:firstLineChars="200"/>
        <w:rPr>
          <w:rFonts w:hint="eastAsia" w:ascii="宋体" w:hAnsi="宋体" w:eastAsia="宋体" w:cs="宋体"/>
          <w:sz w:val="24"/>
          <w:highlight w:val="none"/>
        </w:rPr>
      </w:pP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w:t>
      </w:r>
    </w:p>
    <w:p>
      <w:pPr>
        <w:snapToGrid w:val="0"/>
        <w:spacing w:line="360" w:lineRule="auto"/>
        <w:jc w:val="right"/>
        <w:rPr>
          <w:rFonts w:hint="eastAsia" w:ascii="宋体" w:hAnsi="宋体" w:eastAsia="宋体" w:cs="宋体"/>
          <w:kern w:val="0"/>
          <w:sz w:val="24"/>
          <w:highlight w:val="none"/>
          <w:lang w:val="zh-CN"/>
        </w:rPr>
      </w:pP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pPr>
        <w:snapToGrid w:val="0"/>
        <w:spacing w:line="360" w:lineRule="auto"/>
        <w:jc w:val="righ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ind w:left="150"/>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spacing w:line="360" w:lineRule="auto"/>
        <w:ind w:right="420"/>
        <w:jc w:val="center"/>
        <w:rPr>
          <w:rFonts w:hint="eastAsia" w:ascii="宋体" w:hAnsi="宋体" w:eastAsia="宋体" w:cs="宋体"/>
          <w:b/>
          <w:kern w:val="0"/>
          <w:sz w:val="24"/>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numPr>
          <w:ilvl w:val="0"/>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投标函……………………………………………………………………（页码）</w:t>
      </w:r>
    </w:p>
    <w:p>
      <w:pPr>
        <w:numPr>
          <w:ilvl w:val="0"/>
          <w:numId w:val="0"/>
        </w:num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授权委托书或法定代表人（单位负责人、自然人本人）身份证明…（页码）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（3）联合协议…………………………………………………………………（页码）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（4）分包意向协议……………………………………………………………（页码）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（5）符合性审查资料…………………………………………………………（页码）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（6）评标标准相应的商务技术资料…………………………………………（页码）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）商务技术偏离表…………………………………………………………（页码）</w:t>
      </w:r>
    </w:p>
    <w:p>
      <w:pPr>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sz w:val="24"/>
          <w:szCs w:val="24"/>
          <w:highlight w:val="none"/>
          <w14:textFill>
            <w14:solidFill>
              <w14:schemeClr w14:val="tx1"/>
            </w14:solidFill>
          </w14:textFill>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both"/>
        <w:outlineLvl w:val="0"/>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2.1.1承诺函；</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2.2.6评标标准相应的商务技术资料；</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商务技术偏离表；</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3600" w:firstLineChars="1500"/>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3600" w:firstLineChars="15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日期：  年   月   日</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4200" w:firstLineChars="1750"/>
        <w:textAlignment w:val="auto"/>
        <w:rPr>
          <w:rFonts w:hint="eastAsia" w:ascii="宋体" w:hAnsi="宋体" w:eastAsia="宋体" w:cs="宋体"/>
          <w:kern w:val="0"/>
          <w:sz w:val="24"/>
          <w:highlight w:val="none"/>
          <w:u w:val="single"/>
        </w:rPr>
      </w:pPr>
    </w:p>
    <w:p>
      <w:pPr>
        <w:keepNext w:val="0"/>
        <w:keepLines w:val="0"/>
        <w:pageBreakBefore w:val="0"/>
        <w:widowControl w:val="0"/>
        <w:kinsoku/>
        <w:wordWrap/>
        <w:overflowPunct/>
        <w:topLinePunct w:val="0"/>
        <w:autoSpaceDE/>
        <w:autoSpaceDN/>
        <w:bidi w:val="0"/>
        <w:adjustRightInd/>
        <w:spacing w:line="360" w:lineRule="auto"/>
        <w:ind w:right="420"/>
        <w:textAlignment w:val="auto"/>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napToGrid w:val="0"/>
        <w:spacing w:line="360" w:lineRule="auto"/>
        <w:jc w:val="center"/>
        <w:rPr>
          <w:rFonts w:hint="eastAsia" w:ascii="宋体" w:hAnsi="宋体" w:eastAsia="宋体" w:cs="宋体"/>
          <w:b/>
          <w:kern w:val="0"/>
          <w:sz w:val="32"/>
          <w:szCs w:val="32"/>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ascii="宋体" w:hAnsi="宋体" w:eastAsia="宋体" w:cs="宋体"/>
          <w:highlight w:val="none"/>
        </w:rPr>
      </w:pPr>
      <w:r>
        <w:rPr>
          <w:rFonts w:hint="eastAsia" w:ascii="宋体" w:hAnsi="宋体" w:eastAsia="宋体" w:cs="宋体"/>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149"/>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pPr>
              <w:pStyle w:val="149"/>
              <w:adjustRightInd w:val="0"/>
              <w:spacing w:line="360" w:lineRule="auto"/>
              <w:rPr>
                <w:rFonts w:hint="eastAsia" w:ascii="宋体" w:hAnsi="宋体" w:eastAsia="宋体" w:cs="宋体"/>
                <w:bCs/>
                <w:sz w:val="24"/>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三、</w:t>
      </w:r>
      <w:r>
        <w:rPr>
          <w:rFonts w:hint="eastAsia" w:ascii="宋体" w:hAnsi="宋体" w:eastAsia="宋体" w:cs="宋体"/>
          <w:b/>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snapToGrid/>
        <w:spacing w:line="36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keepNext w:val="0"/>
        <w:keepLines w:val="0"/>
        <w:pageBreakBefore w:val="0"/>
        <w:kinsoku/>
        <w:wordWrap/>
        <w:overflowPunct/>
        <w:topLinePunct w:val="0"/>
        <w:autoSpaceDE/>
        <w:autoSpaceDN/>
        <w:bidi w:val="0"/>
        <w:adjustRightInd/>
        <w:snapToGrid/>
        <w:spacing w:line="360" w:lineRule="auto"/>
        <w:ind w:right="420"/>
        <w:textAlignment w:val="auto"/>
        <w:rPr>
          <w:rFonts w:hint="eastAsia" w:ascii="宋体" w:hAnsi="宋体" w:eastAsia="宋体" w:cs="宋体"/>
          <w:b/>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r>
        <w:rPr>
          <w:rFonts w:hint="eastAsia" w:ascii="宋体" w:hAnsi="宋体" w:eastAsia="宋体" w:cs="宋体"/>
          <w:sz w:val="24"/>
          <w:highlight w:val="none"/>
        </w:rPr>
        <w:t>注：按本格式和要求提供。</w:t>
      </w: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pacing w:line="360" w:lineRule="auto"/>
        <w:ind w:right="42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right="420"/>
        <w:rPr>
          <w:rFonts w:hint="eastAsia" w:ascii="宋体" w:hAnsi="宋体" w:eastAsia="宋体" w:cs="宋体"/>
          <w:kern w:val="0"/>
          <w:sz w:val="24"/>
          <w:highlight w:val="none"/>
        </w:rPr>
      </w:pPr>
      <w:r>
        <w:rPr>
          <w:rFonts w:hint="eastAsia" w:ascii="宋体" w:hAnsi="宋体" w:eastAsia="宋体" w:cs="宋体"/>
          <w:sz w:val="24"/>
          <w:highlight w:val="none"/>
        </w:rPr>
        <w:t>注：按本格式和要求提供。</w:t>
      </w: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五、符合性审查资料</w:t>
      </w:r>
    </w:p>
    <w:p>
      <w:pPr>
        <w:jc w:val="center"/>
        <w:rPr>
          <w:rFonts w:hint="eastAsia" w:ascii="宋体" w:hAnsi="宋体" w:eastAsia="宋体" w:cs="宋体"/>
          <w:b/>
          <w:kern w:val="0"/>
          <w:sz w:val="32"/>
          <w:szCs w:val="32"/>
          <w:highlight w:val="none"/>
        </w:rPr>
      </w:pPr>
    </w:p>
    <w:tbl>
      <w:tblPr>
        <w:tblStyle w:val="63"/>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682" w:type="dxa"/>
            <w:vAlign w:val="center"/>
          </w:tcPr>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center"/>
          </w:tcPr>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682"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见投标文件</w:t>
            </w:r>
          </w:p>
          <w:p>
            <w:pPr>
              <w:jc w:val="both"/>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center"/>
          </w:tcPr>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682"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见投标文件</w:t>
            </w:r>
          </w:p>
          <w:p>
            <w:pPr>
              <w:pStyle w:val="5"/>
              <w:jc w:val="both"/>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center"/>
          </w:tcPr>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682" w:type="dxa"/>
            <w:vAlign w:val="center"/>
          </w:tcPr>
          <w:p>
            <w:pPr>
              <w:jc w:val="both"/>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center"/>
          </w:tcPr>
          <w:p>
            <w:pPr>
              <w:spacing w:line="360" w:lineRule="auto"/>
              <w:jc w:val="both"/>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pPr>
              <w:jc w:val="both"/>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682" w:type="dxa"/>
            <w:vAlign w:val="center"/>
          </w:tcPr>
          <w:p>
            <w:pPr>
              <w:jc w:val="both"/>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b/>
          <w:color w:val="FF0000"/>
          <w:kern w:val="0"/>
          <w:sz w:val="32"/>
          <w:szCs w:val="32"/>
          <w:highlight w:val="none"/>
        </w:rPr>
      </w:pPr>
      <w:r>
        <w:rPr>
          <w:rFonts w:hint="eastAsia" w:ascii="宋体" w:hAnsi="宋体" w:eastAsia="宋体" w:cs="宋体"/>
          <w:b/>
          <w:color w:val="FF0000"/>
          <w:kern w:val="0"/>
          <w:sz w:val="32"/>
          <w:szCs w:val="32"/>
          <w:highlight w:val="none"/>
        </w:rPr>
        <w:br w:type="page"/>
      </w:r>
    </w:p>
    <w:p>
      <w:pPr>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eastAsia="宋体" w:cs="宋体"/>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pPr>
              <w:jc w:val="center"/>
              <w:rPr>
                <w:rFonts w:hint="eastAsia" w:ascii="宋体" w:hAnsi="宋体" w:eastAsia="宋体" w:cs="宋体"/>
                <w:b/>
                <w:kern w:val="0"/>
                <w:sz w:val="32"/>
                <w:szCs w:val="32"/>
                <w:highlight w:val="none"/>
              </w:rPr>
            </w:pPr>
          </w:p>
        </w:tc>
        <w:tc>
          <w:tcPr>
            <w:tcW w:w="3546" w:type="dxa"/>
          </w:tcPr>
          <w:p>
            <w:pPr>
              <w:jc w:val="center"/>
              <w:rPr>
                <w:rFonts w:hint="eastAsia" w:ascii="宋体" w:hAnsi="宋体" w:eastAsia="宋体" w:cs="宋体"/>
                <w:b/>
                <w:kern w:val="0"/>
                <w:sz w:val="32"/>
                <w:szCs w:val="32"/>
                <w:highlight w:val="none"/>
              </w:rPr>
            </w:pPr>
          </w:p>
        </w:tc>
        <w:tc>
          <w:tcPr>
            <w:tcW w:w="1276" w:type="dxa"/>
          </w:tcPr>
          <w:p>
            <w:pPr>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jc w:val="center"/>
        <w:rPr>
          <w:rFonts w:hint="eastAsia" w:ascii="宋体" w:hAnsi="宋体" w:eastAsia="宋体" w:cs="宋体"/>
          <w:b/>
          <w:kern w:val="0"/>
          <w:sz w:val="32"/>
          <w:szCs w:val="32"/>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ind w:firstLine="1911" w:firstLineChars="595"/>
        <w:rPr>
          <w:rFonts w:hint="eastAsia" w:ascii="宋体" w:hAnsi="宋体" w:eastAsia="宋体" w:cs="宋体"/>
          <w:b/>
          <w:kern w:val="0"/>
          <w:sz w:val="32"/>
          <w:szCs w:val="32"/>
          <w:highlight w:val="none"/>
        </w:rPr>
      </w:pPr>
      <w:r>
        <w:rPr>
          <w:rFonts w:hint="eastAsia" w:ascii="宋体" w:hAnsi="宋体" w:cs="宋体"/>
          <w:b/>
          <w:bCs/>
          <w:sz w:val="32"/>
          <w:szCs w:val="32"/>
          <w:highlight w:val="none"/>
          <w:lang w:eastAsia="zh-CN"/>
        </w:rPr>
        <w:t>八</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pPr>
        <w:spacing w:line="360" w:lineRule="auto"/>
        <w:jc w:val="center"/>
        <w:rPr>
          <w:rFonts w:hint="eastAsia" w:ascii="宋体" w:hAnsi="宋体" w:eastAsia="宋体" w:cs="宋体"/>
          <w:b/>
          <w:bCs/>
          <w:sz w:val="24"/>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63"/>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0"/>
        <w:gridCol w:w="1000"/>
        <w:gridCol w:w="975"/>
        <w:gridCol w:w="1577"/>
        <w:gridCol w:w="1471"/>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410"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具体费用名称</w:t>
            </w:r>
          </w:p>
        </w:tc>
        <w:tc>
          <w:tcPr>
            <w:tcW w:w="1000" w:type="dxa"/>
            <w:vAlign w:val="center"/>
          </w:tcPr>
          <w:p>
            <w:pPr>
              <w:spacing w:line="360" w:lineRule="auto"/>
              <w:jc w:val="center"/>
              <w:rPr>
                <w:rFonts w:hint="eastAsia" w:ascii="宋体" w:hAnsi="宋体" w:cs="宋体"/>
                <w:b/>
                <w:sz w:val="24"/>
                <w:highlight w:val="none"/>
                <w:lang w:eastAsia="zh-CN"/>
              </w:rPr>
            </w:pPr>
            <w:r>
              <w:rPr>
                <w:rFonts w:hint="eastAsia" w:ascii="宋体" w:hAnsi="宋体" w:cs="宋体"/>
                <w:b/>
                <w:sz w:val="24"/>
                <w:highlight w:val="none"/>
                <w:lang w:eastAsia="zh-CN"/>
              </w:rPr>
              <w:t>服务期</w:t>
            </w:r>
          </w:p>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（月）</w:t>
            </w:r>
          </w:p>
        </w:tc>
        <w:tc>
          <w:tcPr>
            <w:tcW w:w="975"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（人）</w:t>
            </w:r>
          </w:p>
        </w:tc>
        <w:tc>
          <w:tcPr>
            <w:tcW w:w="1577"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单价</w:t>
            </w:r>
          </w:p>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（元</w:t>
            </w:r>
            <w:r>
              <w:rPr>
                <w:rFonts w:hint="eastAsia" w:ascii="宋体" w:hAnsi="宋体" w:cs="宋体"/>
                <w:b/>
                <w:sz w:val="24"/>
                <w:highlight w:val="none"/>
                <w:lang w:val="en-US" w:eastAsia="zh-CN"/>
              </w:rPr>
              <w:t>/人/月</w:t>
            </w:r>
            <w:r>
              <w:rPr>
                <w:rFonts w:hint="eastAsia" w:ascii="宋体" w:hAnsi="宋体" w:cs="宋体"/>
                <w:b/>
                <w:sz w:val="24"/>
                <w:highlight w:val="none"/>
                <w:lang w:eastAsia="zh-CN"/>
              </w:rPr>
              <w:t>）</w:t>
            </w:r>
          </w:p>
        </w:tc>
        <w:tc>
          <w:tcPr>
            <w:tcW w:w="1471" w:type="dxa"/>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总价</w:t>
            </w:r>
          </w:p>
          <w:p>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eastAsia="zh-CN"/>
              </w:rPr>
              <w:t>（元）</w:t>
            </w:r>
          </w:p>
        </w:tc>
        <w:tc>
          <w:tcPr>
            <w:tcW w:w="2720" w:type="dxa"/>
            <w:vAlign w:val="center"/>
          </w:tcPr>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备注</w:t>
            </w:r>
          </w:p>
          <w:p>
            <w:pPr>
              <w:spacing w:line="360" w:lineRule="auto"/>
              <w:jc w:val="center"/>
              <w:rPr>
                <w:rFonts w:hint="eastAsia" w:ascii="宋体" w:hAnsi="宋体" w:eastAsia="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10"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管理费</w:t>
            </w:r>
          </w:p>
        </w:tc>
        <w:tc>
          <w:tcPr>
            <w:tcW w:w="1000"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975"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92</w:t>
            </w:r>
          </w:p>
        </w:tc>
        <w:tc>
          <w:tcPr>
            <w:tcW w:w="1577" w:type="dxa"/>
            <w:vAlign w:val="center"/>
          </w:tcPr>
          <w:p>
            <w:pPr>
              <w:spacing w:line="360" w:lineRule="auto"/>
              <w:jc w:val="center"/>
              <w:rPr>
                <w:rFonts w:hint="eastAsia" w:ascii="宋体" w:hAnsi="宋体" w:eastAsia="宋体" w:cs="宋体"/>
                <w:sz w:val="24"/>
                <w:highlight w:val="none"/>
              </w:rPr>
            </w:pPr>
          </w:p>
        </w:tc>
        <w:tc>
          <w:tcPr>
            <w:tcW w:w="1471" w:type="dxa"/>
            <w:vAlign w:val="center"/>
          </w:tcPr>
          <w:p>
            <w:pPr>
              <w:spacing w:line="360" w:lineRule="auto"/>
              <w:jc w:val="center"/>
              <w:rPr>
                <w:rFonts w:hint="default" w:ascii="宋体" w:hAnsi="宋体" w:eastAsia="宋体" w:cs="宋体"/>
                <w:sz w:val="24"/>
                <w:highlight w:val="none"/>
                <w:lang w:val="en-US" w:eastAsia="zh-CN"/>
              </w:rPr>
            </w:pPr>
          </w:p>
        </w:tc>
        <w:tc>
          <w:tcPr>
            <w:tcW w:w="2720"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1"/>
                <w:szCs w:val="21"/>
                <w:highlight w:val="none"/>
                <w:lang w:eastAsia="zh-CN"/>
              </w:rPr>
              <w:t>每人每年管理费最高限价为</w:t>
            </w:r>
            <w:r>
              <w:rPr>
                <w:rFonts w:hint="eastAsia" w:ascii="宋体" w:hAnsi="宋体" w:cs="宋体"/>
                <w:sz w:val="21"/>
                <w:szCs w:val="21"/>
                <w:highlight w:val="none"/>
                <w:lang w:val="en-US" w:eastAsia="zh-CN"/>
              </w:rPr>
              <w:t>1800元，即该项费用总价最高限价165600元，超过此最高限价，作废标处理。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410" w:type="dxa"/>
            <w:vAlign w:val="center"/>
          </w:tcPr>
          <w:p>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1"/>
                <w:szCs w:val="21"/>
                <w:highlight w:val="none"/>
                <w:lang w:eastAsia="zh-CN"/>
              </w:rPr>
              <w:t>其余费用（包括人员工资、社会保险、人身意外伤害险、残疾人保障金、工作日及节假日加班、高温费、职务津贴、票面税金等各项费用）</w:t>
            </w:r>
          </w:p>
        </w:tc>
        <w:tc>
          <w:tcPr>
            <w:tcW w:w="1000"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w:t>
            </w:r>
          </w:p>
        </w:tc>
        <w:tc>
          <w:tcPr>
            <w:tcW w:w="975" w:type="dxa"/>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92</w:t>
            </w:r>
          </w:p>
        </w:tc>
        <w:tc>
          <w:tcPr>
            <w:tcW w:w="1577"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w:t>
            </w:r>
          </w:p>
        </w:tc>
        <w:tc>
          <w:tcPr>
            <w:tcW w:w="1471" w:type="dxa"/>
            <w:vAlign w:val="center"/>
          </w:tcPr>
          <w:p>
            <w:pPr>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6366400</w:t>
            </w:r>
          </w:p>
        </w:tc>
        <w:tc>
          <w:tcPr>
            <w:tcW w:w="2720" w:type="dxa"/>
            <w:vAlign w:val="center"/>
          </w:tcPr>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该项费用为不可竞争费用，固定报价，不按要求报价的，作废标处理。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410" w:type="dxa"/>
            <w:vAlign w:val="center"/>
          </w:tcPr>
          <w:p>
            <w:pPr>
              <w:snapToGrid w:val="0"/>
              <w:spacing w:line="360" w:lineRule="auto"/>
              <w:jc w:val="center"/>
              <w:rPr>
                <w:rFonts w:hint="eastAsia" w:ascii="宋体" w:hAnsi="宋体" w:eastAsia="宋体" w:cs="宋体"/>
                <w:sz w:val="24"/>
                <w:highlight w:val="none"/>
              </w:rPr>
            </w:pPr>
          </w:p>
        </w:tc>
        <w:tc>
          <w:tcPr>
            <w:tcW w:w="1000" w:type="dxa"/>
            <w:vAlign w:val="center"/>
          </w:tcPr>
          <w:p>
            <w:pPr>
              <w:snapToGrid w:val="0"/>
              <w:spacing w:line="360" w:lineRule="auto"/>
              <w:jc w:val="center"/>
              <w:rPr>
                <w:rFonts w:hint="eastAsia" w:ascii="宋体" w:hAnsi="宋体" w:eastAsia="宋体" w:cs="宋体"/>
                <w:sz w:val="24"/>
                <w:highlight w:val="none"/>
              </w:rPr>
            </w:pPr>
          </w:p>
        </w:tc>
        <w:tc>
          <w:tcPr>
            <w:tcW w:w="975" w:type="dxa"/>
            <w:vAlign w:val="center"/>
          </w:tcPr>
          <w:p>
            <w:pPr>
              <w:snapToGrid w:val="0"/>
              <w:spacing w:line="360" w:lineRule="auto"/>
              <w:jc w:val="center"/>
              <w:rPr>
                <w:rFonts w:hint="eastAsia" w:ascii="宋体" w:hAnsi="宋体" w:eastAsia="宋体" w:cs="宋体"/>
                <w:sz w:val="24"/>
                <w:highlight w:val="none"/>
              </w:rPr>
            </w:pPr>
          </w:p>
        </w:tc>
        <w:tc>
          <w:tcPr>
            <w:tcW w:w="1577" w:type="dxa"/>
            <w:vAlign w:val="center"/>
          </w:tcPr>
          <w:p>
            <w:pPr>
              <w:spacing w:line="360" w:lineRule="auto"/>
              <w:jc w:val="center"/>
              <w:rPr>
                <w:rFonts w:hint="eastAsia" w:ascii="宋体" w:hAnsi="宋体" w:eastAsia="宋体" w:cs="宋体"/>
                <w:sz w:val="24"/>
                <w:highlight w:val="none"/>
              </w:rPr>
            </w:pPr>
          </w:p>
        </w:tc>
        <w:tc>
          <w:tcPr>
            <w:tcW w:w="1471" w:type="dxa"/>
            <w:vAlign w:val="center"/>
          </w:tcPr>
          <w:p>
            <w:pPr>
              <w:spacing w:line="360" w:lineRule="auto"/>
              <w:jc w:val="center"/>
              <w:rPr>
                <w:rFonts w:hint="eastAsia" w:ascii="宋体" w:hAnsi="宋体" w:eastAsia="宋体" w:cs="宋体"/>
                <w:sz w:val="24"/>
                <w:highlight w:val="none"/>
              </w:rPr>
            </w:pPr>
          </w:p>
        </w:tc>
        <w:tc>
          <w:tcPr>
            <w:tcW w:w="2720" w:type="dxa"/>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496" w:type="dxa"/>
            <w:gridSpan w:val="5"/>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投标报价（小写）</w:t>
            </w:r>
          </w:p>
        </w:tc>
        <w:tc>
          <w:tcPr>
            <w:tcW w:w="4191" w:type="dxa"/>
            <w:gridSpan w:val="2"/>
            <w:vAlign w:val="center"/>
          </w:tcPr>
          <w:p>
            <w:pPr>
              <w:spacing w:line="360" w:lineRule="auto"/>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496" w:type="dxa"/>
            <w:gridSpan w:val="5"/>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投标报价（大写）</w:t>
            </w:r>
          </w:p>
        </w:tc>
        <w:tc>
          <w:tcPr>
            <w:tcW w:w="4191" w:type="dxa"/>
            <w:gridSpan w:val="2"/>
            <w:vAlign w:val="center"/>
          </w:tcPr>
          <w:p>
            <w:pPr>
              <w:spacing w:line="360" w:lineRule="auto"/>
              <w:jc w:val="left"/>
              <w:rPr>
                <w:rFonts w:hint="eastAsia" w:ascii="宋体" w:hAnsi="宋体" w:eastAsia="宋体" w:cs="宋体"/>
                <w:sz w:val="24"/>
                <w:highlight w:val="none"/>
              </w:rPr>
            </w:pP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1、投标人需按本表格式填写，不得自行更改。</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kern w:val="0"/>
          <w:sz w:val="24"/>
          <w:highlight w:val="none"/>
          <w:lang w:val="zh-CN"/>
        </w:rPr>
        <w:t>2、有关本项目实施所涉及的一切费用均计</w:t>
      </w:r>
      <w:r>
        <w:rPr>
          <w:rFonts w:hint="eastAsia" w:ascii="宋体" w:hAnsi="宋体" w:eastAsia="宋体" w:cs="宋体"/>
          <w:color w:val="000000" w:themeColor="text1"/>
          <w:kern w:val="0"/>
          <w:sz w:val="24"/>
          <w:highlight w:val="none"/>
          <w:lang w:val="zh-CN"/>
          <w14:textFill>
            <w14:solidFill>
              <w14:schemeClr w14:val="tx1"/>
            </w14:solidFill>
          </w14:textFill>
        </w:rPr>
        <w:t>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3、以上表格要求细分项目及报价。</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5、</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1906" w:h="16838"/>
          <w:pgMar w:top="1080" w:right="1440" w:bottom="1080" w:left="1440"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sz w:val="32"/>
          <w:szCs w:val="32"/>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spacing w:line="360" w:lineRule="auto"/>
        <w:ind w:right="420" w:firstLine="3614" w:firstLineChars="1000"/>
        <w:rPr>
          <w:rFonts w:hint="eastAsia" w:ascii="宋体" w:hAnsi="宋体" w:eastAsia="宋体" w:cs="宋体"/>
          <w:b/>
          <w:kern w:val="0"/>
          <w:sz w:val="36"/>
          <w:szCs w:val="36"/>
          <w:highlight w:val="none"/>
        </w:rPr>
      </w:pP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5"/>
        <w:pageBreakBefore w:val="0"/>
        <w:widowControl w:val="0"/>
        <w:numPr>
          <w:ilvl w:val="255"/>
          <w:numId w:val="0"/>
        </w:numPr>
        <w:kinsoku/>
        <w:wordWrap/>
        <w:overflowPunct/>
        <w:topLinePunct w:val="0"/>
        <w:autoSpaceDE/>
        <w:autoSpaceDN/>
        <w:bidi w:val="0"/>
        <w:adjustRightInd/>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5"/>
        <w:pageBreakBefore w:val="0"/>
        <w:widowControl w:val="0"/>
        <w:numPr>
          <w:ilvl w:val="255"/>
          <w:numId w:val="0"/>
        </w:numPr>
        <w:kinsoku/>
        <w:wordWrap/>
        <w:overflowPunct/>
        <w:topLinePunct w:val="0"/>
        <w:autoSpaceDE/>
        <w:autoSpaceDN/>
        <w:bidi w:val="0"/>
        <w:adjustRightInd/>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398" w:name="_Toc465665161"/>
      <w:r>
        <w:rPr>
          <w:rFonts w:hint="eastAsia" w:ascii="宋体" w:hAnsi="宋体" w:eastAsia="宋体" w:cs="宋体"/>
          <w:highlight w:val="none"/>
        </w:rPr>
        <w:t>附件</w:t>
      </w:r>
      <w:bookmarkEnd w:id="398"/>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p>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left"/>
        <w:rPr>
          <w:rFonts w:hint="eastAsia" w:ascii="宋体" w:hAnsi="宋体" w:eastAsia="宋体" w:cs="宋体"/>
          <w:b/>
          <w:spacing w:val="6"/>
          <w:sz w:val="32"/>
          <w:szCs w:val="32"/>
          <w:highlight w:val="none"/>
        </w:rPr>
      </w:pPr>
    </w:p>
    <w:p>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keepNext w:val="0"/>
        <w:keepLines w:val="0"/>
        <w:pageBreakBefore w:val="0"/>
        <w:widowControl w:val="0"/>
        <w:kinsoku/>
        <w:wordWrap/>
        <w:overflowPunct/>
        <w:topLinePunct w:val="0"/>
        <w:autoSpaceDE w:val="0"/>
        <w:autoSpaceDN w:val="0"/>
        <w:bidi w:val="0"/>
        <w:adjustRightInd/>
        <w:spacing w:line="360" w:lineRule="auto"/>
        <w:jc w:val="both"/>
        <w:textAlignment w:val="auto"/>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中小企业声明函（货物）</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（单位名称） </w:t>
      </w:r>
      <w:r>
        <w:rPr>
          <w:rFonts w:hint="eastAsia" w:ascii="宋体" w:hAnsi="宋体" w:eastAsia="宋体" w:cs="宋体"/>
          <w:color w:val="000000" w:themeColor="text1"/>
          <w:sz w:val="24"/>
          <w:szCs w:val="24"/>
          <w:highlight w:val="none"/>
          <w14:textFill>
            <w14:solidFill>
              <w14:schemeClr w14:val="tx1"/>
            </w14:solidFill>
          </w14:textFill>
        </w:rPr>
        <w:t xml:space="preserve">的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14:textFill>
            <w14:solidFill>
              <w14:schemeClr w14:val="tx1"/>
            </w14:solidFill>
          </w14:textFill>
        </w:rPr>
        <w:t>（标的名称）</w:t>
      </w:r>
      <w:r>
        <w:rPr>
          <w:rFonts w:hint="eastAsia" w:ascii="宋体" w:hAnsi="宋体" w:eastAsia="宋体" w:cs="宋体"/>
          <w:color w:val="000000" w:themeColor="text1"/>
          <w:sz w:val="24"/>
          <w:szCs w:val="24"/>
          <w:highlight w:val="none"/>
          <w14:textFill>
            <w14:solidFill>
              <w14:schemeClr w14:val="tx1"/>
            </w14:solidFill>
          </w14:textFill>
        </w:rPr>
        <w:t xml:space="preserve"> ，属于 </w:t>
      </w:r>
      <w:r>
        <w:rPr>
          <w:rFonts w:hint="eastAsia"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szCs w:val="24"/>
          <w:highlight w:val="none"/>
          <w14:textFill>
            <w14:solidFill>
              <w14:schemeClr w14:val="tx1"/>
            </w14:solidFill>
          </w14:textFill>
        </w:rPr>
        <w:t>行业 ；制造商为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szCs w:val="24"/>
          <w:highlight w:val="none"/>
          <w14:textFill>
            <w14:solidFill>
              <w14:schemeClr w14:val="tx1"/>
            </w14:solidFill>
          </w14:textFill>
        </w:rPr>
        <w:t xml:space="preserve"> ，从业人员</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人，营业收入为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万元，资产总额为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万元，属于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val="0"/>
        <w:spacing w:line="360" w:lineRule="auto"/>
        <w:ind w:firstLine="5160" w:firstLineChars="215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投标人名称(电子签名)：</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t xml:space="preserve">                                           日期</w:t>
      </w:r>
      <w:r>
        <w:rPr>
          <w:rFonts w:hint="eastAsia" w:ascii="宋体" w:hAnsi="宋体" w:eastAsia="宋体" w:cs="宋体"/>
          <w:color w:val="000000" w:themeColor="text1"/>
          <w:kern w:val="0"/>
          <w:sz w:val="24"/>
          <w:szCs w:val="24"/>
          <w:highlight w:val="none"/>
          <w14:textFill>
            <w14:solidFill>
              <w14:schemeClr w14:val="tx1"/>
            </w14:solidFill>
          </w14:textFill>
        </w:rPr>
        <w:t xml:space="preserve">：  年  </w:t>
      </w:r>
      <w:r>
        <w:rPr>
          <w:rFonts w:hint="eastAsia" w:ascii="宋体" w:hAnsi="宋体" w:eastAsia="宋体" w:cs="宋体"/>
          <w:color w:val="000000" w:themeColor="text1"/>
          <w:kern w:val="0"/>
          <w:sz w:val="24"/>
          <w:szCs w:val="24"/>
          <w:highlight w:val="none"/>
          <w:lang w:val="zh-CN"/>
          <w14:textFill>
            <w14:solidFill>
              <w14:schemeClr w14:val="tx1"/>
            </w14:solidFill>
          </w14:textFill>
        </w:rPr>
        <w:t>月</w:t>
      </w: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zh-CN"/>
          <w14:textFill>
            <w14:solidFill>
              <w14:schemeClr w14:val="tx1"/>
            </w14:solidFill>
          </w14:textFill>
        </w:rPr>
        <w:t>日</w:t>
      </w:r>
    </w:p>
    <w:p>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val="0"/>
        <w:kinsoku/>
        <w:wordWrap/>
        <w:overflowPunct/>
        <w:topLinePunct w:val="0"/>
        <w:bidi w:val="0"/>
        <w:adjustRightInd/>
        <w:spacing w:line="360" w:lineRule="auto"/>
        <w:ind w:right="42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000000" w:themeColor="text1"/>
          <w:sz w:val="24"/>
          <w:szCs w:val="24"/>
          <w:highlight w:val="none"/>
          <w:lang w:eastAsia="zh-CN"/>
          <w14:textFill>
            <w14:solidFill>
              <w14:schemeClr w14:val="tx1"/>
            </w14:solidFill>
          </w14:textFill>
        </w:rPr>
        <w:t>无效，</w:t>
      </w:r>
      <w:r>
        <w:rPr>
          <w:rFonts w:hint="eastAsia" w:ascii="宋体" w:hAnsi="宋体" w:eastAsia="宋体" w:cs="宋体"/>
          <w:color w:val="000000" w:themeColor="text1"/>
          <w:sz w:val="24"/>
          <w:szCs w:val="24"/>
          <w:highlight w:val="none"/>
          <w14:textFill>
            <w14:solidFill>
              <w14:schemeClr w14:val="tx1"/>
            </w14:solidFill>
          </w14:textFill>
        </w:rPr>
        <w:t>不享受中小企业扶持政策。声明内容不实的，属于提供虚假材料谋取中标、成交的，依法承担法律责任。</w:t>
      </w:r>
    </w:p>
    <w:p>
      <w:pPr>
        <w:keepNext w:val="0"/>
        <w:keepLines w:val="0"/>
        <w:pageBreakBefore w:val="0"/>
        <w:widowControl w:val="0"/>
        <w:kinsoku/>
        <w:wordWrap/>
        <w:overflowPunct/>
        <w:topLinePunct w:val="0"/>
        <w:bidi w:val="0"/>
        <w:adjustRightInd/>
        <w:spacing w:line="360" w:lineRule="auto"/>
        <w:ind w:right="42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中小企业声明函（工程、服务）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（单位名称）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right="1760"/>
        <w:jc w:val="righ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pPr>
        <w:keepNext w:val="0"/>
        <w:keepLines w:val="0"/>
        <w:pageBreakBefore w:val="0"/>
        <w:widowControl w:val="0"/>
        <w:kinsoku/>
        <w:wordWrap/>
        <w:overflowPunct/>
        <w:topLinePunct w:val="0"/>
        <w:autoSpaceDE/>
        <w:autoSpaceDN/>
        <w:bidi w:val="0"/>
        <w:adjustRightInd/>
        <w:snapToGrid/>
        <w:spacing w:line="360" w:lineRule="auto"/>
        <w:ind w:right="1120" w:firstLine="4680" w:firstLineChars="195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keepNext w:val="0"/>
        <w:keepLines w:val="0"/>
        <w:pageBreakBefore w:val="0"/>
        <w:widowControl w:val="0"/>
        <w:kinsoku/>
        <w:wordWrap/>
        <w:overflowPunct/>
        <w:topLinePunct w:val="0"/>
        <w:autoSpaceDE/>
        <w:autoSpaceDN/>
        <w:bidi w:val="0"/>
        <w:adjustRightInd/>
        <w:snapToGrid/>
        <w:spacing w:line="360" w:lineRule="auto"/>
        <w:ind w:firstLine="310" w:firstLineChars="147"/>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pPr>
        <w:keepNext w:val="0"/>
        <w:keepLines w:val="0"/>
        <w:pageBreakBefore w:val="0"/>
        <w:widowControl w:val="0"/>
        <w:kinsoku/>
        <w:wordWrap/>
        <w:overflowPunct/>
        <w:topLinePunct w:val="0"/>
        <w:autoSpaceDE/>
        <w:autoSpaceDN/>
        <w:bidi w:val="0"/>
        <w:adjustRightInd/>
        <w:snapToGrid/>
        <w:spacing w:line="360" w:lineRule="auto"/>
        <w:ind w:right="42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宋体" w:hAnsi="宋体" w:eastAsia="宋体" w:cs="宋体"/>
          <w:color w:val="000000" w:themeColor="text1"/>
          <w:sz w:val="24"/>
          <w:highlight w:val="none"/>
          <w:lang w:eastAsia="zh-CN"/>
          <w14:textFill>
            <w14:solidFill>
              <w14:schemeClr w14:val="tx1"/>
            </w14:solidFill>
          </w14:textFill>
        </w:rPr>
        <w:t>无效，</w:t>
      </w:r>
      <w:r>
        <w:rPr>
          <w:rFonts w:hint="eastAsia" w:ascii="宋体" w:hAnsi="宋体" w:eastAsia="宋体" w:cs="宋体"/>
          <w:color w:val="000000" w:themeColor="text1"/>
          <w:sz w:val="24"/>
          <w:highlight w:val="none"/>
          <w14:textFill>
            <w14:solidFill>
              <w14:schemeClr w14:val="tx1"/>
            </w14:solidFill>
          </w14:textFill>
        </w:rPr>
        <w:t>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60" w:lineRule="auto"/>
        <w:ind w:right="420" w:firstLine="720" w:firstLineChars="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9" w:name="_Toc36110187"/>
    <w:bookmarkStart w:id="400" w:name="_Toc164085800"/>
    <w:bookmarkStart w:id="401" w:name="_Toc131845147"/>
    <w:bookmarkStart w:id="402" w:name="_Toc91899912"/>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2"/>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u w: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bidi w:val="0"/>
      <w:rPr>
        <w:rFonts w:hint="eastAsia"/>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12D7D"/>
    <w:multiLevelType w:val="singleLevel"/>
    <w:tmpl w:val="98C12D7D"/>
    <w:lvl w:ilvl="0" w:tentative="0">
      <w:start w:val="8"/>
      <w:numFmt w:val="decimal"/>
      <w:suff w:val="space"/>
      <w:lvlText w:val="%1."/>
      <w:lvlJc w:val="left"/>
    </w:lvl>
  </w:abstractNum>
  <w:abstractNum w:abstractNumId="1">
    <w:nsid w:val="F4922BE8"/>
    <w:multiLevelType w:val="singleLevel"/>
    <w:tmpl w:val="F4922BE8"/>
    <w:lvl w:ilvl="0" w:tentative="0">
      <w:start w:val="23"/>
      <w:numFmt w:val="decimal"/>
      <w:suff w:val="space"/>
      <w:lvlText w:val="%1."/>
      <w:lvlJc w:val="left"/>
    </w:lvl>
  </w:abstractNum>
  <w:abstractNum w:abstractNumId="2">
    <w:nsid w:val="0BEA60F8"/>
    <w:multiLevelType w:val="singleLevel"/>
    <w:tmpl w:val="0BEA60F8"/>
    <w:lvl w:ilvl="0" w:tentative="0">
      <w:start w:val="2"/>
      <w:numFmt w:val="decimal"/>
      <w:suff w:val="space"/>
      <w:lvlText w:val="%1."/>
      <w:lvlJc w:val="left"/>
    </w:lvl>
  </w:abstractNum>
  <w:abstractNum w:abstractNumId="3">
    <w:nsid w:val="4F80FBA3"/>
    <w:multiLevelType w:val="singleLevel"/>
    <w:tmpl w:val="4F80FBA3"/>
    <w:lvl w:ilvl="0" w:tentative="0">
      <w:start w:val="15"/>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MWRhOTRhNDUxMjNlMzkyOGEyY2FhODQyZDI4N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A7D"/>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B07"/>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95125"/>
    <w:rsid w:val="025C7268"/>
    <w:rsid w:val="025F0711"/>
    <w:rsid w:val="026B2E25"/>
    <w:rsid w:val="02824D4D"/>
    <w:rsid w:val="02B62C77"/>
    <w:rsid w:val="02DC4B10"/>
    <w:rsid w:val="02DD76CE"/>
    <w:rsid w:val="02F36323"/>
    <w:rsid w:val="02F5619C"/>
    <w:rsid w:val="0326446A"/>
    <w:rsid w:val="032D5555"/>
    <w:rsid w:val="036634D2"/>
    <w:rsid w:val="039D0D98"/>
    <w:rsid w:val="03DD35E4"/>
    <w:rsid w:val="04073203"/>
    <w:rsid w:val="04076900"/>
    <w:rsid w:val="041A5A3B"/>
    <w:rsid w:val="042311BA"/>
    <w:rsid w:val="042B157A"/>
    <w:rsid w:val="048F763B"/>
    <w:rsid w:val="049F330E"/>
    <w:rsid w:val="04AA775C"/>
    <w:rsid w:val="04AF1889"/>
    <w:rsid w:val="04F66F48"/>
    <w:rsid w:val="05251E14"/>
    <w:rsid w:val="057C377D"/>
    <w:rsid w:val="05A16594"/>
    <w:rsid w:val="05A7762D"/>
    <w:rsid w:val="060E5941"/>
    <w:rsid w:val="06110FAF"/>
    <w:rsid w:val="06493CA7"/>
    <w:rsid w:val="065A6178"/>
    <w:rsid w:val="066F1CF3"/>
    <w:rsid w:val="068B14AF"/>
    <w:rsid w:val="06930BB8"/>
    <w:rsid w:val="071C0D73"/>
    <w:rsid w:val="07245D42"/>
    <w:rsid w:val="07264C62"/>
    <w:rsid w:val="073D264F"/>
    <w:rsid w:val="0779354C"/>
    <w:rsid w:val="08061376"/>
    <w:rsid w:val="08452D77"/>
    <w:rsid w:val="086401F8"/>
    <w:rsid w:val="08751CAA"/>
    <w:rsid w:val="087E4C40"/>
    <w:rsid w:val="08A871D0"/>
    <w:rsid w:val="08D66AD6"/>
    <w:rsid w:val="08DA33A3"/>
    <w:rsid w:val="08E80F13"/>
    <w:rsid w:val="08E95840"/>
    <w:rsid w:val="09335624"/>
    <w:rsid w:val="0944690F"/>
    <w:rsid w:val="09535675"/>
    <w:rsid w:val="095F057D"/>
    <w:rsid w:val="09642282"/>
    <w:rsid w:val="09733572"/>
    <w:rsid w:val="09772C16"/>
    <w:rsid w:val="098353B5"/>
    <w:rsid w:val="09A92330"/>
    <w:rsid w:val="09B06B87"/>
    <w:rsid w:val="09C13146"/>
    <w:rsid w:val="09E04166"/>
    <w:rsid w:val="0A1C0718"/>
    <w:rsid w:val="0A222B45"/>
    <w:rsid w:val="0A3E7710"/>
    <w:rsid w:val="0A5B7E63"/>
    <w:rsid w:val="0AA374A5"/>
    <w:rsid w:val="0AAB7649"/>
    <w:rsid w:val="0ABC5606"/>
    <w:rsid w:val="0B30404E"/>
    <w:rsid w:val="0B4C6C14"/>
    <w:rsid w:val="0B547599"/>
    <w:rsid w:val="0B631A88"/>
    <w:rsid w:val="0B683D45"/>
    <w:rsid w:val="0B7F3F11"/>
    <w:rsid w:val="0B884417"/>
    <w:rsid w:val="0B9730B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2038"/>
    <w:rsid w:val="0EF94D4B"/>
    <w:rsid w:val="0F4958DC"/>
    <w:rsid w:val="0F515DF7"/>
    <w:rsid w:val="0F596BA8"/>
    <w:rsid w:val="0F6248D2"/>
    <w:rsid w:val="0F693536"/>
    <w:rsid w:val="0F7B0511"/>
    <w:rsid w:val="0F7B76D9"/>
    <w:rsid w:val="0F816ACD"/>
    <w:rsid w:val="0F9832DB"/>
    <w:rsid w:val="0FBF3FD2"/>
    <w:rsid w:val="0FBF7FF3"/>
    <w:rsid w:val="0FF8271B"/>
    <w:rsid w:val="10646583"/>
    <w:rsid w:val="107D4B15"/>
    <w:rsid w:val="108A3C80"/>
    <w:rsid w:val="10C26171"/>
    <w:rsid w:val="10C34956"/>
    <w:rsid w:val="10F33360"/>
    <w:rsid w:val="10FC16EA"/>
    <w:rsid w:val="110F1D40"/>
    <w:rsid w:val="11266F33"/>
    <w:rsid w:val="118963A1"/>
    <w:rsid w:val="11BE5B49"/>
    <w:rsid w:val="11C6522A"/>
    <w:rsid w:val="11E104CC"/>
    <w:rsid w:val="11E20309"/>
    <w:rsid w:val="12255233"/>
    <w:rsid w:val="12530213"/>
    <w:rsid w:val="127723A9"/>
    <w:rsid w:val="12862074"/>
    <w:rsid w:val="12883966"/>
    <w:rsid w:val="129E45B4"/>
    <w:rsid w:val="12D81596"/>
    <w:rsid w:val="13072A44"/>
    <w:rsid w:val="135F4BE2"/>
    <w:rsid w:val="1391707E"/>
    <w:rsid w:val="139B1A0A"/>
    <w:rsid w:val="139D25C7"/>
    <w:rsid w:val="13A20852"/>
    <w:rsid w:val="13BF3CE4"/>
    <w:rsid w:val="140E661D"/>
    <w:rsid w:val="141008D8"/>
    <w:rsid w:val="14125FE6"/>
    <w:rsid w:val="146D271E"/>
    <w:rsid w:val="14982588"/>
    <w:rsid w:val="149A5AD9"/>
    <w:rsid w:val="14A7619D"/>
    <w:rsid w:val="150536C3"/>
    <w:rsid w:val="150C1963"/>
    <w:rsid w:val="151447A0"/>
    <w:rsid w:val="153442E1"/>
    <w:rsid w:val="154A6454"/>
    <w:rsid w:val="15762120"/>
    <w:rsid w:val="158935B2"/>
    <w:rsid w:val="16404BF0"/>
    <w:rsid w:val="16A8729C"/>
    <w:rsid w:val="16B33777"/>
    <w:rsid w:val="16BC70A7"/>
    <w:rsid w:val="16C6339E"/>
    <w:rsid w:val="172F2D79"/>
    <w:rsid w:val="17557BEF"/>
    <w:rsid w:val="17D349C1"/>
    <w:rsid w:val="181451A4"/>
    <w:rsid w:val="1830729E"/>
    <w:rsid w:val="18480D9D"/>
    <w:rsid w:val="1870062C"/>
    <w:rsid w:val="18817102"/>
    <w:rsid w:val="18830A15"/>
    <w:rsid w:val="18852B28"/>
    <w:rsid w:val="188B5321"/>
    <w:rsid w:val="1902311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12F7D"/>
    <w:rsid w:val="1BD75AB8"/>
    <w:rsid w:val="1C0459C2"/>
    <w:rsid w:val="1C1B3B4A"/>
    <w:rsid w:val="1C88086E"/>
    <w:rsid w:val="1CBF4223"/>
    <w:rsid w:val="1CF35F62"/>
    <w:rsid w:val="1D266CE1"/>
    <w:rsid w:val="1D3963AF"/>
    <w:rsid w:val="1D6A673C"/>
    <w:rsid w:val="1D9247AE"/>
    <w:rsid w:val="1DB567EC"/>
    <w:rsid w:val="1DF51A98"/>
    <w:rsid w:val="1E3D060F"/>
    <w:rsid w:val="1E3F7D2E"/>
    <w:rsid w:val="1E4134E4"/>
    <w:rsid w:val="1E4B3449"/>
    <w:rsid w:val="1E5062B3"/>
    <w:rsid w:val="1E523514"/>
    <w:rsid w:val="1E714A66"/>
    <w:rsid w:val="1E802593"/>
    <w:rsid w:val="1E8B6156"/>
    <w:rsid w:val="1EA703CC"/>
    <w:rsid w:val="1EA74125"/>
    <w:rsid w:val="1EB7330C"/>
    <w:rsid w:val="1F0A0FF3"/>
    <w:rsid w:val="1F4F1BB6"/>
    <w:rsid w:val="1F5771FF"/>
    <w:rsid w:val="1FE868A9"/>
    <w:rsid w:val="20034907"/>
    <w:rsid w:val="20173E4B"/>
    <w:rsid w:val="204E48BC"/>
    <w:rsid w:val="208921B3"/>
    <w:rsid w:val="20973DEB"/>
    <w:rsid w:val="20B26522"/>
    <w:rsid w:val="20B44310"/>
    <w:rsid w:val="211116EB"/>
    <w:rsid w:val="21441798"/>
    <w:rsid w:val="216133FC"/>
    <w:rsid w:val="21CE47F8"/>
    <w:rsid w:val="21D56769"/>
    <w:rsid w:val="21E52EF3"/>
    <w:rsid w:val="21FB5D7B"/>
    <w:rsid w:val="22015E94"/>
    <w:rsid w:val="220B1C3D"/>
    <w:rsid w:val="221D1D20"/>
    <w:rsid w:val="22334A87"/>
    <w:rsid w:val="22954F51"/>
    <w:rsid w:val="22BE6801"/>
    <w:rsid w:val="230564EA"/>
    <w:rsid w:val="233500BF"/>
    <w:rsid w:val="23377FF7"/>
    <w:rsid w:val="236B425F"/>
    <w:rsid w:val="23836192"/>
    <w:rsid w:val="23883183"/>
    <w:rsid w:val="23901F29"/>
    <w:rsid w:val="239C0061"/>
    <w:rsid w:val="23B908A4"/>
    <w:rsid w:val="23E95BEF"/>
    <w:rsid w:val="23FD0064"/>
    <w:rsid w:val="245375B0"/>
    <w:rsid w:val="24642C0A"/>
    <w:rsid w:val="24B22173"/>
    <w:rsid w:val="24B95AD9"/>
    <w:rsid w:val="24BE24DA"/>
    <w:rsid w:val="24CF5825"/>
    <w:rsid w:val="24D663E6"/>
    <w:rsid w:val="24D77F2B"/>
    <w:rsid w:val="256F4015"/>
    <w:rsid w:val="258B00E2"/>
    <w:rsid w:val="25A917A6"/>
    <w:rsid w:val="25BE27CC"/>
    <w:rsid w:val="25F74A5C"/>
    <w:rsid w:val="260C3E00"/>
    <w:rsid w:val="2628662C"/>
    <w:rsid w:val="262D45DE"/>
    <w:rsid w:val="26871DC8"/>
    <w:rsid w:val="26A53EF9"/>
    <w:rsid w:val="26A94201"/>
    <w:rsid w:val="26AC274F"/>
    <w:rsid w:val="27044A29"/>
    <w:rsid w:val="270970F6"/>
    <w:rsid w:val="271D34C8"/>
    <w:rsid w:val="276142BF"/>
    <w:rsid w:val="27783712"/>
    <w:rsid w:val="277A24FC"/>
    <w:rsid w:val="27907362"/>
    <w:rsid w:val="28333E1D"/>
    <w:rsid w:val="28454BD6"/>
    <w:rsid w:val="28455253"/>
    <w:rsid w:val="285428A6"/>
    <w:rsid w:val="28551971"/>
    <w:rsid w:val="285B1C53"/>
    <w:rsid w:val="289F7086"/>
    <w:rsid w:val="28C32028"/>
    <w:rsid w:val="28CC490F"/>
    <w:rsid w:val="28DE40AA"/>
    <w:rsid w:val="29345E77"/>
    <w:rsid w:val="294C65AD"/>
    <w:rsid w:val="297E28DE"/>
    <w:rsid w:val="29806583"/>
    <w:rsid w:val="298B3C4C"/>
    <w:rsid w:val="298D2626"/>
    <w:rsid w:val="29D97F23"/>
    <w:rsid w:val="29F26D24"/>
    <w:rsid w:val="2A15033F"/>
    <w:rsid w:val="2A1662C1"/>
    <w:rsid w:val="2A1C7367"/>
    <w:rsid w:val="2A2815FA"/>
    <w:rsid w:val="2A5C51B9"/>
    <w:rsid w:val="2A6D6092"/>
    <w:rsid w:val="2A7D76B4"/>
    <w:rsid w:val="2AF020EF"/>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F2977"/>
    <w:rsid w:val="2DF72DE4"/>
    <w:rsid w:val="2E0220AF"/>
    <w:rsid w:val="2E4B082A"/>
    <w:rsid w:val="2E5D4E86"/>
    <w:rsid w:val="2E5D790B"/>
    <w:rsid w:val="2E9A3C18"/>
    <w:rsid w:val="2EBB0FEE"/>
    <w:rsid w:val="2EC63002"/>
    <w:rsid w:val="2EFC1E5A"/>
    <w:rsid w:val="2F0A6B38"/>
    <w:rsid w:val="2F946CCB"/>
    <w:rsid w:val="2FD25781"/>
    <w:rsid w:val="2FDC745C"/>
    <w:rsid w:val="2FFD7934"/>
    <w:rsid w:val="30733ACD"/>
    <w:rsid w:val="308C3862"/>
    <w:rsid w:val="309379D8"/>
    <w:rsid w:val="30A270F7"/>
    <w:rsid w:val="30BF6A27"/>
    <w:rsid w:val="30D4274E"/>
    <w:rsid w:val="30DF1478"/>
    <w:rsid w:val="30EC586F"/>
    <w:rsid w:val="31475B24"/>
    <w:rsid w:val="319C6071"/>
    <w:rsid w:val="31AC537E"/>
    <w:rsid w:val="31B977E1"/>
    <w:rsid w:val="31E3679B"/>
    <w:rsid w:val="31E732FD"/>
    <w:rsid w:val="32420D53"/>
    <w:rsid w:val="32517576"/>
    <w:rsid w:val="32BE5C2C"/>
    <w:rsid w:val="32FB6478"/>
    <w:rsid w:val="33263B3F"/>
    <w:rsid w:val="336963EB"/>
    <w:rsid w:val="33816EEB"/>
    <w:rsid w:val="33EB55CD"/>
    <w:rsid w:val="33EC4C02"/>
    <w:rsid w:val="340D2360"/>
    <w:rsid w:val="3410665D"/>
    <w:rsid w:val="34211214"/>
    <w:rsid w:val="342E63AB"/>
    <w:rsid w:val="34950E68"/>
    <w:rsid w:val="34986E94"/>
    <w:rsid w:val="349A5E9C"/>
    <w:rsid w:val="34AF62C9"/>
    <w:rsid w:val="34CB4388"/>
    <w:rsid w:val="34FA6E12"/>
    <w:rsid w:val="354D7158"/>
    <w:rsid w:val="358D5588"/>
    <w:rsid w:val="35945E0F"/>
    <w:rsid w:val="363A3B40"/>
    <w:rsid w:val="365302AE"/>
    <w:rsid w:val="36607A0A"/>
    <w:rsid w:val="366E227C"/>
    <w:rsid w:val="366F2E0D"/>
    <w:rsid w:val="367B6A5C"/>
    <w:rsid w:val="368C2F70"/>
    <w:rsid w:val="36A74ADA"/>
    <w:rsid w:val="36AD60D5"/>
    <w:rsid w:val="36B224F9"/>
    <w:rsid w:val="36EC0CC9"/>
    <w:rsid w:val="373F410B"/>
    <w:rsid w:val="37EE7094"/>
    <w:rsid w:val="37EF663C"/>
    <w:rsid w:val="381C0324"/>
    <w:rsid w:val="38296C89"/>
    <w:rsid w:val="383002EB"/>
    <w:rsid w:val="38586797"/>
    <w:rsid w:val="38BC0149"/>
    <w:rsid w:val="38D87D1C"/>
    <w:rsid w:val="39636459"/>
    <w:rsid w:val="396B7F6C"/>
    <w:rsid w:val="39B417A9"/>
    <w:rsid w:val="39FC5695"/>
    <w:rsid w:val="3A006D8E"/>
    <w:rsid w:val="3A100726"/>
    <w:rsid w:val="3A230E75"/>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8272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D0290"/>
    <w:rsid w:val="3F95482B"/>
    <w:rsid w:val="4019356B"/>
    <w:rsid w:val="40556AC9"/>
    <w:rsid w:val="40592157"/>
    <w:rsid w:val="40610199"/>
    <w:rsid w:val="406E1CAE"/>
    <w:rsid w:val="40A0133A"/>
    <w:rsid w:val="40C31A53"/>
    <w:rsid w:val="40FF545D"/>
    <w:rsid w:val="410067C8"/>
    <w:rsid w:val="418F0D2A"/>
    <w:rsid w:val="41D01505"/>
    <w:rsid w:val="42474939"/>
    <w:rsid w:val="424C3C57"/>
    <w:rsid w:val="425D304C"/>
    <w:rsid w:val="42613FF3"/>
    <w:rsid w:val="42660D96"/>
    <w:rsid w:val="428667D2"/>
    <w:rsid w:val="42CD1CE0"/>
    <w:rsid w:val="42E1381E"/>
    <w:rsid w:val="42ED6459"/>
    <w:rsid w:val="42FE58DD"/>
    <w:rsid w:val="43174B3D"/>
    <w:rsid w:val="434B790E"/>
    <w:rsid w:val="4360274F"/>
    <w:rsid w:val="43812344"/>
    <w:rsid w:val="43977AB6"/>
    <w:rsid w:val="43A3342B"/>
    <w:rsid w:val="43BF7B3D"/>
    <w:rsid w:val="43C77C27"/>
    <w:rsid w:val="43DE09EE"/>
    <w:rsid w:val="44002FAD"/>
    <w:rsid w:val="44545C52"/>
    <w:rsid w:val="449101DD"/>
    <w:rsid w:val="44DE1391"/>
    <w:rsid w:val="451B225C"/>
    <w:rsid w:val="452410C9"/>
    <w:rsid w:val="45317DFB"/>
    <w:rsid w:val="456D3CE4"/>
    <w:rsid w:val="4579042C"/>
    <w:rsid w:val="457F0571"/>
    <w:rsid w:val="45851176"/>
    <w:rsid w:val="45C63B94"/>
    <w:rsid w:val="460E7DA5"/>
    <w:rsid w:val="46210ED7"/>
    <w:rsid w:val="46422483"/>
    <w:rsid w:val="46540524"/>
    <w:rsid w:val="4659254A"/>
    <w:rsid w:val="465B0637"/>
    <w:rsid w:val="465E3F0D"/>
    <w:rsid w:val="466A16E6"/>
    <w:rsid w:val="46893F2B"/>
    <w:rsid w:val="469B0FAE"/>
    <w:rsid w:val="46C4686E"/>
    <w:rsid w:val="47090158"/>
    <w:rsid w:val="477B778F"/>
    <w:rsid w:val="478203EC"/>
    <w:rsid w:val="47B025FA"/>
    <w:rsid w:val="47B7088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1F1292"/>
    <w:rsid w:val="4B236AAE"/>
    <w:rsid w:val="4B707271"/>
    <w:rsid w:val="4B9739F7"/>
    <w:rsid w:val="4BEE2503"/>
    <w:rsid w:val="4C245A30"/>
    <w:rsid w:val="4C9B369B"/>
    <w:rsid w:val="4CB6685F"/>
    <w:rsid w:val="4CC367FE"/>
    <w:rsid w:val="4D077F3C"/>
    <w:rsid w:val="4D123355"/>
    <w:rsid w:val="4D2A3B31"/>
    <w:rsid w:val="4D312C52"/>
    <w:rsid w:val="4D905305"/>
    <w:rsid w:val="4D964A72"/>
    <w:rsid w:val="4D9C1254"/>
    <w:rsid w:val="4E793892"/>
    <w:rsid w:val="4E800872"/>
    <w:rsid w:val="4EBC783C"/>
    <w:rsid w:val="4EC569ED"/>
    <w:rsid w:val="4ED50EA1"/>
    <w:rsid w:val="4EEC050C"/>
    <w:rsid w:val="4F104EC3"/>
    <w:rsid w:val="4F47354A"/>
    <w:rsid w:val="4F6E0C46"/>
    <w:rsid w:val="4F911C54"/>
    <w:rsid w:val="4FE625E0"/>
    <w:rsid w:val="5021480F"/>
    <w:rsid w:val="50616DC4"/>
    <w:rsid w:val="50962ECB"/>
    <w:rsid w:val="50A42E38"/>
    <w:rsid w:val="50A4577F"/>
    <w:rsid w:val="50B73D1F"/>
    <w:rsid w:val="50BD5BC9"/>
    <w:rsid w:val="50C11EEE"/>
    <w:rsid w:val="50CC6933"/>
    <w:rsid w:val="50E97CFC"/>
    <w:rsid w:val="50FA4028"/>
    <w:rsid w:val="510D65B7"/>
    <w:rsid w:val="511157AB"/>
    <w:rsid w:val="511B245C"/>
    <w:rsid w:val="5142540C"/>
    <w:rsid w:val="518832C8"/>
    <w:rsid w:val="519D3C50"/>
    <w:rsid w:val="51A0432A"/>
    <w:rsid w:val="51A86090"/>
    <w:rsid w:val="51B7396D"/>
    <w:rsid w:val="522E4CC3"/>
    <w:rsid w:val="5244713B"/>
    <w:rsid w:val="52615633"/>
    <w:rsid w:val="526F4DE4"/>
    <w:rsid w:val="527C1C93"/>
    <w:rsid w:val="52977FD4"/>
    <w:rsid w:val="52A25790"/>
    <w:rsid w:val="52A96B6F"/>
    <w:rsid w:val="52B45975"/>
    <w:rsid w:val="52D94AA4"/>
    <w:rsid w:val="52EA3A62"/>
    <w:rsid w:val="52F50BB8"/>
    <w:rsid w:val="53097272"/>
    <w:rsid w:val="534327B1"/>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C3213"/>
    <w:rsid w:val="55923347"/>
    <w:rsid w:val="55925180"/>
    <w:rsid w:val="55983B1B"/>
    <w:rsid w:val="55A8376B"/>
    <w:rsid w:val="55DC29B6"/>
    <w:rsid w:val="55DD4241"/>
    <w:rsid w:val="55E53337"/>
    <w:rsid w:val="56057775"/>
    <w:rsid w:val="566B6D1E"/>
    <w:rsid w:val="56892BD1"/>
    <w:rsid w:val="56EF5C0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22E57"/>
    <w:rsid w:val="584E0B27"/>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07DD9"/>
    <w:rsid w:val="5A874767"/>
    <w:rsid w:val="5AA85BE2"/>
    <w:rsid w:val="5AAD6F28"/>
    <w:rsid w:val="5AD63A24"/>
    <w:rsid w:val="5B2E1A1D"/>
    <w:rsid w:val="5B843A1C"/>
    <w:rsid w:val="5B873E3F"/>
    <w:rsid w:val="5C02690E"/>
    <w:rsid w:val="5C0351D3"/>
    <w:rsid w:val="5C196DA7"/>
    <w:rsid w:val="5C2A048C"/>
    <w:rsid w:val="5C80234E"/>
    <w:rsid w:val="5C8A680C"/>
    <w:rsid w:val="5C8C341B"/>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228C1"/>
    <w:rsid w:val="5EFC7377"/>
    <w:rsid w:val="5F06174D"/>
    <w:rsid w:val="5F3A3602"/>
    <w:rsid w:val="5F45733B"/>
    <w:rsid w:val="5F6277C6"/>
    <w:rsid w:val="5F6D0B1D"/>
    <w:rsid w:val="5F8D0B82"/>
    <w:rsid w:val="5FCC5339"/>
    <w:rsid w:val="5FE34A5B"/>
    <w:rsid w:val="5FFE1E36"/>
    <w:rsid w:val="600734E4"/>
    <w:rsid w:val="601D6342"/>
    <w:rsid w:val="60232584"/>
    <w:rsid w:val="607330CE"/>
    <w:rsid w:val="60825176"/>
    <w:rsid w:val="609F2AC4"/>
    <w:rsid w:val="60E7279A"/>
    <w:rsid w:val="60FA2EE8"/>
    <w:rsid w:val="61054A27"/>
    <w:rsid w:val="610A52BC"/>
    <w:rsid w:val="611D2366"/>
    <w:rsid w:val="61421856"/>
    <w:rsid w:val="615227C4"/>
    <w:rsid w:val="61654E3F"/>
    <w:rsid w:val="6182292A"/>
    <w:rsid w:val="619F7F92"/>
    <w:rsid w:val="61F94C26"/>
    <w:rsid w:val="62000E56"/>
    <w:rsid w:val="621777CA"/>
    <w:rsid w:val="624F3E49"/>
    <w:rsid w:val="62632286"/>
    <w:rsid w:val="62885958"/>
    <w:rsid w:val="62B3075F"/>
    <w:rsid w:val="62F40B65"/>
    <w:rsid w:val="62FC2CFE"/>
    <w:rsid w:val="63024505"/>
    <w:rsid w:val="635600A5"/>
    <w:rsid w:val="635B1DB5"/>
    <w:rsid w:val="63711FED"/>
    <w:rsid w:val="63743C6C"/>
    <w:rsid w:val="63880DDC"/>
    <w:rsid w:val="638D750D"/>
    <w:rsid w:val="63AC6CC0"/>
    <w:rsid w:val="64055776"/>
    <w:rsid w:val="64240056"/>
    <w:rsid w:val="643E143A"/>
    <w:rsid w:val="64491666"/>
    <w:rsid w:val="648B6EEF"/>
    <w:rsid w:val="64C158BF"/>
    <w:rsid w:val="64CE2EAA"/>
    <w:rsid w:val="64F3025A"/>
    <w:rsid w:val="653C3090"/>
    <w:rsid w:val="65854376"/>
    <w:rsid w:val="658767BE"/>
    <w:rsid w:val="6588712A"/>
    <w:rsid w:val="65892531"/>
    <w:rsid w:val="66195831"/>
    <w:rsid w:val="662E75B1"/>
    <w:rsid w:val="66342C2E"/>
    <w:rsid w:val="663E784C"/>
    <w:rsid w:val="668B6A45"/>
    <w:rsid w:val="66976AC1"/>
    <w:rsid w:val="66C739CD"/>
    <w:rsid w:val="672F3F24"/>
    <w:rsid w:val="67302F6D"/>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F051A"/>
    <w:rsid w:val="689F444F"/>
    <w:rsid w:val="68B0223F"/>
    <w:rsid w:val="68B96DBB"/>
    <w:rsid w:val="68CA2805"/>
    <w:rsid w:val="68E937A3"/>
    <w:rsid w:val="692A6F91"/>
    <w:rsid w:val="693E15D3"/>
    <w:rsid w:val="69627681"/>
    <w:rsid w:val="6977531D"/>
    <w:rsid w:val="699370EC"/>
    <w:rsid w:val="69CC2BFF"/>
    <w:rsid w:val="69FD55B8"/>
    <w:rsid w:val="6A0B1C62"/>
    <w:rsid w:val="6A2406C8"/>
    <w:rsid w:val="6A44338D"/>
    <w:rsid w:val="6A93069A"/>
    <w:rsid w:val="6ADE0BD1"/>
    <w:rsid w:val="6AE96859"/>
    <w:rsid w:val="6B147746"/>
    <w:rsid w:val="6B24787C"/>
    <w:rsid w:val="6B573233"/>
    <w:rsid w:val="6B5B6274"/>
    <w:rsid w:val="6B935D53"/>
    <w:rsid w:val="6BA73F8C"/>
    <w:rsid w:val="6BCA111F"/>
    <w:rsid w:val="6C196F71"/>
    <w:rsid w:val="6C226FCB"/>
    <w:rsid w:val="6C31226F"/>
    <w:rsid w:val="6C552F0B"/>
    <w:rsid w:val="6C8C67B7"/>
    <w:rsid w:val="6C9D744C"/>
    <w:rsid w:val="6CA60648"/>
    <w:rsid w:val="6CFD4DE0"/>
    <w:rsid w:val="6D167928"/>
    <w:rsid w:val="6D26299B"/>
    <w:rsid w:val="6D4772EC"/>
    <w:rsid w:val="6D9078AF"/>
    <w:rsid w:val="6DAA3FEF"/>
    <w:rsid w:val="6DC0172B"/>
    <w:rsid w:val="6DCB690C"/>
    <w:rsid w:val="6DD41A5B"/>
    <w:rsid w:val="6DF43C2E"/>
    <w:rsid w:val="6DF51CA3"/>
    <w:rsid w:val="6E811281"/>
    <w:rsid w:val="6E8335BD"/>
    <w:rsid w:val="6E8E12EF"/>
    <w:rsid w:val="6E972936"/>
    <w:rsid w:val="6ED446C5"/>
    <w:rsid w:val="6F2A7D94"/>
    <w:rsid w:val="6F6A0833"/>
    <w:rsid w:val="6F8331F1"/>
    <w:rsid w:val="6FAE1A09"/>
    <w:rsid w:val="6FD75BF8"/>
    <w:rsid w:val="70241B23"/>
    <w:rsid w:val="707723D0"/>
    <w:rsid w:val="70E52DB9"/>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1853F4"/>
    <w:rsid w:val="752E6DCD"/>
    <w:rsid w:val="7551380D"/>
    <w:rsid w:val="75600BE5"/>
    <w:rsid w:val="7564475C"/>
    <w:rsid w:val="7583797F"/>
    <w:rsid w:val="75D20F1D"/>
    <w:rsid w:val="75DA2C18"/>
    <w:rsid w:val="75DB3A59"/>
    <w:rsid w:val="75F54412"/>
    <w:rsid w:val="760A7776"/>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E2FC7"/>
    <w:rsid w:val="78775729"/>
    <w:rsid w:val="78A42DB0"/>
    <w:rsid w:val="78A656AB"/>
    <w:rsid w:val="78B2245C"/>
    <w:rsid w:val="78CA7DF2"/>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E76B7"/>
    <w:rsid w:val="7A615382"/>
    <w:rsid w:val="7A67303B"/>
    <w:rsid w:val="7AAB1D04"/>
    <w:rsid w:val="7ABA4368"/>
    <w:rsid w:val="7ABB0391"/>
    <w:rsid w:val="7AD05746"/>
    <w:rsid w:val="7B257FFD"/>
    <w:rsid w:val="7B343476"/>
    <w:rsid w:val="7B5A2978"/>
    <w:rsid w:val="7B5A7E4C"/>
    <w:rsid w:val="7B667AF9"/>
    <w:rsid w:val="7B7468F8"/>
    <w:rsid w:val="7BEE0103"/>
    <w:rsid w:val="7C0A0FE4"/>
    <w:rsid w:val="7C254906"/>
    <w:rsid w:val="7C590818"/>
    <w:rsid w:val="7C7C10F6"/>
    <w:rsid w:val="7C853BEA"/>
    <w:rsid w:val="7C8712BE"/>
    <w:rsid w:val="7C881368"/>
    <w:rsid w:val="7CE27788"/>
    <w:rsid w:val="7D0C32F1"/>
    <w:rsid w:val="7D0F408D"/>
    <w:rsid w:val="7D491C6C"/>
    <w:rsid w:val="7D5429C0"/>
    <w:rsid w:val="7D6E6D43"/>
    <w:rsid w:val="7DB57A34"/>
    <w:rsid w:val="7DE60973"/>
    <w:rsid w:val="7DEB6BFA"/>
    <w:rsid w:val="7DEF0916"/>
    <w:rsid w:val="7E1E5218"/>
    <w:rsid w:val="7E9A4E1F"/>
    <w:rsid w:val="7EA7723A"/>
    <w:rsid w:val="7EC76812"/>
    <w:rsid w:val="7EF56FBB"/>
    <w:rsid w:val="7F0768EB"/>
    <w:rsid w:val="7F143BEC"/>
    <w:rsid w:val="7F445AA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1"/>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semiHidden/>
    <w:unhideWhenUsed/>
    <w:qFormat/>
    <w:uiPriority w:val="99"/>
    <w:pPr>
      <w:snapToGrid w:val="0"/>
    </w:pPr>
    <w:rPr>
      <w:rFonts w:asciiTheme="majorHAnsi" w:hAnsiTheme="majorHAnsi" w:eastAsiaTheme="majorEastAsia" w:cstheme="majorBidi"/>
    </w:rPr>
  </w:style>
  <w:style w:type="paragraph" w:styleId="44">
    <w:name w:val="header"/>
    <w:basedOn w:val="1"/>
    <w:link w:val="39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1"/>
    <w:basedOn w:val="1"/>
    <w:qFormat/>
    <w:uiPriority w:val="34"/>
    <w:pPr>
      <w:adjustRightInd/>
      <w:ind w:firstLine="420" w:firstLineChars="200"/>
    </w:pPr>
    <w:rPr>
      <w:rFonts w:eastAsia="仿宋_GB2312"/>
      <w:sz w:val="28"/>
    </w:rPr>
  </w:style>
  <w:style w:type="paragraph" w:customStyle="1" w:styleId="81">
    <w:name w:val="正文1"/>
    <w:basedOn w:val="20"/>
    <w:next w:val="1"/>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表格 内容"/>
    <w:basedOn w:val="729"/>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header4.xml" Type="http://schemas.openxmlformats.org/officeDocument/2006/relationships/head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header7.xml" Type="http://schemas.openxmlformats.org/officeDocument/2006/relationships/head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header8.xml" Type="http://schemas.openxmlformats.org/officeDocument/2006/relationships/header"/><Relationship Id="rId21" Target="header9.xml" Type="http://schemas.openxmlformats.org/officeDocument/2006/relationships/header"/><Relationship Id="rId22" Target="footer11.xml" Type="http://schemas.openxmlformats.org/officeDocument/2006/relationships/footer"/><Relationship Id="rId23" Target="footer12.xml" Type="http://schemas.openxmlformats.org/officeDocument/2006/relationships/footer"/><Relationship Id="rId24" Target="footer13.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header1.xml" Type="http://schemas.openxmlformats.org/officeDocument/2006/relationships/header"/><Relationship Id="rId7" Target="footer4.xml" Type="http://schemas.openxmlformats.org/officeDocument/2006/relationships/foot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33210</Words>
  <Characters>34725</Characters>
  <Lines>293</Lines>
  <Paragraphs>82</Paragraphs>
  <TotalTime>102</TotalTime>
  <ScaleCrop>false</ScaleCrop>
  <LinksUpToDate>false</LinksUpToDate>
  <CharactersWithSpaces>39878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mly</cp:lastModifiedBy>
  <cp:lastPrinted>2022-11-30T08:34:00Z</cp:lastPrinted>
  <dcterms:modified xsi:type="dcterms:W3CDTF">2022-12-07T10:11:40Z</dcterms:modified>
  <cp:revision>205</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C59AF30D3F86480BA457675AA09EE47F</vt:lpwstr>
  </property>
</Properties>
</file>