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杭州市发展和改革委员会</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“城市大脑2.0-数智营商”</w:t>
      </w:r>
      <w:r>
        <w:rPr>
          <w:rFonts w:hint="eastAsia" w:ascii="宋体" w:hAnsi="宋体" w:cs="宋体"/>
          <w:color w:val="000000" w:themeColor="text1"/>
          <w:sz w:val="48"/>
          <w:szCs w:val="48"/>
          <w:highlight w:val="none"/>
          <w14:textFill>
            <w14:solidFill>
              <w14:schemeClr w14:val="tx1"/>
            </w14:solidFill>
          </w14:textFill>
        </w:rPr>
        <w:t>政策一站直达场景建设项目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default" w:ascii="宋体" w:hAnsi="宋体" w:cs="宋体"/>
          <w:color w:val="000000" w:themeColor="text1"/>
          <w:sz w:val="30"/>
          <w:szCs w:val="30"/>
          <w:highlight w:val="none"/>
          <w:lang w:val="en-US"/>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auto"/>
          <w:sz w:val="30"/>
          <w:szCs w:val="30"/>
          <w:highlight w:val="none"/>
          <w:lang w:eastAsia="zh-CN"/>
        </w:rPr>
        <w:t>ZJZN-</w:t>
      </w:r>
      <w:r>
        <w:rPr>
          <w:rFonts w:hint="eastAsia" w:ascii="宋体" w:hAnsi="宋体" w:cs="宋体"/>
          <w:color w:val="auto"/>
          <w:sz w:val="30"/>
          <w:szCs w:val="30"/>
          <w:highlight w:val="none"/>
          <w:lang w:val="en-US" w:eastAsia="zh-CN"/>
        </w:rPr>
        <w:t>23168</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杭州市发展和改革委员会</w:t>
      </w:r>
    </w:p>
    <w:p>
      <w:pPr>
        <w:snapToGrid w:val="0"/>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浙江中诺招标代理有限公司</w:t>
      </w: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二〇二三年</w:t>
      </w:r>
      <w:r>
        <w:rPr>
          <w:rFonts w:hint="eastAsia" w:ascii="宋体" w:hAnsi="宋体" w:cs="宋体"/>
          <w:color w:val="000000" w:themeColor="text1"/>
          <w:sz w:val="36"/>
          <w:szCs w:val="36"/>
          <w:highlight w:val="none"/>
          <w:lang w:val="en-US" w:eastAsia="zh-CN"/>
          <w14:textFill>
            <w14:solidFill>
              <w14:schemeClr w14:val="tx1"/>
            </w14:solidFill>
          </w14:textFill>
        </w:rPr>
        <w:t>九</w:t>
      </w:r>
      <w:r>
        <w:rPr>
          <w:rFonts w:hint="eastAsia" w:ascii="宋体" w:hAnsi="宋体" w:cs="宋体"/>
          <w:color w:val="000000" w:themeColor="text1"/>
          <w:sz w:val="36"/>
          <w:szCs w:val="36"/>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pStyle w:val="574"/>
        <w:spacing w:before="120"/>
        <w:ind w:left="420" w:firstLine="520"/>
        <w:rPr>
          <w:highlight w:val="none"/>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“城市大脑2.0-数智营商”</w:t>
      </w:r>
      <w:r>
        <w:rPr>
          <w:rFonts w:hint="eastAsia" w:ascii="宋体" w:hAnsi="宋体" w:cs="宋体"/>
          <w:color w:val="000000" w:themeColor="text1"/>
          <w:sz w:val="24"/>
          <w:highlight w:val="none"/>
          <w:u w:val="single"/>
          <w14:textFill>
            <w14:solidFill>
              <w14:schemeClr w14:val="tx1"/>
            </w14:solidFill>
          </w14:textFill>
        </w:rPr>
        <w:t>政策一站直达场景建设项目</w:t>
      </w:r>
      <w:r>
        <w:rPr>
          <w:rFonts w:hint="eastAsia" w:ascii="宋体" w:hAnsi="宋体" w:cs="宋体"/>
          <w:color w:val="000000" w:themeColor="text1"/>
          <w:sz w:val="24"/>
          <w:highlight w:val="none"/>
          <w14:textFill>
            <w14:solidFill>
              <w14:schemeClr w14:val="tx1"/>
            </w14:solidFill>
          </w14:textFill>
        </w:rPr>
        <w:t>的潜在投标人应在政采云平台（</w:t>
      </w:r>
      <w:r>
        <w:rPr>
          <w:highlight w:val="none"/>
        </w:rPr>
        <w:fldChar w:fldCharType="begin"/>
      </w:r>
      <w:r>
        <w:rPr>
          <w:highlight w:val="none"/>
        </w:rPr>
        <w:instrText xml:space="preserve"> HYPERLINK "https://www.zcygov.cn/）获取（下载）招标文件，并于2023%20年%2008月%20%20%20日14点00分00秒" </w:instrText>
      </w:r>
      <w:r>
        <w:rPr>
          <w:highlight w:val="none"/>
        </w:rPr>
        <w:fldChar w:fldCharType="separate"/>
      </w:r>
      <w:r>
        <w:rPr>
          <w:rStyle w:val="76"/>
          <w:rFonts w:ascii="宋体" w:hAnsi="宋体" w:eastAsia="宋体" w:cs="宋体"/>
          <w:snapToGrid/>
          <w:kern w:val="2"/>
          <w:sz w:val="24"/>
          <w:szCs w:val="24"/>
          <w:highlight w:val="none"/>
        </w:rPr>
        <w:t xml:space="preserve">https://www.zcygov.cn/）获取（下载）招标文件，并于2023 </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07</w:t>
      </w:r>
      <w:r>
        <w:rPr>
          <w:rStyle w:val="76"/>
          <w:rFonts w:hint="eastAsia" w:ascii="宋体" w:hAnsi="宋体" w:eastAsia="宋体" w:cs="宋体"/>
          <w:snapToGrid/>
          <w:kern w:val="2"/>
          <w:sz w:val="24"/>
          <w:szCs w:val="24"/>
          <w:highlight w:val="none"/>
        </w:rPr>
        <w:t>日</w:t>
      </w:r>
      <w:r>
        <w:rPr>
          <w:rStyle w:val="76"/>
          <w:rFonts w:ascii="宋体" w:hAnsi="宋体" w:cs="宋体"/>
          <w:snapToGrid/>
          <w:kern w:val="2"/>
          <w:sz w:val="24"/>
          <w:szCs w:val="24"/>
          <w:highlight w:val="none"/>
        </w:rPr>
        <w:t>14</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30</w:t>
      </w:r>
      <w:r>
        <w:rPr>
          <w:rStyle w:val="76"/>
          <w:rFonts w:hint="eastAsia" w:ascii="宋体" w:hAnsi="宋体" w:eastAsia="宋体" w:cs="宋体"/>
          <w:snapToGrid/>
          <w:kern w:val="2"/>
          <w:sz w:val="24"/>
          <w:szCs w:val="24"/>
          <w:highlight w:val="none"/>
        </w:rPr>
        <w:t>分</w:t>
      </w:r>
      <w:r>
        <w:rPr>
          <w:rStyle w:val="76"/>
          <w:rFonts w:ascii="宋体" w:hAnsi="宋体" w:eastAsia="宋体" w:cs="宋体"/>
          <w:bCs/>
          <w:snapToGrid/>
          <w:kern w:val="2"/>
          <w:sz w:val="24"/>
          <w:szCs w:val="24"/>
          <w:highlight w:val="none"/>
        </w:rPr>
        <w:t>00秒</w:t>
      </w:r>
      <w:r>
        <w:rPr>
          <w:rStyle w:val="76"/>
          <w:rFonts w:ascii="宋体" w:hAnsi="宋体" w:eastAsia="宋体" w:cs="宋体"/>
          <w:bCs/>
          <w:snapToGrid/>
          <w:kern w:val="2"/>
          <w:sz w:val="24"/>
          <w:szCs w:val="24"/>
          <w:highlight w:val="none"/>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项目编号：</w:t>
      </w:r>
      <w:r>
        <w:rPr>
          <w:rFonts w:hint="eastAsia" w:ascii="宋体" w:hAnsi="宋体" w:eastAsia="宋体" w:cs="宋体"/>
          <w:b/>
          <w:bCs/>
          <w:color w:val="000000" w:themeColor="text1"/>
          <w:sz w:val="24"/>
          <w:highlight w:val="none"/>
          <w:lang w:eastAsia="zh-CN"/>
          <w14:textFill>
            <w14:solidFill>
              <w14:schemeClr w14:val="tx1"/>
            </w14:solidFill>
          </w14:textFill>
        </w:rPr>
        <w:t>ZJZN-</w:t>
      </w:r>
      <w:r>
        <w:rPr>
          <w:rFonts w:hint="eastAsia" w:ascii="宋体" w:hAnsi="宋体" w:eastAsia="宋体" w:cs="宋体"/>
          <w:b/>
          <w:bCs/>
          <w:color w:val="000000" w:themeColor="text1"/>
          <w:sz w:val="24"/>
          <w:highlight w:val="none"/>
          <w:lang w:val="en-US" w:eastAsia="zh-CN"/>
          <w14:textFill>
            <w14:solidFill>
              <w14:schemeClr w14:val="tx1"/>
            </w14:solidFill>
          </w14:textFill>
        </w:rPr>
        <w:t>23168</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u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5800000</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5800000</w:t>
      </w:r>
    </w:p>
    <w:p>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color w:val="auto"/>
          <w:sz w:val="24"/>
          <w:highlight w:val="none"/>
        </w:rPr>
        <w:t>项目</w:t>
      </w:r>
      <w:r>
        <w:rPr>
          <w:rFonts w:hint="eastAsia" w:hAnsi="宋体" w:cs="宋体"/>
          <w:bCs/>
          <w:snapToGrid/>
          <w:color w:val="auto"/>
          <w:kern w:val="2"/>
          <w:sz w:val="24"/>
          <w:szCs w:val="24"/>
          <w:highlight w:val="none"/>
        </w:rPr>
        <w:t>总体目标是迭代升级“亲清在线”为“政策超市”，打造</w:t>
      </w:r>
      <w:r>
        <w:rPr>
          <w:rFonts w:hint="eastAsia" w:hAnsi="宋体" w:cs="宋体"/>
          <w:color w:val="000000" w:themeColor="text1"/>
          <w:sz w:val="24"/>
          <w:highlight w:val="none"/>
          <w14:textFill>
            <w14:solidFill>
              <w14:schemeClr w14:val="tx1"/>
            </w14:solidFill>
          </w14:textFill>
        </w:rPr>
        <w:t>政策一站直达场景，为</w:t>
      </w:r>
      <w:r>
        <w:rPr>
          <w:rFonts w:hint="eastAsia" w:hAnsi="宋体" w:cs="宋体"/>
          <w:bCs/>
          <w:snapToGrid/>
          <w:color w:val="auto"/>
          <w:kern w:val="2"/>
          <w:sz w:val="24"/>
          <w:szCs w:val="24"/>
          <w:highlight w:val="none"/>
        </w:rPr>
        <w:t>企业提供“一站通查、一站通办、一站通享”的综合政策服务。主要内容包括：全面改版升级“亲清在线·政策超市”新门户；升级“亲清在线·政策超市”浙里办移动端；基于人工智能大模型，打造政策智能服务引擎，建设政策智能问答、智能推荐、智能搜索、智能解读等智能化服务；采购基于GPU算力的政策智能问答大语言模型调用服务；打造“亲清信使”新服务，提供政策精准推送服务，构筑企业服务专属通道。</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pPr>
        <w:pStyle w:val="82"/>
        <w:spacing w:after="120"/>
        <w:ind w:firstLine="482" w:firstLineChars="200"/>
        <w:rPr>
          <w:rFonts w:cs="宋体"/>
          <w:color w:val="000000" w:themeColor="text1"/>
          <w:highlight w:val="none"/>
          <w14:textFill>
            <w14:solidFill>
              <w14:schemeClr w14:val="tx1"/>
            </w14:solidFill>
          </w14:textFill>
        </w:rPr>
      </w:pPr>
      <w:r>
        <w:rPr>
          <w:rFonts w:hint="eastAsia" w:cs="宋体"/>
          <w:b/>
          <w:snapToGrid w:val="0"/>
          <w:color w:val="000000" w:themeColor="text1"/>
          <w:kern w:val="28"/>
          <w:highlight w:val="none"/>
          <w14:textFill>
            <w14:solidFill>
              <w14:schemeClr w14:val="tx1"/>
            </w14:solidFill>
          </w14:textFill>
        </w:rPr>
        <w:t>合同履约期</w:t>
      </w:r>
      <w:r>
        <w:rPr>
          <w:rFonts w:hint="eastAsia" w:cs="宋体"/>
          <w:b/>
          <w:color w:val="000000" w:themeColor="text1"/>
          <w:highlight w:val="none"/>
          <w14:textFill>
            <w14:solidFill>
              <w14:schemeClr w14:val="tx1"/>
            </w14:solidFill>
          </w14:textFill>
        </w:rPr>
        <w:t>限：</w:t>
      </w:r>
      <w:r>
        <w:rPr>
          <w:rFonts w:cs="宋体"/>
          <w:color w:val="000000" w:themeColor="text1"/>
          <w:highlight w:val="none"/>
          <w14:textFill>
            <w14:solidFill>
              <w14:schemeClr w14:val="tx1"/>
            </w14:solidFill>
          </w14:textFill>
        </w:rPr>
        <w:t xml:space="preserve"> </w:t>
      </w:r>
      <w:r>
        <w:rPr>
          <w:rFonts w:hint="eastAsia"/>
          <w:highlight w:val="none"/>
        </w:rPr>
        <w:t>项目建设期至2024年4月30日；大模型算力服务期至2024年6月30日。</w:t>
      </w:r>
    </w:p>
    <w:p>
      <w:pPr>
        <w:pStyle w:val="6"/>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65247529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605930910"/>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335512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0252173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089526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pPr>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441329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2023 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2023</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年</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07</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日</w:t>
      </w:r>
      <w:r>
        <w:rPr>
          <w:rStyle w:val="76"/>
          <w:rFonts w:hint="eastAsia" w:ascii="宋体" w:hAnsi="宋体" w:cs="宋体"/>
          <w:snapToGrid/>
          <w:color w:val="000000" w:themeColor="text1"/>
          <w:kern w:val="2"/>
          <w:sz w:val="24"/>
          <w:szCs w:val="24"/>
          <w:highlight w:val="none"/>
          <w:u w:val="single"/>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点</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2023</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 xml:space="preserve"> 年</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月</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07</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日</w:t>
      </w:r>
      <w:r>
        <w:rPr>
          <w:rStyle w:val="76"/>
          <w:rFonts w:hint="eastAsia" w:ascii="宋体" w:hAnsi="宋体" w:cs="宋体"/>
          <w:snapToGrid/>
          <w:color w:val="000000" w:themeColor="text1"/>
          <w:kern w:val="2"/>
          <w:sz w:val="24"/>
          <w:szCs w:val="24"/>
          <w:highlight w:val="none"/>
          <w:u w:val="single"/>
          <w14:textFill>
            <w14:solidFill>
              <w14:schemeClr w14:val="tx1"/>
            </w14:solidFill>
          </w14:textFill>
        </w:rPr>
        <w:t>14</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点</w:t>
      </w:r>
      <w:r>
        <w:rPr>
          <w:rStyle w:val="76"/>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u w:val="singl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numPr>
          <w:ilvl w:val="0"/>
          <w:numId w:val="1"/>
        </w:numPr>
        <w:spacing w:line="360" w:lineRule="auto"/>
        <w:ind w:firstLine="482" w:firstLineChars="200"/>
        <w:rPr>
          <w:highlight w:val="none"/>
        </w:rPr>
      </w:pPr>
      <w:r>
        <w:rPr>
          <w:rFonts w:hint="eastAsia" w:ascii="宋体" w:hAnsi="宋体" w:cs="宋体"/>
          <w:b/>
          <w:color w:val="000000" w:themeColor="text1"/>
          <w:sz w:val="24"/>
          <w:highlight w:val="none"/>
          <w14:textFill>
            <w14:solidFill>
              <w14:schemeClr w14:val="tx1"/>
            </w14:solidFill>
          </w14:textFill>
        </w:rPr>
        <w:t>采购意向公开链接</w:t>
      </w:r>
    </w:p>
    <w:p>
      <w:pPr>
        <w:pStyle w:val="2"/>
        <w:ind w:left="0" w:leftChars="0" w:firstLine="480" w:firstLineChars="200"/>
        <w:rPr>
          <w:rFonts w:ascii="宋体" w:hAnsi="宋体" w:cs="宋体"/>
          <w:b/>
          <w:color w:val="000000" w:themeColor="text1"/>
          <w:sz w:val="24"/>
          <w:highlight w:val="none"/>
          <w14:textFill>
            <w14:solidFill>
              <w14:schemeClr w14:val="tx1"/>
            </w14:solidFill>
          </w14:textFill>
        </w:rPr>
      </w:pPr>
      <w:r>
        <w:rPr>
          <w:rFonts w:hint="eastAsia"/>
          <w:highlight w:val="none"/>
        </w:rPr>
        <w:t>https://zfcg.czt.zj.gov.cn/luban/detail?parentId=600007&amp;articleId=PhjzixFzAZOEhtgwnvFRtw%3D%3D&amp;utm=luban.luban-PC-37000.979-pc-websitegroup-zhejiang-secondPage-front.2.752c9fa042fa11ee92f12998892ee976</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pPr>
        <w:spacing w:line="360" w:lineRule="auto"/>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1.招标人信息</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称：杭州市发展和改革委员会</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auto"/>
          <w:sz w:val="24"/>
          <w:highlight w:val="none"/>
          <w:lang w:val="en-US" w:eastAsia="zh-CN"/>
        </w:rPr>
        <w:t>杭州市解放东路18号市民中心B座</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项目联系人（询问）：董老师</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项目联系方式（询问）：0571-85252397</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  陈工</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质疑联系方式：0571-85251953  </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称：浙江中诺招标代理有限公司</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址：杭州市西湖区教工路269号保翌大厦14楼</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 吴知静      </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项目联系方式（询问）：0571-88821402</w:t>
      </w:r>
    </w:p>
    <w:p>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质疑联系人：董媛媛            </w:t>
      </w:r>
    </w:p>
    <w:p>
      <w:pPr>
        <w:widowControl/>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质疑联系方式：0571-88821402</w:t>
      </w:r>
      <w:r>
        <w:rPr>
          <w:rFonts w:hint="eastAsia" w:ascii="宋体" w:hAnsi="宋体" w:cs="宋体"/>
          <w:color w:val="000000" w:themeColor="text1"/>
          <w:sz w:val="24"/>
          <w:highlight w:val="none"/>
          <w:lang w:val="en-US" w:eastAsia="zh-CN"/>
          <w14:textFill>
            <w14:solidFill>
              <w14:schemeClr w14:val="tx1"/>
            </w14:solidFill>
          </w14:textFill>
        </w:rPr>
        <w:t>-8030</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称：杭州市财政局政府采购监管处 /浙江省政府采购行政裁决服务中心（杭州）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8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tblHeader/>
        </w:trPr>
        <w:tc>
          <w:tcPr>
            <w:tcW w:w="629" w:type="dxa"/>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401" w:type="dxa"/>
            <w:vAlign w:val="center"/>
          </w:tcPr>
          <w:p>
            <w:pPr>
              <w:snapToGri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vAlign w:val="center"/>
          </w:tcPr>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401" w:type="dxa"/>
            <w:vAlign w:val="center"/>
          </w:tcPr>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“城市大脑2.0-数智营商”</w:t>
            </w:r>
            <w:r>
              <w:rPr>
                <w:rFonts w:hint="eastAsia" w:ascii="宋体" w:hAnsi="宋体" w:cs="宋体"/>
                <w:color w:val="000000" w:themeColor="text1"/>
                <w:kern w:val="0"/>
                <w:sz w:val="24"/>
                <w:highlight w:val="none"/>
                <w:u w:val="single"/>
                <w14:textFill>
                  <w14:solidFill>
                    <w14:schemeClr w14:val="tx1"/>
                  </w14:solidFill>
                </w14:textFill>
              </w:rPr>
              <w:t xml:space="preserve">政策一站直达场景建设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软件和信息技术服务 </w:t>
            </w:r>
            <w:r>
              <w:rPr>
                <w:rFonts w:hint="eastAsia" w:ascii="宋体" w:hAnsi="宋体" w:cs="宋体"/>
                <w:color w:val="000000" w:themeColor="text1"/>
                <w:kern w:val="0"/>
                <w:sz w:val="24"/>
                <w:highlight w:val="none"/>
                <w14:textFill>
                  <w14:solidFill>
                    <w14:schemeClr w14:val="tx1"/>
                  </w14:solidFill>
                </w14:textFill>
              </w:rPr>
              <w:t>行业；</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备注：《关于印发中小企业划型标准规定的通知》（工信部联企业〔2011〕300号）：</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软件和信息技术服务：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401" w:type="dxa"/>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2886011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8182893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vAlign w:val="center"/>
          </w:tcPr>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7085470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w:t>
            </w:r>
            <w:r>
              <w:rPr>
                <w:rFonts w:hint="eastAsia" w:ascii="宋体" w:hAnsi="宋体" w:cs="宋体"/>
                <w:color w:val="000000" w:themeColor="text1"/>
                <w:sz w:val="24"/>
                <w:highlight w:val="none"/>
                <w:u w:val="single"/>
                <w14:textFill>
                  <w14:solidFill>
                    <w14:schemeClr w14:val="tx1"/>
                  </w14:solidFill>
                </w14:textFill>
              </w:rPr>
              <w:t xml:space="preserve">将培训等 </w:t>
            </w:r>
            <w:r>
              <w:rPr>
                <w:rFonts w:hint="eastAsia" w:ascii="宋体" w:hAnsi="宋体" w:cs="宋体"/>
                <w:color w:val="000000" w:themeColor="text1"/>
                <w:sz w:val="24"/>
                <w:highlight w:val="none"/>
                <w14:textFill>
                  <w14:solidFill>
                    <w14:schemeClr w14:val="tx1"/>
                  </w14:solidFill>
                </w14:textFill>
              </w:rPr>
              <w:t>非主体、非关键性的工作分包。</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5415224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678276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4410512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03514133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。请投标人在上述时间内提供样品并按规定位置安装完毕。超过截止时间的，招标人或采购代理机构将不予接收，并将清场并封闭样品现场。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招标人、采购机构将通知未中标人在规定的时间内取回，逾期未取回的，招标人、采购机构不负保管义务；对于中标人提供的样品，招标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6499520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（1）在评标时安排每个投标人进行方案讲解演示。每个投标人时间不超过10分钟，讲解次序以投标文件解密时间先后次序为准，讲解演示人员不超过3人。讲解演示结束后按要求解答评标委员会提问。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sz w:val="24"/>
                <w:highlight w:val="none"/>
                <w14:textFill>
                  <w14:solidFill>
                    <w14:schemeClr w14:val="tx1"/>
                  </w14:solidFill>
                </w14:textFill>
              </w:rPr>
              <w:t>现场讲解演示。现场讲解地点为</w:t>
            </w:r>
            <w:r>
              <w:rPr>
                <w:rFonts w:hint="eastAsia" w:ascii="宋体" w:hAnsi="宋体" w:cs="宋体"/>
                <w:sz w:val="24"/>
                <w:highlight w:val="none"/>
                <w:u w:val="single"/>
              </w:rPr>
              <w:t>杭州市西湖区教工路269号保翌大厦14楼评标室</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，讲解演示所用电脑等设备由投标人自</w:t>
            </w:r>
            <w:r>
              <w:rPr>
                <w:rFonts w:hint="eastAsia" w:ascii="宋体" w:hAnsi="宋体" w:cs="宋体"/>
                <w:color w:val="000000" w:themeColor="text1"/>
                <w:kern w:val="0"/>
                <w:sz w:val="24"/>
                <w:highlight w:val="none"/>
                <w14:textFill>
                  <w14:solidFill>
                    <w14:schemeClr w14:val="tx1"/>
                  </w14:solidFill>
                </w14:textFill>
              </w:rPr>
              <w:t>备（采购机构现场为高清HDMI转接头，请自备其他转接头），演示次序由开标时抽签决定。现场讲解演示人员进场时提供讲解人员名单（加盖公章或授权代表签名）及身份证明，否则不得讲解演示。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40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401" w:type="dxa"/>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人拟采购的产品属于品目清单范围的，招标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401" w:type="dxa"/>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提醒：验收时检测费用由招标人承担，不包含在投标总价中。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401" w:type="dxa"/>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401" w:type="dxa"/>
            <w:vAlign w:val="center"/>
          </w:tcPr>
          <w:p>
            <w:pPr>
              <w:pStyle w:val="32"/>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杭州市西湖区教工路269号保翌大厦14楼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董媛媛，电话：0571-88821402</w:t>
            </w:r>
            <w:r>
              <w:rPr>
                <w:rFonts w:hint="eastAsia" w:hAnsi="宋体" w:cs="宋体"/>
                <w:sz w:val="24"/>
                <w:highlight w:val="none"/>
                <w:u w:val="single"/>
                <w:lang w:val="en-US" w:eastAsia="zh-CN"/>
              </w:rPr>
              <w:t>-8030</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招标人、采购机构不强制或变相强制投标人提交备份投标文件。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401" w:type="dxa"/>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401" w:type="dxa"/>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89251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364631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4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vAlign w:val="center"/>
          </w:tcPr>
          <w:p>
            <w:pPr>
              <w:snapToGrid w:val="0"/>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采购代理服务费</w:t>
            </w:r>
          </w:p>
        </w:tc>
        <w:tc>
          <w:tcPr>
            <w:tcW w:w="6401" w:type="dxa"/>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项目的采购代理费由中标人支付。分标项结算，计费标准：以中标（成交）金额为计费基准，按《计价格［2002］1980号》及《发改办价格［2003］857号》规定的服务类收费标准计取，不足伍仟按伍仟计算。结算方式及时间为：在领取中标通知书时由中标供应商一次性向采购代理机构付清。</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按差额定率累进制计算,具体标准为:</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中标金额为100万元及以下：中标金额×1.5%；</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中标金额为100～500万元：100万×1.5%+(中标金额-100万)×0.8%。</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2.代理服务费收款账号：</w:t>
            </w:r>
          </w:p>
          <w:p>
            <w:pPr>
              <w:spacing w:line="360" w:lineRule="auto"/>
              <w:rPr>
                <w:rFonts w:ascii="宋体" w:hAnsi="宋体" w:cs="宋体"/>
                <w:kern w:val="0"/>
                <w:sz w:val="24"/>
                <w:highlight w:val="none"/>
              </w:rPr>
            </w:pPr>
            <w:r>
              <w:rPr>
                <w:rFonts w:hint="eastAsia" w:ascii="宋体" w:hAnsi="宋体" w:cs="宋体"/>
                <w:kern w:val="0"/>
                <w:sz w:val="24"/>
                <w:highlight w:val="none"/>
              </w:rPr>
              <w:t>收款单位（户名）：浙江中诺招标代理有限公司</w:t>
            </w:r>
          </w:p>
          <w:p>
            <w:pPr>
              <w:spacing w:line="360" w:lineRule="auto"/>
              <w:rPr>
                <w:rFonts w:ascii="宋体" w:hAnsi="宋体" w:cs="宋体"/>
                <w:kern w:val="0"/>
                <w:sz w:val="24"/>
                <w:highlight w:val="none"/>
              </w:rPr>
            </w:pPr>
            <w:r>
              <w:rPr>
                <w:rFonts w:hint="eastAsia" w:ascii="宋体" w:hAnsi="宋体" w:cs="宋体"/>
                <w:kern w:val="0"/>
                <w:sz w:val="24"/>
                <w:highlight w:val="none"/>
              </w:rPr>
              <w:t>开户银行：中信银行杭州玉泉支行</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kern w:val="0"/>
                <w:sz w:val="24"/>
                <w:highlight w:val="none"/>
              </w:rPr>
              <w:t>银行账号：8110801012600973488</w:t>
            </w:r>
          </w:p>
        </w:tc>
      </w:tr>
    </w:tbl>
    <w:p>
      <w:pPr>
        <w:jc w:val="left"/>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bookmarkEnd w:id="10"/>
    <w:p>
      <w:pPr>
        <w:pStyle w:val="965"/>
        <w:spacing w:before="24" w:after="24"/>
        <w:ind w:firstLine="560"/>
        <w:rPr>
          <w:highlight w:val="none"/>
        </w:rPr>
      </w:pPr>
      <w:bookmarkStart w:id="11" w:name="_Toc91899903"/>
      <w:bookmarkStart w:id="12" w:name="第三部分"/>
      <w:bookmarkStart w:id="13" w:name="_Toc164416483"/>
      <w:r>
        <w:rPr>
          <w:rFonts w:hint="eastAsia"/>
          <w:highlight w:val="none"/>
        </w:rPr>
        <w:t>一、总则</w:t>
      </w:r>
    </w:p>
    <w:p>
      <w:pPr>
        <w:pStyle w:val="966"/>
        <w:spacing w:before="24" w:after="24"/>
        <w:ind w:firstLine="482"/>
        <w:rPr>
          <w:highlight w:val="none"/>
        </w:rPr>
      </w:pPr>
      <w:r>
        <w:rPr>
          <w:rFonts w:hint="eastAsia"/>
          <w:highlight w:val="none"/>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966"/>
        <w:spacing w:before="24" w:after="24"/>
        <w:ind w:firstLine="482"/>
        <w:rPr>
          <w:highlight w:val="none"/>
        </w:rPr>
      </w:pPr>
      <w:r>
        <w:rPr>
          <w:rFonts w:hint="eastAsia"/>
          <w:highlight w:val="none"/>
        </w:rPr>
        <w:t>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pStyle w:val="966"/>
        <w:spacing w:before="24" w:after="24"/>
        <w:ind w:firstLine="482"/>
        <w:rPr>
          <w:highlight w:val="none"/>
        </w:rPr>
      </w:pPr>
      <w:r>
        <w:rPr>
          <w:rFonts w:hint="eastAsia"/>
          <w:highlight w:val="none"/>
        </w:rPr>
        <w:t>3.采购项目需要落实的政府采购政策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480" w:firstLineChars="200"/>
        <w:rPr>
          <w:rFonts w:eastAsiaTheme="minorEastAsia"/>
          <w:b/>
          <w:sz w:val="24"/>
          <w:szCs w:val="22"/>
          <w:highlight w:val="none"/>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pStyle w:val="966"/>
        <w:spacing w:before="24" w:after="24"/>
        <w:ind w:firstLine="482"/>
        <w:rPr>
          <w:highlight w:val="none"/>
        </w:rPr>
      </w:pPr>
      <w:r>
        <w:rPr>
          <w:highlight w:val="none"/>
        </w:rPr>
        <w:t>4</w:t>
      </w:r>
      <w:r>
        <w:rPr>
          <w:rFonts w:hint="eastAsia"/>
          <w:highlight w:val="none"/>
        </w:rPr>
        <w:t>.询问、质疑、投诉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128"/>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pPr>
        <w:pStyle w:val="966"/>
        <w:spacing w:before="24" w:after="24"/>
        <w:ind w:firstLine="482"/>
        <w:rPr>
          <w:highlight w:val="none"/>
        </w:rPr>
      </w:pPr>
      <w:r>
        <w:rPr>
          <w:rFonts w:hint="eastAsia"/>
          <w:highlight w:val="none"/>
        </w:rPr>
        <w:t>5．招标文件的构成</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966"/>
        <w:spacing w:before="24" w:after="24"/>
        <w:ind w:firstLine="482"/>
        <w:rPr>
          <w:highlight w:val="none"/>
        </w:rPr>
      </w:pPr>
      <w:r>
        <w:rPr>
          <w:rFonts w:hint="eastAsia"/>
          <w:highlight w:val="none"/>
        </w:rPr>
        <w:t>6. 招标文件的澄清、修改</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966"/>
        <w:spacing w:before="24" w:after="24"/>
        <w:ind w:firstLine="482"/>
        <w:rPr>
          <w:highlight w:val="none"/>
        </w:rPr>
      </w:pPr>
      <w:r>
        <w:rPr>
          <w:rFonts w:hint="eastAsia"/>
          <w:highlight w:val="none"/>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966"/>
        <w:spacing w:before="24" w:after="24"/>
        <w:ind w:firstLine="482"/>
        <w:rPr>
          <w:highlight w:val="none"/>
        </w:rPr>
      </w:pPr>
      <w:r>
        <w:rPr>
          <w:rFonts w:hint="eastAsia"/>
          <w:highlight w:val="none"/>
        </w:rPr>
        <w:t>8.开标前答疑会或现场考察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966"/>
        <w:spacing w:before="24" w:after="24"/>
        <w:ind w:firstLine="482"/>
        <w:rPr>
          <w:highlight w:val="none"/>
        </w:rPr>
      </w:pPr>
      <w:r>
        <w:rPr>
          <w:rFonts w:hint="eastAsia"/>
          <w:highlight w:val="none"/>
        </w:rPr>
        <w:t>9.投标保证金</w:t>
      </w:r>
    </w:p>
    <w:p>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966"/>
        <w:spacing w:before="24" w:after="24"/>
        <w:ind w:firstLine="482"/>
        <w:rPr>
          <w:highlight w:val="none"/>
        </w:rPr>
      </w:pPr>
      <w:r>
        <w:rPr>
          <w:rFonts w:hint="eastAsia"/>
          <w:highlight w:val="none"/>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966"/>
        <w:spacing w:before="24" w:after="24"/>
        <w:ind w:firstLine="482"/>
        <w:rPr>
          <w:highlight w:val="none"/>
        </w:rPr>
      </w:pPr>
      <w:r>
        <w:rPr>
          <w:rFonts w:hint="eastAsia"/>
          <w:highlight w:val="none"/>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966"/>
        <w:spacing w:before="24" w:after="24"/>
        <w:ind w:firstLine="482"/>
        <w:rPr>
          <w:highlight w:val="none"/>
        </w:rPr>
      </w:pPr>
      <w:r>
        <w:rPr>
          <w:rFonts w:hint="eastAsia"/>
          <w:highlight w:val="none"/>
        </w:rPr>
        <w:t>12</w:t>
      </w:r>
      <w:r>
        <w:rPr>
          <w:rFonts w:hint="eastAsia"/>
          <w:kern w:val="0"/>
          <w:highlight w:val="none"/>
          <w:lang w:val="zh-CN"/>
        </w:rPr>
        <w:t xml:space="preserve">. </w:t>
      </w:r>
      <w:r>
        <w:rPr>
          <w:rFonts w:hint="eastAsia"/>
          <w:highlight w:val="none"/>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966"/>
        <w:spacing w:before="24" w:after="24"/>
        <w:ind w:firstLine="482"/>
        <w:rPr>
          <w:highlight w:val="none"/>
        </w:rPr>
      </w:pPr>
      <w:r>
        <w:rPr>
          <w:rFonts w:hint="eastAsia"/>
          <w:highlight w:val="none"/>
        </w:rPr>
        <w:t>13.投标文件的签署、盖章</w:t>
      </w:r>
    </w:p>
    <w:p>
      <w:pPr>
        <w:pStyle w:val="12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966"/>
        <w:spacing w:before="24" w:after="24"/>
        <w:ind w:firstLine="482"/>
        <w:rPr>
          <w:highlight w:val="none"/>
        </w:rPr>
      </w:pPr>
      <w:r>
        <w:rPr>
          <w:rFonts w:hint="eastAsia"/>
          <w:highlight w:val="none"/>
        </w:rPr>
        <w:t>14. 投标文件的提交、补充、修改、撤回</w:t>
      </w:r>
    </w:p>
    <w:p>
      <w:pPr>
        <w:pStyle w:val="12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966"/>
        <w:spacing w:before="24" w:after="24"/>
        <w:ind w:firstLine="482"/>
        <w:rPr>
          <w:highlight w:val="none"/>
        </w:rPr>
      </w:pPr>
      <w:r>
        <w:rPr>
          <w:rFonts w:hint="eastAsia"/>
          <w:highlight w:val="none"/>
        </w:rPr>
        <w:t>15.备份投标文件</w:t>
      </w:r>
    </w:p>
    <w:p>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966"/>
        <w:spacing w:before="24" w:after="24"/>
        <w:ind w:firstLine="482"/>
        <w:rPr>
          <w:highlight w:val="none"/>
        </w:rPr>
      </w:pPr>
      <w:r>
        <w:rPr>
          <w:rFonts w:hint="eastAsia"/>
          <w:highlight w:val="none"/>
        </w:rPr>
        <w:t>16.投标文件的无效处理</w:t>
      </w:r>
    </w:p>
    <w:p>
      <w:pPr>
        <w:pStyle w:val="2"/>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有招标文件第四部分4.2规定的情形之一的，投标无效：</w:t>
      </w:r>
    </w:p>
    <w:p>
      <w:pPr>
        <w:pStyle w:val="966"/>
        <w:spacing w:before="24" w:after="24"/>
        <w:ind w:firstLine="482"/>
        <w:rPr>
          <w:highlight w:val="none"/>
        </w:rPr>
      </w:pPr>
      <w:r>
        <w:rPr>
          <w:rFonts w:hint="eastAsia"/>
          <w:highlight w:val="none"/>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000000" w:themeColor="text1"/>
          <w:sz w:val="32"/>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四、开标、资格审查与信用信息查询</w:t>
      </w:r>
    </w:p>
    <w:p>
      <w:pPr>
        <w:pStyle w:val="966"/>
        <w:spacing w:before="24" w:after="24"/>
        <w:ind w:firstLine="482"/>
        <w:rPr>
          <w:highlight w:val="none"/>
        </w:rPr>
      </w:pPr>
      <w:r>
        <w:rPr>
          <w:rFonts w:hint="eastAsia"/>
          <w:highlight w:val="none"/>
        </w:rPr>
        <w:t xml:space="preserve">18.开标 </w:t>
      </w:r>
    </w:p>
    <w:p>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966"/>
        <w:spacing w:before="24" w:after="24"/>
        <w:ind w:firstLine="482"/>
        <w:rPr>
          <w:rFonts w:ascii="宋体" w:hAnsi="宋体" w:cs="宋体"/>
          <w:color w:val="000000" w:themeColor="text1"/>
          <w:szCs w:val="20"/>
          <w:highlight w:val="none"/>
          <w14:textFill>
            <w14:solidFill>
              <w14:schemeClr w14:val="tx1"/>
            </w14:solidFill>
          </w14:textFill>
        </w:rPr>
      </w:pPr>
      <w:r>
        <w:rPr>
          <w:rFonts w:hint="eastAsia"/>
          <w:highlight w:val="none"/>
        </w:rPr>
        <w:t>1</w:t>
      </w:r>
      <w:r>
        <w:rPr>
          <w:highlight w:val="none"/>
        </w:rPr>
        <w:t>9.</w:t>
      </w:r>
      <w:r>
        <w:rPr>
          <w:rFonts w:hint="eastAsia"/>
          <w:highlight w:val="none"/>
        </w:rPr>
        <w:t>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966"/>
        <w:spacing w:before="24" w:after="24"/>
        <w:ind w:firstLine="482"/>
        <w:rPr>
          <w:highlight w:val="none"/>
        </w:rPr>
      </w:pPr>
      <w:r>
        <w:rPr>
          <w:rFonts w:hint="eastAsia"/>
          <w:highlight w:val="none"/>
        </w:rPr>
        <w:t>2</w:t>
      </w:r>
      <w:r>
        <w:rPr>
          <w:highlight w:val="none"/>
        </w:rPr>
        <w:t>0.</w:t>
      </w:r>
      <w:r>
        <w:rPr>
          <w:rFonts w:hint="eastAsia"/>
          <w:highlight w:val="none"/>
        </w:rPr>
        <w:t>信用信息查询</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28"/>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五、评标</w:t>
      </w:r>
    </w:p>
    <w:p>
      <w:pPr>
        <w:pStyle w:val="966"/>
        <w:spacing w:before="24" w:after="24"/>
        <w:ind w:firstLine="482"/>
        <w:rPr>
          <w:highlight w:val="none"/>
        </w:rPr>
      </w:pPr>
      <w:r>
        <w:rPr>
          <w:rFonts w:hint="eastAsia"/>
          <w:highlight w:val="none"/>
        </w:rPr>
        <w:t>21. 评标</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966"/>
        <w:spacing w:before="24" w:after="24"/>
        <w:ind w:firstLine="482"/>
        <w:rPr>
          <w:highlight w:val="none"/>
        </w:rPr>
      </w:pPr>
      <w:r>
        <w:rPr>
          <w:rFonts w:hint="eastAsia"/>
          <w:highlight w:val="none"/>
        </w:rPr>
        <w:t>22. 确定中标供应商</w:t>
      </w:r>
    </w:p>
    <w:p>
      <w:pPr>
        <w:pStyle w:val="12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66"/>
        <w:spacing w:before="24" w:after="24"/>
        <w:ind w:firstLine="482"/>
        <w:rPr>
          <w:highlight w:val="none"/>
        </w:rPr>
      </w:pPr>
      <w:r>
        <w:rPr>
          <w:rFonts w:hint="eastAsia"/>
          <w:highlight w:val="none"/>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966"/>
        <w:spacing w:before="24" w:after="24"/>
        <w:ind w:firstLine="482"/>
        <w:rPr>
          <w:highlight w:val="none"/>
        </w:rPr>
      </w:pPr>
      <w:r>
        <w:rPr>
          <w:rFonts w:hint="eastAsia"/>
          <w:highlight w:val="none"/>
        </w:rPr>
        <w:t>24. 合同主要条款详见第五部分拟签订的合同文本。</w:t>
      </w:r>
    </w:p>
    <w:p>
      <w:pPr>
        <w:pStyle w:val="966"/>
        <w:spacing w:before="24" w:after="24"/>
        <w:ind w:firstLine="482"/>
        <w:rPr>
          <w:highlight w:val="none"/>
        </w:rPr>
      </w:pPr>
      <w:r>
        <w:rPr>
          <w:rFonts w:hint="eastAsia"/>
          <w:highlight w:val="none"/>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966"/>
        <w:spacing w:before="24" w:after="24"/>
        <w:ind w:firstLine="482"/>
        <w:rPr>
          <w:highlight w:val="none"/>
        </w:rPr>
      </w:pPr>
      <w:r>
        <w:rPr>
          <w:rFonts w:hint="eastAsia"/>
          <w:highlight w:val="none"/>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66"/>
        <w:spacing w:before="24" w:after="24"/>
        <w:ind w:firstLine="482"/>
        <w:rPr>
          <w:highlight w:val="none"/>
        </w:rPr>
      </w:pPr>
      <w:r>
        <w:rPr>
          <w:rFonts w:hint="eastAsia"/>
          <w:highlight w:val="none"/>
        </w:rPr>
        <w:t>27.预付款</w:t>
      </w:r>
    </w:p>
    <w:p>
      <w:pPr>
        <w:adjustRightInd/>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color w:val="000000" w:themeColor="text1"/>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pStyle w:val="965"/>
        <w:spacing w:before="24" w:after="24"/>
        <w:rPr>
          <w:sz w:val="24"/>
          <w:highlight w:val="none"/>
        </w:rPr>
      </w:pPr>
      <w:r>
        <w:rPr>
          <w:rFonts w:hint="eastAsia"/>
          <w:highlight w:val="none"/>
        </w:rPr>
        <w:t>八、电子交易活动的中止</w:t>
      </w:r>
    </w:p>
    <w:p>
      <w:pPr>
        <w:pStyle w:val="966"/>
        <w:spacing w:before="24" w:after="24"/>
        <w:ind w:firstLine="482"/>
        <w:rPr>
          <w:rFonts w:cs="宋体"/>
          <w:color w:val="000000" w:themeColor="text1"/>
          <w:szCs w:val="24"/>
          <w:highlight w:val="none"/>
          <w14:textFill>
            <w14:solidFill>
              <w14:schemeClr w14:val="tx1"/>
            </w14:solidFill>
          </w14:textFill>
        </w:rPr>
      </w:pPr>
      <w:r>
        <w:rPr>
          <w:rFonts w:hint="eastAsia"/>
          <w:highlight w:val="none"/>
        </w:rPr>
        <w:t>28. 电子交易活动的中止</w:t>
      </w:r>
    </w:p>
    <w:p>
      <w:pPr>
        <w:pStyle w:val="28"/>
        <w:spacing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966"/>
        <w:spacing w:before="24" w:after="24"/>
        <w:ind w:firstLine="482"/>
        <w:rPr>
          <w:highlight w:val="none"/>
        </w:rPr>
      </w:pPr>
      <w:r>
        <w:rPr>
          <w:rFonts w:hint="eastAsia"/>
          <w:highlight w:val="none"/>
        </w:rPr>
        <w:t>2</w:t>
      </w:r>
      <w:r>
        <w:rPr>
          <w:highlight w:val="none"/>
        </w:rPr>
        <w:t>9.</w:t>
      </w:r>
      <w:r>
        <w:rPr>
          <w:rFonts w:hint="eastAsia"/>
          <w:highlight w:val="none"/>
        </w:rPr>
        <w:t>其他</w:t>
      </w:r>
    </w:p>
    <w:p>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pStyle w:val="965"/>
        <w:spacing w:before="24" w:after="24"/>
        <w:rPr>
          <w:highlight w:val="none"/>
        </w:rPr>
      </w:pPr>
      <w:r>
        <w:rPr>
          <w:rFonts w:hint="eastAsia"/>
          <w:highlight w:val="none"/>
        </w:rPr>
        <w:t>九、验收</w:t>
      </w:r>
    </w:p>
    <w:p>
      <w:pPr>
        <w:pStyle w:val="966"/>
        <w:spacing w:before="24" w:after="24"/>
        <w:ind w:firstLine="482"/>
        <w:rPr>
          <w:highlight w:val="none"/>
        </w:rPr>
      </w:pPr>
      <w:r>
        <w:rPr>
          <w:rFonts w:hint="eastAsia"/>
          <w:highlight w:val="none"/>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p>
    <w:bookmarkEnd w:id="11"/>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68057669"/>
      <w:bookmarkEnd w:id="17"/>
      <w:bookmarkStart w:id="18" w:name="_Hlt68072990"/>
      <w:bookmarkEnd w:id="18"/>
      <w:bookmarkStart w:id="19" w:name="_Hlt68403820"/>
      <w:bookmarkEnd w:id="19"/>
      <w:bookmarkStart w:id="20" w:name="_Hlt68072998"/>
      <w:bookmarkEnd w:id="20"/>
      <w:bookmarkStart w:id="21" w:name="_Hlt68073093"/>
      <w:bookmarkEnd w:id="21"/>
      <w:bookmarkStart w:id="22" w:name="_Hlt74707468"/>
      <w:bookmarkEnd w:id="22"/>
      <w:bookmarkStart w:id="23" w:name="_Hlt75236101"/>
      <w:bookmarkEnd w:id="23"/>
      <w:bookmarkStart w:id="24" w:name="_Hlt74714665"/>
      <w:bookmarkEnd w:id="24"/>
      <w:bookmarkStart w:id="25" w:name="_Hlt75236290"/>
      <w:bookmarkEnd w:id="25"/>
      <w:bookmarkStart w:id="26" w:name="_Hlt74730295"/>
      <w:bookmarkEnd w:id="26"/>
    </w:p>
    <w:bookmarkEnd w:id="12"/>
    <w:bookmarkEnd w:id="13"/>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pStyle w:val="669"/>
        <w:spacing w:before="24" w:after="24"/>
        <w:rPr>
          <w:rFonts w:ascii="宋体" w:hAnsi="宋体" w:eastAsia="宋体" w:cs="宋体"/>
          <w:highlight w:val="none"/>
        </w:rPr>
      </w:pPr>
      <w:bookmarkStart w:id="28" w:name="_Hlk88032214"/>
      <w:r>
        <w:rPr>
          <w:rFonts w:hint="eastAsia" w:ascii="宋体" w:hAnsi="宋体" w:eastAsia="宋体" w:cs="宋体"/>
          <w:highlight w:val="none"/>
        </w:rPr>
        <w:t>一、建设背景</w:t>
      </w:r>
    </w:p>
    <w:bookmarkEnd w:id="28"/>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按照“《杭州城市大脑2.0建设任务书（2023年度）》杭城脑指〔2023〕2号”的任务要求，“城市大脑2.0——数智营商”项目主要以实现营商环境“5个最优（最优政务环境、最优法治环境、最优市场环境、最优经济生态环境、最优人文环境）”为目标，聚焦营商环境数智化建设。</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为响应市委市政府主要领导关于“迭代升级亲清在线，加快打造‘政策超市’”的指示精神，建设城市大脑2.0—数智营商“政策一站直达”场景，提供方便企业享受“一站通查、一站通办、一站通享”的综合政策服务。</w:t>
      </w:r>
    </w:p>
    <w:p>
      <w:pPr>
        <w:pStyle w:val="669"/>
        <w:spacing w:before="24" w:after="24"/>
        <w:rPr>
          <w:rFonts w:ascii="宋体" w:hAnsi="宋体" w:eastAsia="宋体" w:cs="宋体"/>
          <w:highlight w:val="none"/>
        </w:rPr>
      </w:pPr>
      <w:r>
        <w:rPr>
          <w:rFonts w:hint="eastAsia" w:ascii="宋体" w:hAnsi="宋体" w:eastAsia="宋体" w:cs="宋体"/>
          <w:highlight w:val="none"/>
        </w:rPr>
        <w:t>二、建设内容</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bCs/>
          <w:kern w:val="2"/>
          <w:highlight w:val="none"/>
        </w:rPr>
        <w:t>迭代升级“亲清在线”为“政策超市”，打造</w:t>
      </w:r>
      <w:r>
        <w:rPr>
          <w:rFonts w:hint="eastAsia"/>
          <w:color w:val="000000" w:themeColor="text1"/>
          <w:highlight w:val="none"/>
          <w14:textFill>
            <w14:solidFill>
              <w14:schemeClr w14:val="tx1"/>
            </w14:solidFill>
          </w14:textFill>
        </w:rPr>
        <w:t>政策一站直达场景，为</w:t>
      </w:r>
      <w:r>
        <w:rPr>
          <w:rFonts w:hint="eastAsia"/>
          <w:bCs/>
          <w:kern w:val="2"/>
          <w:highlight w:val="none"/>
        </w:rPr>
        <w:t>企业提供“一站通查、一站通办、一站通享”的综合政策服务。主要内容包括：全面改版升级“亲清在线·政策超市”新门户；升级“亲清在线·政策超市”浙里办移动端；基于人工智能大模型，打造政策智能服务引擎，建设政策智能问答、智能推荐、智能搜索、智能解读等智能化服务；采购基于GPU算力的政策智能问答大语言模型调用服务；打造“亲清信使”新服务，提供政策精准推送服务，构筑企业服务专属通道。</w:t>
      </w:r>
    </w:p>
    <w:p>
      <w:pPr>
        <w:pStyle w:val="886"/>
        <w:snapToGrid w:val="0"/>
        <w:spacing w:line="360" w:lineRule="auto"/>
        <w:ind w:left="-420" w:firstLine="480" w:firstLineChars="200"/>
        <w:contextualSpacing/>
        <w:rPr>
          <w:highlight w:val="none"/>
        </w:rPr>
      </w:pPr>
      <w:r>
        <w:rPr>
          <w:rFonts w:hint="eastAsia"/>
          <w:highlight w:val="none"/>
        </w:rPr>
        <w:t>具体功能需求如下：</w:t>
      </w:r>
    </w:p>
    <w:p>
      <w:pPr>
        <w:pStyle w:val="886"/>
        <w:snapToGrid w:val="0"/>
        <w:spacing w:line="360" w:lineRule="auto"/>
        <w:ind w:left="-420" w:firstLine="482" w:firstLineChars="200"/>
        <w:contextualSpacing/>
        <w:jc w:val="both"/>
        <w:rPr>
          <w:highlight w:val="none"/>
        </w:rPr>
      </w:pPr>
      <w:r>
        <w:rPr>
          <w:b/>
          <w:bCs/>
          <w:highlight w:val="none"/>
        </w:rPr>
        <w:t>1.</w:t>
      </w:r>
      <w:r>
        <w:rPr>
          <w:rFonts w:hint="eastAsia"/>
          <w:b/>
          <w:bCs/>
          <w:highlight w:val="none"/>
        </w:rPr>
        <w:t>建设政策超市门户。</w:t>
      </w:r>
      <w:r>
        <w:rPr>
          <w:rFonts w:hint="eastAsia"/>
          <w:highlight w:val="none"/>
        </w:rPr>
        <w:t>升级亲清在线门户网站，</w:t>
      </w:r>
      <w:r>
        <w:rPr>
          <w:rFonts w:hint="eastAsia"/>
          <w:bCs/>
          <w:highlight w:val="none"/>
        </w:rPr>
        <w:t>完成门户界面改版，</w:t>
      </w:r>
      <w:r>
        <w:rPr>
          <w:rFonts w:hint="eastAsia"/>
          <w:highlight w:val="none"/>
        </w:rPr>
        <w:t>增加8+4政策专栏以及问计求策、智能推荐、智能问答、智能搜索、政策解读、最新政策、免申即享、直达秒兑等重点功能模块；建设政策直达页面，实现政策差异化排序、多级标签筛选功能；完善“我的企业”模块，展示企业兑付情况、访问情况以及咨询情况；升级“服务直达”功能，实现原有行政许可事项、我要招工、我要租房等模块的整合；升级“交流直达”功能，让企业便捷咨询。</w:t>
      </w:r>
    </w:p>
    <w:p>
      <w:pPr>
        <w:pStyle w:val="886"/>
        <w:snapToGrid w:val="0"/>
        <w:spacing w:line="360" w:lineRule="auto"/>
        <w:ind w:left="-420" w:firstLine="482" w:firstLineChars="200"/>
        <w:contextualSpacing/>
        <w:jc w:val="both"/>
        <w:rPr>
          <w:bCs/>
          <w:highlight w:val="none"/>
        </w:rPr>
      </w:pPr>
      <w:r>
        <w:rPr>
          <w:b/>
          <w:bCs/>
          <w:highlight w:val="none"/>
        </w:rPr>
        <w:t>2.</w:t>
      </w:r>
      <w:r>
        <w:rPr>
          <w:rFonts w:hint="eastAsia"/>
          <w:b/>
          <w:bCs/>
          <w:highlight w:val="none"/>
        </w:rPr>
        <w:t>打造政策智能引擎。</w:t>
      </w:r>
      <w:r>
        <w:rPr>
          <w:rFonts w:hint="eastAsia"/>
          <w:bCs/>
          <w:highlight w:val="none"/>
        </w:rPr>
        <w:t>基于人工智能大语言模型，打造政策智能引擎。依托智能引擎，构建政策画像标签体系和企业画像标签体系，开发智能问答、智能推荐、智能搜索、智能解读、智能推送等功能模块，提升找政策、读政策、送政策能力，全方位提升智慧服务能力；提供</w:t>
      </w:r>
      <w:r>
        <w:rPr>
          <w:rFonts w:hint="eastAsia"/>
          <w:highlight w:val="none"/>
        </w:rPr>
        <w:t>基于G</w:t>
      </w:r>
      <w:r>
        <w:rPr>
          <w:highlight w:val="none"/>
        </w:rPr>
        <w:t>PU</w:t>
      </w:r>
      <w:r>
        <w:rPr>
          <w:rFonts w:hint="eastAsia"/>
          <w:highlight w:val="none"/>
        </w:rPr>
        <w:t>算力的政策智能问答大语言模型调用服务，满足模型训练和生产服务期间的算力运算性能要求和Q</w:t>
      </w:r>
      <w:r>
        <w:rPr>
          <w:highlight w:val="none"/>
        </w:rPr>
        <w:t>PS</w:t>
      </w:r>
      <w:r>
        <w:rPr>
          <w:rFonts w:hint="eastAsia"/>
          <w:highlight w:val="none"/>
        </w:rPr>
        <w:t>要求。</w:t>
      </w:r>
    </w:p>
    <w:p>
      <w:pPr>
        <w:pStyle w:val="886"/>
        <w:snapToGrid w:val="0"/>
        <w:spacing w:line="360" w:lineRule="auto"/>
        <w:ind w:left="-420" w:firstLine="482" w:firstLineChars="200"/>
        <w:contextualSpacing/>
        <w:jc w:val="both"/>
        <w:rPr>
          <w:highlight w:val="none"/>
        </w:rPr>
      </w:pPr>
      <w:r>
        <w:rPr>
          <w:b/>
          <w:bCs/>
          <w:highlight w:val="none"/>
        </w:rPr>
        <w:t>3.</w:t>
      </w:r>
      <w:r>
        <w:rPr>
          <w:rFonts w:hint="eastAsia"/>
          <w:b/>
          <w:bCs/>
          <w:highlight w:val="none"/>
        </w:rPr>
        <w:t>升级亲清在线移动端。</w:t>
      </w:r>
      <w:r>
        <w:rPr>
          <w:rFonts w:hint="eastAsia"/>
          <w:bCs/>
          <w:highlight w:val="none"/>
        </w:rPr>
        <w:t>移动端新增政策智能推荐、智能搜索、申报兑付、我的企业、亲清D小二等功能模块，让企业用户可以在手机端查询、搜索、咨询、申报、兑付相关政策，提升平台政策服务的便捷度、感知度。</w:t>
      </w:r>
    </w:p>
    <w:p>
      <w:pPr>
        <w:pStyle w:val="886"/>
        <w:snapToGrid w:val="0"/>
        <w:spacing w:line="360" w:lineRule="auto"/>
        <w:ind w:left="-420" w:firstLine="482" w:firstLineChars="200"/>
        <w:contextualSpacing/>
        <w:rPr>
          <w:highlight w:val="none"/>
        </w:rPr>
      </w:pPr>
      <w:r>
        <w:rPr>
          <w:b/>
          <w:bCs/>
          <w:highlight w:val="none"/>
        </w:rPr>
        <w:t>4.</w:t>
      </w:r>
      <w:r>
        <w:rPr>
          <w:rFonts w:hint="eastAsia"/>
          <w:b/>
          <w:bCs/>
          <w:highlight w:val="none"/>
        </w:rPr>
        <w:t>打造亲清信使服务。</w:t>
      </w:r>
      <w:r>
        <w:rPr>
          <w:rFonts w:hint="eastAsia"/>
          <w:bCs/>
          <w:highlight w:val="none"/>
        </w:rPr>
        <w:t>新增亲清信使功能，支持企业用户绑定亲清信使以及设置订阅内容，通过短信、公众号以及平台消息等形式主动为企业提供免申即享、订阅资讯、智能推荐、亲清报表等有感服务。</w:t>
      </w:r>
    </w:p>
    <w:p>
      <w:pPr>
        <w:pStyle w:val="669"/>
        <w:spacing w:before="24" w:after="24"/>
        <w:rPr>
          <w:rFonts w:ascii="宋体" w:hAnsi="宋体" w:eastAsia="宋体" w:cs="宋体"/>
          <w:highlight w:val="none"/>
        </w:rPr>
      </w:pPr>
      <w:r>
        <w:rPr>
          <w:rFonts w:hint="eastAsia" w:ascii="宋体" w:hAnsi="宋体" w:eastAsia="宋体" w:cs="宋体"/>
          <w:highlight w:val="none"/>
        </w:rPr>
        <w:t>三、功能需求</w:t>
      </w:r>
    </w:p>
    <w:p>
      <w:pPr>
        <w:pStyle w:val="886"/>
        <w:snapToGrid w:val="0"/>
        <w:spacing w:line="360" w:lineRule="auto"/>
        <w:ind w:left="-420" w:firstLine="482" w:firstLineChars="200"/>
        <w:contextualSpacing/>
        <w:rPr>
          <w:b/>
          <w:highlight w:val="none"/>
        </w:rPr>
      </w:pPr>
      <w:r>
        <w:rPr>
          <w:rFonts w:hint="eastAsia"/>
          <w:b/>
          <w:highlight w:val="none"/>
        </w:rPr>
        <w:t>3.1.</w:t>
      </w:r>
      <w:r>
        <w:rPr>
          <w:rFonts w:hint="eastAsia"/>
          <w:highlight w:val="none"/>
        </w:rPr>
        <w:t xml:space="preserve"> </w:t>
      </w:r>
      <w:r>
        <w:rPr>
          <w:rFonts w:hint="eastAsia"/>
          <w:b/>
          <w:highlight w:val="none"/>
        </w:rPr>
        <w:t>建设亲清在线·政策超市2</w:t>
      </w:r>
      <w:r>
        <w:rPr>
          <w:b/>
          <w:highlight w:val="none"/>
        </w:rPr>
        <w:t>.0</w:t>
      </w:r>
      <w:r>
        <w:rPr>
          <w:rFonts w:hint="eastAsia"/>
          <w:b/>
          <w:highlight w:val="none"/>
        </w:rPr>
        <w:t>新门户</w:t>
      </w:r>
    </w:p>
    <w:p>
      <w:pPr>
        <w:pStyle w:val="886"/>
        <w:snapToGrid w:val="0"/>
        <w:spacing w:line="360" w:lineRule="auto"/>
        <w:ind w:left="-420" w:firstLine="480" w:firstLineChars="200"/>
        <w:contextualSpacing/>
        <w:rPr>
          <w:highlight w:val="none"/>
        </w:rPr>
      </w:pPr>
      <w:r>
        <w:rPr>
          <w:rFonts w:hint="eastAsia"/>
          <w:highlight w:val="none"/>
        </w:rPr>
        <w:t>3.1.1.</w:t>
      </w:r>
      <w:r>
        <w:rPr>
          <w:rFonts w:hint="eastAsia"/>
          <w:highlight w:val="none"/>
        </w:rPr>
        <w:tab/>
      </w:r>
      <w:r>
        <w:rPr>
          <w:rFonts w:hint="eastAsia"/>
          <w:highlight w:val="none"/>
        </w:rPr>
        <w:t>升级政策超市栏目</w:t>
      </w:r>
    </w:p>
    <w:p>
      <w:pPr>
        <w:pStyle w:val="886"/>
        <w:snapToGrid w:val="0"/>
        <w:spacing w:line="360" w:lineRule="auto"/>
        <w:ind w:left="-420" w:firstLine="480" w:firstLineChars="200"/>
        <w:contextualSpacing/>
        <w:jc w:val="both"/>
        <w:rPr>
          <w:highlight w:val="none"/>
        </w:rPr>
      </w:pPr>
      <w:r>
        <w:rPr>
          <w:rFonts w:hint="eastAsia"/>
          <w:highlight w:val="none"/>
        </w:rPr>
        <w:t>升级亲清在线·政策超市门户网站，提供更加先进的功能，优化用户体验，突出“政策超市”主题，并以快捷、方便的方式推荐政策信息和用户所需的服务。新门户增加企业兑付情况、8+4政策、问计求策、政策智能推荐、政策智能问答、政策智能搜索、政策解读、最新政策等模块，用户可一键直达相应页面。同时，在首页个性化推荐企业政策，让网站功能更丰富、网页浏览更便捷、页面展示更亲和、企业兑付更容易。</w:t>
      </w:r>
    </w:p>
    <w:p>
      <w:pPr>
        <w:pStyle w:val="886"/>
        <w:snapToGrid w:val="0"/>
        <w:spacing w:line="360" w:lineRule="auto"/>
        <w:ind w:left="-420" w:firstLine="480" w:firstLineChars="200"/>
        <w:contextualSpacing/>
        <w:rPr>
          <w:highlight w:val="none"/>
        </w:rPr>
      </w:pPr>
      <w:r>
        <w:rPr>
          <w:rFonts w:hint="eastAsia"/>
          <w:highlight w:val="none"/>
        </w:rPr>
        <w:t>3.1.2.</w:t>
      </w:r>
      <w:r>
        <w:rPr>
          <w:rFonts w:hint="eastAsia"/>
          <w:highlight w:val="none"/>
        </w:rPr>
        <w:tab/>
      </w:r>
      <w:r>
        <w:rPr>
          <w:rFonts w:hint="eastAsia"/>
          <w:highlight w:val="none"/>
        </w:rPr>
        <w:t>建设政策直达栏目</w:t>
      </w:r>
    </w:p>
    <w:p>
      <w:pPr>
        <w:pStyle w:val="886"/>
        <w:snapToGrid w:val="0"/>
        <w:spacing w:line="360" w:lineRule="auto"/>
        <w:ind w:left="-420" w:firstLine="480" w:firstLineChars="200"/>
        <w:contextualSpacing/>
        <w:rPr>
          <w:highlight w:val="none"/>
        </w:rPr>
      </w:pPr>
      <w:r>
        <w:rPr>
          <w:rFonts w:hint="eastAsia"/>
          <w:highlight w:val="none"/>
        </w:rPr>
        <w:t>升级筛选功能。支持按发布时间、热度等标签排序，同时可一键筛选有效期内政策；新增差异化排序。根据企业画像展示推荐的政策清单，实现差异化排序；完善政策页标签。根据适用领域、政策类别、兑现方式、申报状态、发布时间等关键要素进行拆解，支持多级标签筛选功能。</w:t>
      </w:r>
    </w:p>
    <w:p>
      <w:pPr>
        <w:pStyle w:val="886"/>
        <w:snapToGrid w:val="0"/>
        <w:spacing w:line="360" w:lineRule="auto"/>
        <w:ind w:left="-420" w:firstLine="480" w:firstLineChars="200"/>
        <w:contextualSpacing/>
        <w:rPr>
          <w:highlight w:val="none"/>
        </w:rPr>
      </w:pPr>
      <w:r>
        <w:rPr>
          <w:rFonts w:hint="eastAsia"/>
          <w:highlight w:val="none"/>
        </w:rPr>
        <w:t>3.1.3.</w:t>
      </w:r>
      <w:r>
        <w:rPr>
          <w:rFonts w:hint="eastAsia"/>
          <w:highlight w:val="none"/>
        </w:rPr>
        <w:tab/>
      </w:r>
      <w:r>
        <w:rPr>
          <w:rFonts w:hint="eastAsia"/>
          <w:highlight w:val="none"/>
        </w:rPr>
        <w:t>建设8+</w:t>
      </w:r>
      <w:r>
        <w:rPr>
          <w:highlight w:val="none"/>
        </w:rPr>
        <w:t>4</w:t>
      </w:r>
      <w:r>
        <w:rPr>
          <w:rFonts w:hint="eastAsia"/>
          <w:highlight w:val="none"/>
        </w:rPr>
        <w:t>政策栏目</w:t>
      </w:r>
    </w:p>
    <w:p>
      <w:pPr>
        <w:pStyle w:val="886"/>
        <w:snapToGrid w:val="0"/>
        <w:spacing w:line="360" w:lineRule="auto"/>
        <w:ind w:left="-420" w:firstLine="480" w:firstLineChars="200"/>
        <w:contextualSpacing/>
        <w:rPr>
          <w:highlight w:val="none"/>
        </w:rPr>
      </w:pPr>
      <w:r>
        <w:rPr>
          <w:rFonts w:hint="eastAsia"/>
          <w:highlight w:val="none"/>
        </w:rPr>
        <w:t>建设“8+</w:t>
      </w:r>
      <w:r>
        <w:rPr>
          <w:highlight w:val="none"/>
        </w:rPr>
        <w:t>4</w:t>
      </w:r>
      <w:r>
        <w:rPr>
          <w:rFonts w:hint="eastAsia"/>
          <w:highlight w:val="none"/>
        </w:rPr>
        <w:t>政策”栏目，展示全市范围内各市级部门、区县市的“8+</w:t>
      </w:r>
      <w:r>
        <w:rPr>
          <w:highlight w:val="none"/>
        </w:rPr>
        <w:t>4</w:t>
      </w:r>
      <w:r>
        <w:rPr>
          <w:rFonts w:hint="eastAsia"/>
          <w:highlight w:val="none"/>
        </w:rPr>
        <w:t>政策”类别及清单，并支持政府端“8+</w:t>
      </w:r>
      <w:r>
        <w:rPr>
          <w:highlight w:val="none"/>
        </w:rPr>
        <w:t>4</w:t>
      </w:r>
      <w:r>
        <w:rPr>
          <w:rFonts w:hint="eastAsia"/>
          <w:highlight w:val="none"/>
        </w:rPr>
        <w:t>政策”类别配置、政策文件关联等功能，完善政策配置工具；企业端展示“8+</w:t>
      </w:r>
      <w:r>
        <w:rPr>
          <w:highlight w:val="none"/>
        </w:rPr>
        <w:t>4</w:t>
      </w:r>
      <w:r>
        <w:rPr>
          <w:rFonts w:hint="eastAsia"/>
          <w:highlight w:val="none"/>
        </w:rPr>
        <w:t>政策”原文文件、关联政策、相关类别政策数量。</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4</w:t>
      </w:r>
      <w:r>
        <w:rPr>
          <w:rFonts w:hint="eastAsia"/>
          <w:highlight w:val="none"/>
        </w:rPr>
        <w:t>.</w:t>
      </w:r>
      <w:r>
        <w:rPr>
          <w:rFonts w:hint="eastAsia"/>
          <w:highlight w:val="none"/>
        </w:rPr>
        <w:tab/>
      </w:r>
      <w:r>
        <w:rPr>
          <w:rFonts w:hint="eastAsia"/>
          <w:highlight w:val="none"/>
        </w:rPr>
        <w:t>我的企业</w:t>
      </w:r>
    </w:p>
    <w:p>
      <w:pPr>
        <w:pStyle w:val="886"/>
        <w:snapToGrid w:val="0"/>
        <w:spacing w:line="360" w:lineRule="auto"/>
        <w:ind w:left="-420" w:firstLine="480" w:firstLineChars="200"/>
        <w:contextualSpacing/>
        <w:rPr>
          <w:highlight w:val="none"/>
        </w:rPr>
      </w:pPr>
      <w:r>
        <w:rPr>
          <w:rFonts w:hint="eastAsia"/>
          <w:highlight w:val="none"/>
        </w:rPr>
        <w:t>完善“我的企业”模块，新增“亲清报表”统计功能，展示企业已兑付政策条数、金额和兑现记录。根据企业兑付数据和访问情况，对企业行为数据进行多维度分析展示。</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5</w:t>
      </w:r>
      <w:r>
        <w:rPr>
          <w:rFonts w:hint="eastAsia"/>
          <w:highlight w:val="none"/>
        </w:rPr>
        <w:t>.</w:t>
      </w:r>
      <w:r>
        <w:rPr>
          <w:rFonts w:hint="eastAsia"/>
          <w:highlight w:val="none"/>
        </w:rPr>
        <w:tab/>
      </w:r>
      <w:r>
        <w:rPr>
          <w:rFonts w:hint="eastAsia"/>
          <w:highlight w:val="none"/>
        </w:rPr>
        <w:t>政策智能问答</w:t>
      </w:r>
    </w:p>
    <w:p>
      <w:pPr>
        <w:pStyle w:val="886"/>
        <w:snapToGrid w:val="0"/>
        <w:spacing w:line="360" w:lineRule="auto"/>
        <w:ind w:left="-420" w:firstLine="480" w:firstLineChars="200"/>
        <w:contextualSpacing/>
        <w:jc w:val="both"/>
        <w:rPr>
          <w:highlight w:val="none"/>
        </w:rPr>
      </w:pPr>
      <w:r>
        <w:rPr>
          <w:rFonts w:hint="eastAsia"/>
          <w:highlight w:val="none"/>
        </w:rPr>
        <w:t>基于人工智能大模型，建设政策机器人，</w:t>
      </w:r>
      <w:r>
        <w:rPr>
          <w:rFonts w:hint="eastAsia"/>
          <w:szCs w:val="30"/>
          <w:highlight w:val="none"/>
        </w:rPr>
        <w:t>基于对用户语义的理解，采用对话交互式回答用户关于政策相关的问题，</w:t>
      </w:r>
      <w:r>
        <w:rPr>
          <w:rFonts w:hint="eastAsia"/>
          <w:highlight w:val="none"/>
        </w:rPr>
        <w:t>提供政策解读、推荐和检索能力，提升查找符合自身条件的政策效率。支持上下文语义关联的多轮对话、对话意图重启、满意度评价等功能。</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6</w:t>
      </w:r>
      <w:r>
        <w:rPr>
          <w:rFonts w:hint="eastAsia"/>
          <w:highlight w:val="none"/>
        </w:rPr>
        <w:t>.</w:t>
      </w:r>
      <w:r>
        <w:rPr>
          <w:rFonts w:hint="eastAsia"/>
          <w:highlight w:val="none"/>
        </w:rPr>
        <w:tab/>
      </w:r>
      <w:r>
        <w:rPr>
          <w:rFonts w:hint="eastAsia"/>
          <w:highlight w:val="none"/>
        </w:rPr>
        <w:t>政策智能推荐</w:t>
      </w:r>
    </w:p>
    <w:p>
      <w:pPr>
        <w:pStyle w:val="886"/>
        <w:snapToGrid w:val="0"/>
        <w:spacing w:line="360" w:lineRule="auto"/>
        <w:ind w:left="-420" w:firstLine="480" w:firstLineChars="200"/>
        <w:contextualSpacing/>
        <w:jc w:val="both"/>
        <w:rPr>
          <w:highlight w:val="none"/>
        </w:rPr>
      </w:pPr>
      <w:r>
        <w:rPr>
          <w:rFonts w:hint="eastAsia"/>
          <w:highlight w:val="none"/>
        </w:rPr>
        <w:t>建设智能推荐专区，实现用户登录亲清在线2.0门户首页后，首页直接基于企业标签、政策标签，通过政策智能引擎运算推荐结果，形成并展示推荐政策清单。</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7</w:t>
      </w:r>
      <w:r>
        <w:rPr>
          <w:rFonts w:hint="eastAsia"/>
          <w:highlight w:val="none"/>
        </w:rPr>
        <w:t>.</w:t>
      </w:r>
      <w:r>
        <w:rPr>
          <w:rFonts w:hint="eastAsia"/>
          <w:highlight w:val="none"/>
        </w:rPr>
        <w:tab/>
      </w:r>
      <w:r>
        <w:rPr>
          <w:rFonts w:hint="eastAsia"/>
          <w:highlight w:val="none"/>
        </w:rPr>
        <w:t>政策智能搜索</w:t>
      </w:r>
    </w:p>
    <w:p>
      <w:pPr>
        <w:pStyle w:val="886"/>
        <w:snapToGrid w:val="0"/>
        <w:spacing w:line="360" w:lineRule="auto"/>
        <w:ind w:left="-420" w:firstLine="480" w:firstLineChars="200"/>
        <w:contextualSpacing/>
        <w:rPr>
          <w:rFonts w:ascii="仿宋" w:hAnsi="仿宋" w:cs="仿宋"/>
          <w:color w:val="000000"/>
          <w:highlight w:val="none"/>
          <w:lang w:bidi="ar"/>
        </w:rPr>
      </w:pPr>
      <w:r>
        <w:rPr>
          <w:rFonts w:hint="eastAsia" w:ascii="仿宋" w:hAnsi="仿宋" w:cs="仿宋"/>
          <w:color w:val="000000"/>
          <w:highlight w:val="none"/>
          <w:lang w:bidi="ar"/>
        </w:rPr>
        <w:t>将原有传统网站搜索升级为基于语义的智能搜索，在下拉问题清单中提供推荐政策标签及推荐问题，帮助用户更快、更准确地搜索到所需政策。</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8</w:t>
      </w:r>
      <w:r>
        <w:rPr>
          <w:rFonts w:hint="eastAsia"/>
          <w:highlight w:val="none"/>
        </w:rPr>
        <w:t>.</w:t>
      </w:r>
      <w:r>
        <w:rPr>
          <w:rFonts w:hint="eastAsia"/>
          <w:highlight w:val="none"/>
        </w:rPr>
        <w:tab/>
      </w:r>
      <w:r>
        <w:rPr>
          <w:rFonts w:hint="eastAsia"/>
          <w:highlight w:val="none"/>
        </w:rPr>
        <w:t>政策解读</w:t>
      </w:r>
    </w:p>
    <w:p>
      <w:pPr>
        <w:pStyle w:val="886"/>
        <w:snapToGrid w:val="0"/>
        <w:spacing w:line="360" w:lineRule="auto"/>
        <w:ind w:left="-420" w:firstLine="480" w:firstLineChars="200"/>
        <w:contextualSpacing/>
        <w:jc w:val="both"/>
        <w:rPr>
          <w:rFonts w:ascii="仿宋" w:hAnsi="仿宋" w:cs="仿宋"/>
          <w:color w:val="000000"/>
          <w:highlight w:val="none"/>
          <w:lang w:bidi="ar"/>
        </w:rPr>
      </w:pPr>
      <w:r>
        <w:rPr>
          <w:rFonts w:hint="eastAsia" w:ascii="仿宋" w:hAnsi="仿宋" w:cs="仿宋"/>
          <w:color w:val="000000"/>
          <w:highlight w:val="none"/>
          <w:lang w:bidi="ar"/>
        </w:rPr>
        <w:t>建设政策解读专区，为用户提供图文、视频解读等丰富类型解读内容；企业端政策详情页增加政策对象、政策条件、兑付标准、申报材料、常见问题、资金兑付规模等政策要素，将政策文本结构化展示，便于企业找准政策关键内容；政府端升级政策工具配置，支持政策发布部门按照政策要素填写内容，上传图文、视频等解读信息。</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9</w:t>
      </w:r>
      <w:r>
        <w:rPr>
          <w:rFonts w:hint="eastAsia"/>
          <w:highlight w:val="none"/>
        </w:rPr>
        <w:t>.</w:t>
      </w:r>
      <w:r>
        <w:rPr>
          <w:rFonts w:hint="eastAsia"/>
          <w:highlight w:val="none"/>
        </w:rPr>
        <w:tab/>
      </w:r>
      <w:r>
        <w:rPr>
          <w:rFonts w:hint="eastAsia"/>
          <w:highlight w:val="none"/>
        </w:rPr>
        <w:t>最新政策展示</w:t>
      </w:r>
    </w:p>
    <w:p>
      <w:pPr>
        <w:pStyle w:val="886"/>
        <w:snapToGrid w:val="0"/>
        <w:spacing w:line="360" w:lineRule="auto"/>
        <w:ind w:left="-420" w:firstLine="480" w:firstLineChars="200"/>
        <w:contextualSpacing/>
        <w:rPr>
          <w:highlight w:val="none"/>
        </w:rPr>
      </w:pPr>
      <w:r>
        <w:rPr>
          <w:rFonts w:hint="eastAsia" w:ascii="仿宋" w:hAnsi="仿宋" w:cs="仿宋"/>
          <w:color w:val="000000"/>
          <w:highlight w:val="none"/>
          <w:lang w:bidi="ar"/>
        </w:rPr>
        <w:t>根据政策上线时间展示最新政策列表，并对剩余申报时间、可兑现金额等信息进行可视化展示。</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10</w:t>
      </w:r>
      <w:r>
        <w:rPr>
          <w:rFonts w:hint="eastAsia"/>
          <w:highlight w:val="none"/>
        </w:rPr>
        <w:t>.服务直达升级</w:t>
      </w:r>
    </w:p>
    <w:p>
      <w:pPr>
        <w:pStyle w:val="886"/>
        <w:snapToGrid w:val="0"/>
        <w:spacing w:line="360" w:lineRule="auto"/>
        <w:ind w:left="-420" w:firstLine="480" w:firstLineChars="200"/>
        <w:contextualSpacing/>
        <w:rPr>
          <w:highlight w:val="none"/>
        </w:rPr>
      </w:pPr>
      <w:r>
        <w:rPr>
          <w:rFonts w:hint="eastAsia"/>
          <w:highlight w:val="none"/>
        </w:rPr>
        <w:t>根据服务直达板块最新要求，对行政许可、我要招工、我要租房、总部企业认定、融资服务等板块进行整合，并优化前端展示页面。</w:t>
      </w:r>
    </w:p>
    <w:p>
      <w:pPr>
        <w:pStyle w:val="886"/>
        <w:snapToGrid w:val="0"/>
        <w:spacing w:line="360" w:lineRule="auto"/>
        <w:ind w:left="-420" w:firstLine="480" w:firstLineChars="200"/>
        <w:contextualSpacing/>
        <w:rPr>
          <w:highlight w:val="none"/>
        </w:rPr>
      </w:pPr>
      <w:r>
        <w:rPr>
          <w:rFonts w:hint="eastAsia"/>
          <w:highlight w:val="none"/>
        </w:rPr>
        <w:t>3.1.</w:t>
      </w:r>
      <w:r>
        <w:rPr>
          <w:highlight w:val="none"/>
        </w:rPr>
        <w:t>11</w:t>
      </w:r>
      <w:r>
        <w:rPr>
          <w:rFonts w:hint="eastAsia"/>
          <w:highlight w:val="none"/>
        </w:rPr>
        <w:t>.交流直达升级</w:t>
      </w:r>
    </w:p>
    <w:p>
      <w:pPr>
        <w:pStyle w:val="886"/>
        <w:snapToGrid w:val="0"/>
        <w:spacing w:line="360" w:lineRule="auto"/>
        <w:ind w:left="-420" w:firstLine="480" w:firstLineChars="200"/>
        <w:contextualSpacing/>
        <w:rPr>
          <w:highlight w:val="none"/>
        </w:rPr>
      </w:pPr>
      <w:r>
        <w:rPr>
          <w:rFonts w:hint="eastAsia"/>
          <w:highlight w:val="none"/>
        </w:rPr>
        <w:t>将原有“互动交流”板块升级为“交流直达”，升级亲清D小二交互页面，便于企业查找、选择合适的D小二咨询。</w:t>
      </w:r>
    </w:p>
    <w:p>
      <w:pPr>
        <w:pStyle w:val="886"/>
        <w:snapToGrid w:val="0"/>
        <w:spacing w:line="360" w:lineRule="auto"/>
        <w:ind w:left="-420" w:firstLine="482" w:firstLineChars="200"/>
        <w:contextualSpacing/>
        <w:rPr>
          <w:b/>
          <w:highlight w:val="none"/>
        </w:rPr>
      </w:pPr>
      <w:r>
        <w:rPr>
          <w:rFonts w:hint="eastAsia"/>
          <w:b/>
          <w:highlight w:val="none"/>
        </w:rPr>
        <w:t>3.</w:t>
      </w:r>
      <w:r>
        <w:rPr>
          <w:b/>
          <w:highlight w:val="none"/>
        </w:rPr>
        <w:t>2</w:t>
      </w:r>
      <w:r>
        <w:rPr>
          <w:rFonts w:hint="eastAsia"/>
          <w:b/>
          <w:highlight w:val="none"/>
        </w:rPr>
        <w:t>.</w:t>
      </w:r>
      <w:r>
        <w:rPr>
          <w:rFonts w:hint="eastAsia"/>
          <w:highlight w:val="none"/>
        </w:rPr>
        <w:t xml:space="preserve"> </w:t>
      </w:r>
      <w:r>
        <w:rPr>
          <w:rFonts w:hint="eastAsia"/>
          <w:b/>
          <w:highlight w:val="none"/>
        </w:rPr>
        <w:t>打造政策智能引擎</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2</w:t>
      </w:r>
      <w:r>
        <w:rPr>
          <w:rFonts w:hint="eastAsia"/>
          <w:highlight w:val="none"/>
        </w:rPr>
        <w:t>.1.</w:t>
      </w:r>
      <w:r>
        <w:rPr>
          <w:rFonts w:hint="eastAsia"/>
          <w:highlight w:val="none"/>
        </w:rPr>
        <w:tab/>
      </w:r>
      <w:r>
        <w:rPr>
          <w:rFonts w:hint="eastAsia"/>
          <w:highlight w:val="none"/>
        </w:rPr>
        <w:t>政策标签体系建设</w:t>
      </w:r>
    </w:p>
    <w:p>
      <w:pPr>
        <w:pStyle w:val="886"/>
        <w:snapToGrid w:val="0"/>
        <w:spacing w:line="360" w:lineRule="auto"/>
        <w:ind w:left="-420" w:firstLine="480" w:firstLineChars="200"/>
        <w:contextualSpacing/>
        <w:rPr>
          <w:highlight w:val="none"/>
        </w:rPr>
      </w:pPr>
      <w:r>
        <w:rPr>
          <w:rFonts w:hint="eastAsia"/>
          <w:highlight w:val="none"/>
        </w:rPr>
        <w:t>政策标签体系建设包括政策指标标签分类、标签生成、指标管理等功能，政策标签数量不少于1</w:t>
      </w:r>
      <w:r>
        <w:rPr>
          <w:highlight w:val="none"/>
        </w:rPr>
        <w:t>50</w:t>
      </w:r>
      <w:r>
        <w:rPr>
          <w:rFonts w:hint="eastAsia"/>
          <w:highlight w:val="none"/>
        </w:rPr>
        <w:t>个。政策标签分类功能支持政府端在政策配置过程中由政策智能引擎自动生成标签，并进行分类展示和人工调整功能；支持</w:t>
      </w:r>
      <w:r>
        <w:rPr>
          <w:rFonts w:hint="eastAsia"/>
          <w:color w:val="FF0000"/>
          <w:highlight w:val="none"/>
        </w:rPr>
        <w:t>企业端在政策直达界面和智能搜索界面展示相关政策标签，便于用户查找、筛选政策；</w:t>
      </w:r>
      <w:r>
        <w:rPr>
          <w:rFonts w:hint="eastAsia"/>
          <w:highlight w:val="none"/>
        </w:rPr>
        <w:t>标签生成功能要求运用大模型训练政策数据、生成政策标签，并提供标签关联、归类、标注等功能。指标管理功能支持在政策工具配置过程中，实现指标新增、选择、编辑、关联等功能。</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2</w:t>
      </w:r>
      <w:r>
        <w:rPr>
          <w:rFonts w:hint="eastAsia"/>
          <w:highlight w:val="none"/>
        </w:rPr>
        <w:t>.2.</w:t>
      </w:r>
      <w:r>
        <w:rPr>
          <w:rFonts w:hint="eastAsia"/>
          <w:highlight w:val="none"/>
        </w:rPr>
        <w:tab/>
      </w:r>
      <w:r>
        <w:rPr>
          <w:rFonts w:hint="eastAsia"/>
          <w:highlight w:val="none"/>
        </w:rPr>
        <w:t>企业标签体系建设</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以</w:t>
      </w:r>
      <w:r>
        <w:rPr>
          <w:rFonts w:hint="eastAsia"/>
          <w:szCs w:val="30"/>
          <w:highlight w:val="none"/>
        </w:rPr>
        <w:t>社会信用代码作为唯一关键字，串联企业的基本信息、行业信息、历史兑付信息等，快速生成企业标签画像体系，用于更加精准的政策推荐，标签数量不少于1</w:t>
      </w:r>
      <w:r>
        <w:rPr>
          <w:szCs w:val="30"/>
          <w:highlight w:val="none"/>
        </w:rPr>
        <w:t>50</w:t>
      </w:r>
      <w:r>
        <w:rPr>
          <w:rFonts w:hint="eastAsia"/>
          <w:szCs w:val="30"/>
          <w:highlight w:val="none"/>
        </w:rPr>
        <w:t>个。</w:t>
      </w:r>
      <w:r>
        <w:rPr>
          <w:rFonts w:hint="eastAsia"/>
          <w:highlight w:val="none"/>
        </w:rPr>
        <w:t>政府端增加企业信用风险预警功能，在政策发布部门上传白名单及政策兑付环节，增加信用风险预警功能，对存在严重失信行为的企业进行预警告知。</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3</w:t>
      </w:r>
      <w:r>
        <w:rPr>
          <w:highlight w:val="none"/>
        </w:rPr>
        <w:t>.2.3.</w:t>
      </w:r>
      <w:r>
        <w:rPr>
          <w:rFonts w:hint="eastAsia"/>
          <w:highlight w:val="none"/>
        </w:rPr>
        <w:t>智能推荐引擎</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基于历史兑付数据以及政策标签体系、企业标签体系，研发政策匹配度模型，构建智能推荐引擎，</w:t>
      </w:r>
      <w:r>
        <w:rPr>
          <w:szCs w:val="30"/>
          <w:highlight w:val="none"/>
        </w:rPr>
        <w:t>为亲清在线2.0新门户智能推荐功能</w:t>
      </w:r>
      <w:r>
        <w:rPr>
          <w:rFonts w:hint="eastAsia"/>
          <w:szCs w:val="30"/>
          <w:highlight w:val="none"/>
        </w:rPr>
        <w:t>和亲清信使主动送政策服务</w:t>
      </w:r>
      <w:r>
        <w:rPr>
          <w:szCs w:val="30"/>
          <w:highlight w:val="none"/>
        </w:rPr>
        <w:t>提供</w:t>
      </w:r>
      <w:r>
        <w:rPr>
          <w:rFonts w:hint="eastAsia"/>
          <w:szCs w:val="30"/>
          <w:highlight w:val="none"/>
        </w:rPr>
        <w:t>支撑，实现政策与企业智能匹配、精准推送</w:t>
      </w:r>
      <w:r>
        <w:rPr>
          <w:rFonts w:hint="eastAsia"/>
          <w:highlight w:val="none"/>
        </w:rPr>
        <w:t>。</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3</w:t>
      </w:r>
      <w:r>
        <w:rPr>
          <w:highlight w:val="none"/>
        </w:rPr>
        <w:t>.2.4.</w:t>
      </w:r>
      <w:r>
        <w:rPr>
          <w:rFonts w:hint="eastAsia"/>
          <w:highlight w:val="none"/>
        </w:rPr>
        <w:t>智能解读引擎</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建设政策智能解读模块，提取政策重点内容并进行加工整理，生成更加通俗易懂、简洁明了的政策解读，在政策智能机器人向企业推荐政策时，通过智能解读引擎自动生成政策解读内容，包括政策对象、政策条件、兑付标准、兑付流程等格式化内容，方便企业理解政策内容、抓住政策重点。在政府端政策工具配置中，支持政府端用户补充政策解读信息，调整关联政策标签。</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3</w:t>
      </w:r>
      <w:r>
        <w:rPr>
          <w:highlight w:val="none"/>
        </w:rPr>
        <w:t>.2.5.</w:t>
      </w:r>
      <w:r>
        <w:rPr>
          <w:rFonts w:hint="eastAsia"/>
          <w:highlight w:val="none"/>
        </w:rPr>
        <w:t>智能搜索引擎</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基于大语言模型开发智能化交互式搜索模块，实现平台政策智能检索。通过自然语言转化、模糊搜索、向量检索、搜索词智能下拉等功能，实现推荐引导、自动纠错、模糊搜索等智能服务，支持企业在平台中搜索各类政策。</w:t>
      </w:r>
    </w:p>
    <w:p>
      <w:pPr>
        <w:pStyle w:val="886"/>
        <w:snapToGrid w:val="0"/>
        <w:spacing w:before="0" w:beforeAutospacing="0" w:after="0" w:afterAutospacing="0" w:line="360" w:lineRule="auto"/>
        <w:ind w:left="-420" w:firstLine="480" w:firstLineChars="200"/>
        <w:contextualSpacing/>
        <w:jc w:val="both"/>
        <w:rPr>
          <w:color w:val="auto"/>
          <w:highlight w:val="none"/>
        </w:rPr>
      </w:pPr>
      <w:r>
        <w:rPr>
          <w:rFonts w:hint="eastAsia"/>
          <w:color w:val="auto"/>
          <w:highlight w:val="none"/>
        </w:rPr>
        <w:t>3</w:t>
      </w:r>
      <w:r>
        <w:rPr>
          <w:color w:val="auto"/>
          <w:highlight w:val="none"/>
        </w:rPr>
        <w:t>.2.6.</w:t>
      </w:r>
      <w:r>
        <w:rPr>
          <w:rFonts w:hint="eastAsia"/>
          <w:color w:val="auto"/>
          <w:highlight w:val="none"/>
        </w:rPr>
        <w:t>人工智能大模型训练</w:t>
      </w:r>
    </w:p>
    <w:p>
      <w:pPr>
        <w:pStyle w:val="886"/>
        <w:snapToGrid w:val="0"/>
        <w:spacing w:before="0" w:beforeAutospacing="0" w:after="0" w:afterAutospacing="0" w:line="360" w:lineRule="auto"/>
        <w:ind w:left="-420" w:firstLine="480" w:firstLineChars="200"/>
        <w:contextualSpacing/>
        <w:jc w:val="both"/>
        <w:rPr>
          <w:color w:val="auto"/>
          <w:highlight w:val="none"/>
        </w:rPr>
      </w:pPr>
      <w:r>
        <w:rPr>
          <w:rFonts w:hint="eastAsia" w:ascii="仿宋" w:hAnsi="仿宋"/>
          <w:color w:val="auto"/>
          <w:highlight w:val="none"/>
        </w:rPr>
        <w:t>基于政策文本、企业标签画像、历史兑付记录、平台操作手册、说明文档等语料，</w:t>
      </w:r>
      <w:r>
        <w:rPr>
          <w:rFonts w:hint="eastAsia" w:ascii="仿宋" w:hAnsi="仿宋" w:cs="仿宋"/>
          <w:color w:val="auto"/>
          <w:highlight w:val="none"/>
          <w:lang w:bidi="ar"/>
        </w:rPr>
        <w:t>结合自然语言处理模型及数据标注，完成监督训练等工作，训练形成政策智能问答大语言模型，实现基于对用户语义的理解，采用对话交互式回答用户关于政策相关的问题</w:t>
      </w:r>
      <w:r>
        <w:rPr>
          <w:rFonts w:hint="eastAsia" w:ascii="仿宋" w:hAnsi="仿宋"/>
          <w:color w:val="auto"/>
          <w:highlight w:val="none"/>
        </w:rPr>
        <w:t>。所采用大语言模型的参数量应不小于1</w:t>
      </w:r>
      <w:r>
        <w:rPr>
          <w:rFonts w:ascii="仿宋" w:hAnsi="仿宋"/>
          <w:color w:val="auto"/>
          <w:highlight w:val="none"/>
        </w:rPr>
        <w:t>0B</w:t>
      </w:r>
      <w:r>
        <w:rPr>
          <w:rFonts w:hint="eastAsia" w:ascii="仿宋" w:hAnsi="仿宋"/>
          <w:color w:val="auto"/>
          <w:highlight w:val="none"/>
        </w:rPr>
        <w:t>。</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3</w:t>
      </w:r>
      <w:r>
        <w:rPr>
          <w:highlight w:val="none"/>
        </w:rPr>
        <w:t>.2.7.</w:t>
      </w:r>
      <w:r>
        <w:rPr>
          <w:rFonts w:hint="eastAsia"/>
          <w:highlight w:val="none"/>
        </w:rPr>
        <w:t>大模型调用服务</w:t>
      </w:r>
    </w:p>
    <w:p>
      <w:pPr>
        <w:pStyle w:val="886"/>
        <w:snapToGrid w:val="0"/>
        <w:spacing w:before="0" w:beforeAutospacing="0" w:after="0" w:afterAutospacing="0" w:line="360" w:lineRule="auto"/>
        <w:ind w:left="-420" w:firstLine="480" w:firstLineChars="200"/>
        <w:contextualSpacing/>
        <w:jc w:val="both"/>
        <w:rPr>
          <w:highlight w:val="none"/>
        </w:rPr>
      </w:pPr>
      <w:r>
        <w:rPr>
          <w:rFonts w:hint="eastAsia"/>
          <w:highlight w:val="none"/>
        </w:rPr>
        <w:t>提供基于G</w:t>
      </w:r>
      <w:r>
        <w:rPr>
          <w:highlight w:val="none"/>
        </w:rPr>
        <w:t>PU</w:t>
      </w:r>
      <w:r>
        <w:rPr>
          <w:rFonts w:hint="eastAsia"/>
          <w:highlight w:val="none"/>
        </w:rPr>
        <w:t>算力的政策智能问答大语言模型调用服务，模型调用服务至2</w:t>
      </w:r>
      <w:r>
        <w:rPr>
          <w:highlight w:val="none"/>
        </w:rPr>
        <w:t>0</w:t>
      </w:r>
      <w:r>
        <w:rPr>
          <w:rFonts w:hint="eastAsia"/>
          <w:highlight w:val="none"/>
        </w:rPr>
        <w:t>2</w:t>
      </w:r>
      <w:r>
        <w:rPr>
          <w:highlight w:val="none"/>
        </w:rPr>
        <w:t>4</w:t>
      </w:r>
      <w:r>
        <w:rPr>
          <w:rFonts w:hint="eastAsia"/>
          <w:highlight w:val="none"/>
        </w:rPr>
        <w:t>年</w:t>
      </w:r>
      <w:r>
        <w:rPr>
          <w:highlight w:val="none"/>
        </w:rPr>
        <w:t>6</w:t>
      </w:r>
      <w:r>
        <w:rPr>
          <w:rFonts w:hint="eastAsia"/>
          <w:highlight w:val="none"/>
        </w:rPr>
        <w:t>月3</w:t>
      </w:r>
      <w:r>
        <w:rPr>
          <w:highlight w:val="none"/>
        </w:rPr>
        <w:t>0</w:t>
      </w:r>
      <w:r>
        <w:rPr>
          <w:rFonts w:hint="eastAsia"/>
          <w:highlight w:val="none"/>
        </w:rPr>
        <w:t>日，模型生产服务期间，需保障至少2台8卡A800服务器，其中，算力的运算性能要求: FP16的TFLOPS不低于2000，FP32和FP64的TFLOPS不低于150；算力的QPS 要求：平峰的QPS不低于10，高峰的QPS不低于15；算力的部署要求：可支持动态扩容，弹性伸缩以及高性能的分布式运算，以保证不同请求流量下的稳定的算力吞吐量。</w:t>
      </w:r>
    </w:p>
    <w:p>
      <w:pPr>
        <w:pStyle w:val="886"/>
        <w:snapToGrid w:val="0"/>
        <w:spacing w:line="360" w:lineRule="auto"/>
        <w:ind w:left="-420" w:firstLine="482" w:firstLineChars="200"/>
        <w:contextualSpacing/>
        <w:rPr>
          <w:b/>
          <w:highlight w:val="none"/>
        </w:rPr>
      </w:pPr>
      <w:r>
        <w:rPr>
          <w:rFonts w:hint="eastAsia"/>
          <w:b/>
          <w:highlight w:val="none"/>
        </w:rPr>
        <w:t>3.</w:t>
      </w:r>
      <w:r>
        <w:rPr>
          <w:b/>
          <w:highlight w:val="none"/>
        </w:rPr>
        <w:t>3</w:t>
      </w:r>
      <w:r>
        <w:rPr>
          <w:rFonts w:hint="eastAsia"/>
          <w:b/>
          <w:highlight w:val="none"/>
        </w:rPr>
        <w:t>.</w:t>
      </w:r>
      <w:r>
        <w:rPr>
          <w:rFonts w:hint="eastAsia"/>
          <w:highlight w:val="none"/>
        </w:rPr>
        <w:t xml:space="preserve"> </w:t>
      </w:r>
      <w:r>
        <w:rPr>
          <w:rFonts w:hint="eastAsia"/>
          <w:b/>
          <w:highlight w:val="none"/>
        </w:rPr>
        <w:t>升级亲清在线移动端</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3</w:t>
      </w:r>
      <w:r>
        <w:rPr>
          <w:rFonts w:hint="eastAsia"/>
          <w:highlight w:val="none"/>
        </w:rPr>
        <w:t>.1.</w:t>
      </w:r>
      <w:r>
        <w:rPr>
          <w:rFonts w:hint="eastAsia"/>
          <w:highlight w:val="none"/>
        </w:rPr>
        <w:tab/>
      </w:r>
      <w:r>
        <w:rPr>
          <w:rFonts w:hint="eastAsia"/>
          <w:highlight w:val="none"/>
        </w:rPr>
        <w:t>升级移动端基础功能</w:t>
      </w:r>
    </w:p>
    <w:p>
      <w:pPr>
        <w:pStyle w:val="886"/>
        <w:snapToGrid w:val="0"/>
        <w:spacing w:line="360" w:lineRule="auto"/>
        <w:ind w:left="-420" w:firstLine="480" w:firstLineChars="200"/>
        <w:contextualSpacing/>
        <w:rPr>
          <w:highlight w:val="none"/>
        </w:rPr>
      </w:pPr>
      <w:r>
        <w:rPr>
          <w:rFonts w:hint="eastAsia"/>
          <w:highlight w:val="none"/>
        </w:rPr>
        <w:t>升级移动端首页，增加智能推荐、智能搜索功能，实现政策与企业智能匹配、精准推送、一键检索；升级筛选功能，支持按照发布时间、热度等标签排序，以及根据政策区域、政策类别、申报状态、兑现方式等标签筛选政策。增加移动端亲清D小二咨询功能。</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3</w:t>
      </w:r>
      <w:r>
        <w:rPr>
          <w:rFonts w:hint="eastAsia"/>
          <w:highlight w:val="none"/>
        </w:rPr>
        <w:t>.</w:t>
      </w:r>
      <w:r>
        <w:rPr>
          <w:highlight w:val="none"/>
        </w:rPr>
        <w:t>2</w:t>
      </w:r>
      <w:r>
        <w:rPr>
          <w:rFonts w:hint="eastAsia"/>
          <w:highlight w:val="none"/>
        </w:rPr>
        <w:t>.</w:t>
      </w:r>
      <w:r>
        <w:rPr>
          <w:rFonts w:hint="eastAsia"/>
          <w:highlight w:val="none"/>
        </w:rPr>
        <w:tab/>
      </w:r>
      <w:r>
        <w:rPr>
          <w:rFonts w:hint="eastAsia"/>
          <w:highlight w:val="none"/>
        </w:rPr>
        <w:t>升级政策申报兑付功能</w:t>
      </w:r>
    </w:p>
    <w:p>
      <w:pPr>
        <w:pStyle w:val="886"/>
        <w:snapToGrid w:val="0"/>
        <w:spacing w:line="360" w:lineRule="auto"/>
        <w:ind w:left="-420" w:firstLine="480" w:firstLineChars="200"/>
        <w:contextualSpacing/>
        <w:jc w:val="both"/>
        <w:rPr>
          <w:rFonts w:ascii="仿宋" w:hAnsi="仿宋"/>
          <w:highlight w:val="none"/>
        </w:rPr>
      </w:pPr>
      <w:r>
        <w:rPr>
          <w:rFonts w:hint="eastAsia" w:ascii="仿宋" w:hAnsi="仿宋"/>
          <w:highlight w:val="none"/>
        </w:rPr>
        <w:t>完善政策配置工具，实现pc端政策配置后，移动端自动生成政策发布、政策申报、政策兑付功能。移动端</w:t>
      </w:r>
      <w:r>
        <w:rPr>
          <w:rFonts w:hint="eastAsia" w:ascii="仿宋" w:hAnsi="仿宋" w:cs="仿宋"/>
          <w:color w:val="000000"/>
          <w:highlight w:val="none"/>
          <w:lang w:bidi="ar"/>
        </w:rPr>
        <w:t>分为个人受益和企业受益政策，企业用户可在移动端申报政策、上传资料、勾选承诺书。</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3</w:t>
      </w:r>
      <w:r>
        <w:rPr>
          <w:rFonts w:hint="eastAsia"/>
          <w:highlight w:val="none"/>
        </w:rPr>
        <w:t>.</w:t>
      </w:r>
      <w:r>
        <w:rPr>
          <w:highlight w:val="none"/>
        </w:rPr>
        <w:t>3</w:t>
      </w:r>
      <w:r>
        <w:rPr>
          <w:rFonts w:hint="eastAsia"/>
          <w:highlight w:val="none"/>
        </w:rPr>
        <w:t>.</w:t>
      </w:r>
      <w:r>
        <w:rPr>
          <w:rFonts w:hint="eastAsia"/>
          <w:highlight w:val="none"/>
        </w:rPr>
        <w:tab/>
      </w:r>
      <w:r>
        <w:rPr>
          <w:rFonts w:hint="eastAsia"/>
          <w:highlight w:val="none"/>
        </w:rPr>
        <w:t>新增异议处理功能</w:t>
      </w:r>
    </w:p>
    <w:p>
      <w:pPr>
        <w:pStyle w:val="886"/>
        <w:snapToGrid w:val="0"/>
        <w:spacing w:line="360" w:lineRule="auto"/>
        <w:ind w:left="-420" w:firstLine="480" w:firstLineChars="200"/>
        <w:contextualSpacing/>
        <w:jc w:val="both"/>
        <w:rPr>
          <w:highlight w:val="none"/>
        </w:rPr>
      </w:pPr>
      <w:r>
        <w:rPr>
          <w:rFonts w:hint="eastAsia" w:ascii="仿宋" w:hAnsi="仿宋"/>
          <w:highlight w:val="none"/>
        </w:rPr>
        <w:t>新增异议处理功能，政策申报未通过审核时，可以修改申报材料，提交异议，进行二次审核。</w:t>
      </w:r>
    </w:p>
    <w:p>
      <w:pPr>
        <w:pStyle w:val="886"/>
        <w:snapToGrid w:val="0"/>
        <w:spacing w:before="0" w:beforeAutospacing="0" w:after="0" w:afterAutospacing="0" w:line="360" w:lineRule="auto"/>
        <w:contextualSpacing/>
        <w:jc w:val="both"/>
        <w:rPr>
          <w:highlight w:val="none"/>
        </w:rPr>
      </w:pPr>
      <w:r>
        <w:rPr>
          <w:rFonts w:hint="eastAsia"/>
          <w:highlight w:val="none"/>
        </w:rPr>
        <w:t>3</w:t>
      </w:r>
      <w:r>
        <w:rPr>
          <w:highlight w:val="none"/>
        </w:rPr>
        <w:t xml:space="preserve">.3.4. </w:t>
      </w:r>
      <w:r>
        <w:rPr>
          <w:rFonts w:hint="eastAsia"/>
          <w:highlight w:val="none"/>
        </w:rPr>
        <w:t>新建我的企业模块</w:t>
      </w:r>
    </w:p>
    <w:p>
      <w:pPr>
        <w:pStyle w:val="886"/>
        <w:snapToGrid w:val="0"/>
        <w:spacing w:line="360" w:lineRule="auto"/>
        <w:ind w:left="-420" w:firstLine="480" w:firstLineChars="200"/>
        <w:contextualSpacing/>
        <w:rPr>
          <w:highlight w:val="none"/>
        </w:rPr>
      </w:pPr>
      <w:r>
        <w:rPr>
          <w:rFonts w:hint="eastAsia"/>
          <w:highlight w:val="none"/>
        </w:rPr>
        <w:t>新增“我的企业”模块，展示企业信息、兑现记录、咨询记录等内容。</w:t>
      </w:r>
    </w:p>
    <w:p>
      <w:pPr>
        <w:pStyle w:val="886"/>
        <w:snapToGrid w:val="0"/>
        <w:spacing w:line="360" w:lineRule="auto"/>
        <w:ind w:left="-420" w:firstLine="482" w:firstLineChars="200"/>
        <w:contextualSpacing/>
        <w:rPr>
          <w:b/>
          <w:highlight w:val="none"/>
        </w:rPr>
      </w:pPr>
      <w:r>
        <w:rPr>
          <w:rFonts w:hint="eastAsia"/>
          <w:b/>
          <w:highlight w:val="none"/>
        </w:rPr>
        <w:t>3.</w:t>
      </w:r>
      <w:r>
        <w:rPr>
          <w:b/>
          <w:highlight w:val="none"/>
        </w:rPr>
        <w:t>4</w:t>
      </w:r>
      <w:r>
        <w:rPr>
          <w:rFonts w:hint="eastAsia"/>
          <w:b/>
          <w:highlight w:val="none"/>
        </w:rPr>
        <w:t>.</w:t>
      </w:r>
      <w:r>
        <w:rPr>
          <w:rFonts w:hint="eastAsia"/>
          <w:highlight w:val="none"/>
        </w:rPr>
        <w:t xml:space="preserve"> </w:t>
      </w:r>
      <w:r>
        <w:rPr>
          <w:rFonts w:hint="eastAsia"/>
          <w:b/>
          <w:highlight w:val="none"/>
        </w:rPr>
        <w:t>打造亲清信使服务</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4</w:t>
      </w:r>
      <w:r>
        <w:rPr>
          <w:rFonts w:hint="eastAsia"/>
          <w:highlight w:val="none"/>
        </w:rPr>
        <w:t>.</w:t>
      </w:r>
      <w:r>
        <w:rPr>
          <w:highlight w:val="none"/>
        </w:rPr>
        <w:t>1</w:t>
      </w:r>
      <w:r>
        <w:rPr>
          <w:rFonts w:hint="eastAsia"/>
          <w:highlight w:val="none"/>
        </w:rPr>
        <w:t>.</w:t>
      </w:r>
      <w:r>
        <w:rPr>
          <w:rFonts w:hint="eastAsia"/>
          <w:highlight w:val="none"/>
        </w:rPr>
        <w:tab/>
      </w:r>
      <w:r>
        <w:rPr>
          <w:rFonts w:hint="eastAsia"/>
          <w:highlight w:val="none"/>
        </w:rPr>
        <w:t>信使配置与订阅</w:t>
      </w:r>
    </w:p>
    <w:p>
      <w:pPr>
        <w:pStyle w:val="886"/>
        <w:snapToGrid w:val="0"/>
        <w:spacing w:line="360" w:lineRule="auto"/>
        <w:ind w:left="-420" w:firstLine="480" w:firstLineChars="200"/>
        <w:contextualSpacing/>
        <w:rPr>
          <w:highlight w:val="none"/>
        </w:rPr>
      </w:pPr>
      <w:r>
        <w:rPr>
          <w:rFonts w:hint="eastAsia"/>
          <w:highlight w:val="none"/>
        </w:rPr>
        <w:t>打造“亲清信使”个性化专属服务，支持企业经办人配置亲清信使、订阅免申即享、订阅资讯、亲清报表、政策智能推荐等功能。</w:t>
      </w:r>
    </w:p>
    <w:p>
      <w:pPr>
        <w:pStyle w:val="886"/>
        <w:snapToGrid w:val="0"/>
        <w:spacing w:line="360" w:lineRule="auto"/>
        <w:ind w:left="-420" w:firstLine="480" w:firstLineChars="200"/>
        <w:contextualSpacing/>
        <w:rPr>
          <w:highlight w:val="none"/>
        </w:rPr>
      </w:pPr>
      <w:r>
        <w:rPr>
          <w:rFonts w:hint="eastAsia"/>
          <w:highlight w:val="none"/>
        </w:rPr>
        <w:t>3.</w:t>
      </w:r>
      <w:r>
        <w:rPr>
          <w:highlight w:val="none"/>
        </w:rPr>
        <w:t>4</w:t>
      </w:r>
      <w:r>
        <w:rPr>
          <w:rFonts w:hint="eastAsia"/>
          <w:highlight w:val="none"/>
        </w:rPr>
        <w:t>.</w:t>
      </w:r>
      <w:r>
        <w:rPr>
          <w:highlight w:val="none"/>
        </w:rPr>
        <w:t>2</w:t>
      </w:r>
      <w:r>
        <w:rPr>
          <w:rFonts w:hint="eastAsia"/>
          <w:highlight w:val="none"/>
        </w:rPr>
        <w:t>.</w:t>
      </w:r>
      <w:r>
        <w:rPr>
          <w:rFonts w:hint="eastAsia"/>
          <w:highlight w:val="none"/>
        </w:rPr>
        <w:tab/>
      </w:r>
      <w:r>
        <w:rPr>
          <w:rFonts w:hint="eastAsia"/>
          <w:highlight w:val="none"/>
        </w:rPr>
        <w:t>消息推送</w:t>
      </w:r>
    </w:p>
    <w:p>
      <w:pPr>
        <w:pStyle w:val="886"/>
        <w:snapToGrid w:val="0"/>
        <w:spacing w:line="360" w:lineRule="auto"/>
        <w:ind w:left="-420" w:firstLine="480" w:firstLineChars="200"/>
        <w:contextualSpacing/>
        <w:rPr>
          <w:highlight w:val="none"/>
        </w:rPr>
      </w:pPr>
      <w:r>
        <w:rPr>
          <w:rFonts w:hint="eastAsia"/>
          <w:highlight w:val="none"/>
        </w:rPr>
        <w:t>通过短信、公众号、平台消息等多种渠道向政策专属联络人员推送免申即享、订阅资讯、亲清报表、政策智能推荐等功能，提升企业获得感。</w:t>
      </w:r>
    </w:p>
    <w:p>
      <w:pPr>
        <w:pStyle w:val="886"/>
        <w:snapToGrid w:val="0"/>
        <w:spacing w:before="0" w:beforeAutospacing="0" w:after="0" w:afterAutospacing="0" w:line="360" w:lineRule="auto"/>
        <w:ind w:left="-420" w:firstLine="480" w:firstLineChars="200"/>
        <w:contextualSpacing/>
        <w:jc w:val="both"/>
        <w:rPr>
          <w:sz w:val="28"/>
          <w:highlight w:val="none"/>
        </w:rPr>
      </w:pPr>
      <w:r>
        <w:rPr>
          <w:rFonts w:hint="eastAsia"/>
          <w:highlight w:val="none"/>
        </w:rPr>
        <w:t>具体功能需求清单如下：</w:t>
      </w:r>
    </w:p>
    <w:tbl>
      <w:tblPr>
        <w:tblStyle w:val="62"/>
        <w:tblW w:w="9090"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5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工作模块</w:t>
            </w:r>
          </w:p>
        </w:tc>
        <w:tc>
          <w:tcPr>
            <w:tcW w:w="1755" w:type="dxa"/>
            <w:shd w:val="clear" w:color="auto" w:fill="auto"/>
            <w:noWrap/>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工作子项</w:t>
            </w:r>
          </w:p>
        </w:tc>
        <w:tc>
          <w:tcPr>
            <w:tcW w:w="6105" w:type="dxa"/>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restart"/>
            <w:shd w:val="clear" w:color="auto" w:fill="auto"/>
            <w:vAlign w:val="center"/>
          </w:tcPr>
          <w:p>
            <w:pPr>
              <w:widowControl/>
              <w:snapToGrid w:val="0"/>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sz w:val="24"/>
                <w:highlight w:val="none"/>
              </w:rPr>
              <w:t>建设亲清在线2.0新门户</w:t>
            </w:r>
          </w:p>
        </w:tc>
        <w:tc>
          <w:tcPr>
            <w:tcW w:w="1755" w:type="dxa"/>
            <w:shd w:val="clear" w:color="auto" w:fill="auto"/>
            <w:noWrap/>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升级政策超市栏目</w:t>
            </w:r>
          </w:p>
        </w:tc>
        <w:tc>
          <w:tcPr>
            <w:tcW w:w="6105" w:type="dxa"/>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升级亲清在线·政策超市门户网站，提供更加先进的功能，优化用户体验，突出“政策超市”主题，并以快捷、方便的方式推荐政策信息和用户所需的服务。新门户增加企业兑付情况、8+4政策清单、问计求策、政策智能推荐、政策智能问答、政策智能搜索、政策解读、最新政策等模块，用户可一键直达相应页面。同时，在首页个性化推荐企业政策，让网站功能更丰富、网页浏览更便捷、页面展示更亲和、企业兑付更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建设政策直达栏目</w:t>
            </w:r>
          </w:p>
        </w:tc>
        <w:tc>
          <w:tcPr>
            <w:tcW w:w="6105" w:type="dxa"/>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升级筛选功能。支持按发布时间、热度等标签排序，同时可一键筛选有效期内政策；新增差异化排序。根据企业画像展示推荐的政策清单，实现差异化排序；完善政策页标签。根据适用领域、政策类别、兑现方式、申报状态、发布时间等关键要素进行拆解，支持多级标签筛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建设8+4政策栏目</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highlight w:val="none"/>
              </w:rPr>
            </w:pPr>
            <w:r>
              <w:rPr>
                <w:rFonts w:hint="eastAsia" w:ascii="宋体" w:hAnsi="宋体" w:eastAsia="宋体" w:cs="宋体"/>
                <w:highlight w:val="none"/>
              </w:rPr>
              <w:t>建设“8+4政策”栏目，展示全市范围内各市级部门、区县市的“8+4政策”类别及清单，并支持政府端“8+4政策”类别配置、政策文件关联等功能。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我的企业</w:t>
            </w:r>
          </w:p>
        </w:tc>
        <w:tc>
          <w:tcPr>
            <w:tcW w:w="6105" w:type="dxa"/>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sz w:val="24"/>
                <w:highlight w:val="none"/>
              </w:rPr>
              <w:t>完善“我的企业”模块，新增“亲清报表”统计功能，展示企业已兑付政策条数、金额和兑现记录。根据企业兑付数据和访问情况，对企业行为数据进行多维度分析展示。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政策智能问答</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建设政策机器人，基于对用户语义的理解，采用对话交互式回答用户关于政策相关的问题，提供政策解读、推荐和检索能力，提升查找符合自身条件的政策效率。支持上下文语义关联的多轮对话、对话意图重启、满意度评价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政策智能推荐</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highlight w:val="none"/>
              </w:rPr>
            </w:pPr>
            <w:r>
              <w:rPr>
                <w:rFonts w:hint="eastAsia" w:ascii="宋体" w:hAnsi="宋体" w:eastAsia="宋体" w:cs="宋体"/>
                <w:highlight w:val="none"/>
              </w:rPr>
              <w:t>建设智能推荐专区，实现用户登录亲清在线2.0门户首页后，首页直接基于企业标签、政策标签，通过政策智能引擎运算推荐结果，形成并展示推荐政策清单。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政策智能搜索</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highlight w:val="none"/>
              </w:rPr>
            </w:pPr>
            <w:r>
              <w:rPr>
                <w:rFonts w:hint="eastAsia" w:ascii="宋体" w:hAnsi="宋体" w:eastAsia="宋体" w:cs="宋体"/>
                <w:color w:val="000000"/>
                <w:highlight w:val="none"/>
                <w:lang w:bidi="ar"/>
              </w:rPr>
              <w:t>将原有传统网站搜索升级为基于语义的智能搜索，在下拉问题清单中提供推荐政策标签及推荐问题，帮助用户更快、更准确地搜索到所需政策。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政策解读</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highlight w:val="none"/>
              </w:rPr>
            </w:pPr>
            <w:r>
              <w:rPr>
                <w:rFonts w:hint="eastAsia" w:ascii="宋体" w:hAnsi="宋体" w:eastAsia="宋体" w:cs="宋体"/>
                <w:color w:val="000000"/>
                <w:highlight w:val="none"/>
                <w:lang w:bidi="ar"/>
              </w:rPr>
              <w:t>门户增加政策解读专区，为用户提供图文、视频解读等丰富类型解读内容；政策详情页将政策文本以解读形式进行结构化展示，政府端升级政策工具配置。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最新政策展示</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color w:val="000000"/>
                <w:highlight w:val="none"/>
                <w:lang w:bidi="ar"/>
              </w:rPr>
            </w:pPr>
            <w:r>
              <w:rPr>
                <w:rFonts w:hint="eastAsia" w:ascii="宋体" w:hAnsi="宋体" w:eastAsia="宋体" w:cs="宋体"/>
                <w:color w:val="000000"/>
                <w:highlight w:val="none"/>
                <w:lang w:bidi="ar"/>
              </w:rPr>
              <w:t>根据政策上线时间展示最新政策列表，并对剩余申报时间、可兑现金额等信息进行可视化展示。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服务直达升级</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根据服务直达板块最新要求，对行政许可、我要招工、我要租房、总部企业认定、融资服务等板块进行整合，并优化前端展示页面。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交流直达升级</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将原有“互动交流”板块升级为“交流直达”，升级亲清D小二交互页面，便于企业查找、选择合适的D小二咨询。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restart"/>
            <w:shd w:val="clear" w:color="auto" w:fill="auto"/>
            <w:vAlign w:val="center"/>
          </w:tcPr>
          <w:p>
            <w:pPr>
              <w:widowControl/>
              <w:snapToGrid w:val="0"/>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打造政策智能引擎</w:t>
            </w: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政策标签体系建设</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政策标签体系建设包括政策指标标签分类、标签生成、指标管理等功能。标签分类功能支持政府端在政策配置过程中分类展示系统生成的政策标签，支持企业端在政策直达界面和智能搜索界面展示相关政策标签，便于用户查找、筛选政策；标签生成功能要求运用大模型训练政策数据、生成政策标签，并提供标签关联、归类、标注等功能。指标管理功能支持在政策工具配置过程中，实现指标新增、选择、编辑、关联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企业标签体系建设</w:t>
            </w:r>
          </w:p>
        </w:tc>
        <w:tc>
          <w:tcPr>
            <w:tcW w:w="6105" w:type="dxa"/>
            <w:vAlign w:val="center"/>
          </w:tcPr>
          <w:p>
            <w:pPr>
              <w:pStyle w:val="886"/>
              <w:snapToGrid w:val="0"/>
              <w:spacing w:before="0" w:beforeAutospacing="0" w:after="0" w:afterAutospacing="0" w:line="360" w:lineRule="auto"/>
              <w:contextualSpacing/>
              <w:jc w:val="both"/>
              <w:rPr>
                <w:rFonts w:hint="eastAsia" w:ascii="宋体" w:hAnsi="宋体" w:eastAsia="宋体" w:cs="宋体"/>
                <w:highlight w:val="none"/>
              </w:rPr>
            </w:pPr>
            <w:r>
              <w:rPr>
                <w:rFonts w:hint="eastAsia" w:ascii="宋体" w:hAnsi="宋体" w:eastAsia="宋体" w:cs="宋体"/>
                <w:highlight w:val="none"/>
              </w:rPr>
              <w:t>以社会信用代码作为唯一关键字，串联企业的基本信息、行业信息、历史兑付信息等，并转化为有业务含义的标签，快速生成企业标签画像体系，用于更加精准的政策推荐。“我的企业”板块增加“亲清报表”功能，对企业兑现情况、咨询情况、办件情况等进行分析统计。政府端增加企业信用风险预警功能，在政策发布部门上传白名单及政策兑付环节，增加信用风险预警，对存在严重失信行为的企业进行预警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智能推荐引擎</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基于历史兑付数据以及政策标签体系、企业标签体系，研发政策匹配度模型，构建智能推荐组件引擎，为亲清在线2.0新门户智能推荐功能和亲清信使主动送政策服务提供支撑，实现政策与企业智能匹配、精准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智能解读引擎</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建设政策智能解读模块，提取政策重点内容并进行加工整理，生成更加通俗易懂、简洁明了的政策解读，在政策智能机器人向企业推荐政策时，通过智能解读引擎自动生成政策解读内容，方便企业理解政策内容、抓住政策重点。在政府端政策工具配置中，支持政府端用户补充政策解读信息，调整关联政策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智能搜索引擎</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基于大语言模型开发智能化交互式搜索模块，实现平台政策智能检索。通过自然语言转化、模糊搜索、拼音转化搜索、搜索词纠错、搜索词智能下拉等功能，实现推荐引导、自动纠错、模糊搜索等智能服务，支持企业在平台中搜索各类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人工智能大模型训练</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基于政策文本、企业标签画像、历史兑付记录、平台操作手册、说明文档等语料，结合自然语言处理模型及数据标注，完成监督训练等工作，训练形成政策智能问答大语言模型，实现基于对用户语义的理解，采用对话交互式回答用户关于政策相关的问题。所采用大语言模型的参数量应不小于10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大模型调用服务</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提供基于GPU算力的政策智能问答大语言模型调用服务，模型调用服务至2024年6月30日，模型生产服务期间，需保障至少2台8卡A800服务器，其中，算力的运算性能要求: FP16的TFLOPS不低于2000，FP32和FP64的TFLOPS不低于150；算力的QPS 要求：平峰的QPS不低于10，高峰的QPS不低于15；算力的部署要求：可支持动态扩容，弹性伸缩以及高性能的分布式运算，以保证不同请求流量下的稳定的算力吞吐量。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restart"/>
            <w:shd w:val="clear" w:color="auto" w:fill="auto"/>
            <w:vAlign w:val="center"/>
          </w:tcPr>
          <w:p>
            <w:pPr>
              <w:widowControl/>
              <w:snapToGrid w:val="0"/>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升级亲清在线移动端</w:t>
            </w: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升级移动端基础功能</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升级移动端首页，增加智能推荐、智能搜索功能，实现政策与企业智能匹配、精准推送、一键检索；升级筛选功能，支持按照发布时间、热度等标签排序，以及根据政策区域、政策类别、申报状态、兑现方式等标签筛选政策。增加移动端亲清D小二咨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升级政策申报兑付功能</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完善政策配置工具，实现pc端政策配置后，移动端自动生成政策发布、政策申报、政策兑付功能；新增异议处理功能，政策申报未通过审核时，可以修改申报材料，提交异议，进行二次审核。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新建我的企业模块</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新增“我的企业”模块，展示企业信息、兑现记录、咨询记录等内容。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restart"/>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打造亲清信使服务</w:t>
            </w: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信使配置与订阅功能</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打造“亲清信使”个性化专属服务，支持企业经办人配置亲清信使、订阅免申即享、订阅资讯、亲清报表、政策智能推荐等功能。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0" w:type="dxa"/>
            <w:vMerge w:val="continue"/>
            <w:shd w:val="clear" w:color="auto" w:fill="auto"/>
            <w:vAlign w:val="center"/>
          </w:tcPr>
          <w:p>
            <w:pPr>
              <w:widowControl/>
              <w:snapToGrid w:val="0"/>
              <w:spacing w:line="360" w:lineRule="auto"/>
              <w:rPr>
                <w:rFonts w:hint="eastAsia" w:ascii="宋体" w:hAnsi="宋体" w:eastAsia="宋体" w:cs="宋体"/>
                <w:b/>
                <w:bCs/>
                <w:color w:val="000000"/>
                <w:kern w:val="0"/>
                <w:sz w:val="24"/>
                <w:highlight w:val="none"/>
              </w:rPr>
            </w:pPr>
          </w:p>
        </w:tc>
        <w:tc>
          <w:tcPr>
            <w:tcW w:w="1755" w:type="dxa"/>
            <w:shd w:val="clear" w:color="auto" w:fill="auto"/>
            <w:noWrap/>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消息推送</w:t>
            </w:r>
          </w:p>
        </w:tc>
        <w:tc>
          <w:tcPr>
            <w:tcW w:w="6105" w:type="dxa"/>
            <w:vAlign w:val="center"/>
          </w:tcPr>
          <w:p>
            <w:pPr>
              <w:widowControl/>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通过短信、公众号、平台消息等多种渠道向政策专属联络人员推送免申即享、订阅资讯、亲清报表、政策智能推荐等功能，提升企业获得感。</w:t>
            </w:r>
          </w:p>
        </w:tc>
      </w:tr>
    </w:tbl>
    <w:p>
      <w:pPr>
        <w:adjustRightInd/>
        <w:snapToGrid w:val="0"/>
        <w:jc w:val="left"/>
        <w:rPr>
          <w:rFonts w:ascii="宋体" w:hAnsi="宋体" w:cs="宋体"/>
          <w:sz w:val="28"/>
          <w:highlight w:val="none"/>
        </w:rPr>
      </w:pPr>
    </w:p>
    <w:p>
      <w:pPr>
        <w:pStyle w:val="669"/>
        <w:spacing w:before="24" w:after="24"/>
        <w:rPr>
          <w:rFonts w:ascii="宋体" w:hAnsi="宋体" w:eastAsia="宋体" w:cs="宋体"/>
          <w:highlight w:val="none"/>
        </w:rPr>
      </w:pPr>
      <w:bookmarkStart w:id="29" w:name="_Toc65611398"/>
      <w:r>
        <w:rPr>
          <w:rFonts w:hint="eastAsia" w:ascii="宋体" w:hAnsi="宋体" w:eastAsia="宋体" w:cs="宋体"/>
          <w:highlight w:val="none"/>
        </w:rPr>
        <w:t>四、项目服务要求</w:t>
      </w:r>
      <w:bookmarkEnd w:id="29"/>
    </w:p>
    <w:p>
      <w:pPr>
        <w:pStyle w:val="877"/>
        <w:spacing w:before="24" w:after="24"/>
        <w:rPr>
          <w:rFonts w:ascii="宋体" w:hAnsi="宋体" w:eastAsia="宋体" w:cs="宋体"/>
          <w:highlight w:val="none"/>
        </w:rPr>
      </w:pPr>
      <w:r>
        <w:rPr>
          <w:rFonts w:hint="eastAsia" w:ascii="宋体" w:hAnsi="宋体" w:eastAsia="宋体" w:cs="宋体"/>
          <w:highlight w:val="none"/>
        </w:rPr>
        <w:t>1.建设工期</w:t>
      </w:r>
    </w:p>
    <w:p>
      <w:pPr>
        <w:pStyle w:val="82"/>
        <w:ind w:firstLine="0"/>
        <w:rPr>
          <w:highlight w:val="none"/>
        </w:rPr>
      </w:pPr>
      <w:r>
        <w:rPr>
          <w:rFonts w:hint="eastAsia"/>
          <w:highlight w:val="none"/>
        </w:rPr>
        <w:t>项目建设期至2</w:t>
      </w:r>
      <w:r>
        <w:rPr>
          <w:highlight w:val="none"/>
        </w:rPr>
        <w:t>024</w:t>
      </w:r>
      <w:r>
        <w:rPr>
          <w:rFonts w:hint="eastAsia"/>
          <w:highlight w:val="none"/>
        </w:rPr>
        <w:t>年4月3</w:t>
      </w:r>
      <w:r>
        <w:rPr>
          <w:highlight w:val="none"/>
        </w:rPr>
        <w:t>0</w:t>
      </w:r>
      <w:r>
        <w:rPr>
          <w:rFonts w:hint="eastAsia"/>
          <w:highlight w:val="none"/>
        </w:rPr>
        <w:t>日前（合同资金支付时间根据财政资金实际到位情况确定）；大模型算力服务期均至2</w:t>
      </w:r>
      <w:r>
        <w:rPr>
          <w:highlight w:val="none"/>
        </w:rPr>
        <w:t>0</w:t>
      </w:r>
      <w:r>
        <w:rPr>
          <w:rFonts w:hint="eastAsia"/>
          <w:highlight w:val="none"/>
        </w:rPr>
        <w:t>2</w:t>
      </w:r>
      <w:r>
        <w:rPr>
          <w:highlight w:val="none"/>
        </w:rPr>
        <w:t>4</w:t>
      </w:r>
      <w:r>
        <w:rPr>
          <w:rFonts w:hint="eastAsia"/>
          <w:highlight w:val="none"/>
        </w:rPr>
        <w:t>年6月3</w:t>
      </w:r>
      <w:r>
        <w:rPr>
          <w:highlight w:val="none"/>
        </w:rPr>
        <w:t>0</w:t>
      </w:r>
      <w:r>
        <w:rPr>
          <w:rFonts w:hint="eastAsia"/>
          <w:highlight w:val="none"/>
        </w:rPr>
        <w:t>日。</w:t>
      </w:r>
    </w:p>
    <w:p>
      <w:pPr>
        <w:pStyle w:val="877"/>
        <w:spacing w:before="24" w:after="24"/>
        <w:rPr>
          <w:rFonts w:ascii="宋体" w:hAnsi="宋体" w:eastAsia="宋体" w:cs="宋体"/>
          <w:highlight w:val="none"/>
        </w:rPr>
      </w:pPr>
      <w:bookmarkStart w:id="30" w:name="_Toc42607372"/>
      <w:r>
        <w:rPr>
          <w:rFonts w:hint="eastAsia" w:ascii="宋体" w:hAnsi="宋体" w:eastAsia="宋体" w:cs="宋体"/>
          <w:highlight w:val="none"/>
        </w:rPr>
        <w:t>2.服务要求</w:t>
      </w:r>
    </w:p>
    <w:p>
      <w:pPr>
        <w:adjustRightInd/>
        <w:spacing w:line="360" w:lineRule="auto"/>
        <w:ind w:firstLine="240" w:firstLineChars="100"/>
        <w:contextualSpacing/>
        <w:rPr>
          <w:rFonts w:ascii="宋体" w:hAnsi="宋体" w:cs="宋体"/>
          <w:sz w:val="24"/>
          <w:highlight w:val="none"/>
        </w:rPr>
      </w:pPr>
      <w:r>
        <w:rPr>
          <w:rFonts w:hint="eastAsia" w:ascii="宋体" w:hAnsi="宋体" w:cs="宋体"/>
          <w:sz w:val="24"/>
          <w:highlight w:val="none"/>
        </w:rPr>
        <w:t>（1）安全建设要求</w:t>
      </w:r>
    </w:p>
    <w:p>
      <w:pPr>
        <w:pStyle w:val="964"/>
        <w:ind w:firstLine="480"/>
        <w:rPr>
          <w:rFonts w:ascii="宋体" w:hAnsi="宋体" w:eastAsia="宋体"/>
          <w:color w:val="000000"/>
          <w:sz w:val="24"/>
          <w:highlight w:val="none"/>
        </w:rPr>
      </w:pPr>
      <w:r>
        <w:rPr>
          <w:rFonts w:hint="eastAsia" w:ascii="宋体" w:hAnsi="宋体" w:eastAsia="宋体"/>
          <w:color w:val="000000"/>
          <w:sz w:val="24"/>
          <w:highlight w:val="none"/>
        </w:rPr>
        <w:t>严格按照《“城市大脑2</w:t>
      </w:r>
      <w:r>
        <w:rPr>
          <w:rFonts w:ascii="宋体" w:hAnsi="宋体" w:eastAsia="宋体"/>
          <w:color w:val="000000"/>
          <w:sz w:val="24"/>
          <w:highlight w:val="none"/>
        </w:rPr>
        <w:t>.0</w:t>
      </w:r>
      <w:r>
        <w:rPr>
          <w:rFonts w:hint="eastAsia" w:ascii="宋体" w:hAnsi="宋体" w:eastAsia="宋体"/>
          <w:color w:val="000000"/>
          <w:sz w:val="24"/>
          <w:highlight w:val="none"/>
        </w:rPr>
        <w:t xml:space="preserve">——数智营商”项目可行性研究方案》的要求进行实施。 </w:t>
      </w:r>
    </w:p>
    <w:p>
      <w:pPr>
        <w:adjustRightInd/>
        <w:spacing w:line="360" w:lineRule="auto"/>
        <w:ind w:firstLine="240" w:firstLineChars="100"/>
        <w:contextualSpacing/>
        <w:rPr>
          <w:rFonts w:ascii="宋体" w:hAnsi="宋体" w:cs="宋体"/>
          <w:sz w:val="24"/>
          <w:highlight w:val="none"/>
        </w:rPr>
      </w:pPr>
      <w:r>
        <w:rPr>
          <w:rFonts w:hint="eastAsia" w:ascii="宋体" w:hAnsi="宋体" w:cs="宋体"/>
          <w:sz w:val="24"/>
          <w:highlight w:val="none"/>
        </w:rPr>
        <w:t>（2）项目售后服务要求</w:t>
      </w:r>
    </w:p>
    <w:p>
      <w:pPr>
        <w:pStyle w:val="964"/>
        <w:ind w:firstLine="480"/>
        <w:rPr>
          <w:rFonts w:ascii="宋体" w:hAnsi="宋体" w:eastAsia="宋体"/>
          <w:color w:val="000000"/>
          <w:sz w:val="24"/>
          <w:highlight w:val="none"/>
        </w:rPr>
      </w:pPr>
      <w:r>
        <w:rPr>
          <w:rFonts w:hint="eastAsia" w:ascii="宋体" w:hAnsi="宋体" w:eastAsia="宋体"/>
          <w:color w:val="000000"/>
          <w:sz w:val="24"/>
          <w:highlight w:val="none"/>
        </w:rPr>
        <w:t>系统运行维护将由供应商针对本项目提供软件三年免费维护，包括故障排除、性能调优、技术咨询等，并负责处理、协调与各系统软件、硬件等供应商的关系。</w:t>
      </w:r>
    </w:p>
    <w:p>
      <w:pPr>
        <w:pStyle w:val="964"/>
        <w:ind w:firstLine="480"/>
        <w:rPr>
          <w:rFonts w:ascii="宋体" w:hAnsi="宋体" w:eastAsia="宋体"/>
          <w:color w:val="000000"/>
          <w:sz w:val="24"/>
          <w:highlight w:val="none"/>
        </w:rPr>
      </w:pPr>
      <w:r>
        <w:rPr>
          <w:rFonts w:hint="eastAsia" w:ascii="宋体" w:hAnsi="宋体" w:eastAsia="宋体"/>
          <w:color w:val="000000"/>
          <w:sz w:val="24"/>
          <w:highlight w:val="none"/>
        </w:rPr>
        <w:t>系统免费运行维护周期内，需要提供</w:t>
      </w:r>
      <w:r>
        <w:rPr>
          <w:rFonts w:ascii="宋体" w:hAnsi="宋体" w:eastAsia="宋体"/>
          <w:color w:val="000000"/>
          <w:sz w:val="24"/>
          <w:highlight w:val="none"/>
        </w:rPr>
        <w:t>5</w:t>
      </w:r>
      <w:r>
        <w:rPr>
          <w:rFonts w:hint="eastAsia" w:ascii="宋体" w:hAnsi="宋体" w:eastAsia="宋体"/>
          <w:color w:val="000000"/>
          <w:sz w:val="24"/>
          <w:highlight w:val="none"/>
        </w:rPr>
        <w:t>×</w:t>
      </w:r>
      <w:r>
        <w:rPr>
          <w:rFonts w:ascii="宋体" w:hAnsi="宋体" w:eastAsia="宋体"/>
          <w:color w:val="000000"/>
          <w:sz w:val="24"/>
          <w:highlight w:val="none"/>
        </w:rPr>
        <w:t>8</w:t>
      </w:r>
      <w:r>
        <w:rPr>
          <w:rFonts w:hint="eastAsia" w:ascii="宋体" w:hAnsi="宋体" w:eastAsia="宋体"/>
          <w:color w:val="000000"/>
          <w:sz w:val="24"/>
          <w:highlight w:val="none"/>
        </w:rPr>
        <w:t>小时技术支持服务电话和群，响应时间在</w:t>
      </w:r>
      <w:r>
        <w:rPr>
          <w:rFonts w:ascii="宋体" w:hAnsi="宋体" w:eastAsia="宋体"/>
          <w:color w:val="000000"/>
          <w:sz w:val="24"/>
          <w:highlight w:val="none"/>
        </w:rPr>
        <w:t>60</w:t>
      </w:r>
      <w:r>
        <w:rPr>
          <w:rFonts w:hint="eastAsia" w:ascii="宋体" w:hAnsi="宋体" w:eastAsia="宋体"/>
          <w:color w:val="000000"/>
          <w:sz w:val="24"/>
          <w:highlight w:val="none"/>
        </w:rPr>
        <w:t>分钟内；技术支持包括：电话技术服务、钉钉服务、现场技术服务、定期巡查服务等。</w:t>
      </w:r>
    </w:p>
    <w:bookmarkEnd w:id="30"/>
    <w:p>
      <w:pPr>
        <w:adjustRightInd/>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（3）项目培训要求</w:t>
      </w:r>
    </w:p>
    <w:p>
      <w:pPr>
        <w:pStyle w:val="964"/>
        <w:ind w:firstLine="480"/>
        <w:rPr>
          <w:rFonts w:ascii="宋体" w:hAnsi="宋体" w:eastAsia="宋体"/>
          <w:color w:val="000000"/>
          <w:sz w:val="24"/>
          <w:highlight w:val="none"/>
        </w:rPr>
      </w:pPr>
      <w:r>
        <w:rPr>
          <w:rFonts w:hint="eastAsia" w:ascii="宋体" w:hAnsi="宋体" w:eastAsia="宋体"/>
          <w:color w:val="000000"/>
          <w:sz w:val="24"/>
          <w:highlight w:val="none"/>
        </w:rPr>
        <w:t>对所有系统维护、管理人员进行全面的技术培训，确保项目相关人员能够熟练操作、正确使用、正确判断和处理故障并完成日常系统运行、维护等工作，以保证系统的正常运行，并最大发挥该系统的作用。</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（4）项目实施要求</w:t>
      </w:r>
    </w:p>
    <w:p>
      <w:pPr>
        <w:spacing w:line="360" w:lineRule="auto"/>
        <w:ind w:firstLine="480" w:firstLineChars="200"/>
        <w:contextualSpacing/>
        <w:rPr>
          <w:rFonts w:ascii="宋体" w:hAnsi="宋体" w:cs="宋体"/>
          <w:color w:val="000000"/>
          <w:sz w:val="24"/>
          <w:highlight w:val="none"/>
        </w:rPr>
      </w:pPr>
      <w:r>
        <w:rPr>
          <w:rFonts w:hint="eastAsia" w:ascii="宋体" w:hAnsi="宋体" w:cs="宋体"/>
          <w:bCs/>
          <w:color w:val="000000"/>
          <w:kern w:val="0"/>
          <w:sz w:val="24"/>
          <w:highlight w:val="none"/>
        </w:rPr>
        <w:t>1）</w:t>
      </w:r>
      <w:r>
        <w:rPr>
          <w:rFonts w:hint="eastAsia" w:ascii="宋体" w:hAnsi="宋体" w:cs="宋体"/>
          <w:color w:val="000000"/>
          <w:sz w:val="24"/>
          <w:highlight w:val="none"/>
        </w:rPr>
        <w:t>合同签订后10个工作日内，组建项目团队（含项目经理、产品经理、运维人员、软件开发人员等，项目小组成员不少于</w:t>
      </w:r>
      <w:r>
        <w:rPr>
          <w:rFonts w:ascii="宋体" w:hAnsi="宋体" w:cs="宋体"/>
          <w:color w:val="000000"/>
          <w:sz w:val="24"/>
          <w:highlight w:val="none"/>
        </w:rPr>
        <w:t>18</w:t>
      </w:r>
      <w:r>
        <w:rPr>
          <w:rFonts w:hint="eastAsia" w:ascii="宋体" w:hAnsi="宋体" w:cs="宋体"/>
          <w:color w:val="000000"/>
          <w:sz w:val="24"/>
          <w:highlight w:val="none"/>
        </w:rPr>
        <w:t>人），驻场</w:t>
      </w:r>
      <w:r>
        <w:rPr>
          <w:rFonts w:ascii="宋体" w:hAnsi="宋体" w:cs="宋体"/>
          <w:color w:val="000000"/>
          <w:sz w:val="24"/>
          <w:highlight w:val="none"/>
        </w:rPr>
        <w:t>6</w:t>
      </w:r>
      <w:r>
        <w:rPr>
          <w:rFonts w:hint="eastAsia" w:ascii="宋体" w:hAnsi="宋体" w:cs="宋体"/>
          <w:color w:val="000000"/>
          <w:sz w:val="24"/>
          <w:highlight w:val="none"/>
        </w:rPr>
        <w:t>人。完成需求调研、需求分析、制定项目实施方案及实施计划，并且经采购人审查通过。项目组成员需含高级专业资质证书。</w:t>
      </w:r>
    </w:p>
    <w:p>
      <w:pPr>
        <w:spacing w:line="360" w:lineRule="auto"/>
        <w:ind w:firstLine="480" w:firstLineChars="200"/>
        <w:contextualSpacing/>
        <w:rPr>
          <w:rFonts w:ascii="宋体" w:hAnsi="宋体" w:cs="宋体"/>
          <w:color w:val="000000"/>
          <w:sz w:val="24"/>
          <w:highlight w:val="none"/>
        </w:rPr>
      </w:pPr>
      <w:r>
        <w:rPr>
          <w:rFonts w:hint="eastAsia" w:ascii="宋体" w:hAnsi="宋体" w:cs="宋体"/>
          <w:bCs/>
          <w:color w:val="000000"/>
          <w:kern w:val="0"/>
          <w:sz w:val="24"/>
          <w:highlight w:val="none"/>
        </w:rPr>
        <w:t>2）</w:t>
      </w:r>
      <w:r>
        <w:rPr>
          <w:rFonts w:hint="eastAsia" w:ascii="宋体" w:hAnsi="宋体" w:cs="宋体"/>
          <w:color w:val="000000"/>
          <w:sz w:val="24"/>
          <w:highlight w:val="none"/>
        </w:rPr>
        <w:t>整个项目实施周期内，投标人须保证项目团队常驻本地，正常开展项目实施工作，应对各种突发事件，确保整体系统正常运行。</w:t>
      </w:r>
    </w:p>
    <w:p>
      <w:pPr>
        <w:spacing w:line="360" w:lineRule="auto"/>
        <w:ind w:firstLine="480" w:firstLineChars="200"/>
        <w:contextualSpacing/>
        <w:rPr>
          <w:rFonts w:ascii="宋体" w:hAnsi="宋体" w:cs="宋体"/>
          <w:color w:val="000000"/>
          <w:sz w:val="24"/>
          <w:highlight w:val="none"/>
        </w:rPr>
      </w:pPr>
      <w:r>
        <w:rPr>
          <w:rFonts w:hint="eastAsia" w:ascii="宋体" w:hAnsi="宋体" w:cs="宋体"/>
          <w:bCs/>
          <w:color w:val="000000"/>
          <w:kern w:val="0"/>
          <w:sz w:val="24"/>
          <w:highlight w:val="none"/>
        </w:rPr>
        <w:t>3）</w:t>
      </w:r>
      <w:r>
        <w:rPr>
          <w:rFonts w:hint="eastAsia" w:ascii="宋体" w:hAnsi="宋体" w:cs="宋体"/>
          <w:sz w:val="24"/>
          <w:highlight w:val="none"/>
        </w:rPr>
        <w:t>投标人应拥有稳定的技术和运维力量，为系统平台提供长期、稳定、及时的服务指导、系统优化、功能扩展、运行推广等服务</w:t>
      </w:r>
      <w:r>
        <w:rPr>
          <w:rFonts w:hint="eastAsia" w:ascii="宋体" w:hAnsi="宋体" w:cs="宋体"/>
          <w:color w:val="000000"/>
          <w:sz w:val="24"/>
          <w:highlight w:val="none"/>
        </w:rPr>
        <w:t>。</w:t>
      </w:r>
    </w:p>
    <w:p>
      <w:pPr>
        <w:spacing w:line="360" w:lineRule="auto"/>
        <w:ind w:firstLine="480" w:firstLineChars="200"/>
        <w:contextualSpacing/>
        <w:rPr>
          <w:rFonts w:ascii="宋体" w:hAnsi="宋体" w:cs="宋体"/>
          <w:color w:val="000000"/>
          <w:sz w:val="24"/>
          <w:highlight w:val="none"/>
        </w:rPr>
      </w:pPr>
      <w:r>
        <w:rPr>
          <w:rFonts w:hint="eastAsia" w:ascii="宋体" w:hAnsi="宋体" w:cs="宋体"/>
          <w:bCs/>
          <w:color w:val="000000"/>
          <w:kern w:val="0"/>
          <w:sz w:val="24"/>
          <w:highlight w:val="none"/>
        </w:rPr>
        <w:t>4）</w:t>
      </w:r>
      <w:r>
        <w:rPr>
          <w:rFonts w:hint="eastAsia" w:ascii="宋体" w:hAnsi="宋体" w:cs="宋体"/>
          <w:color w:val="000000"/>
          <w:sz w:val="24"/>
          <w:highlight w:val="none"/>
        </w:rPr>
        <w:t>投标人应有规范的管理流程和质量控制流程，能够保持人员的稳定性并能满足机动人员数量的需求。</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（5）项目验收要求</w:t>
      </w:r>
    </w:p>
    <w:p>
      <w:pPr>
        <w:spacing w:line="360" w:lineRule="auto"/>
        <w:ind w:firstLine="720" w:firstLineChars="300"/>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根据《杭州市政府采购履约验收暂行办法》杭财采监〔2019〕10 号文，进行履约验收，验收合格报告作为项目支付的依据。所有功能和技术性能达到合格，并按照验收标准进行交付。</w:t>
      </w:r>
      <w:r>
        <w:rPr>
          <w:rFonts w:hint="eastAsia" w:ascii="宋体" w:hAnsi="宋体" w:cs="宋体"/>
          <w:bCs/>
          <w:color w:val="000000"/>
          <w:kern w:val="0"/>
          <w:sz w:val="24"/>
          <w:highlight w:val="none"/>
        </w:rPr>
        <w:br w:type="textWrapping"/>
      </w:r>
      <w:r>
        <w:rPr>
          <w:rFonts w:hint="eastAsia" w:ascii="宋体" w:hAnsi="宋体" w:cs="宋体"/>
          <w:bCs/>
          <w:color w:val="000000"/>
          <w:kern w:val="0"/>
          <w:sz w:val="24"/>
          <w:highlight w:val="none"/>
        </w:rPr>
        <w:tab/>
      </w:r>
      <w:r>
        <w:rPr>
          <w:rFonts w:hint="eastAsia" w:ascii="宋体" w:hAnsi="宋体" w:cs="宋体"/>
          <w:bCs/>
          <w:color w:val="000000"/>
          <w:kern w:val="0"/>
          <w:sz w:val="24"/>
          <w:highlight w:val="none"/>
        </w:rPr>
        <w:t>（6）服务标准</w:t>
      </w:r>
      <w:r>
        <w:rPr>
          <w:rFonts w:hint="eastAsia" w:ascii="宋体" w:hAnsi="宋体" w:cs="宋体"/>
          <w:bCs/>
          <w:color w:val="000000"/>
          <w:kern w:val="0"/>
          <w:sz w:val="24"/>
          <w:highlight w:val="none"/>
        </w:rPr>
        <w:br w:type="textWrapping"/>
      </w:r>
      <w:r>
        <w:rPr>
          <w:rFonts w:hint="eastAsia" w:ascii="宋体" w:hAnsi="宋体" w:cs="宋体"/>
          <w:bCs/>
          <w:color w:val="000000"/>
          <w:kern w:val="0"/>
          <w:sz w:val="24"/>
          <w:highlight w:val="none"/>
        </w:rPr>
        <w:tab/>
      </w:r>
      <w:r>
        <w:rPr>
          <w:rFonts w:hint="eastAsia" w:ascii="宋体" w:hAnsi="宋体" w:cs="宋体"/>
          <w:bCs/>
          <w:color w:val="000000"/>
          <w:kern w:val="0"/>
          <w:sz w:val="24"/>
          <w:highlight w:val="none"/>
        </w:rPr>
        <w:t xml:space="preserve"> 相关法规、管理条例与技术标准、行业规范：</w:t>
      </w:r>
    </w:p>
    <w:p>
      <w:pPr>
        <w:spacing w:line="360" w:lineRule="auto"/>
        <w:ind w:firstLine="720" w:firstLineChars="300"/>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1）国家规定的标准和规范，有新标准按新标准执行；</w:t>
      </w:r>
    </w:p>
    <w:p>
      <w:pPr>
        <w:spacing w:line="360" w:lineRule="auto"/>
        <w:ind w:firstLine="720" w:firstLineChars="300"/>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2）行业标准及规范，有新标准按新标准执行；</w:t>
      </w:r>
    </w:p>
    <w:p>
      <w:pPr>
        <w:spacing w:line="360" w:lineRule="auto"/>
        <w:ind w:firstLine="720" w:firstLineChars="300"/>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3）其他相关标准。</w:t>
      </w:r>
    </w:p>
    <w:p>
      <w:pPr>
        <w:pStyle w:val="669"/>
        <w:spacing w:before="24" w:after="24"/>
        <w:rPr>
          <w:rFonts w:ascii="宋体" w:hAnsi="宋体" w:eastAsia="宋体" w:cs="宋体"/>
          <w:highlight w:val="none"/>
        </w:rPr>
      </w:pPr>
      <w:r>
        <w:rPr>
          <w:rFonts w:hint="eastAsia" w:ascii="宋体" w:hAnsi="宋体" w:eastAsia="宋体" w:cs="宋体"/>
          <w:highlight w:val="none"/>
        </w:rPr>
        <w:t>五、其他</w:t>
      </w:r>
    </w:p>
    <w:p>
      <w:pPr>
        <w:pStyle w:val="524"/>
        <w:ind w:firstLine="480"/>
        <w:rPr>
          <w:rFonts w:ascii="宋体" w:hAnsi="宋体" w:eastAsia="宋体" w:cs="宋体"/>
          <w:sz w:val="24"/>
          <w:szCs w:val="24"/>
          <w:highlight w:val="none"/>
        </w:rPr>
      </w:pPr>
      <w:r>
        <w:rPr>
          <w:rFonts w:hint="eastAsia" w:ascii="宋体" w:hAnsi="宋体" w:eastAsia="宋体" w:cs="宋体"/>
          <w:sz w:val="24"/>
          <w:szCs w:val="24"/>
          <w:highlight w:val="none"/>
        </w:rPr>
        <w:t>1.服务保密要求</w:t>
      </w:r>
    </w:p>
    <w:p>
      <w:pPr>
        <w:pStyle w:val="524"/>
        <w:ind w:firstLine="480"/>
        <w:rPr>
          <w:rFonts w:ascii="宋体" w:hAnsi="宋体" w:eastAsia="宋体" w:cs="宋体"/>
          <w:sz w:val="24"/>
          <w:szCs w:val="24"/>
          <w:highlight w:val="none"/>
        </w:rPr>
      </w:pPr>
      <w:r>
        <w:rPr>
          <w:rFonts w:hint="eastAsia" w:ascii="宋体" w:hAnsi="宋体" w:eastAsia="宋体" w:cs="宋体"/>
          <w:sz w:val="24"/>
          <w:szCs w:val="24"/>
          <w:highlight w:val="none"/>
        </w:rPr>
        <w:t>中标方须在签订合同时，向业主单位提供保密协议。</w:t>
      </w:r>
    </w:p>
    <w:p>
      <w:pPr>
        <w:pStyle w:val="524"/>
        <w:ind w:firstLine="480"/>
        <w:rPr>
          <w:rFonts w:ascii="宋体" w:hAnsi="宋体" w:eastAsia="宋体" w:cs="宋体"/>
          <w:sz w:val="24"/>
          <w:szCs w:val="24"/>
          <w:highlight w:val="none"/>
        </w:rPr>
      </w:pPr>
      <w:r>
        <w:rPr>
          <w:rFonts w:hint="eastAsia" w:ascii="宋体" w:hAnsi="宋体" w:eastAsia="宋体" w:cs="宋体"/>
          <w:sz w:val="24"/>
          <w:szCs w:val="24"/>
          <w:highlight w:val="none"/>
        </w:rPr>
        <w:t>2.系统等保要求</w:t>
      </w:r>
    </w:p>
    <w:p>
      <w:pPr>
        <w:pStyle w:val="524"/>
        <w:ind w:firstLine="480"/>
        <w:rPr>
          <w:rFonts w:ascii="宋体" w:hAnsi="宋体" w:eastAsia="宋体" w:cs="宋体"/>
          <w:sz w:val="24"/>
          <w:szCs w:val="24"/>
          <w:highlight w:val="none"/>
        </w:rPr>
      </w:pPr>
      <w:r>
        <w:rPr>
          <w:rFonts w:hint="eastAsia" w:ascii="宋体" w:hAnsi="宋体" w:eastAsia="宋体" w:cs="宋体"/>
          <w:sz w:val="24"/>
          <w:szCs w:val="24"/>
          <w:highlight w:val="none"/>
        </w:rPr>
        <w:t>在项目建成后，安全系统需符合安全等级保护的第三级别，系统部署后不会引入新的安全漏洞。</w:t>
      </w:r>
    </w:p>
    <w:p>
      <w:pPr>
        <w:pStyle w:val="524"/>
        <w:ind w:firstLine="480"/>
        <w:rPr>
          <w:rFonts w:ascii="宋体" w:hAnsi="宋体" w:eastAsia="宋体" w:cs="宋体"/>
          <w:sz w:val="24"/>
          <w:szCs w:val="24"/>
          <w:highlight w:val="none"/>
        </w:rPr>
      </w:pPr>
      <w:r>
        <w:rPr>
          <w:rFonts w:hint="eastAsia" w:ascii="宋体" w:hAnsi="宋体" w:eastAsia="宋体" w:cs="宋体"/>
          <w:sz w:val="24"/>
          <w:szCs w:val="24"/>
          <w:highlight w:val="none"/>
        </w:rPr>
        <w:t>3.信息安全承诺保障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中标方承诺严格把控安全风险及系统安全风险，定时对系统进行安全监测和巡检，出具安全巡检报告。及时修复系统存在的各类安全漏洞。</w:t>
      </w:r>
    </w:p>
    <w:p>
      <w:pPr>
        <w:pStyle w:val="669"/>
        <w:spacing w:before="24" w:after="24"/>
        <w:rPr>
          <w:rFonts w:ascii="宋体" w:hAnsi="宋体" w:eastAsia="宋体" w:cs="宋体"/>
          <w:highlight w:val="none"/>
        </w:rPr>
      </w:pPr>
      <w:r>
        <w:rPr>
          <w:rFonts w:hint="eastAsia" w:ascii="宋体" w:hAnsi="宋体" w:eastAsia="宋体" w:cs="宋体"/>
          <w:highlight w:val="none"/>
        </w:rPr>
        <w:t>六、知识产权要求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中标方应保证所提供的系统或其任何一部分均不会侵犯任何第三方的知识产权。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中标方应保证采购方在安全产品使用过程中，免受第三方提出的侵权起诉。如发生此类纠纷，由中标方承担一切责任并负责解决。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项目建设成果的知识产权由中标方和采购方共同所有，产生的组件全市共用。</w:t>
      </w:r>
    </w:p>
    <w:p>
      <w:pPr>
        <w:rPr>
          <w:rFonts w:ascii="仿宋" w:hAnsi="仿宋" w:eastAsia="仿宋" w:cs="仿宋"/>
          <w:sz w:val="24"/>
          <w:highlight w:val="none"/>
        </w:rPr>
      </w:pPr>
      <w:r>
        <w:rPr>
          <w:rFonts w:hint="eastAsia" w:ascii="仿宋" w:hAnsi="仿宋" w:eastAsia="仿宋" w:cs="仿宋"/>
          <w:sz w:val="24"/>
          <w:highlight w:val="none"/>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第四部分</w:t>
      </w:r>
      <w:bookmarkStart w:id="31" w:name="_Toc184314416"/>
      <w:bookmarkEnd w:id="31"/>
      <w:bookmarkStart w:id="32" w:name="_Toc184308082"/>
      <w:bookmarkEnd w:id="32"/>
      <w:bookmarkStart w:id="33" w:name="_Toc184314427"/>
      <w:bookmarkEnd w:id="33"/>
      <w:bookmarkStart w:id="34" w:name="_Toc184310333"/>
      <w:bookmarkEnd w:id="34"/>
      <w:bookmarkStart w:id="35" w:name="_Toc184310334"/>
      <w:bookmarkEnd w:id="35"/>
      <w:bookmarkStart w:id="36" w:name="_Toc184313285"/>
      <w:bookmarkEnd w:id="36"/>
      <w:bookmarkStart w:id="37" w:name="_Toc184313297"/>
      <w:bookmarkEnd w:id="37"/>
      <w:bookmarkStart w:id="38" w:name="_Toc184308049"/>
      <w:bookmarkEnd w:id="38"/>
      <w:bookmarkStart w:id="39" w:name="_Toc184312126"/>
      <w:bookmarkEnd w:id="39"/>
      <w:bookmarkStart w:id="40" w:name="_Toc184313307"/>
      <w:bookmarkEnd w:id="40"/>
      <w:bookmarkStart w:id="41" w:name="_Toc184310310"/>
      <w:bookmarkEnd w:id="41"/>
      <w:bookmarkStart w:id="42" w:name="_Toc184308060"/>
      <w:bookmarkEnd w:id="42"/>
      <w:bookmarkStart w:id="43" w:name="_Toc184314464"/>
      <w:bookmarkEnd w:id="43"/>
      <w:bookmarkStart w:id="44" w:name="_Toc184313263"/>
      <w:bookmarkEnd w:id="44"/>
      <w:bookmarkStart w:id="45" w:name="_Toc184310295"/>
      <w:bookmarkEnd w:id="45"/>
      <w:bookmarkStart w:id="46" w:name="_Toc184314454"/>
      <w:bookmarkEnd w:id="46"/>
      <w:bookmarkStart w:id="47" w:name="_Toc184310306"/>
      <w:bookmarkEnd w:id="47"/>
      <w:bookmarkStart w:id="48" w:name="_Toc184308077"/>
      <w:bookmarkEnd w:id="48"/>
      <w:bookmarkStart w:id="49" w:name="_Toc184313296"/>
      <w:bookmarkEnd w:id="49"/>
      <w:bookmarkStart w:id="50" w:name="_Toc184308074"/>
      <w:bookmarkEnd w:id="50"/>
      <w:bookmarkStart w:id="51" w:name="_Toc184312103"/>
      <w:bookmarkEnd w:id="51"/>
      <w:bookmarkStart w:id="52" w:name="_Toc184312125"/>
      <w:bookmarkEnd w:id="52"/>
      <w:bookmarkStart w:id="53" w:name="_Toc184314479"/>
      <w:bookmarkEnd w:id="53"/>
      <w:bookmarkStart w:id="54" w:name="_Toc184313309"/>
      <w:bookmarkEnd w:id="54"/>
      <w:bookmarkStart w:id="55" w:name="_Toc184314474"/>
      <w:bookmarkEnd w:id="55"/>
      <w:bookmarkStart w:id="56" w:name="_Toc184312086"/>
      <w:bookmarkEnd w:id="56"/>
      <w:bookmarkStart w:id="57" w:name="_Toc184314467"/>
      <w:bookmarkEnd w:id="57"/>
      <w:bookmarkStart w:id="58" w:name="_Toc184310300"/>
      <w:bookmarkEnd w:id="58"/>
      <w:bookmarkStart w:id="59" w:name="_Toc184308040"/>
      <w:bookmarkEnd w:id="59"/>
      <w:bookmarkStart w:id="60" w:name="_Toc184312109"/>
      <w:bookmarkEnd w:id="60"/>
      <w:bookmarkStart w:id="61" w:name="_Toc184308075"/>
      <w:bookmarkEnd w:id="61"/>
      <w:bookmarkStart w:id="62" w:name="_Toc184313298"/>
      <w:bookmarkEnd w:id="62"/>
      <w:bookmarkStart w:id="63" w:name="_Toc184310320"/>
      <w:bookmarkEnd w:id="63"/>
      <w:bookmarkStart w:id="64" w:name="_Toc184310305"/>
      <w:bookmarkEnd w:id="64"/>
      <w:bookmarkStart w:id="65" w:name="_Toc184314442"/>
      <w:bookmarkEnd w:id="65"/>
      <w:bookmarkStart w:id="66" w:name="_Toc184310272"/>
      <w:bookmarkEnd w:id="66"/>
      <w:bookmarkStart w:id="67" w:name="_Toc184308090"/>
      <w:bookmarkEnd w:id="67"/>
      <w:bookmarkStart w:id="68" w:name="_Toc184310328"/>
      <w:bookmarkEnd w:id="68"/>
      <w:bookmarkStart w:id="69" w:name="_Toc184308071"/>
      <w:bookmarkEnd w:id="69"/>
      <w:bookmarkStart w:id="70" w:name="_Toc184312089"/>
      <w:bookmarkEnd w:id="70"/>
      <w:bookmarkStart w:id="71" w:name="_Toc184314438"/>
      <w:bookmarkEnd w:id="71"/>
      <w:bookmarkStart w:id="72" w:name="_Toc184314455"/>
      <w:bookmarkEnd w:id="72"/>
      <w:bookmarkStart w:id="73" w:name="_Toc184312101"/>
      <w:bookmarkEnd w:id="73"/>
      <w:bookmarkStart w:id="74" w:name="_Toc184314480"/>
      <w:bookmarkEnd w:id="74"/>
      <w:bookmarkStart w:id="75" w:name="_Toc184314437"/>
      <w:bookmarkEnd w:id="75"/>
      <w:bookmarkStart w:id="76" w:name="_Toc184314478"/>
      <w:bookmarkEnd w:id="76"/>
      <w:bookmarkStart w:id="77" w:name="_Toc184314420"/>
      <w:bookmarkEnd w:id="77"/>
      <w:bookmarkStart w:id="78" w:name="_Toc184314470"/>
      <w:bookmarkEnd w:id="78"/>
      <w:bookmarkStart w:id="79" w:name="_Toc184308059"/>
      <w:bookmarkEnd w:id="79"/>
      <w:bookmarkStart w:id="80" w:name="_Toc184308093"/>
      <w:bookmarkEnd w:id="80"/>
      <w:bookmarkStart w:id="81" w:name="_Toc184313261"/>
      <w:bookmarkEnd w:id="81"/>
      <w:bookmarkStart w:id="82" w:name="_Toc184314425"/>
      <w:bookmarkEnd w:id="82"/>
      <w:bookmarkStart w:id="83" w:name="_Toc184312074"/>
      <w:bookmarkEnd w:id="83"/>
      <w:bookmarkStart w:id="84" w:name="_Toc184310287"/>
      <w:bookmarkEnd w:id="84"/>
      <w:bookmarkStart w:id="85" w:name="_Toc184313275"/>
      <w:bookmarkEnd w:id="85"/>
      <w:bookmarkStart w:id="86" w:name="_Toc184312078"/>
      <w:bookmarkEnd w:id="86"/>
      <w:bookmarkStart w:id="87" w:name="_Toc184308095"/>
      <w:bookmarkEnd w:id="87"/>
      <w:bookmarkStart w:id="88" w:name="_Toc184314415"/>
      <w:bookmarkEnd w:id="88"/>
      <w:bookmarkStart w:id="89" w:name="_Toc184308047"/>
      <w:bookmarkEnd w:id="89"/>
      <w:bookmarkStart w:id="90" w:name="_Toc184313286"/>
      <w:bookmarkEnd w:id="90"/>
      <w:bookmarkStart w:id="91" w:name="_Toc184308062"/>
      <w:bookmarkEnd w:id="91"/>
      <w:bookmarkStart w:id="92" w:name="_Toc184308086"/>
      <w:bookmarkEnd w:id="92"/>
      <w:bookmarkStart w:id="93" w:name="_Toc184308106"/>
      <w:bookmarkEnd w:id="93"/>
      <w:bookmarkStart w:id="94" w:name="_Toc184308100"/>
      <w:bookmarkEnd w:id="94"/>
      <w:bookmarkStart w:id="95" w:name="_Toc184308078"/>
      <w:bookmarkEnd w:id="95"/>
      <w:bookmarkStart w:id="96" w:name="_Toc184310318"/>
      <w:bookmarkEnd w:id="96"/>
      <w:bookmarkStart w:id="97" w:name="_Toc184310340"/>
      <w:bookmarkEnd w:id="97"/>
      <w:bookmarkStart w:id="98" w:name="_Toc184312081"/>
      <w:bookmarkEnd w:id="98"/>
      <w:bookmarkStart w:id="99" w:name="_Toc184310344"/>
      <w:bookmarkEnd w:id="99"/>
      <w:bookmarkStart w:id="100" w:name="_Toc184308050"/>
      <w:bookmarkEnd w:id="100"/>
      <w:bookmarkStart w:id="101" w:name="_Toc184310322"/>
      <w:bookmarkEnd w:id="101"/>
      <w:bookmarkStart w:id="102" w:name="_Toc184308094"/>
      <w:bookmarkEnd w:id="102"/>
      <w:bookmarkStart w:id="103" w:name="_Toc184310336"/>
      <w:bookmarkEnd w:id="103"/>
      <w:bookmarkStart w:id="104" w:name="_Toc184312124"/>
      <w:bookmarkEnd w:id="104"/>
      <w:bookmarkStart w:id="105" w:name="_Toc184308085"/>
      <w:bookmarkEnd w:id="105"/>
      <w:bookmarkStart w:id="106" w:name="_Toc184312090"/>
      <w:bookmarkEnd w:id="106"/>
      <w:bookmarkStart w:id="107" w:name="_Toc184313249"/>
      <w:bookmarkEnd w:id="107"/>
      <w:bookmarkStart w:id="108" w:name="_Toc184308052"/>
      <w:bookmarkEnd w:id="108"/>
      <w:bookmarkStart w:id="109" w:name="_Toc184310314"/>
      <w:bookmarkEnd w:id="109"/>
      <w:bookmarkStart w:id="110" w:name="_Toc184310309"/>
      <w:bookmarkEnd w:id="110"/>
      <w:bookmarkStart w:id="111" w:name="_Toc184313255"/>
      <w:bookmarkEnd w:id="111"/>
      <w:bookmarkStart w:id="112" w:name="_Toc184310338"/>
      <w:bookmarkEnd w:id="112"/>
      <w:bookmarkStart w:id="113" w:name="_Toc184313247"/>
      <w:bookmarkEnd w:id="113"/>
      <w:bookmarkStart w:id="114" w:name="_Toc184310329"/>
      <w:bookmarkEnd w:id="114"/>
      <w:bookmarkStart w:id="115" w:name="_Toc184310304"/>
      <w:bookmarkEnd w:id="115"/>
      <w:bookmarkStart w:id="116" w:name="_Toc184312122"/>
      <w:bookmarkEnd w:id="116"/>
      <w:bookmarkStart w:id="117" w:name="_Toc184314456"/>
      <w:bookmarkEnd w:id="117"/>
      <w:bookmarkStart w:id="118" w:name="_Toc184308069"/>
      <w:bookmarkEnd w:id="118"/>
      <w:bookmarkStart w:id="119" w:name="_Toc184308107"/>
      <w:bookmarkEnd w:id="119"/>
      <w:bookmarkStart w:id="120" w:name="_Toc184310315"/>
      <w:bookmarkEnd w:id="120"/>
      <w:bookmarkStart w:id="121" w:name="_Toc184313303"/>
      <w:bookmarkEnd w:id="121"/>
      <w:bookmarkStart w:id="122" w:name="_Toc184314423"/>
      <w:bookmarkEnd w:id="122"/>
      <w:bookmarkStart w:id="123" w:name="_Toc184312098"/>
      <w:bookmarkEnd w:id="123"/>
      <w:bookmarkStart w:id="124" w:name="_Toc184312128"/>
      <w:bookmarkEnd w:id="124"/>
      <w:bookmarkStart w:id="125" w:name="_Toc184314422"/>
      <w:bookmarkEnd w:id="125"/>
      <w:bookmarkStart w:id="126" w:name="_Toc184308065"/>
      <w:bookmarkEnd w:id="126"/>
      <w:bookmarkStart w:id="127" w:name="_Toc184314461"/>
      <w:bookmarkEnd w:id="127"/>
      <w:bookmarkStart w:id="128" w:name="_Toc184310293"/>
      <w:bookmarkEnd w:id="128"/>
      <w:bookmarkStart w:id="129" w:name="_Toc184308091"/>
      <w:bookmarkEnd w:id="129"/>
      <w:bookmarkStart w:id="130" w:name="_Toc184308097"/>
      <w:bookmarkEnd w:id="130"/>
      <w:bookmarkStart w:id="131" w:name="_Toc184312129"/>
      <w:bookmarkEnd w:id="131"/>
      <w:bookmarkStart w:id="132" w:name="_Toc184310294"/>
      <w:bookmarkEnd w:id="132"/>
      <w:bookmarkStart w:id="133" w:name="_Toc184314451"/>
      <w:bookmarkEnd w:id="133"/>
      <w:bookmarkStart w:id="134" w:name="_Toc184313280"/>
      <w:bookmarkEnd w:id="134"/>
      <w:bookmarkStart w:id="135" w:name="_Toc184313281"/>
      <w:bookmarkEnd w:id="135"/>
      <w:bookmarkStart w:id="136" w:name="_Toc184310319"/>
      <w:bookmarkEnd w:id="136"/>
      <w:bookmarkStart w:id="137" w:name="_Toc184310279"/>
      <w:bookmarkEnd w:id="137"/>
      <w:bookmarkStart w:id="138" w:name="_Toc184313278"/>
      <w:bookmarkEnd w:id="138"/>
      <w:bookmarkStart w:id="139" w:name="_Toc184314430"/>
      <w:bookmarkEnd w:id="139"/>
      <w:bookmarkStart w:id="140" w:name="_Toc184312136"/>
      <w:bookmarkEnd w:id="140"/>
      <w:bookmarkStart w:id="141" w:name="_Toc184310321"/>
      <w:bookmarkEnd w:id="141"/>
      <w:bookmarkStart w:id="142" w:name="_Toc184310298"/>
      <w:bookmarkEnd w:id="142"/>
      <w:bookmarkStart w:id="143" w:name="_Toc184312137"/>
      <w:bookmarkEnd w:id="143"/>
      <w:bookmarkStart w:id="144" w:name="_Toc184310273"/>
      <w:bookmarkEnd w:id="144"/>
      <w:bookmarkStart w:id="145" w:name="_Toc184314429"/>
      <w:bookmarkEnd w:id="145"/>
      <w:bookmarkStart w:id="146" w:name="_Toc184312105"/>
      <w:bookmarkEnd w:id="146"/>
      <w:bookmarkStart w:id="147" w:name="_Toc184308076"/>
      <w:bookmarkEnd w:id="147"/>
      <w:bookmarkStart w:id="148" w:name="_Toc184313248"/>
      <w:bookmarkEnd w:id="148"/>
      <w:bookmarkStart w:id="149" w:name="_Toc184312093"/>
      <w:bookmarkEnd w:id="149"/>
      <w:bookmarkStart w:id="150" w:name="_Toc184314457"/>
      <w:bookmarkEnd w:id="150"/>
      <w:bookmarkStart w:id="151" w:name="_Toc184310303"/>
      <w:bookmarkEnd w:id="151"/>
      <w:bookmarkStart w:id="152" w:name="_Toc184310325"/>
      <w:bookmarkEnd w:id="152"/>
      <w:bookmarkStart w:id="153" w:name="_Toc184313246"/>
      <w:bookmarkEnd w:id="153"/>
      <w:bookmarkStart w:id="154" w:name="_Toc184314413"/>
      <w:bookmarkEnd w:id="154"/>
      <w:bookmarkStart w:id="155" w:name="_Toc184310307"/>
      <w:bookmarkEnd w:id="155"/>
      <w:bookmarkStart w:id="156" w:name="_Toc184310330"/>
      <w:bookmarkEnd w:id="156"/>
      <w:bookmarkStart w:id="157" w:name="_Toc184310275"/>
      <w:bookmarkEnd w:id="157"/>
      <w:bookmarkStart w:id="158" w:name="_Toc184308063"/>
      <w:bookmarkEnd w:id="158"/>
      <w:bookmarkStart w:id="159" w:name="_Toc184313243"/>
      <w:bookmarkEnd w:id="159"/>
      <w:bookmarkStart w:id="160" w:name="_Toc184314441"/>
      <w:bookmarkEnd w:id="160"/>
      <w:bookmarkStart w:id="161" w:name="_Toc184310277"/>
      <w:bookmarkEnd w:id="161"/>
      <w:bookmarkStart w:id="162" w:name="_Toc184308098"/>
      <w:bookmarkEnd w:id="162"/>
      <w:bookmarkStart w:id="163" w:name="_Toc184312115"/>
      <w:bookmarkEnd w:id="163"/>
      <w:bookmarkStart w:id="164" w:name="_Toc184310341"/>
      <w:bookmarkEnd w:id="164"/>
      <w:bookmarkStart w:id="165" w:name="_Toc184308101"/>
      <w:bookmarkEnd w:id="165"/>
      <w:bookmarkStart w:id="166" w:name="_Toc184313240"/>
      <w:bookmarkEnd w:id="166"/>
      <w:bookmarkStart w:id="167" w:name="_Toc184310313"/>
      <w:bookmarkEnd w:id="167"/>
      <w:bookmarkStart w:id="168" w:name="_Toc184313266"/>
      <w:bookmarkEnd w:id="168"/>
      <w:bookmarkStart w:id="169" w:name="_Toc184312134"/>
      <w:bookmarkEnd w:id="169"/>
      <w:bookmarkStart w:id="170" w:name="_Toc184312132"/>
      <w:bookmarkEnd w:id="170"/>
      <w:bookmarkStart w:id="171" w:name="_Toc184310311"/>
      <w:bookmarkEnd w:id="171"/>
      <w:bookmarkStart w:id="172" w:name="_Toc184310339"/>
      <w:bookmarkEnd w:id="172"/>
      <w:bookmarkStart w:id="173" w:name="_Toc184314418"/>
      <w:bookmarkEnd w:id="173"/>
      <w:bookmarkStart w:id="174" w:name="_Toc184308045"/>
      <w:bookmarkEnd w:id="174"/>
      <w:bookmarkStart w:id="175" w:name="_Toc184313242"/>
      <w:bookmarkEnd w:id="175"/>
      <w:bookmarkStart w:id="176" w:name="_Toc184310312"/>
      <w:bookmarkEnd w:id="176"/>
      <w:bookmarkStart w:id="177" w:name="_Toc184313260"/>
      <w:bookmarkEnd w:id="177"/>
      <w:bookmarkStart w:id="178" w:name="_Toc184310280"/>
      <w:bookmarkEnd w:id="178"/>
      <w:bookmarkStart w:id="179" w:name="_Toc184308064"/>
      <w:bookmarkEnd w:id="179"/>
      <w:bookmarkStart w:id="180" w:name="_Toc184313291"/>
      <w:bookmarkEnd w:id="180"/>
      <w:bookmarkStart w:id="181" w:name="_Toc184314476"/>
      <w:bookmarkEnd w:id="181"/>
      <w:bookmarkStart w:id="182" w:name="_Toc184312127"/>
      <w:bookmarkEnd w:id="182"/>
      <w:bookmarkStart w:id="183" w:name="_Toc184314432"/>
      <w:bookmarkEnd w:id="183"/>
      <w:bookmarkStart w:id="184" w:name="_Toc184310297"/>
      <w:bookmarkEnd w:id="184"/>
      <w:bookmarkStart w:id="185" w:name="_Toc184313239"/>
      <w:bookmarkEnd w:id="185"/>
      <w:bookmarkStart w:id="186" w:name="_Toc184313283"/>
      <w:bookmarkEnd w:id="186"/>
      <w:bookmarkStart w:id="187" w:name="_Toc184314436"/>
      <w:bookmarkEnd w:id="187"/>
      <w:bookmarkStart w:id="188" w:name="_Toc184308084"/>
      <w:bookmarkEnd w:id="188"/>
      <w:bookmarkStart w:id="189" w:name="_Toc184314453"/>
      <w:bookmarkEnd w:id="189"/>
      <w:bookmarkStart w:id="190" w:name="_Toc184313294"/>
      <w:bookmarkEnd w:id="190"/>
      <w:bookmarkStart w:id="191" w:name="_Toc184310343"/>
      <w:bookmarkEnd w:id="191"/>
      <w:bookmarkStart w:id="192" w:name="_Toc184313276"/>
      <w:bookmarkEnd w:id="192"/>
      <w:bookmarkStart w:id="193" w:name="_Toc184313251"/>
      <w:bookmarkEnd w:id="193"/>
      <w:bookmarkStart w:id="194" w:name="_Toc184310274"/>
      <w:bookmarkEnd w:id="194"/>
      <w:bookmarkStart w:id="195" w:name="_Toc184313252"/>
      <w:bookmarkEnd w:id="195"/>
      <w:bookmarkStart w:id="196" w:name="_Toc184308041"/>
      <w:bookmarkEnd w:id="196"/>
      <w:bookmarkStart w:id="197" w:name="_Toc184313238"/>
      <w:bookmarkEnd w:id="197"/>
      <w:bookmarkStart w:id="198" w:name="_Toc184310324"/>
      <w:bookmarkEnd w:id="198"/>
      <w:bookmarkStart w:id="199" w:name="_Toc184314473"/>
      <w:bookmarkEnd w:id="199"/>
      <w:bookmarkStart w:id="200" w:name="_Toc184308057"/>
      <w:bookmarkEnd w:id="200"/>
      <w:bookmarkStart w:id="201" w:name="_Toc184314447"/>
      <w:bookmarkEnd w:id="201"/>
      <w:bookmarkStart w:id="202" w:name="_Toc184312110"/>
      <w:bookmarkEnd w:id="202"/>
      <w:bookmarkStart w:id="203" w:name="_Toc184312139"/>
      <w:bookmarkEnd w:id="203"/>
      <w:bookmarkStart w:id="204" w:name="_Toc184313289"/>
      <w:bookmarkEnd w:id="204"/>
      <w:bookmarkStart w:id="205" w:name="_Toc184313253"/>
      <w:bookmarkEnd w:id="205"/>
      <w:bookmarkStart w:id="206" w:name="_Toc184313272"/>
      <w:bookmarkEnd w:id="206"/>
      <w:bookmarkStart w:id="207" w:name="_Toc184314466"/>
      <w:bookmarkEnd w:id="207"/>
      <w:bookmarkStart w:id="208" w:name="_Toc184313301"/>
      <w:bookmarkEnd w:id="208"/>
      <w:bookmarkStart w:id="209" w:name="_Toc184312070"/>
      <w:bookmarkEnd w:id="209"/>
      <w:bookmarkStart w:id="210" w:name="_Toc184312083"/>
      <w:bookmarkEnd w:id="210"/>
      <w:bookmarkStart w:id="211" w:name="_Toc184313310"/>
      <w:bookmarkEnd w:id="211"/>
      <w:bookmarkStart w:id="212" w:name="_Toc184308044"/>
      <w:bookmarkEnd w:id="212"/>
      <w:bookmarkStart w:id="213" w:name="_Toc184314459"/>
      <w:bookmarkEnd w:id="213"/>
      <w:bookmarkStart w:id="214" w:name="_Toc184312091"/>
      <w:bookmarkEnd w:id="214"/>
      <w:bookmarkStart w:id="215" w:name="_Toc184310282"/>
      <w:bookmarkEnd w:id="215"/>
      <w:bookmarkStart w:id="216" w:name="_Toc184313299"/>
      <w:bookmarkEnd w:id="216"/>
      <w:bookmarkStart w:id="217" w:name="_Toc184312087"/>
      <w:bookmarkEnd w:id="217"/>
      <w:bookmarkStart w:id="218" w:name="_Toc184314435"/>
      <w:bookmarkEnd w:id="218"/>
      <w:bookmarkStart w:id="219" w:name="_Toc184313254"/>
      <w:bookmarkEnd w:id="219"/>
      <w:bookmarkStart w:id="220" w:name="_Toc184312118"/>
      <w:bookmarkEnd w:id="220"/>
      <w:bookmarkStart w:id="221" w:name="_Toc184313290"/>
      <w:bookmarkEnd w:id="221"/>
      <w:bookmarkStart w:id="222" w:name="_Toc184313277"/>
      <w:bookmarkEnd w:id="222"/>
      <w:bookmarkStart w:id="223" w:name="_Toc184312111"/>
      <w:bookmarkEnd w:id="223"/>
      <w:bookmarkStart w:id="224" w:name="_Toc184313258"/>
      <w:bookmarkEnd w:id="224"/>
      <w:bookmarkStart w:id="225" w:name="_Toc184312131"/>
      <w:bookmarkEnd w:id="225"/>
      <w:bookmarkStart w:id="226" w:name="_Toc184313302"/>
      <w:bookmarkEnd w:id="226"/>
      <w:bookmarkStart w:id="227" w:name="_Toc184313245"/>
      <w:bookmarkEnd w:id="227"/>
      <w:bookmarkStart w:id="228" w:name="_Toc184313284"/>
      <w:bookmarkEnd w:id="228"/>
      <w:bookmarkStart w:id="229" w:name="_Toc184308088"/>
      <w:bookmarkEnd w:id="229"/>
      <w:bookmarkStart w:id="230" w:name="_Toc184313305"/>
      <w:bookmarkEnd w:id="230"/>
      <w:bookmarkStart w:id="231" w:name="_Toc184314443"/>
      <w:bookmarkEnd w:id="231"/>
      <w:bookmarkStart w:id="232" w:name="_Toc184312067"/>
      <w:bookmarkEnd w:id="232"/>
      <w:bookmarkStart w:id="233" w:name="_Toc184308083"/>
      <w:bookmarkEnd w:id="233"/>
      <w:bookmarkStart w:id="234" w:name="_Toc184308073"/>
      <w:bookmarkEnd w:id="234"/>
      <w:bookmarkStart w:id="235" w:name="_Toc184312119"/>
      <w:bookmarkEnd w:id="235"/>
      <w:bookmarkStart w:id="236" w:name="_Toc184308042"/>
      <w:bookmarkEnd w:id="236"/>
      <w:bookmarkStart w:id="237" w:name="_Toc184310283"/>
      <w:bookmarkEnd w:id="237"/>
      <w:bookmarkStart w:id="238" w:name="_Toc184314439"/>
      <w:bookmarkEnd w:id="238"/>
      <w:bookmarkStart w:id="239" w:name="_Toc184312072"/>
      <w:bookmarkEnd w:id="239"/>
      <w:bookmarkStart w:id="240" w:name="_Toc184313262"/>
      <w:bookmarkEnd w:id="240"/>
      <w:bookmarkStart w:id="241" w:name="_Toc184314426"/>
      <w:bookmarkEnd w:id="241"/>
      <w:bookmarkStart w:id="242" w:name="_Toc184314449"/>
      <w:bookmarkEnd w:id="242"/>
      <w:bookmarkStart w:id="243" w:name="_Toc184310332"/>
      <w:bookmarkEnd w:id="243"/>
      <w:bookmarkStart w:id="244" w:name="_Toc184314411"/>
      <w:bookmarkEnd w:id="244"/>
      <w:bookmarkStart w:id="245" w:name="_Toc184312117"/>
      <w:bookmarkEnd w:id="245"/>
      <w:bookmarkStart w:id="246" w:name="_Toc184310284"/>
      <w:bookmarkEnd w:id="246"/>
      <w:bookmarkStart w:id="247" w:name="_Toc184313279"/>
      <w:bookmarkEnd w:id="247"/>
      <w:bookmarkStart w:id="248" w:name="_Toc184313271"/>
      <w:bookmarkEnd w:id="248"/>
      <w:bookmarkStart w:id="249" w:name="_Toc184314433"/>
      <w:bookmarkEnd w:id="249"/>
      <w:bookmarkStart w:id="250" w:name="_Toc184308046"/>
      <w:bookmarkEnd w:id="250"/>
      <w:bookmarkStart w:id="251" w:name="_Toc184314448"/>
      <w:bookmarkEnd w:id="251"/>
      <w:bookmarkStart w:id="252" w:name="_Toc184314450"/>
      <w:bookmarkEnd w:id="252"/>
      <w:bookmarkStart w:id="253" w:name="_Toc184312130"/>
      <w:bookmarkEnd w:id="253"/>
      <w:bookmarkStart w:id="254" w:name="_Toc184308053"/>
      <w:bookmarkEnd w:id="254"/>
      <w:bookmarkStart w:id="255" w:name="_Toc184313244"/>
      <w:bookmarkEnd w:id="255"/>
      <w:bookmarkStart w:id="256" w:name="_Toc184313282"/>
      <w:bookmarkEnd w:id="256"/>
      <w:bookmarkStart w:id="257" w:name="_Toc184308058"/>
      <w:bookmarkEnd w:id="257"/>
      <w:bookmarkStart w:id="258" w:name="_Toc184312094"/>
      <w:bookmarkEnd w:id="258"/>
      <w:bookmarkStart w:id="259" w:name="_Toc184308099"/>
      <w:bookmarkEnd w:id="259"/>
      <w:bookmarkStart w:id="260" w:name="_Toc184313259"/>
      <w:bookmarkEnd w:id="260"/>
      <w:bookmarkStart w:id="261" w:name="_Toc184308067"/>
      <w:bookmarkEnd w:id="261"/>
      <w:bookmarkStart w:id="262" w:name="_Toc184312080"/>
      <w:bookmarkEnd w:id="262"/>
      <w:bookmarkStart w:id="263" w:name="_Toc184313274"/>
      <w:bookmarkEnd w:id="263"/>
      <w:bookmarkStart w:id="264" w:name="_Toc184312097"/>
      <w:bookmarkEnd w:id="264"/>
      <w:bookmarkStart w:id="265" w:name="_Toc184310327"/>
      <w:bookmarkEnd w:id="265"/>
      <w:bookmarkStart w:id="266" w:name="_Toc184314424"/>
      <w:bookmarkEnd w:id="266"/>
      <w:bookmarkStart w:id="267" w:name="_Toc184313264"/>
      <w:bookmarkEnd w:id="267"/>
      <w:bookmarkStart w:id="268" w:name="_Toc184313268"/>
      <w:bookmarkEnd w:id="268"/>
      <w:bookmarkStart w:id="269" w:name="_Toc184314481"/>
      <w:bookmarkEnd w:id="269"/>
      <w:bookmarkStart w:id="270" w:name="_Toc184313293"/>
      <w:bookmarkEnd w:id="270"/>
      <w:bookmarkStart w:id="271" w:name="_Toc184312116"/>
      <w:bookmarkEnd w:id="271"/>
      <w:bookmarkStart w:id="272" w:name="_Toc184314463"/>
      <w:bookmarkEnd w:id="272"/>
      <w:bookmarkStart w:id="273" w:name="_Toc184308070"/>
      <w:bookmarkEnd w:id="273"/>
      <w:bookmarkStart w:id="274" w:name="_Toc184308072"/>
      <w:bookmarkEnd w:id="274"/>
      <w:bookmarkStart w:id="275" w:name="_Toc184312133"/>
      <w:bookmarkEnd w:id="275"/>
      <w:bookmarkStart w:id="276" w:name="_Toc184312073"/>
      <w:bookmarkEnd w:id="276"/>
      <w:bookmarkStart w:id="277" w:name="_Toc184312106"/>
      <w:bookmarkEnd w:id="277"/>
      <w:bookmarkStart w:id="278" w:name="_Toc184313269"/>
      <w:bookmarkEnd w:id="278"/>
      <w:bookmarkStart w:id="279" w:name="_Toc184313295"/>
      <w:bookmarkEnd w:id="279"/>
      <w:bookmarkStart w:id="280" w:name="_Toc184312099"/>
      <w:bookmarkEnd w:id="280"/>
      <w:bookmarkStart w:id="281" w:name="_Toc184312076"/>
      <w:bookmarkEnd w:id="281"/>
      <w:bookmarkStart w:id="282" w:name="_Toc184312113"/>
      <w:bookmarkEnd w:id="282"/>
      <w:bookmarkStart w:id="283" w:name="_Toc184314465"/>
      <w:bookmarkEnd w:id="283"/>
      <w:bookmarkStart w:id="284" w:name="_Toc184308036"/>
      <w:bookmarkEnd w:id="284"/>
      <w:bookmarkStart w:id="285" w:name="_Toc184312102"/>
      <w:bookmarkEnd w:id="285"/>
      <w:bookmarkStart w:id="286" w:name="_Toc184313292"/>
      <w:bookmarkEnd w:id="286"/>
      <w:bookmarkStart w:id="287" w:name="_Toc184310288"/>
      <w:bookmarkEnd w:id="287"/>
      <w:bookmarkStart w:id="288" w:name="_Toc184314462"/>
      <w:bookmarkEnd w:id="288"/>
      <w:bookmarkStart w:id="289" w:name="_Toc184308051"/>
      <w:bookmarkEnd w:id="289"/>
      <w:bookmarkStart w:id="290" w:name="_Toc184313250"/>
      <w:bookmarkEnd w:id="290"/>
      <w:bookmarkStart w:id="291" w:name="_Toc184310302"/>
      <w:bookmarkEnd w:id="291"/>
      <w:bookmarkStart w:id="292" w:name="_Toc184314410"/>
      <w:bookmarkEnd w:id="292"/>
      <w:bookmarkStart w:id="293" w:name="_Toc184308108"/>
      <w:bookmarkEnd w:id="293"/>
      <w:bookmarkStart w:id="294" w:name="_Toc184314469"/>
      <w:bookmarkEnd w:id="294"/>
      <w:bookmarkStart w:id="295" w:name="_Toc184308080"/>
      <w:bookmarkEnd w:id="295"/>
      <w:bookmarkStart w:id="296" w:name="_Toc184310296"/>
      <w:bookmarkEnd w:id="296"/>
      <w:bookmarkStart w:id="297" w:name="_Toc184308102"/>
      <w:bookmarkEnd w:id="297"/>
      <w:bookmarkStart w:id="298" w:name="_Toc184314472"/>
      <w:bookmarkEnd w:id="298"/>
      <w:bookmarkStart w:id="299" w:name="_Toc184312108"/>
      <w:bookmarkEnd w:id="299"/>
      <w:bookmarkStart w:id="300" w:name="_Toc184308055"/>
      <w:bookmarkEnd w:id="300"/>
      <w:bookmarkStart w:id="301" w:name="_Toc184308048"/>
      <w:bookmarkEnd w:id="301"/>
      <w:bookmarkStart w:id="302" w:name="_Toc184312092"/>
      <w:bookmarkEnd w:id="302"/>
      <w:bookmarkStart w:id="303" w:name="_Toc184312095"/>
      <w:bookmarkEnd w:id="303"/>
      <w:bookmarkStart w:id="304" w:name="_Toc184308081"/>
      <w:bookmarkEnd w:id="304"/>
      <w:bookmarkStart w:id="305" w:name="_Toc184314431"/>
      <w:bookmarkEnd w:id="305"/>
      <w:bookmarkStart w:id="306" w:name="_Toc184310335"/>
      <w:bookmarkEnd w:id="306"/>
      <w:bookmarkStart w:id="307" w:name="_Toc184314414"/>
      <w:bookmarkEnd w:id="307"/>
      <w:bookmarkStart w:id="308" w:name="_Toc184314482"/>
      <w:bookmarkEnd w:id="308"/>
      <w:bookmarkStart w:id="309" w:name="_Toc184308087"/>
      <w:bookmarkEnd w:id="309"/>
      <w:bookmarkStart w:id="310" w:name="_Toc184308056"/>
      <w:bookmarkEnd w:id="310"/>
      <w:bookmarkStart w:id="311" w:name="_Toc184314446"/>
      <w:bookmarkEnd w:id="311"/>
      <w:bookmarkStart w:id="312" w:name="_Toc184313241"/>
      <w:bookmarkEnd w:id="312"/>
      <w:bookmarkStart w:id="313" w:name="_Toc184308092"/>
      <w:bookmarkEnd w:id="313"/>
      <w:bookmarkStart w:id="314" w:name="_Toc184308068"/>
      <w:bookmarkEnd w:id="314"/>
      <w:bookmarkStart w:id="315" w:name="_Toc184312107"/>
      <w:bookmarkEnd w:id="315"/>
      <w:bookmarkStart w:id="316" w:name="_Toc184308103"/>
      <w:bookmarkEnd w:id="316"/>
      <w:bookmarkStart w:id="317" w:name="_Toc184314452"/>
      <w:bookmarkEnd w:id="317"/>
      <w:bookmarkStart w:id="318" w:name="_Toc184310281"/>
      <w:bookmarkEnd w:id="318"/>
      <w:bookmarkStart w:id="319" w:name="_Toc184308104"/>
      <w:bookmarkEnd w:id="319"/>
      <w:bookmarkStart w:id="320" w:name="_Toc184312068"/>
      <w:bookmarkEnd w:id="320"/>
      <w:bookmarkStart w:id="321" w:name="_Toc184314471"/>
      <w:bookmarkEnd w:id="321"/>
      <w:bookmarkStart w:id="322" w:name="_Toc184308037"/>
      <w:bookmarkEnd w:id="322"/>
      <w:bookmarkStart w:id="323" w:name="_Toc184308066"/>
      <w:bookmarkEnd w:id="323"/>
      <w:bookmarkStart w:id="324" w:name="_Toc184310337"/>
      <w:bookmarkEnd w:id="324"/>
      <w:bookmarkStart w:id="325" w:name="_Toc184314428"/>
      <w:bookmarkEnd w:id="325"/>
      <w:bookmarkStart w:id="326" w:name="_Toc184313257"/>
      <w:bookmarkEnd w:id="326"/>
      <w:bookmarkStart w:id="327" w:name="_Toc184308079"/>
      <w:bookmarkEnd w:id="327"/>
      <w:bookmarkStart w:id="328" w:name="_Toc184312071"/>
      <w:bookmarkEnd w:id="328"/>
      <w:bookmarkStart w:id="329" w:name="_Toc184312075"/>
      <w:bookmarkEnd w:id="329"/>
      <w:bookmarkStart w:id="330" w:name="_Toc184313288"/>
      <w:bookmarkEnd w:id="330"/>
      <w:bookmarkStart w:id="331" w:name="_Toc184310317"/>
      <w:bookmarkEnd w:id="331"/>
      <w:bookmarkStart w:id="332" w:name="_Toc184312121"/>
      <w:bookmarkEnd w:id="332"/>
      <w:bookmarkStart w:id="333" w:name="_Toc184310285"/>
      <w:bookmarkEnd w:id="333"/>
      <w:bookmarkStart w:id="334" w:name="_Toc184308039"/>
      <w:bookmarkEnd w:id="334"/>
      <w:bookmarkStart w:id="335" w:name="_Toc184312084"/>
      <w:bookmarkEnd w:id="335"/>
      <w:bookmarkStart w:id="336" w:name="_Toc184313267"/>
      <w:bookmarkEnd w:id="336"/>
      <w:bookmarkStart w:id="337" w:name="_Toc184308096"/>
      <w:bookmarkEnd w:id="337"/>
      <w:bookmarkStart w:id="338" w:name="_Toc184310276"/>
      <w:bookmarkEnd w:id="338"/>
      <w:bookmarkStart w:id="339" w:name="_Toc184308043"/>
      <w:bookmarkEnd w:id="339"/>
      <w:bookmarkStart w:id="340" w:name="_Toc184312104"/>
      <w:bookmarkEnd w:id="340"/>
      <w:bookmarkStart w:id="341" w:name="_Toc184314475"/>
      <w:bookmarkEnd w:id="341"/>
      <w:bookmarkStart w:id="342" w:name="_Toc184310342"/>
      <w:bookmarkEnd w:id="342"/>
      <w:bookmarkStart w:id="343" w:name="_Toc184310286"/>
      <w:bookmarkEnd w:id="343"/>
      <w:bookmarkStart w:id="344" w:name="_Toc184312120"/>
      <w:bookmarkEnd w:id="344"/>
      <w:bookmarkStart w:id="345" w:name="_Toc184310308"/>
      <w:bookmarkEnd w:id="345"/>
      <w:bookmarkStart w:id="346" w:name="_Toc184314444"/>
      <w:bookmarkEnd w:id="346"/>
      <w:bookmarkStart w:id="347" w:name="_Toc184308054"/>
      <w:bookmarkEnd w:id="347"/>
      <w:bookmarkStart w:id="348" w:name="_Toc184314477"/>
      <w:bookmarkEnd w:id="348"/>
      <w:bookmarkStart w:id="349" w:name="_Toc184312096"/>
      <w:bookmarkEnd w:id="349"/>
      <w:bookmarkStart w:id="350" w:name="_Toc184310292"/>
      <w:bookmarkEnd w:id="350"/>
      <w:bookmarkStart w:id="351" w:name="_Toc184313304"/>
      <w:bookmarkEnd w:id="351"/>
      <w:bookmarkStart w:id="352" w:name="_Toc184314460"/>
      <w:bookmarkEnd w:id="352"/>
      <w:bookmarkStart w:id="353" w:name="_Toc184313256"/>
      <w:bookmarkEnd w:id="353"/>
      <w:bookmarkStart w:id="354" w:name="_Toc184310323"/>
      <w:bookmarkEnd w:id="354"/>
      <w:bookmarkStart w:id="355" w:name="_Toc184310316"/>
      <w:bookmarkEnd w:id="355"/>
      <w:bookmarkStart w:id="356" w:name="_Toc184312138"/>
      <w:bookmarkEnd w:id="356"/>
      <w:bookmarkStart w:id="357" w:name="_Toc184310278"/>
      <w:bookmarkEnd w:id="357"/>
      <w:bookmarkStart w:id="358" w:name="_Toc184314417"/>
      <w:bookmarkEnd w:id="358"/>
      <w:bookmarkStart w:id="359" w:name="_Toc184312069"/>
      <w:bookmarkEnd w:id="359"/>
      <w:bookmarkStart w:id="360" w:name="_Toc184312079"/>
      <w:bookmarkEnd w:id="360"/>
      <w:bookmarkStart w:id="361" w:name="_Toc184313273"/>
      <w:bookmarkEnd w:id="361"/>
      <w:bookmarkStart w:id="362" w:name="_Toc184312082"/>
      <w:bookmarkEnd w:id="362"/>
      <w:bookmarkStart w:id="363" w:name="_Toc184308038"/>
      <w:bookmarkEnd w:id="363"/>
      <w:bookmarkStart w:id="364" w:name="_Toc184310299"/>
      <w:bookmarkEnd w:id="364"/>
      <w:bookmarkStart w:id="365" w:name="_Toc184310291"/>
      <w:bookmarkEnd w:id="365"/>
      <w:bookmarkStart w:id="366" w:name="_Toc184310331"/>
      <w:bookmarkEnd w:id="366"/>
      <w:bookmarkStart w:id="367" w:name="_Toc184310326"/>
      <w:bookmarkEnd w:id="367"/>
      <w:bookmarkStart w:id="368" w:name="_Toc184314468"/>
      <w:bookmarkEnd w:id="368"/>
      <w:bookmarkStart w:id="369" w:name="_Toc184312135"/>
      <w:bookmarkEnd w:id="369"/>
      <w:bookmarkStart w:id="370" w:name="_Toc184310301"/>
      <w:bookmarkEnd w:id="370"/>
      <w:bookmarkStart w:id="371" w:name="_Toc184312088"/>
      <w:bookmarkEnd w:id="371"/>
      <w:bookmarkStart w:id="372" w:name="_Toc184312077"/>
      <w:bookmarkEnd w:id="372"/>
      <w:bookmarkStart w:id="373" w:name="_Toc184313300"/>
      <w:bookmarkEnd w:id="373"/>
      <w:bookmarkStart w:id="374" w:name="_Toc184313306"/>
      <w:bookmarkEnd w:id="374"/>
      <w:bookmarkStart w:id="375" w:name="_Toc184314445"/>
      <w:bookmarkEnd w:id="375"/>
      <w:bookmarkStart w:id="376" w:name="_Toc184312100"/>
      <w:bookmarkEnd w:id="376"/>
      <w:bookmarkStart w:id="377" w:name="_Toc184312085"/>
      <w:bookmarkEnd w:id="377"/>
      <w:bookmarkStart w:id="378" w:name="_Toc184308089"/>
      <w:bookmarkEnd w:id="378"/>
      <w:bookmarkStart w:id="379" w:name="_Toc184313308"/>
      <w:bookmarkEnd w:id="379"/>
      <w:bookmarkStart w:id="380" w:name="_Toc184314440"/>
      <w:bookmarkEnd w:id="380"/>
      <w:bookmarkStart w:id="381" w:name="_Toc184313265"/>
      <w:bookmarkEnd w:id="381"/>
      <w:bookmarkStart w:id="382" w:name="_Toc184314421"/>
      <w:bookmarkEnd w:id="382"/>
      <w:bookmarkStart w:id="383" w:name="_Toc184312114"/>
      <w:bookmarkEnd w:id="383"/>
      <w:bookmarkStart w:id="384" w:name="_Toc184312112"/>
      <w:bookmarkEnd w:id="384"/>
      <w:bookmarkStart w:id="385" w:name="_Toc184308061"/>
      <w:bookmarkEnd w:id="385"/>
      <w:bookmarkStart w:id="386" w:name="_Toc184314412"/>
      <w:bookmarkEnd w:id="386"/>
      <w:bookmarkStart w:id="387" w:name="_Toc184310289"/>
      <w:bookmarkEnd w:id="387"/>
      <w:bookmarkStart w:id="388" w:name="_Toc184314419"/>
      <w:bookmarkEnd w:id="388"/>
      <w:bookmarkStart w:id="389" w:name="_Toc184314434"/>
      <w:bookmarkEnd w:id="389"/>
      <w:bookmarkStart w:id="390" w:name="_Toc184313270"/>
      <w:bookmarkEnd w:id="390"/>
      <w:bookmarkStart w:id="391" w:name="_Toc184313287"/>
      <w:bookmarkEnd w:id="391"/>
      <w:bookmarkStart w:id="392" w:name="_Toc184308105"/>
      <w:bookmarkEnd w:id="392"/>
      <w:bookmarkStart w:id="393" w:name="_Toc184312123"/>
      <w:bookmarkEnd w:id="393"/>
      <w:bookmarkStart w:id="394" w:name="_Toc184314458"/>
      <w:bookmarkEnd w:id="394"/>
      <w:bookmarkStart w:id="395" w:name="_Toc184310290"/>
      <w:bookmarkEnd w:id="395"/>
      <w:r>
        <w:rPr>
          <w:rFonts w:hint="eastAsia" w:ascii="宋体" w:hAnsi="宋体" w:cs="宋体"/>
          <w:b/>
          <w:color w:val="000000" w:themeColor="text1"/>
          <w:sz w:val="36"/>
          <w:szCs w:val="36"/>
          <w:highlight w:val="none"/>
          <w14:textFill>
            <w14:solidFill>
              <w14:schemeClr w14:val="tx1"/>
            </w14:solidFill>
          </w14:textFill>
        </w:rPr>
        <w:t xml:space="preserve"> 评标办法</w:t>
      </w:r>
    </w:p>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p>
      <w:pPr>
        <w:rPr>
          <w:rFonts w:ascii="宋体" w:hAnsi="宋体" w:cs="宋体"/>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tbl>
      <w:tblPr>
        <w:tblStyle w:val="63"/>
        <w:tblW w:w="940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5"/>
        <w:gridCol w:w="4740"/>
        <w:gridCol w:w="8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20"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序号</w:t>
            </w:r>
          </w:p>
        </w:tc>
        <w:tc>
          <w:tcPr>
            <w:tcW w:w="1695"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评审内容</w:t>
            </w:r>
          </w:p>
        </w:tc>
        <w:tc>
          <w:tcPr>
            <w:tcW w:w="4740"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评标标准</w:t>
            </w:r>
          </w:p>
        </w:tc>
        <w:tc>
          <w:tcPr>
            <w:tcW w:w="810"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权重</w:t>
            </w:r>
          </w:p>
        </w:tc>
        <w:tc>
          <w:tcPr>
            <w:tcW w:w="1440"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tcPr>
          <w:p>
            <w:pPr>
              <w:pStyle w:val="2"/>
              <w:snapToGrid w:val="0"/>
              <w:spacing w:line="240" w:lineRule="auto"/>
              <w:rPr>
                <w:rFonts w:cs="宋体"/>
                <w:highlight w:val="none"/>
              </w:rPr>
            </w:pPr>
            <w:r>
              <w:rPr>
                <w:rFonts w:hint="eastAsia" w:cs="宋体"/>
                <w:highlight w:val="none"/>
              </w:rPr>
              <w:t>/</w:t>
            </w:r>
          </w:p>
        </w:tc>
        <w:tc>
          <w:tcPr>
            <w:tcW w:w="1695" w:type="dxa"/>
            <w:vMerge w:val="restart"/>
            <w:vAlign w:val="center"/>
          </w:tcPr>
          <w:p>
            <w:pPr>
              <w:pStyle w:val="2"/>
              <w:snapToGrid w:val="0"/>
              <w:spacing w:line="240" w:lineRule="auto"/>
              <w:ind w:firstLine="0" w:firstLineChars="0"/>
              <w:rPr>
                <w:rFonts w:cs="宋体"/>
                <w:highlight w:val="none"/>
              </w:rPr>
            </w:pPr>
            <w:r>
              <w:rPr>
                <w:rFonts w:hint="eastAsia" w:cs="宋体"/>
                <w:highlight w:val="none"/>
              </w:rPr>
              <w:t>系统建设内容及功能需求（</w:t>
            </w:r>
            <w:r>
              <w:rPr>
                <w:rFonts w:cs="宋体"/>
                <w:highlight w:val="none"/>
              </w:rPr>
              <w:t>62</w:t>
            </w:r>
            <w:r>
              <w:rPr>
                <w:rFonts w:hint="eastAsia" w:cs="宋体"/>
                <w:highlight w:val="none"/>
              </w:rPr>
              <w:t>分）</w:t>
            </w:r>
          </w:p>
        </w:tc>
        <w:tc>
          <w:tcPr>
            <w:tcW w:w="6990" w:type="dxa"/>
            <w:gridSpan w:val="3"/>
          </w:tcPr>
          <w:p>
            <w:pPr>
              <w:pStyle w:val="2"/>
              <w:snapToGrid w:val="0"/>
              <w:spacing w:line="240" w:lineRule="auto"/>
              <w:ind w:firstLine="0" w:firstLineChars="0"/>
              <w:rPr>
                <w:rFonts w:cs="宋体"/>
                <w:b/>
                <w:bCs/>
                <w:highlight w:val="none"/>
              </w:rPr>
            </w:pPr>
            <w:r>
              <w:rPr>
                <w:rFonts w:hint="eastAsia" w:cs="宋体"/>
                <w:b/>
                <w:bCs/>
                <w:highlight w:val="none"/>
              </w:rPr>
              <w:t>一、建设亲清在线·政策超市门户2</w:t>
            </w:r>
            <w:r>
              <w:rPr>
                <w:rFonts w:cs="宋体"/>
                <w:b/>
                <w:bCs/>
                <w:highlight w:val="none"/>
              </w:rPr>
              <w:t>.0</w:t>
            </w:r>
            <w:r>
              <w:rPr>
                <w:rFonts w:hint="eastAsia" w:cs="宋体"/>
                <w:b/>
                <w:bCs/>
                <w:highlight w:val="none"/>
              </w:rPr>
              <w:t>（</w:t>
            </w:r>
            <w:r>
              <w:rPr>
                <w:rFonts w:cs="宋体"/>
                <w:b/>
                <w:bCs/>
                <w:highlight w:val="none"/>
              </w:rPr>
              <w:t>20</w:t>
            </w:r>
            <w:r>
              <w:rPr>
                <w:rFonts w:hint="eastAsia" w:cs="宋体"/>
                <w:b/>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投标文件是否</w:t>
            </w:r>
            <w:r>
              <w:rPr>
                <w:rFonts w:hint="eastAsia" w:cs="宋体"/>
                <w:highlight w:val="none"/>
              </w:rPr>
              <w:t>满足采购人要求：</w:t>
            </w:r>
            <w:r>
              <w:rPr>
                <w:rFonts w:hint="eastAsia" w:cs="宋体"/>
                <w:color w:val="000000" w:themeColor="text1"/>
                <w:highlight w:val="none"/>
                <w14:textFill>
                  <w14:solidFill>
                    <w14:schemeClr w14:val="tx1"/>
                  </w14:solidFill>
                </w14:textFill>
              </w:rPr>
              <w:sym w:font="Wingdings 2" w:char="F06A"/>
            </w:r>
            <w:r>
              <w:rPr>
                <w:rFonts w:hint="eastAsia" w:cs="宋体"/>
                <w:highlight w:val="none"/>
              </w:rPr>
              <w:t>提供完整的政策超市门户2</w:t>
            </w:r>
            <w:r>
              <w:rPr>
                <w:rFonts w:cs="宋体"/>
                <w:highlight w:val="none"/>
              </w:rPr>
              <w:t>.0</w:t>
            </w:r>
            <w:r>
              <w:rPr>
                <w:rFonts w:hint="eastAsia" w:cs="宋体"/>
                <w:highlight w:val="none"/>
              </w:rPr>
              <w:t>整体设计方案；</w:t>
            </w:r>
            <w:r>
              <w:rPr>
                <w:rFonts w:hint="eastAsia" w:cs="宋体"/>
                <w:highlight w:val="none"/>
              </w:rPr>
              <w:sym w:font="Wingdings 2" w:char="F06B"/>
            </w:r>
            <w:r>
              <w:rPr>
                <w:rFonts w:hint="eastAsia" w:cs="宋体"/>
                <w:highlight w:val="none"/>
              </w:rPr>
              <w:t>提供政策智能问答、智能推荐、智能搜索、智能解读功能设计方案。</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2</w:t>
            </w:r>
            <w:r>
              <w:rPr>
                <w:rFonts w:hint="eastAsia" w:cs="宋体"/>
                <w:highlight w:val="none"/>
              </w:rPr>
              <w:t>分，不满足不得分，总计4分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提供完整的政策直达板块建设方</w:t>
            </w:r>
            <w:bookmarkStart w:id="408" w:name="_GoBack"/>
            <w:bookmarkEnd w:id="408"/>
            <w:r>
              <w:rPr>
                <w:rFonts w:hint="eastAsia" w:cs="宋体"/>
                <w:color w:val="000000" w:themeColor="text1"/>
                <w:highlight w:val="none"/>
                <w14:textFill>
                  <w14:solidFill>
                    <w14:schemeClr w14:val="tx1"/>
                  </w14:solidFill>
                </w14:textFill>
              </w:rPr>
              <w:t>案</w:t>
            </w:r>
            <w:r>
              <w:rPr>
                <w:rFonts w:hint="eastAsia" w:cs="宋体"/>
                <w:highlight w:val="none"/>
              </w:rPr>
              <w:t>；</w:t>
            </w:r>
            <w:r>
              <w:rPr>
                <w:rFonts w:hint="eastAsia" w:cs="宋体"/>
                <w:highlight w:val="none"/>
              </w:rPr>
              <w:sym w:font="Wingdings 2" w:char="F06B"/>
            </w:r>
            <w:r>
              <w:rPr>
                <w:rFonts w:hint="eastAsia" w:cs="宋体"/>
                <w:highlight w:val="none"/>
              </w:rPr>
              <w:t>提供多种政策标签筛选功能设计方案；</w:t>
            </w:r>
            <w:r>
              <w:rPr>
                <w:rFonts w:hint="eastAsia" w:cs="宋体"/>
                <w:highlight w:val="none"/>
              </w:rPr>
              <w:sym w:font="Wingdings 2" w:char="F06C"/>
            </w:r>
            <w:r>
              <w:rPr>
                <w:rFonts w:hint="eastAsia" w:cs="宋体"/>
                <w:highlight w:val="none"/>
              </w:rPr>
              <w:t>根据登录企业画像，提供多种政策差异化排序功能设计方案。</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2</w:t>
            </w:r>
            <w:r>
              <w:rPr>
                <w:rFonts w:hint="eastAsia" w:cs="宋体"/>
                <w:highlight w:val="none"/>
              </w:rPr>
              <w:t>分，不满足不得分，总计6分。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6</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提供完整的“8+</w:t>
            </w:r>
            <w:r>
              <w:rPr>
                <w:rFonts w:cs="宋体"/>
                <w:color w:val="000000" w:themeColor="text1"/>
                <w:highlight w:val="none"/>
                <w14:textFill>
                  <w14:solidFill>
                    <w14:schemeClr w14:val="tx1"/>
                  </w14:solidFill>
                </w14:textFill>
              </w:rPr>
              <w:t>4</w:t>
            </w:r>
            <w:r>
              <w:rPr>
                <w:rFonts w:hint="eastAsia" w:cs="宋体"/>
                <w:color w:val="000000" w:themeColor="text1"/>
                <w:highlight w:val="none"/>
                <w14:textFill>
                  <w14:solidFill>
                    <w14:schemeClr w14:val="tx1"/>
                  </w14:solidFill>
                </w14:textFill>
              </w:rPr>
              <w:t>政策”板块建设方案；</w:t>
            </w:r>
            <w:r>
              <w:rPr>
                <w:rFonts w:hint="eastAsia" w:cs="宋体"/>
                <w:highlight w:val="none"/>
              </w:rPr>
              <w:sym w:font="Wingdings 2" w:char="F06B"/>
            </w:r>
            <w:r>
              <w:rPr>
                <w:rFonts w:hint="eastAsia" w:cs="宋体"/>
                <w:highlight w:val="none"/>
              </w:rPr>
              <w:t>提供政府端政策工具配置升级方案，具备“8+</w:t>
            </w:r>
            <w:r>
              <w:rPr>
                <w:rFonts w:cs="宋体"/>
                <w:highlight w:val="none"/>
              </w:rPr>
              <w:t>4</w:t>
            </w:r>
            <w:r>
              <w:rPr>
                <w:rFonts w:hint="eastAsia" w:cs="宋体"/>
                <w:highlight w:val="none"/>
              </w:rPr>
              <w:t>政策”配置、关联功能。</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2</w:t>
            </w:r>
            <w:r>
              <w:rPr>
                <w:rFonts w:hint="eastAsia" w:cs="宋体"/>
                <w:highlight w:val="none"/>
              </w:rPr>
              <w:t>分，不满足不得分，总计</w:t>
            </w:r>
            <w:r>
              <w:rPr>
                <w:rFonts w:cs="宋体"/>
                <w:highlight w:val="none"/>
              </w:rPr>
              <w:t>4</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4</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投标文件中是否满足采购人要求，提供“我的企业”板块升级方案，需包含亲清报表统计功能。</w:t>
            </w:r>
          </w:p>
          <w:p>
            <w:pPr>
              <w:pStyle w:val="2"/>
              <w:snapToGrid w:val="0"/>
              <w:spacing w:line="240" w:lineRule="auto"/>
              <w:ind w:firstLine="0" w:firstLineChars="0"/>
              <w:rPr>
                <w:rFonts w:cs="宋体"/>
                <w:highlight w:val="none"/>
              </w:rPr>
            </w:pPr>
            <w:r>
              <w:rPr>
                <w:rFonts w:hint="eastAsia" w:cs="宋体"/>
                <w:highlight w:val="none"/>
              </w:rPr>
              <w:t>满足要求得</w:t>
            </w:r>
            <w:r>
              <w:rPr>
                <w:rFonts w:cs="宋体"/>
                <w:highlight w:val="none"/>
              </w:rPr>
              <w:t>2</w:t>
            </w:r>
            <w:r>
              <w:rPr>
                <w:rFonts w:hint="eastAsia" w:cs="宋体"/>
                <w:highlight w:val="none"/>
              </w:rPr>
              <w:t>分，不满足或无此内容不得分。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2</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5</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完成服务直达板块升级，并对相关功能进行整合；</w:t>
            </w:r>
            <w:r>
              <w:rPr>
                <w:rFonts w:hint="eastAsia" w:cs="宋体"/>
                <w:highlight w:val="none"/>
              </w:rPr>
              <w:sym w:font="Wingdings 2" w:char="F06B"/>
            </w:r>
            <w:r>
              <w:rPr>
                <w:rFonts w:hint="eastAsia" w:cs="宋体"/>
                <w:color w:val="000000" w:themeColor="text1"/>
                <w:highlight w:val="none"/>
                <w14:textFill>
                  <w14:solidFill>
                    <w14:schemeClr w14:val="tx1"/>
                  </w14:solidFill>
                </w14:textFill>
              </w:rPr>
              <w:t>完成交流直达板块升级。</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满足一项得</w:t>
            </w:r>
            <w:r>
              <w:rPr>
                <w:rFonts w:cs="宋体"/>
                <w:highlight w:val="none"/>
              </w:rPr>
              <w:t>2</w:t>
            </w:r>
            <w:r>
              <w:rPr>
                <w:rFonts w:hint="eastAsia" w:cs="宋体"/>
                <w:highlight w:val="none"/>
              </w:rPr>
              <w:t>分，不满足不得分，总计4分。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w:t>
            </w:r>
          </w:p>
        </w:tc>
        <w:tc>
          <w:tcPr>
            <w:tcW w:w="1695" w:type="dxa"/>
            <w:vMerge w:val="continue"/>
          </w:tcPr>
          <w:p>
            <w:pPr>
              <w:pStyle w:val="2"/>
              <w:snapToGrid w:val="0"/>
              <w:spacing w:line="240" w:lineRule="auto"/>
              <w:rPr>
                <w:rFonts w:cs="宋体"/>
                <w:highlight w:val="none"/>
              </w:rPr>
            </w:pPr>
          </w:p>
        </w:tc>
        <w:tc>
          <w:tcPr>
            <w:tcW w:w="6990" w:type="dxa"/>
            <w:gridSpan w:val="3"/>
          </w:tcPr>
          <w:p>
            <w:pPr>
              <w:pStyle w:val="2"/>
              <w:snapToGrid w:val="0"/>
              <w:spacing w:line="240" w:lineRule="auto"/>
              <w:ind w:firstLine="0" w:firstLineChars="0"/>
              <w:rPr>
                <w:rFonts w:cs="宋体"/>
                <w:highlight w:val="none"/>
              </w:rPr>
            </w:pPr>
            <w:r>
              <w:rPr>
                <w:rFonts w:hint="eastAsia" w:cs="宋体"/>
                <w:b/>
                <w:bCs/>
                <w:highlight w:val="none"/>
              </w:rPr>
              <w:t>二、打造政策智能引擎（</w:t>
            </w:r>
            <w:r>
              <w:rPr>
                <w:rFonts w:cs="宋体"/>
                <w:b/>
                <w:bCs/>
                <w:highlight w:val="none"/>
              </w:rPr>
              <w:t>30</w:t>
            </w:r>
            <w:r>
              <w:rPr>
                <w:rFonts w:hint="eastAsia" w:cs="宋体"/>
                <w:b/>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6</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highlight w:val="none"/>
              </w:rPr>
            </w:pPr>
            <w:r>
              <w:rPr>
                <w:rFonts w:hint="eastAsia" w:cs="宋体"/>
                <w:color w:val="000000" w:themeColor="text1"/>
                <w:highlight w:val="none"/>
                <w14:textFill>
                  <w14:solidFill>
                    <w14:schemeClr w14:val="tx1"/>
                  </w14:solidFill>
                </w14:textFill>
              </w:rPr>
              <w:t>投标文件中是否满足采购人要求，提供政策标签体系建设方案，包括</w:t>
            </w:r>
            <w:r>
              <w:rPr>
                <w:rFonts w:hint="eastAsia"/>
                <w:highlight w:val="none"/>
              </w:rPr>
              <w:t>政策标签分类、标签生成、指标管理、自动匹配等功能建设方案。</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满足要求得3分；方案内容存在缺项或部分不响应得1分；无此内容不得分。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7</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highlight w:val="none"/>
              </w:rPr>
            </w:pPr>
            <w:r>
              <w:rPr>
                <w:rFonts w:hint="eastAsia" w:cs="宋体"/>
                <w:color w:val="000000" w:themeColor="text1"/>
                <w:highlight w:val="none"/>
                <w14:textFill>
                  <w14:solidFill>
                    <w14:schemeClr w14:val="tx1"/>
                  </w14:solidFill>
                </w14:textFill>
              </w:rPr>
              <w:t>投标文件中是否满足采购人要求，提供企业标签体系建设方案，包括</w:t>
            </w:r>
            <w:r>
              <w:rPr>
                <w:rFonts w:hint="eastAsia"/>
                <w:highlight w:val="none"/>
              </w:rPr>
              <w:t>企业标签分类、标签生成、标签可视化管理等功能建设方案。</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满足要求得3分；方案内容存在缺项或部分不响应得1分；无此内容不得分。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20" w:type="dxa"/>
            <w:vAlign w:val="center"/>
          </w:tcPr>
          <w:p>
            <w:pPr>
              <w:pStyle w:val="2"/>
              <w:snapToGrid w:val="0"/>
              <w:spacing w:line="240" w:lineRule="auto"/>
              <w:ind w:firstLine="0" w:firstLineChars="0"/>
              <w:jc w:val="center"/>
              <w:rPr>
                <w:rFonts w:cs="宋体"/>
                <w:highlight w:val="none"/>
              </w:rPr>
            </w:pPr>
            <w:r>
              <w:rPr>
                <w:rFonts w:cs="宋体"/>
                <w:highlight w:val="none"/>
              </w:rPr>
              <w:t>8</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提供完整的政策智能问答场景建设技术方案；</w:t>
            </w:r>
            <w:r>
              <w:rPr>
                <w:rFonts w:hint="eastAsia" w:cs="宋体"/>
                <w:highlight w:val="none"/>
              </w:rPr>
              <w:sym w:font="Wingdings 2" w:char="F06B"/>
            </w:r>
            <w:r>
              <w:rPr>
                <w:rFonts w:hint="eastAsia" w:cs="宋体"/>
                <w:highlight w:val="none"/>
              </w:rPr>
              <w:t>要求智能问答场景具有政策推荐、解读功能；</w:t>
            </w:r>
            <w:r>
              <w:rPr>
                <w:rFonts w:hint="eastAsia" w:cs="宋体"/>
                <w:highlight w:val="none"/>
              </w:rPr>
              <w:sym w:font="Wingdings 2" w:char="F06C"/>
            </w:r>
            <w:r>
              <w:rPr>
                <w:rFonts w:hint="eastAsia" w:cs="宋体"/>
                <w:highlight w:val="none"/>
              </w:rPr>
              <w:t>要求智能问答场景具有上下文语义关联、对话意图重启、满意度评价功能。</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2</w:t>
            </w:r>
            <w:r>
              <w:rPr>
                <w:rFonts w:hint="eastAsia" w:cs="宋体"/>
                <w:highlight w:val="none"/>
              </w:rPr>
              <w:t>分，不满足不得分，总计</w:t>
            </w:r>
            <w:r>
              <w:rPr>
                <w:rFonts w:cs="宋体"/>
                <w:highlight w:val="none"/>
              </w:rPr>
              <w:t>6</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6</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cs="宋体"/>
                <w:highlight w:val="none"/>
              </w:rPr>
              <w:t>9</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提供政策智能推荐场景建设技术方案；</w:t>
            </w:r>
            <w:r>
              <w:rPr>
                <w:rFonts w:hint="eastAsia" w:cs="宋体"/>
                <w:highlight w:val="none"/>
              </w:rPr>
              <w:sym w:font="Wingdings 2" w:char="F06B"/>
            </w:r>
            <w:r>
              <w:rPr>
                <w:rFonts w:hint="eastAsia" w:cs="宋体"/>
                <w:highlight w:val="none"/>
              </w:rPr>
              <w:t>提供政策推荐度模型建设方案。</w:t>
            </w:r>
            <w:r>
              <w:rPr>
                <w:rFonts w:cs="宋体"/>
                <w:highlight w:val="none"/>
              </w:rPr>
              <w:t xml:space="preserve"> </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2</w:t>
            </w:r>
            <w:r>
              <w:rPr>
                <w:rFonts w:hint="eastAsia" w:cs="宋体"/>
                <w:highlight w:val="none"/>
              </w:rPr>
              <w:t>分，不满足不得分，总计4分。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0</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投标文件中是否满足采购人要求，提供政策智能搜索场景建设技术方案</w:t>
            </w:r>
            <w:r>
              <w:rPr>
                <w:rFonts w:hint="eastAsia" w:cs="宋体"/>
                <w:highlight w:val="none"/>
              </w:rPr>
              <w:t>。</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满足要求得3分；方案内容存在缺项或部分不响应得1分；无此内容不得分。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1</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投标文件中是否满足采购人要求：提供政策智能解读场景建设技术方案；</w:t>
            </w:r>
            <w:r>
              <w:rPr>
                <w:rFonts w:hint="eastAsia" w:cs="宋体"/>
                <w:highlight w:val="none"/>
              </w:rPr>
              <w:sym w:font="Wingdings 2" w:char="F06B"/>
            </w:r>
            <w:r>
              <w:rPr>
                <w:rFonts w:hint="eastAsia" w:cs="宋体"/>
                <w:highlight w:val="none"/>
              </w:rPr>
              <w:t>提供政府端政策工具配置升级改造方案；</w:t>
            </w:r>
            <w:r>
              <w:rPr>
                <w:rFonts w:hint="eastAsia" w:cs="宋体"/>
                <w:highlight w:val="none"/>
              </w:rPr>
              <w:sym w:font="Wingdings 2" w:char="F06C"/>
            </w:r>
            <w:r>
              <w:rPr>
                <w:rFonts w:hint="eastAsia" w:cs="宋体"/>
                <w:highlight w:val="none"/>
              </w:rPr>
              <w:t>提供企业端智能解读功能建设发案 。</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满足一项得</w:t>
            </w:r>
            <w:r>
              <w:rPr>
                <w:rFonts w:cs="宋体"/>
                <w:highlight w:val="none"/>
              </w:rPr>
              <w:t>1</w:t>
            </w:r>
            <w:r>
              <w:rPr>
                <w:rFonts w:hint="eastAsia" w:cs="宋体"/>
                <w:highlight w:val="none"/>
              </w:rPr>
              <w:t>分，不满足不得分，总计</w:t>
            </w:r>
            <w:r>
              <w:rPr>
                <w:rFonts w:cs="宋体"/>
                <w:highlight w:val="none"/>
              </w:rPr>
              <w:t>3</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2</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投标文件中是否满足采购人要求，基于平台政策文本、操作手册、说明文档等语料，提供人工智能大模型定制化训练技术方案，且承诺大模型的参数量不小于1</w:t>
            </w:r>
            <w:r>
              <w:rPr>
                <w:rFonts w:cs="宋体"/>
                <w:color w:val="000000" w:themeColor="text1"/>
                <w:highlight w:val="none"/>
                <w14:textFill>
                  <w14:solidFill>
                    <w14:schemeClr w14:val="tx1"/>
                  </w14:solidFill>
                </w14:textFill>
              </w:rPr>
              <w:t>0B</w:t>
            </w:r>
            <w:r>
              <w:rPr>
                <w:rFonts w:hint="eastAsia" w:cs="宋体"/>
                <w:color w:val="000000" w:themeColor="text1"/>
                <w:highlight w:val="none"/>
                <w14:textFill>
                  <w14:solidFill>
                    <w14:schemeClr w14:val="tx1"/>
                  </w14:solidFill>
                </w14:textFill>
              </w:rPr>
              <w:t>。</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满足要求得</w:t>
            </w:r>
            <w:r>
              <w:rPr>
                <w:rFonts w:cs="宋体"/>
                <w:highlight w:val="none"/>
              </w:rPr>
              <w:t>4</w:t>
            </w:r>
            <w:r>
              <w:rPr>
                <w:rFonts w:hint="eastAsia" w:cs="宋体"/>
                <w:highlight w:val="none"/>
              </w:rPr>
              <w:t>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3</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highlight w:val="none"/>
              </w:rPr>
            </w:pPr>
            <w:r>
              <w:rPr>
                <w:rFonts w:hint="eastAsia" w:cs="宋体"/>
                <w:color w:val="000000" w:themeColor="text1"/>
                <w:highlight w:val="none"/>
                <w14:textFill>
                  <w14:solidFill>
                    <w14:schemeClr w14:val="tx1"/>
                  </w14:solidFill>
                </w14:textFill>
              </w:rPr>
              <w:t>投标文件中是否满足采购人要求，提供</w:t>
            </w:r>
            <w:r>
              <w:rPr>
                <w:rFonts w:hint="eastAsia"/>
                <w:highlight w:val="none"/>
              </w:rPr>
              <w:t>基于G</w:t>
            </w:r>
            <w:r>
              <w:rPr>
                <w:highlight w:val="none"/>
              </w:rPr>
              <w:t>PU</w:t>
            </w:r>
            <w:r>
              <w:rPr>
                <w:rFonts w:hint="eastAsia"/>
                <w:highlight w:val="none"/>
              </w:rPr>
              <w:t>算力的政策智能问答模型调用服务至2</w:t>
            </w:r>
            <w:r>
              <w:rPr>
                <w:highlight w:val="none"/>
              </w:rPr>
              <w:t>024</w:t>
            </w:r>
            <w:r>
              <w:rPr>
                <w:rFonts w:hint="eastAsia"/>
                <w:highlight w:val="none"/>
              </w:rPr>
              <w:t>年6月3</w:t>
            </w:r>
            <w:r>
              <w:rPr>
                <w:highlight w:val="none"/>
              </w:rPr>
              <w:t>0</w:t>
            </w:r>
            <w:r>
              <w:rPr>
                <w:rFonts w:hint="eastAsia"/>
                <w:highlight w:val="none"/>
              </w:rPr>
              <w:t>日，并承诺保障上线期间的算力要求。</w:t>
            </w:r>
          </w:p>
          <w:p>
            <w:pPr>
              <w:pStyle w:val="2"/>
              <w:snapToGrid w:val="0"/>
              <w:spacing w:line="240" w:lineRule="auto"/>
              <w:ind w:firstLine="0" w:firstLineChars="0"/>
              <w:rPr>
                <w:rFonts w:cs="宋体"/>
                <w:color w:val="000000" w:themeColor="text1"/>
                <w:highlight w:val="none"/>
                <w14:textFill>
                  <w14:solidFill>
                    <w14:schemeClr w14:val="tx1"/>
                  </w14:solidFill>
                </w14:textFill>
              </w:rPr>
            </w:pPr>
            <w:r>
              <w:rPr>
                <w:rFonts w:hint="eastAsia" w:cs="宋体"/>
                <w:highlight w:val="none"/>
              </w:rPr>
              <w:t>满足要求得</w:t>
            </w:r>
            <w:r>
              <w:rPr>
                <w:rFonts w:cs="宋体"/>
                <w:highlight w:val="none"/>
              </w:rPr>
              <w:t>4</w:t>
            </w:r>
            <w:r>
              <w:rPr>
                <w:rFonts w:hint="eastAsia" w:cs="宋体"/>
                <w:highlight w:val="none"/>
              </w:rPr>
              <w:t>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w:t>
            </w:r>
          </w:p>
        </w:tc>
        <w:tc>
          <w:tcPr>
            <w:tcW w:w="1695" w:type="dxa"/>
            <w:vMerge w:val="continue"/>
          </w:tcPr>
          <w:p>
            <w:pPr>
              <w:pStyle w:val="2"/>
              <w:snapToGrid w:val="0"/>
              <w:spacing w:line="240" w:lineRule="auto"/>
              <w:rPr>
                <w:rFonts w:cs="宋体"/>
                <w:highlight w:val="none"/>
              </w:rPr>
            </w:pPr>
          </w:p>
        </w:tc>
        <w:tc>
          <w:tcPr>
            <w:tcW w:w="6990" w:type="dxa"/>
            <w:gridSpan w:val="3"/>
          </w:tcPr>
          <w:p>
            <w:pPr>
              <w:pStyle w:val="2"/>
              <w:snapToGrid w:val="0"/>
              <w:spacing w:line="240" w:lineRule="auto"/>
              <w:ind w:firstLine="0" w:firstLineChars="0"/>
              <w:rPr>
                <w:rFonts w:cs="宋体"/>
                <w:b/>
                <w:bCs/>
                <w:highlight w:val="none"/>
              </w:rPr>
            </w:pPr>
            <w:r>
              <w:rPr>
                <w:rFonts w:hint="eastAsia" w:cs="宋体"/>
                <w:b/>
                <w:bCs/>
                <w:highlight w:val="none"/>
              </w:rPr>
              <w:t>三、升级亲清在线移动端（</w:t>
            </w:r>
            <w:r>
              <w:rPr>
                <w:rFonts w:cs="宋体"/>
                <w:b/>
                <w:bCs/>
                <w:highlight w:val="none"/>
              </w:rPr>
              <w:t>8</w:t>
            </w:r>
            <w:r>
              <w:rPr>
                <w:rFonts w:hint="eastAsia" w:cs="宋体"/>
                <w:b/>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0" w:type="dxa"/>
            <w:vAlign w:val="center"/>
          </w:tcPr>
          <w:p>
            <w:pPr>
              <w:pStyle w:val="2"/>
              <w:snapToGrid w:val="0"/>
              <w:spacing w:line="240" w:lineRule="auto"/>
              <w:ind w:firstLine="0" w:firstLineChars="0"/>
              <w:jc w:val="center"/>
              <w:rPr>
                <w:rFonts w:cs="宋体"/>
                <w:highlight w:val="none"/>
              </w:rPr>
            </w:pPr>
            <w:r>
              <w:rPr>
                <w:rFonts w:cs="宋体"/>
                <w:highlight w:val="none"/>
              </w:rPr>
              <w:t>14</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提供完整的移动端升级改造方案</w:t>
            </w:r>
            <w:r>
              <w:rPr>
                <w:rFonts w:hint="eastAsia" w:cs="宋体"/>
                <w:highlight w:val="none"/>
              </w:rPr>
              <w:t>；</w:t>
            </w:r>
            <w:r>
              <w:rPr>
                <w:rFonts w:hint="eastAsia" w:cs="宋体"/>
                <w:highlight w:val="none"/>
              </w:rPr>
              <w:sym w:font="Wingdings 2" w:char="F06B"/>
            </w:r>
            <w:r>
              <w:rPr>
                <w:rFonts w:hint="eastAsia" w:cs="宋体"/>
                <w:highlight w:val="none"/>
              </w:rPr>
              <w:t>方案中按要求增加政策智能推荐、智能搜索功能涉及；</w:t>
            </w:r>
            <w:r>
              <w:rPr>
                <w:rFonts w:hint="eastAsia" w:cs="宋体"/>
                <w:highlight w:val="none"/>
              </w:rPr>
              <w:sym w:font="Wingdings 2" w:char="F06C"/>
            </w:r>
            <w:r>
              <w:rPr>
                <w:rFonts w:hint="eastAsia"/>
                <w:highlight w:val="none"/>
              </w:rPr>
              <w:t>根据政策区域、政策类别、申报状态、兑现方式等标签，提供政策筛选功能设计方案。</w:t>
            </w:r>
          </w:p>
          <w:p>
            <w:pPr>
              <w:pStyle w:val="2"/>
              <w:snapToGrid w:val="0"/>
              <w:spacing w:line="240" w:lineRule="auto"/>
              <w:ind w:firstLine="0" w:firstLineChars="0"/>
              <w:rPr>
                <w:rFonts w:cs="宋体"/>
                <w:highlight w:val="none"/>
              </w:rPr>
            </w:pPr>
            <w:r>
              <w:rPr>
                <w:rFonts w:hint="eastAsia" w:cs="宋体"/>
                <w:highlight w:val="none"/>
              </w:rPr>
              <w:t>满足一项得2分，不满足不得分，总计</w:t>
            </w:r>
            <w:r>
              <w:rPr>
                <w:rFonts w:cs="宋体"/>
                <w:highlight w:val="none"/>
              </w:rPr>
              <w:t>6</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6</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0" w:type="dxa"/>
            <w:vAlign w:val="center"/>
          </w:tcPr>
          <w:p>
            <w:pPr>
              <w:pStyle w:val="2"/>
              <w:snapToGrid w:val="0"/>
              <w:spacing w:line="240" w:lineRule="auto"/>
              <w:ind w:firstLine="0" w:firstLineChars="0"/>
              <w:jc w:val="center"/>
              <w:rPr>
                <w:rFonts w:cs="宋体"/>
                <w:highlight w:val="none"/>
              </w:rPr>
            </w:pPr>
            <w:r>
              <w:rPr>
                <w:rFonts w:cs="宋体"/>
                <w:highlight w:val="none"/>
              </w:rPr>
              <w:t>15</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投标文件中是否满足采购人要求，提供完整的政策申报兑付功能升级改造方案。</w:t>
            </w:r>
          </w:p>
          <w:p>
            <w:pPr>
              <w:pStyle w:val="2"/>
              <w:snapToGrid w:val="0"/>
              <w:spacing w:line="240" w:lineRule="auto"/>
              <w:ind w:firstLine="0" w:firstLineChars="0"/>
              <w:rPr>
                <w:rFonts w:cs="宋体"/>
                <w:highlight w:val="none"/>
              </w:rPr>
            </w:pPr>
            <w:r>
              <w:rPr>
                <w:rFonts w:hint="eastAsia" w:cs="宋体"/>
                <w:highlight w:val="none"/>
              </w:rPr>
              <w:t>满足要求得</w:t>
            </w:r>
            <w:r>
              <w:rPr>
                <w:rFonts w:cs="宋体"/>
                <w:highlight w:val="none"/>
              </w:rPr>
              <w:t>2</w:t>
            </w:r>
            <w:r>
              <w:rPr>
                <w:rFonts w:hint="eastAsia" w:cs="宋体"/>
                <w:highlight w:val="none"/>
              </w:rPr>
              <w:t>分；方案内容存在缺项或部分不响应得1分；无此内容不得分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2</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w:t>
            </w:r>
          </w:p>
        </w:tc>
        <w:tc>
          <w:tcPr>
            <w:tcW w:w="1695" w:type="dxa"/>
            <w:vMerge w:val="continue"/>
          </w:tcPr>
          <w:p>
            <w:pPr>
              <w:pStyle w:val="2"/>
              <w:snapToGrid w:val="0"/>
              <w:spacing w:line="240" w:lineRule="auto"/>
              <w:rPr>
                <w:rFonts w:cs="宋体"/>
                <w:highlight w:val="none"/>
              </w:rPr>
            </w:pPr>
          </w:p>
        </w:tc>
        <w:tc>
          <w:tcPr>
            <w:tcW w:w="5550" w:type="dxa"/>
            <w:gridSpan w:val="2"/>
          </w:tcPr>
          <w:p>
            <w:pPr>
              <w:pStyle w:val="2"/>
              <w:snapToGrid w:val="0"/>
              <w:spacing w:line="240" w:lineRule="auto"/>
              <w:ind w:firstLine="0" w:firstLineChars="0"/>
              <w:rPr>
                <w:rFonts w:cs="宋体"/>
                <w:b/>
                <w:bCs/>
                <w:highlight w:val="none"/>
              </w:rPr>
            </w:pPr>
            <w:r>
              <w:rPr>
                <w:rFonts w:hint="eastAsia" w:cs="宋体"/>
                <w:b/>
                <w:bCs/>
                <w:highlight w:val="none"/>
              </w:rPr>
              <w:t>四、打造亲清信使服务（</w:t>
            </w:r>
            <w:r>
              <w:rPr>
                <w:rFonts w:cs="宋体"/>
                <w:b/>
                <w:bCs/>
                <w:highlight w:val="none"/>
              </w:rPr>
              <w:t>4</w:t>
            </w:r>
            <w:r>
              <w:rPr>
                <w:rFonts w:hint="eastAsia" w:cs="宋体"/>
                <w:b/>
                <w:bCs/>
                <w:highlight w:val="none"/>
              </w:rPr>
              <w:t>分）</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6</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color w:val="000000" w:themeColor="text1"/>
                <w:highlight w:val="none"/>
                <w14:textFill>
                  <w14:solidFill>
                    <w14:schemeClr w14:val="tx1"/>
                  </w14:solidFill>
                </w14:textFill>
              </w:rPr>
              <w:t>投标文件中是否满足采购人要求：</w:t>
            </w:r>
            <w:r>
              <w:rPr>
                <w:rFonts w:hint="eastAsia" w:cs="宋体"/>
                <w:color w:val="000000" w:themeColor="text1"/>
                <w:highlight w:val="none"/>
                <w14:textFill>
                  <w14:solidFill>
                    <w14:schemeClr w14:val="tx1"/>
                  </w14:solidFill>
                </w14:textFill>
              </w:rPr>
              <w:sym w:font="Wingdings 2" w:char="F06A"/>
            </w:r>
            <w:r>
              <w:rPr>
                <w:rFonts w:hint="eastAsia" w:cs="宋体"/>
                <w:color w:val="000000" w:themeColor="text1"/>
                <w:highlight w:val="none"/>
                <w14:textFill>
                  <w14:solidFill>
                    <w14:schemeClr w14:val="tx1"/>
                  </w14:solidFill>
                </w14:textFill>
              </w:rPr>
              <w:t>提供亲清信使配置、查询功能；</w:t>
            </w:r>
            <w:r>
              <w:rPr>
                <w:rFonts w:hint="eastAsia" w:cs="宋体"/>
                <w:highlight w:val="none"/>
              </w:rPr>
              <w:sym w:font="Wingdings 2" w:char="F06B"/>
            </w:r>
            <w:r>
              <w:rPr>
                <w:rFonts w:hint="eastAsia" w:cs="宋体"/>
                <w:highlight w:val="none"/>
              </w:rPr>
              <w:t>提供免申即享、亲清报表、订阅资讯、智能推荐等订阅功能；</w:t>
            </w:r>
            <w:r>
              <w:rPr>
                <w:rFonts w:hint="eastAsia" w:cs="宋体"/>
                <w:highlight w:val="none"/>
              </w:rPr>
              <w:sym w:font="Wingdings 2" w:char="F06C"/>
            </w:r>
            <w:r>
              <w:rPr>
                <w:rFonts w:hint="eastAsia" w:cs="宋体"/>
                <w:highlight w:val="none"/>
              </w:rPr>
              <w:t>提供短信消息主动推送机制方案；</w:t>
            </w:r>
            <w:r>
              <w:rPr>
                <w:rFonts w:hint="eastAsia" w:cs="宋体"/>
                <w:highlight w:val="none"/>
              </w:rPr>
              <w:sym w:font="Wingdings 2" w:char="F06D"/>
            </w:r>
            <w:r>
              <w:rPr>
                <w:rFonts w:hint="eastAsia" w:cs="宋体"/>
                <w:highlight w:val="none"/>
              </w:rPr>
              <w:t>提供公众号绑定、订阅消息推送功能设计方案。</w:t>
            </w:r>
          </w:p>
          <w:p>
            <w:pPr>
              <w:pStyle w:val="2"/>
              <w:snapToGrid w:val="0"/>
              <w:spacing w:line="240" w:lineRule="auto"/>
              <w:ind w:firstLine="0" w:firstLineChars="0"/>
              <w:rPr>
                <w:rFonts w:cs="宋体"/>
                <w:highlight w:val="none"/>
              </w:rPr>
            </w:pPr>
            <w:r>
              <w:rPr>
                <w:rFonts w:hint="eastAsia" w:cs="宋体"/>
                <w:highlight w:val="none"/>
              </w:rPr>
              <w:t>满足一项得</w:t>
            </w:r>
            <w:r>
              <w:rPr>
                <w:rFonts w:cs="宋体"/>
                <w:highlight w:val="none"/>
              </w:rPr>
              <w:t>1</w:t>
            </w:r>
            <w:r>
              <w:rPr>
                <w:rFonts w:hint="eastAsia" w:cs="宋体"/>
                <w:highlight w:val="none"/>
              </w:rPr>
              <w:t>分，不满足不得分，总计</w:t>
            </w:r>
            <w:r>
              <w:rPr>
                <w:rFonts w:cs="宋体"/>
                <w:highlight w:val="none"/>
              </w:rPr>
              <w:t>4</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4</w:t>
            </w:r>
          </w:p>
        </w:tc>
        <w:tc>
          <w:tcPr>
            <w:tcW w:w="1440" w:type="dxa"/>
          </w:tcPr>
          <w:p>
            <w:pPr>
              <w:pStyle w:val="2"/>
              <w:snapToGrid w:val="0"/>
              <w:spacing w:line="240" w:lineRule="auto"/>
              <w:rPr>
                <w:rFonts w:cs="宋体"/>
                <w:i/>
                <w:highlight w:val="none"/>
              </w:rPr>
            </w:pPr>
            <w:r>
              <w:rPr>
                <w:rFonts w:hint="eastAsia" w:cs="宋体"/>
                <w:i/>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7</w:t>
            </w:r>
          </w:p>
        </w:tc>
        <w:tc>
          <w:tcPr>
            <w:tcW w:w="1695"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项目实施方案（3分）</w:t>
            </w:r>
          </w:p>
        </w:tc>
        <w:tc>
          <w:tcPr>
            <w:tcW w:w="4740" w:type="dxa"/>
          </w:tcPr>
          <w:p>
            <w:pPr>
              <w:pStyle w:val="2"/>
              <w:snapToGrid w:val="0"/>
              <w:spacing w:line="240" w:lineRule="auto"/>
              <w:ind w:firstLine="0" w:firstLineChars="0"/>
              <w:rPr>
                <w:rFonts w:cs="宋体"/>
                <w:highlight w:val="none"/>
              </w:rPr>
            </w:pPr>
            <w:r>
              <w:rPr>
                <w:rFonts w:hint="eastAsia" w:cs="宋体"/>
                <w:highlight w:val="none"/>
              </w:rPr>
              <w:sym w:font="Wingdings 2" w:char="F06A"/>
            </w:r>
            <w:r>
              <w:rPr>
                <w:rFonts w:hint="eastAsia" w:cs="宋体"/>
                <w:highlight w:val="none"/>
              </w:rPr>
              <w:t>投标人必须提供实施本项目的完整的项目实施方案，并在项目实施过程中严格执行。</w:t>
            </w:r>
          </w:p>
          <w:p>
            <w:pPr>
              <w:pStyle w:val="2"/>
              <w:snapToGrid w:val="0"/>
              <w:spacing w:line="240" w:lineRule="auto"/>
              <w:ind w:firstLine="0" w:firstLineChars="0"/>
              <w:rPr>
                <w:rFonts w:cs="宋体"/>
                <w:highlight w:val="none"/>
              </w:rPr>
            </w:pPr>
            <w:r>
              <w:rPr>
                <w:rFonts w:hint="eastAsia" w:cs="宋体"/>
                <w:highlight w:val="none"/>
              </w:rPr>
              <w:sym w:font="Wingdings 2" w:char="F06B"/>
            </w:r>
            <w:r>
              <w:rPr>
                <w:rFonts w:hint="eastAsia" w:cs="宋体"/>
                <w:highlight w:val="none"/>
              </w:rPr>
              <w:t>项目实施方案应包括项目实施计划、运行维护等内容。</w:t>
            </w:r>
          </w:p>
          <w:p>
            <w:pPr>
              <w:pStyle w:val="2"/>
              <w:snapToGrid w:val="0"/>
              <w:spacing w:line="240" w:lineRule="auto"/>
              <w:ind w:firstLine="0" w:firstLineChars="0"/>
              <w:rPr>
                <w:rFonts w:cs="宋体"/>
                <w:highlight w:val="none"/>
              </w:rPr>
            </w:pPr>
            <w:r>
              <w:rPr>
                <w:rFonts w:hint="eastAsia" w:cs="宋体"/>
                <w:highlight w:val="none"/>
              </w:rPr>
              <w:sym w:font="Wingdings 2" w:char="F06C"/>
            </w:r>
            <w:r>
              <w:rPr>
                <w:rFonts w:hint="eastAsia" w:cs="宋体"/>
                <w:highlight w:val="none"/>
              </w:rPr>
              <w:t>在项目实施方案中，应充分体现投标人在项目管理实施方面的经验和能力。</w:t>
            </w:r>
          </w:p>
          <w:p>
            <w:pPr>
              <w:pStyle w:val="2"/>
              <w:snapToGrid w:val="0"/>
              <w:spacing w:line="240" w:lineRule="auto"/>
              <w:ind w:firstLine="0" w:firstLineChars="0"/>
              <w:rPr>
                <w:rFonts w:cs="宋体"/>
                <w:highlight w:val="none"/>
              </w:rPr>
            </w:pPr>
            <w:r>
              <w:rPr>
                <w:rFonts w:hint="eastAsia" w:cs="宋体"/>
                <w:highlight w:val="none"/>
              </w:rPr>
              <w:t>满足一项得1分，不满足不得分，总计3分。</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Merge w:val="restart"/>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8</w:t>
            </w:r>
          </w:p>
        </w:tc>
        <w:tc>
          <w:tcPr>
            <w:tcW w:w="1695" w:type="dxa"/>
            <w:vMerge w:val="restart"/>
            <w:vAlign w:val="center"/>
          </w:tcPr>
          <w:p>
            <w:pPr>
              <w:widowControl/>
              <w:snapToGrid w:val="0"/>
              <w:jc w:val="center"/>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平台Demo功能演示。（不长于10分钟）</w:t>
            </w:r>
          </w:p>
          <w:p>
            <w:pPr>
              <w:pStyle w:val="2"/>
              <w:snapToGrid w:val="0"/>
              <w:spacing w:line="240" w:lineRule="auto"/>
              <w:ind w:firstLine="0" w:firstLineChars="0"/>
              <w:jc w:val="center"/>
              <w:rPr>
                <w:rFonts w:cs="宋体"/>
                <w:b/>
                <w:bCs/>
                <w:highlight w:val="none"/>
              </w:rPr>
            </w:pPr>
            <w:r>
              <w:rPr>
                <w:rFonts w:hint="eastAsia" w:cs="宋体"/>
                <w:b/>
                <w:bCs/>
                <w:kern w:val="0"/>
                <w:highlight w:val="none"/>
                <w:lang w:bidi="ar"/>
              </w:rPr>
              <w:t>（</w:t>
            </w:r>
            <w:r>
              <w:rPr>
                <w:rFonts w:cs="宋体"/>
                <w:b/>
                <w:bCs/>
                <w:kern w:val="0"/>
                <w:highlight w:val="none"/>
                <w:lang w:bidi="ar"/>
              </w:rPr>
              <w:t>15</w:t>
            </w:r>
            <w:r>
              <w:rPr>
                <w:rFonts w:hint="eastAsia" w:cs="宋体"/>
                <w:b/>
                <w:bCs/>
                <w:kern w:val="0"/>
                <w:highlight w:val="none"/>
                <w:lang w:bidi="ar"/>
              </w:rPr>
              <w:t>分）：注：截图、PPT等静态效果演示得分减半</w:t>
            </w:r>
          </w:p>
        </w:tc>
        <w:tc>
          <w:tcPr>
            <w:tcW w:w="4740" w:type="dxa"/>
            <w:vAlign w:val="center"/>
          </w:tcPr>
          <w:p>
            <w:pPr>
              <w:widowControl/>
              <w:snapToGrid w:val="0"/>
              <w:textAlignment w:val="center"/>
              <w:rPr>
                <w:rFonts w:ascii="宋体" w:hAnsi="宋体" w:cs="宋体"/>
                <w:kern w:val="0"/>
                <w:sz w:val="24"/>
                <w:highlight w:val="none"/>
                <w:lang w:bidi="ar"/>
              </w:rPr>
            </w:pPr>
            <w:r>
              <w:rPr>
                <w:rFonts w:hint="eastAsia" w:ascii="宋体" w:hAnsi="宋体" w:cs="宋体"/>
                <w:kern w:val="0"/>
                <w:sz w:val="24"/>
                <w:highlight w:val="none"/>
                <w:lang w:bidi="ar"/>
              </w:rPr>
              <w:t>政策超市2</w:t>
            </w:r>
            <w:r>
              <w:rPr>
                <w:rFonts w:ascii="宋体" w:hAnsi="宋体" w:cs="宋体"/>
                <w:kern w:val="0"/>
                <w:sz w:val="24"/>
                <w:highlight w:val="none"/>
                <w:lang w:bidi="ar"/>
              </w:rPr>
              <w:t>.0</w:t>
            </w:r>
            <w:r>
              <w:rPr>
                <w:rFonts w:hint="eastAsia" w:ascii="宋体" w:hAnsi="宋体" w:cs="宋体"/>
                <w:kern w:val="0"/>
                <w:sz w:val="24"/>
                <w:highlight w:val="none"/>
                <w:lang w:bidi="ar"/>
              </w:rPr>
              <w:t>新门户内容和样式演示：</w:t>
            </w:r>
          </w:p>
          <w:p>
            <w:pPr>
              <w:pStyle w:val="2"/>
              <w:snapToGrid w:val="0"/>
              <w:spacing w:line="240" w:lineRule="auto"/>
              <w:ind w:firstLine="0" w:firstLineChars="0"/>
              <w:rPr>
                <w:rFonts w:cs="宋体"/>
                <w:highlight w:val="none"/>
              </w:rPr>
            </w:pPr>
            <w:r>
              <w:rPr>
                <w:rFonts w:hint="eastAsia" w:cs="宋体"/>
                <w:kern w:val="0"/>
                <w:highlight w:val="none"/>
                <w:lang w:bidi="ar"/>
              </w:rPr>
              <w:t>演示满足以上要求得</w:t>
            </w:r>
            <w:r>
              <w:rPr>
                <w:rFonts w:cs="宋体"/>
                <w:kern w:val="0"/>
                <w:highlight w:val="none"/>
                <w:lang w:bidi="ar"/>
              </w:rPr>
              <w:t>3</w:t>
            </w:r>
            <w:r>
              <w:rPr>
                <w:rFonts w:hint="eastAsia" w:cs="宋体"/>
                <w:kern w:val="0"/>
                <w:highlight w:val="none"/>
                <w:lang w:bidi="ar"/>
              </w:rPr>
              <w:t>分，不满足不得分。</w:t>
            </w:r>
          </w:p>
        </w:tc>
        <w:tc>
          <w:tcPr>
            <w:tcW w:w="810" w:type="dxa"/>
            <w:vAlign w:val="center"/>
          </w:tcPr>
          <w:p>
            <w:pPr>
              <w:pStyle w:val="2"/>
              <w:snapToGrid w:val="0"/>
              <w:spacing w:line="240" w:lineRule="auto"/>
              <w:ind w:firstLine="0" w:firstLineChars="0"/>
              <w:jc w:val="center"/>
              <w:rPr>
                <w:rFonts w:cs="宋体"/>
                <w:highlight w:val="none"/>
              </w:rPr>
            </w:pPr>
            <w:r>
              <w:rPr>
                <w:rFonts w:cs="宋体"/>
                <w:kern w:val="0"/>
                <w:highlight w:val="none"/>
                <w:lang w:bidi="ar"/>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Merge w:val="continue"/>
            <w:vAlign w:val="center"/>
          </w:tcPr>
          <w:p>
            <w:pPr>
              <w:pStyle w:val="2"/>
              <w:snapToGrid w:val="0"/>
              <w:spacing w:line="240" w:lineRule="auto"/>
              <w:ind w:firstLine="0" w:firstLineChars="0"/>
              <w:jc w:val="center"/>
              <w:rPr>
                <w:rFonts w:cs="宋体"/>
                <w:highlight w:val="none"/>
              </w:rPr>
            </w:pPr>
          </w:p>
        </w:tc>
        <w:tc>
          <w:tcPr>
            <w:tcW w:w="1695" w:type="dxa"/>
            <w:vMerge w:val="continue"/>
            <w:vAlign w:val="center"/>
          </w:tcPr>
          <w:p>
            <w:pPr>
              <w:pStyle w:val="2"/>
              <w:snapToGrid w:val="0"/>
              <w:spacing w:line="240" w:lineRule="auto"/>
              <w:ind w:firstLine="0" w:firstLineChars="0"/>
              <w:jc w:val="center"/>
              <w:rPr>
                <w:rFonts w:cs="宋体"/>
                <w:b/>
                <w:bCs/>
                <w:highlight w:val="none"/>
              </w:rPr>
            </w:pPr>
          </w:p>
        </w:tc>
        <w:tc>
          <w:tcPr>
            <w:tcW w:w="4740" w:type="dxa"/>
            <w:vAlign w:val="center"/>
          </w:tcPr>
          <w:p>
            <w:pPr>
              <w:widowControl/>
              <w:snapToGrid w:val="0"/>
              <w:textAlignment w:val="center"/>
              <w:rPr>
                <w:rFonts w:ascii="宋体" w:hAnsi="宋体" w:cs="宋体"/>
                <w:kern w:val="0"/>
                <w:sz w:val="24"/>
                <w:highlight w:val="none"/>
                <w:lang w:bidi="ar"/>
              </w:rPr>
            </w:pPr>
            <w:r>
              <w:rPr>
                <w:rFonts w:hint="eastAsia" w:ascii="宋体" w:hAnsi="宋体" w:cs="宋体"/>
                <w:kern w:val="0"/>
                <w:sz w:val="24"/>
                <w:highlight w:val="none"/>
                <w:lang w:bidi="ar"/>
              </w:rPr>
              <w:t>政策智能问答、智能推荐、智能搜索、智能解读等智能化功能演示：</w:t>
            </w:r>
          </w:p>
          <w:p>
            <w:pPr>
              <w:pStyle w:val="2"/>
              <w:snapToGrid w:val="0"/>
              <w:spacing w:line="240" w:lineRule="auto"/>
              <w:ind w:firstLine="0" w:firstLineChars="0"/>
              <w:rPr>
                <w:rFonts w:cs="宋体"/>
                <w:highlight w:val="none"/>
              </w:rPr>
            </w:pPr>
            <w:r>
              <w:rPr>
                <w:rFonts w:hint="eastAsia" w:cs="宋体"/>
                <w:kern w:val="0"/>
                <w:highlight w:val="none"/>
                <w:lang w:bidi="ar"/>
              </w:rPr>
              <w:t>演示满足以上要求得</w:t>
            </w:r>
            <w:r>
              <w:rPr>
                <w:rFonts w:cs="宋体"/>
                <w:kern w:val="0"/>
                <w:highlight w:val="none"/>
                <w:lang w:bidi="ar"/>
              </w:rPr>
              <w:t>6</w:t>
            </w:r>
            <w:r>
              <w:rPr>
                <w:rFonts w:hint="eastAsia" w:cs="宋体"/>
                <w:kern w:val="0"/>
                <w:highlight w:val="none"/>
                <w:lang w:bidi="ar"/>
              </w:rPr>
              <w:t>分，不满足不得分。</w:t>
            </w:r>
          </w:p>
        </w:tc>
        <w:tc>
          <w:tcPr>
            <w:tcW w:w="810" w:type="dxa"/>
            <w:vAlign w:val="center"/>
          </w:tcPr>
          <w:p>
            <w:pPr>
              <w:pStyle w:val="2"/>
              <w:snapToGrid w:val="0"/>
              <w:spacing w:line="240" w:lineRule="auto"/>
              <w:ind w:firstLine="0" w:firstLineChars="0"/>
              <w:jc w:val="center"/>
              <w:rPr>
                <w:rFonts w:cs="宋体"/>
                <w:highlight w:val="none"/>
              </w:rPr>
            </w:pPr>
            <w:r>
              <w:rPr>
                <w:rFonts w:cs="宋体"/>
                <w:kern w:val="0"/>
                <w:highlight w:val="none"/>
                <w:lang w:bidi="ar"/>
              </w:rPr>
              <w:t>6</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Merge w:val="continue"/>
            <w:vAlign w:val="center"/>
          </w:tcPr>
          <w:p>
            <w:pPr>
              <w:pStyle w:val="2"/>
              <w:snapToGrid w:val="0"/>
              <w:spacing w:line="240" w:lineRule="auto"/>
              <w:ind w:firstLine="0" w:firstLineChars="0"/>
              <w:jc w:val="center"/>
              <w:rPr>
                <w:rFonts w:cs="宋体"/>
                <w:highlight w:val="none"/>
              </w:rPr>
            </w:pPr>
          </w:p>
        </w:tc>
        <w:tc>
          <w:tcPr>
            <w:tcW w:w="1695" w:type="dxa"/>
            <w:vMerge w:val="continue"/>
            <w:vAlign w:val="center"/>
          </w:tcPr>
          <w:p>
            <w:pPr>
              <w:pStyle w:val="2"/>
              <w:snapToGrid w:val="0"/>
              <w:spacing w:line="240" w:lineRule="auto"/>
              <w:ind w:firstLine="0" w:firstLineChars="0"/>
              <w:jc w:val="center"/>
              <w:rPr>
                <w:rFonts w:cs="宋体"/>
                <w:b/>
                <w:bCs/>
                <w:highlight w:val="none"/>
              </w:rPr>
            </w:pPr>
          </w:p>
        </w:tc>
        <w:tc>
          <w:tcPr>
            <w:tcW w:w="4740" w:type="dxa"/>
            <w:vAlign w:val="center"/>
          </w:tcPr>
          <w:p>
            <w:pPr>
              <w:widowControl/>
              <w:snapToGrid w:val="0"/>
              <w:textAlignment w:val="center"/>
              <w:rPr>
                <w:rFonts w:ascii="宋体" w:hAnsi="宋体" w:cs="宋体"/>
                <w:kern w:val="0"/>
                <w:sz w:val="24"/>
                <w:highlight w:val="none"/>
                <w:lang w:bidi="ar"/>
              </w:rPr>
            </w:pPr>
            <w:r>
              <w:rPr>
                <w:rFonts w:hint="eastAsia" w:ascii="宋体" w:hAnsi="宋体" w:cs="宋体"/>
                <w:kern w:val="0"/>
                <w:sz w:val="24"/>
                <w:highlight w:val="none"/>
                <w:lang w:bidi="ar"/>
              </w:rPr>
              <w:t>政策超市移动端内容演示：</w:t>
            </w:r>
          </w:p>
          <w:p>
            <w:pPr>
              <w:pStyle w:val="2"/>
              <w:snapToGrid w:val="0"/>
              <w:spacing w:line="240" w:lineRule="auto"/>
              <w:ind w:firstLine="0" w:firstLineChars="0"/>
              <w:rPr>
                <w:rFonts w:cs="宋体"/>
                <w:highlight w:val="none"/>
              </w:rPr>
            </w:pPr>
            <w:r>
              <w:rPr>
                <w:rFonts w:hint="eastAsia" w:cs="宋体"/>
                <w:kern w:val="0"/>
                <w:highlight w:val="none"/>
                <w:lang w:bidi="ar"/>
              </w:rPr>
              <w:t>演示满足以上要求得3分，不满足不得分。</w:t>
            </w:r>
          </w:p>
        </w:tc>
        <w:tc>
          <w:tcPr>
            <w:tcW w:w="810" w:type="dxa"/>
            <w:vAlign w:val="center"/>
          </w:tcPr>
          <w:p>
            <w:pPr>
              <w:pStyle w:val="2"/>
              <w:snapToGrid w:val="0"/>
              <w:spacing w:line="240" w:lineRule="auto"/>
              <w:ind w:firstLine="0" w:firstLineChars="0"/>
              <w:jc w:val="center"/>
              <w:rPr>
                <w:rFonts w:cs="宋体"/>
                <w:highlight w:val="none"/>
              </w:rPr>
            </w:pPr>
            <w:r>
              <w:rPr>
                <w:rFonts w:cs="宋体"/>
                <w:kern w:val="0"/>
                <w:highlight w:val="none"/>
                <w:lang w:bidi="ar"/>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Merge w:val="continue"/>
            <w:vAlign w:val="center"/>
          </w:tcPr>
          <w:p>
            <w:pPr>
              <w:pStyle w:val="2"/>
              <w:snapToGrid w:val="0"/>
              <w:spacing w:line="240" w:lineRule="auto"/>
              <w:ind w:firstLine="0" w:firstLineChars="0"/>
              <w:jc w:val="center"/>
              <w:rPr>
                <w:rFonts w:cs="宋体"/>
                <w:highlight w:val="none"/>
              </w:rPr>
            </w:pPr>
          </w:p>
        </w:tc>
        <w:tc>
          <w:tcPr>
            <w:tcW w:w="1695" w:type="dxa"/>
            <w:vMerge w:val="continue"/>
            <w:vAlign w:val="center"/>
          </w:tcPr>
          <w:p>
            <w:pPr>
              <w:pStyle w:val="2"/>
              <w:snapToGrid w:val="0"/>
              <w:spacing w:line="240" w:lineRule="auto"/>
              <w:ind w:firstLine="0" w:firstLineChars="0"/>
              <w:jc w:val="center"/>
              <w:rPr>
                <w:rFonts w:cs="宋体"/>
                <w:b/>
                <w:bCs/>
                <w:highlight w:val="none"/>
              </w:rPr>
            </w:pPr>
          </w:p>
        </w:tc>
        <w:tc>
          <w:tcPr>
            <w:tcW w:w="4740" w:type="dxa"/>
            <w:vAlign w:val="center"/>
          </w:tcPr>
          <w:p>
            <w:pPr>
              <w:widowControl/>
              <w:snapToGrid w:val="0"/>
              <w:textAlignment w:val="center"/>
              <w:rPr>
                <w:rFonts w:ascii="宋体" w:hAnsi="宋体" w:cs="宋体"/>
                <w:kern w:val="0"/>
                <w:sz w:val="24"/>
                <w:highlight w:val="none"/>
                <w:lang w:bidi="ar"/>
              </w:rPr>
            </w:pPr>
            <w:r>
              <w:rPr>
                <w:rFonts w:hint="eastAsia" w:ascii="宋体" w:hAnsi="宋体" w:cs="宋体"/>
                <w:kern w:val="0"/>
                <w:sz w:val="24"/>
                <w:highlight w:val="none"/>
                <w:lang w:bidi="ar"/>
              </w:rPr>
              <w:t>亲清信使服务功能演示：</w:t>
            </w:r>
          </w:p>
          <w:p>
            <w:pPr>
              <w:pStyle w:val="2"/>
              <w:snapToGrid w:val="0"/>
              <w:spacing w:line="240" w:lineRule="auto"/>
              <w:ind w:firstLine="0" w:firstLineChars="0"/>
              <w:rPr>
                <w:rFonts w:cs="宋体"/>
                <w:highlight w:val="none"/>
              </w:rPr>
            </w:pPr>
            <w:r>
              <w:rPr>
                <w:rFonts w:hint="eastAsia" w:cs="宋体"/>
                <w:kern w:val="0"/>
                <w:highlight w:val="none"/>
                <w:lang w:bidi="ar"/>
              </w:rPr>
              <w:t>演示满足以上要求得3分，不满足不得分。</w:t>
            </w:r>
          </w:p>
        </w:tc>
        <w:tc>
          <w:tcPr>
            <w:tcW w:w="810" w:type="dxa"/>
            <w:vAlign w:val="center"/>
          </w:tcPr>
          <w:p>
            <w:pPr>
              <w:pStyle w:val="2"/>
              <w:snapToGrid w:val="0"/>
              <w:spacing w:line="240" w:lineRule="auto"/>
              <w:ind w:firstLine="0" w:firstLineChars="0"/>
              <w:jc w:val="center"/>
              <w:rPr>
                <w:rFonts w:cs="宋体"/>
                <w:highlight w:val="none"/>
              </w:rPr>
            </w:pPr>
            <w:r>
              <w:rPr>
                <w:rFonts w:cs="宋体"/>
                <w:kern w:val="0"/>
                <w:highlight w:val="none"/>
                <w:lang w:bidi="ar"/>
              </w:rPr>
              <w:t>3</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1</w:t>
            </w:r>
            <w:r>
              <w:rPr>
                <w:rFonts w:cs="宋体"/>
                <w:highlight w:val="none"/>
              </w:rPr>
              <w:t>9</w:t>
            </w:r>
          </w:p>
        </w:tc>
        <w:tc>
          <w:tcPr>
            <w:tcW w:w="1695" w:type="dxa"/>
            <w:vMerge w:val="restart"/>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人员团队要求（</w:t>
            </w:r>
            <w:r>
              <w:rPr>
                <w:rFonts w:cs="宋体"/>
                <w:b/>
                <w:bCs/>
                <w:highlight w:val="none"/>
              </w:rPr>
              <w:t>4</w:t>
            </w:r>
            <w:r>
              <w:rPr>
                <w:rFonts w:hint="eastAsia" w:cs="宋体"/>
                <w:b/>
                <w:bCs/>
                <w:highlight w:val="none"/>
              </w:rPr>
              <w:t>分）</w:t>
            </w:r>
          </w:p>
        </w:tc>
        <w:tc>
          <w:tcPr>
            <w:tcW w:w="4740" w:type="dxa"/>
          </w:tcPr>
          <w:p>
            <w:pPr>
              <w:pStyle w:val="2"/>
              <w:snapToGrid w:val="0"/>
              <w:spacing w:line="240" w:lineRule="auto"/>
              <w:ind w:firstLine="0" w:firstLineChars="0"/>
              <w:rPr>
                <w:rFonts w:cs="宋体"/>
                <w:highlight w:val="none"/>
              </w:rPr>
            </w:pPr>
            <w:r>
              <w:rPr>
                <w:rFonts w:hint="eastAsia" w:cs="宋体"/>
                <w:highlight w:val="none"/>
              </w:rPr>
              <w:t>承诺</w:t>
            </w:r>
            <w:r>
              <w:rPr>
                <w:rFonts w:hint="eastAsia" w:cs="宋体"/>
                <w:highlight w:val="none"/>
              </w:rPr>
              <w:sym w:font="Wingdings 2" w:char="F06A"/>
            </w:r>
            <w:r>
              <w:rPr>
                <w:rFonts w:hint="eastAsia" w:cs="宋体"/>
                <w:highlight w:val="none"/>
              </w:rPr>
              <w:t>合同签订后承诺10个工作日内，组建项目团队（含项目经理、产品经理、运维人员、软件开发人员等不少于</w:t>
            </w:r>
            <w:r>
              <w:rPr>
                <w:rFonts w:cs="宋体"/>
                <w:highlight w:val="none"/>
              </w:rPr>
              <w:t>18</w:t>
            </w:r>
            <w:r>
              <w:rPr>
                <w:rFonts w:hint="eastAsia" w:cs="宋体"/>
                <w:highlight w:val="none"/>
              </w:rPr>
              <w:t>人），驻场</w:t>
            </w:r>
            <w:r>
              <w:rPr>
                <w:rFonts w:cs="宋体"/>
                <w:highlight w:val="none"/>
              </w:rPr>
              <w:t>6</w:t>
            </w:r>
            <w:r>
              <w:rPr>
                <w:rFonts w:hint="eastAsia" w:cs="宋体"/>
                <w:highlight w:val="none"/>
              </w:rPr>
              <w:t>人，完成需求调研、需求分析、制定项目实施方案及实施计划。</w:t>
            </w:r>
            <w:r>
              <w:rPr>
                <w:rFonts w:hint="eastAsia" w:cs="宋体"/>
                <w:highlight w:val="none"/>
              </w:rPr>
              <w:sym w:font="Wingdings 2" w:char="F06B"/>
            </w:r>
            <w:r>
              <w:rPr>
                <w:rFonts w:hint="eastAsia" w:cs="宋体"/>
                <w:highlight w:val="none"/>
              </w:rPr>
              <w:t>投标人应拥有优秀的项目实施力量，为平台提供长期、稳定、及时的技术开发、系统运维、故障修复等服务，未经用户方同意，项目经理在项目整体验收前不得变更。</w:t>
            </w:r>
            <w:r>
              <w:rPr>
                <w:rFonts w:hint="eastAsia" w:cs="宋体"/>
                <w:highlight w:val="none"/>
              </w:rPr>
              <w:sym w:font="Wingdings 2" w:char="F06C"/>
            </w:r>
            <w:r>
              <w:rPr>
                <w:rFonts w:hint="eastAsia" w:cs="宋体"/>
                <w:highlight w:val="none"/>
              </w:rPr>
              <w:t>正常开展项目实施工作，应对各种突发事件，确保平台正常运行。</w:t>
            </w:r>
            <w:r>
              <w:rPr>
                <w:rFonts w:hint="eastAsia" w:cs="宋体"/>
                <w:highlight w:val="none"/>
              </w:rPr>
              <w:sym w:font="Wingdings 2" w:char="F06D"/>
            </w:r>
            <w:r>
              <w:rPr>
                <w:rFonts w:hint="eastAsia" w:cs="宋体"/>
                <w:highlight w:val="none"/>
              </w:rPr>
              <w:t>投标人应有规范的管理流程和质量控制流程，能够保持人员的稳定性并能满足机动人员数量的需求。</w:t>
            </w:r>
          </w:p>
          <w:p>
            <w:pPr>
              <w:pStyle w:val="2"/>
              <w:snapToGrid w:val="0"/>
              <w:spacing w:line="240" w:lineRule="auto"/>
              <w:ind w:firstLine="0" w:firstLineChars="0"/>
              <w:rPr>
                <w:rFonts w:cs="宋体"/>
                <w:highlight w:val="none"/>
              </w:rPr>
            </w:pPr>
            <w:r>
              <w:rPr>
                <w:rFonts w:hint="eastAsia" w:cs="宋体"/>
                <w:highlight w:val="none"/>
              </w:rPr>
              <w:t>承诺一项得</w:t>
            </w:r>
            <w:r>
              <w:rPr>
                <w:rFonts w:cs="宋体"/>
                <w:highlight w:val="none"/>
              </w:rPr>
              <w:t>0.5</w:t>
            </w:r>
            <w:r>
              <w:rPr>
                <w:rFonts w:hint="eastAsia" w:cs="宋体"/>
                <w:highlight w:val="none"/>
              </w:rPr>
              <w:t>分，不承诺不得分，总计</w:t>
            </w:r>
            <w:r>
              <w:rPr>
                <w:rFonts w:cs="宋体"/>
                <w:highlight w:val="none"/>
              </w:rPr>
              <w:t>2</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2</w:t>
            </w:r>
          </w:p>
        </w:tc>
        <w:tc>
          <w:tcPr>
            <w:tcW w:w="1440" w:type="dxa"/>
          </w:tcPr>
          <w:p>
            <w:pPr>
              <w:pStyle w:val="2"/>
              <w:snapToGrid w:val="0"/>
              <w:spacing w:line="240" w:lineRule="auto"/>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20" w:type="dxa"/>
            <w:vAlign w:val="center"/>
          </w:tcPr>
          <w:p>
            <w:pPr>
              <w:pStyle w:val="2"/>
              <w:snapToGrid w:val="0"/>
              <w:spacing w:line="240" w:lineRule="auto"/>
              <w:ind w:firstLine="0" w:firstLineChars="0"/>
              <w:jc w:val="center"/>
              <w:rPr>
                <w:rFonts w:cs="宋体"/>
                <w:highlight w:val="none"/>
              </w:rPr>
            </w:pPr>
            <w:r>
              <w:rPr>
                <w:rFonts w:cs="宋体"/>
                <w:highlight w:val="none"/>
              </w:rPr>
              <w:t>20</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lang w:bidi="ar"/>
              </w:rPr>
            </w:pPr>
            <w:r>
              <w:rPr>
                <w:rFonts w:hint="eastAsia" w:cs="宋体"/>
                <w:kern w:val="0"/>
                <w:highlight w:val="none"/>
                <w:lang w:bidi="ar"/>
              </w:rPr>
              <w:t>项目组成员具有</w:t>
            </w:r>
            <w:r>
              <w:rPr>
                <w:rFonts w:hint="eastAsia" w:cs="宋体"/>
                <w:highlight w:val="none"/>
              </w:rPr>
              <w:t>高级</w:t>
            </w:r>
            <w:r>
              <w:rPr>
                <w:rFonts w:hint="eastAsia" w:cs="宋体"/>
                <w:kern w:val="0"/>
                <w:highlight w:val="none"/>
                <w:lang w:bidi="ar"/>
              </w:rPr>
              <w:t>专业资质证书的得</w:t>
            </w:r>
            <w:r>
              <w:rPr>
                <w:rFonts w:cs="宋体"/>
                <w:kern w:val="0"/>
                <w:highlight w:val="none"/>
                <w:lang w:bidi="ar"/>
              </w:rPr>
              <w:t>1</w:t>
            </w:r>
            <w:r>
              <w:rPr>
                <w:rFonts w:hint="eastAsia" w:cs="宋体"/>
                <w:kern w:val="0"/>
                <w:highlight w:val="none"/>
                <w:lang w:bidi="ar"/>
              </w:rPr>
              <w:t>分，不满足不得分。（提供证书复印件）</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1</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w:t>
            </w:r>
            <w:r>
              <w:rPr>
                <w:rFonts w:cs="宋体"/>
                <w:highlight w:val="none"/>
              </w:rPr>
              <w:t>1</w:t>
            </w:r>
          </w:p>
        </w:tc>
        <w:tc>
          <w:tcPr>
            <w:tcW w:w="1695" w:type="dxa"/>
            <w:vMerge w:val="continue"/>
          </w:tcPr>
          <w:p>
            <w:pPr>
              <w:pStyle w:val="2"/>
              <w:snapToGrid w:val="0"/>
              <w:spacing w:line="240" w:lineRule="auto"/>
              <w:rPr>
                <w:rFonts w:cs="宋体"/>
                <w:highlight w:val="none"/>
              </w:rPr>
            </w:pPr>
          </w:p>
        </w:tc>
        <w:tc>
          <w:tcPr>
            <w:tcW w:w="4740" w:type="dxa"/>
          </w:tcPr>
          <w:p>
            <w:pPr>
              <w:pStyle w:val="2"/>
              <w:snapToGrid w:val="0"/>
              <w:spacing w:line="240" w:lineRule="auto"/>
              <w:ind w:firstLine="0" w:firstLineChars="0"/>
              <w:rPr>
                <w:rFonts w:cs="宋体"/>
                <w:highlight w:val="none"/>
              </w:rPr>
            </w:pPr>
            <w:r>
              <w:rPr>
                <w:rFonts w:hint="eastAsia" w:cs="宋体"/>
                <w:highlight w:val="none"/>
              </w:rPr>
              <w:t>在项目实施期内，投标人应提供包括</w:t>
            </w:r>
            <w:r>
              <w:rPr>
                <w:rFonts w:hint="eastAsia" w:cs="宋体"/>
                <w:highlight w:val="none"/>
              </w:rPr>
              <w:sym w:font="Wingdings 2" w:char="F06A"/>
            </w:r>
            <w:r>
              <w:rPr>
                <w:rFonts w:hint="eastAsia" w:cs="宋体"/>
                <w:highlight w:val="none"/>
              </w:rPr>
              <w:t>故障排除、性能调优、技术咨询等技术支持，并负责处理、协调与各系统软件、硬件等供应商的关系。</w:t>
            </w:r>
            <w:r>
              <w:rPr>
                <w:rFonts w:hint="eastAsia" w:cs="宋体"/>
                <w:highlight w:val="none"/>
              </w:rPr>
              <w:sym w:font="Wingdings 2" w:char="F06B"/>
            </w:r>
            <w:r>
              <w:rPr>
                <w:rFonts w:hint="eastAsia" w:cs="宋体"/>
                <w:highlight w:val="none"/>
              </w:rPr>
              <w:t>技术支持包括：电话技术服务、钉钉服务、现场技术服务、定期巡查服务等。</w:t>
            </w:r>
          </w:p>
          <w:p>
            <w:pPr>
              <w:pStyle w:val="2"/>
              <w:snapToGrid w:val="0"/>
              <w:spacing w:line="240" w:lineRule="auto"/>
              <w:ind w:firstLine="0" w:firstLineChars="0"/>
              <w:rPr>
                <w:rFonts w:cs="宋体"/>
                <w:highlight w:val="none"/>
              </w:rPr>
            </w:pPr>
            <w:r>
              <w:rPr>
                <w:rFonts w:hint="eastAsia" w:cs="宋体"/>
                <w:highlight w:val="none"/>
              </w:rPr>
              <w:t>承诺一项得</w:t>
            </w:r>
            <w:r>
              <w:rPr>
                <w:rFonts w:cs="宋体"/>
                <w:highlight w:val="none"/>
              </w:rPr>
              <w:t>0.5</w:t>
            </w:r>
            <w:r>
              <w:rPr>
                <w:rFonts w:hint="eastAsia" w:cs="宋体"/>
                <w:highlight w:val="none"/>
              </w:rPr>
              <w:t>分，不承诺不得分，总计</w:t>
            </w:r>
            <w:r>
              <w:rPr>
                <w:rFonts w:cs="宋体"/>
                <w:highlight w:val="none"/>
              </w:rPr>
              <w:t>1</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1</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w:t>
            </w:r>
            <w:r>
              <w:rPr>
                <w:rFonts w:cs="宋体"/>
                <w:highlight w:val="none"/>
              </w:rPr>
              <w:t>2</w:t>
            </w:r>
          </w:p>
        </w:tc>
        <w:tc>
          <w:tcPr>
            <w:tcW w:w="1695"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培训方案（3分）</w:t>
            </w:r>
          </w:p>
        </w:tc>
        <w:tc>
          <w:tcPr>
            <w:tcW w:w="4740" w:type="dxa"/>
          </w:tcPr>
          <w:p>
            <w:pPr>
              <w:pStyle w:val="2"/>
              <w:snapToGrid w:val="0"/>
              <w:spacing w:line="240" w:lineRule="auto"/>
              <w:ind w:firstLine="0" w:firstLineChars="0"/>
              <w:rPr>
                <w:rFonts w:cs="宋体"/>
                <w:highlight w:val="none"/>
              </w:rPr>
            </w:pPr>
            <w:r>
              <w:rPr>
                <w:rFonts w:hint="eastAsia" w:cs="宋体"/>
                <w:highlight w:val="none"/>
              </w:rPr>
              <w:t>承诺①为平台使用人员提供培训；②培训前需提供用户操作手册、课件PPT等培训资料；③项目实施期间，供应商必须提供全面、完整的培训方案，制定培训计划。</w:t>
            </w:r>
            <w:r>
              <w:rPr>
                <w:rFonts w:hint="eastAsia" w:cs="宋体"/>
                <w:highlight w:val="none"/>
              </w:rPr>
              <w:br w:type="textWrapping"/>
            </w:r>
            <w:r>
              <w:rPr>
                <w:rFonts w:hint="eastAsia" w:cs="宋体"/>
                <w:highlight w:val="none"/>
              </w:rPr>
              <w:t>承诺一项得1分，不承诺不得分，总计3分。</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3</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23</w:t>
            </w:r>
          </w:p>
        </w:tc>
        <w:tc>
          <w:tcPr>
            <w:tcW w:w="1695" w:type="dxa"/>
            <w:vMerge w:val="restart"/>
            <w:vAlign w:val="center"/>
          </w:tcPr>
          <w:p>
            <w:pPr>
              <w:pStyle w:val="2"/>
              <w:snapToGrid w:val="0"/>
              <w:spacing w:line="240" w:lineRule="auto"/>
              <w:ind w:firstLine="0" w:firstLineChars="0"/>
              <w:rPr>
                <w:rFonts w:cs="宋体"/>
                <w:b/>
                <w:bCs/>
                <w:highlight w:val="none"/>
              </w:rPr>
            </w:pPr>
            <w:r>
              <w:rPr>
                <w:rFonts w:hint="eastAsia" w:cs="宋体"/>
                <w:b/>
                <w:bCs/>
                <w:highlight w:val="none"/>
              </w:rPr>
              <w:t>投标人资质（</w:t>
            </w:r>
            <w:r>
              <w:rPr>
                <w:rFonts w:cs="宋体"/>
                <w:b/>
                <w:bCs/>
                <w:highlight w:val="none"/>
              </w:rPr>
              <w:t>3</w:t>
            </w:r>
            <w:r>
              <w:rPr>
                <w:rFonts w:hint="eastAsia" w:cs="宋体"/>
                <w:b/>
                <w:bCs/>
                <w:highlight w:val="none"/>
              </w:rPr>
              <w:t>分）</w:t>
            </w:r>
          </w:p>
        </w:tc>
        <w:tc>
          <w:tcPr>
            <w:tcW w:w="4740" w:type="dxa"/>
          </w:tcPr>
          <w:p>
            <w:pPr>
              <w:pStyle w:val="2"/>
              <w:snapToGrid w:val="0"/>
              <w:spacing w:line="240" w:lineRule="auto"/>
              <w:ind w:firstLine="0" w:firstLineChars="0"/>
              <w:rPr>
                <w:rFonts w:cs="宋体"/>
                <w:highlight w:val="none"/>
              </w:rPr>
            </w:pPr>
            <w:r>
              <w:rPr>
                <w:rFonts w:hint="eastAsia" w:cs="宋体"/>
                <w:highlight w:val="none"/>
              </w:rPr>
              <w:t>投标人具有类似企业服务、数据平台软著证书。（提供证书复印件），每份</w:t>
            </w:r>
            <w:r>
              <w:rPr>
                <w:rFonts w:cs="宋体"/>
                <w:highlight w:val="none"/>
              </w:rPr>
              <w:t>0.5</w:t>
            </w:r>
            <w:r>
              <w:rPr>
                <w:rFonts w:hint="eastAsia" w:cs="宋体"/>
                <w:highlight w:val="none"/>
              </w:rPr>
              <w:t>分，最高得</w:t>
            </w:r>
            <w:r>
              <w:rPr>
                <w:rFonts w:cs="宋体"/>
                <w:highlight w:val="none"/>
              </w:rPr>
              <w:t>2</w:t>
            </w:r>
            <w:r>
              <w:rPr>
                <w:rFonts w:hint="eastAsia" w:cs="宋体"/>
                <w:highlight w:val="none"/>
              </w:rPr>
              <w:t>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2</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24</w:t>
            </w:r>
          </w:p>
        </w:tc>
        <w:tc>
          <w:tcPr>
            <w:tcW w:w="1695" w:type="dxa"/>
            <w:vMerge w:val="continue"/>
          </w:tcPr>
          <w:p>
            <w:pPr>
              <w:pStyle w:val="2"/>
              <w:snapToGrid w:val="0"/>
              <w:spacing w:line="240" w:lineRule="auto"/>
              <w:rPr>
                <w:rFonts w:cs="宋体"/>
                <w:b/>
                <w:bCs/>
                <w:highlight w:val="none"/>
              </w:rPr>
            </w:pPr>
          </w:p>
        </w:tc>
        <w:tc>
          <w:tcPr>
            <w:tcW w:w="4740" w:type="dxa"/>
          </w:tcPr>
          <w:p>
            <w:pPr>
              <w:pStyle w:val="2"/>
              <w:snapToGrid w:val="0"/>
              <w:spacing w:line="240" w:lineRule="auto"/>
              <w:ind w:firstLine="0" w:firstLineChars="0"/>
              <w:rPr>
                <w:rFonts w:cs="宋体"/>
                <w:highlight w:val="none"/>
              </w:rPr>
            </w:pPr>
            <w:r>
              <w:rPr>
                <w:rFonts w:hint="eastAsia" w:cs="宋体"/>
                <w:highlight w:val="none"/>
              </w:rPr>
              <w:t>近三年（指合同签订日期在2020年及以后），投标人具有企业端平台建设经验与模型研发经验，需提供项目合作协议复印件。每个项目印证材料得</w:t>
            </w:r>
            <w:r>
              <w:rPr>
                <w:rFonts w:cs="宋体"/>
                <w:highlight w:val="none"/>
              </w:rPr>
              <w:t>0.5</w:t>
            </w:r>
            <w:r>
              <w:rPr>
                <w:rFonts w:hint="eastAsia" w:cs="宋体"/>
                <w:highlight w:val="none"/>
              </w:rPr>
              <w:t>分，最多不超过</w:t>
            </w:r>
            <w:r>
              <w:rPr>
                <w:rFonts w:cs="宋体"/>
                <w:highlight w:val="none"/>
              </w:rPr>
              <w:t>1</w:t>
            </w:r>
            <w:r>
              <w:rPr>
                <w:rFonts w:hint="eastAsia" w:cs="宋体"/>
                <w:highlight w:val="none"/>
              </w:rPr>
              <w:t>分，无此内容不得分。</w:t>
            </w:r>
          </w:p>
        </w:tc>
        <w:tc>
          <w:tcPr>
            <w:tcW w:w="810" w:type="dxa"/>
            <w:vAlign w:val="center"/>
          </w:tcPr>
          <w:p>
            <w:pPr>
              <w:pStyle w:val="2"/>
              <w:snapToGrid w:val="0"/>
              <w:spacing w:line="240" w:lineRule="auto"/>
              <w:ind w:firstLine="0" w:firstLineChars="0"/>
              <w:jc w:val="center"/>
              <w:rPr>
                <w:rFonts w:cs="宋体"/>
                <w:highlight w:val="none"/>
              </w:rPr>
            </w:pPr>
            <w:r>
              <w:rPr>
                <w:rFonts w:cs="宋体"/>
                <w:highlight w:val="none"/>
              </w:rPr>
              <w:t>1</w:t>
            </w:r>
          </w:p>
        </w:tc>
        <w:tc>
          <w:tcPr>
            <w:tcW w:w="1440" w:type="dxa"/>
          </w:tcPr>
          <w:p>
            <w:pPr>
              <w:pStyle w:val="2"/>
              <w:snapToGrid w:val="0"/>
              <w:spacing w:line="240" w:lineRule="auto"/>
              <w:rPr>
                <w:rFonts w:cs="宋体"/>
                <w:highlight w:val="none"/>
              </w:rPr>
            </w:pPr>
            <w:r>
              <w:rPr>
                <w:rFonts w:hint="eastAsia" w:cs="宋体"/>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720" w:type="dxa"/>
            <w:vAlign w:val="center"/>
          </w:tcPr>
          <w:p>
            <w:pPr>
              <w:pStyle w:val="2"/>
              <w:snapToGrid w:val="0"/>
              <w:spacing w:line="240" w:lineRule="auto"/>
              <w:ind w:firstLine="0" w:firstLineChars="0"/>
              <w:jc w:val="center"/>
              <w:rPr>
                <w:rFonts w:cs="宋体"/>
                <w:highlight w:val="none"/>
              </w:rPr>
            </w:pPr>
            <w:r>
              <w:rPr>
                <w:rFonts w:hint="eastAsia" w:cs="宋体"/>
                <w:highlight w:val="none"/>
              </w:rPr>
              <w:t>25</w:t>
            </w:r>
          </w:p>
        </w:tc>
        <w:tc>
          <w:tcPr>
            <w:tcW w:w="1695" w:type="dxa"/>
            <w:vAlign w:val="center"/>
          </w:tcPr>
          <w:p>
            <w:pPr>
              <w:pStyle w:val="2"/>
              <w:snapToGrid w:val="0"/>
              <w:spacing w:line="240" w:lineRule="auto"/>
              <w:ind w:firstLine="0" w:firstLineChars="0"/>
              <w:jc w:val="center"/>
              <w:rPr>
                <w:rFonts w:cs="宋体"/>
                <w:b/>
                <w:bCs/>
                <w:highlight w:val="none"/>
              </w:rPr>
            </w:pPr>
            <w:r>
              <w:rPr>
                <w:rFonts w:hint="eastAsia" w:cs="宋体"/>
                <w:b/>
                <w:bCs/>
                <w:highlight w:val="none"/>
              </w:rPr>
              <w:t>价格分（10分）</w:t>
            </w:r>
          </w:p>
        </w:tc>
        <w:tc>
          <w:tcPr>
            <w:tcW w:w="4740" w:type="dxa"/>
          </w:tcPr>
          <w:p>
            <w:pPr>
              <w:pStyle w:val="2"/>
              <w:snapToGrid w:val="0"/>
              <w:spacing w:line="240" w:lineRule="auto"/>
              <w:ind w:firstLine="0" w:firstLineChars="0"/>
              <w:rPr>
                <w:rFonts w:cs="宋体"/>
                <w:highlight w:val="none"/>
              </w:rPr>
            </w:pPr>
            <w:r>
              <w:rPr>
                <w:rFonts w:hint="eastAsia" w:cs="宋体"/>
                <w:highlight w:val="none"/>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c>
          <w:tcPr>
            <w:tcW w:w="810" w:type="dxa"/>
            <w:vAlign w:val="center"/>
          </w:tcPr>
          <w:p>
            <w:pPr>
              <w:pStyle w:val="2"/>
              <w:snapToGrid w:val="0"/>
              <w:spacing w:line="240" w:lineRule="auto"/>
              <w:ind w:firstLine="0" w:firstLineChars="0"/>
              <w:jc w:val="center"/>
              <w:rPr>
                <w:rFonts w:cs="宋体"/>
                <w:highlight w:val="none"/>
              </w:rPr>
            </w:pPr>
            <w:r>
              <w:rPr>
                <w:rFonts w:hint="eastAsia" w:cs="宋体"/>
                <w:highlight w:val="none"/>
              </w:rPr>
              <w:t>10</w:t>
            </w:r>
          </w:p>
        </w:tc>
        <w:tc>
          <w:tcPr>
            <w:tcW w:w="1440" w:type="dxa"/>
          </w:tcPr>
          <w:p>
            <w:pPr>
              <w:pStyle w:val="2"/>
              <w:snapToGrid w:val="0"/>
              <w:spacing w:line="240" w:lineRule="auto"/>
              <w:rPr>
                <w:rFonts w:cs="宋体"/>
                <w:highlight w:val="none"/>
              </w:rPr>
            </w:pPr>
            <w:r>
              <w:rPr>
                <w:rFonts w:hint="eastAsia" w:cs="宋体"/>
                <w:highlight w:val="none"/>
              </w:rPr>
              <w:t>　</w:t>
            </w:r>
          </w:p>
        </w:tc>
      </w:tr>
    </w:tbl>
    <w:p>
      <w:pPr>
        <w:pStyle w:val="2"/>
        <w:ind w:firstLine="0" w:firstLineChars="0"/>
        <w:rPr>
          <w:highlight w:val="none"/>
        </w:rPr>
      </w:pPr>
    </w:p>
    <w:p>
      <w:pPr>
        <w:pStyle w:val="965"/>
        <w:spacing w:before="24" w:after="24"/>
        <w:jc w:val="left"/>
        <w:rPr>
          <w:highlight w:val="none"/>
        </w:rPr>
      </w:pPr>
      <w:r>
        <w:rPr>
          <w:rFonts w:hint="eastAsia"/>
          <w:highlight w:val="none"/>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965"/>
        <w:spacing w:before="24" w:after="24"/>
        <w:jc w:val="left"/>
        <w:rPr>
          <w:kern w:val="0"/>
          <w:sz w:val="24"/>
          <w:highlight w:val="none"/>
        </w:rPr>
      </w:pPr>
      <w:r>
        <w:rPr>
          <w:rFonts w:hint="eastAsia"/>
          <w:highlight w:val="none"/>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pStyle w:val="965"/>
        <w:spacing w:before="24" w:after="24"/>
        <w:jc w:val="left"/>
        <w:rPr>
          <w:highlight w:val="none"/>
        </w:rPr>
      </w:pPr>
      <w:r>
        <w:rPr>
          <w:rFonts w:hint="eastAsia"/>
          <w:highlight w:val="none"/>
        </w:rPr>
        <w:t>三、评标程序</w:t>
      </w:r>
    </w:p>
    <w:p>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3.1组建评标委员会</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评标委员会由采购人代表和有关技术、经济等方面的专家组成，成员人数应当为5人以上单数，其中技术、经济等方面的专家不得少于成员总数的三分之二，采购人代表最多1名。</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3.1.1.在评审专家中推选评审小组组长。</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3.1.3.采购代理机构对各投标人的资格进行审查，投标人资格条件不符合招标文件要求的投标无效，不再进入符合性审查。</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3.1.4.评审小组对各投标文件的符合性进行审查，确定是否对招标文件作出了实质性响应。实质上没有响应招标文件要求的投标将被视为无效投标，不再进入下一阶段的评审。</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3.1.5.评审人员按招标文件规定的评审方法和评审标准，依法独立对供应商投标文件进行评估、比较，并给予评价或打分，不受任何单位和个人的干预。</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3.1.6.各投标人的得分为所有评委的有效评分的算术平均数，由指定专人进行计算复核。</w:t>
      </w:r>
    </w:p>
    <w:p>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3.1.7.评标委员会完成评标后，评委对各部分得分汇总，计算出本项目最终得分。评标委员会按评标原则推荐中标候选人，同时起草评标报告。</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3.5报价评审。</w:t>
      </w:r>
    </w:p>
    <w:p>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3.5.1投标文件报价出现前后不一致的，按照下列规定修正：</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3.5.1.2大写金额和小写金额不一致的，以大写金额为准;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3.5.1.4总价金额与按单价汇总金额不一致的，以单价金额计算结果为准。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3.5.2投标文件出现不是唯一的、有选择性投标报价的，投标无效。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3.5.3投标报价超过招标文件中规定的预算金额或者最高限价的，投标无效。</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3.5.5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4.2.3招标人拟采购的产品属于政府强制采购的节能产品品目清单范围的，投标人相应的投标产品未获得国家确定的认证机构出具的、处于有效期之内的节能产品认证证书的；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4.2.4投标文件含有招标人不能接受的附加条件的；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4.2.11投标人有恶意串通、妨碍其他投标人的竞争行为、损害招标人或者其他投标人的合法权益情形的；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5.3投标人的报价均超过了采购预算，招标人不能支付的；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废标后，采购机构应当将废标理由通知所有投标人。</w:t>
      </w:r>
    </w:p>
    <w:p>
      <w:pPr>
        <w:pStyle w:val="2"/>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招标人、采购机构沟通并作书面记录。招标人、采购机构确认后，将修改招标文件，重新组织采购活动。</w:t>
      </w:r>
    </w:p>
    <w:p>
      <w:pPr>
        <w:pStyle w:val="2"/>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7.4政府采购合同已经履行，给招标人、供应商造成损失的，由责任人承担赔偿责任。</w:t>
      </w:r>
    </w:p>
    <w:p>
      <w:pPr>
        <w:pStyle w:val="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000000" w:themeColor="text1"/>
          <w:highlight w:val="none"/>
          <w14:textFill>
            <w14:solidFill>
              <w14:schemeClr w14:val="tx1"/>
            </w14:solidFill>
          </w14:textFill>
        </w:rPr>
      </w:pPr>
    </w:p>
    <w:bookmarkEnd w:id="27"/>
    <w:p>
      <w:pPr>
        <w:widowControl/>
        <w:adjustRightInd/>
        <w:jc w:val="left"/>
        <w:rPr>
          <w:rFonts w:ascii="宋体" w:hAnsi="宋体" w:cs="宋体"/>
          <w:b/>
          <w:color w:val="000000" w:themeColor="text1"/>
          <w:sz w:val="36"/>
          <w:szCs w:val="36"/>
          <w:highlight w:val="none"/>
          <w14:textFill>
            <w14:solidFill>
              <w14:schemeClr w14:val="tx1"/>
            </w14:solidFill>
          </w14:textFill>
        </w:rPr>
      </w:pPr>
      <w:bookmarkStart w:id="396" w:name="第五部分"/>
      <w:bookmarkStart w:id="397" w:name="_Toc86217003"/>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699"/>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82"/>
        <w:rPr>
          <w:rFonts w:cs="宋体"/>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widowControl/>
        <w:shd w:val="clear" w:color="auto" w:fill="FFFFFF"/>
        <w:adjustRightInd/>
        <w:spacing w:line="360" w:lineRule="auto"/>
        <w:ind w:firstLine="482"/>
        <w:jc w:val="left"/>
        <w:rPr>
          <w:rFonts w:ascii="宋体" w:hAnsi="宋体" w:cs="宋体"/>
          <w:sz w:val="24"/>
          <w:highlight w:val="none"/>
          <w:u w:val="single"/>
          <w:lang w:bidi="ar"/>
        </w:rPr>
      </w:pPr>
    </w:p>
    <w:p>
      <w:pPr>
        <w:widowControl/>
        <w:shd w:val="clear" w:color="auto" w:fill="FFFFFF"/>
        <w:adjustRightInd/>
        <w:spacing w:line="360" w:lineRule="auto"/>
        <w:ind w:firstLine="482"/>
        <w:rPr>
          <w:rFonts w:ascii="宋体" w:hAnsi="宋体" w:cs="宋体"/>
          <w:sz w:val="24"/>
          <w:highlight w:val="none"/>
        </w:rPr>
      </w:pP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r>
        <w:rPr>
          <w:rFonts w:hint="eastAsia" w:ascii="宋体" w:hAnsi="宋体" w:cs="宋体"/>
          <w:sz w:val="24"/>
          <w:highlight w:val="none"/>
          <w:u w:val="single"/>
          <w:lang w:bidi="ar"/>
        </w:rPr>
        <w:t xml:space="preserve"> 杭州市发展和改革委员会 </w:t>
      </w:r>
      <w:r>
        <w:rPr>
          <w:rFonts w:hint="eastAsia" w:ascii="宋体" w:hAnsi="宋体" w:cs="宋体"/>
          <w:sz w:val="24"/>
          <w:highlight w:val="none"/>
          <w:lang w:bidi="ar"/>
        </w:rPr>
        <w:t>以</w:t>
      </w:r>
      <w:r>
        <w:rPr>
          <w:rFonts w:hint="eastAsia" w:ascii="宋体" w:hAnsi="宋体" w:cs="宋体"/>
          <w:sz w:val="24"/>
          <w:highlight w:val="none"/>
          <w:u w:val="single"/>
          <w:lang w:bidi="ar"/>
        </w:rPr>
        <w:t xml:space="preserve">   公开招标  </w:t>
      </w:r>
      <w:r>
        <w:rPr>
          <w:rFonts w:hint="eastAsia" w:ascii="宋体" w:hAnsi="宋体" w:cs="宋体"/>
          <w:sz w:val="24"/>
          <w:highlight w:val="none"/>
          <w:lang w:bidi="ar"/>
        </w:rPr>
        <w:t>对</w:t>
      </w:r>
      <w:r>
        <w:rPr>
          <w:rFonts w:hint="eastAsia" w:ascii="宋体" w:hAnsi="宋体" w:cs="宋体"/>
          <w:sz w:val="24"/>
          <w:highlight w:val="none"/>
          <w:lang w:val="en-US" w:eastAsia="zh-CN" w:bidi="ar"/>
        </w:rPr>
        <w:t xml:space="preserve"> </w:t>
      </w:r>
      <w:r>
        <w:rPr>
          <w:rFonts w:hint="default" w:ascii="宋体" w:hAnsi="宋体" w:cs="宋体"/>
          <w:sz w:val="24"/>
          <w:highlight w:val="none"/>
          <w:lang w:val="en-US" w:eastAsia="zh-CN" w:bidi="ar"/>
        </w:rPr>
        <w:t>“</w:t>
      </w:r>
      <w:r>
        <w:rPr>
          <w:rFonts w:hint="eastAsia" w:ascii="宋体" w:hAnsi="宋体" w:cs="宋体"/>
          <w:sz w:val="24"/>
          <w:highlight w:val="none"/>
          <w:u w:val="single"/>
          <w:lang w:eastAsia="zh-CN" w:bidi="ar"/>
        </w:rPr>
        <w:t>城市大脑2.0-数智营商”</w:t>
      </w:r>
      <w:r>
        <w:rPr>
          <w:rFonts w:hint="eastAsia" w:ascii="宋体" w:hAnsi="宋体" w:cs="宋体"/>
          <w:sz w:val="24"/>
          <w:highlight w:val="none"/>
          <w:u w:val="single"/>
          <w:lang w:bidi="ar"/>
        </w:rPr>
        <w:t xml:space="preserve">政策一站直达场景建设   </w:t>
      </w:r>
      <w:r>
        <w:rPr>
          <w:rFonts w:hint="eastAsia" w:ascii="宋体" w:hAnsi="宋体" w:cs="宋体"/>
          <w:sz w:val="24"/>
          <w:highlight w:val="none"/>
          <w:lang w:bidi="ar"/>
        </w:rPr>
        <w:t>项目进行了采购。经</w:t>
      </w:r>
      <w:r>
        <w:rPr>
          <w:rFonts w:hint="eastAsia" w:ascii="宋体" w:hAnsi="宋体" w:cs="宋体"/>
          <w:sz w:val="24"/>
          <w:highlight w:val="none"/>
          <w:u w:val="single"/>
          <w:lang w:bidi="ar"/>
        </w:rPr>
        <w:t xml:space="preserve">  </w:t>
      </w:r>
      <w:r>
        <w:rPr>
          <w:rFonts w:hint="eastAsia" w:ascii="宋体" w:hAnsi="宋体" w:cs="宋体"/>
          <w:sz w:val="24"/>
          <w:highlight w:val="none"/>
          <w:u w:val="single"/>
          <w:lang w:eastAsia="zh-CN" w:bidi="ar"/>
        </w:rPr>
        <w:t>“城市大脑2.0-数智营商”</w:t>
      </w:r>
      <w:r>
        <w:rPr>
          <w:rFonts w:hint="eastAsia" w:ascii="宋体" w:hAnsi="宋体" w:cs="宋体"/>
          <w:sz w:val="24"/>
          <w:highlight w:val="none"/>
          <w:u w:val="single"/>
          <w:lang w:bidi="ar"/>
        </w:rPr>
        <w:t xml:space="preserve">政策一站直达场景建设评审小组   </w:t>
      </w:r>
      <w:r>
        <w:rPr>
          <w:rFonts w:hint="eastAsia" w:ascii="宋体" w:hAnsi="宋体" w:cs="宋体"/>
          <w:sz w:val="24"/>
          <w:highlight w:val="none"/>
          <w:lang w:bidi="ar"/>
        </w:rPr>
        <w:t>评定，</w:t>
      </w:r>
      <w:r>
        <w:rPr>
          <w:rFonts w:hint="eastAsia" w:ascii="宋体" w:hAnsi="宋体" w:cs="宋体"/>
          <w:sz w:val="24"/>
          <w:highlight w:val="none"/>
          <w:u w:val="single"/>
          <w:lang w:bidi="ar"/>
        </w:rPr>
        <w:t>（中标供应商名称）</w:t>
      </w:r>
      <w:r>
        <w:rPr>
          <w:rFonts w:hint="eastAsia" w:ascii="宋体" w:hAnsi="宋体" w:cs="宋体"/>
          <w:sz w:val="24"/>
          <w:highlight w:val="none"/>
          <w:lang w:bidi="ar"/>
        </w:rPr>
        <w:t>为该项目中标供应商。现于中标通知书发出之日起三十日内（</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宋体" w:hAnsi="宋体" w:cs="宋体"/>
          <w:sz w:val="24"/>
          <w:highlight w:val="none"/>
          <w:lang w:bidi="ar"/>
        </w:rPr>
        <w:t>），按照招标文件确定的事项签订本合同。</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lang w:bidi="ar"/>
        </w:rPr>
        <w:t xml:space="preserve">  杭州市发展和改革委员会   </w:t>
      </w:r>
      <w:r>
        <w:rPr>
          <w:rFonts w:hint="eastAsia" w:ascii="宋体" w:hAnsi="宋体" w:cs="宋体"/>
          <w:sz w:val="24"/>
          <w:highlight w:val="none"/>
          <w:lang w:bidi="ar"/>
        </w:rPr>
        <w:t>(以下简称：甲方)和</w:t>
      </w:r>
      <w:r>
        <w:rPr>
          <w:rFonts w:hint="eastAsia" w:ascii="宋体" w:hAnsi="宋体" w:cs="宋体"/>
          <w:sz w:val="24"/>
          <w:highlight w:val="none"/>
          <w:u w:val="single"/>
          <w:lang w:bidi="ar"/>
        </w:rPr>
        <w:t xml:space="preserve">   （中标供应商名称）   </w:t>
      </w:r>
      <w:r>
        <w:rPr>
          <w:rFonts w:hint="eastAsia" w:ascii="宋体" w:hAnsi="宋体" w:cs="宋体"/>
          <w:sz w:val="24"/>
          <w:highlight w:val="none"/>
          <w:lang w:bidi="ar"/>
        </w:rPr>
        <w:t>(以下简称：乙方)协商一致，约定以下合同条款，以兹共同遵守、全面履行。</w:t>
      </w:r>
    </w:p>
    <w:p>
      <w:pPr>
        <w:pStyle w:val="877"/>
        <w:spacing w:before="24" w:after="24"/>
        <w:rPr>
          <w:rFonts w:ascii="宋体" w:hAnsi="宋体" w:eastAsia="宋体" w:cs="宋体"/>
          <w:highlight w:val="none"/>
          <w:lang w:bidi="ar"/>
        </w:rPr>
      </w:pPr>
      <w:r>
        <w:rPr>
          <w:rFonts w:hint="eastAsia" w:ascii="宋体" w:hAnsi="宋体" w:eastAsia="宋体" w:cs="宋体"/>
          <w:highlight w:val="none"/>
          <w:lang w:bidi="ar"/>
        </w:rPr>
        <w:t>1.1 合同组成部分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1.1.1 本合同及其补充合同、变更协议；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1.1.2 中标通知书；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1.1.3 投标文件（含澄清或者说明文件）；</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1.1.4 招标文件（含澄清或者修改文件）；</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1.1.5 其他相关招标文件。</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1.2 标的</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lang w:bidi="ar"/>
        </w:rPr>
        <w:t>1.2.1 标的名称：</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lang w:bidi="ar"/>
        </w:rPr>
        <w:t>1.2.2 标的数量：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1.2.3 标的质量：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1.3 价款</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本合同总价为：￥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元（大写：</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元人民币）。</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lang w:bidi="ar"/>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360" w:lineRule="auto"/>
              <w:ind w:firstLine="200"/>
              <w:jc w:val="center"/>
              <w:rPr>
                <w:rFonts w:hAnsi="宋体" w:cs="宋体"/>
                <w:sz w:val="24"/>
                <w:szCs w:val="24"/>
                <w:highlight w:val="none"/>
              </w:rPr>
            </w:pPr>
          </w:p>
        </w:tc>
      </w:tr>
    </w:tbl>
    <w:p>
      <w:pPr>
        <w:pStyle w:val="877"/>
        <w:spacing w:before="24" w:after="24"/>
        <w:rPr>
          <w:rFonts w:ascii="宋体" w:hAnsi="宋体" w:eastAsia="宋体" w:cs="宋体"/>
          <w:highlight w:val="none"/>
        </w:rPr>
      </w:pPr>
      <w:r>
        <w:rPr>
          <w:rFonts w:hint="eastAsia" w:ascii="宋体" w:hAnsi="宋体" w:eastAsia="宋体" w:cs="宋体"/>
          <w:highlight w:val="none"/>
          <w:lang w:bidi="ar"/>
        </w:rPr>
        <w:t>1.4 付款方式、时间和条件</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1.4.2乙方可登录政采云前台大厅选择金融服务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1.4.3甲方迟延支付乙方款项的，向乙方支付逾期利息。双方可以在合同专用条款中约定逾期利率，约定利率不得低于合同订立时1年期贷款市场报价利率；未作约定的，按照每日利率</w:t>
      </w:r>
      <w:r>
        <w:rPr>
          <w:rFonts w:hint="eastAsia" w:ascii="宋体" w:hAnsi="宋体" w:cs="宋体"/>
          <w:sz w:val="24"/>
          <w:highlight w:val="none"/>
          <w:u w:val="single"/>
          <w:lang w:bidi="ar"/>
        </w:rPr>
        <w:t>万分之五</w:t>
      </w:r>
      <w:r>
        <w:rPr>
          <w:rFonts w:hint="eastAsia" w:ascii="宋体" w:hAnsi="宋体" w:cs="宋体"/>
          <w:sz w:val="24"/>
          <w:highlight w:val="none"/>
          <w:lang w:bidi="ar"/>
        </w:rPr>
        <w:t>支付逾期利息。</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1.4.4资金支付的方式、时间和条件详见</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1.5 服务期限、地点和方式</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lang w:bidi="ar"/>
        </w:rPr>
        <w:t>1.5.1 服务期限：详见</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1.5.2 服务地点：</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1.5.3 服务方式：</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1.6 违约责任</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1.6.1除不可抗力外，如果乙方没有按照本合同约定的期限、地点和方式履行合同，那么甲方可要求乙方支付违约金，违约金按每迟延履行一日的应提供而未提供的服务的价格的</w:t>
      </w:r>
      <w:r>
        <w:rPr>
          <w:rFonts w:hint="eastAsia" w:ascii="宋体" w:hAnsi="宋体" w:cs="宋体"/>
          <w:sz w:val="24"/>
          <w:highlight w:val="none"/>
          <w:u w:val="single"/>
          <w:lang w:bidi="ar"/>
        </w:rPr>
        <w:t xml:space="preserve">  0.05  </w:t>
      </w:r>
      <w:r>
        <w:rPr>
          <w:rFonts w:hint="eastAsia" w:ascii="宋体" w:hAnsi="宋体" w:cs="宋体"/>
          <w:sz w:val="24"/>
          <w:highlight w:val="none"/>
          <w:lang w:bidi="ar"/>
        </w:rPr>
        <w:t>%计算，最高限额为本合同总价的</w:t>
      </w:r>
      <w:r>
        <w:rPr>
          <w:rFonts w:hint="eastAsia" w:ascii="宋体" w:hAnsi="宋体" w:cs="宋体"/>
          <w:sz w:val="24"/>
          <w:highlight w:val="none"/>
          <w:u w:val="single"/>
          <w:lang w:bidi="ar"/>
        </w:rPr>
        <w:t xml:space="preserve"> 20  </w:t>
      </w:r>
      <w:r>
        <w:rPr>
          <w:rFonts w:hint="eastAsia" w:ascii="宋体" w:hAnsi="宋体" w:cs="宋体"/>
          <w:sz w:val="24"/>
          <w:highlight w:val="none"/>
          <w:lang w:bidi="ar"/>
        </w:rPr>
        <w:t>%；迟延履行服务的违约金计算数额达到前述最高限额之日起，甲方有权在要求乙方支付违约金的同时，书面通知乙方解除本合同；</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lang w:bidi="ar"/>
        </w:rPr>
        <w:t xml:space="preserve">  0.05  </w:t>
      </w:r>
      <w:r>
        <w:rPr>
          <w:rFonts w:hint="eastAsia" w:ascii="宋体" w:hAnsi="宋体" w:cs="宋体"/>
          <w:sz w:val="24"/>
          <w:highlight w:val="none"/>
          <w:lang w:bidi="ar"/>
        </w:rPr>
        <w:t>%计算，最高限额为本合同总价的</w:t>
      </w:r>
      <w:r>
        <w:rPr>
          <w:rFonts w:hint="eastAsia" w:ascii="宋体" w:hAnsi="宋体" w:cs="宋体"/>
          <w:sz w:val="24"/>
          <w:highlight w:val="none"/>
          <w:u w:val="single"/>
          <w:lang w:bidi="ar"/>
        </w:rPr>
        <w:t xml:space="preserve">  20   </w:t>
      </w:r>
      <w:r>
        <w:rPr>
          <w:rFonts w:hint="eastAsia" w:ascii="宋体" w:hAnsi="宋体" w:cs="宋体"/>
          <w:sz w:val="24"/>
          <w:highlight w:val="none"/>
          <w:lang w:bidi="ar"/>
        </w:rPr>
        <w:t>%；迟延付款的违约金计算数额达到前述最高限额之日起，乙方有权在要求甲方支付违约金的同时，书面通知甲方解除本合同；</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jc w:val="left"/>
        <w:rPr>
          <w:rFonts w:ascii="宋体" w:hAnsi="宋体" w:cs="宋体"/>
          <w:szCs w:val="21"/>
          <w:highlight w:val="none"/>
        </w:rPr>
      </w:pPr>
      <w:r>
        <w:rPr>
          <w:rFonts w:hint="eastAsia" w:ascii="宋体" w:hAnsi="宋体" w:cs="宋体"/>
          <w:sz w:val="24"/>
          <w:highlight w:val="none"/>
          <w:lang w:bidi="ar"/>
        </w:rPr>
        <w:t>1.6.7违约责任</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另有约定的，从其约定。</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1.7 合同争议的解决</w:t>
      </w:r>
    </w:p>
    <w:p>
      <w:pPr>
        <w:spacing w:line="360" w:lineRule="auto"/>
        <w:ind w:firstLine="240" w:firstLineChars="100"/>
        <w:jc w:val="left"/>
        <w:rPr>
          <w:rFonts w:ascii="宋体" w:hAnsi="宋体" w:cs="宋体"/>
          <w:sz w:val="24"/>
          <w:highlight w:val="none"/>
        </w:rPr>
      </w:pPr>
      <w:r>
        <w:rPr>
          <w:rFonts w:hint="eastAsia" w:ascii="宋体" w:hAnsi="宋体" w:cs="宋体"/>
          <w:sz w:val="24"/>
          <w:highlight w:val="none"/>
          <w:lang w:bidi="ar"/>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lang w:bidi="ar"/>
        </w:rPr>
        <w:t xml:space="preserve"> 合同专用条款  </w:t>
      </w:r>
      <w:r>
        <w:rPr>
          <w:rFonts w:hint="eastAsia" w:ascii="宋体" w:hAnsi="宋体" w:cs="宋体"/>
          <w:sz w:val="24"/>
          <w:highlight w:val="none"/>
          <w:lang w:bidi="ar"/>
        </w:rPr>
        <w:t>条款规定的方式解决：</w:t>
      </w:r>
    </w:p>
    <w:p>
      <w:pPr>
        <w:spacing w:line="360" w:lineRule="auto"/>
        <w:ind w:firstLine="840" w:firstLineChars="350"/>
        <w:jc w:val="left"/>
        <w:rPr>
          <w:rFonts w:ascii="宋体" w:hAnsi="宋体" w:cs="宋体"/>
          <w:sz w:val="24"/>
          <w:highlight w:val="none"/>
        </w:rPr>
      </w:pPr>
      <w:r>
        <w:rPr>
          <w:rFonts w:hint="eastAsia" w:ascii="宋体" w:hAnsi="宋体" w:cs="宋体"/>
          <w:sz w:val="24"/>
          <w:highlight w:val="none"/>
          <w:lang w:bidi="ar"/>
        </w:rPr>
        <w:t>1.7.1 将争议提交</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仲裁委员会依申请仲裁时其现行有效的仲裁规则裁决；</w:t>
      </w:r>
    </w:p>
    <w:p>
      <w:pPr>
        <w:spacing w:line="360" w:lineRule="auto"/>
        <w:ind w:firstLine="840" w:firstLineChars="350"/>
        <w:jc w:val="left"/>
        <w:rPr>
          <w:rFonts w:ascii="宋体" w:hAnsi="宋体" w:cs="宋体"/>
          <w:sz w:val="24"/>
          <w:highlight w:val="none"/>
        </w:rPr>
      </w:pPr>
      <w:r>
        <w:rPr>
          <w:rFonts w:hint="eastAsia" w:ascii="宋体" w:hAnsi="宋体" w:cs="宋体"/>
          <w:sz w:val="24"/>
          <w:highlight w:val="none"/>
          <w:lang w:bidi="ar"/>
        </w:rPr>
        <w:t>1.7.2 向</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人民法院起诉。</w:t>
      </w:r>
    </w:p>
    <w:p>
      <w:pPr>
        <w:pStyle w:val="877"/>
        <w:spacing w:before="24" w:after="24"/>
        <w:rPr>
          <w:rFonts w:ascii="宋体" w:hAnsi="宋体" w:eastAsia="宋体" w:cs="宋体"/>
          <w:highlight w:val="none"/>
        </w:rPr>
      </w:pPr>
      <w:r>
        <w:rPr>
          <w:rFonts w:hint="eastAsia" w:ascii="宋体" w:hAnsi="宋体" w:eastAsia="宋体" w:cs="宋体"/>
          <w:highlight w:val="none"/>
          <w:lang w:bidi="ar"/>
        </w:rPr>
        <w:t>1.8 合同生效</w:t>
      </w:r>
    </w:p>
    <w:p>
      <w:pPr>
        <w:spacing w:line="360" w:lineRule="auto"/>
        <w:ind w:firstLine="480" w:firstLineChars="200"/>
        <w:jc w:val="left"/>
        <w:rPr>
          <w:rFonts w:ascii="宋体" w:hAnsi="宋体" w:cs="宋体"/>
          <w:b/>
          <w:sz w:val="24"/>
          <w:highlight w:val="none"/>
        </w:rPr>
      </w:pPr>
      <w:r>
        <w:rPr>
          <w:rFonts w:hint="eastAsia" w:ascii="宋体" w:hAnsi="宋体" w:cs="宋体"/>
          <w:sz w:val="24"/>
          <w:highlight w:val="none"/>
          <w:lang w:bidi="ar"/>
        </w:rPr>
        <w:t>本合同自双方当事人盖章或者签字时生效。</w:t>
      </w:r>
    </w:p>
    <w:p>
      <w:pPr>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lang w:bidi="ar"/>
        </w:rPr>
        <w:t xml:space="preserve"> </w:t>
      </w:r>
    </w:p>
    <w:p>
      <w:pPr>
        <w:autoSpaceDE w:val="0"/>
        <w:autoSpaceDN w:val="0"/>
        <w:spacing w:line="360" w:lineRule="auto"/>
        <w:rPr>
          <w:rFonts w:ascii="宋体" w:hAnsi="宋体" w:cs="宋体"/>
          <w:sz w:val="24"/>
          <w:highlight w:val="none"/>
        </w:rPr>
      </w:pPr>
      <w:r>
        <w:rPr>
          <w:rFonts w:hint="eastAsia" w:ascii="宋体" w:hAnsi="宋体" w:cs="宋体"/>
          <w:b/>
          <w:sz w:val="24"/>
          <w:highlight w:val="none"/>
          <w:lang w:bidi="ar"/>
        </w:rPr>
        <w:t>甲方</w:t>
      </w:r>
      <w:r>
        <w:rPr>
          <w:rFonts w:hint="eastAsia" w:ascii="宋体" w:hAnsi="宋体" w:cs="宋体"/>
          <w:sz w:val="24"/>
          <w:highlight w:val="none"/>
          <w:lang w:bidi="ar"/>
        </w:rPr>
        <w:t xml:space="preserve">：                             </w:t>
      </w:r>
      <w:r>
        <w:rPr>
          <w:rFonts w:hint="eastAsia" w:ascii="宋体" w:hAnsi="宋体" w:cs="宋体"/>
          <w:b/>
          <w:sz w:val="24"/>
          <w:highlight w:val="none"/>
          <w:lang w:bidi="ar"/>
        </w:rPr>
        <w:t xml:space="preserve">      乙方</w:t>
      </w:r>
      <w:r>
        <w:rPr>
          <w:rFonts w:hint="eastAsia" w:ascii="宋体" w:hAnsi="宋体" w:cs="宋体"/>
          <w:sz w:val="24"/>
          <w:highlight w:val="none"/>
          <w:lang w:bidi="ar"/>
        </w:rPr>
        <w:t>：</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统一社会信用代码：                        统一社会信用代码或身份证号码：</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住所：                                   住所：</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法定代表人或                             法定代表人</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 xml:space="preserve">授权代表（签字）：                        或授权代表（签字）: </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联系人：                                 联系人：</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约定送达地址：                           约定送达地址：</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邮政编码：                               邮政编码：</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 xml:space="preserve">电话:                                    电话: </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传真:                                    传真:</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电子邮箱：                               电子邮箱：</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 xml:space="preserve">开户银行：                               开户银行： </w:t>
      </w:r>
    </w:p>
    <w:p>
      <w:pPr>
        <w:autoSpaceDE w:val="0"/>
        <w:autoSpaceDN w:val="0"/>
        <w:spacing w:line="360" w:lineRule="auto"/>
        <w:rPr>
          <w:rFonts w:ascii="宋体" w:hAnsi="宋体" w:cs="宋体"/>
          <w:sz w:val="24"/>
          <w:highlight w:val="none"/>
        </w:rPr>
      </w:pPr>
      <w:r>
        <w:rPr>
          <w:rFonts w:hint="eastAsia" w:ascii="宋体" w:hAnsi="宋体" w:cs="宋体"/>
          <w:sz w:val="24"/>
          <w:highlight w:val="none"/>
          <w:lang w:bidi="ar"/>
        </w:rPr>
        <w:t xml:space="preserve">开户名称：                               开户名称： </w:t>
      </w:r>
    </w:p>
    <w:p>
      <w:pPr>
        <w:autoSpaceDE w:val="0"/>
        <w:autoSpaceDN w:val="0"/>
        <w:spacing w:line="360" w:lineRule="auto"/>
        <w:rPr>
          <w:rFonts w:ascii="宋体" w:hAnsi="宋体" w:cs="宋体"/>
          <w:b/>
          <w:sz w:val="24"/>
          <w:highlight w:val="none"/>
        </w:rPr>
      </w:pPr>
      <w:r>
        <w:rPr>
          <w:rFonts w:hint="eastAsia" w:ascii="宋体" w:hAnsi="宋体" w:cs="宋体"/>
          <w:sz w:val="24"/>
          <w:highlight w:val="none"/>
          <w:lang w:bidi="ar"/>
        </w:rPr>
        <w:t>开户账号：                               开户账号：</w:t>
      </w:r>
    </w:p>
    <w:p>
      <w:pPr>
        <w:rPr>
          <w:rFonts w:ascii="宋体" w:hAnsi="宋体" w:cs="宋体"/>
          <w:b/>
          <w:sz w:val="24"/>
          <w:highlight w:val="none"/>
          <w:lang w:bidi="ar"/>
        </w:rPr>
      </w:pPr>
      <w:r>
        <w:rPr>
          <w:rFonts w:hint="eastAsia" w:ascii="宋体" w:hAnsi="宋体" w:cs="宋体"/>
          <w:b/>
          <w:sz w:val="24"/>
          <w:highlight w:val="none"/>
          <w:lang w:bidi="ar"/>
        </w:rPr>
        <w:br w:type="page"/>
      </w:r>
    </w:p>
    <w:p>
      <w:pPr>
        <w:pStyle w:val="669"/>
        <w:spacing w:before="24" w:after="24"/>
        <w:jc w:val="center"/>
        <w:rPr>
          <w:rFonts w:ascii="宋体" w:hAnsi="宋体" w:eastAsia="宋体" w:cs="宋体"/>
          <w:highlight w:val="none"/>
        </w:rPr>
      </w:pPr>
      <w:r>
        <w:rPr>
          <w:rFonts w:hint="eastAsia" w:ascii="宋体" w:hAnsi="宋体" w:eastAsia="宋体" w:cs="宋体"/>
          <w:highlight w:val="none"/>
          <w:lang w:bidi="ar"/>
        </w:rPr>
        <w:t>第二部分 合同一般条款</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 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本合同中的下列词语应按以下内容进行解释：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2.1.2 “合同价”系指根据合同约定，中标供应商在完全履行合同义务后，采购人应支付给中标供应商的价格。</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2.1.4 “甲方”系指与中标供应商签署合同的采购人；采购人委托采购代理机构代表其与乙方签订合同的，采购人的授权委托书作为合同附件。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2.1.6 “现场”系指合同约定提供服务的地点。</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2.2 技术规范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2.3 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2.3.2具有知识产权的计算机软件等标的的知识产权归属，详见</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2.4 履约检查和问题反馈</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2.4.2 合同履行期间，甲方有权将履行过程中出现的问题反馈给乙方，双方当事人应以书面形式约定需要完善和改进的内容。</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2.5 技术资料和保密义务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2.5.1 乙方有权依据合同约定和项目需要，向甲方了解有关情况，调阅有关资料等，甲方应予积极配合；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2.5.2 乙方有义务妥善保管和保护由甲方提供的前款信息和资料等；</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2.6 质量保证</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2.6.1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2.6.2 乙方应保证履行合同的人员数量和素质、软件和硬件设备的配置、场地、环境和设施等满足全面履行合同的要求，并应接受甲方的监督检查。</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2.7 延迟履行</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2.8 合同变更</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合同继续履行将损害国家利益和社会公共利益的，双方当事人应当以书面形式变更合同。有过错的一方应当承担赔偿责任，双方当事人都有过错的，各自承担相应的责任。</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2.9 合同转让和分包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2.9.2乙方采取分包方式履行合同的，甲方可直接向分包供应商支付款项。</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2.10不可抗力</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2.10.2 因不可抗力致使不能实现合同目的的，当事人可以解除合同；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2.10.3 因不可抗力致使合同有变更必要的，双方当事人应在</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约定时间内以书面形式变更合同；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2.10.4受不可抗力影响的一方在不可抗力发生后，应在</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约定时间内以书面形式通知对方当事人，并在</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约定时间内，将有关部门出具的证明文件送达对方当事人。</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2.11 税费</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与合同有关的一切税费，均按照中华人民共和国法律的相关规定。</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2.12乙方破产</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2.13 合同中止、终止</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2.13.1 双方当事人不得擅自中止或者终止合同；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2.13.2合同继续履行将损害国家利益和社会公共利益的，双方当事人应当中止或者终止合同。有过错的一方应当承担赔偿责任，双方当事人都有过错的，各自承担相应的责任。</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2.14检验和验收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2.14.1 甲方按照</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的约定进行验收；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2.14.3 检验和验收标准、程序等具体内容以及前述验收书的效力详见</w:t>
      </w:r>
      <w:r>
        <w:rPr>
          <w:rFonts w:hint="eastAsia" w:ascii="宋体" w:hAnsi="宋体" w:cs="宋体"/>
          <w:b/>
          <w:i/>
          <w:sz w:val="24"/>
          <w:highlight w:val="none"/>
          <w:u w:val="single"/>
          <w:lang w:bidi="ar"/>
        </w:rPr>
        <w:t>合同专用条款</w:t>
      </w:r>
      <w:r>
        <w:rPr>
          <w:rFonts w:hint="eastAsia" w:ascii="宋体" w:hAnsi="宋体" w:cs="宋体"/>
          <w:i/>
          <w:sz w:val="24"/>
          <w:highlight w:val="none"/>
          <w:lang w:bidi="ar"/>
        </w:rPr>
        <w:t>。</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2.15 通知和送达</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 xml:space="preserve">2.15.1任何一方因履行合同而以合同第一部分尾部所列明的传真或电子邮件 </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发出的所有通知、文件、材料，均视为已向对方当事人送达；任何一方变更上述送达方式或者地址的，应于</w:t>
      </w:r>
      <w:r>
        <w:rPr>
          <w:rFonts w:hint="eastAsia" w:ascii="宋体" w:hAnsi="宋体" w:cs="宋体"/>
          <w:sz w:val="24"/>
          <w:highlight w:val="none"/>
          <w:u w:val="single"/>
          <w:lang w:bidi="ar"/>
        </w:rPr>
        <w:t>3</w:t>
      </w:r>
      <w:r>
        <w:rPr>
          <w:rFonts w:hint="eastAsia" w:ascii="宋体" w:hAnsi="宋体" w:cs="宋体"/>
          <w:sz w:val="24"/>
          <w:highlight w:val="none"/>
          <w:lang w:bidi="ar"/>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2.16 合同使用的文字和适用的法律</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2.16.1 合同使用汉语书就、变更和解释；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2.16.2 合同适用中华人民共和国法律。</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2.17 履约保证金</w:t>
      </w:r>
    </w:p>
    <w:p>
      <w:pPr>
        <w:pStyle w:val="57"/>
        <w:adjustRightInd/>
        <w:spacing w:before="0" w:beforeAutospacing="0" w:after="0" w:afterAutospacing="0" w:line="360" w:lineRule="auto"/>
        <w:ind w:firstLine="420"/>
        <w:rPr>
          <w:rFonts w:cs="宋体"/>
          <w:highlight w:val="none"/>
        </w:rPr>
      </w:pPr>
      <w:r>
        <w:rPr>
          <w:rFonts w:hint="eastAsia" w:cs="宋体"/>
          <w:highlight w:val="none"/>
          <w:lang w:bidi="ar"/>
        </w:rPr>
        <w:t>2.17.1 招标文件要求乙方提交履约保证金的，乙方应按</w:t>
      </w:r>
      <w:r>
        <w:rPr>
          <w:rFonts w:hint="eastAsia" w:cs="宋体"/>
          <w:b/>
          <w:i/>
          <w:highlight w:val="none"/>
          <w:u w:val="single"/>
          <w:lang w:bidi="ar"/>
        </w:rPr>
        <w:t>合同专用条款</w:t>
      </w:r>
      <w:r>
        <w:rPr>
          <w:rFonts w:hint="eastAsia" w:cs="宋体"/>
          <w:highlight w:val="none"/>
          <w:lang w:bidi="ar"/>
        </w:rPr>
        <w:t>约定的方式，以支票、汇票、本票或者金融机构、担保机构出具的保函等非现金形式，提交不超过合同金额2.5%的履约保证金；鼓励和支持乙方以银行、保险公司出具的保函形式提供履约保证。</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2.17.2  履约保证金在</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约定期间内不予退还。乙方在前述约定期间届满前能履行完合同约定义务事项的，甲方在前述约定期间届满之日起</w:t>
      </w:r>
      <w:r>
        <w:rPr>
          <w:rFonts w:hint="eastAsia" w:ascii="宋体" w:hAnsi="宋体" w:cs="宋体"/>
          <w:sz w:val="24"/>
          <w:highlight w:val="none"/>
          <w:u w:val="single"/>
          <w:lang w:bidi="ar"/>
        </w:rPr>
        <w:t xml:space="preserve"> 5 </w:t>
      </w:r>
      <w:r>
        <w:rPr>
          <w:rFonts w:hint="eastAsia" w:ascii="宋体" w:hAnsi="宋体" w:cs="宋体"/>
          <w:sz w:val="24"/>
          <w:highlight w:val="none"/>
          <w:lang w:bidi="ar"/>
        </w:rPr>
        <w:t>个工作日内，按</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约定的方式将履约保证金退还乙方，逾期退还的，乙方可要求甲方支付违约金，违约金按每迟延退还一日的应退还而未退还金额的</w:t>
      </w:r>
      <w:r>
        <w:rPr>
          <w:rFonts w:hint="eastAsia" w:ascii="宋体" w:hAnsi="宋体" w:cs="宋体"/>
          <w:sz w:val="24"/>
          <w:highlight w:val="none"/>
          <w:u w:val="single"/>
          <w:lang w:bidi="ar"/>
        </w:rPr>
        <w:t xml:space="preserve">  0.05  </w:t>
      </w:r>
      <w:r>
        <w:rPr>
          <w:rFonts w:hint="eastAsia" w:ascii="宋体" w:hAnsi="宋体" w:cs="宋体"/>
          <w:sz w:val="24"/>
          <w:highlight w:val="none"/>
          <w:lang w:bidi="ar"/>
        </w:rPr>
        <w:t>%计算，最高限额为本合同履约保证金的</w:t>
      </w:r>
      <w:r>
        <w:rPr>
          <w:rFonts w:hint="eastAsia" w:ascii="宋体" w:hAnsi="宋体" w:cs="宋体"/>
          <w:sz w:val="24"/>
          <w:highlight w:val="none"/>
          <w:u w:val="single"/>
          <w:lang w:bidi="ar"/>
        </w:rPr>
        <w:t xml:space="preserve">  20   </w:t>
      </w:r>
      <w:r>
        <w:rPr>
          <w:rFonts w:hint="eastAsia" w:ascii="宋体" w:hAnsi="宋体" w:cs="宋体"/>
          <w:sz w:val="24"/>
          <w:highlight w:val="none"/>
          <w:lang w:bidi="ar"/>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firstLine="480" w:firstLineChars="200"/>
        <w:rPr>
          <w:rFonts w:ascii="宋体" w:hAnsi="宋体" w:cs="宋体"/>
          <w:szCs w:val="21"/>
          <w:highlight w:val="none"/>
        </w:rPr>
      </w:pPr>
      <w:r>
        <w:rPr>
          <w:rFonts w:hint="eastAsia" w:ascii="宋体" w:hAnsi="宋体" w:cs="宋体"/>
          <w:sz w:val="24"/>
          <w:highlight w:val="none"/>
          <w:lang w:bidi="ar"/>
        </w:rPr>
        <w:t>2.17.5甲方在乙方履行完合同约定义务事项后及时退还，延迟退还的，应当按照合同约定和法律规定承担相应的赔偿责任。</w:t>
      </w:r>
    </w:p>
    <w:p>
      <w:pPr>
        <w:pStyle w:val="877"/>
        <w:spacing w:before="24" w:after="24"/>
        <w:rPr>
          <w:rFonts w:ascii="宋体" w:hAnsi="宋体" w:eastAsia="宋体" w:cs="宋体"/>
          <w:highlight w:val="none"/>
          <w:lang w:bidi="ar"/>
        </w:rPr>
      </w:pPr>
      <w:r>
        <w:rPr>
          <w:rFonts w:hint="eastAsia" w:ascii="宋体" w:hAnsi="宋体" w:eastAsia="宋体" w:cs="宋体"/>
          <w:highlight w:val="none"/>
          <w:lang w:bidi="ar"/>
        </w:rPr>
        <w:t>2.18损失赔偿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对于因甲方原因导致变更、中止或者终止政府采购合同的，甲方应当依照合同约定对供应商受到的损失予以赔偿或者补偿。</w:t>
      </w:r>
    </w:p>
    <w:p>
      <w:pPr>
        <w:pStyle w:val="877"/>
        <w:spacing w:before="24" w:after="24"/>
        <w:rPr>
          <w:rFonts w:ascii="宋体" w:hAnsi="宋体" w:eastAsia="宋体" w:cs="宋体"/>
          <w:highlight w:val="none"/>
        </w:rPr>
      </w:pPr>
      <w:r>
        <w:rPr>
          <w:rFonts w:hint="eastAsia" w:ascii="宋体" w:hAnsi="宋体" w:eastAsia="宋体" w:cs="宋体"/>
          <w:highlight w:val="none"/>
          <w:lang w:bidi="ar"/>
        </w:rPr>
        <w:t>2.19合同份数</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合同份数按</w:t>
      </w:r>
      <w:r>
        <w:rPr>
          <w:rFonts w:hint="eastAsia" w:ascii="宋体" w:hAnsi="宋体" w:cs="宋体"/>
          <w:b/>
          <w:i/>
          <w:sz w:val="24"/>
          <w:highlight w:val="none"/>
          <w:u w:val="single"/>
          <w:lang w:bidi="ar"/>
        </w:rPr>
        <w:t>合同专用条款</w:t>
      </w:r>
      <w:r>
        <w:rPr>
          <w:rFonts w:hint="eastAsia" w:ascii="宋体" w:hAnsi="宋体" w:cs="宋体"/>
          <w:sz w:val="24"/>
          <w:highlight w:val="none"/>
          <w:lang w:bidi="ar"/>
        </w:rPr>
        <w:t>规定，每份均具有同等法律效力。</w:t>
      </w:r>
    </w:p>
    <w:p>
      <w:pPr>
        <w:pStyle w:val="669"/>
        <w:spacing w:before="24" w:after="24"/>
        <w:jc w:val="center"/>
        <w:rPr>
          <w:rFonts w:ascii="宋体" w:hAnsi="宋体" w:eastAsia="宋体" w:cs="宋体"/>
          <w:b w:val="0"/>
          <w:highlight w:val="none"/>
          <w:lang w:bidi="ar"/>
        </w:rPr>
      </w:pPr>
      <w:r>
        <w:rPr>
          <w:rFonts w:hint="eastAsia" w:ascii="宋体" w:hAnsi="宋体" w:eastAsia="宋体" w:cs="宋体"/>
          <w:highlight w:val="none"/>
          <w:lang w:bidi="ar"/>
        </w:rPr>
        <w:br w:type="page"/>
      </w:r>
      <w:r>
        <w:rPr>
          <w:rFonts w:hint="eastAsia" w:ascii="宋体" w:hAnsi="宋体" w:eastAsia="宋体" w:cs="宋体"/>
          <w:highlight w:val="none"/>
          <w:lang w:bidi="ar"/>
        </w:rPr>
        <w:t xml:space="preserve"> 第三部分  合同专用条款</w:t>
      </w:r>
    </w:p>
    <w:p>
      <w:pPr>
        <w:spacing w:line="560" w:lineRule="exact"/>
        <w:ind w:left="-420" w:leftChars="-200" w:right="-420" w:rightChars="-200" w:firstLine="480" w:firstLineChars="200"/>
        <w:rPr>
          <w:rFonts w:ascii="宋体" w:hAnsi="宋体" w:cs="宋体"/>
          <w:szCs w:val="21"/>
          <w:highlight w:val="none"/>
        </w:rPr>
      </w:pPr>
      <w:r>
        <w:rPr>
          <w:rFonts w:hint="eastAsia" w:ascii="宋体" w:hAnsi="宋体" w:cs="宋体"/>
          <w:sz w:val="24"/>
          <w:highlight w:val="none"/>
          <w:lang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4"/>
        <w:gridCol w:w="82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4"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1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13" w:type="dxa"/>
            <w:vAlign w:val="center"/>
          </w:tcPr>
          <w:p>
            <w:pPr>
              <w:spacing w:line="360" w:lineRule="auto"/>
              <w:rPr>
                <w:rFonts w:ascii="宋体" w:hAnsi="宋体" w:cs="宋体"/>
                <w:sz w:val="24"/>
                <w:highlight w:val="none"/>
              </w:rPr>
            </w:pPr>
            <w:r>
              <w:rPr>
                <w:rFonts w:hint="eastAsia" w:ascii="宋体" w:hAnsi="宋体" w:cs="宋体"/>
                <w:sz w:val="24"/>
                <w:highlight w:val="none"/>
              </w:rPr>
              <w:t>合同签署后，7个工作日之内支付合同款</w:t>
            </w:r>
            <w:r>
              <w:rPr>
                <w:rFonts w:ascii="宋体" w:hAnsi="宋体" w:cs="宋体"/>
                <w:sz w:val="24"/>
                <w:highlight w:val="none"/>
              </w:rPr>
              <w:t>3</w:t>
            </w:r>
            <w:r>
              <w:rPr>
                <w:rFonts w:hint="eastAsia" w:ascii="宋体" w:hAnsi="宋体" w:cs="宋体"/>
                <w:sz w:val="24"/>
                <w:highlight w:val="none"/>
              </w:rPr>
              <w:t>0%；初验完成后，7个工作日之内支付合同款</w:t>
            </w:r>
            <w:r>
              <w:rPr>
                <w:rFonts w:ascii="宋体" w:hAnsi="宋体" w:cs="宋体"/>
                <w:sz w:val="24"/>
                <w:highlight w:val="none"/>
              </w:rPr>
              <w:t>5</w:t>
            </w:r>
            <w:r>
              <w:rPr>
                <w:rFonts w:hint="eastAsia" w:ascii="宋体" w:hAnsi="宋体" w:cs="宋体"/>
                <w:sz w:val="24"/>
                <w:highlight w:val="none"/>
              </w:rPr>
              <w:t>0%；终验并验收成功后，7个工作日之内支付剩余合同款</w:t>
            </w:r>
            <w:r>
              <w:rPr>
                <w:rFonts w:ascii="宋体" w:hAnsi="宋体" w:cs="宋体"/>
                <w:sz w:val="24"/>
                <w:highlight w:val="none"/>
              </w:rPr>
              <w:t>2</w:t>
            </w:r>
            <w:r>
              <w:rPr>
                <w:rFonts w:hint="eastAsia" w:ascii="宋体" w:hAnsi="宋体" w:cs="宋体"/>
                <w:sz w:val="24"/>
                <w:highlight w:val="none"/>
              </w:rPr>
              <w:t>0%。</w:t>
            </w:r>
            <w:r>
              <w:rPr>
                <w:rFonts w:hint="eastAsia"/>
                <w:highlight w:val="none"/>
              </w:rPr>
              <w:t>（合同资金支付时间根据财政资金实际到位情况确定）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6"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13" w:type="dxa"/>
            <w:vAlign w:val="center"/>
          </w:tcPr>
          <w:p>
            <w:pPr>
              <w:pStyle w:val="82"/>
              <w:spacing w:after="120"/>
              <w:ind w:firstLine="0"/>
              <w:rPr>
                <w:rFonts w:cs="宋体"/>
                <w:highlight w:val="none"/>
              </w:rPr>
            </w:pPr>
            <w:r>
              <w:rPr>
                <w:rFonts w:hint="eastAsia"/>
                <w:highlight w:val="none"/>
              </w:rPr>
              <w:t>项目建设期至2024年4月30日前；大模型算力服务期均至2024年6月30日。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13" w:type="dxa"/>
            <w:vAlign w:val="center"/>
          </w:tcPr>
          <w:p>
            <w:pPr>
              <w:widowControl/>
              <w:adjustRightInd/>
              <w:snapToGrid w:val="0"/>
              <w:spacing w:line="460" w:lineRule="exact"/>
              <w:jc w:val="left"/>
              <w:textAlignment w:val="center"/>
              <w:rPr>
                <w:rFonts w:ascii="宋体" w:hAnsi="宋体" w:cs="宋体"/>
                <w:sz w:val="24"/>
                <w:highlight w:val="none"/>
              </w:rPr>
            </w:pPr>
            <w:r>
              <w:rPr>
                <w:rFonts w:hint="eastAsia" w:ascii="宋体" w:hAnsi="宋体" w:cs="宋体"/>
                <w:kern w:val="0"/>
                <w:sz w:val="24"/>
                <w:highlight w:val="none"/>
              </w:rPr>
              <w:t>服务地点为杭州市发展和改革委员会</w:t>
            </w:r>
            <w:r>
              <w:rPr>
                <w:rFonts w:hint="eastAsia" w:ascii="宋体" w:hAnsi="宋体" w:cs="宋体"/>
                <w:kern w:val="0"/>
                <w:sz w:val="24"/>
                <w:highlight w:val="none"/>
                <w:u w:val="singl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13" w:type="dxa"/>
            <w:vAlign w:val="center"/>
          </w:tcPr>
          <w:p>
            <w:pPr>
              <w:spacing w:line="360" w:lineRule="auto"/>
              <w:rPr>
                <w:rFonts w:ascii="宋体" w:hAnsi="宋体" w:cs="宋体"/>
                <w:bCs/>
                <w:sz w:val="24"/>
                <w:highlight w:val="none"/>
              </w:rPr>
            </w:pPr>
            <w:r>
              <w:rPr>
                <w:rFonts w:hint="eastAsia" w:ascii="宋体" w:hAnsi="宋体" w:cs="宋体"/>
                <w:bCs/>
                <w:sz w:val="24"/>
                <w:highlight w:val="none"/>
              </w:rPr>
              <w:t>1.建设亲清在线·政策超市门户2.0。完成门户界面改版，升级亲清在线门户网站，增加8+4政策清单、问计求策、智能推荐、智能问答、智能搜索、政策解读、最新政策、免申即享、直达秒兑等重点功能模块；建设政策直达页面，实现政策差异化排序、多级标签筛选功能；完善“我的企业”模块，展示企业兑付情况、访问情况以及咨询情况；升级“服务直达”功能，实现原有行政许可事项、我要招工、我要租房等模块的整合；升级“交流直达”功能，让企业便捷咨询。</w:t>
            </w:r>
          </w:p>
          <w:p>
            <w:pPr>
              <w:spacing w:line="360" w:lineRule="auto"/>
              <w:rPr>
                <w:rFonts w:ascii="宋体" w:hAnsi="宋体" w:cs="宋体"/>
                <w:bCs/>
                <w:sz w:val="24"/>
                <w:highlight w:val="none"/>
              </w:rPr>
            </w:pPr>
            <w:r>
              <w:rPr>
                <w:rFonts w:hint="eastAsia" w:ascii="宋体" w:hAnsi="宋体" w:cs="宋体"/>
                <w:bCs/>
                <w:sz w:val="24"/>
                <w:highlight w:val="none"/>
              </w:rPr>
              <w:t>2.打造政策智能引擎。建设政策标签体系、企业标签体系，为打造智能引擎提供基础支撑；基于人工智能大语言模型开发智能问答、智能推荐、智能搜索、智能解读等功能模块，提升找政策、读政策、送政策能力，全方位提升智慧服务能力；提供基于GPU算力的政策智能问答大语言模型调用服务，模型调用服务从合同签订日起至2</w:t>
            </w:r>
            <w:r>
              <w:rPr>
                <w:rFonts w:ascii="宋体" w:hAnsi="宋体" w:cs="宋体"/>
                <w:bCs/>
                <w:sz w:val="24"/>
                <w:highlight w:val="none"/>
              </w:rPr>
              <w:t>024</w:t>
            </w:r>
            <w:r>
              <w:rPr>
                <w:rFonts w:hint="eastAsia" w:ascii="宋体" w:hAnsi="宋体" w:cs="宋体"/>
                <w:bCs/>
                <w:sz w:val="24"/>
                <w:highlight w:val="none"/>
              </w:rPr>
              <w:t>年6月3</w:t>
            </w:r>
            <w:r>
              <w:rPr>
                <w:rFonts w:ascii="宋体" w:hAnsi="宋体" w:cs="宋体"/>
                <w:bCs/>
                <w:sz w:val="24"/>
                <w:highlight w:val="none"/>
              </w:rPr>
              <w:t>0</w:t>
            </w:r>
            <w:r>
              <w:rPr>
                <w:rFonts w:hint="eastAsia" w:ascii="宋体" w:hAnsi="宋体" w:cs="宋体"/>
                <w:bCs/>
                <w:sz w:val="24"/>
                <w:highlight w:val="none"/>
              </w:rPr>
              <w:t>日。满足模型训练和生产服务期间的算力运算性能要求和QPS要求。</w:t>
            </w:r>
          </w:p>
          <w:p>
            <w:pPr>
              <w:spacing w:line="360" w:lineRule="auto"/>
              <w:rPr>
                <w:rFonts w:ascii="宋体" w:hAnsi="宋体" w:cs="宋体"/>
                <w:bCs/>
                <w:sz w:val="24"/>
                <w:highlight w:val="none"/>
              </w:rPr>
            </w:pPr>
            <w:r>
              <w:rPr>
                <w:rFonts w:hint="eastAsia" w:ascii="宋体" w:hAnsi="宋体" w:cs="宋体"/>
                <w:bCs/>
                <w:sz w:val="24"/>
                <w:highlight w:val="none"/>
              </w:rPr>
              <w:t>3.升级亲清在线移动端。移动端新增政策智能推荐、智能搜索、申报兑付、我的企业、亲清D小二等功能模块，让企业用户可以在手机端查询、搜索、咨询、申报、兑付相关政策，提升平台政策服务的便捷度、感知度。</w:t>
            </w:r>
          </w:p>
          <w:p>
            <w:pPr>
              <w:adjustRightInd/>
              <w:spacing w:line="360" w:lineRule="auto"/>
              <w:contextualSpacing/>
              <w:rPr>
                <w:highlight w:val="none"/>
              </w:rPr>
            </w:pPr>
            <w:r>
              <w:rPr>
                <w:rFonts w:hint="eastAsia" w:ascii="宋体" w:hAnsi="宋体" w:cs="宋体"/>
                <w:bCs/>
                <w:sz w:val="24"/>
                <w:highlight w:val="none"/>
              </w:rPr>
              <w:t>4.打造亲清信使服务。新增亲清信使功能，支持企业用户绑定亲清信使以及设置订阅内容，通过短信、公众号以及平台消息等形式主动为企业提供免申即享、订阅资讯、智能推荐、亲清报表等有感服务。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13" w:type="dxa"/>
            <w:vAlign w:val="center"/>
          </w:tcPr>
          <w:p>
            <w:pPr>
              <w:spacing w:line="360" w:lineRule="auto"/>
              <w:rPr>
                <w:rFonts w:ascii="宋体" w:hAnsi="宋体" w:cs="宋体"/>
                <w:sz w:val="24"/>
                <w:highlight w:val="none"/>
              </w:rPr>
            </w:pPr>
            <w:r>
              <w:rPr>
                <w:rFonts w:hint="eastAsia" w:ascii="宋体" w:hAnsi="宋体" w:cs="宋体"/>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13" w:type="dxa"/>
            <w:vAlign w:val="center"/>
          </w:tcPr>
          <w:p>
            <w:pPr>
              <w:widowControl/>
              <w:adjustRightInd/>
              <w:snapToGrid w:val="0"/>
              <w:spacing w:line="460" w:lineRule="exact"/>
              <w:jc w:val="left"/>
              <w:textAlignment w:val="center"/>
              <w:rPr>
                <w:rFonts w:ascii="宋体" w:hAnsi="宋体" w:cs="宋体"/>
                <w:kern w:val="0"/>
                <w:sz w:val="24"/>
                <w:highlight w:val="none"/>
              </w:rPr>
            </w:pPr>
            <w:r>
              <w:rPr>
                <w:rFonts w:hint="eastAsia" w:ascii="宋体" w:hAnsi="宋体" w:cs="宋体"/>
                <w:kern w:val="0"/>
                <w:sz w:val="24"/>
                <w:highlight w:val="none"/>
              </w:rPr>
              <w:t>1．合同在履行过程中发生争议时，甲方与乙方及时协商解决。协商不成时，提请杭州仲裁委员会根据仲裁规程仲裁。</w:t>
            </w:r>
          </w:p>
          <w:p>
            <w:pPr>
              <w:widowControl/>
              <w:adjustRightInd/>
              <w:snapToGrid w:val="0"/>
              <w:spacing w:line="460" w:lineRule="exact"/>
              <w:jc w:val="left"/>
              <w:textAlignment w:val="center"/>
              <w:rPr>
                <w:rFonts w:ascii="宋体" w:hAnsi="宋体" w:cs="宋体"/>
                <w:sz w:val="24"/>
                <w:highlight w:val="none"/>
              </w:rPr>
            </w:pPr>
            <w:r>
              <w:rPr>
                <w:rFonts w:hint="eastAsia" w:ascii="宋体" w:hAnsi="宋体" w:cs="宋体"/>
                <w:kern w:val="0"/>
                <w:sz w:val="24"/>
                <w:highlight w:val="none"/>
              </w:rPr>
              <w:t>2.对于因违法或终止合同而引起的损失、损害的赔偿，由甲方与乙方友好协商解决，经协商扔未能达成一致的，提交杭州仲裁委员会仲裁。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13" w:type="dxa"/>
            <w:vAlign w:val="center"/>
          </w:tcPr>
          <w:p>
            <w:pPr>
              <w:spacing w:line="360" w:lineRule="auto"/>
              <w:rPr>
                <w:rFonts w:ascii="宋体" w:hAnsi="宋体" w:cs="宋体"/>
                <w:sz w:val="24"/>
                <w:highlight w:val="none"/>
              </w:rPr>
            </w:pPr>
            <w:r>
              <w:rPr>
                <w:rFonts w:hint="eastAsia" w:ascii="宋体" w:hAnsi="宋体" w:cs="宋体"/>
                <w:sz w:val="24"/>
                <w:highlight w:val="none"/>
              </w:rPr>
              <w:t>合同履行地仲裁委员会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44" w:type="dxa"/>
            <w:tcBorders>
              <w:left w:val="single" w:color="auto" w:sz="4" w:space="0"/>
              <w:bottom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13" w:type="dxa"/>
            <w:tcBorders>
              <w:bottom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合同履行地法院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9" w:hRule="atLeast"/>
        </w:trPr>
        <w:tc>
          <w:tcPr>
            <w:tcW w:w="844" w:type="dxa"/>
            <w:tcBorders>
              <w:top w:val="single" w:color="auto" w:sz="4" w:space="0"/>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13" w:type="dxa"/>
            <w:tcBorders>
              <w:top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中标方应保证所提供的系统或其任何一部分均不会侵犯任何第三方的知识产权。</w:t>
            </w:r>
          </w:p>
          <w:p>
            <w:pPr>
              <w:spacing w:line="360" w:lineRule="auto"/>
              <w:rPr>
                <w:rFonts w:ascii="宋体" w:hAnsi="宋体" w:cs="宋体"/>
                <w:sz w:val="24"/>
                <w:highlight w:val="none"/>
              </w:rPr>
            </w:pPr>
            <w:r>
              <w:rPr>
                <w:rFonts w:hint="eastAsia" w:ascii="宋体" w:hAnsi="宋体" w:cs="宋体"/>
                <w:sz w:val="24"/>
                <w:highlight w:val="none"/>
              </w:rPr>
              <w:t>中标方应保证采购方在安全产品使用过程中，免受第三方提出的侵权起诉。如发生此类纠纷，由中标方承担一切责任并负责解决。</w:t>
            </w:r>
          </w:p>
          <w:p>
            <w:pPr>
              <w:spacing w:line="360" w:lineRule="auto"/>
              <w:rPr>
                <w:rFonts w:ascii="宋体" w:hAnsi="宋体" w:cs="宋体"/>
                <w:sz w:val="24"/>
                <w:highlight w:val="none"/>
              </w:rPr>
            </w:pPr>
            <w:r>
              <w:rPr>
                <w:rFonts w:hint="eastAsia" w:ascii="宋体" w:hAnsi="宋体" w:cs="宋体"/>
                <w:sz w:val="24"/>
                <w:highlight w:val="none"/>
              </w:rPr>
              <w:t>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2.10.3</w:t>
            </w:r>
          </w:p>
        </w:tc>
        <w:tc>
          <w:tcPr>
            <w:tcW w:w="8213" w:type="dxa"/>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2.10.4</w:t>
            </w:r>
          </w:p>
        </w:tc>
        <w:tc>
          <w:tcPr>
            <w:tcW w:w="8213" w:type="dxa"/>
            <w:vAlign w:val="center"/>
          </w:tcPr>
          <w:p>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2.14.1</w:t>
            </w:r>
          </w:p>
        </w:tc>
        <w:tc>
          <w:tcPr>
            <w:tcW w:w="8213" w:type="dxa"/>
            <w:vAlign w:val="center"/>
          </w:tcPr>
          <w:p>
            <w:pPr>
              <w:widowControl/>
              <w:adjustRightInd/>
              <w:snapToGrid w:val="0"/>
              <w:spacing w:line="460" w:lineRule="exact"/>
              <w:jc w:val="left"/>
              <w:textAlignment w:val="center"/>
              <w:rPr>
                <w:rFonts w:ascii="宋体" w:hAnsi="宋体" w:cs="宋体"/>
                <w:sz w:val="24"/>
                <w:highlight w:val="none"/>
              </w:rPr>
            </w:pPr>
            <w:r>
              <w:rPr>
                <w:rFonts w:hint="eastAsia" w:ascii="宋体" w:hAnsi="宋体" w:cs="宋体"/>
                <w:sz w:val="24"/>
                <w:highlight w:val="none"/>
              </w:rPr>
              <w:t>按照招标文件和合同进行验收。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2.14.3</w:t>
            </w:r>
          </w:p>
        </w:tc>
        <w:tc>
          <w:tcPr>
            <w:tcW w:w="8213" w:type="dxa"/>
            <w:vAlign w:val="center"/>
          </w:tcPr>
          <w:p>
            <w:pPr>
              <w:spacing w:line="360" w:lineRule="auto"/>
              <w:rPr>
                <w:rFonts w:ascii="宋体" w:hAnsi="宋体" w:cs="宋体"/>
                <w:sz w:val="24"/>
                <w:highlight w:val="none"/>
              </w:rPr>
            </w:pPr>
            <w:r>
              <w:rPr>
                <w:rFonts w:hint="eastAsia" w:ascii="宋体" w:hAnsi="宋体" w:cs="宋体"/>
                <w:sz w:val="24"/>
                <w:highlight w:val="none"/>
              </w:rPr>
              <w:t>根据合同规定范围提供服务并通过甲方验收后，甲方凭乙方开具的正规发票和甲方认可的各项记录复印件，办理服务费用的支付手续。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2.17.1</w:t>
            </w:r>
          </w:p>
        </w:tc>
        <w:tc>
          <w:tcPr>
            <w:tcW w:w="8213" w:type="dxa"/>
            <w:vAlign w:val="center"/>
          </w:tcPr>
          <w:p>
            <w:pPr>
              <w:widowControl/>
              <w:adjustRightInd/>
              <w:snapToGrid w:val="0"/>
              <w:spacing w:line="460" w:lineRule="exact"/>
              <w:jc w:val="left"/>
              <w:textAlignment w:val="center"/>
              <w:rPr>
                <w:rFonts w:ascii="宋体" w:hAnsi="宋体" w:cs="宋体"/>
                <w:sz w:val="24"/>
                <w:highlight w:val="none"/>
              </w:rPr>
            </w:pPr>
            <w:r>
              <w:rPr>
                <w:rFonts w:hint="eastAsia" w:ascii="宋体" w:hAnsi="宋体" w:cs="宋体"/>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4"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2.17.2</w:t>
            </w:r>
          </w:p>
        </w:tc>
        <w:tc>
          <w:tcPr>
            <w:tcW w:w="8213" w:type="dxa"/>
            <w:vAlign w:val="center"/>
          </w:tcPr>
          <w:p>
            <w:pPr>
              <w:widowControl/>
              <w:adjustRightInd/>
              <w:snapToGrid w:val="0"/>
              <w:spacing w:line="460" w:lineRule="exact"/>
              <w:jc w:val="left"/>
              <w:textAlignment w:val="center"/>
              <w:rPr>
                <w:rFonts w:ascii="宋体" w:hAnsi="宋体" w:cs="宋体"/>
                <w:sz w:val="24"/>
                <w:highlight w:val="none"/>
              </w:rPr>
            </w:pPr>
            <w:r>
              <w:rPr>
                <w:rFonts w:hint="eastAsia" w:ascii="宋体" w:hAnsi="宋体" w:cs="宋体"/>
                <w:sz w:val="24"/>
                <w:highlight w:val="none"/>
              </w:rPr>
              <w:t>验收合格后，无质量问题，由甲方向乙方全额退还。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4"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2.19 </w:t>
            </w:r>
          </w:p>
        </w:tc>
        <w:tc>
          <w:tcPr>
            <w:tcW w:w="8213" w:type="dxa"/>
            <w:vAlign w:val="center"/>
          </w:tcPr>
          <w:p>
            <w:pPr>
              <w:spacing w:line="360" w:lineRule="auto"/>
              <w:rPr>
                <w:rFonts w:ascii="宋体" w:hAnsi="宋体" w:cs="宋体"/>
                <w:sz w:val="24"/>
                <w:highlight w:val="none"/>
              </w:rPr>
            </w:pPr>
            <w:r>
              <w:rPr>
                <w:rFonts w:hint="eastAsia" w:ascii="宋体" w:hAnsi="宋体" w:cs="宋体"/>
                <w:sz w:val="24"/>
                <w:highlight w:val="none"/>
              </w:rPr>
              <w:t>4份</w:t>
            </w:r>
          </w:p>
        </w:tc>
      </w:tr>
    </w:tbl>
    <w:p>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sz w:val="36"/>
          <w:szCs w:val="36"/>
          <w:highlight w:val="none"/>
          <w:lang w:bidi="ar"/>
        </w:rPr>
        <w:br w:type="page"/>
      </w:r>
    </w:p>
    <w:p>
      <w:pPr>
        <w:pStyle w:val="2"/>
        <w:ind w:firstLine="0" w:firstLineChars="0"/>
        <w:jc w:val="center"/>
        <w:rPr>
          <w:rFonts w:cs="宋体"/>
          <w:color w:val="000000" w:themeColor="text1"/>
          <w:sz w:val="32"/>
          <w:szCs w:val="32"/>
          <w:highlight w:val="none"/>
          <w14:textFill>
            <w14:solidFill>
              <w14:schemeClr w14:val="tx1"/>
            </w14:solidFill>
          </w14:textFill>
        </w:rPr>
      </w:pPr>
    </w:p>
    <w:bookmarkEnd w:id="396"/>
    <w:bookmarkEnd w:id="397"/>
    <w:p>
      <w:pPr>
        <w:pStyle w:val="965"/>
        <w:spacing w:before="24" w:after="24"/>
        <w:rPr>
          <w:sz w:val="36"/>
          <w:highlight w:val="none"/>
        </w:rPr>
      </w:pPr>
      <w:r>
        <w:rPr>
          <w:rFonts w:hint="eastAsia"/>
          <w:sz w:val="36"/>
          <w:highlight w:val="none"/>
        </w:rPr>
        <w:t>第六部分 应提交的有关格式范例</w:t>
      </w:r>
    </w:p>
    <w:p>
      <w:pPr>
        <w:pStyle w:val="624"/>
        <w:ind w:firstLine="420"/>
        <w:jc w:val="center"/>
        <w:rPr>
          <w:rStyle w:val="408"/>
          <w:highlight w:val="none"/>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pStyle w:val="624"/>
        <w:ind w:firstLine="0" w:firstLineChars="0"/>
        <w:jc w:val="center"/>
        <w:rPr>
          <w:b/>
          <w:sz w:val="32"/>
          <w:highlight w:val="none"/>
        </w:rPr>
      </w:pPr>
      <w:r>
        <w:rPr>
          <w:rFonts w:hint="eastAsia"/>
          <w:b/>
          <w:sz w:val="32"/>
          <w:highlight w:val="none"/>
        </w:rPr>
        <w:t>目录</w:t>
      </w:r>
    </w:p>
    <w:p>
      <w:pPr>
        <w:pStyle w:val="624"/>
        <w:ind w:firstLine="480"/>
        <w:rPr>
          <w:highlight w:val="none"/>
        </w:rPr>
      </w:pPr>
    </w:p>
    <w:p>
      <w:pPr>
        <w:pStyle w:val="624"/>
        <w:ind w:firstLine="480"/>
        <w:rPr>
          <w:highlight w:val="none"/>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（4）本项目的特定资格要求………………………………………………（页码）</w:t>
      </w:r>
    </w:p>
    <w:p>
      <w:pPr>
        <w:pStyle w:val="624"/>
        <w:ind w:firstLine="480"/>
        <w:rPr>
          <w:highlight w:val="none"/>
        </w:rPr>
      </w:pPr>
    </w:p>
    <w:p>
      <w:pPr>
        <w:pStyle w:val="624"/>
        <w:ind w:firstLine="480"/>
        <w:rPr>
          <w:highlight w:val="none"/>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pPr>
        <w:pStyle w:val="965"/>
        <w:spacing w:before="24" w:after="24"/>
        <w:rPr>
          <w:rStyle w:val="408"/>
          <w:rFonts w:asciiTheme="minorEastAsia" w:hAnsiTheme="minorEastAsia" w:eastAsiaTheme="minorEastAsia"/>
          <w:sz w:val="36"/>
          <w:highlight w:val="none"/>
        </w:rPr>
      </w:pPr>
      <w:r>
        <w:rPr>
          <w:rStyle w:val="408"/>
          <w:rFonts w:hint="eastAsia" w:asciiTheme="minorEastAsia" w:hAnsiTheme="minorEastAsia" w:eastAsiaTheme="minorEastAsia"/>
          <w:sz w:val="36"/>
          <w:highlight w:val="none"/>
        </w:rPr>
        <w:t>商务技术文件部分</w:t>
      </w:r>
    </w:p>
    <w:p>
      <w:pPr>
        <w:pStyle w:val="624"/>
        <w:ind w:firstLine="480"/>
        <w:rPr>
          <w:highlight w:val="none"/>
        </w:rPr>
      </w:pPr>
    </w:p>
    <w:p>
      <w:pPr>
        <w:pStyle w:val="624"/>
        <w:ind w:firstLine="562"/>
        <w:jc w:val="center"/>
        <w:rPr>
          <w:rStyle w:val="408"/>
          <w:rFonts w:asciiTheme="minorEastAsia" w:hAnsiTheme="minorEastAsia" w:eastAsiaTheme="minorEastAsia"/>
          <w:b/>
          <w:sz w:val="28"/>
          <w:highlight w:val="none"/>
        </w:rPr>
      </w:pPr>
      <w:r>
        <w:rPr>
          <w:rStyle w:val="408"/>
          <w:rFonts w:hint="eastAsia" w:asciiTheme="minorEastAsia" w:hAnsiTheme="minorEastAsia" w:eastAsiaTheme="minorEastAsia"/>
          <w:b/>
          <w:sz w:val="28"/>
          <w:highlight w:val="none"/>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（3）分包意向协议</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（6）投标标的清单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（7）商务技术偏离表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398" w:name="_Hlk101257010"/>
      <w:r>
        <w:rPr>
          <w:rFonts w:hint="eastAsia" w:ascii="宋体" w:hAnsi="宋体" w:cs="宋体"/>
          <w:color w:val="000000" w:themeColor="text1"/>
          <w:sz w:val="24"/>
          <w:highlight w:val="none"/>
          <w14:textFill>
            <w14:solidFill>
              <w14:schemeClr w14:val="tx1"/>
            </w14:solidFill>
          </w14:textFill>
        </w:rPr>
        <w:t>（如果有)</w:t>
      </w:r>
      <w:bookmarkEnd w:id="398"/>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2.2.3分包意向协议（如果有)；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2.2.6投标标的清单；</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624"/>
        <w:ind w:firstLine="480"/>
        <w:rPr>
          <w:highlight w:val="none"/>
        </w:rPr>
      </w:pPr>
    </w:p>
    <w:p>
      <w:pPr>
        <w:pStyle w:val="624"/>
        <w:ind w:firstLine="480"/>
        <w:rPr>
          <w:highlight w:val="none"/>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965"/>
        <w:spacing w:before="24" w:after="24"/>
        <w:rPr>
          <w:sz w:val="32"/>
          <w:highlight w:val="none"/>
          <w:lang w:val="zh-CN"/>
        </w:rPr>
      </w:pPr>
      <w:r>
        <w:rPr>
          <w:rFonts w:hint="eastAsia"/>
          <w:sz w:val="32"/>
          <w:highlight w:val="none"/>
          <w:lang w:val="zh-CN"/>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249" w:firstLineChars="700"/>
        <w:rPr>
          <w:rFonts w:ascii="宋体" w:hAnsi="宋体" w:cs="宋体"/>
          <w:b/>
          <w:color w:val="000000" w:themeColor="text1"/>
          <w:kern w:val="0"/>
          <w:sz w:val="32"/>
          <w:szCs w:val="32"/>
          <w:highlight w:val="none"/>
          <w14:textFill>
            <w14:solidFill>
              <w14:schemeClr w14:val="tx1"/>
            </w14:solidFill>
          </w14:textFill>
        </w:rPr>
      </w:pPr>
    </w:p>
    <w:p>
      <w:pPr>
        <w:pStyle w:val="965"/>
        <w:spacing w:before="24" w:after="24"/>
        <w:rPr>
          <w:rStyle w:val="408"/>
          <w:rFonts w:asciiTheme="minorEastAsia" w:hAnsiTheme="minorEastAsia" w:eastAsiaTheme="minorEastAsia"/>
          <w:highlight w:val="none"/>
        </w:rPr>
      </w:pPr>
      <w:r>
        <w:rPr>
          <w:rStyle w:val="408"/>
          <w:rFonts w:hint="eastAsia" w:asciiTheme="minorEastAsia" w:hAnsiTheme="minorEastAsia" w:eastAsiaTheme="minorEastAsia"/>
          <w:sz w:val="36"/>
          <w:highlight w:val="none"/>
        </w:rPr>
        <w:t>三、分包意向协议（如果有）</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pStyle w:val="965"/>
        <w:spacing w:before="24" w:after="24"/>
        <w:rPr>
          <w:sz w:val="36"/>
          <w:highlight w:val="none"/>
        </w:rPr>
      </w:pPr>
      <w:r>
        <w:rPr>
          <w:rFonts w:hint="eastAsia"/>
          <w:sz w:val="36"/>
          <w:highlight w:val="none"/>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center"/>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2"/>
        <w:rPr>
          <w:rFonts w:cs="宋体"/>
          <w:highlight w:val="none"/>
        </w:rPr>
      </w:pPr>
    </w:p>
    <w:p>
      <w:pPr>
        <w:pStyle w:val="965"/>
        <w:spacing w:before="24" w:after="24"/>
        <w:rPr>
          <w:sz w:val="36"/>
          <w:highlight w:val="none"/>
        </w:rPr>
      </w:pPr>
      <w:r>
        <w:rPr>
          <w:rFonts w:hint="eastAsia"/>
          <w:sz w:val="36"/>
          <w:highlight w:val="none"/>
        </w:rPr>
        <w:t>五、评标标准相应的商务技术资料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965"/>
        <w:spacing w:before="24" w:after="24"/>
        <w:rPr>
          <w:sz w:val="36"/>
          <w:highlight w:val="none"/>
        </w:rPr>
      </w:pPr>
      <w:r>
        <w:rPr>
          <w:rFonts w:hint="eastAsia"/>
          <w:sz w:val="36"/>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965"/>
        <w:spacing w:before="24" w:after="24"/>
        <w:rPr>
          <w:sz w:val="36"/>
          <w:highlight w:val="none"/>
        </w:rPr>
      </w:pPr>
      <w:r>
        <w:rPr>
          <w:rFonts w:hint="eastAsia"/>
          <w:sz w:val="36"/>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pStyle w:val="965"/>
        <w:spacing w:before="24" w:after="24"/>
        <w:rPr>
          <w:sz w:val="36"/>
          <w:highlight w:val="none"/>
        </w:rPr>
      </w:pPr>
      <w:r>
        <w:rPr>
          <w:rFonts w:hint="eastAsia"/>
          <w:bCs/>
          <w:sz w:val="36"/>
          <w:highlight w:val="none"/>
        </w:rPr>
        <w:t>八</w:t>
      </w:r>
      <w:r>
        <w:rPr>
          <w:rFonts w:hint="eastAsia"/>
          <w:sz w:val="36"/>
          <w:highlight w:val="none"/>
        </w:rPr>
        <w:t>、</w:t>
      </w:r>
      <w:r>
        <w:rPr>
          <w:rFonts w:hint="eastAsia"/>
          <w:sz w:val="36"/>
          <w:highlight w:val="none"/>
          <w:lang w:val="zh-CN"/>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965"/>
        <w:spacing w:before="24" w:after="24"/>
        <w:rPr>
          <w:sz w:val="36"/>
          <w:highlight w:val="none"/>
        </w:rPr>
      </w:pPr>
      <w:r>
        <w:rPr>
          <w:rFonts w:hint="eastAsia"/>
          <w:sz w:val="36"/>
          <w:highlight w:val="none"/>
        </w:rPr>
        <w:t>报价文件部分</w:t>
      </w:r>
    </w:p>
    <w:p>
      <w:pPr>
        <w:jc w:val="center"/>
        <w:rPr>
          <w:rStyle w:val="408"/>
          <w:rFonts w:ascii="Times New Roman" w:hAnsi="Times New Roman" w:eastAsia="宋体"/>
          <w:b/>
          <w:sz w:val="28"/>
          <w:szCs w:val="24"/>
          <w:highlight w:val="none"/>
        </w:rPr>
      </w:pPr>
      <w:r>
        <w:rPr>
          <w:rStyle w:val="408"/>
          <w:rFonts w:hint="eastAsia" w:ascii="Times New Roman" w:hAnsi="Times New Roman" w:eastAsia="宋体"/>
          <w:b/>
          <w:sz w:val="28"/>
          <w:szCs w:val="24"/>
          <w:highlight w:val="none"/>
        </w:rPr>
        <w:t>目录</w:t>
      </w:r>
    </w:p>
    <w:p>
      <w:pPr>
        <w:pStyle w:val="426"/>
        <w:ind w:firstLine="480"/>
        <w:rPr>
          <w:highlight w:val="none"/>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965"/>
        <w:spacing w:before="24" w:after="24"/>
        <w:rPr>
          <w:sz w:val="36"/>
          <w:highlight w:val="none"/>
        </w:rPr>
      </w:pPr>
      <w:r>
        <w:rPr>
          <w:rFonts w:hint="eastAsia"/>
          <w:sz w:val="36"/>
          <w:highlight w:val="none"/>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杭州市发展和改革委员会、浙江中诺招标代理有限公司：</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default"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965"/>
        <w:spacing w:before="24" w:after="24"/>
        <w:rPr>
          <w:sz w:val="36"/>
          <w:highlight w:val="none"/>
        </w:rPr>
      </w:pPr>
      <w:r>
        <w:rPr>
          <w:rFonts w:hint="eastAsia"/>
          <w:sz w:val="36"/>
          <w:highlight w:val="none"/>
        </w:rPr>
        <w:t>二、中小企业声明函（如果有）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399" w:name="OLE_LINK14"/>
      <w:bookmarkStart w:id="400"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399"/>
    <w:bookmarkEnd w:id="400"/>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城市大脑2.0-数智营商”</w:t>
      </w:r>
      <w:r>
        <w:rPr>
          <w:rFonts w:hint="eastAsia" w:ascii="宋体" w:hAnsi="宋体" w:cs="宋体"/>
          <w:color w:val="000000" w:themeColor="text1"/>
          <w:sz w:val="24"/>
          <w:highlight w:val="none"/>
          <w:u w:val="single"/>
          <w14:textFill>
            <w14:solidFill>
              <w14:schemeClr w14:val="tx1"/>
            </w14:solidFill>
          </w14:textFill>
        </w:rPr>
        <w:t>政策一站直达场景建设</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杭州市发展和改革委员会、浙江中诺招标代理有限公司：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default"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hint="eastAsia" w:ascii="宋体" w:hAnsi="宋体" w:cs="宋体"/>
          <w:color w:val="000000" w:themeColor="text1"/>
          <w:kern w:val="0"/>
          <w:sz w:val="24"/>
          <w:highlight w:val="none"/>
          <w:lang w:val="en-US" w:eastAsia="zh-CN"/>
          <w14:textFill>
            <w14:solidFill>
              <w14:schemeClr w14:val="tx1"/>
            </w14:solidFill>
          </w14:textFill>
        </w:rPr>
        <w:t>ZJZN-23168</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（联合体成员2）</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01"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bookmarkEnd w:id="401"/>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02"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02"/>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3"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3"/>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附件6：</w:t>
      </w:r>
      <w:r>
        <w:rPr>
          <w:rFonts w:hint="eastAsia" w:ascii="宋体" w:hAnsi="宋体" w:cs="宋体"/>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城市大脑2.0-数智营商”</w:t>
      </w:r>
      <w:r>
        <w:rPr>
          <w:rFonts w:hint="eastAsia" w:ascii="宋体" w:hAnsi="宋体" w:cs="宋体"/>
          <w:color w:val="000000" w:themeColor="text1"/>
          <w:sz w:val="24"/>
          <w:highlight w:val="none"/>
          <w14:textFill>
            <w14:solidFill>
              <w14:schemeClr w14:val="tx1"/>
            </w14:solidFill>
          </w14:textFill>
        </w:rPr>
        <w:t>政策一站直达场景建设【招标编号：</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756"/>
        <w:ind w:firstLine="480"/>
        <w:rPr>
          <w:highlight w:val="none"/>
        </w:rPr>
      </w:pPr>
      <w:r>
        <w:rPr>
          <w:rFonts w:hint="eastAsia"/>
          <w:highlight w:val="none"/>
        </w:rPr>
        <w:t>……</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pStyle w:val="756"/>
        <w:ind w:firstLine="643"/>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附件7：中小企业声明函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“城市大脑2.0-数智营商”</w:t>
      </w:r>
      <w:r>
        <w:rPr>
          <w:rFonts w:hint="eastAsia" w:ascii="宋体" w:hAnsi="宋体" w:cs="宋体"/>
          <w:color w:val="000000" w:themeColor="text1"/>
          <w:sz w:val="24"/>
          <w:highlight w:val="none"/>
          <w:u w:val="single"/>
          <w14:textFill>
            <w14:solidFill>
              <w14:schemeClr w14:val="tx1"/>
            </w14:solidFill>
          </w14:textFill>
        </w:rPr>
        <w:t>政策一站直达场景建设</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于提供虚假材料谋取中标、成交的，依法承担法律责任。</w:t>
      </w:r>
    </w:p>
    <w:p>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56"/>
        <w:ind w:firstLine="480"/>
        <w:rPr>
          <w:highlight w:val="none"/>
        </w:rPr>
      </w:pPr>
    </w:p>
    <w:p>
      <w:pPr>
        <w:spacing w:line="360" w:lineRule="auto"/>
        <w:ind w:right="42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04" w:name="_Toc91899912"/>
    <w:bookmarkStart w:id="405" w:name="_Toc131845147"/>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8DA4"/>
    <w:multiLevelType w:val="singleLevel"/>
    <w:tmpl w:val="FBCE8DA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YzBjNGNiNjk1MjlkODQ5ZTlmZTllYTg0YmFjMjUifQ=="/>
  </w:docVars>
  <w:rsids>
    <w:rsidRoot w:val="00172A27"/>
    <w:rsid w:val="00000451"/>
    <w:rsid w:val="0000108B"/>
    <w:rsid w:val="0000133D"/>
    <w:rsid w:val="00001509"/>
    <w:rsid w:val="00001E3F"/>
    <w:rsid w:val="000032B2"/>
    <w:rsid w:val="00003368"/>
    <w:rsid w:val="0000363B"/>
    <w:rsid w:val="000058BD"/>
    <w:rsid w:val="00005CAF"/>
    <w:rsid w:val="00006109"/>
    <w:rsid w:val="00006150"/>
    <w:rsid w:val="000063E8"/>
    <w:rsid w:val="00006725"/>
    <w:rsid w:val="0000675E"/>
    <w:rsid w:val="000071E3"/>
    <w:rsid w:val="000074DF"/>
    <w:rsid w:val="000074E1"/>
    <w:rsid w:val="00007CAA"/>
    <w:rsid w:val="00010F62"/>
    <w:rsid w:val="00010FE9"/>
    <w:rsid w:val="0001122F"/>
    <w:rsid w:val="00011A4B"/>
    <w:rsid w:val="00012251"/>
    <w:rsid w:val="0001281D"/>
    <w:rsid w:val="00012B4A"/>
    <w:rsid w:val="0001337C"/>
    <w:rsid w:val="000138C4"/>
    <w:rsid w:val="00013C1F"/>
    <w:rsid w:val="00013F31"/>
    <w:rsid w:val="000140D8"/>
    <w:rsid w:val="00014530"/>
    <w:rsid w:val="00014BBC"/>
    <w:rsid w:val="000150EE"/>
    <w:rsid w:val="0001559E"/>
    <w:rsid w:val="000168D8"/>
    <w:rsid w:val="00016F13"/>
    <w:rsid w:val="000170C8"/>
    <w:rsid w:val="000173F4"/>
    <w:rsid w:val="00020287"/>
    <w:rsid w:val="000202FE"/>
    <w:rsid w:val="00020B5F"/>
    <w:rsid w:val="000211BC"/>
    <w:rsid w:val="00021EEB"/>
    <w:rsid w:val="0002207B"/>
    <w:rsid w:val="00022242"/>
    <w:rsid w:val="000232FD"/>
    <w:rsid w:val="00023323"/>
    <w:rsid w:val="000233E4"/>
    <w:rsid w:val="00023495"/>
    <w:rsid w:val="00023777"/>
    <w:rsid w:val="00023993"/>
    <w:rsid w:val="00024130"/>
    <w:rsid w:val="000242D5"/>
    <w:rsid w:val="00024584"/>
    <w:rsid w:val="00024962"/>
    <w:rsid w:val="000249AA"/>
    <w:rsid w:val="00025350"/>
    <w:rsid w:val="000253E5"/>
    <w:rsid w:val="00025776"/>
    <w:rsid w:val="0002598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94B"/>
    <w:rsid w:val="00042441"/>
    <w:rsid w:val="00042533"/>
    <w:rsid w:val="00042CA1"/>
    <w:rsid w:val="00042DBB"/>
    <w:rsid w:val="00042E65"/>
    <w:rsid w:val="0004347C"/>
    <w:rsid w:val="00043907"/>
    <w:rsid w:val="00044100"/>
    <w:rsid w:val="00044AEE"/>
    <w:rsid w:val="00044F27"/>
    <w:rsid w:val="00044F48"/>
    <w:rsid w:val="00047354"/>
    <w:rsid w:val="00050656"/>
    <w:rsid w:val="00050689"/>
    <w:rsid w:val="00050A19"/>
    <w:rsid w:val="000511B6"/>
    <w:rsid w:val="000518E3"/>
    <w:rsid w:val="00051B00"/>
    <w:rsid w:val="00051C72"/>
    <w:rsid w:val="00052192"/>
    <w:rsid w:val="0005238F"/>
    <w:rsid w:val="00052787"/>
    <w:rsid w:val="00052BB8"/>
    <w:rsid w:val="0005417A"/>
    <w:rsid w:val="00054D39"/>
    <w:rsid w:val="00054D79"/>
    <w:rsid w:val="0005501B"/>
    <w:rsid w:val="000550F5"/>
    <w:rsid w:val="00055337"/>
    <w:rsid w:val="000554C7"/>
    <w:rsid w:val="000559B0"/>
    <w:rsid w:val="00056145"/>
    <w:rsid w:val="00056402"/>
    <w:rsid w:val="000566AC"/>
    <w:rsid w:val="00056791"/>
    <w:rsid w:val="00056853"/>
    <w:rsid w:val="00056868"/>
    <w:rsid w:val="00056876"/>
    <w:rsid w:val="000568DF"/>
    <w:rsid w:val="000578A3"/>
    <w:rsid w:val="00057D4C"/>
    <w:rsid w:val="00060C48"/>
    <w:rsid w:val="00061A3C"/>
    <w:rsid w:val="00061C48"/>
    <w:rsid w:val="00061C5F"/>
    <w:rsid w:val="00064278"/>
    <w:rsid w:val="000646CA"/>
    <w:rsid w:val="000665C4"/>
    <w:rsid w:val="00066965"/>
    <w:rsid w:val="00067821"/>
    <w:rsid w:val="0006785E"/>
    <w:rsid w:val="00067AFB"/>
    <w:rsid w:val="00067F92"/>
    <w:rsid w:val="00067FA7"/>
    <w:rsid w:val="0007038E"/>
    <w:rsid w:val="0007077C"/>
    <w:rsid w:val="00070825"/>
    <w:rsid w:val="0007139B"/>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56"/>
    <w:rsid w:val="000808C1"/>
    <w:rsid w:val="00080970"/>
    <w:rsid w:val="00081671"/>
    <w:rsid w:val="00082AD4"/>
    <w:rsid w:val="00083CA5"/>
    <w:rsid w:val="00083E07"/>
    <w:rsid w:val="00084A3E"/>
    <w:rsid w:val="00084D27"/>
    <w:rsid w:val="00084ED6"/>
    <w:rsid w:val="0008507C"/>
    <w:rsid w:val="0008580E"/>
    <w:rsid w:val="00085A0E"/>
    <w:rsid w:val="00085C4F"/>
    <w:rsid w:val="00086EFD"/>
    <w:rsid w:val="00086F8A"/>
    <w:rsid w:val="00087031"/>
    <w:rsid w:val="00087D7A"/>
    <w:rsid w:val="00090243"/>
    <w:rsid w:val="000904F6"/>
    <w:rsid w:val="00090918"/>
    <w:rsid w:val="00090ED8"/>
    <w:rsid w:val="00090F9F"/>
    <w:rsid w:val="0009145F"/>
    <w:rsid w:val="0009184E"/>
    <w:rsid w:val="00091B4E"/>
    <w:rsid w:val="00092467"/>
    <w:rsid w:val="000924B7"/>
    <w:rsid w:val="00092FE9"/>
    <w:rsid w:val="000936BF"/>
    <w:rsid w:val="0009382F"/>
    <w:rsid w:val="00093A30"/>
    <w:rsid w:val="00094342"/>
    <w:rsid w:val="000945BA"/>
    <w:rsid w:val="000951A5"/>
    <w:rsid w:val="0009576C"/>
    <w:rsid w:val="00095822"/>
    <w:rsid w:val="00095954"/>
    <w:rsid w:val="000960BA"/>
    <w:rsid w:val="00096505"/>
    <w:rsid w:val="0009662A"/>
    <w:rsid w:val="0009690D"/>
    <w:rsid w:val="00096DFF"/>
    <w:rsid w:val="00097B31"/>
    <w:rsid w:val="00097CDB"/>
    <w:rsid w:val="000A0729"/>
    <w:rsid w:val="000A0C36"/>
    <w:rsid w:val="000A0E69"/>
    <w:rsid w:val="000A1A52"/>
    <w:rsid w:val="000A1F98"/>
    <w:rsid w:val="000A28C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EA6"/>
    <w:rsid w:val="000B456C"/>
    <w:rsid w:val="000B45B9"/>
    <w:rsid w:val="000B47CE"/>
    <w:rsid w:val="000B4B56"/>
    <w:rsid w:val="000B4BEE"/>
    <w:rsid w:val="000B4C62"/>
    <w:rsid w:val="000B5320"/>
    <w:rsid w:val="000B541D"/>
    <w:rsid w:val="000B54C1"/>
    <w:rsid w:val="000B5553"/>
    <w:rsid w:val="000B5FE8"/>
    <w:rsid w:val="000B666E"/>
    <w:rsid w:val="000C05F4"/>
    <w:rsid w:val="000C0A43"/>
    <w:rsid w:val="000C0CB1"/>
    <w:rsid w:val="000C1411"/>
    <w:rsid w:val="000C1ADE"/>
    <w:rsid w:val="000C1C38"/>
    <w:rsid w:val="000C21DC"/>
    <w:rsid w:val="000C2264"/>
    <w:rsid w:val="000C256B"/>
    <w:rsid w:val="000C366E"/>
    <w:rsid w:val="000C3970"/>
    <w:rsid w:val="000C3B1A"/>
    <w:rsid w:val="000C4727"/>
    <w:rsid w:val="000C47AE"/>
    <w:rsid w:val="000C51AD"/>
    <w:rsid w:val="000C5374"/>
    <w:rsid w:val="000C5EC0"/>
    <w:rsid w:val="000C6162"/>
    <w:rsid w:val="000C64CC"/>
    <w:rsid w:val="000C6688"/>
    <w:rsid w:val="000C692E"/>
    <w:rsid w:val="000C6B28"/>
    <w:rsid w:val="000C757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B8A"/>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2B1"/>
    <w:rsid w:val="000F0735"/>
    <w:rsid w:val="000F1604"/>
    <w:rsid w:val="000F252A"/>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874"/>
    <w:rsid w:val="00101967"/>
    <w:rsid w:val="00102294"/>
    <w:rsid w:val="00103251"/>
    <w:rsid w:val="00103509"/>
    <w:rsid w:val="0010393D"/>
    <w:rsid w:val="00103C17"/>
    <w:rsid w:val="00103EBD"/>
    <w:rsid w:val="00104699"/>
    <w:rsid w:val="00104820"/>
    <w:rsid w:val="00104E5B"/>
    <w:rsid w:val="00104EEC"/>
    <w:rsid w:val="00105023"/>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90B"/>
    <w:rsid w:val="00113EE3"/>
    <w:rsid w:val="00114847"/>
    <w:rsid w:val="00115515"/>
    <w:rsid w:val="0011585B"/>
    <w:rsid w:val="00115AAE"/>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094"/>
    <w:rsid w:val="0013773D"/>
    <w:rsid w:val="0014042F"/>
    <w:rsid w:val="00140693"/>
    <w:rsid w:val="00140D7A"/>
    <w:rsid w:val="00141352"/>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16D"/>
    <w:rsid w:val="001502F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F72"/>
    <w:rsid w:val="00177063"/>
    <w:rsid w:val="00180A47"/>
    <w:rsid w:val="00181025"/>
    <w:rsid w:val="00182132"/>
    <w:rsid w:val="001827B7"/>
    <w:rsid w:val="001827EF"/>
    <w:rsid w:val="00182982"/>
    <w:rsid w:val="001829BC"/>
    <w:rsid w:val="00182D68"/>
    <w:rsid w:val="00183031"/>
    <w:rsid w:val="00183468"/>
    <w:rsid w:val="0018397E"/>
    <w:rsid w:val="00183C92"/>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815"/>
    <w:rsid w:val="00193B94"/>
    <w:rsid w:val="00194023"/>
    <w:rsid w:val="001940A7"/>
    <w:rsid w:val="00194BB1"/>
    <w:rsid w:val="00194BC6"/>
    <w:rsid w:val="00194DE5"/>
    <w:rsid w:val="00195070"/>
    <w:rsid w:val="00195179"/>
    <w:rsid w:val="00195245"/>
    <w:rsid w:val="0019526D"/>
    <w:rsid w:val="0019553F"/>
    <w:rsid w:val="001956BE"/>
    <w:rsid w:val="0019602C"/>
    <w:rsid w:val="001969F2"/>
    <w:rsid w:val="00196CD6"/>
    <w:rsid w:val="0019756A"/>
    <w:rsid w:val="001A0422"/>
    <w:rsid w:val="001A06B5"/>
    <w:rsid w:val="001A07F8"/>
    <w:rsid w:val="001A0A23"/>
    <w:rsid w:val="001A0C98"/>
    <w:rsid w:val="001A128B"/>
    <w:rsid w:val="001A1475"/>
    <w:rsid w:val="001A1619"/>
    <w:rsid w:val="001A1F0E"/>
    <w:rsid w:val="001A30EB"/>
    <w:rsid w:val="001A3335"/>
    <w:rsid w:val="001A473A"/>
    <w:rsid w:val="001A4977"/>
    <w:rsid w:val="001A4ED9"/>
    <w:rsid w:val="001A5785"/>
    <w:rsid w:val="001A5FD7"/>
    <w:rsid w:val="001A6194"/>
    <w:rsid w:val="001A66A6"/>
    <w:rsid w:val="001A6BAF"/>
    <w:rsid w:val="001A6BBB"/>
    <w:rsid w:val="001A6EBB"/>
    <w:rsid w:val="001A79A2"/>
    <w:rsid w:val="001A7F98"/>
    <w:rsid w:val="001B06A6"/>
    <w:rsid w:val="001B13BF"/>
    <w:rsid w:val="001B16F5"/>
    <w:rsid w:val="001B1C1F"/>
    <w:rsid w:val="001B219B"/>
    <w:rsid w:val="001B2703"/>
    <w:rsid w:val="001B2F4B"/>
    <w:rsid w:val="001B3DCD"/>
    <w:rsid w:val="001B45B9"/>
    <w:rsid w:val="001B45EA"/>
    <w:rsid w:val="001B46B2"/>
    <w:rsid w:val="001B4725"/>
    <w:rsid w:val="001B48B2"/>
    <w:rsid w:val="001B49DA"/>
    <w:rsid w:val="001B4CA8"/>
    <w:rsid w:val="001B572D"/>
    <w:rsid w:val="001B576E"/>
    <w:rsid w:val="001B5B10"/>
    <w:rsid w:val="001B6025"/>
    <w:rsid w:val="001B6A3C"/>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3F6"/>
    <w:rsid w:val="001C553B"/>
    <w:rsid w:val="001C5ABF"/>
    <w:rsid w:val="001C6047"/>
    <w:rsid w:val="001C6553"/>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B"/>
    <w:rsid w:val="001E022F"/>
    <w:rsid w:val="001E0B39"/>
    <w:rsid w:val="001E0F77"/>
    <w:rsid w:val="001E17E3"/>
    <w:rsid w:val="001E2052"/>
    <w:rsid w:val="001E2492"/>
    <w:rsid w:val="001E257C"/>
    <w:rsid w:val="001E286C"/>
    <w:rsid w:val="001E2F34"/>
    <w:rsid w:val="001E35EE"/>
    <w:rsid w:val="001E4B2C"/>
    <w:rsid w:val="001E507F"/>
    <w:rsid w:val="001E56C2"/>
    <w:rsid w:val="001E59FB"/>
    <w:rsid w:val="001E7937"/>
    <w:rsid w:val="001E7F81"/>
    <w:rsid w:val="001F0FD1"/>
    <w:rsid w:val="001F1526"/>
    <w:rsid w:val="001F19D1"/>
    <w:rsid w:val="001F1CB9"/>
    <w:rsid w:val="001F1F18"/>
    <w:rsid w:val="001F2F92"/>
    <w:rsid w:val="001F3BC4"/>
    <w:rsid w:val="001F456F"/>
    <w:rsid w:val="001F5097"/>
    <w:rsid w:val="001F58CF"/>
    <w:rsid w:val="001F5DA1"/>
    <w:rsid w:val="001F612E"/>
    <w:rsid w:val="001F6A92"/>
    <w:rsid w:val="001F77E8"/>
    <w:rsid w:val="00201A0C"/>
    <w:rsid w:val="00201B0F"/>
    <w:rsid w:val="0020255A"/>
    <w:rsid w:val="00202800"/>
    <w:rsid w:val="002029C7"/>
    <w:rsid w:val="00202D33"/>
    <w:rsid w:val="00202E58"/>
    <w:rsid w:val="00202F99"/>
    <w:rsid w:val="00203695"/>
    <w:rsid w:val="00203C85"/>
    <w:rsid w:val="0020449A"/>
    <w:rsid w:val="00204E9B"/>
    <w:rsid w:val="00205298"/>
    <w:rsid w:val="002055C0"/>
    <w:rsid w:val="0020569E"/>
    <w:rsid w:val="00205FD6"/>
    <w:rsid w:val="00206698"/>
    <w:rsid w:val="00206736"/>
    <w:rsid w:val="00206C88"/>
    <w:rsid w:val="00210B9C"/>
    <w:rsid w:val="00211185"/>
    <w:rsid w:val="00211A94"/>
    <w:rsid w:val="002126F2"/>
    <w:rsid w:val="00212E5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09E"/>
    <w:rsid w:val="00222494"/>
    <w:rsid w:val="00222775"/>
    <w:rsid w:val="00222A31"/>
    <w:rsid w:val="00222CF6"/>
    <w:rsid w:val="00224037"/>
    <w:rsid w:val="002244E4"/>
    <w:rsid w:val="00224D2A"/>
    <w:rsid w:val="00224D8D"/>
    <w:rsid w:val="0022555A"/>
    <w:rsid w:val="00225EEF"/>
    <w:rsid w:val="00227214"/>
    <w:rsid w:val="0022736E"/>
    <w:rsid w:val="00227813"/>
    <w:rsid w:val="00227AFC"/>
    <w:rsid w:val="00227DDC"/>
    <w:rsid w:val="0023079F"/>
    <w:rsid w:val="00231135"/>
    <w:rsid w:val="0023189A"/>
    <w:rsid w:val="00231B0B"/>
    <w:rsid w:val="00232555"/>
    <w:rsid w:val="00233538"/>
    <w:rsid w:val="00234248"/>
    <w:rsid w:val="0023449F"/>
    <w:rsid w:val="002344F5"/>
    <w:rsid w:val="0023454D"/>
    <w:rsid w:val="00234679"/>
    <w:rsid w:val="002359FC"/>
    <w:rsid w:val="00235FA5"/>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D7F"/>
    <w:rsid w:val="00254F2A"/>
    <w:rsid w:val="00255784"/>
    <w:rsid w:val="00255A29"/>
    <w:rsid w:val="0025631F"/>
    <w:rsid w:val="00256986"/>
    <w:rsid w:val="00256D61"/>
    <w:rsid w:val="00256DF5"/>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505"/>
    <w:rsid w:val="00266045"/>
    <w:rsid w:val="002660C3"/>
    <w:rsid w:val="00266519"/>
    <w:rsid w:val="00266C21"/>
    <w:rsid w:val="00266DE1"/>
    <w:rsid w:val="002671B6"/>
    <w:rsid w:val="00267A92"/>
    <w:rsid w:val="00267E43"/>
    <w:rsid w:val="00270282"/>
    <w:rsid w:val="00270780"/>
    <w:rsid w:val="00270CF6"/>
    <w:rsid w:val="00271097"/>
    <w:rsid w:val="002712FC"/>
    <w:rsid w:val="002719D4"/>
    <w:rsid w:val="00271A23"/>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DEA"/>
    <w:rsid w:val="00285FF3"/>
    <w:rsid w:val="0028601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13"/>
    <w:rsid w:val="002A02D6"/>
    <w:rsid w:val="002A07C4"/>
    <w:rsid w:val="002A0921"/>
    <w:rsid w:val="002A0CB3"/>
    <w:rsid w:val="002A1887"/>
    <w:rsid w:val="002A2001"/>
    <w:rsid w:val="002A20A8"/>
    <w:rsid w:val="002A4060"/>
    <w:rsid w:val="002A41AB"/>
    <w:rsid w:val="002A460A"/>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741"/>
    <w:rsid w:val="002B2906"/>
    <w:rsid w:val="002B2C66"/>
    <w:rsid w:val="002B2D49"/>
    <w:rsid w:val="002B34E3"/>
    <w:rsid w:val="002B47E2"/>
    <w:rsid w:val="002B51B6"/>
    <w:rsid w:val="002B5AEE"/>
    <w:rsid w:val="002B6177"/>
    <w:rsid w:val="002B650C"/>
    <w:rsid w:val="002B68E6"/>
    <w:rsid w:val="002B6985"/>
    <w:rsid w:val="002B6D7A"/>
    <w:rsid w:val="002B6ED2"/>
    <w:rsid w:val="002B73D0"/>
    <w:rsid w:val="002C02BA"/>
    <w:rsid w:val="002C0301"/>
    <w:rsid w:val="002C0326"/>
    <w:rsid w:val="002C0A9F"/>
    <w:rsid w:val="002C1AB3"/>
    <w:rsid w:val="002C1BB7"/>
    <w:rsid w:val="002C1FB3"/>
    <w:rsid w:val="002C2665"/>
    <w:rsid w:val="002C2758"/>
    <w:rsid w:val="002C28E1"/>
    <w:rsid w:val="002C31A5"/>
    <w:rsid w:val="002C327D"/>
    <w:rsid w:val="002C3890"/>
    <w:rsid w:val="002C3AD9"/>
    <w:rsid w:val="002C3B62"/>
    <w:rsid w:val="002C4286"/>
    <w:rsid w:val="002C43FC"/>
    <w:rsid w:val="002C45C3"/>
    <w:rsid w:val="002C483B"/>
    <w:rsid w:val="002C4DFE"/>
    <w:rsid w:val="002C519E"/>
    <w:rsid w:val="002C5D5E"/>
    <w:rsid w:val="002C6116"/>
    <w:rsid w:val="002C643D"/>
    <w:rsid w:val="002C66B8"/>
    <w:rsid w:val="002C70E7"/>
    <w:rsid w:val="002D0B68"/>
    <w:rsid w:val="002D0C27"/>
    <w:rsid w:val="002D0E88"/>
    <w:rsid w:val="002D0EA7"/>
    <w:rsid w:val="002D0F31"/>
    <w:rsid w:val="002D1593"/>
    <w:rsid w:val="002D1A1E"/>
    <w:rsid w:val="002D1C2B"/>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FFB"/>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181"/>
    <w:rsid w:val="002E34AC"/>
    <w:rsid w:val="002E37C5"/>
    <w:rsid w:val="002E3956"/>
    <w:rsid w:val="002E3C08"/>
    <w:rsid w:val="002E3CF2"/>
    <w:rsid w:val="002E40EE"/>
    <w:rsid w:val="002E45E6"/>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CF0"/>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C4F"/>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6C"/>
    <w:rsid w:val="00312016"/>
    <w:rsid w:val="00312340"/>
    <w:rsid w:val="00312DFC"/>
    <w:rsid w:val="00313032"/>
    <w:rsid w:val="0031318C"/>
    <w:rsid w:val="00313C9D"/>
    <w:rsid w:val="0031430C"/>
    <w:rsid w:val="00314919"/>
    <w:rsid w:val="00314C5A"/>
    <w:rsid w:val="0031531A"/>
    <w:rsid w:val="00315394"/>
    <w:rsid w:val="00315858"/>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448"/>
    <w:rsid w:val="003360AD"/>
    <w:rsid w:val="0033631D"/>
    <w:rsid w:val="00336359"/>
    <w:rsid w:val="003369C7"/>
    <w:rsid w:val="003373A6"/>
    <w:rsid w:val="00337409"/>
    <w:rsid w:val="00337E18"/>
    <w:rsid w:val="003405AF"/>
    <w:rsid w:val="0034088F"/>
    <w:rsid w:val="00340B3E"/>
    <w:rsid w:val="003413D2"/>
    <w:rsid w:val="00341525"/>
    <w:rsid w:val="0034257E"/>
    <w:rsid w:val="003427F0"/>
    <w:rsid w:val="003429A1"/>
    <w:rsid w:val="003429FC"/>
    <w:rsid w:val="00342B1D"/>
    <w:rsid w:val="00343079"/>
    <w:rsid w:val="00343127"/>
    <w:rsid w:val="00343320"/>
    <w:rsid w:val="00344066"/>
    <w:rsid w:val="00344BBF"/>
    <w:rsid w:val="0034509B"/>
    <w:rsid w:val="00345192"/>
    <w:rsid w:val="00345644"/>
    <w:rsid w:val="00345D0E"/>
    <w:rsid w:val="00345D7A"/>
    <w:rsid w:val="0034607E"/>
    <w:rsid w:val="00346A96"/>
    <w:rsid w:val="00346B6D"/>
    <w:rsid w:val="00346BA3"/>
    <w:rsid w:val="00346C69"/>
    <w:rsid w:val="00347356"/>
    <w:rsid w:val="0035005C"/>
    <w:rsid w:val="00350590"/>
    <w:rsid w:val="00350896"/>
    <w:rsid w:val="00350C31"/>
    <w:rsid w:val="00350C9F"/>
    <w:rsid w:val="00351391"/>
    <w:rsid w:val="003519CD"/>
    <w:rsid w:val="00351A3A"/>
    <w:rsid w:val="0035455F"/>
    <w:rsid w:val="00354A88"/>
    <w:rsid w:val="00354BE4"/>
    <w:rsid w:val="00355D75"/>
    <w:rsid w:val="00355D8F"/>
    <w:rsid w:val="00356A73"/>
    <w:rsid w:val="00356FF0"/>
    <w:rsid w:val="003577EF"/>
    <w:rsid w:val="00357A60"/>
    <w:rsid w:val="00357E05"/>
    <w:rsid w:val="00360304"/>
    <w:rsid w:val="00360A78"/>
    <w:rsid w:val="00361750"/>
    <w:rsid w:val="00363894"/>
    <w:rsid w:val="00363B2A"/>
    <w:rsid w:val="00363BF1"/>
    <w:rsid w:val="0036491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28"/>
    <w:rsid w:val="00375850"/>
    <w:rsid w:val="00375FB8"/>
    <w:rsid w:val="0037632F"/>
    <w:rsid w:val="00377B26"/>
    <w:rsid w:val="00381014"/>
    <w:rsid w:val="00381604"/>
    <w:rsid w:val="00381C68"/>
    <w:rsid w:val="00381E95"/>
    <w:rsid w:val="00381F60"/>
    <w:rsid w:val="00383204"/>
    <w:rsid w:val="00383AB0"/>
    <w:rsid w:val="003847BB"/>
    <w:rsid w:val="00384814"/>
    <w:rsid w:val="00384C0A"/>
    <w:rsid w:val="00385B16"/>
    <w:rsid w:val="00385B96"/>
    <w:rsid w:val="0038637D"/>
    <w:rsid w:val="003868F6"/>
    <w:rsid w:val="003869DC"/>
    <w:rsid w:val="00386C07"/>
    <w:rsid w:val="00386E5D"/>
    <w:rsid w:val="00386F58"/>
    <w:rsid w:val="0038700D"/>
    <w:rsid w:val="003879CE"/>
    <w:rsid w:val="00387B88"/>
    <w:rsid w:val="00390B8F"/>
    <w:rsid w:val="00390C0D"/>
    <w:rsid w:val="00390C81"/>
    <w:rsid w:val="00391447"/>
    <w:rsid w:val="003919D9"/>
    <w:rsid w:val="00391BDD"/>
    <w:rsid w:val="003922DE"/>
    <w:rsid w:val="00392B37"/>
    <w:rsid w:val="00392E35"/>
    <w:rsid w:val="00393247"/>
    <w:rsid w:val="00393551"/>
    <w:rsid w:val="00393816"/>
    <w:rsid w:val="00393FCD"/>
    <w:rsid w:val="003944EA"/>
    <w:rsid w:val="00394639"/>
    <w:rsid w:val="00394708"/>
    <w:rsid w:val="00394DF6"/>
    <w:rsid w:val="00394EC6"/>
    <w:rsid w:val="00395579"/>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9C0"/>
    <w:rsid w:val="003C3292"/>
    <w:rsid w:val="003C3793"/>
    <w:rsid w:val="003C3C1E"/>
    <w:rsid w:val="003C3D88"/>
    <w:rsid w:val="003C4134"/>
    <w:rsid w:val="003C435B"/>
    <w:rsid w:val="003C4EBE"/>
    <w:rsid w:val="003C5D9B"/>
    <w:rsid w:val="003C62EC"/>
    <w:rsid w:val="003C685A"/>
    <w:rsid w:val="003C6E9C"/>
    <w:rsid w:val="003C746F"/>
    <w:rsid w:val="003C7570"/>
    <w:rsid w:val="003C76E6"/>
    <w:rsid w:val="003C7E59"/>
    <w:rsid w:val="003C7F12"/>
    <w:rsid w:val="003D03D6"/>
    <w:rsid w:val="003D075D"/>
    <w:rsid w:val="003D0EE2"/>
    <w:rsid w:val="003D0F80"/>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497"/>
    <w:rsid w:val="003D663E"/>
    <w:rsid w:val="003D664B"/>
    <w:rsid w:val="003D6793"/>
    <w:rsid w:val="003D6B03"/>
    <w:rsid w:val="003D6C8B"/>
    <w:rsid w:val="003D75D8"/>
    <w:rsid w:val="003D7AA9"/>
    <w:rsid w:val="003E006E"/>
    <w:rsid w:val="003E0947"/>
    <w:rsid w:val="003E0E96"/>
    <w:rsid w:val="003E20F7"/>
    <w:rsid w:val="003E336A"/>
    <w:rsid w:val="003E3E2F"/>
    <w:rsid w:val="003E4048"/>
    <w:rsid w:val="003E4CE5"/>
    <w:rsid w:val="003E51FF"/>
    <w:rsid w:val="003E6018"/>
    <w:rsid w:val="003E604C"/>
    <w:rsid w:val="003E60DA"/>
    <w:rsid w:val="003E6E00"/>
    <w:rsid w:val="003E7111"/>
    <w:rsid w:val="003E7940"/>
    <w:rsid w:val="003F01BD"/>
    <w:rsid w:val="003F0486"/>
    <w:rsid w:val="003F048E"/>
    <w:rsid w:val="003F09FA"/>
    <w:rsid w:val="003F0AFF"/>
    <w:rsid w:val="003F1AA2"/>
    <w:rsid w:val="003F26DC"/>
    <w:rsid w:val="003F2D75"/>
    <w:rsid w:val="003F39C9"/>
    <w:rsid w:val="003F42FF"/>
    <w:rsid w:val="003F4B48"/>
    <w:rsid w:val="003F4DDC"/>
    <w:rsid w:val="003F56B8"/>
    <w:rsid w:val="003F57CB"/>
    <w:rsid w:val="003F5D43"/>
    <w:rsid w:val="003F5F1A"/>
    <w:rsid w:val="003F6327"/>
    <w:rsid w:val="003F7425"/>
    <w:rsid w:val="003F765B"/>
    <w:rsid w:val="003F7CB8"/>
    <w:rsid w:val="00400BB5"/>
    <w:rsid w:val="00400CB4"/>
    <w:rsid w:val="00401386"/>
    <w:rsid w:val="004013E6"/>
    <w:rsid w:val="00401E31"/>
    <w:rsid w:val="00402BBA"/>
    <w:rsid w:val="004035D0"/>
    <w:rsid w:val="0040361D"/>
    <w:rsid w:val="00403795"/>
    <w:rsid w:val="004038C3"/>
    <w:rsid w:val="004041FB"/>
    <w:rsid w:val="0040443E"/>
    <w:rsid w:val="00404FE9"/>
    <w:rsid w:val="004053DD"/>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3D5"/>
    <w:rsid w:val="004235A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51B"/>
    <w:rsid w:val="0043554E"/>
    <w:rsid w:val="004355D4"/>
    <w:rsid w:val="004357B1"/>
    <w:rsid w:val="00435821"/>
    <w:rsid w:val="0043583E"/>
    <w:rsid w:val="00436554"/>
    <w:rsid w:val="00436CCE"/>
    <w:rsid w:val="00436EAD"/>
    <w:rsid w:val="004375E1"/>
    <w:rsid w:val="00437A2F"/>
    <w:rsid w:val="00437E3B"/>
    <w:rsid w:val="00440262"/>
    <w:rsid w:val="004406BF"/>
    <w:rsid w:val="00440814"/>
    <w:rsid w:val="004408AE"/>
    <w:rsid w:val="0044105D"/>
    <w:rsid w:val="00441424"/>
    <w:rsid w:val="00442731"/>
    <w:rsid w:val="00442C12"/>
    <w:rsid w:val="004434DF"/>
    <w:rsid w:val="0044354B"/>
    <w:rsid w:val="0044493E"/>
    <w:rsid w:val="00444A1F"/>
    <w:rsid w:val="00444FC6"/>
    <w:rsid w:val="00445739"/>
    <w:rsid w:val="00445874"/>
    <w:rsid w:val="00445C38"/>
    <w:rsid w:val="0044686B"/>
    <w:rsid w:val="00447264"/>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7A6"/>
    <w:rsid w:val="004570EF"/>
    <w:rsid w:val="004571C9"/>
    <w:rsid w:val="00457517"/>
    <w:rsid w:val="00457CF7"/>
    <w:rsid w:val="00457D37"/>
    <w:rsid w:val="0046028A"/>
    <w:rsid w:val="00460669"/>
    <w:rsid w:val="00460D4E"/>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F9F"/>
    <w:rsid w:val="004672E3"/>
    <w:rsid w:val="0046775D"/>
    <w:rsid w:val="00467823"/>
    <w:rsid w:val="004705FA"/>
    <w:rsid w:val="004708AC"/>
    <w:rsid w:val="00470B42"/>
    <w:rsid w:val="00471387"/>
    <w:rsid w:val="0047146C"/>
    <w:rsid w:val="0047149F"/>
    <w:rsid w:val="00471963"/>
    <w:rsid w:val="00471F7F"/>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5F55"/>
    <w:rsid w:val="004764C6"/>
    <w:rsid w:val="00476AC1"/>
    <w:rsid w:val="00476F97"/>
    <w:rsid w:val="00477247"/>
    <w:rsid w:val="004776BB"/>
    <w:rsid w:val="004776FB"/>
    <w:rsid w:val="0048055E"/>
    <w:rsid w:val="00480C2B"/>
    <w:rsid w:val="00480DC5"/>
    <w:rsid w:val="00480FD9"/>
    <w:rsid w:val="0048131D"/>
    <w:rsid w:val="004818FC"/>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ACB"/>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E3"/>
    <w:rsid w:val="004A4E3B"/>
    <w:rsid w:val="004A56A3"/>
    <w:rsid w:val="004A6021"/>
    <w:rsid w:val="004A6110"/>
    <w:rsid w:val="004A61B8"/>
    <w:rsid w:val="004A6415"/>
    <w:rsid w:val="004A64F9"/>
    <w:rsid w:val="004A65F4"/>
    <w:rsid w:val="004A68E8"/>
    <w:rsid w:val="004A6A5C"/>
    <w:rsid w:val="004A6D2C"/>
    <w:rsid w:val="004B026C"/>
    <w:rsid w:val="004B0271"/>
    <w:rsid w:val="004B0BE8"/>
    <w:rsid w:val="004B0E4A"/>
    <w:rsid w:val="004B0EE6"/>
    <w:rsid w:val="004B0FDB"/>
    <w:rsid w:val="004B101D"/>
    <w:rsid w:val="004B18F4"/>
    <w:rsid w:val="004B1A98"/>
    <w:rsid w:val="004B2219"/>
    <w:rsid w:val="004B2463"/>
    <w:rsid w:val="004B2E9D"/>
    <w:rsid w:val="004B305F"/>
    <w:rsid w:val="004B34C4"/>
    <w:rsid w:val="004B34E8"/>
    <w:rsid w:val="004B3981"/>
    <w:rsid w:val="004B3A03"/>
    <w:rsid w:val="004B419F"/>
    <w:rsid w:val="004B4DE8"/>
    <w:rsid w:val="004B4EA9"/>
    <w:rsid w:val="004B5A2D"/>
    <w:rsid w:val="004B5C96"/>
    <w:rsid w:val="004B6124"/>
    <w:rsid w:val="004B6E50"/>
    <w:rsid w:val="004B728F"/>
    <w:rsid w:val="004B7317"/>
    <w:rsid w:val="004B75B2"/>
    <w:rsid w:val="004B75C6"/>
    <w:rsid w:val="004B7852"/>
    <w:rsid w:val="004C02C5"/>
    <w:rsid w:val="004C0BF0"/>
    <w:rsid w:val="004C0D40"/>
    <w:rsid w:val="004C114F"/>
    <w:rsid w:val="004C11A9"/>
    <w:rsid w:val="004C126D"/>
    <w:rsid w:val="004C27CF"/>
    <w:rsid w:val="004C2CA7"/>
    <w:rsid w:val="004C3592"/>
    <w:rsid w:val="004C36D8"/>
    <w:rsid w:val="004C45C8"/>
    <w:rsid w:val="004C4F8F"/>
    <w:rsid w:val="004C5F4B"/>
    <w:rsid w:val="004C612E"/>
    <w:rsid w:val="004C61B8"/>
    <w:rsid w:val="004C69FE"/>
    <w:rsid w:val="004C6C0A"/>
    <w:rsid w:val="004C6C0E"/>
    <w:rsid w:val="004C6C6D"/>
    <w:rsid w:val="004C77FF"/>
    <w:rsid w:val="004C7DB0"/>
    <w:rsid w:val="004C7FFC"/>
    <w:rsid w:val="004D0223"/>
    <w:rsid w:val="004D022A"/>
    <w:rsid w:val="004D0C4C"/>
    <w:rsid w:val="004D16A3"/>
    <w:rsid w:val="004D1934"/>
    <w:rsid w:val="004D1E41"/>
    <w:rsid w:val="004D2326"/>
    <w:rsid w:val="004D2E11"/>
    <w:rsid w:val="004D2F9F"/>
    <w:rsid w:val="004D3108"/>
    <w:rsid w:val="004D329C"/>
    <w:rsid w:val="004D34D1"/>
    <w:rsid w:val="004D4523"/>
    <w:rsid w:val="004D4990"/>
    <w:rsid w:val="004D51D6"/>
    <w:rsid w:val="004D59DC"/>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862"/>
    <w:rsid w:val="004E3A2A"/>
    <w:rsid w:val="004E3AB1"/>
    <w:rsid w:val="004E3B79"/>
    <w:rsid w:val="004E4003"/>
    <w:rsid w:val="004E4626"/>
    <w:rsid w:val="004E4984"/>
    <w:rsid w:val="004E5101"/>
    <w:rsid w:val="004E5380"/>
    <w:rsid w:val="004E6746"/>
    <w:rsid w:val="004E6BCF"/>
    <w:rsid w:val="004E6CAC"/>
    <w:rsid w:val="004E6F69"/>
    <w:rsid w:val="004E75C1"/>
    <w:rsid w:val="004E7683"/>
    <w:rsid w:val="004E777F"/>
    <w:rsid w:val="004E7874"/>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42"/>
    <w:rsid w:val="004F531B"/>
    <w:rsid w:val="004F560C"/>
    <w:rsid w:val="004F5DBB"/>
    <w:rsid w:val="004F60B4"/>
    <w:rsid w:val="004F61A3"/>
    <w:rsid w:val="004F6874"/>
    <w:rsid w:val="004F7922"/>
    <w:rsid w:val="004F7A1F"/>
    <w:rsid w:val="004F7B47"/>
    <w:rsid w:val="0050079C"/>
    <w:rsid w:val="0050106A"/>
    <w:rsid w:val="005010BC"/>
    <w:rsid w:val="00501848"/>
    <w:rsid w:val="00502884"/>
    <w:rsid w:val="00502B31"/>
    <w:rsid w:val="0050434C"/>
    <w:rsid w:val="0050537D"/>
    <w:rsid w:val="0050591C"/>
    <w:rsid w:val="005059BD"/>
    <w:rsid w:val="005060AE"/>
    <w:rsid w:val="00506F4B"/>
    <w:rsid w:val="0050790B"/>
    <w:rsid w:val="00507FDF"/>
    <w:rsid w:val="0051037C"/>
    <w:rsid w:val="0051050F"/>
    <w:rsid w:val="0051058B"/>
    <w:rsid w:val="00510DDC"/>
    <w:rsid w:val="00511166"/>
    <w:rsid w:val="00512217"/>
    <w:rsid w:val="00512459"/>
    <w:rsid w:val="005126AD"/>
    <w:rsid w:val="005131A2"/>
    <w:rsid w:val="005137E4"/>
    <w:rsid w:val="00513BB9"/>
    <w:rsid w:val="0051440E"/>
    <w:rsid w:val="00514480"/>
    <w:rsid w:val="005148CD"/>
    <w:rsid w:val="00515180"/>
    <w:rsid w:val="00515973"/>
    <w:rsid w:val="00515B75"/>
    <w:rsid w:val="00515D34"/>
    <w:rsid w:val="00516069"/>
    <w:rsid w:val="00517AC8"/>
    <w:rsid w:val="00517C3E"/>
    <w:rsid w:val="005207D8"/>
    <w:rsid w:val="0052091D"/>
    <w:rsid w:val="005212F4"/>
    <w:rsid w:val="00521908"/>
    <w:rsid w:val="0052213B"/>
    <w:rsid w:val="005224BC"/>
    <w:rsid w:val="00522741"/>
    <w:rsid w:val="00522928"/>
    <w:rsid w:val="00522BED"/>
    <w:rsid w:val="00522FF1"/>
    <w:rsid w:val="005235D8"/>
    <w:rsid w:val="00523946"/>
    <w:rsid w:val="0052397A"/>
    <w:rsid w:val="00523AC9"/>
    <w:rsid w:val="005256D6"/>
    <w:rsid w:val="00525AD8"/>
    <w:rsid w:val="00526429"/>
    <w:rsid w:val="005266C1"/>
    <w:rsid w:val="005267F4"/>
    <w:rsid w:val="00526862"/>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29"/>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174"/>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73"/>
    <w:rsid w:val="00565F0D"/>
    <w:rsid w:val="005662DC"/>
    <w:rsid w:val="00566329"/>
    <w:rsid w:val="005664D8"/>
    <w:rsid w:val="005668B9"/>
    <w:rsid w:val="00566E39"/>
    <w:rsid w:val="0056704E"/>
    <w:rsid w:val="00567623"/>
    <w:rsid w:val="005701C2"/>
    <w:rsid w:val="00570763"/>
    <w:rsid w:val="0057200B"/>
    <w:rsid w:val="00572297"/>
    <w:rsid w:val="0057345D"/>
    <w:rsid w:val="0057347D"/>
    <w:rsid w:val="00573560"/>
    <w:rsid w:val="00573FE6"/>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B4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AB5"/>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0B"/>
    <w:rsid w:val="005B1A8A"/>
    <w:rsid w:val="005B1AAB"/>
    <w:rsid w:val="005B2578"/>
    <w:rsid w:val="005B2930"/>
    <w:rsid w:val="005B2B87"/>
    <w:rsid w:val="005B2FAA"/>
    <w:rsid w:val="005B33C8"/>
    <w:rsid w:val="005B387B"/>
    <w:rsid w:val="005B3B01"/>
    <w:rsid w:val="005B4191"/>
    <w:rsid w:val="005B4333"/>
    <w:rsid w:val="005B48BE"/>
    <w:rsid w:val="005B58F7"/>
    <w:rsid w:val="005B5981"/>
    <w:rsid w:val="005B5994"/>
    <w:rsid w:val="005B6474"/>
    <w:rsid w:val="005B666D"/>
    <w:rsid w:val="005B667A"/>
    <w:rsid w:val="005B6865"/>
    <w:rsid w:val="005B6BE4"/>
    <w:rsid w:val="005C039B"/>
    <w:rsid w:val="005C059F"/>
    <w:rsid w:val="005C079F"/>
    <w:rsid w:val="005C07CE"/>
    <w:rsid w:val="005C0B8F"/>
    <w:rsid w:val="005C194E"/>
    <w:rsid w:val="005C1C83"/>
    <w:rsid w:val="005C1DB0"/>
    <w:rsid w:val="005C1DB1"/>
    <w:rsid w:val="005C20B1"/>
    <w:rsid w:val="005C226F"/>
    <w:rsid w:val="005C2294"/>
    <w:rsid w:val="005C2E48"/>
    <w:rsid w:val="005C3344"/>
    <w:rsid w:val="005C4E4D"/>
    <w:rsid w:val="005C58F2"/>
    <w:rsid w:val="005C5999"/>
    <w:rsid w:val="005C5A97"/>
    <w:rsid w:val="005C5F77"/>
    <w:rsid w:val="005C6AAB"/>
    <w:rsid w:val="005C6D5D"/>
    <w:rsid w:val="005C6FD0"/>
    <w:rsid w:val="005D01C3"/>
    <w:rsid w:val="005D05FF"/>
    <w:rsid w:val="005D0FB4"/>
    <w:rsid w:val="005D1176"/>
    <w:rsid w:val="005D1747"/>
    <w:rsid w:val="005D266D"/>
    <w:rsid w:val="005D306D"/>
    <w:rsid w:val="005D3327"/>
    <w:rsid w:val="005D43A9"/>
    <w:rsid w:val="005D4854"/>
    <w:rsid w:val="005D4CCE"/>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688"/>
    <w:rsid w:val="005F5A0D"/>
    <w:rsid w:val="005F5A89"/>
    <w:rsid w:val="005F60DF"/>
    <w:rsid w:val="005F615B"/>
    <w:rsid w:val="005F61DF"/>
    <w:rsid w:val="005F680A"/>
    <w:rsid w:val="005F6880"/>
    <w:rsid w:val="005F69F0"/>
    <w:rsid w:val="005F6B3E"/>
    <w:rsid w:val="005F6ED2"/>
    <w:rsid w:val="005F745B"/>
    <w:rsid w:val="005F7585"/>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16E"/>
    <w:rsid w:val="006042CD"/>
    <w:rsid w:val="00605217"/>
    <w:rsid w:val="006054A5"/>
    <w:rsid w:val="006059E4"/>
    <w:rsid w:val="00605C9F"/>
    <w:rsid w:val="00605D60"/>
    <w:rsid w:val="006062A0"/>
    <w:rsid w:val="00607015"/>
    <w:rsid w:val="0061098D"/>
    <w:rsid w:val="00610B78"/>
    <w:rsid w:val="00610F6C"/>
    <w:rsid w:val="00611B59"/>
    <w:rsid w:val="00611FBA"/>
    <w:rsid w:val="00612098"/>
    <w:rsid w:val="0061224B"/>
    <w:rsid w:val="0061272A"/>
    <w:rsid w:val="0061299E"/>
    <w:rsid w:val="006130D0"/>
    <w:rsid w:val="0061355D"/>
    <w:rsid w:val="006139F7"/>
    <w:rsid w:val="00613AA2"/>
    <w:rsid w:val="00614906"/>
    <w:rsid w:val="0061517F"/>
    <w:rsid w:val="00615276"/>
    <w:rsid w:val="006152CF"/>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796"/>
    <w:rsid w:val="00622B22"/>
    <w:rsid w:val="00622F67"/>
    <w:rsid w:val="00623571"/>
    <w:rsid w:val="00623A5E"/>
    <w:rsid w:val="006241E9"/>
    <w:rsid w:val="00624980"/>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94"/>
    <w:rsid w:val="00633769"/>
    <w:rsid w:val="00633FE3"/>
    <w:rsid w:val="00634276"/>
    <w:rsid w:val="00634570"/>
    <w:rsid w:val="0063487C"/>
    <w:rsid w:val="00634CE6"/>
    <w:rsid w:val="00635B73"/>
    <w:rsid w:val="00635BB7"/>
    <w:rsid w:val="00636888"/>
    <w:rsid w:val="00636CC7"/>
    <w:rsid w:val="00637861"/>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29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541"/>
    <w:rsid w:val="00662D3D"/>
    <w:rsid w:val="00662F1F"/>
    <w:rsid w:val="00663D15"/>
    <w:rsid w:val="00665030"/>
    <w:rsid w:val="00665670"/>
    <w:rsid w:val="006659EA"/>
    <w:rsid w:val="006661E8"/>
    <w:rsid w:val="00666424"/>
    <w:rsid w:val="0066676C"/>
    <w:rsid w:val="00666ED2"/>
    <w:rsid w:val="006673B9"/>
    <w:rsid w:val="0066790C"/>
    <w:rsid w:val="00667FF0"/>
    <w:rsid w:val="00670C7C"/>
    <w:rsid w:val="00671480"/>
    <w:rsid w:val="006717E7"/>
    <w:rsid w:val="00671FD5"/>
    <w:rsid w:val="006720BC"/>
    <w:rsid w:val="006723DD"/>
    <w:rsid w:val="00672906"/>
    <w:rsid w:val="00672C73"/>
    <w:rsid w:val="00673B64"/>
    <w:rsid w:val="006753AC"/>
    <w:rsid w:val="00675430"/>
    <w:rsid w:val="006755F0"/>
    <w:rsid w:val="00675749"/>
    <w:rsid w:val="006759FE"/>
    <w:rsid w:val="00675DAD"/>
    <w:rsid w:val="00677382"/>
    <w:rsid w:val="0067772D"/>
    <w:rsid w:val="00677991"/>
    <w:rsid w:val="00677AD2"/>
    <w:rsid w:val="00680326"/>
    <w:rsid w:val="00680714"/>
    <w:rsid w:val="0068071D"/>
    <w:rsid w:val="00680C6B"/>
    <w:rsid w:val="006811F3"/>
    <w:rsid w:val="00681240"/>
    <w:rsid w:val="00681E43"/>
    <w:rsid w:val="0068237F"/>
    <w:rsid w:val="00682F37"/>
    <w:rsid w:val="00683068"/>
    <w:rsid w:val="00683DAD"/>
    <w:rsid w:val="00684592"/>
    <w:rsid w:val="00684963"/>
    <w:rsid w:val="00685033"/>
    <w:rsid w:val="0068517F"/>
    <w:rsid w:val="00685D65"/>
    <w:rsid w:val="00685FC8"/>
    <w:rsid w:val="00686E80"/>
    <w:rsid w:val="0068790B"/>
    <w:rsid w:val="00687AF2"/>
    <w:rsid w:val="006901AC"/>
    <w:rsid w:val="00690727"/>
    <w:rsid w:val="00690C8D"/>
    <w:rsid w:val="00691890"/>
    <w:rsid w:val="00691A6A"/>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173"/>
    <w:rsid w:val="006A035B"/>
    <w:rsid w:val="006A0582"/>
    <w:rsid w:val="006A060C"/>
    <w:rsid w:val="006A06F8"/>
    <w:rsid w:val="006A071C"/>
    <w:rsid w:val="006A0DC7"/>
    <w:rsid w:val="006A150D"/>
    <w:rsid w:val="006A1775"/>
    <w:rsid w:val="006A1B00"/>
    <w:rsid w:val="006A2766"/>
    <w:rsid w:val="006A39D0"/>
    <w:rsid w:val="006A3E91"/>
    <w:rsid w:val="006A430B"/>
    <w:rsid w:val="006A4321"/>
    <w:rsid w:val="006A4840"/>
    <w:rsid w:val="006A4E20"/>
    <w:rsid w:val="006A4F11"/>
    <w:rsid w:val="006A54C8"/>
    <w:rsid w:val="006A563C"/>
    <w:rsid w:val="006A5A6F"/>
    <w:rsid w:val="006A5F7E"/>
    <w:rsid w:val="006A6786"/>
    <w:rsid w:val="006A7C29"/>
    <w:rsid w:val="006A7FC0"/>
    <w:rsid w:val="006B0580"/>
    <w:rsid w:val="006B0DA2"/>
    <w:rsid w:val="006B0F70"/>
    <w:rsid w:val="006B10C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2E7"/>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E28"/>
    <w:rsid w:val="006D135C"/>
    <w:rsid w:val="006D2F72"/>
    <w:rsid w:val="006D43C1"/>
    <w:rsid w:val="006D49F8"/>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14B"/>
    <w:rsid w:val="006E37C6"/>
    <w:rsid w:val="006E3CF3"/>
    <w:rsid w:val="006E41ED"/>
    <w:rsid w:val="006E4667"/>
    <w:rsid w:val="006E46B7"/>
    <w:rsid w:val="006E475A"/>
    <w:rsid w:val="006E486D"/>
    <w:rsid w:val="006E4880"/>
    <w:rsid w:val="006E48BB"/>
    <w:rsid w:val="006E5E91"/>
    <w:rsid w:val="006E727B"/>
    <w:rsid w:val="006E76C8"/>
    <w:rsid w:val="006E7A92"/>
    <w:rsid w:val="006F01FF"/>
    <w:rsid w:val="006F0CB2"/>
    <w:rsid w:val="006F1DE9"/>
    <w:rsid w:val="006F2046"/>
    <w:rsid w:val="006F2BF2"/>
    <w:rsid w:val="006F2F59"/>
    <w:rsid w:val="006F311E"/>
    <w:rsid w:val="006F3442"/>
    <w:rsid w:val="006F36A5"/>
    <w:rsid w:val="006F41F4"/>
    <w:rsid w:val="006F4576"/>
    <w:rsid w:val="006F49D2"/>
    <w:rsid w:val="006F5813"/>
    <w:rsid w:val="006F59A8"/>
    <w:rsid w:val="006F5A1D"/>
    <w:rsid w:val="006F682A"/>
    <w:rsid w:val="006F71A6"/>
    <w:rsid w:val="006F7974"/>
    <w:rsid w:val="006F7C2C"/>
    <w:rsid w:val="006F7FD5"/>
    <w:rsid w:val="00700405"/>
    <w:rsid w:val="00700D18"/>
    <w:rsid w:val="00700EF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105"/>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09"/>
    <w:rsid w:val="00727AC0"/>
    <w:rsid w:val="00727AC5"/>
    <w:rsid w:val="00727C65"/>
    <w:rsid w:val="00727C77"/>
    <w:rsid w:val="007300F0"/>
    <w:rsid w:val="00730904"/>
    <w:rsid w:val="00731EDE"/>
    <w:rsid w:val="0073245C"/>
    <w:rsid w:val="00732493"/>
    <w:rsid w:val="00732FE9"/>
    <w:rsid w:val="00733772"/>
    <w:rsid w:val="00733A43"/>
    <w:rsid w:val="00733AE4"/>
    <w:rsid w:val="00733D5F"/>
    <w:rsid w:val="00734932"/>
    <w:rsid w:val="0073519C"/>
    <w:rsid w:val="00735D53"/>
    <w:rsid w:val="0073618A"/>
    <w:rsid w:val="007364A3"/>
    <w:rsid w:val="00736740"/>
    <w:rsid w:val="007378FD"/>
    <w:rsid w:val="007379AD"/>
    <w:rsid w:val="007403FE"/>
    <w:rsid w:val="007413EB"/>
    <w:rsid w:val="007413FB"/>
    <w:rsid w:val="00741699"/>
    <w:rsid w:val="00742D32"/>
    <w:rsid w:val="00742E9B"/>
    <w:rsid w:val="007444E6"/>
    <w:rsid w:val="0074592C"/>
    <w:rsid w:val="00745C91"/>
    <w:rsid w:val="00746098"/>
    <w:rsid w:val="00746814"/>
    <w:rsid w:val="00746D58"/>
    <w:rsid w:val="00747578"/>
    <w:rsid w:val="00750D12"/>
    <w:rsid w:val="00751073"/>
    <w:rsid w:val="007513E8"/>
    <w:rsid w:val="00751AF2"/>
    <w:rsid w:val="00751B1A"/>
    <w:rsid w:val="00751BD2"/>
    <w:rsid w:val="00751CE5"/>
    <w:rsid w:val="00751E3A"/>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F97"/>
    <w:rsid w:val="0076124A"/>
    <w:rsid w:val="0076161B"/>
    <w:rsid w:val="0076182A"/>
    <w:rsid w:val="00761950"/>
    <w:rsid w:val="00761CB5"/>
    <w:rsid w:val="0076216B"/>
    <w:rsid w:val="00762921"/>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422"/>
    <w:rsid w:val="00772AD2"/>
    <w:rsid w:val="00772F28"/>
    <w:rsid w:val="00773098"/>
    <w:rsid w:val="0077318D"/>
    <w:rsid w:val="007739A3"/>
    <w:rsid w:val="00773BD9"/>
    <w:rsid w:val="00773CB0"/>
    <w:rsid w:val="00773D71"/>
    <w:rsid w:val="00775202"/>
    <w:rsid w:val="00775526"/>
    <w:rsid w:val="00775651"/>
    <w:rsid w:val="00775F3F"/>
    <w:rsid w:val="00776860"/>
    <w:rsid w:val="007770CD"/>
    <w:rsid w:val="0077710B"/>
    <w:rsid w:val="0077765A"/>
    <w:rsid w:val="007776E8"/>
    <w:rsid w:val="007778AE"/>
    <w:rsid w:val="00780032"/>
    <w:rsid w:val="00780636"/>
    <w:rsid w:val="00780E86"/>
    <w:rsid w:val="0078108C"/>
    <w:rsid w:val="00781727"/>
    <w:rsid w:val="007823E8"/>
    <w:rsid w:val="00782783"/>
    <w:rsid w:val="00782CF3"/>
    <w:rsid w:val="00782D0F"/>
    <w:rsid w:val="00783122"/>
    <w:rsid w:val="00783959"/>
    <w:rsid w:val="00783BA5"/>
    <w:rsid w:val="007844A9"/>
    <w:rsid w:val="00785091"/>
    <w:rsid w:val="00785781"/>
    <w:rsid w:val="0078638C"/>
    <w:rsid w:val="007869F9"/>
    <w:rsid w:val="00786CBB"/>
    <w:rsid w:val="00786E21"/>
    <w:rsid w:val="0079038E"/>
    <w:rsid w:val="00790EBB"/>
    <w:rsid w:val="00791C6E"/>
    <w:rsid w:val="007921F7"/>
    <w:rsid w:val="0079225F"/>
    <w:rsid w:val="00792909"/>
    <w:rsid w:val="00792BC6"/>
    <w:rsid w:val="00792C3F"/>
    <w:rsid w:val="00792EE2"/>
    <w:rsid w:val="00792EFD"/>
    <w:rsid w:val="00793105"/>
    <w:rsid w:val="007931E8"/>
    <w:rsid w:val="00793333"/>
    <w:rsid w:val="00794158"/>
    <w:rsid w:val="00794509"/>
    <w:rsid w:val="00794E46"/>
    <w:rsid w:val="007952DE"/>
    <w:rsid w:val="00795479"/>
    <w:rsid w:val="00795878"/>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3AF"/>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59"/>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158"/>
    <w:rsid w:val="007C43D6"/>
    <w:rsid w:val="007C47FF"/>
    <w:rsid w:val="007C5303"/>
    <w:rsid w:val="007C60A8"/>
    <w:rsid w:val="007C660F"/>
    <w:rsid w:val="007C6664"/>
    <w:rsid w:val="007C66FF"/>
    <w:rsid w:val="007C69AE"/>
    <w:rsid w:val="007C6FE9"/>
    <w:rsid w:val="007C7688"/>
    <w:rsid w:val="007C76E3"/>
    <w:rsid w:val="007C76F3"/>
    <w:rsid w:val="007C7DD9"/>
    <w:rsid w:val="007D03BC"/>
    <w:rsid w:val="007D0C2D"/>
    <w:rsid w:val="007D0DC9"/>
    <w:rsid w:val="007D0E6E"/>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08F"/>
    <w:rsid w:val="007E6420"/>
    <w:rsid w:val="007E677F"/>
    <w:rsid w:val="007E6B25"/>
    <w:rsid w:val="007E6E06"/>
    <w:rsid w:val="007E6F4A"/>
    <w:rsid w:val="007E79CC"/>
    <w:rsid w:val="007F1124"/>
    <w:rsid w:val="007F152D"/>
    <w:rsid w:val="007F1ECD"/>
    <w:rsid w:val="007F20C4"/>
    <w:rsid w:val="007F20EE"/>
    <w:rsid w:val="007F23D8"/>
    <w:rsid w:val="007F284B"/>
    <w:rsid w:val="007F3030"/>
    <w:rsid w:val="007F307A"/>
    <w:rsid w:val="007F30C6"/>
    <w:rsid w:val="007F38FD"/>
    <w:rsid w:val="007F3BA5"/>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F8"/>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2F4"/>
    <w:rsid w:val="00812657"/>
    <w:rsid w:val="00812A1A"/>
    <w:rsid w:val="00812D8E"/>
    <w:rsid w:val="00812DFF"/>
    <w:rsid w:val="0081362F"/>
    <w:rsid w:val="0081383A"/>
    <w:rsid w:val="0081497F"/>
    <w:rsid w:val="00814B90"/>
    <w:rsid w:val="00814FC7"/>
    <w:rsid w:val="008157B8"/>
    <w:rsid w:val="0081660C"/>
    <w:rsid w:val="00816AD8"/>
    <w:rsid w:val="00816FF9"/>
    <w:rsid w:val="00817195"/>
    <w:rsid w:val="00817416"/>
    <w:rsid w:val="00817658"/>
    <w:rsid w:val="00817867"/>
    <w:rsid w:val="00820052"/>
    <w:rsid w:val="008206AE"/>
    <w:rsid w:val="00821271"/>
    <w:rsid w:val="00821306"/>
    <w:rsid w:val="008213D9"/>
    <w:rsid w:val="008216CE"/>
    <w:rsid w:val="008218AE"/>
    <w:rsid w:val="00821D85"/>
    <w:rsid w:val="00821E47"/>
    <w:rsid w:val="008220F6"/>
    <w:rsid w:val="00822456"/>
    <w:rsid w:val="00823819"/>
    <w:rsid w:val="00823C4B"/>
    <w:rsid w:val="0082427D"/>
    <w:rsid w:val="0082519F"/>
    <w:rsid w:val="00825441"/>
    <w:rsid w:val="00826855"/>
    <w:rsid w:val="00826B5A"/>
    <w:rsid w:val="00826E73"/>
    <w:rsid w:val="00827AED"/>
    <w:rsid w:val="00830052"/>
    <w:rsid w:val="008300D0"/>
    <w:rsid w:val="008305A7"/>
    <w:rsid w:val="008308D8"/>
    <w:rsid w:val="00830ADA"/>
    <w:rsid w:val="00830ECE"/>
    <w:rsid w:val="008320D2"/>
    <w:rsid w:val="008321CE"/>
    <w:rsid w:val="0083257C"/>
    <w:rsid w:val="0083261B"/>
    <w:rsid w:val="008329F8"/>
    <w:rsid w:val="00832B44"/>
    <w:rsid w:val="00832EC9"/>
    <w:rsid w:val="00832F6D"/>
    <w:rsid w:val="00833307"/>
    <w:rsid w:val="00833583"/>
    <w:rsid w:val="00833B5B"/>
    <w:rsid w:val="00833E9A"/>
    <w:rsid w:val="00834FEF"/>
    <w:rsid w:val="0083617A"/>
    <w:rsid w:val="00836323"/>
    <w:rsid w:val="008369B9"/>
    <w:rsid w:val="008379FF"/>
    <w:rsid w:val="00837D3D"/>
    <w:rsid w:val="00837E9B"/>
    <w:rsid w:val="008404AA"/>
    <w:rsid w:val="008406D7"/>
    <w:rsid w:val="0084074F"/>
    <w:rsid w:val="008407BA"/>
    <w:rsid w:val="00840AA3"/>
    <w:rsid w:val="00840AAC"/>
    <w:rsid w:val="00840DBB"/>
    <w:rsid w:val="0084101C"/>
    <w:rsid w:val="008417F5"/>
    <w:rsid w:val="0084181B"/>
    <w:rsid w:val="00841F29"/>
    <w:rsid w:val="0084218B"/>
    <w:rsid w:val="008425CC"/>
    <w:rsid w:val="00842DC2"/>
    <w:rsid w:val="0084357B"/>
    <w:rsid w:val="008465B4"/>
    <w:rsid w:val="00846D25"/>
    <w:rsid w:val="00850013"/>
    <w:rsid w:val="008500DD"/>
    <w:rsid w:val="0085077E"/>
    <w:rsid w:val="00850A0A"/>
    <w:rsid w:val="00850A94"/>
    <w:rsid w:val="00851695"/>
    <w:rsid w:val="00851CEF"/>
    <w:rsid w:val="00851E96"/>
    <w:rsid w:val="00851F1C"/>
    <w:rsid w:val="0085237B"/>
    <w:rsid w:val="00852FA5"/>
    <w:rsid w:val="00853864"/>
    <w:rsid w:val="00853F7D"/>
    <w:rsid w:val="0085517F"/>
    <w:rsid w:val="0085533A"/>
    <w:rsid w:val="0085562D"/>
    <w:rsid w:val="00855A78"/>
    <w:rsid w:val="00856154"/>
    <w:rsid w:val="00856286"/>
    <w:rsid w:val="0085657E"/>
    <w:rsid w:val="00856F0E"/>
    <w:rsid w:val="008573AF"/>
    <w:rsid w:val="008576B0"/>
    <w:rsid w:val="00857B0B"/>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EC"/>
    <w:rsid w:val="00871952"/>
    <w:rsid w:val="00872006"/>
    <w:rsid w:val="00872386"/>
    <w:rsid w:val="008726D7"/>
    <w:rsid w:val="008730BB"/>
    <w:rsid w:val="00873128"/>
    <w:rsid w:val="008735BC"/>
    <w:rsid w:val="00873AAC"/>
    <w:rsid w:val="00873C61"/>
    <w:rsid w:val="00873DFD"/>
    <w:rsid w:val="0087415C"/>
    <w:rsid w:val="008749BF"/>
    <w:rsid w:val="00875542"/>
    <w:rsid w:val="00875E14"/>
    <w:rsid w:val="0087677E"/>
    <w:rsid w:val="008767E5"/>
    <w:rsid w:val="0087712C"/>
    <w:rsid w:val="008776E7"/>
    <w:rsid w:val="00877746"/>
    <w:rsid w:val="00877C5D"/>
    <w:rsid w:val="00880354"/>
    <w:rsid w:val="0088093C"/>
    <w:rsid w:val="00880BC0"/>
    <w:rsid w:val="0088127A"/>
    <w:rsid w:val="00881D59"/>
    <w:rsid w:val="00881D8A"/>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D82"/>
    <w:rsid w:val="0089600B"/>
    <w:rsid w:val="0089653D"/>
    <w:rsid w:val="008972B6"/>
    <w:rsid w:val="00897339"/>
    <w:rsid w:val="00897697"/>
    <w:rsid w:val="008977E1"/>
    <w:rsid w:val="00897BFA"/>
    <w:rsid w:val="00897D19"/>
    <w:rsid w:val="00897DA5"/>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438"/>
    <w:rsid w:val="008A7915"/>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42B"/>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75"/>
    <w:rsid w:val="008C5371"/>
    <w:rsid w:val="008C623D"/>
    <w:rsid w:val="008C65F4"/>
    <w:rsid w:val="008C6683"/>
    <w:rsid w:val="008C6E0C"/>
    <w:rsid w:val="008C7273"/>
    <w:rsid w:val="008C78F8"/>
    <w:rsid w:val="008D01E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F3E"/>
    <w:rsid w:val="008D5432"/>
    <w:rsid w:val="008D54C0"/>
    <w:rsid w:val="008D5558"/>
    <w:rsid w:val="008D5806"/>
    <w:rsid w:val="008D5BAF"/>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984"/>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0F"/>
    <w:rsid w:val="00906EA2"/>
    <w:rsid w:val="00907278"/>
    <w:rsid w:val="009076CA"/>
    <w:rsid w:val="00907F4E"/>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9D5"/>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098"/>
    <w:rsid w:val="00936EA5"/>
    <w:rsid w:val="00937114"/>
    <w:rsid w:val="0094015D"/>
    <w:rsid w:val="00940916"/>
    <w:rsid w:val="0094107C"/>
    <w:rsid w:val="009412B7"/>
    <w:rsid w:val="0094158D"/>
    <w:rsid w:val="00941B13"/>
    <w:rsid w:val="0094215C"/>
    <w:rsid w:val="00942A27"/>
    <w:rsid w:val="00942F8E"/>
    <w:rsid w:val="00943543"/>
    <w:rsid w:val="009440B7"/>
    <w:rsid w:val="009441DB"/>
    <w:rsid w:val="00944834"/>
    <w:rsid w:val="00946128"/>
    <w:rsid w:val="0094633F"/>
    <w:rsid w:val="00947BA5"/>
    <w:rsid w:val="00950805"/>
    <w:rsid w:val="009517E4"/>
    <w:rsid w:val="009518D4"/>
    <w:rsid w:val="009520BC"/>
    <w:rsid w:val="009521D2"/>
    <w:rsid w:val="00952403"/>
    <w:rsid w:val="00952589"/>
    <w:rsid w:val="00952BD8"/>
    <w:rsid w:val="0095320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663"/>
    <w:rsid w:val="00961867"/>
    <w:rsid w:val="00961A07"/>
    <w:rsid w:val="00961A4F"/>
    <w:rsid w:val="00961C5E"/>
    <w:rsid w:val="009625B7"/>
    <w:rsid w:val="00962FB8"/>
    <w:rsid w:val="00963183"/>
    <w:rsid w:val="0096373F"/>
    <w:rsid w:val="00964007"/>
    <w:rsid w:val="00964283"/>
    <w:rsid w:val="009642A4"/>
    <w:rsid w:val="009643F4"/>
    <w:rsid w:val="009645A6"/>
    <w:rsid w:val="00964F5A"/>
    <w:rsid w:val="0096527F"/>
    <w:rsid w:val="009653ED"/>
    <w:rsid w:val="00966171"/>
    <w:rsid w:val="009664AE"/>
    <w:rsid w:val="00966A21"/>
    <w:rsid w:val="00966AD2"/>
    <w:rsid w:val="0097025C"/>
    <w:rsid w:val="00971415"/>
    <w:rsid w:val="009716D8"/>
    <w:rsid w:val="00971F54"/>
    <w:rsid w:val="00972057"/>
    <w:rsid w:val="0097227B"/>
    <w:rsid w:val="0097262E"/>
    <w:rsid w:val="0097293F"/>
    <w:rsid w:val="00973103"/>
    <w:rsid w:val="00973935"/>
    <w:rsid w:val="00974022"/>
    <w:rsid w:val="009743E8"/>
    <w:rsid w:val="009745D8"/>
    <w:rsid w:val="00974F3B"/>
    <w:rsid w:val="00974FBD"/>
    <w:rsid w:val="0097552A"/>
    <w:rsid w:val="0097564A"/>
    <w:rsid w:val="00975974"/>
    <w:rsid w:val="00975D06"/>
    <w:rsid w:val="00975D63"/>
    <w:rsid w:val="00975DAE"/>
    <w:rsid w:val="00976BBE"/>
    <w:rsid w:val="0098055B"/>
    <w:rsid w:val="00980B30"/>
    <w:rsid w:val="009810BE"/>
    <w:rsid w:val="009817BC"/>
    <w:rsid w:val="009819A7"/>
    <w:rsid w:val="0098220A"/>
    <w:rsid w:val="00982331"/>
    <w:rsid w:val="00982E75"/>
    <w:rsid w:val="00983337"/>
    <w:rsid w:val="009836AA"/>
    <w:rsid w:val="009846BF"/>
    <w:rsid w:val="009851F5"/>
    <w:rsid w:val="0098534B"/>
    <w:rsid w:val="00986019"/>
    <w:rsid w:val="00986281"/>
    <w:rsid w:val="009865F4"/>
    <w:rsid w:val="00986FC9"/>
    <w:rsid w:val="0098764E"/>
    <w:rsid w:val="00987683"/>
    <w:rsid w:val="00987826"/>
    <w:rsid w:val="00987B4F"/>
    <w:rsid w:val="00987D58"/>
    <w:rsid w:val="0099034B"/>
    <w:rsid w:val="009906D4"/>
    <w:rsid w:val="00990A8E"/>
    <w:rsid w:val="00990EB7"/>
    <w:rsid w:val="00990F5F"/>
    <w:rsid w:val="009911A7"/>
    <w:rsid w:val="009913B8"/>
    <w:rsid w:val="0099143A"/>
    <w:rsid w:val="009914E4"/>
    <w:rsid w:val="00992141"/>
    <w:rsid w:val="009921DB"/>
    <w:rsid w:val="009927B3"/>
    <w:rsid w:val="00992C67"/>
    <w:rsid w:val="00992D5B"/>
    <w:rsid w:val="00993135"/>
    <w:rsid w:val="00993AC7"/>
    <w:rsid w:val="00993BAD"/>
    <w:rsid w:val="00993E49"/>
    <w:rsid w:val="00994120"/>
    <w:rsid w:val="009942F5"/>
    <w:rsid w:val="0099449A"/>
    <w:rsid w:val="00994568"/>
    <w:rsid w:val="00994602"/>
    <w:rsid w:val="00995B01"/>
    <w:rsid w:val="00996055"/>
    <w:rsid w:val="009969B2"/>
    <w:rsid w:val="00996EF4"/>
    <w:rsid w:val="00997044"/>
    <w:rsid w:val="00997BC9"/>
    <w:rsid w:val="009A113D"/>
    <w:rsid w:val="009A1ECA"/>
    <w:rsid w:val="009A2BE9"/>
    <w:rsid w:val="009A2BF3"/>
    <w:rsid w:val="009A3688"/>
    <w:rsid w:val="009A3713"/>
    <w:rsid w:val="009A3C3E"/>
    <w:rsid w:val="009A4153"/>
    <w:rsid w:val="009A4C2C"/>
    <w:rsid w:val="009A4E60"/>
    <w:rsid w:val="009A5576"/>
    <w:rsid w:val="009A59B3"/>
    <w:rsid w:val="009A5FAE"/>
    <w:rsid w:val="009A6B3A"/>
    <w:rsid w:val="009A70A3"/>
    <w:rsid w:val="009A7E7C"/>
    <w:rsid w:val="009B05D2"/>
    <w:rsid w:val="009B152B"/>
    <w:rsid w:val="009B2731"/>
    <w:rsid w:val="009B2DCF"/>
    <w:rsid w:val="009B39D8"/>
    <w:rsid w:val="009B3D38"/>
    <w:rsid w:val="009B4368"/>
    <w:rsid w:val="009B4D4C"/>
    <w:rsid w:val="009B61EE"/>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64"/>
    <w:rsid w:val="009C657D"/>
    <w:rsid w:val="009C724B"/>
    <w:rsid w:val="009C7266"/>
    <w:rsid w:val="009C748A"/>
    <w:rsid w:val="009D03B7"/>
    <w:rsid w:val="009D07AD"/>
    <w:rsid w:val="009D0824"/>
    <w:rsid w:val="009D1172"/>
    <w:rsid w:val="009D13CC"/>
    <w:rsid w:val="009D1436"/>
    <w:rsid w:val="009D1654"/>
    <w:rsid w:val="009D1AAC"/>
    <w:rsid w:val="009D1BDB"/>
    <w:rsid w:val="009D222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DF9"/>
    <w:rsid w:val="009E514A"/>
    <w:rsid w:val="009E5177"/>
    <w:rsid w:val="009E5701"/>
    <w:rsid w:val="009E5711"/>
    <w:rsid w:val="009E758E"/>
    <w:rsid w:val="009E7BA2"/>
    <w:rsid w:val="009E7BF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4E5"/>
    <w:rsid w:val="00A027B1"/>
    <w:rsid w:val="00A0307A"/>
    <w:rsid w:val="00A0315E"/>
    <w:rsid w:val="00A03A7C"/>
    <w:rsid w:val="00A044AA"/>
    <w:rsid w:val="00A0686F"/>
    <w:rsid w:val="00A0700C"/>
    <w:rsid w:val="00A102F8"/>
    <w:rsid w:val="00A10A20"/>
    <w:rsid w:val="00A117D5"/>
    <w:rsid w:val="00A11C11"/>
    <w:rsid w:val="00A12720"/>
    <w:rsid w:val="00A1274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AEF"/>
    <w:rsid w:val="00A176DD"/>
    <w:rsid w:val="00A20BA3"/>
    <w:rsid w:val="00A21838"/>
    <w:rsid w:val="00A22C3E"/>
    <w:rsid w:val="00A22C4D"/>
    <w:rsid w:val="00A2334E"/>
    <w:rsid w:val="00A23442"/>
    <w:rsid w:val="00A23EAE"/>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11"/>
    <w:rsid w:val="00A355F9"/>
    <w:rsid w:val="00A357D3"/>
    <w:rsid w:val="00A35AA9"/>
    <w:rsid w:val="00A35F3C"/>
    <w:rsid w:val="00A363F2"/>
    <w:rsid w:val="00A36CF6"/>
    <w:rsid w:val="00A37309"/>
    <w:rsid w:val="00A37329"/>
    <w:rsid w:val="00A37558"/>
    <w:rsid w:val="00A3786A"/>
    <w:rsid w:val="00A37A8B"/>
    <w:rsid w:val="00A4008C"/>
    <w:rsid w:val="00A402A8"/>
    <w:rsid w:val="00A40685"/>
    <w:rsid w:val="00A40E2F"/>
    <w:rsid w:val="00A41819"/>
    <w:rsid w:val="00A41C9A"/>
    <w:rsid w:val="00A41D73"/>
    <w:rsid w:val="00A42406"/>
    <w:rsid w:val="00A42A74"/>
    <w:rsid w:val="00A433E8"/>
    <w:rsid w:val="00A43A1D"/>
    <w:rsid w:val="00A43AB0"/>
    <w:rsid w:val="00A442C8"/>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01C"/>
    <w:rsid w:val="00A6054E"/>
    <w:rsid w:val="00A60799"/>
    <w:rsid w:val="00A60BD7"/>
    <w:rsid w:val="00A6170B"/>
    <w:rsid w:val="00A61991"/>
    <w:rsid w:val="00A61B7F"/>
    <w:rsid w:val="00A61B91"/>
    <w:rsid w:val="00A61C3A"/>
    <w:rsid w:val="00A620E8"/>
    <w:rsid w:val="00A63335"/>
    <w:rsid w:val="00A634EB"/>
    <w:rsid w:val="00A63685"/>
    <w:rsid w:val="00A63EA5"/>
    <w:rsid w:val="00A64545"/>
    <w:rsid w:val="00A645AC"/>
    <w:rsid w:val="00A64BAC"/>
    <w:rsid w:val="00A64C79"/>
    <w:rsid w:val="00A64D58"/>
    <w:rsid w:val="00A65EFB"/>
    <w:rsid w:val="00A66E28"/>
    <w:rsid w:val="00A6707F"/>
    <w:rsid w:val="00A67323"/>
    <w:rsid w:val="00A67429"/>
    <w:rsid w:val="00A677E7"/>
    <w:rsid w:val="00A67CE9"/>
    <w:rsid w:val="00A70263"/>
    <w:rsid w:val="00A70590"/>
    <w:rsid w:val="00A7062E"/>
    <w:rsid w:val="00A70834"/>
    <w:rsid w:val="00A714AE"/>
    <w:rsid w:val="00A71542"/>
    <w:rsid w:val="00A7171F"/>
    <w:rsid w:val="00A71FA0"/>
    <w:rsid w:val="00A71FBD"/>
    <w:rsid w:val="00A720DC"/>
    <w:rsid w:val="00A7212B"/>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D6D"/>
    <w:rsid w:val="00A82EAE"/>
    <w:rsid w:val="00A82FC7"/>
    <w:rsid w:val="00A847F9"/>
    <w:rsid w:val="00A84F27"/>
    <w:rsid w:val="00A8519C"/>
    <w:rsid w:val="00A855EE"/>
    <w:rsid w:val="00A8597A"/>
    <w:rsid w:val="00A85B87"/>
    <w:rsid w:val="00A85F83"/>
    <w:rsid w:val="00A86019"/>
    <w:rsid w:val="00A8680A"/>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48F"/>
    <w:rsid w:val="00AA1DA8"/>
    <w:rsid w:val="00AA222C"/>
    <w:rsid w:val="00AA2264"/>
    <w:rsid w:val="00AA238E"/>
    <w:rsid w:val="00AA2483"/>
    <w:rsid w:val="00AA253B"/>
    <w:rsid w:val="00AA29F8"/>
    <w:rsid w:val="00AA3243"/>
    <w:rsid w:val="00AA388F"/>
    <w:rsid w:val="00AA3998"/>
    <w:rsid w:val="00AA3C4C"/>
    <w:rsid w:val="00AA408E"/>
    <w:rsid w:val="00AA4DA9"/>
    <w:rsid w:val="00AA4F6D"/>
    <w:rsid w:val="00AA50CE"/>
    <w:rsid w:val="00AA536B"/>
    <w:rsid w:val="00AA57C9"/>
    <w:rsid w:val="00AA5A5C"/>
    <w:rsid w:val="00AA5A6F"/>
    <w:rsid w:val="00AA634D"/>
    <w:rsid w:val="00AA640B"/>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429"/>
    <w:rsid w:val="00AD5F0A"/>
    <w:rsid w:val="00AD6A5B"/>
    <w:rsid w:val="00AD6B4F"/>
    <w:rsid w:val="00AD6D19"/>
    <w:rsid w:val="00AD7812"/>
    <w:rsid w:val="00AD7C42"/>
    <w:rsid w:val="00AD7CFA"/>
    <w:rsid w:val="00AD7F3E"/>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89C"/>
    <w:rsid w:val="00AF3F86"/>
    <w:rsid w:val="00AF3F98"/>
    <w:rsid w:val="00AF4CEE"/>
    <w:rsid w:val="00AF4F4A"/>
    <w:rsid w:val="00AF584C"/>
    <w:rsid w:val="00AF5D84"/>
    <w:rsid w:val="00AF5F60"/>
    <w:rsid w:val="00AF6476"/>
    <w:rsid w:val="00AF669D"/>
    <w:rsid w:val="00AF672C"/>
    <w:rsid w:val="00AF673E"/>
    <w:rsid w:val="00AF6ABE"/>
    <w:rsid w:val="00AF7389"/>
    <w:rsid w:val="00AF79DF"/>
    <w:rsid w:val="00AF7C37"/>
    <w:rsid w:val="00B00378"/>
    <w:rsid w:val="00B00D91"/>
    <w:rsid w:val="00B00E84"/>
    <w:rsid w:val="00B01DD9"/>
    <w:rsid w:val="00B01F0E"/>
    <w:rsid w:val="00B03182"/>
    <w:rsid w:val="00B038F1"/>
    <w:rsid w:val="00B03C1B"/>
    <w:rsid w:val="00B04678"/>
    <w:rsid w:val="00B047C9"/>
    <w:rsid w:val="00B04A04"/>
    <w:rsid w:val="00B04B78"/>
    <w:rsid w:val="00B04C37"/>
    <w:rsid w:val="00B04F00"/>
    <w:rsid w:val="00B05BA6"/>
    <w:rsid w:val="00B066FE"/>
    <w:rsid w:val="00B06912"/>
    <w:rsid w:val="00B06B4F"/>
    <w:rsid w:val="00B06BEA"/>
    <w:rsid w:val="00B06D2C"/>
    <w:rsid w:val="00B06E16"/>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486"/>
    <w:rsid w:val="00B226DE"/>
    <w:rsid w:val="00B22A51"/>
    <w:rsid w:val="00B22FB5"/>
    <w:rsid w:val="00B2300C"/>
    <w:rsid w:val="00B241D5"/>
    <w:rsid w:val="00B24381"/>
    <w:rsid w:val="00B24BE9"/>
    <w:rsid w:val="00B2551D"/>
    <w:rsid w:val="00B259F2"/>
    <w:rsid w:val="00B25F8C"/>
    <w:rsid w:val="00B260BE"/>
    <w:rsid w:val="00B26677"/>
    <w:rsid w:val="00B26A96"/>
    <w:rsid w:val="00B274E3"/>
    <w:rsid w:val="00B2765C"/>
    <w:rsid w:val="00B27C4B"/>
    <w:rsid w:val="00B30563"/>
    <w:rsid w:val="00B3069E"/>
    <w:rsid w:val="00B3093C"/>
    <w:rsid w:val="00B30A76"/>
    <w:rsid w:val="00B31246"/>
    <w:rsid w:val="00B32295"/>
    <w:rsid w:val="00B33AB5"/>
    <w:rsid w:val="00B3412E"/>
    <w:rsid w:val="00B343E0"/>
    <w:rsid w:val="00B344E5"/>
    <w:rsid w:val="00B35B6D"/>
    <w:rsid w:val="00B35B83"/>
    <w:rsid w:val="00B35D53"/>
    <w:rsid w:val="00B367C4"/>
    <w:rsid w:val="00B36D3E"/>
    <w:rsid w:val="00B37B8E"/>
    <w:rsid w:val="00B40222"/>
    <w:rsid w:val="00B404C3"/>
    <w:rsid w:val="00B41938"/>
    <w:rsid w:val="00B41A04"/>
    <w:rsid w:val="00B42743"/>
    <w:rsid w:val="00B42A05"/>
    <w:rsid w:val="00B430E9"/>
    <w:rsid w:val="00B4311F"/>
    <w:rsid w:val="00B431AE"/>
    <w:rsid w:val="00B44288"/>
    <w:rsid w:val="00B448BF"/>
    <w:rsid w:val="00B45A59"/>
    <w:rsid w:val="00B45F9F"/>
    <w:rsid w:val="00B4627C"/>
    <w:rsid w:val="00B4641F"/>
    <w:rsid w:val="00B46793"/>
    <w:rsid w:val="00B46953"/>
    <w:rsid w:val="00B47455"/>
    <w:rsid w:val="00B47979"/>
    <w:rsid w:val="00B4797E"/>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1B3B"/>
    <w:rsid w:val="00B6244C"/>
    <w:rsid w:val="00B62A2F"/>
    <w:rsid w:val="00B62B7B"/>
    <w:rsid w:val="00B62F0A"/>
    <w:rsid w:val="00B63484"/>
    <w:rsid w:val="00B634B7"/>
    <w:rsid w:val="00B634F1"/>
    <w:rsid w:val="00B637EF"/>
    <w:rsid w:val="00B63A2A"/>
    <w:rsid w:val="00B63EF6"/>
    <w:rsid w:val="00B6440A"/>
    <w:rsid w:val="00B65788"/>
    <w:rsid w:val="00B65844"/>
    <w:rsid w:val="00B66054"/>
    <w:rsid w:val="00B6677F"/>
    <w:rsid w:val="00B66C7A"/>
    <w:rsid w:val="00B66E4C"/>
    <w:rsid w:val="00B672EA"/>
    <w:rsid w:val="00B6747B"/>
    <w:rsid w:val="00B70135"/>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959"/>
    <w:rsid w:val="00B76FCD"/>
    <w:rsid w:val="00B7764D"/>
    <w:rsid w:val="00B804F8"/>
    <w:rsid w:val="00B8095A"/>
    <w:rsid w:val="00B80BAE"/>
    <w:rsid w:val="00B81274"/>
    <w:rsid w:val="00B815D3"/>
    <w:rsid w:val="00B81742"/>
    <w:rsid w:val="00B817B5"/>
    <w:rsid w:val="00B823A6"/>
    <w:rsid w:val="00B83E76"/>
    <w:rsid w:val="00B83FA0"/>
    <w:rsid w:val="00B84156"/>
    <w:rsid w:val="00B846E6"/>
    <w:rsid w:val="00B8537B"/>
    <w:rsid w:val="00B85586"/>
    <w:rsid w:val="00B8579F"/>
    <w:rsid w:val="00B86289"/>
    <w:rsid w:val="00B863B3"/>
    <w:rsid w:val="00B869D3"/>
    <w:rsid w:val="00B86A2C"/>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F03"/>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9F"/>
    <w:rsid w:val="00BB1688"/>
    <w:rsid w:val="00BB1EFB"/>
    <w:rsid w:val="00BB269F"/>
    <w:rsid w:val="00BB27CC"/>
    <w:rsid w:val="00BB2ACE"/>
    <w:rsid w:val="00BB2E4E"/>
    <w:rsid w:val="00BB2E62"/>
    <w:rsid w:val="00BB36C9"/>
    <w:rsid w:val="00BB37D4"/>
    <w:rsid w:val="00BB3A66"/>
    <w:rsid w:val="00BB40D1"/>
    <w:rsid w:val="00BB4B8F"/>
    <w:rsid w:val="00BB527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7ED"/>
    <w:rsid w:val="00BC4C40"/>
    <w:rsid w:val="00BC5A29"/>
    <w:rsid w:val="00BC5AE3"/>
    <w:rsid w:val="00BC5BAD"/>
    <w:rsid w:val="00BC692A"/>
    <w:rsid w:val="00BC76C5"/>
    <w:rsid w:val="00BC7F94"/>
    <w:rsid w:val="00BD1039"/>
    <w:rsid w:val="00BD10B7"/>
    <w:rsid w:val="00BD1108"/>
    <w:rsid w:val="00BD138A"/>
    <w:rsid w:val="00BD164A"/>
    <w:rsid w:val="00BD1BDD"/>
    <w:rsid w:val="00BD1D7D"/>
    <w:rsid w:val="00BD1E27"/>
    <w:rsid w:val="00BD2B4D"/>
    <w:rsid w:val="00BD2F08"/>
    <w:rsid w:val="00BD2FB9"/>
    <w:rsid w:val="00BD31C2"/>
    <w:rsid w:val="00BD3683"/>
    <w:rsid w:val="00BD450A"/>
    <w:rsid w:val="00BD4717"/>
    <w:rsid w:val="00BD48EA"/>
    <w:rsid w:val="00BD4A30"/>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FA"/>
    <w:rsid w:val="00BE7F4D"/>
    <w:rsid w:val="00BF03C0"/>
    <w:rsid w:val="00BF0EBF"/>
    <w:rsid w:val="00BF1534"/>
    <w:rsid w:val="00BF2021"/>
    <w:rsid w:val="00BF21D4"/>
    <w:rsid w:val="00BF2DDC"/>
    <w:rsid w:val="00BF32DE"/>
    <w:rsid w:val="00BF4A15"/>
    <w:rsid w:val="00BF4E0E"/>
    <w:rsid w:val="00BF4E27"/>
    <w:rsid w:val="00BF4F7C"/>
    <w:rsid w:val="00BF4F7E"/>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3B6"/>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318"/>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6E"/>
    <w:rsid w:val="00C33E51"/>
    <w:rsid w:val="00C34C45"/>
    <w:rsid w:val="00C34C47"/>
    <w:rsid w:val="00C34FCE"/>
    <w:rsid w:val="00C35411"/>
    <w:rsid w:val="00C35EED"/>
    <w:rsid w:val="00C36445"/>
    <w:rsid w:val="00C36B2C"/>
    <w:rsid w:val="00C3701A"/>
    <w:rsid w:val="00C3784B"/>
    <w:rsid w:val="00C379EF"/>
    <w:rsid w:val="00C405C8"/>
    <w:rsid w:val="00C4060B"/>
    <w:rsid w:val="00C40B12"/>
    <w:rsid w:val="00C40C2F"/>
    <w:rsid w:val="00C415AC"/>
    <w:rsid w:val="00C4297A"/>
    <w:rsid w:val="00C4360C"/>
    <w:rsid w:val="00C439B8"/>
    <w:rsid w:val="00C43A0B"/>
    <w:rsid w:val="00C43EDA"/>
    <w:rsid w:val="00C43FEC"/>
    <w:rsid w:val="00C4414C"/>
    <w:rsid w:val="00C45227"/>
    <w:rsid w:val="00C45499"/>
    <w:rsid w:val="00C45512"/>
    <w:rsid w:val="00C459D2"/>
    <w:rsid w:val="00C4602B"/>
    <w:rsid w:val="00C46564"/>
    <w:rsid w:val="00C46BFA"/>
    <w:rsid w:val="00C46DDF"/>
    <w:rsid w:val="00C47516"/>
    <w:rsid w:val="00C500A1"/>
    <w:rsid w:val="00C50A02"/>
    <w:rsid w:val="00C51149"/>
    <w:rsid w:val="00C5117E"/>
    <w:rsid w:val="00C512D1"/>
    <w:rsid w:val="00C51856"/>
    <w:rsid w:val="00C51B04"/>
    <w:rsid w:val="00C51DB5"/>
    <w:rsid w:val="00C521FD"/>
    <w:rsid w:val="00C53CE9"/>
    <w:rsid w:val="00C5531B"/>
    <w:rsid w:val="00C55375"/>
    <w:rsid w:val="00C5570F"/>
    <w:rsid w:val="00C56C98"/>
    <w:rsid w:val="00C56DE1"/>
    <w:rsid w:val="00C56DEE"/>
    <w:rsid w:val="00C57120"/>
    <w:rsid w:val="00C571D5"/>
    <w:rsid w:val="00C57491"/>
    <w:rsid w:val="00C575D4"/>
    <w:rsid w:val="00C57612"/>
    <w:rsid w:val="00C60CB2"/>
    <w:rsid w:val="00C61223"/>
    <w:rsid w:val="00C61246"/>
    <w:rsid w:val="00C618A8"/>
    <w:rsid w:val="00C61919"/>
    <w:rsid w:val="00C61A78"/>
    <w:rsid w:val="00C629F3"/>
    <w:rsid w:val="00C62B88"/>
    <w:rsid w:val="00C62CD3"/>
    <w:rsid w:val="00C634F9"/>
    <w:rsid w:val="00C63CDE"/>
    <w:rsid w:val="00C643ED"/>
    <w:rsid w:val="00C64534"/>
    <w:rsid w:val="00C645D1"/>
    <w:rsid w:val="00C64CBC"/>
    <w:rsid w:val="00C64D93"/>
    <w:rsid w:val="00C64F49"/>
    <w:rsid w:val="00C64F71"/>
    <w:rsid w:val="00C650E3"/>
    <w:rsid w:val="00C65200"/>
    <w:rsid w:val="00C65B27"/>
    <w:rsid w:val="00C65BD3"/>
    <w:rsid w:val="00C664FB"/>
    <w:rsid w:val="00C665DE"/>
    <w:rsid w:val="00C667C3"/>
    <w:rsid w:val="00C66C6A"/>
    <w:rsid w:val="00C6728B"/>
    <w:rsid w:val="00C70718"/>
    <w:rsid w:val="00C70B25"/>
    <w:rsid w:val="00C71528"/>
    <w:rsid w:val="00C717E4"/>
    <w:rsid w:val="00C7191B"/>
    <w:rsid w:val="00C71953"/>
    <w:rsid w:val="00C71D10"/>
    <w:rsid w:val="00C71F09"/>
    <w:rsid w:val="00C72588"/>
    <w:rsid w:val="00C727B9"/>
    <w:rsid w:val="00C72F44"/>
    <w:rsid w:val="00C73670"/>
    <w:rsid w:val="00C737D1"/>
    <w:rsid w:val="00C738A0"/>
    <w:rsid w:val="00C73DE0"/>
    <w:rsid w:val="00C73FB2"/>
    <w:rsid w:val="00C74609"/>
    <w:rsid w:val="00C74745"/>
    <w:rsid w:val="00C749AB"/>
    <w:rsid w:val="00C74F8F"/>
    <w:rsid w:val="00C75A8F"/>
    <w:rsid w:val="00C76129"/>
    <w:rsid w:val="00C76C0C"/>
    <w:rsid w:val="00C76FFC"/>
    <w:rsid w:val="00C774E0"/>
    <w:rsid w:val="00C776BA"/>
    <w:rsid w:val="00C7791E"/>
    <w:rsid w:val="00C81716"/>
    <w:rsid w:val="00C81E44"/>
    <w:rsid w:val="00C832CB"/>
    <w:rsid w:val="00C8378E"/>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FB"/>
    <w:rsid w:val="00C9158C"/>
    <w:rsid w:val="00C91802"/>
    <w:rsid w:val="00C92E41"/>
    <w:rsid w:val="00C92F62"/>
    <w:rsid w:val="00C93097"/>
    <w:rsid w:val="00C93B40"/>
    <w:rsid w:val="00C93DB5"/>
    <w:rsid w:val="00C94CB9"/>
    <w:rsid w:val="00C95853"/>
    <w:rsid w:val="00C95C2F"/>
    <w:rsid w:val="00C95F87"/>
    <w:rsid w:val="00C96035"/>
    <w:rsid w:val="00C960FB"/>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9B2"/>
    <w:rsid w:val="00CB4CF6"/>
    <w:rsid w:val="00CB4F39"/>
    <w:rsid w:val="00CB52A4"/>
    <w:rsid w:val="00CB537C"/>
    <w:rsid w:val="00CB5788"/>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44A"/>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284"/>
    <w:rsid w:val="00CE14CB"/>
    <w:rsid w:val="00CE1C7C"/>
    <w:rsid w:val="00CE2E2E"/>
    <w:rsid w:val="00CE324C"/>
    <w:rsid w:val="00CE3A51"/>
    <w:rsid w:val="00CE41F9"/>
    <w:rsid w:val="00CE5321"/>
    <w:rsid w:val="00CE59F6"/>
    <w:rsid w:val="00CE66CD"/>
    <w:rsid w:val="00CE6BA9"/>
    <w:rsid w:val="00CE71C3"/>
    <w:rsid w:val="00CE727A"/>
    <w:rsid w:val="00CF029C"/>
    <w:rsid w:val="00CF08A1"/>
    <w:rsid w:val="00CF0AF0"/>
    <w:rsid w:val="00CF157E"/>
    <w:rsid w:val="00CF1631"/>
    <w:rsid w:val="00CF1834"/>
    <w:rsid w:val="00CF1AAA"/>
    <w:rsid w:val="00CF1CB5"/>
    <w:rsid w:val="00CF1EC2"/>
    <w:rsid w:val="00CF2ACF"/>
    <w:rsid w:val="00CF345B"/>
    <w:rsid w:val="00CF42CF"/>
    <w:rsid w:val="00CF475F"/>
    <w:rsid w:val="00CF4C12"/>
    <w:rsid w:val="00CF5008"/>
    <w:rsid w:val="00CF5069"/>
    <w:rsid w:val="00CF5E34"/>
    <w:rsid w:val="00CF6707"/>
    <w:rsid w:val="00CF7101"/>
    <w:rsid w:val="00CF7327"/>
    <w:rsid w:val="00CF7385"/>
    <w:rsid w:val="00CF7539"/>
    <w:rsid w:val="00CF75C6"/>
    <w:rsid w:val="00CF7B77"/>
    <w:rsid w:val="00CF7DF5"/>
    <w:rsid w:val="00D001D2"/>
    <w:rsid w:val="00D01F72"/>
    <w:rsid w:val="00D0200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B97"/>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A1"/>
    <w:rsid w:val="00D20FD1"/>
    <w:rsid w:val="00D214D4"/>
    <w:rsid w:val="00D21AAA"/>
    <w:rsid w:val="00D21E6F"/>
    <w:rsid w:val="00D2218A"/>
    <w:rsid w:val="00D227AA"/>
    <w:rsid w:val="00D22B13"/>
    <w:rsid w:val="00D2371E"/>
    <w:rsid w:val="00D237E0"/>
    <w:rsid w:val="00D23A17"/>
    <w:rsid w:val="00D23F78"/>
    <w:rsid w:val="00D24D4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75"/>
    <w:rsid w:val="00D32FA0"/>
    <w:rsid w:val="00D33112"/>
    <w:rsid w:val="00D331CB"/>
    <w:rsid w:val="00D3451E"/>
    <w:rsid w:val="00D3497A"/>
    <w:rsid w:val="00D35425"/>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B0C"/>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717"/>
    <w:rsid w:val="00D73991"/>
    <w:rsid w:val="00D73CD4"/>
    <w:rsid w:val="00D73F06"/>
    <w:rsid w:val="00D740B2"/>
    <w:rsid w:val="00D74247"/>
    <w:rsid w:val="00D743F1"/>
    <w:rsid w:val="00D744CF"/>
    <w:rsid w:val="00D7456E"/>
    <w:rsid w:val="00D75391"/>
    <w:rsid w:val="00D753A9"/>
    <w:rsid w:val="00D755F7"/>
    <w:rsid w:val="00D75715"/>
    <w:rsid w:val="00D75DDB"/>
    <w:rsid w:val="00D75E4B"/>
    <w:rsid w:val="00D763BB"/>
    <w:rsid w:val="00D774F4"/>
    <w:rsid w:val="00D77687"/>
    <w:rsid w:val="00D77AF6"/>
    <w:rsid w:val="00D8022F"/>
    <w:rsid w:val="00D804C5"/>
    <w:rsid w:val="00D815E6"/>
    <w:rsid w:val="00D81A28"/>
    <w:rsid w:val="00D81BDE"/>
    <w:rsid w:val="00D8201D"/>
    <w:rsid w:val="00D82B00"/>
    <w:rsid w:val="00D82B04"/>
    <w:rsid w:val="00D82BE4"/>
    <w:rsid w:val="00D82E05"/>
    <w:rsid w:val="00D839F2"/>
    <w:rsid w:val="00D83C0D"/>
    <w:rsid w:val="00D83C80"/>
    <w:rsid w:val="00D83F5B"/>
    <w:rsid w:val="00D84B07"/>
    <w:rsid w:val="00D85FDE"/>
    <w:rsid w:val="00D8665E"/>
    <w:rsid w:val="00D869C1"/>
    <w:rsid w:val="00D86AC8"/>
    <w:rsid w:val="00D86EC6"/>
    <w:rsid w:val="00D87418"/>
    <w:rsid w:val="00D87A39"/>
    <w:rsid w:val="00D87FC1"/>
    <w:rsid w:val="00D87FE6"/>
    <w:rsid w:val="00D9091D"/>
    <w:rsid w:val="00D90BC3"/>
    <w:rsid w:val="00D90C93"/>
    <w:rsid w:val="00D90DB9"/>
    <w:rsid w:val="00D90DD4"/>
    <w:rsid w:val="00D91001"/>
    <w:rsid w:val="00D910FF"/>
    <w:rsid w:val="00D91337"/>
    <w:rsid w:val="00D915C9"/>
    <w:rsid w:val="00D916F6"/>
    <w:rsid w:val="00D918DA"/>
    <w:rsid w:val="00D9198F"/>
    <w:rsid w:val="00D92078"/>
    <w:rsid w:val="00D926F0"/>
    <w:rsid w:val="00D92A87"/>
    <w:rsid w:val="00D933AA"/>
    <w:rsid w:val="00D9384E"/>
    <w:rsid w:val="00D93AEE"/>
    <w:rsid w:val="00D9413E"/>
    <w:rsid w:val="00D94C8D"/>
    <w:rsid w:val="00D9517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20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113"/>
    <w:rsid w:val="00DB540C"/>
    <w:rsid w:val="00DB5BFA"/>
    <w:rsid w:val="00DB6F96"/>
    <w:rsid w:val="00DB71B9"/>
    <w:rsid w:val="00DB733F"/>
    <w:rsid w:val="00DB7662"/>
    <w:rsid w:val="00DB7CD4"/>
    <w:rsid w:val="00DB7E46"/>
    <w:rsid w:val="00DC0F96"/>
    <w:rsid w:val="00DC1395"/>
    <w:rsid w:val="00DC1770"/>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1B2"/>
    <w:rsid w:val="00DD09F2"/>
    <w:rsid w:val="00DD0DEE"/>
    <w:rsid w:val="00DD1205"/>
    <w:rsid w:val="00DD1633"/>
    <w:rsid w:val="00DD17A0"/>
    <w:rsid w:val="00DD1B97"/>
    <w:rsid w:val="00DD2831"/>
    <w:rsid w:val="00DD2A6D"/>
    <w:rsid w:val="00DD2E17"/>
    <w:rsid w:val="00DD40F0"/>
    <w:rsid w:val="00DD42DE"/>
    <w:rsid w:val="00DD4309"/>
    <w:rsid w:val="00DD4344"/>
    <w:rsid w:val="00DD4357"/>
    <w:rsid w:val="00DD4DDD"/>
    <w:rsid w:val="00DD573B"/>
    <w:rsid w:val="00DD57E7"/>
    <w:rsid w:val="00DD5A1E"/>
    <w:rsid w:val="00DD5B8C"/>
    <w:rsid w:val="00DD5DFA"/>
    <w:rsid w:val="00DD5E91"/>
    <w:rsid w:val="00DD6CE2"/>
    <w:rsid w:val="00DD720D"/>
    <w:rsid w:val="00DD7E69"/>
    <w:rsid w:val="00DE0229"/>
    <w:rsid w:val="00DE04E0"/>
    <w:rsid w:val="00DE12F1"/>
    <w:rsid w:val="00DE1A9D"/>
    <w:rsid w:val="00DE1CB1"/>
    <w:rsid w:val="00DE2073"/>
    <w:rsid w:val="00DE21A6"/>
    <w:rsid w:val="00DE30AC"/>
    <w:rsid w:val="00DE38D1"/>
    <w:rsid w:val="00DE4106"/>
    <w:rsid w:val="00DE466B"/>
    <w:rsid w:val="00DE48F4"/>
    <w:rsid w:val="00DE5563"/>
    <w:rsid w:val="00DE5A81"/>
    <w:rsid w:val="00DE5C19"/>
    <w:rsid w:val="00DE5D48"/>
    <w:rsid w:val="00DE694D"/>
    <w:rsid w:val="00DE6E4D"/>
    <w:rsid w:val="00DE7498"/>
    <w:rsid w:val="00DE75EF"/>
    <w:rsid w:val="00DE7611"/>
    <w:rsid w:val="00DE7C23"/>
    <w:rsid w:val="00DE7D19"/>
    <w:rsid w:val="00DF05A0"/>
    <w:rsid w:val="00DF1162"/>
    <w:rsid w:val="00DF19AA"/>
    <w:rsid w:val="00DF1BA8"/>
    <w:rsid w:val="00DF1F63"/>
    <w:rsid w:val="00DF28F2"/>
    <w:rsid w:val="00DF2BFF"/>
    <w:rsid w:val="00DF339B"/>
    <w:rsid w:val="00DF3798"/>
    <w:rsid w:val="00DF393E"/>
    <w:rsid w:val="00DF3CC1"/>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161"/>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A20"/>
    <w:rsid w:val="00E203DE"/>
    <w:rsid w:val="00E20CE7"/>
    <w:rsid w:val="00E217B1"/>
    <w:rsid w:val="00E222FA"/>
    <w:rsid w:val="00E229CE"/>
    <w:rsid w:val="00E22B4A"/>
    <w:rsid w:val="00E232EA"/>
    <w:rsid w:val="00E2449B"/>
    <w:rsid w:val="00E24610"/>
    <w:rsid w:val="00E24A62"/>
    <w:rsid w:val="00E24F52"/>
    <w:rsid w:val="00E255CC"/>
    <w:rsid w:val="00E25636"/>
    <w:rsid w:val="00E25755"/>
    <w:rsid w:val="00E25F90"/>
    <w:rsid w:val="00E261BC"/>
    <w:rsid w:val="00E2631C"/>
    <w:rsid w:val="00E266DD"/>
    <w:rsid w:val="00E26D2E"/>
    <w:rsid w:val="00E26E35"/>
    <w:rsid w:val="00E27468"/>
    <w:rsid w:val="00E27682"/>
    <w:rsid w:val="00E279B2"/>
    <w:rsid w:val="00E303C0"/>
    <w:rsid w:val="00E3055B"/>
    <w:rsid w:val="00E31687"/>
    <w:rsid w:val="00E31699"/>
    <w:rsid w:val="00E31761"/>
    <w:rsid w:val="00E31812"/>
    <w:rsid w:val="00E31889"/>
    <w:rsid w:val="00E31CE7"/>
    <w:rsid w:val="00E333D5"/>
    <w:rsid w:val="00E3394F"/>
    <w:rsid w:val="00E33A0B"/>
    <w:rsid w:val="00E34885"/>
    <w:rsid w:val="00E34A2F"/>
    <w:rsid w:val="00E35A45"/>
    <w:rsid w:val="00E35F7F"/>
    <w:rsid w:val="00E36392"/>
    <w:rsid w:val="00E36B32"/>
    <w:rsid w:val="00E37A6F"/>
    <w:rsid w:val="00E37A9C"/>
    <w:rsid w:val="00E40222"/>
    <w:rsid w:val="00E40406"/>
    <w:rsid w:val="00E40433"/>
    <w:rsid w:val="00E4082B"/>
    <w:rsid w:val="00E40835"/>
    <w:rsid w:val="00E408EC"/>
    <w:rsid w:val="00E409B5"/>
    <w:rsid w:val="00E40BCB"/>
    <w:rsid w:val="00E4208F"/>
    <w:rsid w:val="00E42E94"/>
    <w:rsid w:val="00E43006"/>
    <w:rsid w:val="00E4312A"/>
    <w:rsid w:val="00E4331B"/>
    <w:rsid w:val="00E43551"/>
    <w:rsid w:val="00E437FA"/>
    <w:rsid w:val="00E44DD5"/>
    <w:rsid w:val="00E45A2C"/>
    <w:rsid w:val="00E46A6B"/>
    <w:rsid w:val="00E46A9C"/>
    <w:rsid w:val="00E47DB1"/>
    <w:rsid w:val="00E50BDD"/>
    <w:rsid w:val="00E50C8D"/>
    <w:rsid w:val="00E510CF"/>
    <w:rsid w:val="00E513D7"/>
    <w:rsid w:val="00E519FE"/>
    <w:rsid w:val="00E5206C"/>
    <w:rsid w:val="00E52AAB"/>
    <w:rsid w:val="00E5448E"/>
    <w:rsid w:val="00E54E0D"/>
    <w:rsid w:val="00E55247"/>
    <w:rsid w:val="00E558E5"/>
    <w:rsid w:val="00E55B3C"/>
    <w:rsid w:val="00E56795"/>
    <w:rsid w:val="00E57588"/>
    <w:rsid w:val="00E57932"/>
    <w:rsid w:val="00E606C4"/>
    <w:rsid w:val="00E60811"/>
    <w:rsid w:val="00E60AB8"/>
    <w:rsid w:val="00E6103E"/>
    <w:rsid w:val="00E6185F"/>
    <w:rsid w:val="00E61D32"/>
    <w:rsid w:val="00E62DFF"/>
    <w:rsid w:val="00E63C60"/>
    <w:rsid w:val="00E64050"/>
    <w:rsid w:val="00E64B7B"/>
    <w:rsid w:val="00E6514D"/>
    <w:rsid w:val="00E65161"/>
    <w:rsid w:val="00E652C9"/>
    <w:rsid w:val="00E6593B"/>
    <w:rsid w:val="00E65ACB"/>
    <w:rsid w:val="00E65D74"/>
    <w:rsid w:val="00E66057"/>
    <w:rsid w:val="00E66E11"/>
    <w:rsid w:val="00E672C6"/>
    <w:rsid w:val="00E70192"/>
    <w:rsid w:val="00E7057E"/>
    <w:rsid w:val="00E70C55"/>
    <w:rsid w:val="00E70E34"/>
    <w:rsid w:val="00E70FC5"/>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325"/>
    <w:rsid w:val="00E769CC"/>
    <w:rsid w:val="00E76E26"/>
    <w:rsid w:val="00E77124"/>
    <w:rsid w:val="00E77341"/>
    <w:rsid w:val="00E7783E"/>
    <w:rsid w:val="00E778B8"/>
    <w:rsid w:val="00E77FD6"/>
    <w:rsid w:val="00E801C7"/>
    <w:rsid w:val="00E8062F"/>
    <w:rsid w:val="00E80AF8"/>
    <w:rsid w:val="00E80BED"/>
    <w:rsid w:val="00E816E8"/>
    <w:rsid w:val="00E81737"/>
    <w:rsid w:val="00E82592"/>
    <w:rsid w:val="00E825ED"/>
    <w:rsid w:val="00E827BB"/>
    <w:rsid w:val="00E82D24"/>
    <w:rsid w:val="00E83018"/>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4B9"/>
    <w:rsid w:val="00E9751D"/>
    <w:rsid w:val="00E97DC6"/>
    <w:rsid w:val="00E97F7A"/>
    <w:rsid w:val="00EA0010"/>
    <w:rsid w:val="00EA0143"/>
    <w:rsid w:val="00EA089B"/>
    <w:rsid w:val="00EA1ACC"/>
    <w:rsid w:val="00EA21ED"/>
    <w:rsid w:val="00EA23E8"/>
    <w:rsid w:val="00EA2E21"/>
    <w:rsid w:val="00EA2EAA"/>
    <w:rsid w:val="00EA380C"/>
    <w:rsid w:val="00EA5707"/>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3F77"/>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4A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09"/>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688"/>
    <w:rsid w:val="00ED7907"/>
    <w:rsid w:val="00ED7CA2"/>
    <w:rsid w:val="00EE04F9"/>
    <w:rsid w:val="00EE05E0"/>
    <w:rsid w:val="00EE13DA"/>
    <w:rsid w:val="00EE1595"/>
    <w:rsid w:val="00EE1E71"/>
    <w:rsid w:val="00EE2087"/>
    <w:rsid w:val="00EE20C2"/>
    <w:rsid w:val="00EE2A9D"/>
    <w:rsid w:val="00EE3384"/>
    <w:rsid w:val="00EE3BDB"/>
    <w:rsid w:val="00EE499F"/>
    <w:rsid w:val="00EE56E2"/>
    <w:rsid w:val="00EE5FCD"/>
    <w:rsid w:val="00EE63BF"/>
    <w:rsid w:val="00EE6D45"/>
    <w:rsid w:val="00EE6E89"/>
    <w:rsid w:val="00EE715D"/>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20"/>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DD7"/>
    <w:rsid w:val="00F03E4C"/>
    <w:rsid w:val="00F04D19"/>
    <w:rsid w:val="00F050A3"/>
    <w:rsid w:val="00F06340"/>
    <w:rsid w:val="00F0665D"/>
    <w:rsid w:val="00F06D42"/>
    <w:rsid w:val="00F06D97"/>
    <w:rsid w:val="00F07134"/>
    <w:rsid w:val="00F0724D"/>
    <w:rsid w:val="00F07378"/>
    <w:rsid w:val="00F073B7"/>
    <w:rsid w:val="00F075DA"/>
    <w:rsid w:val="00F07CF0"/>
    <w:rsid w:val="00F101EC"/>
    <w:rsid w:val="00F10B81"/>
    <w:rsid w:val="00F10BC9"/>
    <w:rsid w:val="00F11078"/>
    <w:rsid w:val="00F113C9"/>
    <w:rsid w:val="00F11C01"/>
    <w:rsid w:val="00F11D80"/>
    <w:rsid w:val="00F1360D"/>
    <w:rsid w:val="00F14524"/>
    <w:rsid w:val="00F14B08"/>
    <w:rsid w:val="00F14B4B"/>
    <w:rsid w:val="00F14CD1"/>
    <w:rsid w:val="00F15115"/>
    <w:rsid w:val="00F15454"/>
    <w:rsid w:val="00F15A85"/>
    <w:rsid w:val="00F15C81"/>
    <w:rsid w:val="00F15D8C"/>
    <w:rsid w:val="00F15F18"/>
    <w:rsid w:val="00F16B86"/>
    <w:rsid w:val="00F16D9F"/>
    <w:rsid w:val="00F16E1A"/>
    <w:rsid w:val="00F16F92"/>
    <w:rsid w:val="00F17C3E"/>
    <w:rsid w:val="00F20197"/>
    <w:rsid w:val="00F20369"/>
    <w:rsid w:val="00F20607"/>
    <w:rsid w:val="00F208BB"/>
    <w:rsid w:val="00F20C9E"/>
    <w:rsid w:val="00F213D8"/>
    <w:rsid w:val="00F213EB"/>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04"/>
    <w:rsid w:val="00F25824"/>
    <w:rsid w:val="00F25E8C"/>
    <w:rsid w:val="00F26065"/>
    <w:rsid w:val="00F266E3"/>
    <w:rsid w:val="00F2689C"/>
    <w:rsid w:val="00F26935"/>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5A1"/>
    <w:rsid w:val="00F419B8"/>
    <w:rsid w:val="00F41C0F"/>
    <w:rsid w:val="00F42856"/>
    <w:rsid w:val="00F42ED7"/>
    <w:rsid w:val="00F43777"/>
    <w:rsid w:val="00F4482B"/>
    <w:rsid w:val="00F44F02"/>
    <w:rsid w:val="00F45039"/>
    <w:rsid w:val="00F4526B"/>
    <w:rsid w:val="00F45298"/>
    <w:rsid w:val="00F456BB"/>
    <w:rsid w:val="00F45F64"/>
    <w:rsid w:val="00F462DF"/>
    <w:rsid w:val="00F46534"/>
    <w:rsid w:val="00F4662D"/>
    <w:rsid w:val="00F467BA"/>
    <w:rsid w:val="00F4689E"/>
    <w:rsid w:val="00F468AC"/>
    <w:rsid w:val="00F4696F"/>
    <w:rsid w:val="00F4697D"/>
    <w:rsid w:val="00F46A5F"/>
    <w:rsid w:val="00F47316"/>
    <w:rsid w:val="00F47507"/>
    <w:rsid w:val="00F47A01"/>
    <w:rsid w:val="00F47CEE"/>
    <w:rsid w:val="00F5052D"/>
    <w:rsid w:val="00F51080"/>
    <w:rsid w:val="00F51975"/>
    <w:rsid w:val="00F51A82"/>
    <w:rsid w:val="00F51B78"/>
    <w:rsid w:val="00F51BDD"/>
    <w:rsid w:val="00F52065"/>
    <w:rsid w:val="00F521CE"/>
    <w:rsid w:val="00F5253E"/>
    <w:rsid w:val="00F5254B"/>
    <w:rsid w:val="00F52CB7"/>
    <w:rsid w:val="00F53A44"/>
    <w:rsid w:val="00F5454F"/>
    <w:rsid w:val="00F54E5E"/>
    <w:rsid w:val="00F5518B"/>
    <w:rsid w:val="00F551DB"/>
    <w:rsid w:val="00F55810"/>
    <w:rsid w:val="00F559BE"/>
    <w:rsid w:val="00F55A79"/>
    <w:rsid w:val="00F55F35"/>
    <w:rsid w:val="00F56F7E"/>
    <w:rsid w:val="00F56FEF"/>
    <w:rsid w:val="00F57521"/>
    <w:rsid w:val="00F60938"/>
    <w:rsid w:val="00F60C7E"/>
    <w:rsid w:val="00F60E0A"/>
    <w:rsid w:val="00F614D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038"/>
    <w:rsid w:val="00F66205"/>
    <w:rsid w:val="00F6630F"/>
    <w:rsid w:val="00F66419"/>
    <w:rsid w:val="00F67079"/>
    <w:rsid w:val="00F67B58"/>
    <w:rsid w:val="00F67E81"/>
    <w:rsid w:val="00F7044B"/>
    <w:rsid w:val="00F70FD4"/>
    <w:rsid w:val="00F71342"/>
    <w:rsid w:val="00F71C68"/>
    <w:rsid w:val="00F724E2"/>
    <w:rsid w:val="00F7251E"/>
    <w:rsid w:val="00F74103"/>
    <w:rsid w:val="00F7410A"/>
    <w:rsid w:val="00F7430E"/>
    <w:rsid w:val="00F745A4"/>
    <w:rsid w:val="00F74C0C"/>
    <w:rsid w:val="00F75275"/>
    <w:rsid w:val="00F758E1"/>
    <w:rsid w:val="00F75BB5"/>
    <w:rsid w:val="00F75FD5"/>
    <w:rsid w:val="00F7604C"/>
    <w:rsid w:val="00F76153"/>
    <w:rsid w:val="00F773A9"/>
    <w:rsid w:val="00F8056E"/>
    <w:rsid w:val="00F805B7"/>
    <w:rsid w:val="00F809D9"/>
    <w:rsid w:val="00F810C1"/>
    <w:rsid w:val="00F813A5"/>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28"/>
    <w:rsid w:val="00F934DD"/>
    <w:rsid w:val="00F9501B"/>
    <w:rsid w:val="00F97A34"/>
    <w:rsid w:val="00F97B69"/>
    <w:rsid w:val="00F97E4A"/>
    <w:rsid w:val="00F97EA1"/>
    <w:rsid w:val="00FA003A"/>
    <w:rsid w:val="00FA05C8"/>
    <w:rsid w:val="00FA0678"/>
    <w:rsid w:val="00FA0DB6"/>
    <w:rsid w:val="00FA23F7"/>
    <w:rsid w:val="00FA27EB"/>
    <w:rsid w:val="00FA35B6"/>
    <w:rsid w:val="00FA3EBC"/>
    <w:rsid w:val="00FA41D7"/>
    <w:rsid w:val="00FA423C"/>
    <w:rsid w:val="00FA44D0"/>
    <w:rsid w:val="00FA4590"/>
    <w:rsid w:val="00FA55A2"/>
    <w:rsid w:val="00FA59B6"/>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216"/>
    <w:rsid w:val="00FB7823"/>
    <w:rsid w:val="00FC05B2"/>
    <w:rsid w:val="00FC08B3"/>
    <w:rsid w:val="00FC09D7"/>
    <w:rsid w:val="00FC0ABE"/>
    <w:rsid w:val="00FC1269"/>
    <w:rsid w:val="00FC22D0"/>
    <w:rsid w:val="00FC31C4"/>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45"/>
    <w:rsid w:val="00FD54A8"/>
    <w:rsid w:val="00FD5AE4"/>
    <w:rsid w:val="00FD5F25"/>
    <w:rsid w:val="00FD60BE"/>
    <w:rsid w:val="00FD6894"/>
    <w:rsid w:val="00FD6AF0"/>
    <w:rsid w:val="00FD704D"/>
    <w:rsid w:val="00FD74EF"/>
    <w:rsid w:val="00FD79B8"/>
    <w:rsid w:val="00FD79F6"/>
    <w:rsid w:val="00FE033F"/>
    <w:rsid w:val="00FE07A8"/>
    <w:rsid w:val="00FE07FC"/>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C3F"/>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E86"/>
    <w:rsid w:val="00FF3D2B"/>
    <w:rsid w:val="00FF415E"/>
    <w:rsid w:val="00FF49B4"/>
    <w:rsid w:val="00FF49F4"/>
    <w:rsid w:val="00FF5C6A"/>
    <w:rsid w:val="00FF651D"/>
    <w:rsid w:val="00FF6843"/>
    <w:rsid w:val="00FF6C25"/>
    <w:rsid w:val="010651D9"/>
    <w:rsid w:val="011F6449"/>
    <w:rsid w:val="01236AFB"/>
    <w:rsid w:val="01922E87"/>
    <w:rsid w:val="019F7441"/>
    <w:rsid w:val="01B37585"/>
    <w:rsid w:val="01D55165"/>
    <w:rsid w:val="01DF6BF8"/>
    <w:rsid w:val="01EC2C57"/>
    <w:rsid w:val="025F0711"/>
    <w:rsid w:val="026B2E25"/>
    <w:rsid w:val="02824D4D"/>
    <w:rsid w:val="02AD52F3"/>
    <w:rsid w:val="02DC4B10"/>
    <w:rsid w:val="02DD76CE"/>
    <w:rsid w:val="02F36323"/>
    <w:rsid w:val="02F5619C"/>
    <w:rsid w:val="0326446A"/>
    <w:rsid w:val="032D5555"/>
    <w:rsid w:val="036634D2"/>
    <w:rsid w:val="03DD35E4"/>
    <w:rsid w:val="04076900"/>
    <w:rsid w:val="041A5A3B"/>
    <w:rsid w:val="042311BA"/>
    <w:rsid w:val="042B157A"/>
    <w:rsid w:val="04721342"/>
    <w:rsid w:val="048F763B"/>
    <w:rsid w:val="049F330E"/>
    <w:rsid w:val="04AA775C"/>
    <w:rsid w:val="04AF1889"/>
    <w:rsid w:val="04F66F48"/>
    <w:rsid w:val="05251E14"/>
    <w:rsid w:val="05A16594"/>
    <w:rsid w:val="05A72CF3"/>
    <w:rsid w:val="05A7762D"/>
    <w:rsid w:val="060E5941"/>
    <w:rsid w:val="06110FAF"/>
    <w:rsid w:val="0620018A"/>
    <w:rsid w:val="06493CA7"/>
    <w:rsid w:val="065A6178"/>
    <w:rsid w:val="066F1CF3"/>
    <w:rsid w:val="06930BB8"/>
    <w:rsid w:val="07245D42"/>
    <w:rsid w:val="07264C62"/>
    <w:rsid w:val="0779354C"/>
    <w:rsid w:val="07DE650B"/>
    <w:rsid w:val="08061376"/>
    <w:rsid w:val="08452D77"/>
    <w:rsid w:val="086401F8"/>
    <w:rsid w:val="08751CAA"/>
    <w:rsid w:val="087E4C40"/>
    <w:rsid w:val="08A871D0"/>
    <w:rsid w:val="08D66AD6"/>
    <w:rsid w:val="08DA33A3"/>
    <w:rsid w:val="08E80F13"/>
    <w:rsid w:val="09335624"/>
    <w:rsid w:val="0944690F"/>
    <w:rsid w:val="094E69BA"/>
    <w:rsid w:val="09535675"/>
    <w:rsid w:val="095F057D"/>
    <w:rsid w:val="09642282"/>
    <w:rsid w:val="096609CC"/>
    <w:rsid w:val="09733572"/>
    <w:rsid w:val="09772C16"/>
    <w:rsid w:val="098353B5"/>
    <w:rsid w:val="09A92330"/>
    <w:rsid w:val="09B06B87"/>
    <w:rsid w:val="09C13146"/>
    <w:rsid w:val="09E04166"/>
    <w:rsid w:val="0A0B798E"/>
    <w:rsid w:val="0A1C0718"/>
    <w:rsid w:val="0A336933"/>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C47EE"/>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44B84"/>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A554A"/>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6336E"/>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732A"/>
    <w:rsid w:val="1F0A0FF3"/>
    <w:rsid w:val="1F5771FF"/>
    <w:rsid w:val="1F7D17F2"/>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A3827"/>
    <w:rsid w:val="25A917A6"/>
    <w:rsid w:val="25BE27CC"/>
    <w:rsid w:val="25F74A5C"/>
    <w:rsid w:val="261B15A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94305"/>
    <w:rsid w:val="2B437463"/>
    <w:rsid w:val="2B7807EE"/>
    <w:rsid w:val="2BA50BF7"/>
    <w:rsid w:val="2BB62861"/>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271ED"/>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B6960"/>
    <w:rsid w:val="363A3B40"/>
    <w:rsid w:val="365302AE"/>
    <w:rsid w:val="36607A0A"/>
    <w:rsid w:val="366E227C"/>
    <w:rsid w:val="366F2E0D"/>
    <w:rsid w:val="367B6A5C"/>
    <w:rsid w:val="367C79AC"/>
    <w:rsid w:val="36A74ADA"/>
    <w:rsid w:val="36AD60D5"/>
    <w:rsid w:val="36B224F9"/>
    <w:rsid w:val="36EC0CC9"/>
    <w:rsid w:val="373F410B"/>
    <w:rsid w:val="37EE7094"/>
    <w:rsid w:val="3825542A"/>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635311"/>
    <w:rsid w:val="3B976654"/>
    <w:rsid w:val="3BC01EFC"/>
    <w:rsid w:val="3BCA786A"/>
    <w:rsid w:val="3BD31E2F"/>
    <w:rsid w:val="3BF15831"/>
    <w:rsid w:val="3C105946"/>
    <w:rsid w:val="3C471448"/>
    <w:rsid w:val="3C5F759A"/>
    <w:rsid w:val="3C6C525A"/>
    <w:rsid w:val="3C9F0133"/>
    <w:rsid w:val="3CC04D71"/>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82613"/>
    <w:rsid w:val="3F060E16"/>
    <w:rsid w:val="3F1D1096"/>
    <w:rsid w:val="3F2F0234"/>
    <w:rsid w:val="3F6363FE"/>
    <w:rsid w:val="3F756B8F"/>
    <w:rsid w:val="3F95482B"/>
    <w:rsid w:val="4019356B"/>
    <w:rsid w:val="40592157"/>
    <w:rsid w:val="405B7098"/>
    <w:rsid w:val="406E1CAE"/>
    <w:rsid w:val="40A0133A"/>
    <w:rsid w:val="40C31A53"/>
    <w:rsid w:val="40E045E4"/>
    <w:rsid w:val="40FF545D"/>
    <w:rsid w:val="410067C8"/>
    <w:rsid w:val="412E5AE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52991"/>
    <w:rsid w:val="45C63B94"/>
    <w:rsid w:val="460E7DA5"/>
    <w:rsid w:val="46422483"/>
    <w:rsid w:val="46435B7E"/>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871CB"/>
    <w:rsid w:val="495F5B3E"/>
    <w:rsid w:val="496F77D7"/>
    <w:rsid w:val="497654FD"/>
    <w:rsid w:val="49B64211"/>
    <w:rsid w:val="49F6167F"/>
    <w:rsid w:val="4A064FA0"/>
    <w:rsid w:val="4A16615C"/>
    <w:rsid w:val="4A4424D7"/>
    <w:rsid w:val="4AB82D0F"/>
    <w:rsid w:val="4ACE04EE"/>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C312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B6913"/>
    <w:rsid w:val="512D2D1D"/>
    <w:rsid w:val="5142540C"/>
    <w:rsid w:val="51704D7F"/>
    <w:rsid w:val="518832C8"/>
    <w:rsid w:val="519D3C50"/>
    <w:rsid w:val="51A0432A"/>
    <w:rsid w:val="51A86090"/>
    <w:rsid w:val="51B7396D"/>
    <w:rsid w:val="522E4CC3"/>
    <w:rsid w:val="5244713B"/>
    <w:rsid w:val="52615633"/>
    <w:rsid w:val="526F4DE4"/>
    <w:rsid w:val="527D03E3"/>
    <w:rsid w:val="52977FD4"/>
    <w:rsid w:val="52A25790"/>
    <w:rsid w:val="52A96B6F"/>
    <w:rsid w:val="52B45975"/>
    <w:rsid w:val="52C41A41"/>
    <w:rsid w:val="52D94AA4"/>
    <w:rsid w:val="52EA3A62"/>
    <w:rsid w:val="52F50BB8"/>
    <w:rsid w:val="53097272"/>
    <w:rsid w:val="53544462"/>
    <w:rsid w:val="53752D85"/>
    <w:rsid w:val="5397158E"/>
    <w:rsid w:val="53B37847"/>
    <w:rsid w:val="54013861"/>
    <w:rsid w:val="54334DE5"/>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1740B"/>
    <w:rsid w:val="59F80043"/>
    <w:rsid w:val="5A09252F"/>
    <w:rsid w:val="5A0B2778"/>
    <w:rsid w:val="5A2A7C7B"/>
    <w:rsid w:val="5A3E2560"/>
    <w:rsid w:val="5A5D3B6E"/>
    <w:rsid w:val="5A637A76"/>
    <w:rsid w:val="5A6D33BA"/>
    <w:rsid w:val="5A792B1F"/>
    <w:rsid w:val="5A874767"/>
    <w:rsid w:val="5A92116A"/>
    <w:rsid w:val="5AA85BE2"/>
    <w:rsid w:val="5AAD6F28"/>
    <w:rsid w:val="5AD63A24"/>
    <w:rsid w:val="5B2E1A1D"/>
    <w:rsid w:val="5B843A1C"/>
    <w:rsid w:val="5B873E3F"/>
    <w:rsid w:val="5BC433E8"/>
    <w:rsid w:val="5C02690E"/>
    <w:rsid w:val="5C196DA7"/>
    <w:rsid w:val="5C2A048C"/>
    <w:rsid w:val="5C477255"/>
    <w:rsid w:val="5C80234E"/>
    <w:rsid w:val="5C8A680C"/>
    <w:rsid w:val="5D0127E4"/>
    <w:rsid w:val="5D0C4701"/>
    <w:rsid w:val="5D0F0395"/>
    <w:rsid w:val="5D0F478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D0CE3"/>
    <w:rsid w:val="5F06174D"/>
    <w:rsid w:val="5F1B65E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34A51"/>
    <w:rsid w:val="62F40B65"/>
    <w:rsid w:val="62FC2CFE"/>
    <w:rsid w:val="63024505"/>
    <w:rsid w:val="635600A5"/>
    <w:rsid w:val="635B1DB5"/>
    <w:rsid w:val="63711FED"/>
    <w:rsid w:val="63880DDC"/>
    <w:rsid w:val="638D750D"/>
    <w:rsid w:val="63AC6CC0"/>
    <w:rsid w:val="63B62089"/>
    <w:rsid w:val="64055776"/>
    <w:rsid w:val="64240056"/>
    <w:rsid w:val="643E143A"/>
    <w:rsid w:val="64491666"/>
    <w:rsid w:val="648B6EEF"/>
    <w:rsid w:val="64C158BF"/>
    <w:rsid w:val="64CE2EAA"/>
    <w:rsid w:val="653C3090"/>
    <w:rsid w:val="65854376"/>
    <w:rsid w:val="658767BE"/>
    <w:rsid w:val="65892531"/>
    <w:rsid w:val="66195831"/>
    <w:rsid w:val="661C6088"/>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96336"/>
    <w:rsid w:val="67FA1285"/>
    <w:rsid w:val="68551F4F"/>
    <w:rsid w:val="687C10C9"/>
    <w:rsid w:val="68840C16"/>
    <w:rsid w:val="68876EFB"/>
    <w:rsid w:val="68884654"/>
    <w:rsid w:val="689F444F"/>
    <w:rsid w:val="68B96DBB"/>
    <w:rsid w:val="68CA2805"/>
    <w:rsid w:val="68E80F66"/>
    <w:rsid w:val="68E937A3"/>
    <w:rsid w:val="693E15D3"/>
    <w:rsid w:val="69627681"/>
    <w:rsid w:val="6977531D"/>
    <w:rsid w:val="69CC2BFF"/>
    <w:rsid w:val="69FD55B8"/>
    <w:rsid w:val="6A0B1C62"/>
    <w:rsid w:val="6A2406C8"/>
    <w:rsid w:val="6A3D5D54"/>
    <w:rsid w:val="6ADE0BD1"/>
    <w:rsid w:val="6AE96859"/>
    <w:rsid w:val="6B147746"/>
    <w:rsid w:val="6B24787C"/>
    <w:rsid w:val="6B573233"/>
    <w:rsid w:val="6B5B6274"/>
    <w:rsid w:val="6B795499"/>
    <w:rsid w:val="6B935D53"/>
    <w:rsid w:val="6BC6571C"/>
    <w:rsid w:val="6BCD2B81"/>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737E7"/>
    <w:rsid w:val="6E8335BD"/>
    <w:rsid w:val="6E8E12EF"/>
    <w:rsid w:val="6E972936"/>
    <w:rsid w:val="6ED446C5"/>
    <w:rsid w:val="6F2A7D94"/>
    <w:rsid w:val="6F8331F1"/>
    <w:rsid w:val="6FAE1A09"/>
    <w:rsid w:val="6FD75BF8"/>
    <w:rsid w:val="707723D0"/>
    <w:rsid w:val="70F5661B"/>
    <w:rsid w:val="71360107"/>
    <w:rsid w:val="713B688E"/>
    <w:rsid w:val="71BB6361"/>
    <w:rsid w:val="71D43752"/>
    <w:rsid w:val="71DA3E9E"/>
    <w:rsid w:val="71F1796A"/>
    <w:rsid w:val="72154626"/>
    <w:rsid w:val="72262B5D"/>
    <w:rsid w:val="72283FF7"/>
    <w:rsid w:val="722E7212"/>
    <w:rsid w:val="723A0474"/>
    <w:rsid w:val="725923E4"/>
    <w:rsid w:val="72864BF7"/>
    <w:rsid w:val="729023FC"/>
    <w:rsid w:val="72FD553F"/>
    <w:rsid w:val="73C0646E"/>
    <w:rsid w:val="7417035F"/>
    <w:rsid w:val="742222F5"/>
    <w:rsid w:val="74476126"/>
    <w:rsid w:val="74706664"/>
    <w:rsid w:val="747E329B"/>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F134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14F1D"/>
    <w:rsid w:val="7DE60973"/>
    <w:rsid w:val="7DEF0916"/>
    <w:rsid w:val="7E1E5218"/>
    <w:rsid w:val="7E9A4E1F"/>
    <w:rsid w:val="7EA7723A"/>
    <w:rsid w:val="7EF56FBB"/>
    <w:rsid w:val="7F0768EB"/>
    <w:rsid w:val="7F143BEC"/>
    <w:rsid w:val="7F715AF2"/>
    <w:rsid w:val="7F886E69"/>
    <w:rsid w:val="BB7FA927"/>
    <w:rsid w:val="F5FFD31F"/>
    <w:rsid w:val="F7FB30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99"/>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link w:val="967"/>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_10_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customStyle="1" w:styleId="965">
    <w:name w:val="运营标1"/>
    <w:basedOn w:val="670"/>
    <w:link w:val="968"/>
    <w:qFormat/>
    <w:uiPriority w:val="0"/>
    <w:pPr>
      <w:spacing w:before="10" w:after="10"/>
    </w:pPr>
    <w:rPr>
      <w:rFonts w:ascii="宋体" w:hAnsi="宋体" w:cs="宋体"/>
      <w:color w:val="000000" w:themeColor="text1"/>
      <w:sz w:val="30"/>
      <w:szCs w:val="20"/>
      <w14:textFill>
        <w14:solidFill>
          <w14:schemeClr w14:val="tx1"/>
        </w14:solidFill>
      </w14:textFill>
    </w:rPr>
  </w:style>
  <w:style w:type="paragraph" w:customStyle="1" w:styleId="966">
    <w:name w:val="运营标2"/>
    <w:basedOn w:val="669"/>
    <w:link w:val="969"/>
    <w:qFormat/>
    <w:uiPriority w:val="0"/>
    <w:pPr>
      <w:spacing w:before="10" w:after="10"/>
      <w:ind w:firstLine="200" w:firstLineChars="200"/>
    </w:pPr>
    <w:rPr>
      <w:rFonts w:eastAsiaTheme="minorEastAsia"/>
      <w:sz w:val="24"/>
    </w:rPr>
  </w:style>
  <w:style w:type="character" w:customStyle="1" w:styleId="967">
    <w:name w:val="1级标题 字符"/>
    <w:basedOn w:val="69"/>
    <w:link w:val="670"/>
    <w:qFormat/>
    <w:uiPriority w:val="0"/>
    <w:rPr>
      <w:rFonts w:ascii="Calibri" w:hAnsi="Calibri"/>
      <w:b/>
      <w:kern w:val="2"/>
      <w:sz w:val="44"/>
      <w:szCs w:val="22"/>
    </w:rPr>
  </w:style>
  <w:style w:type="character" w:customStyle="1" w:styleId="968">
    <w:name w:val="运营标1 字符"/>
    <w:basedOn w:val="967"/>
    <w:link w:val="965"/>
    <w:qFormat/>
    <w:uiPriority w:val="0"/>
    <w:rPr>
      <w:rFonts w:ascii="宋体" w:hAnsi="宋体" w:cs="宋体"/>
      <w:color w:val="000000" w:themeColor="text1"/>
      <w:kern w:val="2"/>
      <w:sz w:val="30"/>
      <w:szCs w:val="22"/>
      <w14:textFill>
        <w14:solidFill>
          <w14:schemeClr w14:val="tx1"/>
        </w14:solidFill>
      </w14:textFill>
    </w:rPr>
  </w:style>
  <w:style w:type="character" w:customStyle="1" w:styleId="969">
    <w:name w:val="运营标2 字符"/>
    <w:basedOn w:val="967"/>
    <w:link w:val="966"/>
    <w:qFormat/>
    <w:uiPriority w:val="0"/>
    <w:rPr>
      <w:rFonts w:ascii="Calibri" w:hAnsi="Calibri" w:eastAsiaTheme="minorEastAsia"/>
      <w:kern w:val="2"/>
      <w:sz w:val="24"/>
      <w:szCs w:val="22"/>
    </w:rPr>
  </w:style>
  <w:style w:type="paragraph" w:customStyle="1" w:styleId="970">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7886</Words>
  <Characters>44951</Characters>
  <Lines>374</Lines>
  <Paragraphs>105</Paragraphs>
  <TotalTime>23</TotalTime>
  <ScaleCrop>false</ScaleCrop>
  <LinksUpToDate>false</LinksUpToDate>
  <CharactersWithSpaces>52732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2023-08-30T10:28:00Z</dcterms:created>
  <dc:creator>DELL</dc:creator>
  <cp:lastModifiedBy>Kizuna</cp:lastModifiedBy>
  <cp:lastPrinted>2023-05-16T13:45:00Z</cp:lastPrinted>
  <dcterms:modified xsi:type="dcterms:W3CDTF">2023-09-11T06:07:03Z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1AAF61526F2E47A790BB4160F44B2B8F_13</vt:lpwstr>
  </property>
</Properties>
</file>