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杭州师范大学</w:t>
      </w:r>
    </w:p>
    <w:p>
      <w:pPr>
        <w:adjustRightInd/>
        <w:spacing w:line="360" w:lineRule="auto"/>
        <w:jc w:val="center"/>
        <w:rPr>
          <w:rFonts w:ascii="宋体" w:hAnsi="宋体" w:cs="宋体"/>
          <w:sz w:val="48"/>
          <w:szCs w:val="48"/>
        </w:rPr>
      </w:pPr>
      <w:r>
        <w:rPr>
          <w:rFonts w:hint="eastAsia" w:ascii="宋体" w:hAnsi="宋体" w:cs="宋体"/>
          <w:sz w:val="48"/>
          <w:szCs w:val="48"/>
        </w:rPr>
        <w:t xml:space="preserve">细胞高内涵成像系统和智能型超速离心机 </w:t>
      </w:r>
    </w:p>
    <w:p>
      <w:pPr>
        <w:adjustRightInd/>
        <w:spacing w:line="360" w:lineRule="auto"/>
        <w:jc w:val="center"/>
        <w:rPr>
          <w:rFonts w:ascii="宋体" w:hAnsi="宋体" w:cs="宋体"/>
          <w:sz w:val="48"/>
          <w:szCs w:val="48"/>
        </w:rPr>
      </w:pPr>
      <w:r>
        <w:rPr>
          <w:rFonts w:hint="eastAsia" w:ascii="宋体" w:hAnsi="宋体" w:cs="宋体"/>
          <w:sz w:val="48"/>
          <w:szCs w:val="48"/>
        </w:rPr>
        <w:t xml:space="preserve">采购项目招标文件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 xml:space="preserve">编号:HZNU-2023086 </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sz w:val="48"/>
          <w:szCs w:val="48"/>
        </w:rPr>
        <w:drawing>
          <wp:inline distT="0" distB="0" distL="114300" distR="114300">
            <wp:extent cx="2889885" cy="2272030"/>
            <wp:effectExtent l="0" t="0" r="5715" b="13970"/>
            <wp:docPr id="1" name="图片 1" descr="中诺logo标准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诺logo标准色"/>
                    <pic:cNvPicPr>
                      <a:picLocks noChangeAspect="1"/>
                    </pic:cNvPicPr>
                  </pic:nvPicPr>
                  <pic:blipFill>
                    <a:blip r:embed="rId26"/>
                    <a:stretch>
                      <a:fillRect/>
                    </a:stretch>
                  </pic:blipFill>
                  <pic:spPr>
                    <a:xfrm>
                      <a:off x="0" y="0"/>
                      <a:ext cx="2889885" cy="2272030"/>
                    </a:xfrm>
                    <a:prstGeom prst="rect">
                      <a:avLst/>
                    </a:prstGeom>
                    <a:noFill/>
                    <a:ln>
                      <a:noFill/>
                    </a:ln>
                  </pic:spPr>
                </pic:pic>
              </a:graphicData>
            </a:graphic>
          </wp:inline>
        </w:drawing>
      </w: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6"/>
          <w:szCs w:val="36"/>
        </w:rPr>
      </w:pPr>
      <w:r>
        <w:rPr>
          <w:rFonts w:hint="eastAsia" w:ascii="宋体" w:hAnsi="宋体" w:cs="宋体"/>
          <w:sz w:val="32"/>
          <w:szCs w:val="32"/>
          <w:lang w:val="zh-CN"/>
        </w:rPr>
        <w:t>采   购  人：杭州师范大学</w:t>
      </w:r>
    </w:p>
    <w:p>
      <w:pPr>
        <w:spacing w:line="360" w:lineRule="auto"/>
        <w:jc w:val="center"/>
        <w:rPr>
          <w:rFonts w:ascii="宋体" w:hAnsi="宋体" w:cs="宋体"/>
          <w:bCs/>
          <w:sz w:val="32"/>
          <w:szCs w:val="32"/>
        </w:rPr>
      </w:pPr>
      <w:r>
        <w:rPr>
          <w:rFonts w:hint="eastAsia" w:ascii="宋体" w:hAnsi="宋体" w:cs="宋体"/>
          <w:bCs/>
          <w:sz w:val="32"/>
          <w:szCs w:val="32"/>
        </w:rPr>
        <w:t>采购代理机构：</w:t>
      </w:r>
      <w:r>
        <w:rPr>
          <w:rFonts w:hint="eastAsia" w:ascii="宋体" w:hAnsi="宋体" w:cs="宋体"/>
          <w:sz w:val="28"/>
          <w:szCs w:val="28"/>
        </w:rPr>
        <w:t>浙江中诺招标代理有限公司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二〇二三年五月</w:t>
      </w:r>
    </w:p>
    <w:p>
      <w:pPr>
        <w:pStyle w:val="637"/>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start="1"/>
          <w:cols w:space="720" w:num="1"/>
          <w:titlePg/>
          <w:docGrid w:linePitch="312" w:charSpace="0"/>
        </w:sectPr>
      </w:pPr>
    </w:p>
    <w:p>
      <w:pPr>
        <w:pStyle w:val="637"/>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07423"/>
      <w:bookmarkEnd w:id="3"/>
      <w:bookmarkStart w:id="4" w:name="_Hlt74649545"/>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细胞高内涵成像系统和智能型超速离心机采购项目</w:t>
      </w:r>
      <w:r>
        <w:rPr>
          <w:rFonts w:hint="eastAsia" w:ascii="宋体" w:hAnsi="宋体" w:cs="宋体"/>
          <w:sz w:val="24"/>
        </w:rPr>
        <w:t>的潜在投标人应在政采云平台（</w:t>
      </w:r>
      <w:r>
        <w:fldChar w:fldCharType="begin"/>
      </w:r>
      <w:r>
        <w:instrText xml:space="preserve"> HYPERLINK "https://www.zcygov.cn/）获取（下载）招标文件，并于202%20年%20月%20日%20点%20分00秒" </w:instrText>
      </w:r>
      <w:r>
        <w:fldChar w:fldCharType="separate"/>
      </w:r>
      <w:r>
        <w:rPr>
          <w:rStyle w:val="78"/>
          <w:rFonts w:hint="eastAsia" w:ascii="宋体" w:hAnsi="宋体" w:eastAsia="宋体" w:cs="宋体"/>
          <w:snapToGrid/>
          <w:color w:val="auto"/>
          <w:kern w:val="2"/>
          <w:sz w:val="24"/>
          <w:szCs w:val="24"/>
        </w:rPr>
        <w:t>https://www.zcygov.cn/）获取（下载）招标文件，并于</w:t>
      </w:r>
      <w:r>
        <w:rPr>
          <w:rStyle w:val="78"/>
          <w:rFonts w:hint="eastAsia" w:ascii="宋体" w:hAnsi="宋体" w:eastAsia="宋体" w:cs="宋体"/>
          <w:snapToGrid/>
          <w:color w:val="auto"/>
          <w:kern w:val="2"/>
          <w:sz w:val="24"/>
          <w:szCs w:val="24"/>
          <w:u w:val="single"/>
        </w:rPr>
        <w:t>202</w:t>
      </w:r>
      <w:r>
        <w:rPr>
          <w:rStyle w:val="78"/>
          <w:rFonts w:hint="eastAsia" w:ascii="宋体" w:hAnsi="宋体" w:cs="宋体"/>
          <w:snapToGrid/>
          <w:color w:val="auto"/>
          <w:kern w:val="2"/>
          <w:sz w:val="24"/>
          <w:szCs w:val="24"/>
          <w:u w:val="single"/>
        </w:rPr>
        <w:t>3</w:t>
      </w:r>
      <w:r>
        <w:rPr>
          <w:rStyle w:val="78"/>
          <w:rFonts w:hint="eastAsia" w:ascii="宋体" w:hAnsi="宋体" w:eastAsia="宋体" w:cs="宋体"/>
          <w:snapToGrid/>
          <w:color w:val="auto"/>
          <w:kern w:val="2"/>
          <w:sz w:val="24"/>
          <w:szCs w:val="24"/>
          <w:u w:val="single"/>
        </w:rPr>
        <w:t>年</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06</w:t>
      </w:r>
      <w:r>
        <w:rPr>
          <w:rStyle w:val="78"/>
          <w:rFonts w:hint="eastAsia" w:ascii="宋体" w:hAnsi="宋体" w:cs="宋体"/>
          <w:snapToGrid/>
          <w:color w:val="auto"/>
          <w:kern w:val="2"/>
          <w:sz w:val="24"/>
          <w:szCs w:val="24"/>
          <w:u w:val="single"/>
        </w:rPr>
        <w:t xml:space="preserve"> </w:t>
      </w:r>
      <w:r>
        <w:rPr>
          <w:rStyle w:val="78"/>
          <w:rFonts w:hint="eastAsia" w:ascii="宋体" w:hAnsi="宋体" w:eastAsia="宋体" w:cs="宋体"/>
          <w:snapToGrid/>
          <w:color w:val="auto"/>
          <w:kern w:val="2"/>
          <w:sz w:val="24"/>
          <w:szCs w:val="24"/>
          <w:u w:val="single"/>
        </w:rPr>
        <w:t>月</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08</w:t>
      </w:r>
      <w:r>
        <w:rPr>
          <w:rStyle w:val="78"/>
          <w:rFonts w:hint="eastAsia" w:ascii="宋体" w:hAnsi="宋体" w:eastAsia="宋体" w:cs="宋体"/>
          <w:snapToGrid/>
          <w:color w:val="auto"/>
          <w:kern w:val="2"/>
          <w:sz w:val="24"/>
          <w:szCs w:val="24"/>
          <w:u w:val="single"/>
        </w:rPr>
        <w:t>日</w:t>
      </w:r>
      <w:r>
        <w:rPr>
          <w:rStyle w:val="78"/>
          <w:rFonts w:hint="eastAsia" w:ascii="宋体" w:hAnsi="宋体" w:cs="宋体"/>
          <w:snapToGrid/>
          <w:color w:val="auto"/>
          <w:kern w:val="2"/>
          <w:sz w:val="24"/>
          <w:szCs w:val="24"/>
          <w:u w:val="single"/>
          <w:lang w:val="en-US" w:eastAsia="zh-CN"/>
        </w:rPr>
        <w:t>09</w:t>
      </w:r>
      <w:r>
        <w:rPr>
          <w:rStyle w:val="78"/>
          <w:rFonts w:hint="eastAsia" w:ascii="宋体" w:hAnsi="宋体" w:eastAsia="宋体" w:cs="宋体"/>
          <w:snapToGrid/>
          <w:color w:val="auto"/>
          <w:kern w:val="2"/>
          <w:sz w:val="24"/>
          <w:szCs w:val="24"/>
          <w:u w:val="single"/>
        </w:rPr>
        <w:t>点</w:t>
      </w:r>
      <w:r>
        <w:rPr>
          <w:rStyle w:val="78"/>
          <w:rFonts w:hint="eastAsia" w:ascii="宋体" w:hAnsi="宋体" w:cs="宋体"/>
          <w:snapToGrid/>
          <w:color w:val="auto"/>
          <w:kern w:val="2"/>
          <w:sz w:val="24"/>
          <w:szCs w:val="24"/>
          <w:u w:val="single"/>
          <w:lang w:val="en-US" w:eastAsia="zh-CN"/>
        </w:rPr>
        <w:t>3</w:t>
      </w:r>
      <w:r>
        <w:rPr>
          <w:rStyle w:val="78"/>
          <w:rFonts w:hint="eastAsia" w:ascii="宋体" w:hAnsi="宋体" w:cs="宋体"/>
          <w:snapToGrid/>
          <w:color w:val="auto"/>
          <w:kern w:val="2"/>
          <w:sz w:val="24"/>
          <w:szCs w:val="24"/>
          <w:u w:val="single"/>
        </w:rPr>
        <w:t>0</w:t>
      </w:r>
      <w:r>
        <w:rPr>
          <w:rStyle w:val="78"/>
          <w:rFonts w:hint="eastAsia" w:ascii="宋体" w:hAnsi="宋体" w:eastAsia="宋体" w:cs="宋体"/>
          <w:snapToGrid/>
          <w:color w:val="auto"/>
          <w:kern w:val="2"/>
          <w:sz w:val="24"/>
          <w:szCs w:val="24"/>
          <w:u w:val="single"/>
        </w:rPr>
        <w:t>分</w:t>
      </w:r>
      <w:r>
        <w:rPr>
          <w:rStyle w:val="78"/>
          <w:rFonts w:hint="eastAsia" w:ascii="宋体" w:hAnsi="宋体" w:eastAsia="宋体" w:cs="宋体"/>
          <w:bCs/>
          <w:snapToGrid/>
          <w:color w:val="auto"/>
          <w:kern w:val="2"/>
          <w:sz w:val="24"/>
          <w:szCs w:val="24"/>
          <w:u w:val="single"/>
        </w:rPr>
        <w:t>00秒</w:t>
      </w:r>
      <w:r>
        <w:rPr>
          <w:rStyle w:val="78"/>
          <w:rFonts w:hint="eastAsia" w:ascii="宋体" w:hAnsi="宋体" w:eastAsia="宋体" w:cs="宋体"/>
          <w:bCs/>
          <w:snapToGrid/>
          <w:color w:val="auto"/>
          <w:kern w:val="2"/>
          <w:sz w:val="24"/>
          <w:szCs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napToGrid w:val="0"/>
        <w:spacing w:line="360" w:lineRule="auto"/>
        <w:rPr>
          <w:rFonts w:ascii="宋体" w:hAnsi="宋体" w:cs="宋体"/>
          <w:b w:val="0"/>
          <w:bCs/>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val="0"/>
          <w:bCs/>
          <w:sz w:val="24"/>
        </w:rPr>
        <w:t>HZNU-2023086</w:t>
      </w:r>
    </w:p>
    <w:p>
      <w:pPr>
        <w:widowControl/>
        <w:spacing w:line="360" w:lineRule="auto"/>
        <w:jc w:val="left"/>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细胞高内涵成像系统和智能型超速离心机采购项目</w:t>
      </w:r>
    </w:p>
    <w:p>
      <w:pPr>
        <w:snapToGrid w:val="0"/>
        <w:spacing w:line="360" w:lineRule="auto"/>
        <w:rPr>
          <w:rFonts w:ascii="宋体" w:hAnsi="宋体" w:cs="宋体"/>
          <w:bCs/>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Cs/>
          <w:sz w:val="24"/>
        </w:rPr>
        <w:t>5000000.00</w:t>
      </w:r>
    </w:p>
    <w:p>
      <w:pPr>
        <w:snapToGrid w:val="0"/>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Cs/>
          <w:sz w:val="24"/>
        </w:rPr>
        <w:t>5000000.00</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p>
    <w:tbl>
      <w:tblPr>
        <w:tblStyle w:val="64"/>
        <w:tblW w:w="51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15"/>
        <w:gridCol w:w="4088"/>
        <w:gridCol w:w="2252"/>
        <w:gridCol w:w="130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3" w:hRule="atLeast"/>
        </w:trPr>
        <w:tc>
          <w:tcPr>
            <w:tcW w:w="330" w:type="pct"/>
            <w:vAlign w:val="center"/>
          </w:tcPr>
          <w:p>
            <w:pPr>
              <w:widowControl/>
              <w:snapToGrid w:val="0"/>
              <w:spacing w:line="360" w:lineRule="auto"/>
              <w:jc w:val="center"/>
              <w:textAlignment w:val="center"/>
              <w:rPr>
                <w:rFonts w:ascii="宋体" w:hAnsi="宋体" w:cs="宋体"/>
                <w:b/>
                <w:sz w:val="24"/>
              </w:rPr>
            </w:pPr>
            <w:r>
              <w:rPr>
                <w:rFonts w:hint="eastAsia" w:ascii="宋体" w:hAnsi="宋体" w:cs="宋体"/>
                <w:b/>
                <w:kern w:val="0"/>
                <w:sz w:val="24"/>
              </w:rPr>
              <w:t>标项</w:t>
            </w:r>
          </w:p>
        </w:tc>
        <w:tc>
          <w:tcPr>
            <w:tcW w:w="2193" w:type="pct"/>
            <w:shd w:val="clear" w:color="auto" w:fill="auto"/>
            <w:vAlign w:val="center"/>
          </w:tcPr>
          <w:p>
            <w:pPr>
              <w:widowControl/>
              <w:snapToGrid w:val="0"/>
              <w:spacing w:line="360" w:lineRule="auto"/>
              <w:jc w:val="center"/>
              <w:textAlignment w:val="center"/>
              <w:rPr>
                <w:rFonts w:ascii="宋体" w:hAnsi="宋体" w:cs="宋体"/>
                <w:b/>
                <w:sz w:val="24"/>
              </w:rPr>
            </w:pPr>
            <w:r>
              <w:rPr>
                <w:rFonts w:hint="eastAsia" w:ascii="宋体" w:hAnsi="宋体" w:cs="宋体"/>
                <w:b/>
                <w:sz w:val="24"/>
              </w:rPr>
              <w:t>内容</w:t>
            </w:r>
          </w:p>
        </w:tc>
        <w:tc>
          <w:tcPr>
            <w:tcW w:w="1208" w:type="pct"/>
            <w:shd w:val="clear" w:color="auto" w:fill="auto"/>
            <w:vAlign w:val="center"/>
          </w:tcPr>
          <w:p>
            <w:pPr>
              <w:widowControl/>
              <w:snapToGrid w:val="0"/>
              <w:spacing w:line="360" w:lineRule="auto"/>
              <w:ind w:left="60" w:right="60"/>
              <w:jc w:val="center"/>
              <w:rPr>
                <w:rFonts w:ascii="宋体" w:hAnsi="宋体" w:cs="宋体"/>
                <w:b/>
                <w:sz w:val="24"/>
              </w:rPr>
            </w:pPr>
            <w:r>
              <w:rPr>
                <w:rFonts w:hint="eastAsia" w:ascii="宋体" w:hAnsi="宋体" w:cs="宋体"/>
                <w:b/>
                <w:sz w:val="24"/>
              </w:rPr>
              <w:t>简要规格描述</w:t>
            </w:r>
          </w:p>
        </w:tc>
        <w:tc>
          <w:tcPr>
            <w:tcW w:w="699" w:type="pct"/>
            <w:shd w:val="clear" w:color="auto" w:fill="auto"/>
            <w:vAlign w:val="center"/>
          </w:tcPr>
          <w:p>
            <w:pPr>
              <w:widowControl/>
              <w:snapToGrid w:val="0"/>
              <w:spacing w:line="360" w:lineRule="auto"/>
              <w:jc w:val="center"/>
              <w:textAlignment w:val="center"/>
              <w:rPr>
                <w:rFonts w:ascii="宋体" w:hAnsi="宋体" w:cs="宋体"/>
                <w:b/>
                <w:sz w:val="24"/>
              </w:rPr>
            </w:pPr>
            <w:r>
              <w:rPr>
                <w:rFonts w:hint="eastAsia" w:ascii="宋体" w:hAnsi="宋体" w:cs="宋体"/>
                <w:b/>
                <w:sz w:val="24"/>
              </w:rPr>
              <w:t>数量</w:t>
            </w:r>
          </w:p>
        </w:tc>
        <w:tc>
          <w:tcPr>
            <w:tcW w:w="568" w:type="pct"/>
            <w:shd w:val="clear" w:color="auto" w:fill="auto"/>
            <w:vAlign w:val="center"/>
          </w:tcPr>
          <w:p>
            <w:pPr>
              <w:widowControl/>
              <w:snapToGrid w:val="0"/>
              <w:spacing w:line="360" w:lineRule="auto"/>
              <w:jc w:val="center"/>
              <w:textAlignment w:val="center"/>
              <w:rPr>
                <w:rFonts w:ascii="宋体" w:hAnsi="宋体" w:cs="宋体"/>
                <w:b/>
                <w:kern w:val="0"/>
                <w:sz w:val="24"/>
              </w:rPr>
            </w:pPr>
            <w:r>
              <w:rPr>
                <w:rFonts w:hint="eastAsia" w:ascii="宋体" w:hAnsi="宋体" w:cs="宋体"/>
                <w:b/>
                <w:kern w:val="0"/>
                <w:sz w:val="24"/>
              </w:rPr>
              <w:t>预算</w:t>
            </w:r>
          </w:p>
          <w:p>
            <w:pPr>
              <w:widowControl/>
              <w:snapToGrid w:val="0"/>
              <w:spacing w:line="360" w:lineRule="auto"/>
              <w:jc w:val="center"/>
              <w:textAlignment w:val="center"/>
              <w:rPr>
                <w:rFonts w:ascii="宋体" w:hAnsi="宋体" w:cs="宋体"/>
                <w:b/>
                <w:kern w:val="0"/>
                <w:sz w:val="24"/>
              </w:rPr>
            </w:pPr>
            <w:r>
              <w:rPr>
                <w:rFonts w:hint="eastAsia" w:ascii="宋体" w:hAnsi="宋体" w:cs="宋体"/>
                <w:b/>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trPr>
        <w:tc>
          <w:tcPr>
            <w:tcW w:w="330" w:type="pct"/>
            <w:shd w:val="clear" w:color="auto" w:fill="FFFFFF"/>
            <w:vAlign w:val="center"/>
          </w:tcPr>
          <w:p>
            <w:pPr>
              <w:widowControl/>
              <w:spacing w:line="360" w:lineRule="auto"/>
              <w:jc w:val="center"/>
              <w:rPr>
                <w:rFonts w:ascii="宋体" w:hAnsi="宋体" w:cs="宋体"/>
                <w:b/>
                <w:sz w:val="24"/>
              </w:rPr>
            </w:pPr>
            <w:r>
              <w:rPr>
                <w:rFonts w:hint="eastAsia" w:ascii="宋体" w:hAnsi="宋体" w:cs="宋体"/>
                <w:b/>
                <w:sz w:val="24"/>
              </w:rPr>
              <w:t>1</w:t>
            </w:r>
          </w:p>
        </w:tc>
        <w:tc>
          <w:tcPr>
            <w:tcW w:w="2193" w:type="pct"/>
            <w:shd w:val="clear" w:color="auto" w:fill="FFFFFF"/>
            <w:vAlign w:val="center"/>
          </w:tcPr>
          <w:p>
            <w:pPr>
              <w:widowControl/>
              <w:jc w:val="center"/>
              <w:rPr>
                <w:rFonts w:ascii="宋体" w:hAnsi="宋体" w:cs="宋体"/>
                <w:b/>
                <w:sz w:val="24"/>
              </w:rPr>
            </w:pPr>
            <w:r>
              <w:rPr>
                <w:rFonts w:hint="eastAsia" w:ascii="宋体" w:hAnsi="宋体" w:cs="宋体"/>
                <w:b/>
                <w:sz w:val="24"/>
              </w:rPr>
              <w:t xml:space="preserve">细胞高内涵成像系统  </w:t>
            </w:r>
          </w:p>
        </w:tc>
        <w:tc>
          <w:tcPr>
            <w:tcW w:w="1208" w:type="pct"/>
            <w:vMerge w:val="restart"/>
            <w:shd w:val="clear" w:color="auto" w:fill="FFFFFF"/>
            <w:vAlign w:val="center"/>
          </w:tcPr>
          <w:p>
            <w:pPr>
              <w:pStyle w:val="23"/>
              <w:snapToGrid w:val="0"/>
              <w:jc w:val="center"/>
              <w:rPr>
                <w:rFonts w:hAnsi="宋体" w:cs="宋体"/>
                <w:b/>
                <w:szCs w:val="24"/>
              </w:rPr>
            </w:pPr>
            <w:r>
              <w:rPr>
                <w:rFonts w:hint="eastAsia" w:hAnsi="宋体" w:cs="宋体"/>
                <w:b/>
                <w:szCs w:val="24"/>
                <w:lang w:val="en-US"/>
              </w:rPr>
              <w:t>详见</w:t>
            </w:r>
            <w:r>
              <w:rPr>
                <w:rFonts w:hint="eastAsia" w:hAnsi="宋体" w:cs="宋体"/>
                <w:b/>
                <w:szCs w:val="24"/>
              </w:rPr>
              <w:t>招标文件第三部分采购需求</w:t>
            </w:r>
          </w:p>
        </w:tc>
        <w:tc>
          <w:tcPr>
            <w:tcW w:w="699" w:type="pct"/>
            <w:shd w:val="clear" w:color="auto" w:fill="FFFFFF"/>
            <w:vAlign w:val="center"/>
          </w:tcPr>
          <w:p>
            <w:pPr>
              <w:snapToGrid w:val="0"/>
              <w:spacing w:line="360" w:lineRule="auto"/>
              <w:jc w:val="center"/>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台</w:t>
            </w:r>
          </w:p>
        </w:tc>
        <w:tc>
          <w:tcPr>
            <w:tcW w:w="568" w:type="pct"/>
            <w:shd w:val="clear" w:color="auto" w:fill="FFFFFF"/>
            <w:vAlign w:val="center"/>
          </w:tcPr>
          <w:p>
            <w:pPr>
              <w:widowControl/>
              <w:snapToGrid w:val="0"/>
              <w:spacing w:line="360" w:lineRule="auto"/>
              <w:jc w:val="center"/>
              <w:textAlignment w:val="center"/>
              <w:rPr>
                <w:rFonts w:ascii="宋体" w:hAnsi="宋体" w:cs="宋体"/>
                <w:b/>
                <w:kern w:val="0"/>
                <w:sz w:val="24"/>
              </w:rPr>
            </w:pPr>
            <w:r>
              <w:rPr>
                <w:rFonts w:hint="eastAsia" w:ascii="宋体" w:hAnsi="宋体" w:cs="宋体"/>
                <w:b/>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6" w:hRule="atLeast"/>
        </w:trPr>
        <w:tc>
          <w:tcPr>
            <w:tcW w:w="330" w:type="pct"/>
            <w:shd w:val="clear" w:color="auto" w:fill="FFFFFF"/>
            <w:vAlign w:val="center"/>
          </w:tcPr>
          <w:p>
            <w:pPr>
              <w:widowControl/>
              <w:spacing w:line="360" w:lineRule="auto"/>
              <w:jc w:val="center"/>
              <w:rPr>
                <w:rFonts w:ascii="宋体" w:hAnsi="宋体" w:cs="宋体"/>
                <w:b/>
                <w:sz w:val="24"/>
              </w:rPr>
            </w:pPr>
            <w:r>
              <w:rPr>
                <w:rFonts w:hint="eastAsia" w:ascii="宋体" w:hAnsi="宋体" w:cs="宋体"/>
                <w:b/>
                <w:sz w:val="24"/>
              </w:rPr>
              <w:t>2</w:t>
            </w:r>
          </w:p>
        </w:tc>
        <w:tc>
          <w:tcPr>
            <w:tcW w:w="2193" w:type="pct"/>
            <w:shd w:val="clear" w:color="auto" w:fill="FFFFFF"/>
            <w:vAlign w:val="center"/>
          </w:tcPr>
          <w:p>
            <w:pPr>
              <w:pStyle w:val="23"/>
              <w:snapToGrid w:val="0"/>
              <w:jc w:val="center"/>
              <w:rPr>
                <w:rFonts w:hAnsi="宋体" w:cs="宋体"/>
                <w:b/>
                <w:szCs w:val="24"/>
              </w:rPr>
            </w:pPr>
            <w:r>
              <w:rPr>
                <w:rFonts w:hint="eastAsia" w:hAnsi="宋体" w:cs="宋体"/>
                <w:b/>
                <w:szCs w:val="24"/>
              </w:rPr>
              <w:t>智能型超速离心机</w:t>
            </w:r>
          </w:p>
        </w:tc>
        <w:tc>
          <w:tcPr>
            <w:tcW w:w="1208" w:type="pct"/>
            <w:vMerge w:val="continue"/>
            <w:shd w:val="clear" w:color="auto" w:fill="FFFFFF"/>
            <w:vAlign w:val="center"/>
          </w:tcPr>
          <w:p>
            <w:pPr>
              <w:pStyle w:val="23"/>
              <w:snapToGrid w:val="0"/>
              <w:jc w:val="center"/>
              <w:rPr>
                <w:rFonts w:hAnsi="宋体" w:cs="宋体"/>
                <w:b/>
                <w:szCs w:val="24"/>
                <w:lang w:val="en-US"/>
              </w:rPr>
            </w:pPr>
          </w:p>
        </w:tc>
        <w:tc>
          <w:tcPr>
            <w:tcW w:w="699" w:type="pct"/>
            <w:shd w:val="clear" w:color="auto" w:fill="FFFFFF"/>
            <w:vAlign w:val="center"/>
          </w:tcPr>
          <w:p>
            <w:pPr>
              <w:snapToGrid w:val="0"/>
              <w:spacing w:line="360" w:lineRule="auto"/>
              <w:jc w:val="center"/>
              <w:rPr>
                <w:rFonts w:hint="eastAsia" w:ascii="宋体" w:hAnsi="宋体" w:eastAsia="宋体" w:cs="宋体"/>
                <w:b/>
                <w:sz w:val="24"/>
                <w:lang w:val="en-US" w:eastAsia="zh-CN"/>
              </w:rPr>
            </w:pPr>
            <w:r>
              <w:rPr>
                <w:rFonts w:hint="eastAsia" w:ascii="宋体" w:hAnsi="宋体" w:cs="宋体"/>
                <w:b/>
                <w:sz w:val="24"/>
              </w:rPr>
              <w:t>1</w:t>
            </w:r>
            <w:r>
              <w:rPr>
                <w:rFonts w:hint="eastAsia" w:ascii="宋体" w:hAnsi="宋体" w:cs="宋体"/>
                <w:b/>
                <w:sz w:val="24"/>
                <w:lang w:val="en-US" w:eastAsia="zh-CN"/>
              </w:rPr>
              <w:t>台</w:t>
            </w:r>
          </w:p>
        </w:tc>
        <w:tc>
          <w:tcPr>
            <w:tcW w:w="568" w:type="pct"/>
            <w:shd w:val="clear" w:color="auto" w:fill="FFFFFF"/>
            <w:vAlign w:val="center"/>
          </w:tcPr>
          <w:p>
            <w:pPr>
              <w:widowControl/>
              <w:snapToGrid w:val="0"/>
              <w:spacing w:line="360" w:lineRule="auto"/>
              <w:jc w:val="center"/>
              <w:textAlignment w:val="center"/>
              <w:rPr>
                <w:rFonts w:ascii="宋体" w:hAnsi="宋体" w:cs="宋体"/>
                <w:b/>
                <w:kern w:val="0"/>
                <w:sz w:val="24"/>
              </w:rPr>
            </w:pPr>
            <w:r>
              <w:rPr>
                <w:rFonts w:hint="eastAsia" w:ascii="宋体" w:hAnsi="宋体" w:cs="宋体"/>
                <w:b/>
                <w:kern w:val="0"/>
                <w:sz w:val="24"/>
              </w:rPr>
              <w:t>100</w:t>
            </w:r>
          </w:p>
        </w:tc>
      </w:tr>
    </w:tbl>
    <w:p>
      <w:pPr>
        <w:pStyle w:val="5"/>
        <w:spacing w:line="360" w:lineRule="auto"/>
        <w:ind w:firstLine="480"/>
        <w:rPr>
          <w:rFonts w:hAnsi="宋体" w:cs="宋体"/>
          <w:bCs/>
          <w:snapToGrid/>
          <w:color w:val="auto"/>
          <w:kern w:val="2"/>
          <w:sz w:val="24"/>
          <w:szCs w:val="24"/>
        </w:rPr>
      </w:pPr>
      <w:r>
        <w:rPr>
          <w:rFonts w:hint="eastAsia" w:hAnsi="宋体" w:cs="宋体"/>
          <w:color w:val="auto"/>
          <w:sz w:val="24"/>
        </w:rPr>
        <w:t>项目</w:t>
      </w:r>
      <w:r>
        <w:rPr>
          <w:rFonts w:hint="eastAsia" w:hAnsi="宋体" w:cs="宋体"/>
          <w:bCs/>
          <w:snapToGrid/>
          <w:color w:val="auto"/>
          <w:kern w:val="2"/>
          <w:sz w:val="24"/>
          <w:szCs w:val="24"/>
        </w:rPr>
        <w:t>主要内容：</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2"/>
        <w:ind w:firstLine="482"/>
        <w:outlineLvl w:val="2"/>
        <w:rPr>
          <w:rFonts w:hint="eastAsia" w:ascii="宋体" w:hAnsi="宋体" w:eastAsia="宋体" w:cs="宋体"/>
          <w:lang w:eastAsia="zh-CN"/>
        </w:rPr>
      </w:pPr>
      <w:r>
        <w:rPr>
          <w:rFonts w:hint="eastAsia" w:ascii="宋体" w:hAnsi="宋体" w:cs="宋体"/>
          <w:b/>
        </w:rPr>
        <w:t>合同履约期限：免表完成后90天内完成设备供货</w:t>
      </w:r>
      <w:r>
        <w:rPr>
          <w:rFonts w:hint="eastAsia" w:ascii="宋体" w:hAnsi="宋体" w:cs="宋体"/>
          <w:b/>
          <w:lang w:eastAsia="zh-CN"/>
        </w:rPr>
        <w:t>。</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bookmarkStart w:id="410" w:name="_GoBack"/>
      <w:bookmarkEnd w:id="410"/>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22434849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cs="Segoe UI Symbol"/>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9247305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Segoe UI Symbol" w:hAnsi="Segoe UI Symbol" w:cs="Segoe UI Symbol"/>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Segoe UI Symbol" w:hAnsi="Segoe UI Symbol" w:cs="Segoe UI Symbol"/>
              <w:kern w:val="0"/>
              <w:sz w:val="24"/>
            </w:rPr>
            <w:t>☐</w:t>
          </w:r>
          <w:bookmarkStart w:id="10" w:name="_Hlk101132524"/>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0"/>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Segoe UI Symbol" w:hAnsi="Segoe UI Symbol" w:cs="Segoe UI Symbol"/>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numPr>
          <w:ilvl w:val="0"/>
          <w:numId w:val="1"/>
        </w:numPr>
        <w:snapToGrid w:val="0"/>
        <w:spacing w:line="360" w:lineRule="auto"/>
        <w:ind w:firstLine="480" w:firstLineChars="200"/>
        <w:rPr>
          <w:rFonts w:ascii="宋体" w:hAnsi="宋体" w:cs="宋体"/>
          <w:sz w:val="24"/>
        </w:rPr>
      </w:pPr>
      <w:r>
        <w:rPr>
          <w:rFonts w:hint="eastAsia" w:ascii="宋体" w:hAnsi="宋体" w:cs="宋体"/>
          <w:sz w:val="24"/>
        </w:rPr>
        <w:t>本项目的特定资格要求：无</w:t>
      </w:r>
    </w:p>
    <w:p>
      <w:pPr>
        <w:numPr>
          <w:ilvl w:val="0"/>
          <w:numId w:val="1"/>
        </w:numPr>
        <w:snapToGrid w:val="0"/>
        <w:spacing w:line="360" w:lineRule="auto"/>
        <w:ind w:firstLine="480" w:firstLineChars="200"/>
        <w:rPr>
          <w:rFonts w:ascii="宋体" w:hAnsi="宋体" w:cs="宋体"/>
          <w:sz w:val="24"/>
        </w:rPr>
      </w:pP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06</w:t>
      </w:r>
      <w:r>
        <w:rPr>
          <w:rStyle w:val="78"/>
          <w:rFonts w:hint="eastAsia" w:ascii="宋体" w:hAnsi="宋体" w:cs="宋体"/>
          <w:snapToGrid/>
          <w:color w:val="auto"/>
          <w:kern w:val="2"/>
          <w:sz w:val="24"/>
          <w:szCs w:val="24"/>
          <w:u w:val="single"/>
        </w:rPr>
        <w:t xml:space="preserve"> </w:t>
      </w:r>
      <w:r>
        <w:rPr>
          <w:rStyle w:val="78"/>
          <w:rFonts w:hint="eastAsia" w:ascii="宋体" w:hAnsi="宋体" w:eastAsia="宋体" w:cs="宋体"/>
          <w:snapToGrid/>
          <w:color w:val="auto"/>
          <w:kern w:val="2"/>
          <w:sz w:val="24"/>
          <w:szCs w:val="24"/>
          <w:u w:val="single"/>
        </w:rPr>
        <w:t>月</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08</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Style w:val="78"/>
          <w:rFonts w:hint="eastAsia" w:ascii="宋体" w:hAnsi="宋体" w:eastAsia="宋体" w:cs="宋体"/>
          <w:snapToGrid/>
          <w:color w:val="auto"/>
          <w:kern w:val="2"/>
          <w:sz w:val="24"/>
          <w:szCs w:val="24"/>
          <w:u w:val="single"/>
        </w:rPr>
        <w:t>202</w:t>
      </w:r>
      <w:r>
        <w:rPr>
          <w:rStyle w:val="78"/>
          <w:rFonts w:hint="eastAsia" w:ascii="宋体" w:hAnsi="宋体" w:cs="宋体"/>
          <w:snapToGrid/>
          <w:color w:val="auto"/>
          <w:kern w:val="2"/>
          <w:sz w:val="24"/>
          <w:szCs w:val="24"/>
          <w:u w:val="single"/>
        </w:rPr>
        <w:t>3</w:t>
      </w:r>
      <w:r>
        <w:rPr>
          <w:rStyle w:val="78"/>
          <w:rFonts w:hint="eastAsia" w:ascii="宋体" w:hAnsi="宋体" w:eastAsia="宋体" w:cs="宋体"/>
          <w:snapToGrid/>
          <w:color w:val="auto"/>
          <w:kern w:val="2"/>
          <w:sz w:val="24"/>
          <w:szCs w:val="24"/>
          <w:u w:val="single"/>
        </w:rPr>
        <w:t>年</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06</w:t>
      </w:r>
      <w:r>
        <w:rPr>
          <w:rStyle w:val="78"/>
          <w:rFonts w:hint="eastAsia" w:ascii="宋体" w:hAnsi="宋体" w:cs="宋体"/>
          <w:snapToGrid/>
          <w:color w:val="auto"/>
          <w:kern w:val="2"/>
          <w:sz w:val="24"/>
          <w:szCs w:val="24"/>
          <w:u w:val="single"/>
        </w:rPr>
        <w:t xml:space="preserve"> </w:t>
      </w:r>
      <w:r>
        <w:rPr>
          <w:rStyle w:val="78"/>
          <w:rFonts w:hint="eastAsia" w:ascii="宋体" w:hAnsi="宋体" w:eastAsia="宋体" w:cs="宋体"/>
          <w:snapToGrid/>
          <w:color w:val="auto"/>
          <w:kern w:val="2"/>
          <w:sz w:val="24"/>
          <w:szCs w:val="24"/>
          <w:u w:val="single"/>
        </w:rPr>
        <w:t>月</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08</w:t>
      </w:r>
      <w:r>
        <w:rPr>
          <w:rStyle w:val="78"/>
          <w:rFonts w:hint="eastAsia" w:ascii="宋体" w:hAnsi="宋体" w:eastAsia="宋体" w:cs="宋体"/>
          <w:snapToGrid/>
          <w:color w:val="auto"/>
          <w:kern w:val="2"/>
          <w:sz w:val="24"/>
          <w:szCs w:val="24"/>
          <w:u w:val="single"/>
        </w:rPr>
        <w:t>日</w:t>
      </w:r>
      <w:r>
        <w:rPr>
          <w:rStyle w:val="78"/>
          <w:rFonts w:hint="eastAsia" w:ascii="宋体" w:hAnsi="宋体" w:cs="宋体"/>
          <w:snapToGrid/>
          <w:color w:val="auto"/>
          <w:kern w:val="2"/>
          <w:sz w:val="24"/>
          <w:szCs w:val="24"/>
          <w:u w:val="single"/>
          <w:lang w:val="en-US" w:eastAsia="zh-CN"/>
        </w:rPr>
        <w:t>09</w:t>
      </w:r>
      <w:r>
        <w:rPr>
          <w:rStyle w:val="78"/>
          <w:rFonts w:hint="eastAsia" w:ascii="宋体" w:hAnsi="宋体" w:eastAsia="宋体" w:cs="宋体"/>
          <w:snapToGrid/>
          <w:color w:val="auto"/>
          <w:kern w:val="2"/>
          <w:sz w:val="24"/>
          <w:szCs w:val="24"/>
          <w:u w:val="single"/>
        </w:rPr>
        <w:t>点</w:t>
      </w:r>
      <w:r>
        <w:rPr>
          <w:rStyle w:val="78"/>
          <w:rFonts w:hint="eastAsia" w:ascii="宋体" w:hAnsi="宋体" w:cs="宋体"/>
          <w:snapToGrid/>
          <w:color w:val="auto"/>
          <w:kern w:val="2"/>
          <w:sz w:val="24"/>
          <w:szCs w:val="24"/>
          <w:u w:val="single"/>
          <w:lang w:val="en-US" w:eastAsia="zh-CN"/>
        </w:rPr>
        <w:t>3</w:t>
      </w:r>
      <w:r>
        <w:rPr>
          <w:rStyle w:val="78"/>
          <w:rFonts w:hint="eastAsia" w:ascii="宋体" w:hAnsi="宋体" w:cs="宋体"/>
          <w:snapToGrid/>
          <w:color w:val="auto"/>
          <w:kern w:val="2"/>
          <w:sz w:val="24"/>
          <w:szCs w:val="24"/>
          <w:u w:val="single"/>
        </w:rPr>
        <w:t>0</w:t>
      </w:r>
      <w:r>
        <w:rPr>
          <w:rStyle w:val="78"/>
          <w:rFonts w:hint="eastAsia" w:ascii="宋体" w:hAnsi="宋体" w:eastAsia="宋体" w:cs="宋体"/>
          <w:snapToGrid/>
          <w:color w:val="auto"/>
          <w:kern w:val="2"/>
          <w:sz w:val="24"/>
          <w:szCs w:val="24"/>
          <w:u w:val="single"/>
        </w:rPr>
        <w:t>分</w:t>
      </w:r>
      <w:r>
        <w:rPr>
          <w:rStyle w:val="78"/>
          <w:rFonts w:hint="eastAsia" w:ascii="宋体" w:hAnsi="宋体" w:eastAsia="宋体" w:cs="宋体"/>
          <w:bCs/>
          <w:snapToGrid/>
          <w:color w:val="auto"/>
          <w:kern w:val="2"/>
          <w:sz w:val="24"/>
          <w:szCs w:val="24"/>
          <w:u w:val="single"/>
        </w:rPr>
        <w:t>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Style w:val="78"/>
          <w:rFonts w:hint="eastAsia" w:ascii="宋体" w:hAnsi="宋体" w:eastAsia="宋体" w:cs="宋体"/>
          <w:snapToGrid/>
          <w:color w:val="auto"/>
          <w:kern w:val="2"/>
          <w:sz w:val="24"/>
          <w:szCs w:val="24"/>
          <w:u w:val="single"/>
        </w:rPr>
        <w:t>202</w:t>
      </w:r>
      <w:r>
        <w:rPr>
          <w:rStyle w:val="78"/>
          <w:rFonts w:hint="eastAsia" w:ascii="宋体" w:hAnsi="宋体" w:cs="宋体"/>
          <w:snapToGrid/>
          <w:color w:val="auto"/>
          <w:kern w:val="2"/>
          <w:sz w:val="24"/>
          <w:szCs w:val="24"/>
          <w:u w:val="single"/>
        </w:rPr>
        <w:t>3</w:t>
      </w:r>
      <w:r>
        <w:rPr>
          <w:rStyle w:val="78"/>
          <w:rFonts w:hint="eastAsia" w:ascii="宋体" w:hAnsi="宋体" w:eastAsia="宋体" w:cs="宋体"/>
          <w:snapToGrid/>
          <w:color w:val="auto"/>
          <w:kern w:val="2"/>
          <w:sz w:val="24"/>
          <w:szCs w:val="24"/>
          <w:u w:val="single"/>
        </w:rPr>
        <w:t>年</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06</w:t>
      </w:r>
      <w:r>
        <w:rPr>
          <w:rStyle w:val="78"/>
          <w:rFonts w:hint="eastAsia" w:ascii="宋体" w:hAnsi="宋体" w:cs="宋体"/>
          <w:snapToGrid/>
          <w:color w:val="auto"/>
          <w:kern w:val="2"/>
          <w:sz w:val="24"/>
          <w:szCs w:val="24"/>
          <w:u w:val="single"/>
        </w:rPr>
        <w:t xml:space="preserve"> </w:t>
      </w:r>
      <w:r>
        <w:rPr>
          <w:rStyle w:val="78"/>
          <w:rFonts w:hint="eastAsia" w:ascii="宋体" w:hAnsi="宋体" w:eastAsia="宋体" w:cs="宋体"/>
          <w:snapToGrid/>
          <w:color w:val="auto"/>
          <w:kern w:val="2"/>
          <w:sz w:val="24"/>
          <w:szCs w:val="24"/>
          <w:u w:val="single"/>
        </w:rPr>
        <w:t>月</w:t>
      </w:r>
      <w:r>
        <w:rPr>
          <w:rStyle w:val="78"/>
          <w:rFonts w:hint="eastAsia" w:ascii="宋体" w:hAnsi="宋体" w:cs="宋体"/>
          <w:snapToGrid/>
          <w:color w:val="auto"/>
          <w:kern w:val="2"/>
          <w:sz w:val="24"/>
          <w:szCs w:val="24"/>
          <w:u w:val="single"/>
        </w:rPr>
        <w:t xml:space="preserve"> </w:t>
      </w:r>
      <w:r>
        <w:rPr>
          <w:rStyle w:val="78"/>
          <w:rFonts w:hint="eastAsia" w:ascii="宋体" w:hAnsi="宋体" w:eastAsia="黑体" w:cs="宋体"/>
          <w:snapToGrid/>
          <w:color w:val="auto"/>
          <w:kern w:val="2"/>
          <w:sz w:val="24"/>
          <w:szCs w:val="24"/>
          <w:u w:val="single"/>
          <w:lang w:val="en-US" w:eastAsia="zh-CN"/>
        </w:rPr>
        <w:t>08</w:t>
      </w:r>
      <w:r>
        <w:rPr>
          <w:rStyle w:val="78"/>
          <w:rFonts w:hint="eastAsia" w:ascii="宋体" w:hAnsi="宋体" w:eastAsia="宋体" w:cs="宋体"/>
          <w:snapToGrid/>
          <w:color w:val="auto"/>
          <w:kern w:val="2"/>
          <w:sz w:val="24"/>
          <w:szCs w:val="24"/>
          <w:u w:val="single"/>
        </w:rPr>
        <w:t>日</w:t>
      </w:r>
      <w:r>
        <w:rPr>
          <w:rStyle w:val="78"/>
          <w:rFonts w:hint="eastAsia" w:ascii="宋体" w:hAnsi="宋体" w:cs="宋体"/>
          <w:snapToGrid/>
          <w:color w:val="auto"/>
          <w:kern w:val="2"/>
          <w:sz w:val="24"/>
          <w:szCs w:val="24"/>
          <w:u w:val="single"/>
          <w:lang w:val="en-US" w:eastAsia="zh-CN"/>
        </w:rPr>
        <w:t>09</w:t>
      </w:r>
      <w:r>
        <w:rPr>
          <w:rStyle w:val="78"/>
          <w:rFonts w:hint="eastAsia" w:ascii="宋体" w:hAnsi="宋体" w:eastAsia="宋体" w:cs="宋体"/>
          <w:snapToGrid/>
          <w:color w:val="auto"/>
          <w:kern w:val="2"/>
          <w:sz w:val="24"/>
          <w:szCs w:val="24"/>
          <w:u w:val="single"/>
        </w:rPr>
        <w:t>点</w:t>
      </w:r>
      <w:r>
        <w:rPr>
          <w:rStyle w:val="78"/>
          <w:rFonts w:hint="eastAsia" w:ascii="宋体" w:hAnsi="宋体" w:cs="宋体"/>
          <w:snapToGrid/>
          <w:color w:val="auto"/>
          <w:kern w:val="2"/>
          <w:sz w:val="24"/>
          <w:szCs w:val="24"/>
          <w:u w:val="single"/>
          <w:lang w:val="en-US" w:eastAsia="zh-CN"/>
        </w:rPr>
        <w:t>3</w:t>
      </w:r>
      <w:r>
        <w:rPr>
          <w:rStyle w:val="78"/>
          <w:rFonts w:hint="eastAsia" w:ascii="宋体" w:hAnsi="宋体" w:cs="宋体"/>
          <w:snapToGrid/>
          <w:color w:val="auto"/>
          <w:kern w:val="2"/>
          <w:sz w:val="24"/>
          <w:szCs w:val="24"/>
          <w:u w:val="single"/>
        </w:rPr>
        <w:t>0</w:t>
      </w:r>
      <w:r>
        <w:rPr>
          <w:rStyle w:val="78"/>
          <w:rFonts w:hint="eastAsia" w:ascii="宋体" w:hAnsi="宋体" w:eastAsia="宋体" w:cs="宋体"/>
          <w:snapToGrid/>
          <w:color w:val="auto"/>
          <w:kern w:val="2"/>
          <w:sz w:val="24"/>
          <w:szCs w:val="24"/>
          <w:u w:val="single"/>
        </w:rPr>
        <w:t>分</w:t>
      </w:r>
      <w:r>
        <w:rPr>
          <w:rStyle w:val="78"/>
          <w:rFonts w:hint="eastAsia" w:ascii="宋体" w:hAnsi="宋体" w:eastAsia="宋体" w:cs="宋体"/>
          <w:bCs/>
          <w:snapToGrid/>
          <w:color w:val="auto"/>
          <w:kern w:val="2"/>
          <w:sz w:val="24"/>
          <w:szCs w:val="24"/>
          <w:u w:val="single"/>
        </w:rPr>
        <w:t>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2" w:firstLineChars="200"/>
        <w:rPr>
          <w:rFonts w:ascii="宋体" w:hAnsi="宋体" w:cs="宋体"/>
          <w:sz w:val="24"/>
        </w:rPr>
      </w:pPr>
      <w:r>
        <w:rPr>
          <w:rFonts w:hint="eastAsia" w:ascii="宋体" w:hAnsi="宋体" w:cs="宋体"/>
          <w:b/>
          <w:bCs/>
          <w:sz w:val="24"/>
        </w:rPr>
        <w:t>1.采购人信息</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地址: 杭州市余杭区仓前街道余杭塘路2318号行政楼412室</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联系人：梁老师</w:t>
      </w:r>
    </w:p>
    <w:p>
      <w:pPr>
        <w:widowControl/>
        <w:snapToGrid w:val="0"/>
        <w:spacing w:line="360" w:lineRule="auto"/>
        <w:ind w:firstLine="480" w:firstLineChars="200"/>
        <w:jc w:val="left"/>
        <w:rPr>
          <w:rFonts w:asciiTheme="minorEastAsia" w:hAnsiTheme="minorEastAsia"/>
          <w:sz w:val="24"/>
        </w:rPr>
      </w:pPr>
      <w:r>
        <w:rPr>
          <w:rFonts w:hint="eastAsia" w:asciiTheme="minorEastAsia" w:hAnsiTheme="minorEastAsia" w:eastAsiaTheme="minorEastAsia"/>
          <w:sz w:val="24"/>
        </w:rPr>
        <w:t>联系电话：0571-28861641</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传真：0571-28868213</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采购人质疑受理：</w:t>
      </w:r>
      <w:r>
        <w:rPr>
          <w:rFonts w:ascii="宋体" w:hAnsi="宋体" w:cs="宋体"/>
          <w:sz w:val="24"/>
        </w:rPr>
        <w:t>周老师</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联系电话：</w:t>
      </w:r>
      <w:r>
        <w:rPr>
          <w:rFonts w:ascii="宋体" w:hAnsi="宋体" w:cs="宋体"/>
          <w:sz w:val="24"/>
        </w:rPr>
        <w:t>0571-28865075</w:t>
      </w:r>
    </w:p>
    <w:p>
      <w:pPr>
        <w:spacing w:line="360" w:lineRule="auto"/>
        <w:ind w:firstLine="480" w:firstLineChars="200"/>
        <w:rPr>
          <w:rFonts w:ascii="宋体" w:hAnsi="宋体" w:cs="宋体"/>
          <w:sz w:val="24"/>
        </w:rPr>
      </w:pPr>
      <w:r>
        <w:rPr>
          <w:rFonts w:hint="eastAsia" w:asciiTheme="minorEastAsia" w:hAnsiTheme="minorEastAsia" w:eastAsiaTheme="minorEastAsia"/>
          <w:sz w:val="24"/>
        </w:rPr>
        <w:t>传真：</w:t>
      </w:r>
      <w:r>
        <w:rPr>
          <w:rFonts w:ascii="宋体" w:hAnsi="宋体" w:cs="宋体"/>
          <w:sz w:val="24"/>
        </w:rPr>
        <w:t>0571-28865075</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4"/>
        </w:rPr>
        <w:t>2.采购代理机构信息</w:t>
      </w:r>
      <w:r>
        <w:rPr>
          <w:rFonts w:hint="eastAsia" w:ascii="宋体" w:hAnsi="宋体" w:cs="宋体"/>
          <w:sz w:val="24"/>
        </w:rPr>
        <w:t xml:space="preserve">            </w:t>
      </w:r>
    </w:p>
    <w:p>
      <w:pPr>
        <w:widowControl/>
        <w:snapToGrid w:val="0"/>
        <w:spacing w:line="360" w:lineRule="auto"/>
        <w:ind w:firstLine="480" w:firstLineChars="200"/>
        <w:rPr>
          <w:rFonts w:ascii="宋体" w:hAnsi="宋体" w:cs="宋体"/>
          <w:sz w:val="24"/>
        </w:rPr>
      </w:pPr>
      <w:r>
        <w:rPr>
          <w:rFonts w:hint="eastAsia" w:ascii="宋体" w:hAnsi="宋体" w:cs="宋体"/>
          <w:sz w:val="24"/>
        </w:rPr>
        <w:t>名    称：浙江中诺招标代理有限公司</w:t>
      </w:r>
    </w:p>
    <w:p>
      <w:pPr>
        <w:widowControl/>
        <w:snapToGrid w:val="0"/>
        <w:spacing w:line="360" w:lineRule="auto"/>
        <w:ind w:firstLine="480" w:firstLineChars="200"/>
        <w:rPr>
          <w:rFonts w:ascii="宋体" w:hAnsi="宋体" w:cs="宋体"/>
          <w:sz w:val="24"/>
        </w:rPr>
      </w:pPr>
      <w:r>
        <w:rPr>
          <w:rFonts w:hint="eastAsia" w:ascii="宋体" w:hAnsi="宋体" w:cs="宋体"/>
          <w:sz w:val="24"/>
        </w:rPr>
        <w:t>地    址：杭州市环城北路141号永通信息广场西10楼</w:t>
      </w:r>
    </w:p>
    <w:p>
      <w:pPr>
        <w:widowControl/>
        <w:snapToGrid w:val="0"/>
        <w:spacing w:line="360" w:lineRule="auto"/>
        <w:ind w:firstLine="480" w:firstLineChars="200"/>
        <w:rPr>
          <w:rFonts w:ascii="宋体" w:hAnsi="宋体" w:cs="宋体"/>
          <w:sz w:val="24"/>
        </w:rPr>
      </w:pPr>
      <w:r>
        <w:rPr>
          <w:rFonts w:hint="eastAsia" w:ascii="宋体" w:hAnsi="宋体" w:cs="宋体"/>
          <w:sz w:val="24"/>
        </w:rPr>
        <w:t xml:space="preserve">传    真：0571-88821402-820            </w:t>
      </w:r>
    </w:p>
    <w:p>
      <w:pPr>
        <w:widowControl/>
        <w:snapToGrid w:val="0"/>
        <w:spacing w:line="360" w:lineRule="auto"/>
        <w:ind w:firstLine="480" w:firstLineChars="200"/>
        <w:rPr>
          <w:rFonts w:ascii="宋体" w:hAnsi="宋体" w:cs="宋体"/>
          <w:sz w:val="24"/>
        </w:rPr>
      </w:pPr>
      <w:r>
        <w:rPr>
          <w:rFonts w:hint="eastAsia" w:ascii="宋体" w:hAnsi="宋体" w:cs="宋体"/>
          <w:sz w:val="24"/>
        </w:rPr>
        <w:t xml:space="preserve">项目联系人（询问）： 吴知静      </w:t>
      </w:r>
    </w:p>
    <w:p>
      <w:pPr>
        <w:widowControl/>
        <w:snapToGrid w:val="0"/>
        <w:spacing w:line="360" w:lineRule="auto"/>
        <w:ind w:firstLine="480" w:firstLineChars="200"/>
        <w:rPr>
          <w:rFonts w:ascii="宋体" w:hAnsi="宋体" w:cs="宋体"/>
          <w:sz w:val="24"/>
        </w:rPr>
      </w:pPr>
      <w:r>
        <w:rPr>
          <w:rFonts w:hint="eastAsia" w:ascii="宋体" w:hAnsi="宋体" w:cs="宋体"/>
          <w:sz w:val="24"/>
        </w:rPr>
        <w:t>项目联系方式（询问）：0571-88821402-808</w:t>
      </w:r>
    </w:p>
    <w:p>
      <w:pPr>
        <w:widowControl/>
        <w:snapToGrid w:val="0"/>
        <w:spacing w:line="360" w:lineRule="auto"/>
        <w:ind w:firstLine="480" w:firstLineChars="200"/>
        <w:rPr>
          <w:rFonts w:ascii="宋体" w:hAnsi="宋体" w:cs="宋体"/>
          <w:sz w:val="24"/>
        </w:rPr>
      </w:pPr>
      <w:r>
        <w:rPr>
          <w:rFonts w:hint="eastAsia" w:ascii="宋体" w:hAnsi="宋体" w:cs="宋体"/>
          <w:sz w:val="24"/>
        </w:rPr>
        <w:t xml:space="preserve">质疑联系人：董媛媛            </w:t>
      </w:r>
    </w:p>
    <w:p>
      <w:pPr>
        <w:widowControl/>
        <w:snapToGrid w:val="0"/>
        <w:spacing w:line="360" w:lineRule="auto"/>
        <w:ind w:firstLine="480" w:firstLineChars="200"/>
        <w:rPr>
          <w:rFonts w:ascii="宋体" w:hAnsi="宋体" w:cs="宋体"/>
          <w:sz w:val="24"/>
        </w:rPr>
      </w:pPr>
      <w:r>
        <w:rPr>
          <w:rFonts w:hint="eastAsia" w:ascii="宋体" w:hAnsi="宋体" w:cs="宋体"/>
          <w:sz w:val="24"/>
        </w:rPr>
        <w:t xml:space="preserve">质疑联系方式：0571-88821402-801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4"/>
        </w:rPr>
        <w:t>3.同级政府采购监督管理部门</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ascii="宋体" w:hAnsi="宋体" w:cs="宋体"/>
          <w:sz w:val="24"/>
        </w:rPr>
      </w:pPr>
      <w:r>
        <w:rPr>
          <w:rFonts w:hint="eastAsia" w:ascii="宋体" w:hAnsi="宋体" w:cs="宋体"/>
          <w:sz w:val="24"/>
        </w:rPr>
        <w:t xml:space="preserve">监督投诉电话：电话：0571-85252453   </w:t>
      </w:r>
    </w:p>
    <w:p>
      <w:pPr>
        <w:spacing w:line="360" w:lineRule="auto"/>
        <w:ind w:firstLine="480"/>
        <w:rPr>
          <w:rFonts w:ascii="宋体" w:hAnsi="宋体" w:cs="宋体"/>
          <w:sz w:val="24"/>
        </w:rPr>
      </w:pPr>
      <w:r>
        <w:rPr>
          <w:rFonts w:hint="eastAsia" w:ascii="宋体" w:hAnsi="宋体" w:cs="宋体"/>
          <w:sz w:val="24"/>
        </w:rPr>
        <w:t>政策咨询：陈先生、厉先生，0571-89580460、89580456</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pPr w:leftFromText="180" w:rightFromText="180" w:vertAnchor="text" w:horzAnchor="page" w:tblpX="1546" w:tblpY="4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661"/>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6" w:hRule="atLeast"/>
          <w:tblHeader/>
        </w:trPr>
        <w:tc>
          <w:tcPr>
            <w:tcW w:w="629" w:type="dxa"/>
            <w:vAlign w:val="center"/>
          </w:tcPr>
          <w:p>
            <w:pPr>
              <w:snapToGrid w:val="0"/>
              <w:spacing w:line="360" w:lineRule="auto"/>
              <w:rPr>
                <w:rFonts w:ascii="宋体" w:hAnsi="宋体" w:cs="宋体"/>
                <w:b/>
                <w:sz w:val="24"/>
              </w:rPr>
            </w:pPr>
            <w:r>
              <w:rPr>
                <w:rFonts w:hint="eastAsia" w:ascii="宋体" w:hAnsi="宋体" w:cs="宋体"/>
                <w:b/>
                <w:sz w:val="24"/>
              </w:rPr>
              <w:t>序号</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事项</w:t>
            </w:r>
          </w:p>
        </w:tc>
        <w:tc>
          <w:tcPr>
            <w:tcW w:w="6277" w:type="dxa"/>
            <w:vAlign w:val="center"/>
          </w:tcPr>
          <w:p>
            <w:pPr>
              <w:snapToGrid w:val="0"/>
              <w:spacing w:line="360" w:lineRule="auto"/>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277" w:type="dxa"/>
            <w:vAlign w:val="center"/>
          </w:tcPr>
          <w:p>
            <w:pPr>
              <w:spacing w:line="360" w:lineRule="auto"/>
              <w:rPr>
                <w:rFonts w:ascii="宋体" w:hAnsi="宋体" w:cs="宋体"/>
                <w:sz w:val="24"/>
              </w:rPr>
            </w:pPr>
            <w:r>
              <w:rPr>
                <w:rFonts w:hint="eastAsia" w:ascii="宋体" w:hAnsi="宋体" w:cs="宋体"/>
                <w:sz w:val="24"/>
              </w:rPr>
              <w:t>货物类</w:t>
            </w:r>
          </w:p>
          <w:p>
            <w:pPr>
              <w:spacing w:line="360" w:lineRule="auto"/>
              <w:rPr>
                <w:rFonts w:ascii="宋体" w:hAnsi="宋体" w:cs="宋体"/>
                <w:kern w:val="0"/>
                <w:sz w:val="24"/>
              </w:rPr>
            </w:pPr>
            <w:r>
              <w:rPr>
                <w:rFonts w:hint="eastAsia" w:ascii="MS Mincho" w:hAnsi="MS Mincho" w:eastAsia="MS Mincho" w:cs="MS Mincho"/>
                <w:kern w:val="0"/>
                <w:sz w:val="24"/>
              </w:rPr>
              <w:t>☐</w:t>
            </w:r>
            <w:r>
              <w:rPr>
                <w:rFonts w:hint="eastAsia" w:ascii="宋体" w:hAnsi="宋体" w:cs="宋体"/>
                <w:sz w:val="24"/>
              </w:rPr>
              <w:t>单一产品</w:t>
            </w:r>
          </w:p>
          <w:p>
            <w:pPr>
              <w:spacing w:line="360" w:lineRule="auto"/>
              <w:rPr>
                <w:rFonts w:ascii="宋体" w:hAnsi="宋体" w:cs="宋体"/>
                <w:sz w:val="24"/>
              </w:rPr>
            </w:pPr>
            <w:r>
              <w:rPr>
                <w:rFonts w:hint="eastAsia" w:ascii="宋体" w:hAnsi="宋体" w:cs="宋体"/>
                <w:kern w:val="0"/>
                <w:sz w:val="24"/>
              </w:rPr>
              <w:sym w:font="Wingdings 2" w:char="F052"/>
            </w:r>
            <w:r>
              <w:rPr>
                <w:rFonts w:hint="eastAsia" w:ascii="宋体" w:hAnsi="宋体" w:cs="宋体"/>
                <w:kern w:val="0"/>
                <w:sz w:val="24"/>
              </w:rPr>
              <w:t>核心产品为：</w:t>
            </w:r>
            <w:r>
              <w:rPr>
                <w:rFonts w:hint="eastAsia" w:ascii="宋体" w:hAnsi="宋体" w:cs="宋体"/>
                <w:kern w:val="0"/>
                <w:sz w:val="24"/>
                <w:u w:val="single"/>
              </w:rPr>
              <w:t>细胞高内涵成像系统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95" w:hRule="atLeast"/>
          <w:tblHeader/>
        </w:trPr>
        <w:tc>
          <w:tcPr>
            <w:tcW w:w="629" w:type="dxa"/>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采购标的及其对应的中小企业划分标准所属行业</w:t>
            </w:r>
          </w:p>
        </w:tc>
        <w:tc>
          <w:tcPr>
            <w:tcW w:w="6277" w:type="dxa"/>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rPr>
              <w:t xml:space="preserve"> 货物 </w:t>
            </w:r>
            <w:r>
              <w:rPr>
                <w:rFonts w:hint="eastAsia" w:ascii="宋体" w:hAnsi="宋体" w:cs="宋体"/>
                <w:kern w:val="0"/>
                <w:sz w:val="24"/>
              </w:rPr>
              <w:t>，属于</w:t>
            </w:r>
            <w:r>
              <w:rPr>
                <w:rFonts w:hint="eastAsia" w:ascii="宋体" w:hAnsi="宋体" w:cs="宋体"/>
                <w:kern w:val="0"/>
                <w:sz w:val="24"/>
                <w:u w:val="single"/>
              </w:rPr>
              <w:t xml:space="preserve"> </w:t>
            </w:r>
            <w:r>
              <w:rPr>
                <w:rFonts w:hint="eastAsia" w:ascii="宋体" w:hAnsi="宋体" w:cs="宋体"/>
                <w:sz w:val="24"/>
                <w:u w:val="single"/>
                <w:shd w:val="clear" w:color="auto" w:fill="FFFFFF"/>
              </w:rPr>
              <w:t>制造业</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0"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是否允许采购进口产品</w:t>
            </w:r>
          </w:p>
        </w:tc>
        <w:tc>
          <w:tcPr>
            <w:tcW w:w="6277" w:type="dxa"/>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661" w:type="dxa"/>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277" w:type="dxa"/>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安装施工  </w:t>
            </w:r>
            <w:r>
              <w:rPr>
                <w:rFonts w:hint="eastAsia" w:ascii="宋体" w:hAnsi="宋体" w:cs="宋体"/>
                <w:sz w:val="24"/>
              </w:rPr>
              <w:t>工作分包。</w:t>
            </w: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0"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开标前答疑会或现场考察</w:t>
            </w:r>
          </w:p>
        </w:tc>
        <w:tc>
          <w:tcPr>
            <w:tcW w:w="6277" w:type="dxa"/>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样品提供</w:t>
            </w:r>
          </w:p>
        </w:tc>
        <w:tc>
          <w:tcPr>
            <w:tcW w:w="6277" w:type="dxa"/>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b/>
                <w:bCs/>
                <w:snapToGrid w:val="0"/>
                <w:kern w:val="28"/>
                <w:sz w:val="24"/>
                <w:u w:val="single"/>
              </w:rPr>
              <w:t xml:space="preserve">：       </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napToGrid w:val="0"/>
                <w:kern w:val="28"/>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b/>
                <w:spacing w:val="-6"/>
                <w:sz w:val="24"/>
                <w:u w:val="single"/>
              </w:rPr>
              <w:t>投标人在投标截止时间前送达</w:t>
            </w:r>
            <w:r>
              <w:rPr>
                <w:rFonts w:hint="eastAsia" w:ascii="宋体" w:hAnsi="宋体" w:cs="宋体"/>
                <w:kern w:val="0"/>
                <w:sz w:val="24"/>
              </w:rPr>
              <w:t>；地点：</w:t>
            </w:r>
            <w:r>
              <w:rPr>
                <w:rFonts w:hint="eastAsia" w:ascii="宋体" w:hAnsi="宋体" w:cs="宋体"/>
                <w:b/>
                <w:bCs/>
                <w:sz w:val="24"/>
                <w:u w:val="single"/>
              </w:rPr>
              <w:t>浙江中诺招标代理有限公司（浙江省杭州市拱墅区环城北路141号永通信息广场西楼1002</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董媛媛</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0571-88821402-808</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(6)采购活动结束后，对于未中标人提供的样品，在中标公告发布满7个工作日后（无特殊情况）3个工作日内自行撤回，逾期将作废弃处理；对于中标人提供的样品，将被封存作为货物验收的实物质量验收标准。</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48"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661" w:type="dxa"/>
            <w:vAlign w:val="center"/>
          </w:tcPr>
          <w:p>
            <w:pPr>
              <w:snapToGrid w:val="0"/>
              <w:spacing w:line="360" w:lineRule="auto"/>
              <w:rPr>
                <w:rFonts w:ascii="宋体" w:hAnsi="宋体" w:cs="宋体"/>
                <w:bCs/>
                <w:sz w:val="24"/>
              </w:rPr>
            </w:pPr>
            <w:r>
              <w:rPr>
                <w:rFonts w:hint="eastAsia" w:ascii="宋体" w:hAnsi="宋体" w:cs="宋体"/>
                <w:b/>
                <w:sz w:val="24"/>
              </w:rPr>
              <w:t>方案讲解演示</w:t>
            </w:r>
          </w:p>
        </w:tc>
        <w:tc>
          <w:tcPr>
            <w:tcW w:w="6277" w:type="dxa"/>
            <w:vAlign w:val="center"/>
          </w:tcPr>
          <w:p>
            <w:pPr>
              <w:spacing w:line="360" w:lineRule="auto"/>
              <w:rPr>
                <w:rFonts w:ascii="宋体" w:hAnsi="宋体" w:cs="宋体"/>
                <w:sz w:val="24"/>
              </w:rPr>
            </w:pPr>
            <w:sdt>
              <w:sdtPr>
                <w:rPr>
                  <w:rFonts w:hint="eastAsia" w:ascii="宋体" w:hAnsi="宋体" w:cs="宋体"/>
                  <w:kern w:val="0"/>
                  <w:sz w:val="24"/>
                </w:rPr>
                <w:id w:val="1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（1）在评标时安排每个投标人进行方案讲解演示。每个投标人时间不超过15分钟，讲解演示人员不超过2人。讲解演示结束后按要求解答评标委员会提问。</w:t>
            </w:r>
          </w:p>
          <w:p>
            <w:pPr>
              <w:snapToGrid w:val="0"/>
              <w:spacing w:line="360" w:lineRule="auto"/>
              <w:rPr>
                <w:rFonts w:ascii="宋体" w:hAnsi="宋体" w:cs="宋体"/>
                <w:kern w:val="0"/>
                <w:sz w:val="24"/>
                <w:lang w:val="zh-CN"/>
              </w:rPr>
            </w:pPr>
            <w:r>
              <w:rPr>
                <w:rFonts w:hint="eastAsia" w:ascii="宋体" w:hAnsi="宋体" w:cs="宋体"/>
                <w:kern w:val="0"/>
                <w:sz w:val="24"/>
              </w:rPr>
              <w:t>（2）方案</w:t>
            </w:r>
            <w:r>
              <w:rPr>
                <w:rFonts w:hint="eastAsia" w:ascii="宋体" w:hAnsi="宋体" w:cs="宋体"/>
                <w:kern w:val="0"/>
                <w:sz w:val="24"/>
                <w:lang w:val="zh-CN"/>
              </w:rPr>
              <w:t>演示采用录制视频或现场演示的方式。选择录制视频的，文件格式为mp4,采用U盘的形式提交，将U盘单独装在一个文件密封并在开标前邮寄或送达到开标现场。选择现场演示，演示次序由开标时抽签决定，演示所需设备由供应商自行准备（采购机构现场为高清HDMI转接头，请自备其他转接头）。</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35" w:hRule="atLeast"/>
          <w:tblHeader/>
        </w:trPr>
        <w:tc>
          <w:tcPr>
            <w:tcW w:w="629"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661" w:type="dxa"/>
            <w:vMerge w:val="restart"/>
            <w:vAlign w:val="center"/>
          </w:tcPr>
          <w:p>
            <w:pPr>
              <w:snapToGrid w:val="0"/>
              <w:spacing w:line="360" w:lineRule="auto"/>
              <w:rPr>
                <w:rFonts w:ascii="宋体" w:hAnsi="宋体" w:cs="宋体"/>
                <w:b/>
                <w:sz w:val="24"/>
              </w:rPr>
            </w:pPr>
            <w:r>
              <w:rPr>
                <w:rFonts w:hint="eastAsia" w:ascii="宋体" w:hAnsi="宋体" w:cs="宋体"/>
                <w:b/>
                <w:sz w:val="24"/>
              </w:rPr>
              <w:t>投标人应当提供的资格、资信证明文件</w:t>
            </w:r>
          </w:p>
        </w:tc>
        <w:tc>
          <w:tcPr>
            <w:tcW w:w="6277" w:type="dxa"/>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tblHeader/>
        </w:trPr>
        <w:tc>
          <w:tcPr>
            <w:tcW w:w="629" w:type="dxa"/>
            <w:vMerge w:val="continue"/>
            <w:vAlign w:val="center"/>
          </w:tcPr>
          <w:p>
            <w:pPr>
              <w:snapToGrid w:val="0"/>
              <w:spacing w:line="360" w:lineRule="auto"/>
              <w:jc w:val="center"/>
              <w:rPr>
                <w:rFonts w:ascii="宋体" w:hAnsi="宋体" w:cs="宋体"/>
                <w:sz w:val="24"/>
              </w:rPr>
            </w:pPr>
          </w:p>
        </w:tc>
        <w:tc>
          <w:tcPr>
            <w:tcW w:w="1661" w:type="dxa"/>
            <w:vMerge w:val="continue"/>
            <w:vAlign w:val="center"/>
          </w:tcPr>
          <w:p>
            <w:pPr>
              <w:snapToGrid w:val="0"/>
              <w:spacing w:line="360" w:lineRule="auto"/>
              <w:rPr>
                <w:rFonts w:ascii="宋体" w:hAnsi="宋体" w:cs="宋体"/>
                <w:b/>
                <w:sz w:val="24"/>
              </w:rPr>
            </w:pPr>
          </w:p>
        </w:tc>
        <w:tc>
          <w:tcPr>
            <w:tcW w:w="6277" w:type="dxa"/>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42"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节能产品、环境标志产品</w:t>
            </w:r>
          </w:p>
        </w:tc>
        <w:tc>
          <w:tcPr>
            <w:tcW w:w="6277" w:type="dxa"/>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报价要求</w:t>
            </w:r>
          </w:p>
        </w:tc>
        <w:tc>
          <w:tcPr>
            <w:tcW w:w="6277" w:type="dxa"/>
            <w:vAlign w:val="center"/>
          </w:tcPr>
          <w:p>
            <w:pPr>
              <w:snapToGrid w:val="0"/>
              <w:spacing w:line="360" w:lineRule="auto"/>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lang w:val="zh-CN"/>
              </w:rPr>
            </w:pPr>
            <w:r>
              <w:rPr>
                <w:rFonts w:hint="eastAsia" w:ascii="宋体" w:hAnsi="宋体" w:cs="宋体"/>
                <w:b/>
                <w:kern w:val="0"/>
                <w:sz w:val="24"/>
                <w:lang w:val="zh-CN"/>
              </w:rPr>
              <w:t>本项目允许采购进口设备，关于进口设备的报价要求详见“开标一览表”。</w:t>
            </w:r>
          </w:p>
          <w:p>
            <w:pPr>
              <w:snapToGrid w:val="0"/>
              <w:spacing w:line="360" w:lineRule="auto"/>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28"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中小企业信用融资</w:t>
            </w:r>
          </w:p>
        </w:tc>
        <w:tc>
          <w:tcPr>
            <w:tcW w:w="6277" w:type="dxa"/>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661" w:type="dxa"/>
            <w:vAlign w:val="center"/>
          </w:tcPr>
          <w:p>
            <w:pPr>
              <w:snapToGrid w:val="0"/>
              <w:spacing w:line="360" w:lineRule="auto"/>
              <w:rPr>
                <w:rFonts w:ascii="宋体" w:hAnsi="宋体" w:cs="宋体"/>
                <w:b/>
                <w:sz w:val="24"/>
              </w:rPr>
            </w:pPr>
            <w:r>
              <w:rPr>
                <w:rFonts w:hint="eastAsia" w:ascii="宋体" w:hAnsi="宋体" w:cs="宋体"/>
                <w:b/>
                <w:sz w:val="24"/>
              </w:rPr>
              <w:t xml:space="preserve">备份投标文件送达地点和签收人员 </w:t>
            </w:r>
          </w:p>
        </w:tc>
        <w:tc>
          <w:tcPr>
            <w:tcW w:w="6277" w:type="dxa"/>
            <w:vAlign w:val="center"/>
          </w:tcPr>
          <w:p>
            <w:pPr>
              <w:pStyle w:val="32"/>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 xml:space="preserve"> 杭州市环城北路141号永通信息广场西10楼1002室 ；</w:t>
            </w:r>
            <w:r>
              <w:rPr>
                <w:rFonts w:hint="eastAsia" w:hAnsi="宋体" w:cs="宋体"/>
                <w:sz w:val="24"/>
              </w:rPr>
              <w:t>备份投标文件签收人员联系电话：</w:t>
            </w:r>
            <w:r>
              <w:rPr>
                <w:rFonts w:hint="eastAsia" w:hAnsi="宋体" w:cs="宋体"/>
                <w:sz w:val="24"/>
                <w:u w:val="single"/>
              </w:rPr>
              <w:t xml:space="preserve"> 董媛媛，电话：0571-88821402 </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00" w:hRule="atLeast"/>
          <w:tblHeader/>
        </w:trPr>
        <w:tc>
          <w:tcPr>
            <w:tcW w:w="629"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661" w:type="dxa"/>
            <w:vMerge w:val="restart"/>
            <w:vAlign w:val="center"/>
          </w:tcPr>
          <w:p>
            <w:pPr>
              <w:snapToGrid w:val="0"/>
              <w:spacing w:line="360" w:lineRule="auto"/>
              <w:rPr>
                <w:rFonts w:ascii="宋体" w:hAnsi="宋体" w:cs="宋体"/>
                <w:b/>
                <w:sz w:val="24"/>
              </w:rPr>
            </w:pPr>
            <w:r>
              <w:rPr>
                <w:rFonts w:hint="eastAsia" w:cs="仿宋_GB2312" w:asciiTheme="minorEastAsia" w:hAnsiTheme="minorEastAsia" w:eastAsiaTheme="minorEastAsia"/>
                <w:b/>
                <w:sz w:val="24"/>
              </w:rPr>
              <w:t>特别说明</w:t>
            </w:r>
          </w:p>
        </w:tc>
        <w:tc>
          <w:tcPr>
            <w:tcW w:w="6277" w:type="dxa"/>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59" w:hRule="atLeast"/>
          <w:tblHeader/>
        </w:trPr>
        <w:tc>
          <w:tcPr>
            <w:tcW w:w="629" w:type="dxa"/>
            <w:vMerge w:val="continue"/>
            <w:vAlign w:val="center"/>
          </w:tcPr>
          <w:p>
            <w:pPr>
              <w:snapToGrid w:val="0"/>
              <w:spacing w:line="360" w:lineRule="auto"/>
              <w:rPr>
                <w:rFonts w:ascii="宋体" w:hAnsi="宋体" w:cs="宋体"/>
                <w:sz w:val="24"/>
              </w:rPr>
            </w:pPr>
          </w:p>
        </w:tc>
        <w:tc>
          <w:tcPr>
            <w:tcW w:w="1661" w:type="dxa"/>
            <w:vMerge w:val="continue"/>
            <w:vAlign w:val="center"/>
          </w:tcPr>
          <w:p>
            <w:pPr>
              <w:snapToGrid w:val="0"/>
              <w:spacing w:line="360" w:lineRule="auto"/>
              <w:rPr>
                <w:rFonts w:ascii="宋体" w:hAnsi="宋体" w:cs="宋体"/>
                <w:b/>
                <w:sz w:val="24"/>
              </w:rPr>
            </w:pPr>
          </w:p>
        </w:tc>
        <w:tc>
          <w:tcPr>
            <w:tcW w:w="6277" w:type="dxa"/>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1" w:hRule="atLeast"/>
          <w:tblHeader/>
        </w:trPr>
        <w:tc>
          <w:tcPr>
            <w:tcW w:w="629" w:type="dxa"/>
            <w:vAlign w:val="center"/>
          </w:tcPr>
          <w:p>
            <w:pPr>
              <w:snapToGrid w:val="0"/>
              <w:spacing w:line="400" w:lineRule="exact"/>
              <w:jc w:val="center"/>
              <w:rPr>
                <w:rFonts w:ascii="宋体" w:hAnsi="宋体" w:cs="宋体"/>
                <w:sz w:val="24"/>
              </w:rPr>
            </w:pPr>
            <w:r>
              <w:rPr>
                <w:rFonts w:hint="eastAsia" w:ascii="宋体" w:hAnsi="宋体" w:cs="宋体"/>
                <w:sz w:val="24"/>
              </w:rPr>
              <w:t>14</w:t>
            </w:r>
          </w:p>
        </w:tc>
        <w:tc>
          <w:tcPr>
            <w:tcW w:w="1661" w:type="dxa"/>
            <w:vAlign w:val="center"/>
          </w:tcPr>
          <w:p>
            <w:pPr>
              <w:snapToGrid w:val="0"/>
              <w:spacing w:line="400" w:lineRule="exact"/>
              <w:rPr>
                <w:rFonts w:ascii="宋体" w:hAnsi="宋体" w:cs="宋体"/>
                <w:b/>
                <w:sz w:val="24"/>
              </w:rPr>
            </w:pPr>
            <w:r>
              <w:rPr>
                <w:rFonts w:hint="eastAsia" w:ascii="宋体" w:hAnsi="宋体" w:cs="宋体"/>
                <w:b/>
                <w:sz w:val="24"/>
              </w:rPr>
              <w:t>采购代理服务费</w:t>
            </w:r>
          </w:p>
        </w:tc>
        <w:tc>
          <w:tcPr>
            <w:tcW w:w="6277" w:type="dxa"/>
            <w:vAlign w:val="center"/>
          </w:tcPr>
          <w:p>
            <w:pPr>
              <w:numPr>
                <w:ilvl w:val="0"/>
                <w:numId w:val="2"/>
              </w:numPr>
              <w:spacing w:line="360" w:lineRule="auto"/>
              <w:rPr>
                <w:rFonts w:ascii="宋体" w:hAnsi="宋体" w:cs="宋体"/>
                <w:snapToGrid w:val="0"/>
                <w:kern w:val="28"/>
                <w:sz w:val="24"/>
                <w:lang w:val="zh-CN"/>
              </w:rPr>
            </w:pPr>
            <w:r>
              <w:rPr>
                <w:rFonts w:hint="eastAsia" w:ascii="宋体" w:hAnsi="宋体" w:cs="宋体"/>
                <w:sz w:val="24"/>
              </w:rPr>
              <w:t>本项目的采购代理费由中标人支付。分标项结算，计费标准：以中标（成交）金额为计费基准，按《计价格［2002］1980号》及《发改办价格［2003］857号》规定的货物类收费标准下浮30%计取，不足叁仟按叁仟计算。</w:t>
            </w:r>
            <w:r>
              <w:rPr>
                <w:rFonts w:hint="eastAsia" w:ascii="宋体" w:hAnsi="宋体" w:cs="宋体"/>
                <w:snapToGrid w:val="0"/>
                <w:kern w:val="28"/>
                <w:sz w:val="24"/>
                <w:lang w:val="zh-CN"/>
              </w:rPr>
              <w:t>结算方式及时间为：在领取中标通知书时由中标供应商一次性向采购代理机构付清。</w:t>
            </w:r>
          </w:p>
          <w:p>
            <w:pPr>
              <w:snapToGrid w:val="0"/>
              <w:spacing w:line="360" w:lineRule="auto"/>
              <w:rPr>
                <w:rFonts w:ascii="宋体" w:hAnsi="宋体" w:cs="宋体"/>
                <w:sz w:val="24"/>
              </w:rPr>
            </w:pPr>
            <w:r>
              <w:rPr>
                <w:rFonts w:hint="eastAsia" w:ascii="宋体" w:hAnsi="宋体" w:cs="宋体"/>
                <w:sz w:val="24"/>
              </w:rPr>
              <w:t>按差额定率累进制计算,具体标准为:</w:t>
            </w:r>
          </w:p>
          <w:p>
            <w:pPr>
              <w:snapToGrid w:val="0"/>
              <w:spacing w:line="360" w:lineRule="auto"/>
              <w:rPr>
                <w:rFonts w:ascii="宋体" w:hAnsi="宋体" w:cs="宋体"/>
                <w:sz w:val="24"/>
              </w:rPr>
            </w:pPr>
            <w:r>
              <w:rPr>
                <w:rFonts w:hint="eastAsia" w:ascii="宋体" w:hAnsi="宋体" w:cs="宋体"/>
                <w:sz w:val="24"/>
              </w:rPr>
              <w:t>中标金额为100万元及以下：中标金额×1.05%；</w:t>
            </w:r>
          </w:p>
          <w:p>
            <w:pPr>
              <w:snapToGrid w:val="0"/>
              <w:spacing w:line="360" w:lineRule="auto"/>
              <w:rPr>
                <w:lang w:val="zh-CN"/>
              </w:rPr>
            </w:pPr>
            <w:r>
              <w:rPr>
                <w:rFonts w:hint="eastAsia" w:ascii="宋体" w:hAnsi="宋体" w:cs="宋体"/>
                <w:sz w:val="24"/>
              </w:rPr>
              <w:t>中标金额为100～500万元：100万×1.05%+(中标金额-100万)×0.77%。</w:t>
            </w:r>
          </w:p>
          <w:p>
            <w:pPr>
              <w:snapToGrid w:val="0"/>
              <w:spacing w:line="360" w:lineRule="auto"/>
              <w:rPr>
                <w:rFonts w:ascii="宋体" w:hAnsi="宋体" w:cs="宋体"/>
                <w:snapToGrid w:val="0"/>
                <w:kern w:val="28"/>
                <w:sz w:val="24"/>
              </w:rPr>
            </w:pPr>
            <w:r>
              <w:rPr>
                <w:rFonts w:hint="eastAsia" w:ascii="宋体" w:hAnsi="宋体" w:cs="宋体"/>
                <w:snapToGrid w:val="0"/>
                <w:kern w:val="28"/>
                <w:sz w:val="24"/>
              </w:rPr>
              <w:t>2.代理服务费收款账号：</w:t>
            </w:r>
          </w:p>
          <w:p>
            <w:pPr>
              <w:spacing w:line="360" w:lineRule="auto"/>
              <w:rPr>
                <w:rFonts w:ascii="宋体" w:hAnsi="宋体" w:cs="宋体"/>
                <w:snapToGrid w:val="0"/>
                <w:kern w:val="28"/>
                <w:sz w:val="24"/>
                <w:lang w:val="zh-CN"/>
              </w:rPr>
            </w:pPr>
            <w:r>
              <w:rPr>
                <w:rFonts w:hint="eastAsia" w:ascii="宋体" w:hAnsi="宋体" w:cs="宋体"/>
                <w:snapToGrid w:val="0"/>
                <w:kern w:val="28"/>
                <w:sz w:val="24"/>
                <w:lang w:val="zh-CN"/>
              </w:rPr>
              <w:t>收款单位（户名）：浙江中诺招标代理有限公司</w:t>
            </w:r>
          </w:p>
          <w:p>
            <w:pPr>
              <w:spacing w:line="360" w:lineRule="auto"/>
              <w:rPr>
                <w:rFonts w:ascii="宋体" w:hAnsi="宋体" w:cs="宋体"/>
                <w:snapToGrid w:val="0"/>
                <w:kern w:val="28"/>
                <w:sz w:val="24"/>
                <w:lang w:val="zh-CN"/>
              </w:rPr>
            </w:pPr>
            <w:r>
              <w:rPr>
                <w:rFonts w:hint="eastAsia" w:ascii="宋体" w:hAnsi="宋体" w:cs="宋体"/>
                <w:snapToGrid w:val="0"/>
                <w:kern w:val="28"/>
                <w:sz w:val="24"/>
                <w:lang w:val="zh-CN"/>
              </w:rPr>
              <w:t>开户银行：中信银行杭州玉泉支行</w:t>
            </w:r>
          </w:p>
          <w:p>
            <w:pPr>
              <w:spacing w:line="360" w:lineRule="auto"/>
              <w:rPr>
                <w:rFonts w:ascii="宋体" w:hAnsi="宋体" w:cs="宋体"/>
                <w:snapToGrid w:val="0"/>
                <w:kern w:val="28"/>
                <w:sz w:val="24"/>
              </w:rPr>
            </w:pPr>
            <w:r>
              <w:rPr>
                <w:rFonts w:hint="eastAsia" w:ascii="宋体" w:hAnsi="宋体" w:cs="宋体"/>
                <w:snapToGrid w:val="0"/>
                <w:kern w:val="28"/>
                <w:sz w:val="24"/>
                <w:lang w:val="zh-CN"/>
              </w:rPr>
              <w:t>银行账号：8110801012600973488</w:t>
            </w:r>
          </w:p>
        </w:tc>
      </w:tr>
    </w:tbl>
    <w:p>
      <w:pPr>
        <w:pStyle w:val="62"/>
      </w:pPr>
    </w:p>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sectPr>
          <w:headerReference r:id="rId9" w:type="first"/>
          <w:headerReference r:id="rId8" w:type="default"/>
          <w:pgSz w:w="11906" w:h="16838"/>
          <w:pgMar w:top="680" w:right="1418" w:bottom="468" w:left="1418" w:header="851" w:footer="992" w:gutter="0"/>
          <w:pgNumType w:start="1"/>
          <w:cols w:space="720" w:num="1"/>
          <w:docGrid w:linePitch="312" w:charSpace="0"/>
        </w:sectPr>
      </w:pPr>
      <w:bookmarkStart w:id="11" w:name="_Toc164416483"/>
      <w:bookmarkStart w:id="12" w:name="第三部分"/>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9"/>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pPr>
      <w:r>
        <w:rPr>
          <w:rFonts w:hint="eastAsia"/>
        </w:rPr>
        <w:t>质疑函范本及制作说明详见附件2。</w:t>
      </w:r>
    </w:p>
    <w:p>
      <w:pPr>
        <w:pStyle w:val="889"/>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9"/>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9"/>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pPr>
      <w:r>
        <w:rPr>
          <w:rFonts w:hint="eastAsia"/>
        </w:rPr>
        <w:t>投诉书范本及制作说明详见附件3。</w:t>
      </w:r>
    </w:p>
    <w:p>
      <w:pPr>
        <w:pStyle w:val="13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3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2"/>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2"/>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2"/>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sz w:val="32"/>
        </w:rPr>
      </w:pPr>
    </w:p>
    <w:p>
      <w:pPr>
        <w:rPr>
          <w:rFonts w:ascii="宋体" w:hAnsi="宋体" w:cs="宋体"/>
          <w:b/>
          <w:sz w:val="32"/>
        </w:rPr>
      </w:pPr>
      <w:r>
        <w:rPr>
          <w:rFonts w:hint="eastAsia" w:ascii="宋体" w:hAnsi="宋体" w:cs="宋体"/>
          <w:b/>
          <w:sz w:val="32"/>
        </w:rPr>
        <w:br w:type="page"/>
      </w:r>
    </w:p>
    <w:p>
      <w:pPr>
        <w:pStyle w:val="13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7"/>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7"/>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2"/>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2"/>
        <w:spacing w:before="0"/>
        <w:ind w:firstLine="0" w:firstLineChars="0"/>
        <w:rPr>
          <w:rFonts w:ascii="宋体" w:hAnsi="宋体" w:cs="宋体"/>
          <w:b/>
          <w:szCs w:val="24"/>
        </w:rPr>
      </w:pPr>
      <w:r>
        <w:rPr>
          <w:rFonts w:hint="eastAsia" w:ascii="宋体" w:hAnsi="宋体" w:cs="宋体"/>
          <w:b/>
          <w:szCs w:val="24"/>
        </w:rPr>
        <w:t>20、信用信息查询</w:t>
      </w:r>
    </w:p>
    <w:p>
      <w:pPr>
        <w:pStyle w:val="13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32"/>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2"/>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pgSz w:w="11906" w:h="16838"/>
          <w:pgMar w:top="680" w:right="1418" w:bottom="468" w:left="1418" w:header="851" w:footer="992" w:gutter="0"/>
          <w:cols w:space="720" w:num="1"/>
          <w:titlePg/>
          <w:docGrid w:linePitch="312" w:charSpace="0"/>
        </w:sectPr>
      </w:pPr>
      <w:bookmarkStart w:id="15" w:name="_Hlt68072990"/>
      <w:bookmarkEnd w:id="15"/>
      <w:bookmarkStart w:id="16" w:name="_Hlt74729768"/>
      <w:bookmarkEnd w:id="16"/>
      <w:bookmarkStart w:id="17" w:name="_Hlt68073093"/>
      <w:bookmarkEnd w:id="17"/>
      <w:bookmarkStart w:id="18" w:name="_Hlt74714665"/>
      <w:bookmarkEnd w:id="18"/>
      <w:bookmarkStart w:id="19" w:name="_Hlt68057669"/>
      <w:bookmarkEnd w:id="19"/>
      <w:bookmarkStart w:id="20" w:name="_Hlt75236011"/>
      <w:bookmarkEnd w:id="20"/>
      <w:bookmarkStart w:id="21" w:name="_Hlt75236290"/>
      <w:bookmarkEnd w:id="21"/>
      <w:bookmarkStart w:id="22" w:name="_Hlt74707468"/>
      <w:bookmarkEnd w:id="22"/>
      <w:bookmarkStart w:id="23" w:name="_Hlt75236101"/>
      <w:bookmarkEnd w:id="23"/>
      <w:bookmarkStart w:id="24" w:name="_Hlt68403820"/>
      <w:bookmarkEnd w:id="24"/>
      <w:bookmarkStart w:id="25" w:name="_Hlt68072998"/>
      <w:bookmarkEnd w:id="25"/>
      <w:bookmarkStart w:id="26" w:name="_Hlt74730295"/>
      <w:bookmarkEnd w:id="26"/>
    </w:p>
    <w:bookmarkEnd w:id="11"/>
    <w:bookmarkEnd w:id="12"/>
    <w:p>
      <w:pPr>
        <w:rPr>
          <w:rFonts w:ascii="宋体" w:hAnsi="宋体" w:cs="宋体"/>
          <w:b/>
          <w:sz w:val="36"/>
          <w:szCs w:val="36"/>
        </w:rPr>
      </w:pPr>
      <w:bookmarkStart w:id="27" w:name="第四部分"/>
    </w:p>
    <w:p>
      <w:pPr>
        <w:numPr>
          <w:ilvl w:val="0"/>
          <w:numId w:val="3"/>
        </w:numPr>
        <w:spacing w:line="360" w:lineRule="auto"/>
        <w:jc w:val="center"/>
        <w:outlineLvl w:val="0"/>
        <w:rPr>
          <w:rFonts w:ascii="宋体" w:hAnsi="宋体" w:cs="宋体"/>
          <w:b/>
          <w:sz w:val="36"/>
          <w:szCs w:val="36"/>
        </w:rPr>
      </w:pPr>
      <w:r>
        <w:rPr>
          <w:rFonts w:hint="eastAsia" w:ascii="宋体" w:hAnsi="宋体" w:cs="宋体"/>
          <w:b/>
          <w:sz w:val="36"/>
          <w:szCs w:val="36"/>
        </w:rPr>
        <w:t xml:space="preserve">  采购需求</w:t>
      </w:r>
    </w:p>
    <w:p>
      <w:pPr>
        <w:spacing w:line="360" w:lineRule="auto"/>
        <w:ind w:firstLine="482" w:firstLineChars="200"/>
        <w:jc w:val="left"/>
        <w:rPr>
          <w:rFonts w:ascii="宋体" w:hAnsi="宋体"/>
          <w:b/>
          <w:sz w:val="24"/>
        </w:rPr>
      </w:pPr>
      <w:r>
        <w:rPr>
          <w:rFonts w:hint="eastAsia" w:ascii="宋体" w:hAnsi="宋体" w:cs="宋体"/>
          <w:b/>
          <w:bCs/>
          <w:sz w:val="24"/>
        </w:rPr>
        <w:t>项目信息</w:t>
      </w:r>
    </w:p>
    <w:tbl>
      <w:tblPr>
        <w:tblStyle w:val="64"/>
        <w:tblW w:w="144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613"/>
        <w:gridCol w:w="750"/>
        <w:gridCol w:w="810"/>
        <w:gridCol w:w="1260"/>
        <w:gridCol w:w="1305"/>
        <w:gridCol w:w="825"/>
        <w:gridCol w:w="1200"/>
        <w:gridCol w:w="1320"/>
        <w:gridCol w:w="1410"/>
        <w:gridCol w:w="960"/>
        <w:gridCol w:w="97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83" w:type="dxa"/>
            <w:vAlign w:val="center"/>
          </w:tcPr>
          <w:p>
            <w:pPr>
              <w:widowControl/>
              <w:jc w:val="center"/>
              <w:rPr>
                <w:rFonts w:ascii="宋体" w:hAnsi="宋体" w:cs="宋体"/>
                <w:b/>
                <w:bCs/>
                <w:kern w:val="0"/>
                <w:sz w:val="24"/>
              </w:rPr>
            </w:pPr>
            <w:r>
              <w:rPr>
                <w:rFonts w:hint="eastAsia" w:ascii="宋体" w:hAnsi="宋体" w:cs="宋体"/>
                <w:b/>
                <w:bCs/>
                <w:kern w:val="0"/>
                <w:sz w:val="24"/>
              </w:rPr>
              <w:t>标项</w:t>
            </w:r>
          </w:p>
        </w:tc>
        <w:tc>
          <w:tcPr>
            <w:tcW w:w="1613" w:type="dxa"/>
            <w:vAlign w:val="center"/>
          </w:tcPr>
          <w:p>
            <w:pPr>
              <w:widowControl/>
              <w:jc w:val="center"/>
              <w:rPr>
                <w:rFonts w:ascii="宋体" w:hAnsi="宋体" w:cs="宋体"/>
                <w:b/>
                <w:bCs/>
                <w:kern w:val="0"/>
                <w:sz w:val="24"/>
              </w:rPr>
            </w:pPr>
            <w:r>
              <w:rPr>
                <w:rFonts w:hint="eastAsia" w:ascii="宋体" w:hAnsi="宋体" w:cs="宋体"/>
                <w:b/>
                <w:bCs/>
                <w:kern w:val="0"/>
                <w:sz w:val="24"/>
              </w:rPr>
              <w:t>标项名称</w:t>
            </w:r>
          </w:p>
        </w:tc>
        <w:tc>
          <w:tcPr>
            <w:tcW w:w="750" w:type="dxa"/>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810" w:type="dxa"/>
            <w:vAlign w:val="center"/>
          </w:tcPr>
          <w:p>
            <w:pPr>
              <w:widowControl/>
              <w:jc w:val="center"/>
              <w:rPr>
                <w:rFonts w:ascii="宋体" w:hAnsi="宋体" w:cs="宋体"/>
                <w:b/>
                <w:bCs/>
                <w:kern w:val="0"/>
                <w:sz w:val="24"/>
              </w:rPr>
            </w:pPr>
            <w:r>
              <w:rPr>
                <w:rFonts w:hint="eastAsia" w:ascii="宋体" w:hAnsi="宋体" w:cs="宋体"/>
                <w:b/>
                <w:bCs/>
                <w:kern w:val="0"/>
                <w:sz w:val="24"/>
              </w:rPr>
              <w:t>计量</w:t>
            </w:r>
          </w:p>
          <w:p>
            <w:pPr>
              <w:widowControl/>
              <w:jc w:val="center"/>
              <w:rPr>
                <w:rFonts w:ascii="宋体" w:hAnsi="宋体" w:cs="宋体"/>
                <w:b/>
                <w:bCs/>
                <w:kern w:val="0"/>
                <w:sz w:val="24"/>
              </w:rPr>
            </w:pPr>
            <w:r>
              <w:rPr>
                <w:rFonts w:hint="eastAsia" w:ascii="宋体" w:hAnsi="宋体" w:cs="宋体"/>
                <w:b/>
                <w:bCs/>
                <w:kern w:val="0"/>
                <w:sz w:val="24"/>
              </w:rPr>
              <w:t>单位</w:t>
            </w:r>
          </w:p>
        </w:tc>
        <w:tc>
          <w:tcPr>
            <w:tcW w:w="1260" w:type="dxa"/>
            <w:vAlign w:val="center"/>
          </w:tcPr>
          <w:p>
            <w:pPr>
              <w:widowControl/>
              <w:jc w:val="center"/>
              <w:rPr>
                <w:rFonts w:ascii="宋体" w:hAnsi="宋体" w:cs="宋体"/>
                <w:b/>
                <w:bCs/>
                <w:kern w:val="0"/>
                <w:sz w:val="24"/>
              </w:rPr>
            </w:pPr>
            <w:r>
              <w:rPr>
                <w:rFonts w:hint="eastAsia" w:ascii="宋体" w:hAnsi="宋体" w:cs="宋体"/>
                <w:b/>
                <w:bCs/>
                <w:kern w:val="0"/>
                <w:sz w:val="24"/>
              </w:rPr>
              <w:t>预算金额</w:t>
            </w:r>
          </w:p>
          <w:p>
            <w:pPr>
              <w:widowControl/>
              <w:jc w:val="center"/>
              <w:rPr>
                <w:rFonts w:ascii="宋体" w:hAnsi="宋体" w:cs="宋体"/>
                <w:b/>
                <w:bCs/>
                <w:kern w:val="0"/>
                <w:sz w:val="24"/>
              </w:rPr>
            </w:pPr>
            <w:r>
              <w:rPr>
                <w:rFonts w:hint="eastAsia" w:ascii="宋体" w:hAnsi="宋体" w:cs="宋体"/>
                <w:b/>
                <w:bCs/>
                <w:kern w:val="0"/>
                <w:sz w:val="24"/>
              </w:rPr>
              <w:t>（元）</w:t>
            </w:r>
          </w:p>
        </w:tc>
        <w:tc>
          <w:tcPr>
            <w:tcW w:w="1305" w:type="dxa"/>
            <w:vAlign w:val="center"/>
          </w:tcPr>
          <w:p>
            <w:pPr>
              <w:widowControl/>
              <w:jc w:val="center"/>
              <w:rPr>
                <w:rFonts w:ascii="宋体" w:hAnsi="宋体" w:cs="宋体"/>
                <w:b/>
                <w:bCs/>
                <w:kern w:val="0"/>
                <w:sz w:val="24"/>
              </w:rPr>
            </w:pPr>
            <w:r>
              <w:rPr>
                <w:rFonts w:hint="eastAsia" w:ascii="宋体" w:hAnsi="宋体" w:cs="宋体"/>
                <w:b/>
                <w:bCs/>
                <w:kern w:val="0"/>
                <w:sz w:val="24"/>
              </w:rPr>
              <w:t>最高限价</w:t>
            </w:r>
          </w:p>
          <w:p>
            <w:pPr>
              <w:widowControl/>
              <w:jc w:val="center"/>
              <w:rPr>
                <w:rFonts w:ascii="宋体" w:hAnsi="宋体" w:cs="宋体"/>
                <w:b/>
                <w:bCs/>
                <w:kern w:val="0"/>
                <w:sz w:val="24"/>
              </w:rPr>
            </w:pPr>
            <w:r>
              <w:rPr>
                <w:rFonts w:hint="eastAsia" w:ascii="宋体" w:hAnsi="宋体" w:cs="宋体"/>
                <w:b/>
                <w:bCs/>
                <w:kern w:val="0"/>
                <w:sz w:val="24"/>
              </w:rPr>
              <w:t>（元）</w:t>
            </w:r>
          </w:p>
        </w:tc>
        <w:tc>
          <w:tcPr>
            <w:tcW w:w="825" w:type="dxa"/>
            <w:vAlign w:val="center"/>
          </w:tcPr>
          <w:p>
            <w:pPr>
              <w:widowControl/>
              <w:jc w:val="center"/>
              <w:rPr>
                <w:rFonts w:ascii="宋体" w:hAnsi="宋体" w:cs="宋体"/>
                <w:b/>
                <w:bCs/>
                <w:kern w:val="0"/>
                <w:sz w:val="24"/>
              </w:rPr>
            </w:pPr>
            <w:r>
              <w:rPr>
                <w:rFonts w:hint="eastAsia" w:ascii="宋体" w:hAnsi="宋体" w:cs="宋体"/>
                <w:b/>
                <w:bCs/>
                <w:kern w:val="0"/>
                <w:sz w:val="24"/>
              </w:rPr>
              <w:t>是否</w:t>
            </w:r>
          </w:p>
          <w:p>
            <w:pPr>
              <w:widowControl/>
              <w:jc w:val="center"/>
              <w:rPr>
                <w:rFonts w:ascii="宋体" w:hAnsi="宋体" w:cs="宋体"/>
                <w:b/>
                <w:bCs/>
                <w:kern w:val="0"/>
                <w:sz w:val="24"/>
              </w:rPr>
            </w:pPr>
            <w:r>
              <w:rPr>
                <w:rFonts w:hint="eastAsia" w:ascii="宋体" w:hAnsi="宋体" w:cs="宋体"/>
                <w:b/>
                <w:bCs/>
                <w:kern w:val="0"/>
                <w:sz w:val="24"/>
              </w:rPr>
              <w:t>进口</w:t>
            </w:r>
          </w:p>
        </w:tc>
        <w:tc>
          <w:tcPr>
            <w:tcW w:w="1200" w:type="dxa"/>
            <w:vAlign w:val="center"/>
          </w:tcPr>
          <w:p>
            <w:pPr>
              <w:widowControl/>
              <w:jc w:val="center"/>
              <w:rPr>
                <w:rFonts w:ascii="宋体" w:hAnsi="宋体" w:cs="宋体"/>
                <w:b/>
                <w:bCs/>
                <w:kern w:val="0"/>
                <w:sz w:val="24"/>
              </w:rPr>
            </w:pPr>
            <w:r>
              <w:rPr>
                <w:rFonts w:hint="eastAsia" w:ascii="宋体" w:hAnsi="宋体" w:cs="宋体"/>
                <w:b/>
                <w:bCs/>
                <w:kern w:val="0"/>
                <w:sz w:val="24"/>
              </w:rPr>
              <w:t>执行号</w:t>
            </w:r>
          </w:p>
        </w:tc>
        <w:tc>
          <w:tcPr>
            <w:tcW w:w="1320" w:type="dxa"/>
            <w:vAlign w:val="center"/>
          </w:tcPr>
          <w:p>
            <w:pPr>
              <w:widowControl/>
              <w:jc w:val="center"/>
              <w:rPr>
                <w:rFonts w:ascii="宋体" w:hAnsi="宋体" w:cs="宋体"/>
                <w:b/>
                <w:bCs/>
                <w:kern w:val="0"/>
                <w:sz w:val="24"/>
              </w:rPr>
            </w:pPr>
            <w:r>
              <w:rPr>
                <w:rFonts w:hint="eastAsia" w:ascii="宋体" w:hAnsi="宋体" w:cs="宋体"/>
                <w:b/>
                <w:bCs/>
                <w:kern w:val="0"/>
                <w:sz w:val="24"/>
              </w:rPr>
              <w:t>经费代码</w:t>
            </w:r>
          </w:p>
        </w:tc>
        <w:tc>
          <w:tcPr>
            <w:tcW w:w="1410" w:type="dxa"/>
            <w:vAlign w:val="center"/>
          </w:tcPr>
          <w:p>
            <w:pPr>
              <w:widowControl/>
              <w:jc w:val="center"/>
              <w:rPr>
                <w:rFonts w:ascii="宋体" w:hAnsi="宋体" w:cs="宋体"/>
                <w:b/>
                <w:bCs/>
                <w:kern w:val="0"/>
                <w:sz w:val="24"/>
              </w:rPr>
            </w:pPr>
            <w:r>
              <w:rPr>
                <w:rFonts w:hint="eastAsia" w:ascii="宋体" w:hAnsi="宋体" w:cs="宋体"/>
                <w:b/>
                <w:bCs/>
                <w:kern w:val="0"/>
                <w:sz w:val="24"/>
              </w:rPr>
              <w:t>经费名称</w:t>
            </w:r>
          </w:p>
        </w:tc>
        <w:tc>
          <w:tcPr>
            <w:tcW w:w="960" w:type="dxa"/>
            <w:vAlign w:val="center"/>
          </w:tcPr>
          <w:p>
            <w:pPr>
              <w:widowControl/>
              <w:jc w:val="center"/>
              <w:rPr>
                <w:rFonts w:ascii="宋体" w:hAnsi="宋体" w:cs="宋体"/>
                <w:b/>
                <w:bCs/>
                <w:kern w:val="0"/>
                <w:sz w:val="24"/>
              </w:rPr>
            </w:pPr>
            <w:r>
              <w:rPr>
                <w:rFonts w:hint="eastAsia" w:ascii="宋体" w:hAnsi="宋体" w:cs="宋体"/>
                <w:b/>
                <w:bCs/>
                <w:kern w:val="0"/>
                <w:sz w:val="24"/>
              </w:rPr>
              <w:t>需求</w:t>
            </w:r>
          </w:p>
          <w:p>
            <w:pPr>
              <w:widowControl/>
              <w:jc w:val="center"/>
              <w:rPr>
                <w:rFonts w:ascii="宋体" w:hAnsi="宋体" w:cs="宋体"/>
                <w:b/>
                <w:bCs/>
                <w:kern w:val="0"/>
                <w:sz w:val="24"/>
              </w:rPr>
            </w:pPr>
            <w:r>
              <w:rPr>
                <w:rFonts w:hint="eastAsia" w:ascii="宋体" w:hAnsi="宋体" w:cs="宋体"/>
                <w:b/>
                <w:bCs/>
                <w:kern w:val="0"/>
                <w:sz w:val="24"/>
              </w:rPr>
              <w:t>部门</w:t>
            </w:r>
          </w:p>
        </w:tc>
        <w:tc>
          <w:tcPr>
            <w:tcW w:w="975" w:type="dxa"/>
            <w:vAlign w:val="center"/>
          </w:tcPr>
          <w:p>
            <w:pPr>
              <w:widowControl/>
              <w:jc w:val="center"/>
              <w:rPr>
                <w:rFonts w:ascii="宋体" w:hAnsi="宋体" w:cs="宋体"/>
                <w:b/>
                <w:bCs/>
                <w:kern w:val="0"/>
                <w:sz w:val="24"/>
              </w:rPr>
            </w:pPr>
            <w:r>
              <w:rPr>
                <w:rFonts w:hint="eastAsia" w:ascii="宋体" w:hAnsi="宋体" w:cs="宋体"/>
                <w:b/>
                <w:bCs/>
                <w:kern w:val="0"/>
                <w:sz w:val="24"/>
              </w:rPr>
              <w:t>用户</w:t>
            </w:r>
          </w:p>
        </w:tc>
        <w:tc>
          <w:tcPr>
            <w:tcW w:w="1425" w:type="dxa"/>
            <w:vAlign w:val="center"/>
          </w:tcPr>
          <w:p>
            <w:pPr>
              <w:widowControl/>
              <w:jc w:val="center"/>
              <w:rPr>
                <w:rFonts w:ascii="宋体" w:hAnsi="宋体" w:cs="宋体"/>
                <w:b/>
                <w:bCs/>
                <w:kern w:val="0"/>
                <w:sz w:val="24"/>
              </w:rPr>
            </w:pPr>
            <w:r>
              <w:rPr>
                <w:rFonts w:hint="eastAsia" w:ascii="宋体" w:hAnsi="宋体" w:cs="宋体"/>
                <w:b/>
                <w:bCs/>
                <w:kern w:val="0"/>
                <w:sz w:val="24"/>
              </w:rPr>
              <w:t>联系</w:t>
            </w:r>
          </w:p>
          <w:p>
            <w:pPr>
              <w:widowControl/>
              <w:jc w:val="center"/>
              <w:rPr>
                <w:rFonts w:ascii="宋体" w:hAnsi="宋体" w:cs="宋体"/>
                <w:b/>
                <w:bCs/>
                <w:kern w:val="0"/>
                <w:sz w:val="24"/>
              </w:rPr>
            </w:pPr>
            <w:r>
              <w:rPr>
                <w:rFonts w:hint="eastAsia" w:ascii="宋体" w:hAnsi="宋体" w:cs="宋体"/>
                <w:b/>
                <w:bCs/>
                <w:kern w:val="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83"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1613" w:type="dxa"/>
            <w:vAlign w:val="center"/>
          </w:tcPr>
          <w:p>
            <w:pPr>
              <w:snapToGrid w:val="0"/>
              <w:spacing w:line="360" w:lineRule="auto"/>
              <w:jc w:val="center"/>
              <w:rPr>
                <w:rFonts w:ascii="宋体" w:hAnsi="宋体" w:cs="宋体"/>
                <w:sz w:val="24"/>
              </w:rPr>
            </w:pPr>
            <w:r>
              <w:rPr>
                <w:rFonts w:hint="eastAsia" w:ascii="宋体" w:hAnsi="宋体" w:cs="宋体"/>
                <w:sz w:val="24"/>
              </w:rPr>
              <w:t>细胞高内涵成像系统</w:t>
            </w:r>
          </w:p>
        </w:tc>
        <w:tc>
          <w:tcPr>
            <w:tcW w:w="750"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810" w:type="dxa"/>
            <w:vAlign w:val="center"/>
          </w:tcPr>
          <w:p>
            <w:pPr>
              <w:widowControl/>
              <w:jc w:val="center"/>
              <w:rPr>
                <w:rFonts w:ascii="宋体" w:hAnsi="宋体" w:cs="宋体"/>
                <w:kern w:val="0"/>
                <w:sz w:val="24"/>
              </w:rPr>
            </w:pPr>
            <w:r>
              <w:rPr>
                <w:rFonts w:hint="eastAsia" w:ascii="宋体" w:hAnsi="宋体" w:cs="宋体"/>
                <w:kern w:val="0"/>
                <w:sz w:val="24"/>
              </w:rPr>
              <w:t>台</w:t>
            </w:r>
          </w:p>
        </w:tc>
        <w:tc>
          <w:tcPr>
            <w:tcW w:w="1260" w:type="dxa"/>
            <w:vAlign w:val="center"/>
          </w:tcPr>
          <w:p>
            <w:pPr>
              <w:widowControl/>
              <w:jc w:val="center"/>
              <w:rPr>
                <w:rFonts w:ascii="宋体" w:hAnsi="宋体" w:cs="宋体"/>
                <w:kern w:val="0"/>
                <w:sz w:val="24"/>
              </w:rPr>
            </w:pPr>
            <w:r>
              <w:rPr>
                <w:rFonts w:hint="eastAsia" w:ascii="宋体" w:hAnsi="宋体" w:cs="宋体"/>
                <w:kern w:val="0"/>
                <w:sz w:val="24"/>
              </w:rPr>
              <w:t>4000000</w:t>
            </w:r>
          </w:p>
        </w:tc>
        <w:tc>
          <w:tcPr>
            <w:tcW w:w="1305" w:type="dxa"/>
            <w:vAlign w:val="center"/>
          </w:tcPr>
          <w:p>
            <w:pPr>
              <w:widowControl/>
              <w:jc w:val="center"/>
              <w:rPr>
                <w:rFonts w:ascii="宋体" w:hAnsi="宋体" w:cs="宋体"/>
                <w:kern w:val="0"/>
                <w:sz w:val="24"/>
              </w:rPr>
            </w:pPr>
            <w:r>
              <w:rPr>
                <w:rFonts w:hint="eastAsia" w:ascii="宋体" w:hAnsi="宋体" w:cs="宋体"/>
                <w:kern w:val="0"/>
                <w:sz w:val="24"/>
              </w:rPr>
              <w:t>4000000</w:t>
            </w:r>
          </w:p>
        </w:tc>
        <w:tc>
          <w:tcPr>
            <w:tcW w:w="825" w:type="dxa"/>
            <w:vAlign w:val="center"/>
          </w:tcPr>
          <w:p>
            <w:pPr>
              <w:widowControl/>
              <w:jc w:val="center"/>
              <w:rPr>
                <w:rFonts w:ascii="宋体" w:hAnsi="宋体" w:cs="宋体"/>
                <w:kern w:val="0"/>
                <w:sz w:val="24"/>
              </w:rPr>
            </w:pPr>
            <w:r>
              <w:rPr>
                <w:rFonts w:hint="eastAsia" w:ascii="宋体" w:hAnsi="宋体" w:cs="宋体"/>
                <w:kern w:val="0"/>
                <w:sz w:val="24"/>
              </w:rPr>
              <w:t>是</w:t>
            </w:r>
          </w:p>
        </w:tc>
        <w:tc>
          <w:tcPr>
            <w:tcW w:w="1200" w:type="dxa"/>
            <w:vAlign w:val="center"/>
          </w:tcPr>
          <w:p>
            <w:pPr>
              <w:snapToGrid w:val="0"/>
              <w:spacing w:line="360" w:lineRule="auto"/>
              <w:jc w:val="center"/>
              <w:rPr>
                <w:rFonts w:ascii="宋体" w:hAnsi="宋体" w:cs="宋体"/>
                <w:sz w:val="24"/>
              </w:rPr>
            </w:pPr>
            <w:r>
              <w:rPr>
                <w:rFonts w:hint="eastAsia" w:ascii="宋体" w:hAnsi="宋体" w:cs="宋体"/>
                <w:szCs w:val="21"/>
                <w:shd w:val="clear" w:color="auto" w:fill="FFFFFF"/>
              </w:rPr>
              <w:t>[2023] 5731号</w:t>
            </w:r>
          </w:p>
        </w:tc>
        <w:tc>
          <w:tcPr>
            <w:tcW w:w="1320" w:type="dxa"/>
            <w:vAlign w:val="center"/>
          </w:tcPr>
          <w:p>
            <w:pPr>
              <w:snapToGrid w:val="0"/>
              <w:spacing w:line="360" w:lineRule="auto"/>
              <w:jc w:val="center"/>
              <w:rPr>
                <w:rFonts w:ascii="宋体" w:hAnsi="宋体" w:cs="宋体"/>
                <w:sz w:val="24"/>
              </w:rPr>
            </w:pPr>
            <w:r>
              <w:rPr>
                <w:rFonts w:hint="eastAsia" w:ascii="宋体" w:hAnsi="宋体" w:cs="宋体"/>
                <w:sz w:val="24"/>
              </w:rPr>
              <w:t>1125C52423001</w:t>
            </w:r>
          </w:p>
        </w:tc>
        <w:tc>
          <w:tcPr>
            <w:tcW w:w="1410" w:type="dxa"/>
            <w:vAlign w:val="center"/>
          </w:tcPr>
          <w:p>
            <w:pPr>
              <w:snapToGrid w:val="0"/>
              <w:spacing w:line="360" w:lineRule="auto"/>
              <w:jc w:val="center"/>
              <w:rPr>
                <w:rFonts w:ascii="宋体" w:hAnsi="宋体" w:cs="宋体"/>
                <w:sz w:val="24"/>
              </w:rPr>
            </w:pPr>
            <w:r>
              <w:rPr>
                <w:rFonts w:hint="eastAsia" w:ascii="宋体" w:hAnsi="宋体" w:cs="宋体"/>
                <w:sz w:val="24"/>
              </w:rPr>
              <w:t>大型仪器设备平台采购经费</w:t>
            </w:r>
          </w:p>
        </w:tc>
        <w:tc>
          <w:tcPr>
            <w:tcW w:w="960" w:type="dxa"/>
            <w:vAlign w:val="center"/>
          </w:tcPr>
          <w:p>
            <w:pPr>
              <w:snapToGrid w:val="0"/>
              <w:spacing w:line="360" w:lineRule="auto"/>
              <w:jc w:val="center"/>
              <w:rPr>
                <w:rFonts w:ascii="宋体" w:hAnsi="宋体" w:cs="宋体"/>
                <w:szCs w:val="21"/>
              </w:rPr>
            </w:pPr>
            <w:r>
              <w:rPr>
                <w:rFonts w:hint="eastAsia" w:ascii="宋体" w:hAnsi="宋体" w:cs="宋体"/>
                <w:szCs w:val="21"/>
              </w:rPr>
              <w:t>基础</w:t>
            </w:r>
          </w:p>
          <w:p>
            <w:pPr>
              <w:snapToGrid w:val="0"/>
              <w:spacing w:line="360" w:lineRule="auto"/>
              <w:jc w:val="center"/>
              <w:rPr>
                <w:rFonts w:ascii="宋体" w:hAnsi="宋体" w:cs="宋体"/>
                <w:sz w:val="24"/>
              </w:rPr>
            </w:pPr>
            <w:r>
              <w:rPr>
                <w:rFonts w:hint="eastAsia" w:ascii="宋体" w:hAnsi="宋体" w:cs="宋体"/>
                <w:szCs w:val="21"/>
              </w:rPr>
              <w:t>医学院</w:t>
            </w:r>
          </w:p>
        </w:tc>
        <w:tc>
          <w:tcPr>
            <w:tcW w:w="975" w:type="dxa"/>
            <w:vAlign w:val="center"/>
          </w:tcPr>
          <w:p>
            <w:pPr>
              <w:snapToGrid w:val="0"/>
              <w:spacing w:line="360" w:lineRule="auto"/>
              <w:jc w:val="center"/>
              <w:rPr>
                <w:rFonts w:ascii="宋体" w:hAnsi="宋体" w:cs="宋体"/>
                <w:sz w:val="24"/>
              </w:rPr>
            </w:pPr>
            <w:r>
              <w:rPr>
                <w:rFonts w:hint="eastAsia" w:ascii="宋体" w:hAnsi="宋体" w:cs="宋体"/>
                <w:sz w:val="24"/>
              </w:rPr>
              <w:t>梁老师</w:t>
            </w:r>
          </w:p>
        </w:tc>
        <w:tc>
          <w:tcPr>
            <w:tcW w:w="1425" w:type="dxa"/>
            <w:vAlign w:val="center"/>
          </w:tcPr>
          <w:p>
            <w:pPr>
              <w:jc w:val="center"/>
              <w:rPr>
                <w:rFonts w:ascii="宋体" w:hAnsi="宋体" w:cs="宋体"/>
                <w:sz w:val="24"/>
              </w:rPr>
            </w:pPr>
            <w:r>
              <w:rPr>
                <w:rFonts w:hint="eastAsia" w:asciiTheme="minorEastAsia" w:hAnsiTheme="minorEastAsia" w:eastAsiaTheme="minorEastAsia"/>
                <w:sz w:val="24"/>
              </w:rPr>
              <w:t>28861641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83"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1613" w:type="dxa"/>
            <w:vAlign w:val="center"/>
          </w:tcPr>
          <w:p>
            <w:pPr>
              <w:snapToGrid w:val="0"/>
              <w:spacing w:line="360" w:lineRule="auto"/>
              <w:jc w:val="center"/>
              <w:rPr>
                <w:rFonts w:ascii="宋体" w:hAnsi="宋体" w:cs="宋体"/>
                <w:sz w:val="24"/>
              </w:rPr>
            </w:pPr>
            <w:r>
              <w:rPr>
                <w:rFonts w:hint="eastAsia" w:ascii="宋体" w:hAnsi="宋体" w:cs="宋体"/>
                <w:sz w:val="24"/>
              </w:rPr>
              <w:t>智能型超速离心机</w:t>
            </w:r>
          </w:p>
        </w:tc>
        <w:tc>
          <w:tcPr>
            <w:tcW w:w="750"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810" w:type="dxa"/>
            <w:vAlign w:val="center"/>
          </w:tcPr>
          <w:p>
            <w:pPr>
              <w:widowControl/>
              <w:jc w:val="center"/>
              <w:rPr>
                <w:rFonts w:ascii="宋体" w:hAnsi="宋体" w:cs="宋体"/>
                <w:kern w:val="0"/>
                <w:sz w:val="24"/>
              </w:rPr>
            </w:pPr>
            <w:r>
              <w:rPr>
                <w:rFonts w:hint="eastAsia" w:ascii="宋体" w:hAnsi="宋体" w:cs="宋体"/>
                <w:kern w:val="0"/>
                <w:sz w:val="24"/>
              </w:rPr>
              <w:t>台</w:t>
            </w:r>
          </w:p>
        </w:tc>
        <w:tc>
          <w:tcPr>
            <w:tcW w:w="1260" w:type="dxa"/>
            <w:vAlign w:val="center"/>
          </w:tcPr>
          <w:p>
            <w:pPr>
              <w:widowControl/>
              <w:jc w:val="center"/>
              <w:rPr>
                <w:rFonts w:ascii="宋体" w:hAnsi="宋体" w:cs="宋体"/>
                <w:kern w:val="0"/>
                <w:sz w:val="24"/>
              </w:rPr>
            </w:pPr>
            <w:r>
              <w:rPr>
                <w:rFonts w:hint="eastAsia" w:ascii="宋体" w:hAnsi="宋体" w:cs="宋体"/>
                <w:kern w:val="0"/>
                <w:sz w:val="24"/>
              </w:rPr>
              <w:t>1000000</w:t>
            </w:r>
          </w:p>
        </w:tc>
        <w:tc>
          <w:tcPr>
            <w:tcW w:w="1305" w:type="dxa"/>
            <w:vAlign w:val="center"/>
          </w:tcPr>
          <w:p>
            <w:pPr>
              <w:widowControl/>
              <w:jc w:val="center"/>
              <w:rPr>
                <w:rFonts w:ascii="宋体" w:hAnsi="宋体" w:cs="宋体"/>
                <w:kern w:val="0"/>
                <w:sz w:val="24"/>
              </w:rPr>
            </w:pPr>
            <w:r>
              <w:rPr>
                <w:rFonts w:hint="eastAsia" w:ascii="宋体" w:hAnsi="宋体" w:cs="宋体"/>
                <w:kern w:val="0"/>
                <w:sz w:val="24"/>
              </w:rPr>
              <w:t>1000000</w:t>
            </w:r>
          </w:p>
        </w:tc>
        <w:tc>
          <w:tcPr>
            <w:tcW w:w="825" w:type="dxa"/>
            <w:vAlign w:val="center"/>
          </w:tcPr>
          <w:p>
            <w:pPr>
              <w:widowControl/>
              <w:jc w:val="center"/>
              <w:rPr>
                <w:rFonts w:ascii="宋体" w:hAnsi="宋体" w:cs="宋体"/>
                <w:kern w:val="0"/>
                <w:sz w:val="24"/>
              </w:rPr>
            </w:pPr>
            <w:r>
              <w:rPr>
                <w:rFonts w:hint="eastAsia" w:ascii="宋体" w:hAnsi="宋体" w:cs="宋体"/>
                <w:kern w:val="0"/>
                <w:sz w:val="24"/>
              </w:rPr>
              <w:t>是</w:t>
            </w:r>
          </w:p>
        </w:tc>
        <w:tc>
          <w:tcPr>
            <w:tcW w:w="1200" w:type="dxa"/>
            <w:vAlign w:val="center"/>
          </w:tcPr>
          <w:p>
            <w:pPr>
              <w:snapToGrid w:val="0"/>
              <w:spacing w:line="360" w:lineRule="auto"/>
              <w:jc w:val="center"/>
              <w:rPr>
                <w:rFonts w:ascii="宋体" w:hAnsi="宋体" w:cs="宋体"/>
                <w:szCs w:val="21"/>
                <w:shd w:val="clear" w:color="auto" w:fill="FFFFFF"/>
              </w:rPr>
            </w:pPr>
            <w:r>
              <w:rPr>
                <w:rFonts w:hint="eastAsia" w:ascii="宋体" w:hAnsi="宋体" w:cs="宋体"/>
                <w:szCs w:val="21"/>
                <w:shd w:val="clear" w:color="auto" w:fill="FFFFFF"/>
              </w:rPr>
              <w:t>[2023]</w:t>
            </w:r>
          </w:p>
          <w:p>
            <w:pPr>
              <w:snapToGrid w:val="0"/>
              <w:spacing w:line="360" w:lineRule="auto"/>
              <w:jc w:val="center"/>
              <w:rPr>
                <w:rFonts w:ascii="宋体" w:hAnsi="宋体" w:cs="宋体"/>
                <w:szCs w:val="21"/>
                <w:shd w:val="clear" w:color="auto" w:fill="FFFFFF"/>
              </w:rPr>
            </w:pPr>
            <w:r>
              <w:rPr>
                <w:rFonts w:hint="eastAsia" w:ascii="宋体" w:hAnsi="宋体" w:cs="宋体"/>
                <w:szCs w:val="21"/>
                <w:shd w:val="clear" w:color="auto" w:fill="FFFFFF"/>
              </w:rPr>
              <w:t>5750号</w:t>
            </w:r>
          </w:p>
        </w:tc>
        <w:tc>
          <w:tcPr>
            <w:tcW w:w="1320" w:type="dxa"/>
            <w:vAlign w:val="center"/>
          </w:tcPr>
          <w:p>
            <w:pPr>
              <w:snapToGrid w:val="0"/>
              <w:spacing w:line="360" w:lineRule="auto"/>
              <w:jc w:val="center"/>
              <w:rPr>
                <w:rFonts w:ascii="宋体" w:hAnsi="宋体" w:cs="宋体"/>
                <w:sz w:val="24"/>
              </w:rPr>
            </w:pPr>
            <w:r>
              <w:rPr>
                <w:rFonts w:hint="eastAsia" w:ascii="宋体" w:hAnsi="宋体" w:cs="宋体"/>
                <w:sz w:val="24"/>
              </w:rPr>
              <w:t>1125C52423001</w:t>
            </w:r>
          </w:p>
        </w:tc>
        <w:tc>
          <w:tcPr>
            <w:tcW w:w="1410" w:type="dxa"/>
            <w:vAlign w:val="center"/>
          </w:tcPr>
          <w:p>
            <w:pPr>
              <w:snapToGrid w:val="0"/>
              <w:spacing w:line="360" w:lineRule="auto"/>
              <w:jc w:val="center"/>
              <w:rPr>
                <w:rFonts w:ascii="宋体" w:hAnsi="宋体" w:cs="宋体"/>
                <w:sz w:val="24"/>
              </w:rPr>
            </w:pPr>
            <w:r>
              <w:rPr>
                <w:rFonts w:hint="eastAsia" w:ascii="宋体" w:hAnsi="宋体" w:cs="宋体"/>
                <w:sz w:val="24"/>
              </w:rPr>
              <w:t>大型仪器设备平台采购经费</w:t>
            </w:r>
          </w:p>
        </w:tc>
        <w:tc>
          <w:tcPr>
            <w:tcW w:w="960" w:type="dxa"/>
            <w:vAlign w:val="center"/>
          </w:tcPr>
          <w:p>
            <w:pPr>
              <w:snapToGrid w:val="0"/>
              <w:spacing w:line="360" w:lineRule="auto"/>
              <w:jc w:val="center"/>
              <w:rPr>
                <w:rFonts w:ascii="宋体" w:hAnsi="宋体" w:cs="宋体"/>
                <w:szCs w:val="21"/>
              </w:rPr>
            </w:pPr>
            <w:r>
              <w:rPr>
                <w:rFonts w:hint="eastAsia" w:ascii="宋体" w:hAnsi="宋体" w:cs="宋体"/>
                <w:szCs w:val="21"/>
              </w:rPr>
              <w:t>基础</w:t>
            </w:r>
          </w:p>
          <w:p>
            <w:pPr>
              <w:snapToGrid w:val="0"/>
              <w:spacing w:line="360" w:lineRule="auto"/>
              <w:jc w:val="center"/>
              <w:rPr>
                <w:rFonts w:ascii="宋体" w:hAnsi="宋体" w:cs="宋体"/>
                <w:b/>
                <w:bCs/>
                <w:sz w:val="24"/>
              </w:rPr>
            </w:pPr>
            <w:r>
              <w:rPr>
                <w:rFonts w:hint="eastAsia" w:ascii="宋体" w:hAnsi="宋体" w:cs="宋体"/>
                <w:szCs w:val="21"/>
              </w:rPr>
              <w:t>医学院</w:t>
            </w:r>
          </w:p>
        </w:tc>
        <w:tc>
          <w:tcPr>
            <w:tcW w:w="975" w:type="dxa"/>
            <w:vAlign w:val="center"/>
          </w:tcPr>
          <w:p>
            <w:pPr>
              <w:snapToGrid w:val="0"/>
              <w:spacing w:line="360" w:lineRule="auto"/>
              <w:jc w:val="center"/>
              <w:rPr>
                <w:rFonts w:ascii="宋体" w:hAnsi="宋体" w:cs="宋体"/>
                <w:sz w:val="24"/>
              </w:rPr>
            </w:pPr>
            <w:r>
              <w:rPr>
                <w:rFonts w:hint="eastAsia" w:ascii="宋体" w:hAnsi="宋体" w:cs="宋体"/>
                <w:sz w:val="24"/>
              </w:rPr>
              <w:t>梁老师</w:t>
            </w:r>
          </w:p>
        </w:tc>
        <w:tc>
          <w:tcPr>
            <w:tcW w:w="1425" w:type="dxa"/>
            <w:vAlign w:val="center"/>
          </w:tcPr>
          <w:p>
            <w:pPr>
              <w:jc w:val="center"/>
              <w:rPr>
                <w:rFonts w:ascii="宋体" w:hAnsi="宋体" w:cs="宋体"/>
                <w:sz w:val="24"/>
              </w:rPr>
            </w:pPr>
            <w:r>
              <w:rPr>
                <w:rFonts w:hint="eastAsia" w:asciiTheme="minorEastAsia" w:hAnsiTheme="minorEastAsia" w:eastAsiaTheme="minorEastAsia"/>
                <w:sz w:val="24"/>
              </w:rPr>
              <w:t>28861641</w:t>
            </w:r>
          </w:p>
        </w:tc>
      </w:tr>
    </w:tbl>
    <w:p>
      <w:pPr>
        <w:pStyle w:val="24"/>
      </w:pPr>
    </w:p>
    <w:p>
      <w:pPr>
        <w:spacing w:line="360" w:lineRule="auto"/>
        <w:ind w:firstLine="424" w:firstLineChars="176"/>
        <w:jc w:val="left"/>
        <w:outlineLvl w:val="0"/>
        <w:rPr>
          <w:rFonts w:hAnsi="宋体"/>
          <w:b/>
          <w:sz w:val="24"/>
          <w:lang w:val="en-AU"/>
        </w:rPr>
      </w:pPr>
      <w:r>
        <w:rPr>
          <w:rFonts w:hint="eastAsia" w:hAnsi="宋体"/>
          <w:b/>
          <w:sz w:val="24"/>
          <w:lang w:val="en-AU"/>
        </w:rPr>
        <w:t>▲投标总价不得超过最高限价。</w:t>
      </w:r>
    </w:p>
    <w:p>
      <w:pPr>
        <w:spacing w:line="360" w:lineRule="auto"/>
        <w:rPr>
          <w:rFonts w:ascii="宋体" w:hAnsi="宋体"/>
          <w:b/>
          <w:bCs/>
          <w:sz w:val="24"/>
        </w:rPr>
        <w:sectPr>
          <w:headerReference r:id="rId10" w:type="default"/>
          <w:footerReference r:id="rId11" w:type="default"/>
          <w:pgSz w:w="16838" w:h="11906" w:orient="landscape"/>
          <w:pgMar w:top="1800" w:right="1440" w:bottom="1800" w:left="1440" w:header="851" w:footer="992" w:gutter="0"/>
          <w:cols w:space="425" w:num="1"/>
          <w:docGrid w:type="lines" w:linePitch="312" w:charSpace="0"/>
        </w:sectPr>
      </w:pPr>
    </w:p>
    <w:p/>
    <w:p>
      <w:pPr>
        <w:spacing w:line="360" w:lineRule="auto"/>
        <w:rPr>
          <w:rFonts w:ascii="宋体" w:hAnsi="宋体"/>
          <w:b/>
          <w:bCs/>
          <w:sz w:val="24"/>
        </w:rPr>
      </w:pPr>
      <w:r>
        <w:rPr>
          <w:rFonts w:hint="eastAsia" w:ascii="宋体" w:hAnsi="宋体"/>
          <w:b/>
          <w:bCs/>
          <w:sz w:val="24"/>
        </w:rPr>
        <w:t>一、项目内容（技术指标要求）：</w:t>
      </w:r>
    </w:p>
    <w:p>
      <w:pPr>
        <w:widowControl/>
        <w:spacing w:line="360" w:lineRule="auto"/>
        <w:ind w:firstLine="482" w:firstLineChars="200"/>
        <w:jc w:val="left"/>
        <w:rPr>
          <w:rFonts w:ascii="宋体" w:hAnsi="宋体" w:cs="宋体"/>
          <w:b/>
          <w:bCs/>
          <w:kern w:val="0"/>
          <w:sz w:val="24"/>
          <w:lang w:bidi="ar"/>
        </w:rPr>
      </w:pPr>
      <w:r>
        <w:rPr>
          <w:rFonts w:hint="eastAsia" w:ascii="宋体" w:hAnsi="宋体" w:cs="宋体"/>
          <w:b/>
          <w:bCs/>
          <w:kern w:val="0"/>
          <w:sz w:val="24"/>
          <w:lang w:bidi="ar"/>
        </w:rPr>
        <w:t>标项一：细胞高内涵成像系统</w:t>
      </w:r>
    </w:p>
    <w:p>
      <w:pPr>
        <w:spacing w:line="360" w:lineRule="auto"/>
        <w:rPr>
          <w:sz w:val="24"/>
        </w:rPr>
      </w:pPr>
      <w:bookmarkStart w:id="28" w:name="_Toc445998850"/>
      <w:bookmarkStart w:id="29" w:name="_Toc446000920"/>
      <w:bookmarkStart w:id="30" w:name="_Toc442016601"/>
      <w:r>
        <w:rPr>
          <w:sz w:val="24"/>
        </w:rPr>
        <w:t>1</w:t>
      </w:r>
      <w:r>
        <w:rPr>
          <w:rFonts w:hint="eastAsia"/>
          <w:sz w:val="24"/>
        </w:rPr>
        <w:t>、</w:t>
      </w:r>
      <w:r>
        <w:rPr>
          <w:sz w:val="24"/>
        </w:rPr>
        <w:t>设备用途及功能</w:t>
      </w:r>
    </w:p>
    <w:p>
      <w:pPr>
        <w:spacing w:line="360" w:lineRule="auto"/>
        <w:rPr>
          <w:sz w:val="24"/>
        </w:rPr>
      </w:pPr>
      <w:r>
        <w:rPr>
          <w:sz w:val="24"/>
        </w:rPr>
        <w:t>1.1可实现快速高通量药物筛选，能够针对不同实验需要选择拍摄模式，如细胞亚结构观测可用共聚焦高清晰成像，细胞群体、组织或小型模式生物整体观察可用宽场成像，可应用于细胞毒性和活性，细胞信号传导和通路筛选，基因表达和siRNA文库筛选，配体结合、受体活化分析，形态检测，免疫化学检测等研究</w:t>
      </w:r>
    </w:p>
    <w:p>
      <w:pPr>
        <w:spacing w:line="360" w:lineRule="auto"/>
        <w:rPr>
          <w:sz w:val="24"/>
        </w:rPr>
      </w:pPr>
      <w:r>
        <w:rPr>
          <w:sz w:val="24"/>
        </w:rPr>
        <w:t>2</w:t>
      </w:r>
      <w:r>
        <w:rPr>
          <w:rFonts w:hint="eastAsia"/>
          <w:sz w:val="24"/>
        </w:rPr>
        <w:t>、</w:t>
      </w:r>
      <w:r>
        <w:rPr>
          <w:sz w:val="24"/>
        </w:rPr>
        <w:t>主要技术参数</w:t>
      </w:r>
    </w:p>
    <w:p>
      <w:pPr>
        <w:spacing w:line="360" w:lineRule="auto"/>
        <w:rPr>
          <w:sz w:val="24"/>
        </w:rPr>
      </w:pPr>
      <w:r>
        <w:rPr>
          <w:sz w:val="24"/>
        </w:rPr>
        <w:t>2.1光路：特殊高效光路设计，能够以宽场成像速度实现共聚焦高通量成像</w:t>
      </w:r>
    </w:p>
    <w:p>
      <w:pPr>
        <w:spacing w:line="360" w:lineRule="auto"/>
        <w:rPr>
          <w:sz w:val="24"/>
        </w:rPr>
      </w:pPr>
      <w:r>
        <w:rPr>
          <w:rFonts w:hint="eastAsia" w:ascii="宋体" w:hAnsi="宋体"/>
          <w:sz w:val="24"/>
        </w:rPr>
        <w:t>★</w:t>
      </w:r>
      <w:r>
        <w:rPr>
          <w:sz w:val="24"/>
        </w:rPr>
        <w:t>2.1.1采用七个激光光源（408/445/473/518/545/635/750）做激发光源，激发效率高</w:t>
      </w:r>
    </w:p>
    <w:p>
      <w:pPr>
        <w:spacing w:line="360" w:lineRule="auto"/>
        <w:rPr>
          <w:sz w:val="24"/>
        </w:rPr>
      </w:pPr>
      <w:r>
        <w:rPr>
          <w:sz w:val="24"/>
        </w:rPr>
        <w:t>2.1.2采用硬件转盘共聚焦特殊排布针孔阵列，降低针孔密度的同时，提高激发光透过率</w:t>
      </w:r>
    </w:p>
    <w:p>
      <w:pPr>
        <w:spacing w:line="360" w:lineRule="auto"/>
        <w:rPr>
          <w:sz w:val="24"/>
        </w:rPr>
      </w:pPr>
      <w:r>
        <w:rPr>
          <w:sz w:val="24"/>
        </w:rPr>
        <w:t>2.1.3采用转盘增透技术，能够同时提高激发和发射荧光的透过率</w:t>
      </w:r>
    </w:p>
    <w:p>
      <w:pPr>
        <w:spacing w:line="360" w:lineRule="auto"/>
        <w:rPr>
          <w:sz w:val="24"/>
        </w:rPr>
      </w:pPr>
      <w:r>
        <w:rPr>
          <w:sz w:val="24"/>
        </w:rPr>
        <w:t>2.1.4采用科研级SCMos高灵敏度高量子效率检测器，能够敏锐捕捉共聚焦荧光，细节清晰明亮</w:t>
      </w:r>
    </w:p>
    <w:p>
      <w:pPr>
        <w:spacing w:line="360" w:lineRule="auto"/>
        <w:rPr>
          <w:sz w:val="24"/>
        </w:rPr>
      </w:pPr>
      <w:r>
        <w:rPr>
          <w:sz w:val="24"/>
        </w:rPr>
        <w:t>2.2可实现宽场成像、小孔转盘共聚焦成像、硬件相差明场成像，同时满足高品质发表级共聚焦图像质量和宽场成像的速度。</w:t>
      </w:r>
    </w:p>
    <w:p>
      <w:pPr>
        <w:spacing w:line="360" w:lineRule="auto"/>
        <w:rPr>
          <w:sz w:val="24"/>
        </w:rPr>
      </w:pPr>
      <w:r>
        <w:rPr>
          <w:rFonts w:hint="eastAsia" w:ascii="宋体" w:hAnsi="宋体"/>
          <w:sz w:val="24"/>
        </w:rPr>
        <w:t>★</w:t>
      </w:r>
      <w:r>
        <w:rPr>
          <w:sz w:val="24"/>
        </w:rPr>
        <w:t>2.3成像模式：①高兼容性共聚焦模式，</w:t>
      </w:r>
      <w:r>
        <w:rPr>
          <w:rFonts w:hint="eastAsia" w:ascii="宋体" w:hAnsi="宋体"/>
          <w:sz w:val="24"/>
        </w:rPr>
        <w:t>转盘共聚焦组件，采用6</w:t>
      </w:r>
      <w:r>
        <w:rPr>
          <w:rFonts w:ascii="宋体" w:hAnsi="宋体"/>
          <w:sz w:val="24"/>
        </w:rPr>
        <w:t>0um</w:t>
      </w:r>
      <w:r>
        <w:rPr>
          <w:rFonts w:hint="eastAsia" w:ascii="宋体" w:hAnsi="宋体"/>
          <w:sz w:val="24"/>
        </w:rPr>
        <w:t>孔径转盘共聚焦成像，</w:t>
      </w:r>
      <w:r>
        <w:rPr>
          <w:rFonts w:ascii="宋体" w:hAnsi="宋体"/>
          <w:sz w:val="24"/>
        </w:rPr>
        <w:t>可根据需要</w:t>
      </w:r>
      <w:r>
        <w:rPr>
          <w:rFonts w:hint="eastAsia" w:ascii="宋体" w:hAnsi="宋体"/>
          <w:sz w:val="24"/>
        </w:rPr>
        <w:t>选择升级为双转盘，可选42um针孔和50um狭缝转盘成像</w:t>
      </w:r>
      <w:r>
        <w:rPr>
          <w:sz w:val="24"/>
        </w:rPr>
        <w:t>；②宽场成像模式，速度快，通量高，可适用于各种样品，最快成像速率100fps；③硬件相差明场成像模式，采用相差物镜获得最佳无标记成像效果，提高图像精细度和信噪比，支持活细胞长达7天的长时间连续拍摄</w:t>
      </w:r>
    </w:p>
    <w:p>
      <w:pPr>
        <w:spacing w:line="360" w:lineRule="auto"/>
        <w:rPr>
          <w:sz w:val="24"/>
        </w:rPr>
      </w:pPr>
      <w:r>
        <w:rPr>
          <w:sz w:val="24"/>
        </w:rPr>
        <w:t>2.4具有混合共聚焦模式，能够同时实现宽场实时反卷积共聚焦，和反卷积共聚焦加硬件转盘共聚焦混合双共聚焦成像，能够进一步提高转盘共聚焦的分辨率和信噪比。反卷积共聚焦可连续调节，改变光学切片的厚度的同时，不损失荧光信号。</w:t>
      </w:r>
    </w:p>
    <w:p>
      <w:pPr>
        <w:spacing w:line="360" w:lineRule="auto"/>
        <w:rPr>
          <w:sz w:val="24"/>
        </w:rPr>
      </w:pPr>
      <w:r>
        <w:rPr>
          <w:sz w:val="24"/>
        </w:rPr>
        <w:t>2.5具有自动Z轴光切厚度匹配算法，能够根据光路参数自动计算和匹配最佳的Z轴光切厚度。</w:t>
      </w:r>
    </w:p>
    <w:p>
      <w:pPr>
        <w:spacing w:line="360" w:lineRule="auto"/>
        <w:rPr>
          <w:sz w:val="24"/>
        </w:rPr>
      </w:pPr>
      <w:r>
        <w:rPr>
          <w:sz w:val="24"/>
        </w:rPr>
        <w:t>2.6具有灵活的共聚焦成像功能，能够同时自动获得Z序列图像和Z轴叠加图像，无需后期手动生成Z轴叠加图像。支持多种Z轴自动叠加方式，包括景深扩展、最大亮度、最小亮度以及亮度叠加算法。</w:t>
      </w:r>
    </w:p>
    <w:p>
      <w:pPr>
        <w:spacing w:line="360" w:lineRule="auto"/>
        <w:rPr>
          <w:sz w:val="24"/>
        </w:rPr>
      </w:pPr>
      <w:r>
        <w:rPr>
          <w:rFonts w:hint="eastAsia" w:ascii="宋体" w:hAnsi="宋体"/>
          <w:sz w:val="24"/>
        </w:rPr>
        <w:t>★</w:t>
      </w:r>
      <w:r>
        <w:rPr>
          <w:sz w:val="24"/>
        </w:rPr>
        <w:t>2.7物镜：采用高级消色差物镜，1-100X 、各种数值孔径及工作距离任选，配置不少于以下镜头：2x、4x、10x、20x、40x、60x，其中20x和40x需要配置相差物镜, 40x</w:t>
      </w:r>
      <w:r>
        <w:rPr>
          <w:rFonts w:hint="eastAsia"/>
          <w:sz w:val="24"/>
        </w:rPr>
        <w:t>，</w:t>
      </w:r>
      <w:r>
        <w:rPr>
          <w:sz w:val="24"/>
        </w:rPr>
        <w:t>60x需要配置水浸镜头和空气镜头各一个。</w:t>
      </w:r>
    </w:p>
    <w:p>
      <w:pPr>
        <w:spacing w:line="360" w:lineRule="auto"/>
        <w:rPr>
          <w:sz w:val="24"/>
        </w:rPr>
      </w:pPr>
      <w:r>
        <w:rPr>
          <w:sz w:val="24"/>
        </w:rPr>
        <w:t>2.8物镜转换采用线性设计，最大限度的发挥长工作距离物镜的优势，且切换速度快，性能稳定，用户可方便的进行自行更换。</w:t>
      </w:r>
    </w:p>
    <w:p>
      <w:pPr>
        <w:spacing w:line="360" w:lineRule="auto"/>
        <w:rPr>
          <w:sz w:val="24"/>
        </w:rPr>
      </w:pPr>
      <w:r>
        <w:rPr>
          <w:sz w:val="24"/>
        </w:rPr>
        <w:t xml:space="preserve">2.9光源：长寿命固态光引擎寿命≥20,000小时，光强度可达100mw, 开关速度&lt;10 us，光强度100级连续可调。 </w:t>
      </w:r>
    </w:p>
    <w:p>
      <w:pPr>
        <w:spacing w:line="360" w:lineRule="auto"/>
        <w:rPr>
          <w:sz w:val="24"/>
        </w:rPr>
      </w:pPr>
      <w:r>
        <w:rPr>
          <w:sz w:val="24"/>
        </w:rPr>
        <w:t>2.10聚焦方式：精确图像自动对焦和高速激光自动聚焦两种聚焦方式可同时使用</w:t>
      </w:r>
    </w:p>
    <w:p>
      <w:pPr>
        <w:spacing w:line="360" w:lineRule="auto"/>
        <w:rPr>
          <w:sz w:val="24"/>
        </w:rPr>
      </w:pPr>
      <w:r>
        <w:rPr>
          <w:rFonts w:hint="eastAsia" w:ascii="宋体" w:hAnsi="宋体"/>
          <w:sz w:val="24"/>
        </w:rPr>
        <w:t>★</w:t>
      </w:r>
      <w:r>
        <w:rPr>
          <w:sz w:val="24"/>
        </w:rPr>
        <w:t>2.10.1激光自动聚焦采用690nm激光，可自动检测板底厚度及偏差，速度快，无光漂白及光毒性；</w:t>
      </w:r>
    </w:p>
    <w:p>
      <w:pPr>
        <w:spacing w:line="360" w:lineRule="auto"/>
        <w:rPr>
          <w:sz w:val="24"/>
        </w:rPr>
      </w:pPr>
      <w:r>
        <w:rPr>
          <w:sz w:val="24"/>
        </w:rPr>
        <w:t>2.10.2</w:t>
      </w:r>
      <w:r>
        <w:rPr>
          <w:rFonts w:hint="eastAsia"/>
          <w:sz w:val="24"/>
        </w:rPr>
        <w:t>、</w:t>
      </w:r>
      <w:r>
        <w:rPr>
          <w:sz w:val="24"/>
        </w:rPr>
        <w:t>图像自动聚焦方式，软件可通过优化算法（标准法和低信号法）自动计算找到最佳成像焦平面，避免因样品板厚度偏差及样品制备带来的失焦问题。</w:t>
      </w:r>
    </w:p>
    <w:p>
      <w:pPr>
        <w:spacing w:line="360" w:lineRule="auto"/>
        <w:rPr>
          <w:sz w:val="24"/>
        </w:rPr>
      </w:pPr>
      <w:r>
        <w:rPr>
          <w:rFonts w:hint="eastAsia" w:ascii="宋体" w:hAnsi="宋体"/>
          <w:sz w:val="24"/>
        </w:rPr>
        <w:t>★</w:t>
      </w:r>
      <w:r>
        <w:rPr>
          <w:sz w:val="24"/>
        </w:rPr>
        <w:t>2.11高精度XY载物台及Z轴：采用高速负反馈磁悬浮XY载物台及Z轴，噪声低，速度快，响应快速，最小步进20nm。</w:t>
      </w:r>
    </w:p>
    <w:p>
      <w:pPr>
        <w:spacing w:line="360" w:lineRule="auto"/>
        <w:rPr>
          <w:sz w:val="24"/>
        </w:rPr>
      </w:pPr>
      <w:r>
        <w:rPr>
          <w:sz w:val="24"/>
        </w:rPr>
        <w:t>2.12样品适用性：能够对各种标本，各种规格和任意底壁的符合或不符合SBS标准的6-1536 多孔板，包括Transwell孔板，圆底多孔板等进行自动成像且能对玻片、细胞芯片，组织阵列等用户自制样品通过低倍镜预览后，自定义样品规格，在通过高倍镜进行高通量自动成像和数据分析。</w:t>
      </w:r>
    </w:p>
    <w:p>
      <w:pPr>
        <w:spacing w:line="360" w:lineRule="auto"/>
        <w:rPr>
          <w:sz w:val="24"/>
        </w:rPr>
      </w:pPr>
      <w:r>
        <w:rPr>
          <w:sz w:val="24"/>
        </w:rPr>
        <w:t>2.13</w:t>
      </w:r>
      <w:r>
        <w:rPr>
          <w:rFonts w:hint="eastAsia"/>
          <w:sz w:val="24"/>
        </w:rPr>
        <w:t xml:space="preserve">  </w:t>
      </w:r>
      <w:r>
        <w:rPr>
          <w:sz w:val="24"/>
        </w:rPr>
        <w:t>5位置自动激发二向色镜转轮，采用高透过率滤色片、噪音消除及定角度设计，无像素偏移。</w:t>
      </w:r>
    </w:p>
    <w:p>
      <w:pPr>
        <w:spacing w:line="360" w:lineRule="auto"/>
        <w:rPr>
          <w:sz w:val="24"/>
        </w:rPr>
      </w:pPr>
      <w:r>
        <w:rPr>
          <w:sz w:val="24"/>
        </w:rPr>
        <w:t>2.14</w:t>
      </w:r>
      <w:r>
        <w:rPr>
          <w:rFonts w:hint="eastAsia"/>
          <w:sz w:val="24"/>
        </w:rPr>
        <w:t xml:space="preserve">  </w:t>
      </w:r>
      <w:r>
        <w:rPr>
          <w:sz w:val="24"/>
        </w:rPr>
        <w:t>8位置自动发射滤光片转轮，采用高透过率滤色片、噪音消除及定角度设计，无像素偏移。</w:t>
      </w:r>
    </w:p>
    <w:p>
      <w:pPr>
        <w:spacing w:line="360" w:lineRule="auto"/>
        <w:rPr>
          <w:sz w:val="24"/>
        </w:rPr>
      </w:pPr>
      <w:r>
        <w:rPr>
          <w:rFonts w:hint="eastAsia" w:ascii="宋体" w:hAnsi="宋体"/>
          <w:sz w:val="24"/>
        </w:rPr>
        <w:t>★</w:t>
      </w:r>
      <w:r>
        <w:rPr>
          <w:sz w:val="24"/>
        </w:rPr>
        <w:t>2.15成像系统：采用科研级SCMOS获得16bit图像，像素规格2048 x2048 pixel，像素大小6.5x6.5 um，最大满幅读出速率100fps，读出噪声&lt; 1.1e－ ，量子效率&gt;72%,动态范围33,000：1。</w:t>
      </w:r>
    </w:p>
    <w:p>
      <w:pPr>
        <w:spacing w:line="360" w:lineRule="auto"/>
        <w:rPr>
          <w:sz w:val="24"/>
        </w:rPr>
      </w:pPr>
      <w:r>
        <w:rPr>
          <w:sz w:val="24"/>
        </w:rPr>
        <w:t>2.16成像速度：宽场模式下，单视野单通道1.4 min /96孔板，单视野双通道2.5 min /96孔板；点扫描转盘共聚焦模式下，单视野单通道1.5 min /96孔板，单视野双通道2.9 min /96孔板；</w:t>
      </w:r>
    </w:p>
    <w:p>
      <w:pPr>
        <w:spacing w:line="360" w:lineRule="auto"/>
        <w:rPr>
          <w:sz w:val="24"/>
        </w:rPr>
      </w:pPr>
      <w:r>
        <w:rPr>
          <w:sz w:val="24"/>
        </w:rPr>
        <w:t>2.17大视野成像，10x物镜下成像面积为1.4 mm x1.4 mm（1.96mm2）。且在物镜倍数不变的情况下，视野范围可调。</w:t>
      </w:r>
    </w:p>
    <w:p>
      <w:pPr>
        <w:spacing w:line="360" w:lineRule="auto"/>
        <w:rPr>
          <w:sz w:val="24"/>
        </w:rPr>
      </w:pPr>
      <w:r>
        <w:rPr>
          <w:rFonts w:hint="eastAsia" w:ascii="宋体" w:hAnsi="宋体"/>
          <w:sz w:val="24"/>
        </w:rPr>
        <w:t>★</w:t>
      </w:r>
      <w:r>
        <w:rPr>
          <w:sz w:val="24"/>
        </w:rPr>
        <w:t>2.18配置透射光相差成像模块，采用专用硬件相差物镜，可对无荧光标记的细胞进行观察及分析。光源组件中具有相应聚光镜及相差环板支持相差成像。不接受通过软件算法得到的数字模拟相差成像方式。</w:t>
      </w:r>
    </w:p>
    <w:p>
      <w:pPr>
        <w:spacing w:line="360" w:lineRule="auto"/>
        <w:rPr>
          <w:sz w:val="24"/>
        </w:rPr>
      </w:pPr>
      <w:r>
        <w:rPr>
          <w:sz w:val="24"/>
        </w:rPr>
        <w:t>2.19配置细胞培养环境控制模块，活细胞培养室采用与成像系统隔离，且可同时实时成像的设计。可以防霉、防潮、防溅出，并可保护成像系统组件；可控制适合活细胞生长的温度（30–40°C ± 0.5°C)、 湿度控制（96孔板或384孔板0.5 μL/well/hour）及二氧化碳浓度（预混）等条件，活细胞实时观察可达7天以上。</w:t>
      </w:r>
    </w:p>
    <w:p>
      <w:pPr>
        <w:spacing w:line="360" w:lineRule="auto"/>
        <w:rPr>
          <w:sz w:val="24"/>
        </w:rPr>
      </w:pPr>
      <w:r>
        <w:rPr>
          <w:sz w:val="24"/>
        </w:rPr>
        <w:t>2.20具有多视野无缝拼接，及背景矫正功能。</w:t>
      </w:r>
    </w:p>
    <w:p>
      <w:pPr>
        <w:spacing w:line="360" w:lineRule="auto"/>
        <w:rPr>
          <w:sz w:val="24"/>
        </w:rPr>
      </w:pPr>
      <w:r>
        <w:rPr>
          <w:sz w:val="24"/>
        </w:rPr>
        <w:t>2.21所有硬件均可通过软件自动化控制，操作简便，易于使用。</w:t>
      </w:r>
    </w:p>
    <w:p>
      <w:pPr>
        <w:spacing w:line="360" w:lineRule="auto"/>
        <w:rPr>
          <w:sz w:val="24"/>
        </w:rPr>
      </w:pPr>
      <w:r>
        <w:rPr>
          <w:sz w:val="24"/>
        </w:rPr>
        <w:t>2.22图像分析及处理系统参数</w:t>
      </w:r>
    </w:p>
    <w:p>
      <w:pPr>
        <w:spacing w:line="360" w:lineRule="auto"/>
        <w:rPr>
          <w:sz w:val="24"/>
        </w:rPr>
      </w:pPr>
      <w:r>
        <w:rPr>
          <w:sz w:val="24"/>
        </w:rPr>
        <w:t>2.22.1具有专业数据管理系统软件，能够进行图像数据的存储和管理，方便用户管理和调用图像和测量数据，并能进行数据的备份和存档。图像分析具有模块化及用户自定义扩展功能：具有多种图像分析模块，如细胞计数、细胞分类、有丝分裂指数、死活细胞分类、细胞健康度、转位分析、增强转位分析、细胞颗粒度、Transfluor、血管生成、神经生长、细胞周期、单极检测、多波长细胞分类计数、多波长转位、高通量细胞增殖、高通量核转位、微核检测、斑马鱼分析，并可对特殊的图像分析进行自定义模块化扩展，如斑马鱼形态分析、心肌细胞跳动、钙</w:t>
      </w:r>
      <w:r>
        <w:rPr>
          <w:rFonts w:hint="eastAsia"/>
          <w:sz w:val="24"/>
        </w:rPr>
        <w:t>流检测、神经细胞内突触形成，无标记细胞形态分析等。</w:t>
      </w:r>
    </w:p>
    <w:p>
      <w:pPr>
        <w:spacing w:line="360" w:lineRule="auto"/>
        <w:rPr>
          <w:sz w:val="24"/>
        </w:rPr>
      </w:pPr>
      <w:r>
        <w:rPr>
          <w:sz w:val="24"/>
        </w:rPr>
        <w:t>2.22.2</w:t>
      </w:r>
      <w:r>
        <w:rPr>
          <w:rFonts w:hint="eastAsia"/>
          <w:sz w:val="24"/>
        </w:rPr>
        <w:t>、</w:t>
      </w:r>
      <w:r>
        <w:rPr>
          <w:sz w:val="24"/>
        </w:rPr>
        <w:t>图像分析具备超强加速功能的并行加速模块PowerCore。</w:t>
      </w:r>
    </w:p>
    <w:p>
      <w:pPr>
        <w:spacing w:line="360" w:lineRule="auto"/>
        <w:rPr>
          <w:sz w:val="24"/>
        </w:rPr>
      </w:pPr>
      <w:r>
        <w:rPr>
          <w:sz w:val="24"/>
        </w:rPr>
        <w:t>2.22.3</w:t>
      </w:r>
      <w:r>
        <w:rPr>
          <w:rFonts w:hint="eastAsia"/>
          <w:sz w:val="24"/>
        </w:rPr>
        <w:t>、</w:t>
      </w:r>
      <w:r>
        <w:rPr>
          <w:sz w:val="24"/>
        </w:rPr>
        <w:t>图像分析采用开放式结构，可兼容任何第三方所有品牌的显微成像（包括共聚焦）图片，并可自动化完成图像数据分析及处理。</w:t>
      </w:r>
    </w:p>
    <w:p>
      <w:pPr>
        <w:spacing w:line="360" w:lineRule="auto"/>
        <w:rPr>
          <w:sz w:val="24"/>
        </w:rPr>
      </w:pPr>
      <w:r>
        <w:rPr>
          <w:sz w:val="24"/>
        </w:rPr>
        <w:t>2.22.4</w:t>
      </w:r>
      <w:r>
        <w:rPr>
          <w:rFonts w:hint="eastAsia"/>
          <w:sz w:val="24"/>
        </w:rPr>
        <w:t>、</w:t>
      </w:r>
      <w:r>
        <w:rPr>
          <w:sz w:val="24"/>
        </w:rPr>
        <w:t>具有自动化批量3D 重建分析功能：能够实现样品的3D重建，和批量化三维分析功能。能够自动进行整板和多板的3D体积测量、3D空间距离以及3D位置等指标的批量计算。</w:t>
      </w:r>
    </w:p>
    <w:p>
      <w:pPr>
        <w:spacing w:line="360" w:lineRule="auto"/>
        <w:rPr>
          <w:sz w:val="24"/>
        </w:rPr>
      </w:pPr>
      <w:r>
        <w:rPr>
          <w:sz w:val="24"/>
        </w:rPr>
        <w:t>2.22.5多用户功能：可以进行多个用户的设置，每一个用户开放不同的硬件功能和使用不同的功能权限，便于实验室的管理。</w:t>
      </w:r>
    </w:p>
    <w:p>
      <w:pPr>
        <w:spacing w:line="360" w:lineRule="auto"/>
        <w:rPr>
          <w:sz w:val="24"/>
        </w:rPr>
      </w:pPr>
      <w:r>
        <w:rPr>
          <w:sz w:val="24"/>
        </w:rPr>
        <w:t>2.22.6具有多种应用软件包，能够快速进行图像的药物筛选分析，并可将分析数据直接导出至专业统计学分析软件中进行分析，并且具有扩展功能。图像分系软件带有模块化分析及用户自定义编辑器功能，功能强大、参数设置简单、界面友好，可满足用户任何图像分析需求。</w:t>
      </w:r>
    </w:p>
    <w:p>
      <w:pPr>
        <w:spacing w:line="360" w:lineRule="auto"/>
        <w:rPr>
          <w:sz w:val="24"/>
        </w:rPr>
      </w:pPr>
      <w:r>
        <w:rPr>
          <w:sz w:val="24"/>
        </w:rPr>
        <w:t>2.22.7具有自适应背景校正功能能够准确分析背景不一致的图像，敏感度和特异性高，极大的提高分析的准确性和数据的可靠性。</w:t>
      </w:r>
    </w:p>
    <w:p>
      <w:pPr>
        <w:spacing w:line="360" w:lineRule="auto"/>
        <w:rPr>
          <w:sz w:val="24"/>
        </w:rPr>
      </w:pPr>
      <w:r>
        <w:rPr>
          <w:sz w:val="24"/>
        </w:rPr>
        <w:t>2.22.8图像处理功能：能够进行图像平滑、背景扣除、自适应阈值化、二值化、荧光探针双通道均值化等图像处理，提高图像质量和分析准确度；能够获得细胞数量、位置、强度、面积、形状等各种细胞学数据。</w:t>
      </w:r>
    </w:p>
    <w:p>
      <w:pPr>
        <w:spacing w:line="360" w:lineRule="auto"/>
        <w:rPr>
          <w:sz w:val="24"/>
        </w:rPr>
      </w:pPr>
      <w:r>
        <w:rPr>
          <w:sz w:val="24"/>
        </w:rPr>
        <w:t>2.22.9具有FFT功能：能够消除标本制作等原因造成的背景噪声，明显提升图像的质量。</w:t>
      </w:r>
    </w:p>
    <w:p>
      <w:pPr>
        <w:spacing w:line="360" w:lineRule="auto"/>
        <w:rPr>
          <w:sz w:val="24"/>
        </w:rPr>
      </w:pPr>
      <w:r>
        <w:rPr>
          <w:sz w:val="24"/>
        </w:rPr>
        <w:t>3</w:t>
      </w:r>
      <w:r>
        <w:rPr>
          <w:rFonts w:hint="eastAsia"/>
          <w:sz w:val="24"/>
        </w:rPr>
        <w:t>、</w:t>
      </w:r>
      <w:r>
        <w:rPr>
          <w:sz w:val="24"/>
        </w:rPr>
        <w:t xml:space="preserve">配置要求 </w:t>
      </w:r>
    </w:p>
    <w:p>
      <w:pPr>
        <w:spacing w:line="360" w:lineRule="auto"/>
        <w:rPr>
          <w:sz w:val="24"/>
        </w:rPr>
      </w:pPr>
      <w:r>
        <w:rPr>
          <w:sz w:val="24"/>
        </w:rPr>
        <w:t>3.1系统主机1台（包含高速成像SCMos）</w:t>
      </w:r>
    </w:p>
    <w:p>
      <w:pPr>
        <w:spacing w:line="360" w:lineRule="auto"/>
        <w:rPr>
          <w:sz w:val="24"/>
        </w:rPr>
      </w:pPr>
      <w:r>
        <w:rPr>
          <w:sz w:val="24"/>
        </w:rPr>
        <w:t>3.2转盘共聚焦模块1个</w:t>
      </w:r>
    </w:p>
    <w:p>
      <w:pPr>
        <w:spacing w:line="360" w:lineRule="auto"/>
        <w:rPr>
          <w:sz w:val="24"/>
        </w:rPr>
      </w:pPr>
      <w:r>
        <w:rPr>
          <w:sz w:val="24"/>
        </w:rPr>
        <w:t>3.3七色激光光源（408/445/473/518/545/635/750）</w:t>
      </w:r>
    </w:p>
    <w:p>
      <w:pPr>
        <w:spacing w:line="360" w:lineRule="auto"/>
        <w:rPr>
          <w:sz w:val="24"/>
        </w:rPr>
      </w:pPr>
      <w:r>
        <w:rPr>
          <w:sz w:val="24"/>
        </w:rPr>
        <w:t>3.4相差明场成像模块和环境控制模块</w:t>
      </w:r>
    </w:p>
    <w:p>
      <w:pPr>
        <w:spacing w:line="360" w:lineRule="auto"/>
        <w:rPr>
          <w:sz w:val="24"/>
        </w:rPr>
      </w:pPr>
      <w:r>
        <w:rPr>
          <w:sz w:val="24"/>
        </w:rPr>
        <w:t>3.5</w:t>
      </w:r>
      <w:r>
        <w:rPr>
          <w:rFonts w:hint="eastAsia"/>
          <w:sz w:val="24"/>
        </w:rPr>
        <w:t>、</w:t>
      </w:r>
      <w:r>
        <w:rPr>
          <w:sz w:val="24"/>
        </w:rPr>
        <w:t>2x、4x、10x、20x、40x、60x镜头，其中20x和40x需要配置相差物镜, 40x</w:t>
      </w:r>
      <w:r>
        <w:rPr>
          <w:rFonts w:hint="eastAsia"/>
          <w:sz w:val="24"/>
        </w:rPr>
        <w:t>，</w:t>
      </w:r>
      <w:r>
        <w:rPr>
          <w:sz w:val="24"/>
        </w:rPr>
        <w:t>60x需要配置水浸镜头和空气镜头各一个</w:t>
      </w:r>
    </w:p>
    <w:p>
      <w:pPr>
        <w:spacing w:line="360" w:lineRule="auto"/>
        <w:rPr>
          <w:sz w:val="24"/>
        </w:rPr>
      </w:pPr>
      <w:r>
        <w:rPr>
          <w:sz w:val="24"/>
        </w:rPr>
        <w:t>3.6所有19个预装分析模块和客户自定义分析性模块</w:t>
      </w:r>
    </w:p>
    <w:p>
      <w:pPr>
        <w:widowControl/>
        <w:snapToGrid w:val="0"/>
        <w:spacing w:line="360" w:lineRule="auto"/>
        <w:jc w:val="left"/>
        <w:rPr>
          <w:rFonts w:ascii="宋体" w:hAnsi="宋体" w:cs="宋体"/>
          <w:b/>
          <w:bCs/>
          <w:sz w:val="24"/>
        </w:rPr>
        <w:sectPr>
          <w:pgSz w:w="11906" w:h="16838"/>
          <w:pgMar w:top="1440" w:right="1800" w:bottom="1440" w:left="1800" w:header="851" w:footer="992" w:gutter="0"/>
          <w:cols w:space="425" w:num="1"/>
          <w:docGrid w:type="lines" w:linePitch="312" w:charSpace="0"/>
        </w:sectPr>
      </w:pPr>
    </w:p>
    <w:p>
      <w:pPr>
        <w:widowControl/>
        <w:spacing w:line="360" w:lineRule="auto"/>
        <w:jc w:val="left"/>
        <w:rPr>
          <w:rFonts w:ascii="宋体" w:hAnsi="宋体" w:cs="宋体"/>
          <w:b/>
          <w:bCs/>
          <w:sz w:val="24"/>
        </w:rPr>
      </w:pPr>
      <w:r>
        <w:rPr>
          <w:rFonts w:hint="eastAsia" w:ascii="宋体" w:hAnsi="宋体" w:cs="宋体"/>
          <w:b/>
          <w:bCs/>
          <w:sz w:val="24"/>
        </w:rPr>
        <w:t>标项二：</w:t>
      </w:r>
      <w:r>
        <w:rPr>
          <w:rFonts w:hint="eastAsia" w:ascii="宋体" w:hAnsi="宋体" w:cs="宋体"/>
          <w:b/>
          <w:sz w:val="24"/>
        </w:rPr>
        <w:t>智能型超速离心机</w:t>
      </w:r>
    </w:p>
    <w:bookmarkEnd w:id="28"/>
    <w:bookmarkEnd w:id="29"/>
    <w:bookmarkEnd w:id="30"/>
    <w:p>
      <w:pPr>
        <w:snapToGrid w:val="0"/>
        <w:spacing w:line="360" w:lineRule="auto"/>
        <w:jc w:val="left"/>
        <w:rPr>
          <w:rFonts w:ascii="宋体" w:hAnsi="宋体" w:cs="宋体"/>
          <w:b/>
          <w:color w:val="000000"/>
          <w:sz w:val="24"/>
        </w:rPr>
      </w:pPr>
      <w:r>
        <w:rPr>
          <w:rFonts w:hint="eastAsia" w:ascii="宋体" w:hAnsi="宋体" w:cs="宋体"/>
          <w:b/>
          <w:color w:val="000000"/>
          <w:sz w:val="24"/>
        </w:rPr>
        <w:t>一、主机技术指标：</w:t>
      </w:r>
    </w:p>
    <w:p>
      <w:pPr>
        <w:numPr>
          <w:ilvl w:val="0"/>
          <w:numId w:val="4"/>
        </w:numPr>
        <w:snapToGrid w:val="0"/>
        <w:spacing w:line="360" w:lineRule="auto"/>
        <w:rPr>
          <w:rFonts w:ascii="宋体" w:hAnsi="宋体" w:cs="宋体"/>
          <w:sz w:val="24"/>
        </w:rPr>
      </w:pPr>
      <w:r>
        <w:rPr>
          <w:rFonts w:hint="eastAsia" w:ascii="宋体" w:hAnsi="宋体" w:cs="宋体"/>
          <w:sz w:val="24"/>
        </w:rPr>
        <w:t>最高转速：≥100,000 RPM；最大相对离心力：≥802,000 x g；转速控制精度:  ± 2 RPM；</w:t>
      </w:r>
    </w:p>
    <w:p>
      <w:pPr>
        <w:numPr>
          <w:ilvl w:val="0"/>
          <w:numId w:val="4"/>
        </w:numPr>
        <w:snapToGrid w:val="0"/>
        <w:spacing w:after="120" w:line="360" w:lineRule="auto"/>
        <w:rPr>
          <w:rFonts w:ascii="宋体" w:hAnsi="宋体" w:cs="宋体"/>
          <w:sz w:val="24"/>
        </w:rPr>
      </w:pPr>
      <w:r>
        <w:rPr>
          <w:rFonts w:hint="eastAsia" w:ascii="宋体" w:hAnsi="宋体" w:cs="宋体"/>
          <w:sz w:val="24"/>
        </w:rPr>
        <w:t>★≥15寸触幕式液晶控制屏， 具备中文操作界面；可以使用智能手机远程监控仪器状态，实现跨越实验室对离心机进行远程监控和操作；</w:t>
      </w:r>
    </w:p>
    <w:p>
      <w:pPr>
        <w:numPr>
          <w:ilvl w:val="0"/>
          <w:numId w:val="4"/>
        </w:numPr>
        <w:snapToGrid w:val="0"/>
        <w:spacing w:after="120" w:line="360" w:lineRule="auto"/>
        <w:rPr>
          <w:rFonts w:ascii="宋体" w:hAnsi="宋体" w:cs="宋体"/>
          <w:sz w:val="24"/>
        </w:rPr>
      </w:pPr>
      <w:r>
        <w:rPr>
          <w:rFonts w:hint="eastAsia" w:ascii="宋体" w:hAnsi="宋体" w:cs="宋体"/>
          <w:sz w:val="24"/>
        </w:rPr>
        <w:t>★具备转头动态惯性检测功能，在动态情况下仪器自动进行转头惯量检测和能量计算，与仪器设置进行对照</w:t>
      </w:r>
      <w:r>
        <w:rPr>
          <w:rFonts w:hint="eastAsia" w:ascii="宋体" w:hAnsi="宋体" w:cs="宋体"/>
          <w:bCs/>
          <w:sz w:val="24"/>
        </w:rPr>
        <w:t>，</w:t>
      </w:r>
      <w:r>
        <w:rPr>
          <w:rFonts w:hint="eastAsia" w:ascii="宋体" w:hAnsi="宋体" w:cs="宋体"/>
          <w:sz w:val="24"/>
        </w:rPr>
        <w:t>若转头的能量过大，仪器将自动减速到安全动能所允许的最高转速，保证在离心高密度溶液时仪器的安全运行；</w:t>
      </w:r>
    </w:p>
    <w:p>
      <w:pPr>
        <w:numPr>
          <w:ilvl w:val="0"/>
          <w:numId w:val="4"/>
        </w:numPr>
        <w:snapToGrid w:val="0"/>
        <w:spacing w:after="120" w:line="360" w:lineRule="auto"/>
        <w:rPr>
          <w:rFonts w:ascii="宋体" w:hAnsi="宋体" w:cs="宋体"/>
          <w:sz w:val="24"/>
        </w:rPr>
      </w:pPr>
      <w:r>
        <w:rPr>
          <w:rFonts w:hint="eastAsia" w:ascii="宋体" w:hAnsi="宋体" w:cs="宋体"/>
          <w:sz w:val="24"/>
        </w:rPr>
        <w:t>具备超速检测功能，若发现有超速情况，仪器将自动减速到最高容许转速；</w:t>
      </w:r>
    </w:p>
    <w:p>
      <w:pPr>
        <w:numPr>
          <w:ilvl w:val="0"/>
          <w:numId w:val="4"/>
        </w:numPr>
        <w:snapToGrid w:val="0"/>
        <w:spacing w:after="120" w:line="360" w:lineRule="auto"/>
        <w:rPr>
          <w:rFonts w:ascii="宋体" w:hAnsi="宋体" w:cs="宋体"/>
          <w:sz w:val="24"/>
        </w:rPr>
      </w:pPr>
      <w:r>
        <w:rPr>
          <w:rFonts w:hint="eastAsia" w:ascii="宋体" w:hAnsi="宋体" w:cs="宋体"/>
          <w:sz w:val="24"/>
        </w:rPr>
        <w:t>★仪器实时阿拉伯数字显示真实真空度数值；</w:t>
      </w:r>
    </w:p>
    <w:p>
      <w:pPr>
        <w:numPr>
          <w:ilvl w:val="0"/>
          <w:numId w:val="4"/>
        </w:numPr>
        <w:snapToGrid w:val="0"/>
        <w:spacing w:after="120" w:line="360" w:lineRule="auto"/>
        <w:rPr>
          <w:rFonts w:ascii="宋体" w:hAnsi="宋体" w:cs="宋体"/>
          <w:sz w:val="24"/>
        </w:rPr>
      </w:pPr>
      <w:r>
        <w:rPr>
          <w:rFonts w:hint="eastAsia" w:ascii="宋体" w:hAnsi="宋体" w:cs="宋体"/>
          <w:sz w:val="24"/>
        </w:rPr>
        <w:t>★样品不平衡容许度：≥±5ml或样品体积±10%，以先到者为准；</w:t>
      </w:r>
    </w:p>
    <w:p>
      <w:pPr>
        <w:numPr>
          <w:ilvl w:val="0"/>
          <w:numId w:val="4"/>
        </w:numPr>
        <w:snapToGrid w:val="0"/>
        <w:spacing w:after="120" w:line="360" w:lineRule="auto"/>
        <w:rPr>
          <w:rFonts w:ascii="宋体" w:hAnsi="宋体" w:cs="宋体"/>
          <w:sz w:val="24"/>
        </w:rPr>
      </w:pPr>
      <w:r>
        <w:rPr>
          <w:rFonts w:hint="eastAsia" w:ascii="宋体" w:hAnsi="宋体" w:cs="宋体"/>
          <w:sz w:val="24"/>
        </w:rPr>
        <w:t>离心机主机内置即时运行曲线图功能，可实时显示整个实验过程中真实的温度、转速随时间变化的曲线图，以便于真实追踪整个实验过程；</w:t>
      </w:r>
    </w:p>
    <w:p>
      <w:pPr>
        <w:numPr>
          <w:ilvl w:val="0"/>
          <w:numId w:val="4"/>
        </w:numPr>
        <w:snapToGrid w:val="0"/>
        <w:spacing w:after="120" w:line="360" w:lineRule="auto"/>
        <w:rPr>
          <w:rFonts w:ascii="宋体" w:hAnsi="宋体" w:cs="宋体"/>
          <w:sz w:val="24"/>
        </w:rPr>
      </w:pPr>
      <w:r>
        <w:rPr>
          <w:rFonts w:hint="eastAsia" w:ascii="宋体" w:hAnsi="宋体" w:cs="宋体"/>
          <w:sz w:val="24"/>
        </w:rPr>
        <w:t xml:space="preserve"> 加速/减速选择：</w:t>
      </w:r>
      <w:bookmarkStart w:id="31" w:name="OLE_LINK9"/>
      <w:bookmarkStart w:id="32" w:name="OLE_LINK8"/>
      <w:r>
        <w:rPr>
          <w:rFonts w:hint="eastAsia" w:ascii="宋体" w:hAnsi="宋体" w:cs="宋体"/>
          <w:sz w:val="24"/>
        </w:rPr>
        <w:t>≥</w:t>
      </w:r>
      <w:bookmarkEnd w:id="31"/>
      <w:bookmarkEnd w:id="32"/>
      <w:r>
        <w:rPr>
          <w:rFonts w:hint="eastAsia" w:ascii="宋体" w:hAnsi="宋体" w:cs="宋体"/>
          <w:sz w:val="24"/>
        </w:rPr>
        <w:t>10档加速/11档减速；</w:t>
      </w:r>
    </w:p>
    <w:p>
      <w:pPr>
        <w:numPr>
          <w:ilvl w:val="0"/>
          <w:numId w:val="4"/>
        </w:numPr>
        <w:snapToGrid w:val="0"/>
        <w:spacing w:after="120" w:line="360" w:lineRule="auto"/>
        <w:rPr>
          <w:rFonts w:ascii="宋体" w:hAnsi="宋体" w:cs="宋体"/>
          <w:sz w:val="24"/>
        </w:rPr>
      </w:pPr>
      <w:r>
        <w:rPr>
          <w:rFonts w:hint="eastAsia" w:ascii="宋体" w:hAnsi="宋体" w:cs="宋体"/>
          <w:sz w:val="24"/>
        </w:rPr>
        <w:t xml:space="preserve"> 离心时间设定范围：≥999小时59分，连续离心；</w:t>
      </w:r>
    </w:p>
    <w:p>
      <w:pPr>
        <w:numPr>
          <w:ilvl w:val="0"/>
          <w:numId w:val="4"/>
        </w:numPr>
        <w:snapToGrid w:val="0"/>
        <w:spacing w:after="120" w:line="360" w:lineRule="auto"/>
        <w:rPr>
          <w:rFonts w:ascii="宋体" w:hAnsi="宋体" w:cs="宋体"/>
          <w:sz w:val="24"/>
        </w:rPr>
      </w:pPr>
      <w:r>
        <w:rPr>
          <w:rFonts w:hint="eastAsia" w:ascii="宋体" w:hAnsi="宋体" w:cs="宋体"/>
          <w:sz w:val="24"/>
        </w:rPr>
        <w:t>可存储1000个程序，且每个程序可设定30个步骤，以满足实验需求；</w:t>
      </w:r>
    </w:p>
    <w:p>
      <w:pPr>
        <w:numPr>
          <w:ilvl w:val="0"/>
          <w:numId w:val="4"/>
        </w:numPr>
        <w:snapToGrid w:val="0"/>
        <w:spacing w:after="120" w:line="360" w:lineRule="auto"/>
        <w:rPr>
          <w:rFonts w:ascii="宋体" w:hAnsi="宋体" w:cs="宋体"/>
          <w:sz w:val="24"/>
        </w:rPr>
      </w:pPr>
      <w:r>
        <w:rPr>
          <w:rFonts w:hint="eastAsia" w:ascii="宋体" w:hAnsi="宋体" w:cs="宋体"/>
          <w:sz w:val="24"/>
        </w:rPr>
        <w:t>可实现离心机主机内资料查询，包括转头数据库，离心管数据库等；</w:t>
      </w:r>
    </w:p>
    <w:p>
      <w:pPr>
        <w:numPr>
          <w:ilvl w:val="0"/>
          <w:numId w:val="4"/>
        </w:numPr>
        <w:snapToGrid w:val="0"/>
        <w:spacing w:after="120" w:line="360" w:lineRule="auto"/>
        <w:rPr>
          <w:rFonts w:ascii="宋体" w:hAnsi="宋体" w:cs="宋体"/>
          <w:sz w:val="24"/>
        </w:rPr>
      </w:pPr>
      <w:r>
        <w:rPr>
          <w:rFonts w:hint="eastAsia" w:ascii="宋体" w:hAnsi="宋体" w:cs="宋体"/>
          <w:sz w:val="24"/>
        </w:rPr>
        <w:t>★离心操作软件内置于离心机主机，具备本机进行实验模拟和实验计算功能。</w:t>
      </w:r>
    </w:p>
    <w:p>
      <w:pPr>
        <w:snapToGrid w:val="0"/>
        <w:spacing w:after="120" w:line="360" w:lineRule="auto"/>
        <w:ind w:left="611"/>
        <w:rPr>
          <w:rFonts w:ascii="宋体" w:hAnsi="宋体" w:cs="宋体"/>
          <w:sz w:val="24"/>
        </w:rPr>
      </w:pPr>
      <w:r>
        <w:rPr>
          <w:rFonts w:hint="eastAsia" w:ascii="宋体" w:hAnsi="宋体" w:cs="宋体"/>
          <w:sz w:val="24"/>
        </w:rPr>
        <w:t>离心机主机可本机模拟以下实验过程，并可将模拟的离心条件直接下载运行，包括：颗粒沉降运行、速率区带运行、质粒最佳分离运行、RNA最佳/最快沉降运行、替代转头运行；</w:t>
      </w:r>
    </w:p>
    <w:p>
      <w:pPr>
        <w:snapToGrid w:val="0"/>
        <w:spacing w:after="120" w:line="360" w:lineRule="auto"/>
        <w:ind w:left="611"/>
        <w:rPr>
          <w:rFonts w:ascii="宋体" w:hAnsi="宋体" w:cs="宋体"/>
          <w:sz w:val="24"/>
        </w:rPr>
      </w:pPr>
      <w:r>
        <w:rPr>
          <w:rFonts w:hint="eastAsia" w:ascii="宋体" w:hAnsi="宋体" w:cs="宋体"/>
          <w:sz w:val="24"/>
        </w:rPr>
        <w:t>离心机主机可本机进行以下各种计算功能，包括：转头减速计算、沉降系数计算、沉降时间计算、浓度计算、折射率计算；</w:t>
      </w:r>
    </w:p>
    <w:p>
      <w:pPr>
        <w:numPr>
          <w:ilvl w:val="0"/>
          <w:numId w:val="4"/>
        </w:numPr>
        <w:snapToGrid w:val="0"/>
        <w:spacing w:after="120" w:line="360" w:lineRule="auto"/>
        <w:rPr>
          <w:rFonts w:ascii="宋体" w:hAnsi="宋体" w:cs="宋体"/>
          <w:sz w:val="24"/>
        </w:rPr>
      </w:pPr>
      <w:r>
        <w:rPr>
          <w:rFonts w:hint="eastAsia" w:ascii="宋体" w:hAnsi="宋体" w:cs="宋体"/>
          <w:sz w:val="24"/>
        </w:rPr>
        <w:t>离心机主机内置化学试剂耐受性数据库，便于离心不同样品时离心管的选择；</w:t>
      </w:r>
    </w:p>
    <w:p>
      <w:pPr>
        <w:numPr>
          <w:ilvl w:val="0"/>
          <w:numId w:val="4"/>
        </w:numPr>
        <w:snapToGrid w:val="0"/>
        <w:spacing w:after="120" w:line="360" w:lineRule="auto"/>
        <w:rPr>
          <w:rFonts w:ascii="宋体" w:hAnsi="宋体" w:cs="宋体"/>
          <w:sz w:val="24"/>
        </w:rPr>
      </w:pPr>
      <w:r>
        <w:rPr>
          <w:rFonts w:hint="eastAsia" w:ascii="宋体" w:hAnsi="宋体" w:cs="宋体"/>
          <w:sz w:val="24"/>
        </w:rPr>
        <w:t>具备密码保护功能，要求用户密码锁功能内置于主机软件，并可设置三个级别，方便仪器管理者对不同的使用者进行权限管理；</w:t>
      </w:r>
    </w:p>
    <w:p>
      <w:pPr>
        <w:numPr>
          <w:ilvl w:val="0"/>
          <w:numId w:val="4"/>
        </w:numPr>
        <w:snapToGrid w:val="0"/>
        <w:spacing w:after="120" w:line="360" w:lineRule="auto"/>
        <w:rPr>
          <w:rFonts w:ascii="宋体" w:hAnsi="宋体" w:cs="宋体"/>
          <w:sz w:val="24"/>
        </w:rPr>
      </w:pPr>
      <w:r>
        <w:rPr>
          <w:rFonts w:hint="eastAsia" w:ascii="宋体" w:hAnsi="宋体" w:cs="宋体"/>
          <w:sz w:val="24"/>
        </w:rPr>
        <w:t>具备电子签名功能，以便于在运行记录中添加电子签名及备注；</w:t>
      </w:r>
    </w:p>
    <w:p>
      <w:pPr>
        <w:numPr>
          <w:ilvl w:val="0"/>
          <w:numId w:val="4"/>
        </w:numPr>
        <w:snapToGrid w:val="0"/>
        <w:spacing w:after="120" w:line="360" w:lineRule="auto"/>
        <w:rPr>
          <w:rFonts w:ascii="宋体" w:hAnsi="宋体" w:cs="宋体"/>
          <w:sz w:val="24"/>
        </w:rPr>
      </w:pPr>
      <w:r>
        <w:rPr>
          <w:rFonts w:hint="eastAsia" w:ascii="宋体" w:hAnsi="宋体" w:cs="宋体"/>
          <w:sz w:val="24"/>
        </w:rPr>
        <w:t>可提供特殊设计的离心管，灵活实现小体积样品离心并且同时获得该转头的最大离心力；</w:t>
      </w:r>
    </w:p>
    <w:p>
      <w:pPr>
        <w:numPr>
          <w:ilvl w:val="0"/>
          <w:numId w:val="4"/>
        </w:numPr>
        <w:snapToGrid w:val="0"/>
        <w:spacing w:after="120" w:line="360" w:lineRule="auto"/>
        <w:rPr>
          <w:rFonts w:ascii="宋体" w:hAnsi="宋体" w:cs="宋体"/>
          <w:sz w:val="24"/>
        </w:rPr>
      </w:pPr>
      <w:r>
        <w:rPr>
          <w:rFonts w:hint="eastAsia" w:ascii="宋体" w:hAnsi="宋体" w:cs="宋体"/>
          <w:sz w:val="24"/>
        </w:rPr>
        <w:t xml:space="preserve"> 噪音: ≤51dBa；</w:t>
      </w:r>
    </w:p>
    <w:p>
      <w:pPr>
        <w:snapToGrid w:val="0"/>
        <w:spacing w:line="360" w:lineRule="auto"/>
        <w:jc w:val="left"/>
        <w:rPr>
          <w:rFonts w:ascii="宋体" w:hAnsi="宋体" w:cs="宋体"/>
          <w:b/>
          <w:color w:val="000000"/>
          <w:sz w:val="24"/>
        </w:rPr>
      </w:pPr>
      <w:r>
        <w:rPr>
          <w:rFonts w:hint="eastAsia" w:ascii="宋体" w:hAnsi="宋体" w:cs="宋体"/>
          <w:b/>
          <w:color w:val="000000"/>
          <w:sz w:val="24"/>
        </w:rPr>
        <w:t>二、配置要求：</w:t>
      </w:r>
    </w:p>
    <w:p>
      <w:pPr>
        <w:snapToGrid w:val="0"/>
        <w:spacing w:line="360" w:lineRule="auto"/>
        <w:jc w:val="left"/>
        <w:rPr>
          <w:rFonts w:ascii="宋体" w:hAnsi="宋体" w:cs="宋体"/>
          <w:sz w:val="24"/>
        </w:rPr>
      </w:pPr>
      <w:r>
        <w:rPr>
          <w:rFonts w:hint="eastAsia" w:ascii="宋体" w:hAnsi="宋体" w:cs="宋体"/>
          <w:sz w:val="24"/>
        </w:rPr>
        <w:t>1、主机内置离心专家软件超速离心机一台</w:t>
      </w:r>
    </w:p>
    <w:p>
      <w:pPr>
        <w:snapToGrid w:val="0"/>
        <w:spacing w:line="360" w:lineRule="auto"/>
        <w:rPr>
          <w:rFonts w:ascii="宋体" w:hAnsi="宋体" w:cs="宋体"/>
          <w:sz w:val="24"/>
        </w:rPr>
      </w:pPr>
      <w:r>
        <w:rPr>
          <w:rFonts w:hint="eastAsia" w:ascii="宋体" w:hAnsi="宋体" w:cs="宋体"/>
          <w:sz w:val="24"/>
        </w:rPr>
        <w:t>2、配备≥70,000 rpm，≥504,000 g，≥8×39ml 钛合金定角转头1个（转头k因子≤44），同时配备39ml离心管、15ml离心管及可以反复使用的26.3ml离心瓶。</w:t>
      </w:r>
    </w:p>
    <w:p>
      <w:pPr>
        <w:snapToGrid w:val="0"/>
        <w:spacing w:line="360" w:lineRule="auto"/>
        <w:textAlignment w:val="baseline"/>
        <w:rPr>
          <w:rFonts w:ascii="宋体" w:hAnsi="宋体" w:cs="宋体"/>
          <w:sz w:val="24"/>
        </w:rPr>
      </w:pPr>
      <w:r>
        <w:rPr>
          <w:rFonts w:hint="eastAsia" w:ascii="宋体" w:hAnsi="宋体" w:cs="宋体"/>
          <w:sz w:val="24"/>
        </w:rPr>
        <w:t>3、配备≥41,000 rpm，≥288,000g，≥6×13.2ml的挂钩式钛合金水平转头1个（转头k因子≤124），同时配备13.2ml离心管。</w:t>
      </w:r>
    </w:p>
    <w:p>
      <w:pPr>
        <w:snapToGrid w:val="0"/>
        <w:spacing w:line="360" w:lineRule="auto"/>
        <w:rPr>
          <w:rFonts w:ascii="宋体" w:hAnsi="宋体" w:cs="宋体"/>
          <w:sz w:val="24"/>
        </w:rPr>
      </w:pPr>
      <w:r>
        <w:rPr>
          <w:rFonts w:hint="eastAsia" w:ascii="宋体" w:hAnsi="宋体" w:cs="宋体"/>
          <w:sz w:val="24"/>
        </w:rPr>
        <w:t>4、配备≥32,000 rpm，≥175,000g，≥6×38.5ml插入式钛合金水平转头1个（转头k因子≤204）, 同时配备38.5ml离心管。</w:t>
      </w:r>
    </w:p>
    <w:p>
      <w:pPr>
        <w:keepNext/>
        <w:keepLines/>
        <w:autoSpaceDE w:val="0"/>
        <w:autoSpaceDN w:val="0"/>
        <w:snapToGrid w:val="0"/>
        <w:spacing w:line="360" w:lineRule="auto"/>
        <w:jc w:val="left"/>
        <w:textAlignment w:val="baseline"/>
        <w:outlineLvl w:val="0"/>
        <w:rPr>
          <w:rFonts w:ascii="宋体" w:hAnsi="宋体" w:cs="Arial"/>
          <w:b/>
          <w:snapToGrid w:val="0"/>
          <w:color w:val="000000"/>
          <w:kern w:val="44"/>
          <w:sz w:val="30"/>
          <w:szCs w:val="21"/>
        </w:rPr>
      </w:pPr>
    </w:p>
    <w:p>
      <w:pPr>
        <w:keepNext/>
        <w:keepLines/>
        <w:autoSpaceDE w:val="0"/>
        <w:autoSpaceDN w:val="0"/>
        <w:snapToGrid w:val="0"/>
        <w:spacing w:line="360" w:lineRule="auto"/>
        <w:jc w:val="left"/>
        <w:textAlignment w:val="baseline"/>
        <w:outlineLvl w:val="0"/>
        <w:rPr>
          <w:rFonts w:ascii="宋体" w:hAnsi="宋体" w:cs="Arial"/>
          <w:b/>
          <w:snapToGrid w:val="0"/>
          <w:color w:val="000000"/>
          <w:kern w:val="44"/>
          <w:sz w:val="30"/>
          <w:szCs w:val="21"/>
        </w:rPr>
      </w:pPr>
      <w:r>
        <w:rPr>
          <w:rFonts w:hint="eastAsia" w:ascii="宋体" w:hAnsi="宋体" w:cs="Arial"/>
          <w:b/>
          <w:snapToGrid w:val="0"/>
          <w:color w:val="000000"/>
          <w:kern w:val="44"/>
          <w:sz w:val="30"/>
          <w:szCs w:val="21"/>
        </w:rPr>
        <w:t>二、商务要求</w:t>
      </w:r>
    </w:p>
    <w:p>
      <w:pPr>
        <w:autoSpaceDE w:val="0"/>
        <w:autoSpaceDN w:val="0"/>
        <w:snapToGrid w:val="0"/>
        <w:spacing w:line="288" w:lineRule="auto"/>
        <w:jc w:val="left"/>
        <w:textAlignment w:val="baseline"/>
        <w:outlineLvl w:val="1"/>
        <w:rPr>
          <w:rFonts w:ascii="宋体" w:hAnsi="宋体"/>
          <w:b/>
          <w:bCs/>
          <w:snapToGrid w:val="0"/>
          <w:color w:val="000000"/>
          <w:kern w:val="0"/>
          <w:sz w:val="24"/>
        </w:rPr>
      </w:pPr>
      <w:r>
        <w:rPr>
          <w:rFonts w:ascii="宋体" w:hAnsi="宋体"/>
          <w:b/>
          <w:bCs/>
          <w:snapToGrid w:val="0"/>
          <w:color w:val="000000"/>
          <w:kern w:val="0"/>
          <w:sz w:val="24"/>
        </w:rPr>
        <w:t>1.采购资金的支付方式、时间、条件：</w:t>
      </w:r>
    </w:p>
    <w:tbl>
      <w:tblPr>
        <w:tblStyle w:val="64"/>
        <w:tblW w:w="93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3"/>
        <w:gridCol w:w="73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6"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aseline"/>
              <w:rPr>
                <w:rFonts w:ascii="宋体" w:hAnsi="宋体" w:cs="宋体"/>
                <w:b/>
                <w:snapToGrid w:val="0"/>
                <w:color w:val="000000"/>
                <w:spacing w:val="-6"/>
                <w:kern w:val="0"/>
                <w:sz w:val="24"/>
              </w:rPr>
            </w:pPr>
            <w:r>
              <w:rPr>
                <w:rFonts w:hint="eastAsia" w:ascii="宋体" w:hAnsi="宋体" w:cs="宋体"/>
                <w:b/>
                <w:snapToGrid w:val="0"/>
                <w:color w:val="000000"/>
                <w:spacing w:val="-6"/>
                <w:kern w:val="0"/>
                <w:sz w:val="24"/>
              </w:rPr>
              <w:t>付款方式</w:t>
            </w:r>
          </w:p>
        </w:tc>
        <w:tc>
          <w:tcPr>
            <w:tcW w:w="737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aseline"/>
              <w:rPr>
                <w:rFonts w:ascii="宋体" w:hAnsi="宋体" w:cs="宋体"/>
                <w:snapToGrid w:val="0"/>
                <w:color w:val="000000"/>
                <w:spacing w:val="-6"/>
                <w:kern w:val="0"/>
                <w:sz w:val="24"/>
              </w:rPr>
            </w:pPr>
            <w:r>
              <w:rPr>
                <w:rFonts w:hint="eastAsia" w:ascii="宋体" w:hAnsi="宋体" w:cs="宋体"/>
                <w:snapToGrid w:val="0"/>
                <w:color w:val="000000"/>
                <w:kern w:val="0"/>
                <w:sz w:val="24"/>
              </w:rPr>
              <w:t>签订合同后，采购人收到中标供应商支付的履约保证金及开具的正规发票后，向中标供应商支付40%的货款，货物自中标供应商送达采购人指定地点，完成安装调试完毕并经采购人验收合格和正常运行后，采购人收到中标供应商开具的正规发票后向中标供应商支付剩余60%的货款。</w:t>
            </w:r>
          </w:p>
        </w:tc>
      </w:tr>
    </w:tbl>
    <w:p>
      <w:pPr>
        <w:autoSpaceDE w:val="0"/>
        <w:autoSpaceDN w:val="0"/>
        <w:snapToGrid w:val="0"/>
        <w:spacing w:line="288" w:lineRule="auto"/>
        <w:ind w:firstLine="480" w:firstLineChars="200"/>
        <w:jc w:val="left"/>
        <w:textAlignment w:val="baseline"/>
        <w:rPr>
          <w:rFonts w:ascii="宋体" w:hAnsi="宋体" w:cs="Arial"/>
          <w:snapToGrid w:val="0"/>
          <w:color w:val="000000"/>
          <w:kern w:val="0"/>
          <w:sz w:val="24"/>
          <w:szCs w:val="21"/>
        </w:rPr>
      </w:pPr>
    </w:p>
    <w:p>
      <w:pPr>
        <w:autoSpaceDE w:val="0"/>
        <w:autoSpaceDN w:val="0"/>
        <w:snapToGrid w:val="0"/>
        <w:spacing w:line="288" w:lineRule="auto"/>
        <w:jc w:val="left"/>
        <w:textAlignment w:val="baseline"/>
        <w:outlineLvl w:val="1"/>
        <w:rPr>
          <w:rFonts w:ascii="宋体" w:hAnsi="宋体"/>
          <w:b/>
          <w:bCs/>
          <w:snapToGrid w:val="0"/>
          <w:color w:val="000000"/>
          <w:kern w:val="0"/>
          <w:sz w:val="24"/>
        </w:rPr>
      </w:pPr>
      <w:r>
        <w:rPr>
          <w:rFonts w:ascii="宋体" w:hAnsi="宋体"/>
          <w:b/>
          <w:bCs/>
          <w:snapToGrid w:val="0"/>
          <w:color w:val="000000"/>
          <w:kern w:val="0"/>
          <w:sz w:val="24"/>
        </w:rPr>
        <w:t>2.服务要求（技术要求里另有注明的以技术要求为准）：</w:t>
      </w:r>
    </w:p>
    <w:tbl>
      <w:tblPr>
        <w:tblStyle w:val="64"/>
        <w:tblW w:w="9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0"/>
        <w:gridCol w:w="76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aseline"/>
              <w:rPr>
                <w:rFonts w:ascii="宋体" w:hAnsi="宋体" w:cs="宋体"/>
                <w:b/>
                <w:bCs/>
                <w:snapToGrid w:val="0"/>
                <w:color w:val="000000"/>
                <w:spacing w:val="-6"/>
                <w:kern w:val="0"/>
                <w:sz w:val="24"/>
              </w:rPr>
            </w:pPr>
            <w:r>
              <w:rPr>
                <w:rFonts w:hint="eastAsia" w:ascii="宋体" w:hAnsi="宋体" w:cs="宋体"/>
                <w:b/>
                <w:bCs/>
                <w:snapToGrid w:val="0"/>
                <w:color w:val="000000"/>
                <w:spacing w:val="-6"/>
                <w:kern w:val="0"/>
                <w:sz w:val="24"/>
              </w:rPr>
              <w:t>质保期</w:t>
            </w:r>
          </w:p>
        </w:tc>
        <w:tc>
          <w:tcPr>
            <w:tcW w:w="760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aseline"/>
              <w:rPr>
                <w:rFonts w:ascii="宋体" w:hAnsi="宋体" w:cs="宋体"/>
                <w:snapToGrid w:val="0"/>
                <w:color w:val="000000"/>
                <w:spacing w:val="-6"/>
                <w:kern w:val="0"/>
                <w:sz w:val="24"/>
              </w:rPr>
            </w:pPr>
            <w:r>
              <w:rPr>
                <w:rFonts w:hint="eastAsia" w:ascii="宋体" w:hAnsi="宋体" w:cs="宋体"/>
                <w:color w:val="000000"/>
                <w:sz w:val="24"/>
              </w:rPr>
              <w:t>标项一：</w:t>
            </w:r>
            <w:r>
              <w:rPr>
                <w:rFonts w:ascii="宋体" w:hAnsi="宋体" w:cs="宋体"/>
                <w:color w:val="000000"/>
                <w:sz w:val="24"/>
              </w:rPr>
              <w:t>自项目验收合格之日起，</w:t>
            </w:r>
            <w:r>
              <w:rPr>
                <w:rFonts w:ascii="宋体" w:hAnsi="宋体" w:cs="宋体"/>
                <w:color w:val="000000"/>
                <w:sz w:val="24"/>
                <w:u w:val="single"/>
              </w:rPr>
              <w:t>36</w:t>
            </w:r>
            <w:r>
              <w:rPr>
                <w:rFonts w:ascii="宋体" w:hAnsi="宋体" w:cs="宋体"/>
                <w:color w:val="000000"/>
                <w:sz w:val="24"/>
              </w:rPr>
              <w:t>个月</w:t>
            </w:r>
            <w:r>
              <w:rPr>
                <w:rFonts w:hint="eastAsia" w:ascii="宋体" w:hAnsi="宋体" w:cs="宋体"/>
                <w:color w:val="000000"/>
                <w:sz w:val="24"/>
              </w:rPr>
              <w:t>。标项二：</w:t>
            </w:r>
            <w:r>
              <w:rPr>
                <w:rFonts w:ascii="宋体" w:hAnsi="宋体" w:cs="宋体"/>
                <w:color w:val="000000"/>
                <w:sz w:val="24"/>
              </w:rPr>
              <w:t>自项目验收合格之日起，</w:t>
            </w:r>
            <w:r>
              <w:rPr>
                <w:rFonts w:ascii="宋体" w:hAnsi="宋体" w:cs="宋体"/>
                <w:color w:val="000000"/>
                <w:sz w:val="24"/>
                <w:u w:val="single"/>
              </w:rPr>
              <w:t>24</w:t>
            </w:r>
            <w:r>
              <w:rPr>
                <w:rFonts w:ascii="宋体" w:hAnsi="宋体" w:cs="宋体"/>
                <w:color w:val="000000"/>
                <w:sz w:val="24"/>
              </w:rPr>
              <w:t>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aseline"/>
              <w:rPr>
                <w:rFonts w:ascii="宋体" w:hAnsi="宋体" w:cs="宋体"/>
                <w:b/>
                <w:bCs/>
                <w:snapToGrid w:val="0"/>
                <w:color w:val="000000"/>
                <w:spacing w:val="-6"/>
                <w:kern w:val="0"/>
                <w:sz w:val="24"/>
              </w:rPr>
            </w:pPr>
            <w:r>
              <w:rPr>
                <w:rFonts w:hint="eastAsia" w:ascii="宋体" w:hAnsi="宋体" w:cs="宋体"/>
                <w:b/>
                <w:bCs/>
                <w:snapToGrid w:val="0"/>
                <w:color w:val="000000"/>
                <w:kern w:val="0"/>
                <w:sz w:val="24"/>
              </w:rPr>
              <w:t>服务标准</w:t>
            </w:r>
          </w:p>
        </w:tc>
        <w:tc>
          <w:tcPr>
            <w:tcW w:w="760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质保期内因不能排除的故障而影响工作的情况每发生一次，其质保期相应延长60天，质保期内因货物本身缺陷造成各种故障应由中标供应商免费予以更换，否则将扣除履约保证金作为对采购人的补偿。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aseline"/>
              <w:rPr>
                <w:rFonts w:ascii="宋体" w:hAnsi="宋体" w:cs="宋体"/>
                <w:b/>
                <w:bCs/>
                <w:snapToGrid w:val="0"/>
                <w:color w:val="000000"/>
                <w:kern w:val="0"/>
                <w:sz w:val="24"/>
              </w:rPr>
            </w:pPr>
            <w:r>
              <w:rPr>
                <w:rFonts w:hint="eastAsia" w:ascii="宋体" w:hAnsi="宋体" w:cs="宋体"/>
                <w:b/>
                <w:bCs/>
                <w:snapToGrid w:val="0"/>
                <w:color w:val="000000"/>
                <w:kern w:val="0"/>
                <w:sz w:val="24"/>
              </w:rPr>
              <w:t>服务效率</w:t>
            </w:r>
          </w:p>
        </w:tc>
        <w:tc>
          <w:tcPr>
            <w:tcW w:w="760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合同商品出现故障后，中标供应商接到采购人通知后，应在不超过4小时内做出响应，不超过48小时解决故障或者提供备用机解决方案。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aseline"/>
              <w:rPr>
                <w:rFonts w:ascii="宋体" w:hAnsi="宋体" w:cs="宋体"/>
                <w:b/>
                <w:bCs/>
                <w:snapToGrid w:val="0"/>
                <w:color w:val="000000"/>
                <w:spacing w:val="-6"/>
                <w:kern w:val="0"/>
                <w:sz w:val="24"/>
              </w:rPr>
            </w:pPr>
            <w:r>
              <w:rPr>
                <w:rFonts w:hint="eastAsia" w:ascii="宋体" w:hAnsi="宋体" w:cs="宋体"/>
                <w:b/>
                <w:bCs/>
                <w:snapToGrid w:val="0"/>
                <w:color w:val="000000"/>
                <w:spacing w:val="-6"/>
                <w:kern w:val="0"/>
                <w:sz w:val="24"/>
              </w:rPr>
              <w:t>交付时间和地点</w:t>
            </w:r>
          </w:p>
        </w:tc>
        <w:tc>
          <w:tcPr>
            <w:tcW w:w="760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aseline"/>
              <w:rPr>
                <w:rFonts w:ascii="宋体" w:hAnsi="宋体" w:cs="宋体"/>
                <w:snapToGrid w:val="0"/>
                <w:color w:val="000000"/>
                <w:spacing w:val="-6"/>
                <w:kern w:val="0"/>
                <w:sz w:val="24"/>
              </w:rPr>
            </w:pPr>
            <w:r>
              <w:rPr>
                <w:rFonts w:hint="eastAsia" w:ascii="宋体" w:hAnsi="宋体" w:cs="宋体"/>
                <w:snapToGrid w:val="0"/>
                <w:color w:val="000000"/>
                <w:spacing w:val="-6"/>
                <w:kern w:val="0"/>
                <w:sz w:val="24"/>
              </w:rPr>
              <w:t>交付</w:t>
            </w:r>
            <w:r>
              <w:rPr>
                <w:rFonts w:hint="eastAsia" w:ascii="宋体" w:hAnsi="宋体" w:cs="宋体"/>
                <w:snapToGrid w:val="0"/>
                <w:color w:val="000000"/>
                <w:spacing w:val="0"/>
                <w:kern w:val="0"/>
                <w:sz w:val="24"/>
              </w:rPr>
              <w:t>时间：</w:t>
            </w:r>
            <w:r>
              <w:rPr>
                <w:rFonts w:hint="eastAsia" w:ascii="宋体" w:hAnsi="宋体" w:cs="宋体"/>
                <w:b w:val="0"/>
                <w:snapToGrid w:val="0"/>
                <w:color w:val="000000"/>
                <w:kern w:val="0"/>
                <w:sz w:val="24"/>
              </w:rPr>
              <w:t>免表完成后90天内完成设备供货</w:t>
            </w:r>
            <w:r>
              <w:rPr>
                <w:rFonts w:hint="eastAsia" w:ascii="宋体" w:hAnsi="宋体" w:cs="宋体"/>
                <w:b w:val="0"/>
                <w:snapToGrid w:val="0"/>
                <w:color w:val="000000"/>
                <w:kern w:val="0"/>
                <w:sz w:val="24"/>
                <w:lang w:eastAsia="zh-CN"/>
              </w:rPr>
              <w:t>。</w:t>
            </w:r>
          </w:p>
          <w:p>
            <w:pPr>
              <w:autoSpaceDE w:val="0"/>
              <w:autoSpaceDN w:val="0"/>
              <w:snapToGrid w:val="0"/>
              <w:spacing w:line="360" w:lineRule="auto"/>
              <w:jc w:val="left"/>
              <w:textAlignment w:val="baseline"/>
              <w:rPr>
                <w:rFonts w:ascii="宋体" w:hAnsi="宋体" w:cs="宋体"/>
                <w:snapToGrid w:val="0"/>
                <w:color w:val="000000"/>
                <w:spacing w:val="-6"/>
                <w:kern w:val="0"/>
                <w:sz w:val="24"/>
              </w:rPr>
            </w:pPr>
            <w:r>
              <w:rPr>
                <w:rFonts w:hint="eastAsia" w:ascii="宋体" w:hAnsi="宋体" w:cs="宋体"/>
                <w:snapToGrid w:val="0"/>
                <w:color w:val="000000"/>
                <w:spacing w:val="-6"/>
                <w:kern w:val="0"/>
                <w:sz w:val="24"/>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aseline"/>
              <w:rPr>
                <w:rFonts w:ascii="宋体" w:hAnsi="宋体" w:cs="宋体"/>
                <w:snapToGrid w:val="0"/>
                <w:color w:val="000000"/>
                <w:spacing w:val="-6"/>
                <w:kern w:val="0"/>
                <w:sz w:val="24"/>
              </w:rPr>
            </w:pPr>
            <w:r>
              <w:rPr>
                <w:rFonts w:hint="eastAsia" w:ascii="宋体" w:hAnsi="宋体" w:cs="宋体"/>
                <w:b/>
                <w:bCs/>
                <w:snapToGrid w:val="0"/>
                <w:color w:val="000000"/>
                <w:kern w:val="0"/>
                <w:sz w:val="24"/>
              </w:rPr>
              <w:t>验收标准</w:t>
            </w:r>
          </w:p>
        </w:tc>
        <w:tc>
          <w:tcPr>
            <w:tcW w:w="760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1.中标商应提供合同货物的有效检验文件，经采购人认可后，与合同的性能指标一起作为合同货物验收标准。采购人对样品（如有）验收合格后，双方共同签署验收样品合格证书，在合同期限内采购人将对中标供应商提供的货物进行抽检验收，验收中发现合同货物达不到样品验收标准或合同规定的性能指标，中标供应商必须更换合同货物，并负担由此给采购人造成的损失，直到验收合格为止。</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2.供应商应于响应文件中提供合同货物的验收标准和检测办法，并在验收中提供采购人认可的相应检测手段，验收标准应符合中国有关的国家、地方、行业的标准，如若成交，经采购人确认后作为验收的依据。</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3.如中标供应商委托国内代理（或其他机构）负责安装或配合安装，应在签约时指明，但中标供应商仍要对合同货物及其安装质量负全部责任。</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4.验收费用由中标供应商承担。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textAlignment w:val="baseline"/>
              <w:rPr>
                <w:rFonts w:ascii="宋体" w:hAnsi="宋体" w:cs="宋体"/>
                <w:snapToGrid w:val="0"/>
                <w:color w:val="000000"/>
                <w:spacing w:val="-6"/>
                <w:kern w:val="0"/>
                <w:sz w:val="24"/>
              </w:rPr>
            </w:pPr>
            <w:r>
              <w:rPr>
                <w:rFonts w:hint="eastAsia" w:ascii="宋体" w:hAnsi="宋体" w:cs="宋体"/>
                <w:b/>
                <w:bCs/>
                <w:snapToGrid w:val="0"/>
                <w:color w:val="000000"/>
                <w:kern w:val="0"/>
                <w:sz w:val="24"/>
              </w:rPr>
              <w:t>其他技术、服务要求</w:t>
            </w:r>
          </w:p>
        </w:tc>
        <w:tc>
          <w:tcPr>
            <w:tcW w:w="760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1.培训：</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1.1 中标供应商应对采购人的操作人员、维修人员免费进行培训。</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1.2 中标供应商应提供相应的培训计划。</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1.3 供应商应对上述内容的实现方式、地点、人数、时间在响应文件中详细说明。</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2.安装调试（若需要安装调试）：</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2.1 安装标准：符合我国国家有关技术规范要求和技术标准，所有的软件和硬件必须保证同时安装到位。</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2.2 中标供应商免费提供合同货物的安装服务。</w:t>
            </w:r>
          </w:p>
          <w:p>
            <w:pPr>
              <w:autoSpaceDE w:val="0"/>
              <w:autoSpaceDN w:val="0"/>
              <w:snapToGrid w:val="0"/>
              <w:spacing w:line="360" w:lineRule="auto"/>
              <w:jc w:val="left"/>
              <w:textAlignment w:val="baseline"/>
              <w:rPr>
                <w:rFonts w:ascii="宋体" w:hAnsi="宋体" w:cs="宋体"/>
                <w:snapToGrid w:val="0"/>
                <w:color w:val="000000"/>
                <w:kern w:val="0"/>
                <w:sz w:val="24"/>
              </w:rPr>
            </w:pPr>
            <w:r>
              <w:rPr>
                <w:rFonts w:hint="eastAsia" w:ascii="宋体" w:hAnsi="宋体" w:cs="宋体"/>
                <w:snapToGrid w:val="0"/>
                <w:color w:val="000000"/>
                <w:kern w:val="0"/>
                <w:sz w:val="24"/>
              </w:rPr>
              <w:t>2.3 供应商在响应文件中应提供安装调试计划、对安装场地和环境的要求。</w:t>
            </w:r>
          </w:p>
        </w:tc>
      </w:tr>
    </w:tbl>
    <w:p>
      <w:pPr>
        <w:pStyle w:val="81"/>
      </w:pPr>
    </w:p>
    <w:p>
      <w:pPr>
        <w:spacing w:line="360" w:lineRule="auto"/>
        <w:rPr>
          <w:rFonts w:ascii="宋体" w:hAnsi="宋体" w:cs="Arial"/>
          <w:b/>
          <w:snapToGrid w:val="0"/>
          <w:kern w:val="44"/>
          <w:sz w:val="30"/>
          <w:szCs w:val="21"/>
        </w:rPr>
      </w:pPr>
      <w:r>
        <w:rPr>
          <w:rFonts w:hint="eastAsia" w:ascii="宋体" w:hAnsi="宋体" w:cs="Arial"/>
          <w:b/>
          <w:snapToGrid w:val="0"/>
          <w:kern w:val="44"/>
          <w:sz w:val="30"/>
          <w:szCs w:val="21"/>
        </w:rPr>
        <w:br w:type="page"/>
      </w:r>
    </w:p>
    <w:p>
      <w:pPr>
        <w:rPr>
          <w:rFonts w:ascii="宋体" w:hAnsi="宋体" w:cs="Arial"/>
          <w:b/>
          <w:snapToGrid w:val="0"/>
          <w:kern w:val="44"/>
          <w:sz w:val="30"/>
          <w:szCs w:val="21"/>
        </w:rPr>
      </w:pPr>
    </w:p>
    <w:p>
      <w:pPr>
        <w:pStyle w:val="62"/>
        <w:autoSpaceDE/>
        <w:autoSpaceDN/>
        <w:adjustRightInd/>
        <w:ind w:firstLine="0"/>
        <w:jc w:val="left"/>
        <w:rPr>
          <w:rFonts w:hAnsi="宋体" w:cs="宋体"/>
          <w:b/>
          <w:sz w:val="36"/>
          <w:szCs w:val="36"/>
        </w:rPr>
      </w:pPr>
      <w:r>
        <w:rPr>
          <w:rFonts w:hint="eastAsia" w:hAnsi="宋体" w:cs="宋体"/>
          <w:b/>
          <w:lang w:val="en-US"/>
        </w:rPr>
        <w:t xml:space="preserve">                  </w:t>
      </w:r>
      <w:r>
        <w:rPr>
          <w:rFonts w:hint="eastAsia" w:hAnsi="宋体" w:cs="宋体"/>
          <w:b/>
          <w:sz w:val="36"/>
          <w:szCs w:val="36"/>
        </w:rPr>
        <w:t xml:space="preserve">第四部分   </w:t>
      </w:r>
      <w:bookmarkStart w:id="33" w:name="_Toc184310319"/>
      <w:bookmarkEnd w:id="33"/>
      <w:bookmarkStart w:id="34" w:name="_Toc184313305"/>
      <w:bookmarkEnd w:id="34"/>
      <w:bookmarkStart w:id="35" w:name="_Toc184312136"/>
      <w:bookmarkEnd w:id="35"/>
      <w:bookmarkStart w:id="36" w:name="_Toc184312086"/>
      <w:bookmarkEnd w:id="36"/>
      <w:bookmarkStart w:id="37" w:name="_Toc184310285"/>
      <w:bookmarkEnd w:id="37"/>
      <w:bookmarkStart w:id="38" w:name="_Toc184308063"/>
      <w:bookmarkEnd w:id="38"/>
      <w:bookmarkStart w:id="39" w:name="_Toc184313302"/>
      <w:bookmarkEnd w:id="39"/>
      <w:bookmarkStart w:id="40" w:name="_Toc184312133"/>
      <w:bookmarkEnd w:id="40"/>
      <w:bookmarkStart w:id="41" w:name="_Toc184312080"/>
      <w:bookmarkEnd w:id="41"/>
      <w:bookmarkStart w:id="42" w:name="_Toc184314472"/>
      <w:bookmarkEnd w:id="42"/>
      <w:bookmarkStart w:id="43" w:name="_Toc184313287"/>
      <w:bookmarkEnd w:id="43"/>
      <w:bookmarkStart w:id="44" w:name="_Toc184308082"/>
      <w:bookmarkEnd w:id="44"/>
      <w:bookmarkStart w:id="45" w:name="_Toc184308100"/>
      <w:bookmarkEnd w:id="45"/>
      <w:bookmarkStart w:id="46" w:name="_Toc184308083"/>
      <w:bookmarkEnd w:id="46"/>
      <w:bookmarkStart w:id="47" w:name="_Toc184314457"/>
      <w:bookmarkEnd w:id="47"/>
      <w:bookmarkStart w:id="48" w:name="_Toc184314431"/>
      <w:bookmarkEnd w:id="48"/>
      <w:bookmarkStart w:id="49" w:name="_Toc184314420"/>
      <w:bookmarkEnd w:id="49"/>
      <w:bookmarkStart w:id="50" w:name="_Toc184313298"/>
      <w:bookmarkEnd w:id="50"/>
      <w:bookmarkStart w:id="51" w:name="_Toc184313282"/>
      <w:bookmarkEnd w:id="51"/>
      <w:bookmarkStart w:id="52" w:name="_Toc184308049"/>
      <w:bookmarkEnd w:id="52"/>
      <w:bookmarkStart w:id="53" w:name="_Toc184313292"/>
      <w:bookmarkEnd w:id="53"/>
      <w:bookmarkStart w:id="54" w:name="_Toc184314423"/>
      <w:bookmarkEnd w:id="54"/>
      <w:bookmarkStart w:id="55" w:name="_Toc184308039"/>
      <w:bookmarkEnd w:id="55"/>
      <w:bookmarkStart w:id="56" w:name="_Toc184314435"/>
      <w:bookmarkEnd w:id="56"/>
      <w:bookmarkStart w:id="57" w:name="_Toc184308056"/>
      <w:bookmarkEnd w:id="57"/>
      <w:bookmarkStart w:id="58" w:name="_Toc184314426"/>
      <w:bookmarkEnd w:id="58"/>
      <w:bookmarkStart w:id="59" w:name="_Toc184313277"/>
      <w:bookmarkEnd w:id="59"/>
      <w:bookmarkStart w:id="60" w:name="_Toc184314479"/>
      <w:bookmarkEnd w:id="60"/>
      <w:bookmarkStart w:id="61" w:name="_Toc184308054"/>
      <w:bookmarkEnd w:id="61"/>
      <w:bookmarkStart w:id="62" w:name="_Toc184314422"/>
      <w:bookmarkEnd w:id="62"/>
      <w:bookmarkStart w:id="63" w:name="_Toc184313294"/>
      <w:bookmarkEnd w:id="63"/>
      <w:bookmarkStart w:id="64" w:name="_Toc184313291"/>
      <w:bookmarkEnd w:id="64"/>
      <w:bookmarkStart w:id="65" w:name="_Toc184314424"/>
      <w:bookmarkEnd w:id="65"/>
      <w:bookmarkStart w:id="66" w:name="_Toc184314421"/>
      <w:bookmarkEnd w:id="66"/>
      <w:bookmarkStart w:id="67" w:name="_Toc184314418"/>
      <w:bookmarkEnd w:id="67"/>
      <w:bookmarkStart w:id="68" w:name="_Toc184312072"/>
      <w:bookmarkEnd w:id="68"/>
      <w:bookmarkStart w:id="69" w:name="_Toc184312077"/>
      <w:bookmarkEnd w:id="69"/>
      <w:bookmarkStart w:id="70" w:name="_Toc184312094"/>
      <w:bookmarkEnd w:id="70"/>
      <w:bookmarkStart w:id="71" w:name="_Toc184308052"/>
      <w:bookmarkEnd w:id="71"/>
      <w:bookmarkStart w:id="72" w:name="_Toc184310320"/>
      <w:bookmarkEnd w:id="72"/>
      <w:bookmarkStart w:id="73" w:name="_Toc184310302"/>
      <w:bookmarkEnd w:id="73"/>
      <w:bookmarkStart w:id="74" w:name="_Toc184310286"/>
      <w:bookmarkEnd w:id="74"/>
      <w:bookmarkStart w:id="75" w:name="_Toc184312138"/>
      <w:bookmarkEnd w:id="75"/>
      <w:bookmarkStart w:id="76" w:name="_Toc184314465"/>
      <w:bookmarkEnd w:id="76"/>
      <w:bookmarkStart w:id="77" w:name="_Toc184314466"/>
      <w:bookmarkEnd w:id="77"/>
      <w:bookmarkStart w:id="78" w:name="_Toc184314414"/>
      <w:bookmarkEnd w:id="78"/>
      <w:bookmarkStart w:id="79" w:name="_Toc184308077"/>
      <w:bookmarkEnd w:id="79"/>
      <w:bookmarkStart w:id="80" w:name="_Toc184312121"/>
      <w:bookmarkEnd w:id="80"/>
      <w:bookmarkStart w:id="81" w:name="_Toc184314412"/>
      <w:bookmarkEnd w:id="81"/>
      <w:bookmarkStart w:id="82" w:name="_Toc184313308"/>
      <w:bookmarkEnd w:id="82"/>
      <w:bookmarkStart w:id="83" w:name="_Toc184314437"/>
      <w:bookmarkEnd w:id="83"/>
      <w:bookmarkStart w:id="84" w:name="_Toc184314467"/>
      <w:bookmarkEnd w:id="84"/>
      <w:bookmarkStart w:id="85" w:name="_Toc184312129"/>
      <w:bookmarkEnd w:id="85"/>
      <w:bookmarkStart w:id="86" w:name="_Toc184308084"/>
      <w:bookmarkEnd w:id="86"/>
      <w:bookmarkStart w:id="87" w:name="_Toc184310315"/>
      <w:bookmarkEnd w:id="87"/>
      <w:bookmarkStart w:id="88" w:name="_Toc184312117"/>
      <w:bookmarkEnd w:id="88"/>
      <w:bookmarkStart w:id="89" w:name="_Toc184312119"/>
      <w:bookmarkEnd w:id="89"/>
      <w:bookmarkStart w:id="90" w:name="_Toc184314430"/>
      <w:bookmarkEnd w:id="90"/>
      <w:bookmarkStart w:id="91" w:name="_Toc184308079"/>
      <w:bookmarkEnd w:id="91"/>
      <w:bookmarkStart w:id="92" w:name="_Toc184312131"/>
      <w:bookmarkEnd w:id="92"/>
      <w:bookmarkStart w:id="93" w:name="_Toc184310306"/>
      <w:bookmarkEnd w:id="93"/>
      <w:bookmarkStart w:id="94" w:name="_Toc184310342"/>
      <w:bookmarkEnd w:id="94"/>
      <w:bookmarkStart w:id="95" w:name="_Toc184308089"/>
      <w:bookmarkEnd w:id="95"/>
      <w:bookmarkStart w:id="96" w:name="_Toc184312110"/>
      <w:bookmarkEnd w:id="96"/>
      <w:bookmarkStart w:id="97" w:name="_Toc184310331"/>
      <w:bookmarkEnd w:id="97"/>
      <w:bookmarkStart w:id="98" w:name="_Toc184314461"/>
      <w:bookmarkEnd w:id="98"/>
      <w:bookmarkStart w:id="99" w:name="_Toc184312095"/>
      <w:bookmarkEnd w:id="99"/>
      <w:bookmarkStart w:id="100" w:name="_Toc184308043"/>
      <w:bookmarkEnd w:id="100"/>
      <w:bookmarkStart w:id="101" w:name="_Toc184308066"/>
      <w:bookmarkEnd w:id="101"/>
      <w:bookmarkStart w:id="102" w:name="_Toc184313283"/>
      <w:bookmarkEnd w:id="102"/>
      <w:bookmarkStart w:id="103" w:name="_Toc184312120"/>
      <w:bookmarkEnd w:id="103"/>
      <w:bookmarkStart w:id="104" w:name="_Toc184314462"/>
      <w:bookmarkEnd w:id="104"/>
      <w:bookmarkStart w:id="105" w:name="_Toc184310328"/>
      <w:bookmarkEnd w:id="105"/>
      <w:bookmarkStart w:id="106" w:name="_Toc184308101"/>
      <w:bookmarkEnd w:id="106"/>
      <w:bookmarkStart w:id="107" w:name="_Toc184310276"/>
      <w:bookmarkEnd w:id="107"/>
      <w:bookmarkStart w:id="108" w:name="_Toc184310312"/>
      <w:bookmarkEnd w:id="108"/>
      <w:bookmarkStart w:id="109" w:name="_Toc184312100"/>
      <w:bookmarkEnd w:id="109"/>
      <w:bookmarkStart w:id="110" w:name="_Toc184312068"/>
      <w:bookmarkEnd w:id="110"/>
      <w:bookmarkStart w:id="111" w:name="_Toc184308108"/>
      <w:bookmarkEnd w:id="111"/>
      <w:bookmarkStart w:id="112" w:name="_Toc184312132"/>
      <w:bookmarkEnd w:id="112"/>
      <w:bookmarkStart w:id="113" w:name="_Toc184314463"/>
      <w:bookmarkEnd w:id="113"/>
      <w:bookmarkStart w:id="114" w:name="_Toc184313253"/>
      <w:bookmarkEnd w:id="114"/>
      <w:bookmarkStart w:id="115" w:name="_Toc184312088"/>
      <w:bookmarkEnd w:id="115"/>
      <w:bookmarkStart w:id="116" w:name="_Toc184313265"/>
      <w:bookmarkEnd w:id="116"/>
      <w:bookmarkStart w:id="117" w:name="_Toc184312067"/>
      <w:bookmarkEnd w:id="117"/>
      <w:bookmarkStart w:id="118" w:name="_Toc184310305"/>
      <w:bookmarkEnd w:id="118"/>
      <w:bookmarkStart w:id="119" w:name="_Toc184310310"/>
      <w:bookmarkEnd w:id="119"/>
      <w:bookmarkStart w:id="120" w:name="_Toc184310335"/>
      <w:bookmarkEnd w:id="120"/>
      <w:bookmarkStart w:id="121" w:name="_Toc184313276"/>
      <w:bookmarkEnd w:id="121"/>
      <w:bookmarkStart w:id="122" w:name="_Toc184313267"/>
      <w:bookmarkEnd w:id="122"/>
      <w:bookmarkStart w:id="123" w:name="_Toc184308053"/>
      <w:bookmarkEnd w:id="123"/>
      <w:bookmarkStart w:id="124" w:name="_Toc184314410"/>
      <w:bookmarkEnd w:id="124"/>
      <w:bookmarkStart w:id="125" w:name="_Toc184314460"/>
      <w:bookmarkEnd w:id="125"/>
      <w:bookmarkStart w:id="126" w:name="_Toc184313274"/>
      <w:bookmarkEnd w:id="126"/>
      <w:bookmarkStart w:id="127" w:name="_Toc184312096"/>
      <w:bookmarkEnd w:id="127"/>
      <w:bookmarkStart w:id="128" w:name="_Toc184308060"/>
      <w:bookmarkEnd w:id="128"/>
      <w:bookmarkStart w:id="129" w:name="_Toc184308096"/>
      <w:bookmarkEnd w:id="129"/>
      <w:bookmarkStart w:id="130" w:name="_Toc184308041"/>
      <w:bookmarkEnd w:id="130"/>
      <w:bookmarkStart w:id="131" w:name="_Toc184313272"/>
      <w:bookmarkEnd w:id="131"/>
      <w:bookmarkStart w:id="132" w:name="_Toc184308047"/>
      <w:bookmarkEnd w:id="132"/>
      <w:bookmarkStart w:id="133" w:name="_Toc184310281"/>
      <w:bookmarkEnd w:id="133"/>
      <w:bookmarkStart w:id="134" w:name="_Toc184310322"/>
      <w:bookmarkEnd w:id="134"/>
      <w:bookmarkStart w:id="135" w:name="_Toc184313257"/>
      <w:bookmarkEnd w:id="135"/>
      <w:bookmarkStart w:id="136" w:name="_Toc184312101"/>
      <w:bookmarkEnd w:id="136"/>
      <w:bookmarkStart w:id="137" w:name="_Toc184308067"/>
      <w:bookmarkEnd w:id="137"/>
      <w:bookmarkStart w:id="138" w:name="_Toc184308102"/>
      <w:bookmarkEnd w:id="138"/>
      <w:bookmarkStart w:id="139" w:name="_Toc184314459"/>
      <w:bookmarkEnd w:id="139"/>
      <w:bookmarkStart w:id="140" w:name="_Toc184314443"/>
      <w:bookmarkEnd w:id="140"/>
      <w:bookmarkStart w:id="141" w:name="_Toc184314419"/>
      <w:bookmarkEnd w:id="141"/>
      <w:bookmarkStart w:id="142" w:name="_Toc184313306"/>
      <w:bookmarkEnd w:id="142"/>
      <w:bookmarkStart w:id="143" w:name="_Toc184308069"/>
      <w:bookmarkEnd w:id="143"/>
      <w:bookmarkStart w:id="144" w:name="_Toc184312128"/>
      <w:bookmarkEnd w:id="144"/>
      <w:bookmarkStart w:id="145" w:name="_Toc184313275"/>
      <w:bookmarkEnd w:id="145"/>
      <w:bookmarkStart w:id="146" w:name="_Toc184308104"/>
      <w:bookmarkEnd w:id="146"/>
      <w:bookmarkStart w:id="147" w:name="_Toc184312130"/>
      <w:bookmarkEnd w:id="147"/>
      <w:bookmarkStart w:id="148" w:name="_Toc184310314"/>
      <w:bookmarkEnd w:id="148"/>
      <w:bookmarkStart w:id="149" w:name="_Toc184314458"/>
      <w:bookmarkEnd w:id="149"/>
      <w:bookmarkStart w:id="150" w:name="_Toc184310295"/>
      <w:bookmarkEnd w:id="150"/>
      <w:bookmarkStart w:id="151" w:name="_Toc184314451"/>
      <w:bookmarkEnd w:id="151"/>
      <w:bookmarkStart w:id="152" w:name="_Toc184308050"/>
      <w:bookmarkEnd w:id="152"/>
      <w:bookmarkStart w:id="153" w:name="_Toc184314477"/>
      <w:bookmarkEnd w:id="153"/>
      <w:bookmarkStart w:id="154" w:name="_Toc184314475"/>
      <w:bookmarkEnd w:id="154"/>
      <w:bookmarkStart w:id="155" w:name="_Toc184308107"/>
      <w:bookmarkEnd w:id="155"/>
      <w:bookmarkStart w:id="156" w:name="_Toc184310341"/>
      <w:bookmarkEnd w:id="156"/>
      <w:bookmarkStart w:id="157" w:name="_Toc184313240"/>
      <w:bookmarkEnd w:id="157"/>
      <w:bookmarkStart w:id="158" w:name="_Toc184308094"/>
      <w:bookmarkEnd w:id="158"/>
      <w:bookmarkStart w:id="159" w:name="_Toc184312106"/>
      <w:bookmarkEnd w:id="159"/>
      <w:bookmarkStart w:id="160" w:name="_Toc184308085"/>
      <w:bookmarkEnd w:id="160"/>
      <w:bookmarkStart w:id="161" w:name="_Toc184310290"/>
      <w:bookmarkEnd w:id="161"/>
      <w:bookmarkStart w:id="162" w:name="_Toc184313262"/>
      <w:bookmarkEnd w:id="162"/>
      <w:bookmarkStart w:id="163" w:name="_Toc184313255"/>
      <w:bookmarkEnd w:id="163"/>
      <w:bookmarkStart w:id="164" w:name="_Toc184308097"/>
      <w:bookmarkEnd w:id="164"/>
      <w:bookmarkStart w:id="165" w:name="_Toc184314429"/>
      <w:bookmarkEnd w:id="165"/>
      <w:bookmarkStart w:id="166" w:name="_Toc184312091"/>
      <w:bookmarkEnd w:id="166"/>
      <w:bookmarkStart w:id="167" w:name="_Toc184313271"/>
      <w:bookmarkEnd w:id="167"/>
      <w:bookmarkStart w:id="168" w:name="_Toc184310343"/>
      <w:bookmarkEnd w:id="168"/>
      <w:bookmarkStart w:id="169" w:name="_Toc184308064"/>
      <w:bookmarkEnd w:id="169"/>
      <w:bookmarkStart w:id="170" w:name="_Toc184312070"/>
      <w:bookmarkEnd w:id="170"/>
      <w:bookmarkStart w:id="171" w:name="_Toc184312124"/>
      <w:bookmarkEnd w:id="171"/>
      <w:bookmarkStart w:id="172" w:name="_Toc184308038"/>
      <w:bookmarkEnd w:id="172"/>
      <w:bookmarkStart w:id="173" w:name="_Toc184313250"/>
      <w:bookmarkEnd w:id="173"/>
      <w:bookmarkStart w:id="174" w:name="_Toc184314436"/>
      <w:bookmarkEnd w:id="174"/>
      <w:bookmarkStart w:id="175" w:name="_Toc184313297"/>
      <w:bookmarkEnd w:id="175"/>
      <w:bookmarkStart w:id="176" w:name="_Toc184308062"/>
      <w:bookmarkEnd w:id="176"/>
      <w:bookmarkStart w:id="177" w:name="_Toc184313279"/>
      <w:bookmarkEnd w:id="177"/>
      <w:bookmarkStart w:id="178" w:name="_Toc184310316"/>
      <w:bookmarkEnd w:id="178"/>
      <w:bookmarkStart w:id="179" w:name="_Toc184313290"/>
      <w:bookmarkEnd w:id="179"/>
      <w:bookmarkStart w:id="180" w:name="_Toc184313270"/>
      <w:bookmarkEnd w:id="180"/>
      <w:bookmarkStart w:id="181" w:name="_Toc184314439"/>
      <w:bookmarkEnd w:id="181"/>
      <w:bookmarkStart w:id="182" w:name="_Toc184310284"/>
      <w:bookmarkEnd w:id="182"/>
      <w:bookmarkStart w:id="183" w:name="_Toc184312098"/>
      <w:bookmarkEnd w:id="183"/>
      <w:bookmarkStart w:id="184" w:name="_Toc184314425"/>
      <w:bookmarkEnd w:id="184"/>
      <w:bookmarkStart w:id="185" w:name="_Toc184313256"/>
      <w:bookmarkEnd w:id="185"/>
      <w:bookmarkStart w:id="186" w:name="_Toc184308070"/>
      <w:bookmarkEnd w:id="186"/>
      <w:bookmarkStart w:id="187" w:name="_Toc184312090"/>
      <w:bookmarkEnd w:id="187"/>
      <w:bookmarkStart w:id="188" w:name="_Toc184310329"/>
      <w:bookmarkEnd w:id="188"/>
      <w:bookmarkStart w:id="189" w:name="_Toc184308098"/>
      <w:bookmarkEnd w:id="189"/>
      <w:bookmarkStart w:id="190" w:name="_Toc184308106"/>
      <w:bookmarkEnd w:id="190"/>
      <w:bookmarkStart w:id="191" w:name="_Toc184308061"/>
      <w:bookmarkEnd w:id="191"/>
      <w:bookmarkStart w:id="192" w:name="_Toc184310282"/>
      <w:bookmarkEnd w:id="192"/>
      <w:bookmarkStart w:id="193" w:name="_Toc184308092"/>
      <w:bookmarkEnd w:id="193"/>
      <w:bookmarkStart w:id="194" w:name="_Toc184314411"/>
      <w:bookmarkEnd w:id="194"/>
      <w:bookmarkStart w:id="195" w:name="_Toc184314473"/>
      <w:bookmarkEnd w:id="195"/>
      <w:bookmarkStart w:id="196" w:name="_Toc184312112"/>
      <w:bookmarkEnd w:id="196"/>
      <w:bookmarkStart w:id="197" w:name="_Toc184313280"/>
      <w:bookmarkEnd w:id="197"/>
      <w:bookmarkStart w:id="198" w:name="_Toc184314468"/>
      <w:bookmarkEnd w:id="198"/>
      <w:bookmarkStart w:id="199" w:name="_Toc184313281"/>
      <w:bookmarkEnd w:id="199"/>
      <w:bookmarkStart w:id="200" w:name="_Toc184314444"/>
      <w:bookmarkEnd w:id="200"/>
      <w:bookmarkStart w:id="201" w:name="_Toc184313244"/>
      <w:bookmarkEnd w:id="201"/>
      <w:bookmarkStart w:id="202" w:name="_Toc184314428"/>
      <w:bookmarkEnd w:id="202"/>
      <w:bookmarkStart w:id="203" w:name="_Toc184314456"/>
      <w:bookmarkEnd w:id="203"/>
      <w:bookmarkStart w:id="204" w:name="_Toc184313284"/>
      <w:bookmarkEnd w:id="204"/>
      <w:bookmarkStart w:id="205" w:name="_Toc184313252"/>
      <w:bookmarkEnd w:id="205"/>
      <w:bookmarkStart w:id="206" w:name="_Toc184313293"/>
      <w:bookmarkEnd w:id="206"/>
      <w:bookmarkStart w:id="207" w:name="_Toc184312108"/>
      <w:bookmarkEnd w:id="207"/>
      <w:bookmarkStart w:id="208" w:name="_Toc184313243"/>
      <w:bookmarkEnd w:id="208"/>
      <w:bookmarkStart w:id="209" w:name="_Toc184310340"/>
      <w:bookmarkEnd w:id="209"/>
      <w:bookmarkStart w:id="210" w:name="_Toc184310309"/>
      <w:bookmarkEnd w:id="210"/>
      <w:bookmarkStart w:id="211" w:name="_Toc184313258"/>
      <w:bookmarkEnd w:id="211"/>
      <w:bookmarkStart w:id="212" w:name="_Toc184312122"/>
      <w:bookmarkEnd w:id="212"/>
      <w:bookmarkStart w:id="213" w:name="_Toc184310303"/>
      <w:bookmarkEnd w:id="213"/>
      <w:bookmarkStart w:id="214" w:name="_Toc184314469"/>
      <w:bookmarkEnd w:id="214"/>
      <w:bookmarkStart w:id="215" w:name="_Toc184312099"/>
      <w:bookmarkEnd w:id="215"/>
      <w:bookmarkStart w:id="216" w:name="_Toc184314413"/>
      <w:bookmarkEnd w:id="216"/>
      <w:bookmarkStart w:id="217" w:name="_Toc184310313"/>
      <w:bookmarkEnd w:id="217"/>
      <w:bookmarkStart w:id="218" w:name="_Toc184314416"/>
      <w:bookmarkEnd w:id="218"/>
      <w:bookmarkStart w:id="219" w:name="_Toc184314440"/>
      <w:bookmarkEnd w:id="219"/>
      <w:bookmarkStart w:id="220" w:name="_Toc184313307"/>
      <w:bookmarkEnd w:id="220"/>
      <w:bookmarkStart w:id="221" w:name="_Toc184310300"/>
      <w:bookmarkEnd w:id="221"/>
      <w:bookmarkStart w:id="222" w:name="_Toc184312074"/>
      <w:bookmarkEnd w:id="222"/>
      <w:bookmarkStart w:id="223" w:name="_Toc184308099"/>
      <w:bookmarkEnd w:id="223"/>
      <w:bookmarkStart w:id="224" w:name="_Toc184312071"/>
      <w:bookmarkEnd w:id="224"/>
      <w:bookmarkStart w:id="225" w:name="_Toc184314455"/>
      <w:bookmarkEnd w:id="225"/>
      <w:bookmarkStart w:id="226" w:name="_Toc184313263"/>
      <w:bookmarkEnd w:id="226"/>
      <w:bookmarkStart w:id="227" w:name="_Toc184313286"/>
      <w:bookmarkEnd w:id="227"/>
      <w:bookmarkStart w:id="228" w:name="_Toc184308046"/>
      <w:bookmarkEnd w:id="228"/>
      <w:bookmarkStart w:id="229" w:name="_Toc184310311"/>
      <w:bookmarkEnd w:id="229"/>
      <w:bookmarkStart w:id="230" w:name="_Toc184313303"/>
      <w:bookmarkEnd w:id="230"/>
      <w:bookmarkStart w:id="231" w:name="_Toc184310275"/>
      <w:bookmarkEnd w:id="231"/>
      <w:bookmarkStart w:id="232" w:name="_Toc184313278"/>
      <w:bookmarkEnd w:id="232"/>
      <w:bookmarkStart w:id="233" w:name="_Toc184310299"/>
      <w:bookmarkEnd w:id="233"/>
      <w:bookmarkStart w:id="234" w:name="_Toc184308095"/>
      <w:bookmarkEnd w:id="234"/>
      <w:bookmarkStart w:id="235" w:name="_Toc184310298"/>
      <w:bookmarkEnd w:id="235"/>
      <w:bookmarkStart w:id="236" w:name="_Toc184313296"/>
      <w:bookmarkEnd w:id="236"/>
      <w:bookmarkStart w:id="237" w:name="_Toc184314471"/>
      <w:bookmarkEnd w:id="237"/>
      <w:bookmarkStart w:id="238" w:name="_Toc184308048"/>
      <w:bookmarkEnd w:id="238"/>
      <w:bookmarkStart w:id="239" w:name="_Toc184314474"/>
      <w:bookmarkEnd w:id="239"/>
      <w:bookmarkStart w:id="240" w:name="_Toc184313246"/>
      <w:bookmarkEnd w:id="240"/>
      <w:bookmarkStart w:id="241" w:name="_Toc184314454"/>
      <w:bookmarkEnd w:id="241"/>
      <w:bookmarkStart w:id="242" w:name="_Toc184312069"/>
      <w:bookmarkEnd w:id="242"/>
      <w:bookmarkStart w:id="243" w:name="_Toc184310273"/>
      <w:bookmarkEnd w:id="243"/>
      <w:bookmarkStart w:id="244" w:name="_Toc184308105"/>
      <w:bookmarkEnd w:id="244"/>
      <w:bookmarkStart w:id="245" w:name="_Toc184312078"/>
      <w:bookmarkEnd w:id="245"/>
      <w:bookmarkStart w:id="246" w:name="_Toc184314415"/>
      <w:bookmarkEnd w:id="246"/>
      <w:bookmarkStart w:id="247" w:name="_Toc184308036"/>
      <w:bookmarkEnd w:id="247"/>
      <w:bookmarkStart w:id="248" w:name="_Toc184312093"/>
      <w:bookmarkEnd w:id="248"/>
      <w:bookmarkStart w:id="249" w:name="_Toc184308072"/>
      <w:bookmarkEnd w:id="249"/>
      <w:bookmarkStart w:id="250" w:name="_Toc184312103"/>
      <w:bookmarkEnd w:id="250"/>
      <w:bookmarkStart w:id="251" w:name="_Toc184310330"/>
      <w:bookmarkEnd w:id="251"/>
      <w:bookmarkStart w:id="252" w:name="_Toc184308057"/>
      <w:bookmarkEnd w:id="252"/>
      <w:bookmarkStart w:id="253" w:name="_Toc184313309"/>
      <w:bookmarkEnd w:id="253"/>
      <w:bookmarkStart w:id="254" w:name="_Toc184313261"/>
      <w:bookmarkEnd w:id="254"/>
      <w:bookmarkStart w:id="255" w:name="_Toc184308074"/>
      <w:bookmarkEnd w:id="255"/>
      <w:bookmarkStart w:id="256" w:name="_Toc184310278"/>
      <w:bookmarkEnd w:id="256"/>
      <w:bookmarkStart w:id="257" w:name="_Toc184308081"/>
      <w:bookmarkEnd w:id="257"/>
      <w:bookmarkStart w:id="258" w:name="_Toc184310326"/>
      <w:bookmarkEnd w:id="258"/>
      <w:bookmarkStart w:id="259" w:name="_Toc184314478"/>
      <w:bookmarkEnd w:id="259"/>
      <w:bookmarkStart w:id="260" w:name="_Toc184313300"/>
      <w:bookmarkEnd w:id="260"/>
      <w:bookmarkStart w:id="261" w:name="_Toc184310323"/>
      <w:bookmarkEnd w:id="261"/>
      <w:bookmarkStart w:id="262" w:name="_Toc184310304"/>
      <w:bookmarkEnd w:id="262"/>
      <w:bookmarkStart w:id="263" w:name="_Toc184312135"/>
      <w:bookmarkEnd w:id="263"/>
      <w:bookmarkStart w:id="264" w:name="_Toc184308059"/>
      <w:bookmarkEnd w:id="264"/>
      <w:bookmarkStart w:id="265" w:name="_Toc184312115"/>
      <w:bookmarkEnd w:id="265"/>
      <w:bookmarkStart w:id="266" w:name="_Toc184312134"/>
      <w:bookmarkEnd w:id="266"/>
      <w:bookmarkStart w:id="267" w:name="_Toc184313266"/>
      <w:bookmarkEnd w:id="267"/>
      <w:bookmarkStart w:id="268" w:name="_Toc184308051"/>
      <w:bookmarkEnd w:id="268"/>
      <w:bookmarkStart w:id="269" w:name="_Toc184312104"/>
      <w:bookmarkEnd w:id="269"/>
      <w:bookmarkStart w:id="270" w:name="_Toc184308040"/>
      <w:bookmarkEnd w:id="270"/>
      <w:bookmarkStart w:id="271" w:name="_Toc184312085"/>
      <w:bookmarkEnd w:id="271"/>
      <w:bookmarkStart w:id="272" w:name="_Toc184308093"/>
      <w:bookmarkEnd w:id="272"/>
      <w:bookmarkStart w:id="273" w:name="_Toc184314433"/>
      <w:bookmarkEnd w:id="273"/>
      <w:bookmarkStart w:id="274" w:name="_Toc184312125"/>
      <w:bookmarkEnd w:id="274"/>
      <w:bookmarkStart w:id="275" w:name="_Toc184314476"/>
      <w:bookmarkEnd w:id="275"/>
      <w:bookmarkStart w:id="276" w:name="_Toc184313269"/>
      <w:bookmarkEnd w:id="276"/>
      <w:bookmarkStart w:id="277" w:name="_Toc184308071"/>
      <w:bookmarkEnd w:id="277"/>
      <w:bookmarkStart w:id="278" w:name="_Toc184312092"/>
      <w:bookmarkEnd w:id="278"/>
      <w:bookmarkStart w:id="279" w:name="_Toc184310334"/>
      <w:bookmarkEnd w:id="279"/>
      <w:bookmarkStart w:id="280" w:name="_Toc184310274"/>
      <w:bookmarkEnd w:id="280"/>
      <w:bookmarkStart w:id="281" w:name="_Toc184308065"/>
      <w:bookmarkEnd w:id="281"/>
      <w:bookmarkStart w:id="282" w:name="_Toc184310308"/>
      <w:bookmarkEnd w:id="282"/>
      <w:bookmarkStart w:id="283" w:name="_Toc184310337"/>
      <w:bookmarkEnd w:id="283"/>
      <w:bookmarkStart w:id="284" w:name="_Toc184314438"/>
      <w:bookmarkEnd w:id="284"/>
      <w:bookmarkStart w:id="285" w:name="_Toc184312076"/>
      <w:bookmarkEnd w:id="285"/>
      <w:bookmarkStart w:id="286" w:name="_Toc184313304"/>
      <w:bookmarkEnd w:id="286"/>
      <w:bookmarkStart w:id="287" w:name="_Toc184312126"/>
      <w:bookmarkEnd w:id="287"/>
      <w:bookmarkStart w:id="288" w:name="_Toc184310297"/>
      <w:bookmarkEnd w:id="288"/>
      <w:bookmarkStart w:id="289" w:name="_Toc184310294"/>
      <w:bookmarkEnd w:id="289"/>
      <w:bookmarkStart w:id="290" w:name="_Toc184314480"/>
      <w:bookmarkEnd w:id="290"/>
      <w:bookmarkStart w:id="291" w:name="_Toc184312114"/>
      <w:bookmarkEnd w:id="291"/>
      <w:bookmarkStart w:id="292" w:name="_Toc184308042"/>
      <w:bookmarkEnd w:id="292"/>
      <w:bookmarkStart w:id="293" w:name="_Toc184314442"/>
      <w:bookmarkEnd w:id="293"/>
      <w:bookmarkStart w:id="294" w:name="_Toc184312107"/>
      <w:bookmarkEnd w:id="294"/>
      <w:bookmarkStart w:id="295" w:name="_Toc184312084"/>
      <w:bookmarkEnd w:id="295"/>
      <w:bookmarkStart w:id="296" w:name="_Toc184313247"/>
      <w:bookmarkEnd w:id="296"/>
      <w:bookmarkStart w:id="297" w:name="_Toc184313301"/>
      <w:bookmarkEnd w:id="297"/>
      <w:bookmarkStart w:id="298" w:name="_Toc184313310"/>
      <w:bookmarkEnd w:id="298"/>
      <w:bookmarkStart w:id="299" w:name="_Toc184314427"/>
      <w:bookmarkEnd w:id="299"/>
      <w:bookmarkStart w:id="300" w:name="_Toc184310344"/>
      <w:bookmarkEnd w:id="300"/>
      <w:bookmarkStart w:id="301" w:name="_Toc184308073"/>
      <w:bookmarkEnd w:id="301"/>
      <w:bookmarkStart w:id="302" w:name="_Toc184314449"/>
      <w:bookmarkEnd w:id="302"/>
      <w:bookmarkStart w:id="303" w:name="_Toc184310333"/>
      <w:bookmarkEnd w:id="303"/>
      <w:bookmarkStart w:id="304" w:name="_Toc184312109"/>
      <w:bookmarkEnd w:id="304"/>
      <w:bookmarkStart w:id="305" w:name="_Toc184310339"/>
      <w:bookmarkEnd w:id="305"/>
      <w:bookmarkStart w:id="306" w:name="_Toc184308055"/>
      <w:bookmarkEnd w:id="306"/>
      <w:bookmarkStart w:id="307" w:name="_Toc184312079"/>
      <w:bookmarkEnd w:id="307"/>
      <w:bookmarkStart w:id="308" w:name="_Toc184313260"/>
      <w:bookmarkEnd w:id="308"/>
      <w:bookmarkStart w:id="309" w:name="_Toc184308058"/>
      <w:bookmarkEnd w:id="309"/>
      <w:bookmarkStart w:id="310" w:name="_Toc184310291"/>
      <w:bookmarkEnd w:id="310"/>
      <w:bookmarkStart w:id="311" w:name="_Toc184313241"/>
      <w:bookmarkEnd w:id="311"/>
      <w:bookmarkStart w:id="312" w:name="_Toc184314447"/>
      <w:bookmarkEnd w:id="312"/>
      <w:bookmarkStart w:id="313" w:name="_Toc184313238"/>
      <w:bookmarkEnd w:id="313"/>
      <w:bookmarkStart w:id="314" w:name="_Toc184314441"/>
      <w:bookmarkEnd w:id="314"/>
      <w:bookmarkStart w:id="315" w:name="_Toc184310289"/>
      <w:bookmarkEnd w:id="315"/>
      <w:bookmarkStart w:id="316" w:name="_Toc184310338"/>
      <w:bookmarkEnd w:id="316"/>
      <w:bookmarkStart w:id="317" w:name="_Toc184313259"/>
      <w:bookmarkEnd w:id="317"/>
      <w:bookmarkStart w:id="318" w:name="_Toc184310277"/>
      <w:bookmarkEnd w:id="318"/>
      <w:bookmarkStart w:id="319" w:name="_Toc184314432"/>
      <w:bookmarkEnd w:id="319"/>
      <w:bookmarkStart w:id="320" w:name="_Toc184312111"/>
      <w:bookmarkEnd w:id="320"/>
      <w:bookmarkStart w:id="321" w:name="_Toc184312137"/>
      <w:bookmarkEnd w:id="321"/>
      <w:bookmarkStart w:id="322" w:name="_Toc184313248"/>
      <w:bookmarkEnd w:id="322"/>
      <w:bookmarkStart w:id="323" w:name="_Toc184308076"/>
      <w:bookmarkEnd w:id="323"/>
      <w:bookmarkStart w:id="324" w:name="_Toc184313288"/>
      <w:bookmarkEnd w:id="324"/>
      <w:bookmarkStart w:id="325" w:name="_Toc184312073"/>
      <w:bookmarkEnd w:id="325"/>
      <w:bookmarkStart w:id="326" w:name="_Toc184310288"/>
      <w:bookmarkEnd w:id="326"/>
      <w:bookmarkStart w:id="327" w:name="_Toc184310324"/>
      <w:bookmarkEnd w:id="327"/>
      <w:bookmarkStart w:id="328" w:name="_Toc184313268"/>
      <w:bookmarkEnd w:id="328"/>
      <w:bookmarkStart w:id="329" w:name="_Toc184310296"/>
      <w:bookmarkEnd w:id="329"/>
      <w:bookmarkStart w:id="330" w:name="_Toc184314446"/>
      <w:bookmarkEnd w:id="330"/>
      <w:bookmarkStart w:id="331" w:name="_Toc184314453"/>
      <w:bookmarkEnd w:id="331"/>
      <w:bookmarkStart w:id="332" w:name="_Toc184310272"/>
      <w:bookmarkEnd w:id="332"/>
      <w:bookmarkStart w:id="333" w:name="_Toc184312089"/>
      <w:bookmarkEnd w:id="333"/>
      <w:bookmarkStart w:id="334" w:name="_Toc184314448"/>
      <w:bookmarkEnd w:id="334"/>
      <w:bookmarkStart w:id="335" w:name="_Toc184310287"/>
      <w:bookmarkEnd w:id="335"/>
      <w:bookmarkStart w:id="336" w:name="_Toc184310336"/>
      <w:bookmarkEnd w:id="336"/>
      <w:bookmarkStart w:id="337" w:name="_Toc184310293"/>
      <w:bookmarkEnd w:id="337"/>
      <w:bookmarkStart w:id="338" w:name="_Toc184312123"/>
      <w:bookmarkEnd w:id="338"/>
      <w:bookmarkStart w:id="339" w:name="_Toc184310283"/>
      <w:bookmarkEnd w:id="339"/>
      <w:bookmarkStart w:id="340" w:name="_Toc184312081"/>
      <w:bookmarkEnd w:id="340"/>
      <w:bookmarkStart w:id="341" w:name="_Toc184313239"/>
      <w:bookmarkEnd w:id="341"/>
      <w:bookmarkStart w:id="342" w:name="_Toc184313251"/>
      <w:bookmarkEnd w:id="342"/>
      <w:bookmarkStart w:id="343" w:name="_Toc184313254"/>
      <w:bookmarkEnd w:id="343"/>
      <w:bookmarkStart w:id="344" w:name="_Toc184313295"/>
      <w:bookmarkEnd w:id="344"/>
      <w:bookmarkStart w:id="345" w:name="_Toc184310292"/>
      <w:bookmarkEnd w:id="345"/>
      <w:bookmarkStart w:id="346" w:name="_Toc184314452"/>
      <w:bookmarkEnd w:id="346"/>
      <w:bookmarkStart w:id="347" w:name="_Toc184313299"/>
      <w:bookmarkEnd w:id="347"/>
      <w:bookmarkStart w:id="348" w:name="_Toc184310307"/>
      <w:bookmarkEnd w:id="348"/>
      <w:bookmarkStart w:id="349" w:name="_Toc184308087"/>
      <w:bookmarkEnd w:id="349"/>
      <w:bookmarkStart w:id="350" w:name="_Toc184314434"/>
      <w:bookmarkEnd w:id="350"/>
      <w:bookmarkStart w:id="351" w:name="_Toc184310321"/>
      <w:bookmarkEnd w:id="351"/>
      <w:bookmarkStart w:id="352" w:name="_Toc184310280"/>
      <w:bookmarkEnd w:id="352"/>
      <w:bookmarkStart w:id="353" w:name="_Toc184310318"/>
      <w:bookmarkEnd w:id="353"/>
      <w:bookmarkStart w:id="354" w:name="_Toc184308075"/>
      <w:bookmarkEnd w:id="354"/>
      <w:bookmarkStart w:id="355" w:name="_Toc184314450"/>
      <w:bookmarkEnd w:id="355"/>
      <w:bookmarkStart w:id="356" w:name="_Toc184312118"/>
      <w:bookmarkEnd w:id="356"/>
      <w:bookmarkStart w:id="357" w:name="_Toc184314464"/>
      <w:bookmarkEnd w:id="357"/>
      <w:bookmarkStart w:id="358" w:name="_Toc184314445"/>
      <w:bookmarkEnd w:id="358"/>
      <w:bookmarkStart w:id="359" w:name="_Toc184313242"/>
      <w:bookmarkEnd w:id="359"/>
      <w:bookmarkStart w:id="360" w:name="_Toc184312083"/>
      <w:bookmarkEnd w:id="360"/>
      <w:bookmarkStart w:id="361" w:name="_Toc184310327"/>
      <w:bookmarkEnd w:id="361"/>
      <w:bookmarkStart w:id="362" w:name="_Toc184308103"/>
      <w:bookmarkEnd w:id="362"/>
      <w:bookmarkStart w:id="363" w:name="_Toc184312087"/>
      <w:bookmarkEnd w:id="363"/>
      <w:bookmarkStart w:id="364" w:name="_Toc184308045"/>
      <w:bookmarkEnd w:id="364"/>
      <w:bookmarkStart w:id="365" w:name="_Toc184310317"/>
      <w:bookmarkEnd w:id="365"/>
      <w:bookmarkStart w:id="366" w:name="_Toc184310325"/>
      <w:bookmarkEnd w:id="366"/>
      <w:bookmarkStart w:id="367" w:name="_Toc184310301"/>
      <w:bookmarkEnd w:id="367"/>
      <w:bookmarkStart w:id="368" w:name="_Toc184312105"/>
      <w:bookmarkEnd w:id="368"/>
      <w:bookmarkStart w:id="369" w:name="_Toc184312097"/>
      <w:bookmarkEnd w:id="369"/>
      <w:bookmarkStart w:id="370" w:name="_Toc184308088"/>
      <w:bookmarkEnd w:id="370"/>
      <w:bookmarkStart w:id="371" w:name="_Toc184308091"/>
      <w:bookmarkEnd w:id="371"/>
      <w:bookmarkStart w:id="372" w:name="_Toc184313289"/>
      <w:bookmarkEnd w:id="372"/>
      <w:bookmarkStart w:id="373" w:name="_Toc184313245"/>
      <w:bookmarkEnd w:id="373"/>
      <w:bookmarkStart w:id="374" w:name="_Toc184312102"/>
      <w:bookmarkEnd w:id="374"/>
      <w:bookmarkStart w:id="375" w:name="_Toc184312075"/>
      <w:bookmarkEnd w:id="375"/>
      <w:bookmarkStart w:id="376" w:name="_Toc184308044"/>
      <w:bookmarkEnd w:id="376"/>
      <w:bookmarkStart w:id="377" w:name="_Toc184312139"/>
      <w:bookmarkEnd w:id="377"/>
      <w:bookmarkStart w:id="378" w:name="_Toc184308086"/>
      <w:bookmarkEnd w:id="378"/>
      <w:bookmarkStart w:id="379" w:name="_Toc184312082"/>
      <w:bookmarkEnd w:id="379"/>
      <w:bookmarkStart w:id="380" w:name="_Toc184308090"/>
      <w:bookmarkEnd w:id="380"/>
      <w:bookmarkStart w:id="381" w:name="_Toc184314481"/>
      <w:bookmarkEnd w:id="381"/>
      <w:bookmarkStart w:id="382" w:name="_Toc184313285"/>
      <w:bookmarkEnd w:id="382"/>
      <w:bookmarkStart w:id="383" w:name="_Toc184308037"/>
      <w:bookmarkEnd w:id="383"/>
      <w:bookmarkStart w:id="384" w:name="_Toc184310279"/>
      <w:bookmarkEnd w:id="384"/>
      <w:bookmarkStart w:id="385" w:name="_Toc184314482"/>
      <w:bookmarkEnd w:id="385"/>
      <w:bookmarkStart w:id="386" w:name="_Toc184313273"/>
      <w:bookmarkEnd w:id="386"/>
      <w:bookmarkStart w:id="387" w:name="_Toc184310332"/>
      <w:bookmarkEnd w:id="387"/>
      <w:bookmarkStart w:id="388" w:name="_Toc184314470"/>
      <w:bookmarkEnd w:id="388"/>
      <w:bookmarkStart w:id="389" w:name="_Toc184308078"/>
      <w:bookmarkEnd w:id="389"/>
      <w:bookmarkStart w:id="390" w:name="_Toc184314417"/>
      <w:bookmarkEnd w:id="390"/>
      <w:bookmarkStart w:id="391" w:name="_Toc184313249"/>
      <w:bookmarkEnd w:id="391"/>
      <w:bookmarkStart w:id="392" w:name="_Toc184312113"/>
      <w:bookmarkEnd w:id="392"/>
      <w:bookmarkStart w:id="393" w:name="_Toc184312127"/>
      <w:bookmarkEnd w:id="393"/>
      <w:bookmarkStart w:id="394" w:name="_Toc184308080"/>
      <w:bookmarkEnd w:id="394"/>
      <w:bookmarkStart w:id="395" w:name="_Toc184313264"/>
      <w:bookmarkEnd w:id="395"/>
      <w:bookmarkStart w:id="396" w:name="_Toc184308068"/>
      <w:bookmarkEnd w:id="396"/>
      <w:bookmarkStart w:id="397" w:name="_Toc184312116"/>
      <w:bookmarkEnd w:id="397"/>
      <w:r>
        <w:rPr>
          <w:rFonts w:hint="eastAsia"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4"/>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22"/>
        <w:gridCol w:w="5510"/>
        <w:gridCol w:w="63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666" w:type="dxa"/>
            <w:vAlign w:val="center"/>
          </w:tcPr>
          <w:p>
            <w:pPr>
              <w:spacing w:line="360" w:lineRule="auto"/>
              <w:jc w:val="center"/>
              <w:rPr>
                <w:rFonts w:ascii="宋体" w:hAnsi="宋体" w:cs="宋体"/>
                <w:b/>
                <w:bCs/>
                <w:sz w:val="24"/>
              </w:rPr>
            </w:pPr>
            <w:r>
              <w:rPr>
                <w:rFonts w:hint="eastAsia" w:ascii="宋体" w:hAnsi="宋体" w:cs="宋体"/>
                <w:b/>
                <w:bCs/>
                <w:sz w:val="24"/>
              </w:rPr>
              <w:t>序号</w:t>
            </w:r>
          </w:p>
        </w:tc>
        <w:tc>
          <w:tcPr>
            <w:tcW w:w="1222" w:type="dxa"/>
            <w:vAlign w:val="center"/>
          </w:tcPr>
          <w:p>
            <w:pPr>
              <w:spacing w:line="360" w:lineRule="auto"/>
              <w:jc w:val="center"/>
              <w:rPr>
                <w:rFonts w:ascii="宋体" w:hAnsi="宋体" w:cs="宋体"/>
                <w:b/>
                <w:bCs/>
                <w:sz w:val="24"/>
              </w:rPr>
            </w:pPr>
            <w:r>
              <w:rPr>
                <w:rFonts w:hint="eastAsia" w:ascii="宋体" w:hAnsi="宋体" w:cs="宋体"/>
                <w:b/>
                <w:bCs/>
                <w:sz w:val="24"/>
              </w:rPr>
              <w:t>评分内容</w:t>
            </w:r>
          </w:p>
        </w:tc>
        <w:tc>
          <w:tcPr>
            <w:tcW w:w="5510" w:type="dxa"/>
            <w:vAlign w:val="center"/>
          </w:tcPr>
          <w:p>
            <w:pPr>
              <w:spacing w:line="360" w:lineRule="auto"/>
              <w:jc w:val="center"/>
              <w:rPr>
                <w:rFonts w:ascii="宋体" w:hAnsi="宋体" w:cs="宋体"/>
                <w:b/>
                <w:bCs/>
                <w:sz w:val="24"/>
              </w:rPr>
            </w:pPr>
            <w:r>
              <w:rPr>
                <w:rFonts w:hint="eastAsia" w:ascii="宋体" w:hAnsi="宋体" w:cs="宋体"/>
                <w:b/>
                <w:bCs/>
                <w:sz w:val="24"/>
              </w:rPr>
              <w:t>评分方法</w:t>
            </w:r>
          </w:p>
        </w:tc>
        <w:tc>
          <w:tcPr>
            <w:tcW w:w="630" w:type="dxa"/>
            <w:vAlign w:val="center"/>
          </w:tcPr>
          <w:p>
            <w:pPr>
              <w:spacing w:line="360" w:lineRule="auto"/>
              <w:jc w:val="center"/>
              <w:rPr>
                <w:rFonts w:ascii="宋体" w:hAnsi="宋体" w:cs="宋体"/>
                <w:b/>
                <w:bCs/>
                <w:sz w:val="24"/>
              </w:rPr>
            </w:pPr>
            <w:r>
              <w:rPr>
                <w:rFonts w:hint="eastAsia" w:ascii="宋体" w:hAnsi="宋体" w:cs="宋体"/>
                <w:b/>
                <w:bCs/>
                <w:sz w:val="24"/>
              </w:rPr>
              <w:t>权重</w:t>
            </w:r>
          </w:p>
        </w:tc>
        <w:tc>
          <w:tcPr>
            <w:tcW w:w="1431" w:type="dxa"/>
            <w:vAlign w:val="center"/>
          </w:tcPr>
          <w:p>
            <w:pPr>
              <w:spacing w:line="360" w:lineRule="auto"/>
              <w:jc w:val="center"/>
              <w:rPr>
                <w:rFonts w:ascii="宋体" w:hAnsi="宋体" w:cs="宋体"/>
                <w:b/>
                <w:bCs/>
                <w:sz w:val="24"/>
              </w:rPr>
            </w:pPr>
            <w:r>
              <w:rPr>
                <w:rFonts w:hint="eastAsia" w:ascii="宋体" w:hAnsi="宋体" w:cs="宋体"/>
                <w:b/>
                <w:bCs/>
                <w:sz w:val="24"/>
              </w:rPr>
              <w:t>投标文件中评标标准相应的商务技术资料目录</w:t>
            </w:r>
            <w:r>
              <w:rPr>
                <w:rFonts w:hint="eastAsia" w:ascii="宋体" w:hAnsi="宋体" w:cs="宋体"/>
                <w:b/>
                <w:bCs/>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1</w:t>
            </w:r>
          </w:p>
        </w:tc>
        <w:tc>
          <w:tcPr>
            <w:tcW w:w="1222" w:type="dxa"/>
            <w:vAlign w:val="center"/>
          </w:tcPr>
          <w:p>
            <w:pPr>
              <w:spacing w:line="360" w:lineRule="auto"/>
              <w:rPr>
                <w:rFonts w:ascii="宋体" w:hAnsi="宋体" w:cs="宋体"/>
                <w:sz w:val="24"/>
              </w:rPr>
            </w:pPr>
            <w:r>
              <w:rPr>
                <w:rFonts w:hint="eastAsia" w:ascii="宋体" w:hAnsi="宋体" w:cs="宋体"/>
                <w:sz w:val="24"/>
                <w:lang w:val="zh-CN"/>
              </w:rPr>
              <w:t>投标方案的科学性和完整性</w:t>
            </w:r>
          </w:p>
        </w:tc>
        <w:tc>
          <w:tcPr>
            <w:tcW w:w="5510" w:type="dxa"/>
            <w:vAlign w:val="center"/>
          </w:tcPr>
          <w:p>
            <w:pPr>
              <w:numPr>
                <w:ilvl w:val="0"/>
                <w:numId w:val="5"/>
              </w:numPr>
              <w:snapToGrid w:val="0"/>
              <w:spacing w:line="360" w:lineRule="auto"/>
              <w:rPr>
                <w:rFonts w:ascii="宋体" w:hAnsi="宋体" w:cs="宋体"/>
                <w:sz w:val="24"/>
                <w:lang w:val="zh-CN"/>
              </w:rPr>
            </w:pPr>
            <w:r>
              <w:rPr>
                <w:rFonts w:hint="eastAsia" w:ascii="宋体" w:hAnsi="宋体" w:cs="宋体"/>
                <w:sz w:val="24"/>
                <w:lang w:val="zh-CN"/>
              </w:rPr>
              <w:t>投标方案与需求的吻合程度，包括方案的科学性、先进性、可靠性、成熟性、合理性和扩展性；方案设计的功能实现以及方案配置的合理性等方面与项目对应需求的满足程度等（</w:t>
            </w:r>
            <w:r>
              <w:rPr>
                <w:rFonts w:hint="eastAsia" w:ascii="宋体" w:hAnsi="宋体" w:cs="宋体"/>
                <w:sz w:val="24"/>
              </w:rPr>
              <w:t>0-2</w:t>
            </w:r>
            <w:r>
              <w:rPr>
                <w:rFonts w:hint="eastAsia" w:ascii="宋体" w:hAnsi="宋体" w:cs="宋体"/>
                <w:sz w:val="24"/>
                <w:lang w:val="zh-CN"/>
              </w:rPr>
              <w:t>分）；</w:t>
            </w:r>
          </w:p>
          <w:p>
            <w:pPr>
              <w:numPr>
                <w:ilvl w:val="0"/>
                <w:numId w:val="5"/>
              </w:numPr>
              <w:snapToGrid w:val="0"/>
              <w:spacing w:line="360" w:lineRule="auto"/>
              <w:rPr>
                <w:rFonts w:ascii="宋体" w:hAnsi="宋体" w:cs="宋体"/>
                <w:sz w:val="24"/>
              </w:rPr>
            </w:pPr>
            <w:r>
              <w:rPr>
                <w:rFonts w:hint="eastAsia" w:ascii="宋体" w:hAnsi="宋体" w:cs="宋体"/>
                <w:sz w:val="24"/>
                <w:lang w:val="zh-CN"/>
              </w:rPr>
              <w:t>投标方案点对点应答是否详尽、明晰，是否满足招标文件要求；投标文件编制是否完整、格式规范、内容齐全、表述准确、条理清晰，内容无前后矛盾，符合招标文件要求（</w:t>
            </w:r>
            <w:r>
              <w:rPr>
                <w:rFonts w:hint="eastAsia" w:ascii="宋体" w:hAnsi="宋体" w:cs="宋体"/>
                <w:sz w:val="24"/>
              </w:rPr>
              <w:t>0-2</w:t>
            </w:r>
            <w:r>
              <w:rPr>
                <w:rFonts w:hint="eastAsia" w:ascii="宋体" w:hAnsi="宋体" w:cs="宋体"/>
                <w:sz w:val="24"/>
                <w:lang w:val="zh-CN"/>
              </w:rPr>
              <w:t>分）。</w:t>
            </w:r>
          </w:p>
        </w:tc>
        <w:tc>
          <w:tcPr>
            <w:tcW w:w="630" w:type="dxa"/>
            <w:vAlign w:val="center"/>
          </w:tcPr>
          <w:p>
            <w:pPr>
              <w:spacing w:line="360" w:lineRule="auto"/>
              <w:jc w:val="center"/>
              <w:rPr>
                <w:rFonts w:ascii="宋体" w:hAnsi="宋体" w:cs="宋体"/>
                <w:sz w:val="24"/>
              </w:rPr>
            </w:pPr>
            <w:r>
              <w:rPr>
                <w:rFonts w:hint="eastAsia" w:ascii="宋体" w:hAnsi="宋体" w:cs="宋体"/>
                <w:sz w:val="24"/>
              </w:rPr>
              <w:t>4</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2</w:t>
            </w:r>
          </w:p>
        </w:tc>
        <w:tc>
          <w:tcPr>
            <w:tcW w:w="1222" w:type="dxa"/>
            <w:vAlign w:val="center"/>
          </w:tcPr>
          <w:p>
            <w:pPr>
              <w:spacing w:line="360" w:lineRule="auto"/>
              <w:jc w:val="center"/>
              <w:rPr>
                <w:rFonts w:ascii="宋体" w:hAnsi="宋体" w:cs="宋体"/>
                <w:sz w:val="24"/>
              </w:rPr>
            </w:pPr>
            <w:r>
              <w:rPr>
                <w:rFonts w:hint="eastAsia" w:ascii="宋体" w:hAnsi="宋体" w:cs="宋体"/>
                <w:sz w:val="24"/>
                <w:lang w:val="zh-CN"/>
              </w:rPr>
              <w:t>投标产品的性能与需求的吻合程度</w:t>
            </w:r>
          </w:p>
        </w:tc>
        <w:tc>
          <w:tcPr>
            <w:tcW w:w="5510" w:type="dxa"/>
            <w:vAlign w:val="center"/>
          </w:tcPr>
          <w:p>
            <w:pPr>
              <w:widowControl/>
              <w:shd w:val="clear" w:color="auto" w:fill="FFFFFF"/>
              <w:adjustRightInd/>
              <w:snapToGrid w:val="0"/>
              <w:spacing w:line="360" w:lineRule="auto"/>
              <w:jc w:val="left"/>
              <w:rPr>
                <w:rFonts w:ascii="宋体" w:hAnsi="宋体" w:cs="宋体"/>
                <w:sz w:val="24"/>
              </w:rPr>
            </w:pPr>
            <w:r>
              <w:rPr>
                <w:rFonts w:hint="eastAsia" w:ascii="宋体" w:hAnsi="宋体" w:cs="宋体"/>
                <w:sz w:val="24"/>
              </w:rPr>
              <w:t>完全满足招标文件“第三部分 采购需求”的技术指标要求得35分，标注“</w:t>
            </w:r>
            <w:r>
              <w:rPr>
                <w:rFonts w:hint="eastAsia" w:ascii="宋体" w:hAnsi="宋体" w:cs="宋体"/>
                <w:b/>
                <w:sz w:val="24"/>
              </w:rPr>
              <w:t>★</w:t>
            </w:r>
            <w:r>
              <w:rPr>
                <w:rFonts w:hint="eastAsia" w:ascii="宋体" w:hAnsi="宋体" w:cs="宋体"/>
                <w:sz w:val="24"/>
              </w:rPr>
              <w:t xml:space="preserve">”的条款，每负偏离一项扣4分，其余条款每负偏离一项扣2分，扣完为止。 </w:t>
            </w:r>
          </w:p>
          <w:p>
            <w:pPr>
              <w:snapToGrid w:val="0"/>
              <w:spacing w:line="360" w:lineRule="auto"/>
              <w:rPr>
                <w:rFonts w:ascii="宋体" w:hAnsi="宋体" w:cs="宋体"/>
                <w:sz w:val="24"/>
              </w:rPr>
            </w:pPr>
            <w:r>
              <w:rPr>
                <w:rFonts w:hint="eastAsia" w:ascii="宋体" w:hAnsi="宋体" w:cs="宋体"/>
                <w:b/>
                <w:sz w:val="24"/>
              </w:rPr>
              <w:t>需提供技术支持资料，如产品说明书或官网产品介绍截图或其他证明资料。未提供技术支持资料视为负偏离。</w:t>
            </w:r>
          </w:p>
        </w:tc>
        <w:tc>
          <w:tcPr>
            <w:tcW w:w="630" w:type="dxa"/>
            <w:vAlign w:val="center"/>
          </w:tcPr>
          <w:p>
            <w:pPr>
              <w:spacing w:line="360" w:lineRule="auto"/>
              <w:jc w:val="center"/>
              <w:rPr>
                <w:rFonts w:ascii="宋体" w:hAnsi="宋体" w:cs="宋体"/>
                <w:sz w:val="24"/>
              </w:rPr>
            </w:pPr>
            <w:r>
              <w:rPr>
                <w:rFonts w:hint="eastAsia" w:ascii="宋体" w:hAnsi="宋体" w:cs="宋体"/>
                <w:sz w:val="24"/>
              </w:rPr>
              <w:t>36</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3</w:t>
            </w:r>
          </w:p>
        </w:tc>
        <w:tc>
          <w:tcPr>
            <w:tcW w:w="1222" w:type="dxa"/>
            <w:vAlign w:val="center"/>
          </w:tcPr>
          <w:p>
            <w:pPr>
              <w:spacing w:line="360" w:lineRule="auto"/>
              <w:jc w:val="center"/>
              <w:rPr>
                <w:rFonts w:ascii="宋体" w:hAnsi="宋体" w:cs="宋体"/>
                <w:sz w:val="24"/>
              </w:rPr>
            </w:pPr>
            <w:r>
              <w:rPr>
                <w:rFonts w:hint="eastAsia" w:ascii="宋体" w:hAnsi="宋体" w:cs="宋体"/>
                <w:sz w:val="24"/>
                <w:lang w:val="zh-CN"/>
              </w:rPr>
              <w:t>组织实施方案</w:t>
            </w:r>
          </w:p>
        </w:tc>
        <w:tc>
          <w:tcPr>
            <w:tcW w:w="5510" w:type="dxa"/>
            <w:vAlign w:val="center"/>
          </w:tcPr>
          <w:p>
            <w:pPr>
              <w:snapToGrid w:val="0"/>
              <w:spacing w:line="360" w:lineRule="auto"/>
              <w:rPr>
                <w:rFonts w:ascii="宋体" w:hAnsi="宋体" w:cs="宋体"/>
                <w:sz w:val="24"/>
              </w:rPr>
            </w:pPr>
            <w:r>
              <w:rPr>
                <w:rFonts w:hint="eastAsia" w:ascii="宋体" w:hAnsi="宋体" w:cs="宋体"/>
                <w:sz w:val="24"/>
                <w:lang w:val="zh-CN"/>
              </w:rPr>
              <w:t>投标人组织实施方案的科学性、合理性、规范性和可操作性，包括系统集成、产品供货、验货、安装调试、试运行、测试、调优、系统管理培训、系统运行维护培训等内容，以及组织机构、工作时间进度表、工作程序和步骤、管理和协调方法、关键步骤的思路和要点等。（</w:t>
            </w:r>
            <w:r>
              <w:rPr>
                <w:rFonts w:hint="eastAsia" w:ascii="宋体" w:hAnsi="宋体" w:cs="宋体"/>
                <w:sz w:val="24"/>
              </w:rPr>
              <w:t>0-3</w:t>
            </w:r>
            <w:r>
              <w:rPr>
                <w:rFonts w:hint="eastAsia" w:ascii="宋体" w:hAnsi="宋体" w:cs="宋体"/>
                <w:sz w:val="24"/>
                <w:lang w:val="zh-CN"/>
              </w:rPr>
              <w:t>分）</w:t>
            </w:r>
          </w:p>
        </w:tc>
        <w:tc>
          <w:tcPr>
            <w:tcW w:w="630" w:type="dxa"/>
            <w:vAlign w:val="center"/>
          </w:tcPr>
          <w:p>
            <w:pPr>
              <w:spacing w:line="360" w:lineRule="auto"/>
              <w:jc w:val="center"/>
              <w:rPr>
                <w:rFonts w:ascii="宋体" w:hAnsi="宋体" w:cs="宋体"/>
                <w:sz w:val="24"/>
              </w:rPr>
            </w:pPr>
            <w:r>
              <w:rPr>
                <w:rFonts w:hint="eastAsia" w:ascii="宋体" w:hAnsi="宋体" w:cs="宋体"/>
                <w:sz w:val="24"/>
              </w:rPr>
              <w:t>3</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4</w:t>
            </w:r>
          </w:p>
        </w:tc>
        <w:tc>
          <w:tcPr>
            <w:tcW w:w="1222" w:type="dxa"/>
            <w:vAlign w:val="center"/>
          </w:tcPr>
          <w:p>
            <w:pPr>
              <w:spacing w:line="360" w:lineRule="auto"/>
              <w:jc w:val="center"/>
              <w:rPr>
                <w:rFonts w:ascii="宋体" w:hAnsi="宋体" w:cs="宋体"/>
                <w:sz w:val="24"/>
                <w:lang w:val="zh-CN"/>
              </w:rPr>
            </w:pPr>
            <w:r>
              <w:rPr>
                <w:rFonts w:hint="eastAsia" w:ascii="宋体" w:hAnsi="宋体" w:cs="宋体"/>
                <w:sz w:val="24"/>
              </w:rPr>
              <w:t>供货、安装调试方案</w:t>
            </w:r>
          </w:p>
        </w:tc>
        <w:tc>
          <w:tcPr>
            <w:tcW w:w="5510" w:type="dxa"/>
            <w:vAlign w:val="center"/>
          </w:tcPr>
          <w:p>
            <w:pPr>
              <w:tabs>
                <w:tab w:val="left" w:pos="900"/>
              </w:tabs>
              <w:snapToGrid w:val="0"/>
              <w:spacing w:line="360" w:lineRule="auto"/>
              <w:rPr>
                <w:rFonts w:ascii="宋体" w:hAnsi="宋体" w:cs="宋体"/>
                <w:b/>
                <w:bCs/>
                <w:sz w:val="24"/>
              </w:rPr>
            </w:pPr>
            <w:r>
              <w:rPr>
                <w:rFonts w:hint="eastAsia" w:ascii="宋体" w:hAnsi="宋体" w:cs="宋体"/>
                <w:sz w:val="24"/>
              </w:rPr>
              <w:t>提供供货、安装调试方案并符合采购需求，且方案科学、合理。</w:t>
            </w:r>
            <w:r>
              <w:rPr>
                <w:rFonts w:hint="eastAsia" w:ascii="宋体" w:hAnsi="宋体" w:cs="宋体"/>
                <w:sz w:val="24"/>
                <w:lang w:val="zh-CN"/>
              </w:rPr>
              <w:t>（</w:t>
            </w:r>
            <w:r>
              <w:rPr>
                <w:rFonts w:hint="eastAsia" w:ascii="宋体" w:hAnsi="宋体" w:cs="宋体"/>
                <w:sz w:val="24"/>
              </w:rPr>
              <w:t>0-3</w:t>
            </w:r>
            <w:r>
              <w:rPr>
                <w:rFonts w:hint="eastAsia" w:ascii="宋体" w:hAnsi="宋体" w:cs="宋体"/>
                <w:sz w:val="24"/>
                <w:lang w:val="zh-CN"/>
              </w:rPr>
              <w:t>分）</w:t>
            </w:r>
          </w:p>
        </w:tc>
        <w:tc>
          <w:tcPr>
            <w:tcW w:w="630" w:type="dxa"/>
            <w:vAlign w:val="center"/>
          </w:tcPr>
          <w:p>
            <w:pPr>
              <w:spacing w:line="360" w:lineRule="auto"/>
              <w:jc w:val="center"/>
              <w:rPr>
                <w:rFonts w:ascii="宋体" w:hAnsi="宋体" w:cs="宋体"/>
                <w:sz w:val="24"/>
              </w:rPr>
            </w:pPr>
            <w:r>
              <w:rPr>
                <w:rFonts w:hint="eastAsia" w:ascii="宋体" w:hAnsi="宋体" w:cs="宋体"/>
                <w:sz w:val="24"/>
              </w:rPr>
              <w:t>3</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5</w:t>
            </w:r>
          </w:p>
        </w:tc>
        <w:tc>
          <w:tcPr>
            <w:tcW w:w="1222" w:type="dxa"/>
            <w:vAlign w:val="center"/>
          </w:tcPr>
          <w:p>
            <w:pPr>
              <w:spacing w:line="360" w:lineRule="auto"/>
              <w:jc w:val="center"/>
              <w:rPr>
                <w:rFonts w:ascii="宋体" w:hAnsi="宋体" w:cs="宋体"/>
                <w:sz w:val="24"/>
              </w:rPr>
            </w:pPr>
            <w:r>
              <w:rPr>
                <w:rFonts w:hint="eastAsia" w:ascii="宋体" w:hAnsi="宋体" w:cs="宋体"/>
                <w:sz w:val="24"/>
                <w:lang w:val="zh-CN"/>
              </w:rPr>
              <w:t>售后服务方案情况</w:t>
            </w:r>
          </w:p>
        </w:tc>
        <w:tc>
          <w:tcPr>
            <w:tcW w:w="5510" w:type="dxa"/>
            <w:vAlign w:val="center"/>
          </w:tcPr>
          <w:p>
            <w:pPr>
              <w:numPr>
                <w:ilvl w:val="0"/>
                <w:numId w:val="6"/>
              </w:numPr>
              <w:tabs>
                <w:tab w:val="left" w:pos="900"/>
              </w:tabs>
              <w:snapToGrid w:val="0"/>
              <w:spacing w:line="360" w:lineRule="auto"/>
              <w:rPr>
                <w:rFonts w:ascii="宋体" w:hAnsi="宋体" w:cs="宋体"/>
                <w:sz w:val="24"/>
                <w:lang w:val="zh-CN"/>
              </w:rPr>
            </w:pPr>
            <w:r>
              <w:rPr>
                <w:rFonts w:hint="eastAsia" w:ascii="宋体" w:hAnsi="宋体" w:cs="宋体"/>
                <w:sz w:val="24"/>
                <w:lang w:val="zh-CN"/>
              </w:rPr>
              <w:t>投标人提供的售后维护机构和人员等情况，售后服务承诺的可行性、完整性以及服务承诺落实的保障措施等情况；（</w:t>
            </w:r>
            <w:r>
              <w:rPr>
                <w:rFonts w:hint="eastAsia" w:ascii="宋体" w:hAnsi="宋体" w:cs="宋体"/>
                <w:sz w:val="24"/>
              </w:rPr>
              <w:t>0-1分</w:t>
            </w:r>
            <w:r>
              <w:rPr>
                <w:rFonts w:hint="eastAsia" w:ascii="宋体" w:hAnsi="宋体" w:cs="宋体"/>
                <w:sz w:val="24"/>
                <w:lang w:val="zh-CN"/>
              </w:rPr>
              <w:t>）</w:t>
            </w:r>
          </w:p>
          <w:p>
            <w:pPr>
              <w:numPr>
                <w:ilvl w:val="0"/>
                <w:numId w:val="6"/>
              </w:numPr>
              <w:tabs>
                <w:tab w:val="left" w:pos="900"/>
              </w:tabs>
              <w:snapToGrid w:val="0"/>
              <w:spacing w:line="360" w:lineRule="auto"/>
              <w:rPr>
                <w:rFonts w:ascii="宋体" w:hAnsi="宋体" w:cs="宋体"/>
                <w:sz w:val="24"/>
                <w:lang w:val="zh-CN"/>
              </w:rPr>
            </w:pPr>
            <w:r>
              <w:rPr>
                <w:rFonts w:hint="eastAsia" w:ascii="宋体" w:hAnsi="宋体" w:cs="宋体"/>
                <w:sz w:val="24"/>
                <w:lang w:val="zh-CN"/>
              </w:rPr>
              <w:t>是否具有较强的本地化服务能力，在本地是否拥有常驻服务和技术支持机构以及较强的专业技术队伍，能提供快速的售后服务响应（</w:t>
            </w:r>
            <w:r>
              <w:rPr>
                <w:rFonts w:hint="eastAsia" w:ascii="宋体" w:hAnsi="宋体" w:cs="宋体"/>
                <w:sz w:val="24"/>
              </w:rPr>
              <w:t>0-1</w:t>
            </w:r>
            <w:r>
              <w:rPr>
                <w:rFonts w:hint="eastAsia" w:ascii="宋体" w:hAnsi="宋体" w:cs="宋体"/>
                <w:sz w:val="24"/>
                <w:lang w:val="zh-CN"/>
              </w:rPr>
              <w:t>分）；</w:t>
            </w:r>
          </w:p>
          <w:p>
            <w:pPr>
              <w:numPr>
                <w:ilvl w:val="0"/>
                <w:numId w:val="6"/>
              </w:numPr>
              <w:tabs>
                <w:tab w:val="left" w:pos="900"/>
              </w:tabs>
              <w:snapToGrid w:val="0"/>
              <w:spacing w:line="360" w:lineRule="auto"/>
              <w:rPr>
                <w:rFonts w:ascii="宋体" w:hAnsi="宋体" w:cs="宋体"/>
                <w:sz w:val="24"/>
                <w:lang w:val="zh-CN"/>
              </w:rPr>
            </w:pPr>
            <w:r>
              <w:rPr>
                <w:rFonts w:hint="eastAsia" w:ascii="宋体" w:hAnsi="宋体" w:cs="宋体"/>
                <w:sz w:val="24"/>
                <w:lang w:val="zh-CN"/>
              </w:rPr>
              <w:t>投标人提供的售后服务方案、维护人员和机构等情况，是否满足采购人的要求（</w:t>
            </w:r>
            <w:r>
              <w:rPr>
                <w:rFonts w:hint="eastAsia" w:ascii="宋体" w:hAnsi="宋体" w:cs="宋体"/>
                <w:sz w:val="24"/>
              </w:rPr>
              <w:t>0-1分</w:t>
            </w:r>
            <w:r>
              <w:rPr>
                <w:rFonts w:hint="eastAsia" w:ascii="宋体" w:hAnsi="宋体" w:cs="宋体"/>
                <w:sz w:val="24"/>
                <w:lang w:val="zh-CN"/>
              </w:rPr>
              <w:t>）</w:t>
            </w:r>
          </w:p>
          <w:p>
            <w:pPr>
              <w:numPr>
                <w:ilvl w:val="0"/>
                <w:numId w:val="6"/>
              </w:numPr>
              <w:tabs>
                <w:tab w:val="left" w:pos="900"/>
              </w:tabs>
              <w:snapToGrid w:val="0"/>
              <w:spacing w:line="360" w:lineRule="auto"/>
              <w:rPr>
                <w:rFonts w:ascii="宋体" w:hAnsi="宋体" w:cs="宋体"/>
                <w:sz w:val="24"/>
              </w:rPr>
            </w:pPr>
            <w:r>
              <w:rPr>
                <w:rFonts w:hint="eastAsia" w:ascii="宋体" w:hAnsi="宋体" w:cs="宋体"/>
                <w:sz w:val="24"/>
                <w:lang w:val="zh-CN"/>
              </w:rPr>
              <w:t>质保期限的长短以及服务承诺的可行性、完整性以及服务承诺落实的保障措施，质保期内外的后续技术支持和维护能力情况等（</w:t>
            </w:r>
            <w:r>
              <w:rPr>
                <w:rFonts w:hint="eastAsia" w:ascii="宋体" w:hAnsi="宋体" w:cs="宋体"/>
                <w:sz w:val="24"/>
              </w:rPr>
              <w:t>0-1</w:t>
            </w:r>
            <w:r>
              <w:rPr>
                <w:rFonts w:hint="eastAsia" w:ascii="宋体" w:hAnsi="宋体" w:cs="宋体"/>
                <w:sz w:val="24"/>
                <w:lang w:val="zh-CN"/>
              </w:rPr>
              <w:t>分）；</w:t>
            </w:r>
          </w:p>
        </w:tc>
        <w:tc>
          <w:tcPr>
            <w:tcW w:w="630" w:type="dxa"/>
            <w:vAlign w:val="center"/>
          </w:tcPr>
          <w:p>
            <w:pPr>
              <w:spacing w:line="360" w:lineRule="auto"/>
              <w:jc w:val="center"/>
              <w:rPr>
                <w:rFonts w:ascii="宋体" w:hAnsi="宋体" w:cs="宋体"/>
                <w:sz w:val="24"/>
              </w:rPr>
            </w:pPr>
            <w:r>
              <w:rPr>
                <w:rFonts w:hint="eastAsia" w:ascii="宋体" w:hAnsi="宋体" w:cs="宋体"/>
                <w:sz w:val="24"/>
              </w:rPr>
              <w:t>4</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6</w:t>
            </w:r>
          </w:p>
        </w:tc>
        <w:tc>
          <w:tcPr>
            <w:tcW w:w="1222" w:type="dxa"/>
            <w:vAlign w:val="center"/>
          </w:tcPr>
          <w:p>
            <w:pPr>
              <w:spacing w:line="360" w:lineRule="auto"/>
              <w:jc w:val="center"/>
              <w:rPr>
                <w:rFonts w:ascii="宋体" w:hAnsi="宋体" w:cs="宋体"/>
                <w:sz w:val="24"/>
              </w:rPr>
            </w:pPr>
            <w:r>
              <w:rPr>
                <w:rFonts w:hint="eastAsia" w:ascii="宋体" w:hAnsi="宋体" w:cs="宋体"/>
                <w:sz w:val="24"/>
                <w:lang w:val="zh-CN"/>
              </w:rPr>
              <w:t>项目组人员素质情况</w:t>
            </w:r>
          </w:p>
        </w:tc>
        <w:tc>
          <w:tcPr>
            <w:tcW w:w="5510" w:type="dxa"/>
            <w:vAlign w:val="center"/>
          </w:tcPr>
          <w:p>
            <w:pPr>
              <w:snapToGrid w:val="0"/>
              <w:spacing w:line="360" w:lineRule="auto"/>
              <w:rPr>
                <w:rFonts w:ascii="宋体" w:hAnsi="宋体" w:cs="宋体"/>
                <w:sz w:val="24"/>
                <w:lang w:val="zh-CN"/>
              </w:rPr>
            </w:pPr>
            <w:r>
              <w:rPr>
                <w:rFonts w:hint="eastAsia" w:ascii="宋体" w:hAnsi="宋体" w:cs="宋体"/>
                <w:sz w:val="24"/>
              </w:rPr>
              <w:t>1、</w:t>
            </w:r>
            <w:r>
              <w:rPr>
                <w:rFonts w:hint="eastAsia" w:ascii="宋体" w:hAnsi="宋体" w:cs="宋体"/>
                <w:sz w:val="24"/>
                <w:lang w:val="zh-CN"/>
              </w:rPr>
              <w:t>拟担任本项目经理和技术负责人的专业素质、技术能力、经验等情况（</w:t>
            </w:r>
            <w:r>
              <w:rPr>
                <w:rFonts w:hint="eastAsia" w:ascii="宋体" w:hAnsi="宋体" w:cs="宋体"/>
                <w:sz w:val="24"/>
              </w:rPr>
              <w:t>0-2</w:t>
            </w:r>
            <w:r>
              <w:rPr>
                <w:rFonts w:hint="eastAsia" w:ascii="宋体" w:hAnsi="宋体" w:cs="宋体"/>
                <w:sz w:val="24"/>
                <w:lang w:val="zh-CN"/>
              </w:rPr>
              <w:t>）</w:t>
            </w:r>
          </w:p>
          <w:p>
            <w:pPr>
              <w:snapToGrid w:val="0"/>
              <w:spacing w:line="360" w:lineRule="auto"/>
              <w:rPr>
                <w:rFonts w:ascii="宋体" w:hAnsi="宋体" w:cs="宋体"/>
                <w:sz w:val="24"/>
              </w:rPr>
            </w:pPr>
            <w:r>
              <w:rPr>
                <w:rFonts w:hint="eastAsia" w:ascii="宋体" w:hAnsi="宋体" w:cs="宋体"/>
                <w:sz w:val="24"/>
              </w:rPr>
              <w:t>2、</w:t>
            </w:r>
            <w:r>
              <w:rPr>
                <w:rFonts w:hint="eastAsia" w:ascii="宋体" w:hAnsi="宋体" w:cs="宋体"/>
                <w:sz w:val="24"/>
                <w:lang w:val="zh-CN"/>
              </w:rPr>
              <w:t>项目组实施人员专业人员素质（包括专业认证工程师人员）、技术能力、专业分布、经验等，配置是否合理，是否具有类似项目建设</w:t>
            </w:r>
            <w:r>
              <w:rPr>
                <w:rFonts w:hint="eastAsia" w:ascii="宋体" w:hAnsi="宋体" w:cs="宋体"/>
                <w:sz w:val="24"/>
              </w:rPr>
              <w:t>经验</w:t>
            </w:r>
            <w:r>
              <w:rPr>
                <w:rFonts w:hint="eastAsia" w:ascii="宋体" w:hAnsi="宋体" w:cs="宋体"/>
                <w:sz w:val="24"/>
                <w:lang w:val="zh-CN"/>
              </w:rPr>
              <w:t>（参考履历表和相关资料、相关证书等）（</w:t>
            </w:r>
            <w:r>
              <w:rPr>
                <w:rFonts w:hint="eastAsia" w:ascii="宋体" w:hAnsi="宋体" w:cs="宋体"/>
                <w:sz w:val="24"/>
              </w:rPr>
              <w:t>0-</w:t>
            </w:r>
            <w:r>
              <w:rPr>
                <w:rFonts w:hint="eastAsia" w:ascii="宋体" w:hAnsi="宋体" w:cs="宋体"/>
                <w:sz w:val="24"/>
                <w:lang w:val="zh-CN"/>
              </w:rPr>
              <w:t>2分）。</w:t>
            </w:r>
          </w:p>
        </w:tc>
        <w:tc>
          <w:tcPr>
            <w:tcW w:w="630" w:type="dxa"/>
            <w:vAlign w:val="center"/>
          </w:tcPr>
          <w:p>
            <w:pPr>
              <w:spacing w:line="360" w:lineRule="auto"/>
              <w:jc w:val="center"/>
              <w:rPr>
                <w:rFonts w:ascii="宋体" w:hAnsi="宋体" w:cs="宋体"/>
                <w:sz w:val="24"/>
              </w:rPr>
            </w:pPr>
            <w:r>
              <w:rPr>
                <w:rFonts w:hint="eastAsia" w:ascii="宋体" w:hAnsi="宋体" w:cs="宋体"/>
                <w:sz w:val="24"/>
              </w:rPr>
              <w:t>4</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7</w:t>
            </w:r>
          </w:p>
        </w:tc>
        <w:tc>
          <w:tcPr>
            <w:tcW w:w="1222" w:type="dxa"/>
            <w:vAlign w:val="center"/>
          </w:tcPr>
          <w:p>
            <w:pPr>
              <w:spacing w:line="360" w:lineRule="auto"/>
              <w:jc w:val="center"/>
              <w:rPr>
                <w:rFonts w:ascii="宋体" w:hAnsi="宋体" w:cs="宋体"/>
                <w:sz w:val="24"/>
              </w:rPr>
            </w:pPr>
            <w:r>
              <w:rPr>
                <w:rFonts w:hint="eastAsia" w:ascii="宋体" w:hAnsi="宋体" w:cs="宋体"/>
                <w:sz w:val="24"/>
                <w:lang w:val="zh-CN"/>
              </w:rPr>
              <w:t>培训、测试、试运转、验收</w:t>
            </w:r>
          </w:p>
        </w:tc>
        <w:tc>
          <w:tcPr>
            <w:tcW w:w="5510" w:type="dxa"/>
            <w:vAlign w:val="center"/>
          </w:tcPr>
          <w:p>
            <w:pPr>
              <w:snapToGrid w:val="0"/>
              <w:spacing w:line="360" w:lineRule="auto"/>
              <w:rPr>
                <w:rFonts w:ascii="宋体" w:hAnsi="宋体" w:cs="宋体"/>
                <w:sz w:val="24"/>
                <w:lang w:val="zh-CN"/>
              </w:rPr>
            </w:pPr>
            <w:r>
              <w:rPr>
                <w:rFonts w:hint="eastAsia" w:ascii="宋体" w:hAnsi="宋体" w:cs="宋体"/>
                <w:sz w:val="24"/>
              </w:rPr>
              <w:t>1、</w:t>
            </w:r>
            <w:r>
              <w:rPr>
                <w:rFonts w:hint="eastAsia" w:ascii="宋体" w:hAnsi="宋体" w:cs="宋体"/>
                <w:sz w:val="24"/>
                <w:lang w:val="zh-CN"/>
              </w:rPr>
              <w:t>投标人提出的功能测试、试运转及验收方案的合理性、可行性情况等（</w:t>
            </w:r>
            <w:r>
              <w:rPr>
                <w:rFonts w:hint="eastAsia" w:ascii="宋体" w:hAnsi="宋体" w:cs="宋体"/>
                <w:sz w:val="24"/>
              </w:rPr>
              <w:t>0-</w:t>
            </w:r>
            <w:r>
              <w:rPr>
                <w:rFonts w:hint="eastAsia" w:ascii="宋体" w:hAnsi="宋体" w:cs="宋体"/>
                <w:sz w:val="24"/>
                <w:lang w:val="zh-CN"/>
              </w:rPr>
              <w:t>2分）；</w:t>
            </w:r>
          </w:p>
          <w:p>
            <w:pPr>
              <w:snapToGrid w:val="0"/>
              <w:spacing w:line="360" w:lineRule="auto"/>
              <w:rPr>
                <w:rFonts w:ascii="宋体" w:hAnsi="宋体" w:cs="宋体"/>
                <w:sz w:val="24"/>
              </w:rPr>
            </w:pPr>
            <w:r>
              <w:rPr>
                <w:rFonts w:hint="eastAsia" w:ascii="宋体" w:hAnsi="宋体" w:cs="宋体"/>
                <w:sz w:val="24"/>
              </w:rPr>
              <w:t>2、</w:t>
            </w:r>
            <w:r>
              <w:rPr>
                <w:rFonts w:hint="eastAsia" w:ascii="宋体" w:hAnsi="宋体" w:cs="宋体"/>
                <w:sz w:val="24"/>
                <w:lang w:val="zh-CN"/>
              </w:rPr>
              <w:t>投标人提出培训计划、地点、组织、人员配备、软硬件资料等内容是否完整、科学合理。（</w:t>
            </w:r>
            <w:r>
              <w:rPr>
                <w:rFonts w:hint="eastAsia" w:ascii="宋体" w:hAnsi="宋体" w:cs="宋体"/>
                <w:sz w:val="24"/>
              </w:rPr>
              <w:t>0-</w:t>
            </w:r>
            <w:r>
              <w:rPr>
                <w:rFonts w:hint="eastAsia" w:ascii="宋体" w:hAnsi="宋体" w:cs="宋体"/>
                <w:sz w:val="24"/>
                <w:lang w:val="zh-CN"/>
              </w:rPr>
              <w:t>2分）。</w:t>
            </w:r>
          </w:p>
        </w:tc>
        <w:tc>
          <w:tcPr>
            <w:tcW w:w="630" w:type="dxa"/>
            <w:vAlign w:val="center"/>
          </w:tcPr>
          <w:p>
            <w:pPr>
              <w:spacing w:line="360" w:lineRule="auto"/>
              <w:jc w:val="center"/>
              <w:rPr>
                <w:rFonts w:ascii="宋体" w:hAnsi="宋体" w:cs="宋体"/>
                <w:sz w:val="24"/>
              </w:rPr>
            </w:pPr>
            <w:r>
              <w:rPr>
                <w:rFonts w:hint="eastAsia" w:ascii="宋体" w:hAnsi="宋体" w:cs="宋体"/>
                <w:sz w:val="24"/>
              </w:rPr>
              <w:t>4</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66" w:type="dxa"/>
            <w:vAlign w:val="center"/>
          </w:tcPr>
          <w:p>
            <w:pPr>
              <w:pStyle w:val="964"/>
              <w:spacing w:line="360" w:lineRule="auto"/>
              <w:ind w:firstLine="0"/>
              <w:jc w:val="center"/>
              <w:rPr>
                <w:rFonts w:ascii="宋体" w:hAnsi="宋体" w:eastAsia="宋体" w:cs="宋体"/>
                <w:sz w:val="24"/>
              </w:rPr>
            </w:pPr>
            <w:r>
              <w:rPr>
                <w:rFonts w:hint="eastAsia" w:ascii="宋体" w:hAnsi="宋体" w:eastAsia="宋体" w:cs="宋体"/>
                <w:sz w:val="24"/>
              </w:rPr>
              <w:t>8</w:t>
            </w:r>
          </w:p>
        </w:tc>
        <w:tc>
          <w:tcPr>
            <w:tcW w:w="1222" w:type="dxa"/>
            <w:vAlign w:val="center"/>
          </w:tcPr>
          <w:p>
            <w:pPr>
              <w:spacing w:line="360" w:lineRule="auto"/>
              <w:jc w:val="center"/>
              <w:rPr>
                <w:rFonts w:ascii="宋体" w:hAnsi="宋体" w:cs="宋体"/>
                <w:sz w:val="24"/>
              </w:rPr>
            </w:pPr>
            <w:r>
              <w:rPr>
                <w:rFonts w:hint="eastAsia" w:ascii="宋体" w:hAnsi="宋体" w:cs="宋体"/>
                <w:sz w:val="24"/>
                <w:lang w:val="zh-CN"/>
              </w:rPr>
              <w:t>质量保证措施和交货情况</w:t>
            </w:r>
          </w:p>
        </w:tc>
        <w:tc>
          <w:tcPr>
            <w:tcW w:w="5510" w:type="dxa"/>
            <w:vAlign w:val="center"/>
          </w:tcPr>
          <w:p>
            <w:pPr>
              <w:snapToGrid w:val="0"/>
              <w:spacing w:line="360" w:lineRule="auto"/>
              <w:rPr>
                <w:rFonts w:ascii="宋体" w:hAnsi="宋体" w:cs="宋体"/>
                <w:sz w:val="24"/>
                <w:lang w:val="zh-CN"/>
              </w:rPr>
            </w:pPr>
            <w:r>
              <w:rPr>
                <w:rFonts w:hint="eastAsia" w:ascii="宋体" w:hAnsi="宋体" w:cs="宋体"/>
                <w:sz w:val="24"/>
              </w:rPr>
              <w:t>1、</w:t>
            </w:r>
            <w:r>
              <w:rPr>
                <w:rFonts w:hint="eastAsia" w:ascii="宋体" w:hAnsi="宋体" w:cs="宋体"/>
                <w:sz w:val="24"/>
                <w:lang w:val="zh-CN"/>
              </w:rPr>
              <w:t>投标人按采购人要求有明确的建设质量目标，质量保证措施，并具有详细可行的实施内容等（</w:t>
            </w:r>
            <w:r>
              <w:rPr>
                <w:rFonts w:hint="eastAsia" w:ascii="宋体" w:hAnsi="宋体" w:cs="宋体"/>
                <w:sz w:val="24"/>
              </w:rPr>
              <w:t>0-</w:t>
            </w:r>
            <w:r>
              <w:rPr>
                <w:rFonts w:hint="eastAsia" w:ascii="宋体" w:hAnsi="宋体" w:cs="宋体"/>
                <w:sz w:val="24"/>
                <w:lang w:val="zh-CN"/>
              </w:rPr>
              <w:t>2分）；</w:t>
            </w:r>
          </w:p>
          <w:p>
            <w:pPr>
              <w:snapToGrid w:val="0"/>
              <w:spacing w:line="360" w:lineRule="auto"/>
              <w:rPr>
                <w:rFonts w:ascii="宋体" w:hAnsi="宋体" w:cs="宋体"/>
                <w:sz w:val="24"/>
              </w:rPr>
            </w:pPr>
            <w:r>
              <w:rPr>
                <w:rFonts w:hint="eastAsia" w:ascii="宋体" w:hAnsi="宋体" w:cs="宋体"/>
                <w:sz w:val="24"/>
              </w:rPr>
              <w:t>2、</w:t>
            </w:r>
            <w:r>
              <w:rPr>
                <w:rFonts w:hint="eastAsia" w:ascii="宋体" w:hAnsi="宋体" w:cs="宋体"/>
                <w:sz w:val="24"/>
                <w:lang w:val="zh-CN"/>
              </w:rPr>
              <w:t>投标方案是否提出符合招标文件和采购单位要求，按期完成设备供货、试运行、验收等措施（</w:t>
            </w:r>
            <w:r>
              <w:rPr>
                <w:rFonts w:hint="eastAsia" w:ascii="宋体" w:hAnsi="宋体" w:cs="宋体"/>
                <w:sz w:val="24"/>
              </w:rPr>
              <w:t>0-2</w:t>
            </w:r>
            <w:r>
              <w:rPr>
                <w:rFonts w:hint="eastAsia" w:ascii="宋体" w:hAnsi="宋体" w:cs="宋体"/>
                <w:sz w:val="24"/>
                <w:lang w:val="zh-CN"/>
              </w:rPr>
              <w:t>分）。</w:t>
            </w:r>
          </w:p>
        </w:tc>
        <w:tc>
          <w:tcPr>
            <w:tcW w:w="630" w:type="dxa"/>
            <w:vAlign w:val="center"/>
          </w:tcPr>
          <w:p>
            <w:pPr>
              <w:spacing w:line="360" w:lineRule="auto"/>
              <w:jc w:val="center"/>
              <w:rPr>
                <w:rFonts w:ascii="宋体" w:hAnsi="宋体" w:cs="宋体"/>
                <w:sz w:val="24"/>
              </w:rPr>
            </w:pPr>
            <w:r>
              <w:rPr>
                <w:rFonts w:hint="eastAsia" w:ascii="宋体" w:hAnsi="宋体" w:cs="宋体"/>
                <w:sz w:val="24"/>
              </w:rPr>
              <w:t>4</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66" w:type="dxa"/>
            <w:vAlign w:val="center"/>
          </w:tcPr>
          <w:p>
            <w:pPr>
              <w:spacing w:line="360" w:lineRule="auto"/>
              <w:jc w:val="center"/>
              <w:rPr>
                <w:rFonts w:ascii="宋体" w:hAnsi="宋体" w:cs="宋体"/>
                <w:sz w:val="24"/>
              </w:rPr>
            </w:pPr>
            <w:r>
              <w:rPr>
                <w:rFonts w:hint="eastAsia" w:ascii="宋体" w:hAnsi="宋体" w:cs="宋体"/>
                <w:sz w:val="24"/>
              </w:rPr>
              <w:t>9</w:t>
            </w:r>
          </w:p>
        </w:tc>
        <w:tc>
          <w:tcPr>
            <w:tcW w:w="1222" w:type="dxa"/>
            <w:vAlign w:val="center"/>
          </w:tcPr>
          <w:p>
            <w:pPr>
              <w:spacing w:line="360" w:lineRule="auto"/>
              <w:rPr>
                <w:rFonts w:ascii="宋体" w:hAnsi="宋体" w:cs="宋体"/>
                <w:sz w:val="24"/>
              </w:rPr>
            </w:pPr>
            <w:r>
              <w:rPr>
                <w:rFonts w:hint="eastAsia" w:ascii="宋体" w:hAnsi="宋体" w:cs="宋体"/>
                <w:sz w:val="24"/>
                <w:lang w:val="zh-CN"/>
              </w:rPr>
              <w:t>优惠和承诺</w:t>
            </w:r>
          </w:p>
        </w:tc>
        <w:tc>
          <w:tcPr>
            <w:tcW w:w="5510" w:type="dxa"/>
            <w:vAlign w:val="center"/>
          </w:tcPr>
          <w:p>
            <w:pPr>
              <w:snapToGrid w:val="0"/>
              <w:spacing w:line="360" w:lineRule="auto"/>
              <w:rPr>
                <w:rFonts w:ascii="宋体" w:hAnsi="宋体" w:cs="宋体"/>
                <w:sz w:val="24"/>
              </w:rPr>
            </w:pPr>
            <w:r>
              <w:rPr>
                <w:rFonts w:hint="eastAsia" w:ascii="宋体" w:hAnsi="宋体" w:cs="宋体"/>
                <w:sz w:val="24"/>
                <w:lang w:val="zh-CN"/>
              </w:rPr>
              <w:t>投标人提出的优惠条件和</w:t>
            </w:r>
            <w:r>
              <w:rPr>
                <w:rFonts w:hint="eastAsia" w:ascii="宋体" w:hAnsi="宋体" w:cs="宋体"/>
                <w:sz w:val="24"/>
              </w:rPr>
              <w:t>或质保期延长</w:t>
            </w:r>
            <w:r>
              <w:rPr>
                <w:rFonts w:hint="eastAsia" w:ascii="宋体" w:hAnsi="宋体" w:cs="宋体"/>
                <w:sz w:val="24"/>
                <w:lang w:val="zh-CN"/>
              </w:rPr>
              <w:t>承诺。</w:t>
            </w:r>
          </w:p>
        </w:tc>
        <w:tc>
          <w:tcPr>
            <w:tcW w:w="630" w:type="dxa"/>
            <w:vAlign w:val="center"/>
          </w:tcPr>
          <w:p>
            <w:pPr>
              <w:spacing w:line="360" w:lineRule="auto"/>
              <w:jc w:val="center"/>
              <w:rPr>
                <w:rFonts w:ascii="宋体" w:hAnsi="宋体" w:cs="宋体"/>
                <w:sz w:val="24"/>
              </w:rPr>
            </w:pPr>
            <w:r>
              <w:rPr>
                <w:rFonts w:hint="eastAsia" w:ascii="宋体" w:hAnsi="宋体" w:cs="宋体"/>
                <w:sz w:val="24"/>
              </w:rPr>
              <w:t>2</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66" w:type="dxa"/>
            <w:vAlign w:val="center"/>
          </w:tcPr>
          <w:p>
            <w:pPr>
              <w:pStyle w:val="964"/>
              <w:spacing w:line="360" w:lineRule="auto"/>
              <w:ind w:firstLine="0"/>
              <w:jc w:val="center"/>
              <w:rPr>
                <w:rFonts w:ascii="宋体" w:hAnsi="宋体" w:eastAsia="宋体" w:cs="宋体"/>
                <w:sz w:val="24"/>
              </w:rPr>
            </w:pPr>
            <w:r>
              <w:rPr>
                <w:rFonts w:hint="eastAsia" w:ascii="宋体" w:hAnsi="宋体" w:eastAsia="宋体" w:cs="宋体"/>
                <w:sz w:val="24"/>
              </w:rPr>
              <w:t>10</w:t>
            </w:r>
          </w:p>
        </w:tc>
        <w:tc>
          <w:tcPr>
            <w:tcW w:w="1222" w:type="dxa"/>
            <w:vAlign w:val="center"/>
          </w:tcPr>
          <w:p>
            <w:pPr>
              <w:spacing w:line="360" w:lineRule="auto"/>
              <w:jc w:val="center"/>
              <w:rPr>
                <w:rFonts w:ascii="宋体" w:hAnsi="宋体" w:cs="宋体"/>
                <w:sz w:val="24"/>
              </w:rPr>
            </w:pPr>
            <w:r>
              <w:rPr>
                <w:rFonts w:hint="eastAsia" w:ascii="宋体" w:hAnsi="宋体" w:cs="宋体"/>
                <w:sz w:val="24"/>
              </w:rPr>
              <w:t>投标人资质</w:t>
            </w:r>
          </w:p>
        </w:tc>
        <w:tc>
          <w:tcPr>
            <w:tcW w:w="5510" w:type="dxa"/>
            <w:vAlign w:val="center"/>
          </w:tcPr>
          <w:p>
            <w:pPr>
              <w:widowControl/>
              <w:shd w:val="clear" w:color="auto" w:fill="FFFFFF"/>
              <w:adjustRightInd/>
              <w:snapToGrid w:val="0"/>
              <w:spacing w:line="360" w:lineRule="auto"/>
              <w:jc w:val="left"/>
              <w:rPr>
                <w:rFonts w:ascii="宋体" w:hAnsi="宋体" w:cs="宋体"/>
                <w:sz w:val="24"/>
              </w:rPr>
            </w:pPr>
            <w:r>
              <w:rPr>
                <w:rFonts w:hint="eastAsia" w:ascii="宋体" w:hAnsi="宋体" w:cs="宋体"/>
                <w:sz w:val="24"/>
              </w:rPr>
              <w:t>根投标人或投标产品制造商具有ISO9001质量管理体系认证证书、ISO14001环境管理体系认证证书、ISO45001职业健康管理体系认证证书，以上三类证书，每提供一类证书得1分，满分3分。</w:t>
            </w:r>
          </w:p>
          <w:p>
            <w:pPr>
              <w:widowControl/>
              <w:spacing w:line="360" w:lineRule="auto"/>
              <w:jc w:val="left"/>
              <w:rPr>
                <w:rFonts w:ascii="宋体" w:hAnsi="宋体" w:cs="宋体"/>
                <w:sz w:val="24"/>
              </w:rPr>
            </w:pPr>
            <w:r>
              <w:rPr>
                <w:rFonts w:hint="eastAsia" w:ascii="宋体" w:hAnsi="宋体" w:cs="宋体"/>
                <w:sz w:val="24"/>
              </w:rPr>
              <w:t>注：提供有效期内的认证证书复印件。</w:t>
            </w:r>
          </w:p>
        </w:tc>
        <w:tc>
          <w:tcPr>
            <w:tcW w:w="630" w:type="dxa"/>
            <w:vAlign w:val="center"/>
          </w:tcPr>
          <w:p>
            <w:pPr>
              <w:spacing w:line="360" w:lineRule="auto"/>
              <w:jc w:val="center"/>
              <w:rPr>
                <w:rFonts w:ascii="宋体" w:hAnsi="宋体" w:cs="宋体"/>
                <w:sz w:val="24"/>
              </w:rPr>
            </w:pPr>
            <w:r>
              <w:rPr>
                <w:rFonts w:hint="eastAsia" w:ascii="宋体" w:hAnsi="宋体" w:cs="宋体"/>
                <w:sz w:val="24"/>
              </w:rPr>
              <w:t>3</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66" w:type="dxa"/>
            <w:vAlign w:val="center"/>
          </w:tcPr>
          <w:p>
            <w:pPr>
              <w:pStyle w:val="964"/>
              <w:spacing w:line="360" w:lineRule="auto"/>
              <w:ind w:firstLine="0"/>
              <w:jc w:val="center"/>
              <w:rPr>
                <w:rFonts w:ascii="宋体" w:hAnsi="宋体" w:eastAsia="宋体" w:cs="宋体"/>
                <w:sz w:val="24"/>
              </w:rPr>
            </w:pPr>
            <w:r>
              <w:rPr>
                <w:rFonts w:hint="eastAsia" w:ascii="宋体" w:hAnsi="宋体" w:eastAsia="宋体" w:cs="宋体"/>
                <w:sz w:val="24"/>
              </w:rPr>
              <w:t>11</w:t>
            </w:r>
          </w:p>
        </w:tc>
        <w:tc>
          <w:tcPr>
            <w:tcW w:w="1222" w:type="dxa"/>
            <w:vAlign w:val="center"/>
          </w:tcPr>
          <w:p>
            <w:pPr>
              <w:spacing w:line="360" w:lineRule="auto"/>
              <w:jc w:val="center"/>
              <w:rPr>
                <w:rFonts w:ascii="宋体" w:hAnsi="宋体" w:cs="宋体"/>
                <w:sz w:val="24"/>
              </w:rPr>
            </w:pPr>
            <w:r>
              <w:rPr>
                <w:rFonts w:hint="eastAsia" w:ascii="宋体" w:hAnsi="宋体" w:cs="宋体"/>
                <w:sz w:val="24"/>
              </w:rPr>
              <w:t>投标人业绩</w:t>
            </w:r>
          </w:p>
        </w:tc>
        <w:tc>
          <w:tcPr>
            <w:tcW w:w="5510" w:type="dxa"/>
            <w:vAlign w:val="center"/>
          </w:tcPr>
          <w:p>
            <w:pPr>
              <w:spacing w:line="360" w:lineRule="auto"/>
              <w:rPr>
                <w:rFonts w:ascii="宋体" w:hAnsi="宋体" w:cs="宋体"/>
                <w:sz w:val="24"/>
              </w:rPr>
            </w:pPr>
            <w:r>
              <w:rPr>
                <w:rFonts w:hint="eastAsia" w:ascii="宋体" w:hAnsi="宋体" w:cs="宋体"/>
                <w:sz w:val="24"/>
                <w:lang w:val="zh-CN"/>
              </w:rPr>
              <w:t>20</w:t>
            </w:r>
            <w:r>
              <w:rPr>
                <w:rFonts w:hint="eastAsia" w:ascii="宋体" w:hAnsi="宋体" w:cs="宋体"/>
                <w:sz w:val="24"/>
              </w:rPr>
              <w:t>20</w:t>
            </w:r>
            <w:r>
              <w:rPr>
                <w:rFonts w:hint="eastAsia" w:ascii="宋体" w:hAnsi="宋体" w:cs="宋体"/>
                <w:sz w:val="24"/>
                <w:lang w:val="zh-CN"/>
              </w:rPr>
              <w:t>年1月1日（以合同签订日期为准）以来投标类似案例，每提供一个合同得</w:t>
            </w:r>
            <w:r>
              <w:rPr>
                <w:rFonts w:hint="eastAsia" w:ascii="宋体" w:hAnsi="宋体" w:cs="宋体"/>
                <w:sz w:val="24"/>
              </w:rPr>
              <w:t>1分，共3分。</w:t>
            </w:r>
            <w:r>
              <w:rPr>
                <w:rFonts w:hint="eastAsia" w:ascii="宋体" w:hAnsi="宋体" w:cs="宋体"/>
                <w:sz w:val="24"/>
                <w:lang w:val="zh-CN"/>
              </w:rPr>
              <w:t>（开标时提供合同复印件</w:t>
            </w:r>
            <w:r>
              <w:rPr>
                <w:rFonts w:hint="eastAsia" w:ascii="宋体" w:hAnsi="宋体" w:cs="宋体"/>
                <w:sz w:val="24"/>
              </w:rPr>
              <w:t>并加盖公章)</w:t>
            </w:r>
            <w:r>
              <w:rPr>
                <w:rFonts w:hint="eastAsia" w:ascii="宋体" w:hAnsi="宋体" w:cs="宋体"/>
                <w:sz w:val="24"/>
                <w:lang w:val="zh-CN"/>
              </w:rPr>
              <w:t>。</w:t>
            </w:r>
          </w:p>
        </w:tc>
        <w:tc>
          <w:tcPr>
            <w:tcW w:w="630" w:type="dxa"/>
            <w:vAlign w:val="center"/>
          </w:tcPr>
          <w:p>
            <w:pPr>
              <w:spacing w:line="360" w:lineRule="auto"/>
              <w:jc w:val="center"/>
              <w:rPr>
                <w:rFonts w:ascii="宋体" w:hAnsi="宋体" w:cs="宋体"/>
                <w:sz w:val="24"/>
              </w:rPr>
            </w:pPr>
            <w:r>
              <w:rPr>
                <w:rFonts w:hint="eastAsia" w:ascii="宋体" w:hAnsi="宋体" w:cs="宋体"/>
                <w:sz w:val="24"/>
              </w:rPr>
              <w:t>3</w:t>
            </w:r>
          </w:p>
        </w:tc>
        <w:tc>
          <w:tcPr>
            <w:tcW w:w="143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66" w:type="dxa"/>
            <w:vAlign w:val="center"/>
          </w:tcPr>
          <w:p>
            <w:pPr>
              <w:pStyle w:val="964"/>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12</w:t>
            </w:r>
          </w:p>
        </w:tc>
        <w:tc>
          <w:tcPr>
            <w:tcW w:w="1222" w:type="dxa"/>
            <w:vAlign w:val="center"/>
          </w:tcPr>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价格分</w:t>
            </w:r>
          </w:p>
        </w:tc>
        <w:tc>
          <w:tcPr>
            <w:tcW w:w="5510" w:type="dxa"/>
            <w:vAlign w:val="top"/>
          </w:tcPr>
          <w:p>
            <w:pPr>
              <w:snapToGrid w:val="0"/>
              <w:spacing w:line="360" w:lineRule="auto"/>
              <w:outlineLvl w:val="0"/>
              <w:rPr>
                <w:rFonts w:ascii="宋体" w:hAnsi="宋体" w:cs="仿宋_GB2312"/>
                <w:sz w:val="24"/>
                <w:highlight w:val="none"/>
              </w:rPr>
            </w:pPr>
            <w:r>
              <w:rPr>
                <w:rFonts w:hint="eastAsia" w:ascii="宋体" w:hAnsi="宋体" w:cs="仿宋_GB2312"/>
                <w:sz w:val="24"/>
                <w:highlight w:val="none"/>
              </w:rPr>
              <w:t>有效投标报价的最低价作为评标基准价，其最低报价为满分；按［投标报价得分</w:t>
            </w:r>
            <w:r>
              <w:rPr>
                <w:rFonts w:ascii="宋体" w:hAnsi="宋体" w:cs="仿宋_GB2312"/>
                <w:sz w:val="24"/>
                <w:highlight w:val="none"/>
              </w:rPr>
              <w:t>=（评标基准价/投标报价）*</w:t>
            </w:r>
            <w:r>
              <w:rPr>
                <w:rFonts w:hint="eastAsia" w:ascii="宋体" w:hAnsi="宋体" w:cs="仿宋_GB2312"/>
                <w:sz w:val="24"/>
                <w:highlight w:val="none"/>
              </w:rPr>
              <w:t>3</w:t>
            </w:r>
            <w:r>
              <w:rPr>
                <w:rFonts w:hint="eastAsia" w:ascii="宋体" w:hAnsi="宋体" w:cs="仿宋_GB2312"/>
                <w:sz w:val="24"/>
                <w:highlight w:val="none"/>
                <w:lang w:val="en-US" w:eastAsia="zh-CN"/>
              </w:rPr>
              <w:t>0</w:t>
            </w:r>
            <w:r>
              <w:rPr>
                <w:rFonts w:ascii="宋体" w:hAnsi="宋体" w:cs="仿宋_GB2312"/>
                <w:sz w:val="24"/>
                <w:highlight w:val="none"/>
              </w:rPr>
              <w:t>］的计算公式计算。</w:t>
            </w:r>
          </w:p>
          <w:p>
            <w:pPr>
              <w:widowControl/>
              <w:shd w:val="clear" w:color="auto" w:fill="FFFFFF"/>
              <w:adjustRightInd/>
              <w:snapToGrid w:val="0"/>
              <w:spacing w:line="360" w:lineRule="auto"/>
              <w:jc w:val="left"/>
              <w:rPr>
                <w:rFonts w:hint="eastAsia" w:ascii="宋体" w:hAnsi="宋体" w:eastAsia="宋体" w:cs="Times New Roman"/>
                <w:kern w:val="2"/>
                <w:sz w:val="24"/>
                <w:szCs w:val="24"/>
                <w:highlight w:val="none"/>
                <w:lang w:val="zh-CN" w:eastAsia="zh-CN" w:bidi="ar-SA"/>
              </w:rPr>
            </w:pPr>
            <w:r>
              <w:rPr>
                <w:rFonts w:hint="eastAsia" w:ascii="宋体" w:hAnsi="宋体" w:cs="仿宋_GB2312"/>
                <w:sz w:val="24"/>
                <w:highlight w:val="none"/>
              </w:rPr>
              <w:t>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630" w:type="dxa"/>
            <w:vAlign w:val="center"/>
          </w:tcPr>
          <w:p>
            <w:pPr>
              <w:snapToGrid w:val="0"/>
              <w:spacing w:line="360" w:lineRule="auto"/>
              <w:jc w:val="center"/>
              <w:outlineLvl w:val="0"/>
              <w:rPr>
                <w:rFonts w:hint="eastAsia" w:ascii="宋体" w:hAnsi="宋体" w:eastAsia="宋体" w:cs="仿宋_GB2312"/>
                <w:kern w:val="2"/>
                <w:sz w:val="24"/>
                <w:szCs w:val="24"/>
                <w:highlight w:val="none"/>
                <w:lang w:val="en-US" w:eastAsia="zh-CN" w:bidi="ar-SA"/>
              </w:rPr>
            </w:pPr>
            <w:r>
              <w:rPr>
                <w:rFonts w:hint="eastAsia" w:ascii="宋体" w:hAnsi="宋体" w:cs="仿宋_GB2312"/>
                <w:sz w:val="24"/>
                <w:highlight w:val="none"/>
              </w:rPr>
              <w:t>3</w:t>
            </w:r>
            <w:r>
              <w:rPr>
                <w:rFonts w:hint="eastAsia" w:ascii="宋体" w:hAnsi="宋体" w:cs="仿宋_GB2312"/>
                <w:sz w:val="24"/>
                <w:highlight w:val="none"/>
                <w:lang w:val="en-US" w:eastAsia="zh-CN"/>
              </w:rPr>
              <w:t>0</w:t>
            </w:r>
          </w:p>
        </w:tc>
        <w:tc>
          <w:tcPr>
            <w:tcW w:w="1431" w:type="dxa"/>
            <w:vAlign w:val="center"/>
          </w:tcPr>
          <w:p>
            <w:pPr>
              <w:spacing w:line="360" w:lineRule="auto"/>
              <w:jc w:val="center"/>
              <w:rPr>
                <w:rFonts w:ascii="宋体" w:hAnsi="宋体" w:eastAsia="宋体" w:cs="宋体"/>
                <w:kern w:val="2"/>
                <w:sz w:val="24"/>
                <w:szCs w:val="24"/>
                <w:highlight w:val="none"/>
                <w:lang w:val="en-US" w:eastAsia="zh-CN" w:bidi="ar-SA"/>
              </w:rPr>
            </w:pPr>
          </w:p>
        </w:tc>
      </w:tr>
    </w:tbl>
    <w:p>
      <w:pPr>
        <w:snapToGrid w:val="0"/>
        <w:spacing w:line="360" w:lineRule="auto"/>
        <w:rPr>
          <w:rFonts w:ascii="宋体" w:hAnsi="宋体" w:cs="宋体"/>
          <w:sz w:val="20"/>
          <w:szCs w:val="20"/>
          <w:shd w:val="clear" w:color="auto" w:fill="FFFFFF"/>
        </w:rPr>
      </w:pPr>
    </w:p>
    <w:p>
      <w:pPr>
        <w:snapToGrid w:val="0"/>
        <w:spacing w:line="360" w:lineRule="auto"/>
        <w:rPr>
          <w:rFonts w:ascii="宋体" w:hAnsi="宋体" w:cs="宋体"/>
          <w:b/>
          <w:sz w:val="30"/>
          <w:szCs w:val="30"/>
        </w:rPr>
      </w:pPr>
      <w:r>
        <w:rPr>
          <w:rFonts w:hint="eastAsia" w:ascii="宋体" w:hAnsi="宋体" w:cs="宋体"/>
          <w:b/>
          <w:sz w:val="30"/>
          <w:szCs w:val="30"/>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0"/>
          <w:szCs w:val="30"/>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0"/>
          <w:szCs w:val="30"/>
        </w:rPr>
      </w:pPr>
      <w:r>
        <w:rPr>
          <w:rFonts w:hint="eastAsia" w:ascii="宋体" w:hAnsi="宋体" w:cs="宋体"/>
          <w:b/>
          <w:sz w:val="30"/>
          <w:szCs w:val="30"/>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0"/>
          <w:szCs w:val="30"/>
        </w:rPr>
      </w:pPr>
      <w:r>
        <w:rPr>
          <w:rFonts w:hint="eastAsia" w:ascii="宋体" w:hAnsi="宋体" w:cs="宋体"/>
          <w:b/>
          <w:sz w:val="30"/>
          <w:szCs w:val="30"/>
        </w:rPr>
        <w:t>四、评标中的其他事项</w:t>
      </w:r>
    </w:p>
    <w:p>
      <w:pPr>
        <w:pStyle w:val="13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400" w:lineRule="exact"/>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400" w:lineRule="exact"/>
        <w:rPr>
          <w:rFonts w:cs="宋体"/>
        </w:rPr>
      </w:pPr>
      <w:r>
        <w:rPr>
          <w:rFonts w:hint="eastAsia" w:cs="宋体"/>
        </w:rPr>
        <w:t>7.1未确定中标供应商的，终止本次政府采购活动，重新开展政府采购活动。</w:t>
      </w:r>
    </w:p>
    <w:p>
      <w:pPr>
        <w:pStyle w:val="24"/>
        <w:snapToGrid w:val="0"/>
        <w:spacing w:line="400" w:lineRule="exact"/>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400" w:lineRule="exact"/>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400" w:lineRule="exact"/>
        <w:rPr>
          <w:rFonts w:cs="宋体"/>
        </w:rPr>
      </w:pPr>
      <w:r>
        <w:rPr>
          <w:rFonts w:hint="eastAsia" w:cs="宋体"/>
        </w:rPr>
        <w:t>7.4政府采购合同已经履行，给采购人、供应商造成损失的，由责任人承担赔偿责任。</w:t>
      </w:r>
    </w:p>
    <w:p>
      <w:pPr>
        <w:pStyle w:val="24"/>
        <w:snapToGrid w:val="0"/>
        <w:spacing w:line="400" w:lineRule="exact"/>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8" w:name="第五部分"/>
      <w:bookmarkStart w:id="399" w:name="_Toc86217003"/>
      <w:r>
        <w:rPr>
          <w:rFonts w:cs="宋体"/>
          <w:b/>
          <w:sz w:val="36"/>
          <w:szCs w:val="36"/>
        </w:rPr>
        <w:br w:type="page"/>
      </w:r>
    </w:p>
    <w:p>
      <w:pPr>
        <w:numPr>
          <w:ilvl w:val="0"/>
          <w:numId w:val="3"/>
        </w:numPr>
        <w:spacing w:line="360" w:lineRule="auto"/>
        <w:jc w:val="center"/>
        <w:outlineLvl w:val="0"/>
        <w:rPr>
          <w:rFonts w:ascii="宋体" w:hAnsi="宋体" w:cs="宋体"/>
          <w:b/>
          <w:sz w:val="36"/>
          <w:szCs w:val="36"/>
        </w:rPr>
      </w:pPr>
      <w:r>
        <w:rPr>
          <w:rFonts w:hint="eastAsia" w:ascii="宋体" w:hAnsi="宋体" w:cs="宋体"/>
          <w:b/>
          <w:sz w:val="36"/>
          <w:szCs w:val="36"/>
        </w:rPr>
        <w:t>拟签订的合同文本</w:t>
      </w:r>
    </w:p>
    <w:p>
      <w:pPr>
        <w:rPr>
          <w:rFonts w:ascii="宋体" w:hAnsi="宋体" w:cs="宋体"/>
          <w:sz w:val="24"/>
          <w:u w:val="single"/>
        </w:rPr>
      </w:pPr>
      <w:r>
        <w:rPr>
          <w:rFonts w:hint="eastAsia" w:ascii="宋体" w:hAnsi="宋体" w:cs="宋体"/>
          <w:sz w:val="24"/>
        </w:rPr>
        <w:t>合同编号：</w:t>
      </w:r>
    </w:p>
    <w:p>
      <w:pPr>
        <w:wordWrap w:val="0"/>
        <w:spacing w:before="171" w:after="171"/>
        <w:jc w:val="center"/>
      </w:pPr>
      <w:r>
        <w:rPr>
          <w:rFonts w:ascii="宋体" w:hAnsi="宋体" w:cs="宋体"/>
          <w:b/>
          <w:sz w:val="36"/>
        </w:rPr>
        <w:t>杭州师范大学采购合同</w:t>
      </w:r>
      <w:r>
        <w:rPr>
          <w:rFonts w:ascii="宋体" w:hAnsi="宋体" w:cs="宋体"/>
          <w:sz w:val="28"/>
        </w:rPr>
        <w:t>（国内供货）</w:t>
      </w:r>
    </w:p>
    <w:p>
      <w:pPr>
        <w:spacing w:line="255" w:lineRule="exact"/>
      </w:pPr>
    </w:p>
    <w:p>
      <w:pPr>
        <w:snapToGrid w:val="0"/>
        <w:spacing w:line="360" w:lineRule="auto"/>
        <w:jc w:val="left"/>
        <w:rPr>
          <w:sz w:val="24"/>
        </w:rPr>
      </w:pPr>
      <w:r>
        <w:rPr>
          <w:rFonts w:ascii="宋体" w:hAnsi="宋体" w:cs="宋体"/>
          <w:sz w:val="24"/>
        </w:rPr>
        <w:t xml:space="preserve">甲方（需方）：杭州师范大学                    </w:t>
      </w:r>
    </w:p>
    <w:p>
      <w:pPr>
        <w:snapToGrid w:val="0"/>
        <w:spacing w:line="360" w:lineRule="auto"/>
        <w:jc w:val="left"/>
        <w:rPr>
          <w:sz w:val="24"/>
        </w:rPr>
      </w:pPr>
      <w:r>
        <w:rPr>
          <w:rFonts w:ascii="宋体" w:hAnsi="宋体" w:cs="宋体"/>
          <w:sz w:val="24"/>
        </w:rPr>
        <w:t>乙方（供方）：</w:t>
      </w:r>
      <w:r>
        <w:rPr>
          <w:rFonts w:ascii="宋体" w:hAnsi="宋体" w:cs="宋体"/>
          <w:sz w:val="24"/>
          <w:u w:val="single"/>
        </w:rPr>
        <w:t>　　　　　　　　　　　　　　　　</w:t>
      </w:r>
    </w:p>
    <w:p>
      <w:pPr>
        <w:snapToGrid w:val="0"/>
        <w:spacing w:line="360" w:lineRule="auto"/>
        <w:jc w:val="left"/>
        <w:rPr>
          <w:sz w:val="24"/>
        </w:rPr>
      </w:pPr>
    </w:p>
    <w:p>
      <w:pPr>
        <w:snapToGrid w:val="0"/>
        <w:spacing w:line="360" w:lineRule="auto"/>
        <w:ind w:firstLine="480" w:firstLineChars="200"/>
        <w:jc w:val="left"/>
        <w:rPr>
          <w:sz w:val="24"/>
        </w:rPr>
      </w:pPr>
      <w:r>
        <w:rPr>
          <w:rFonts w:ascii="宋体" w:hAnsi="宋体" w:cs="宋体"/>
          <w:sz w:val="24"/>
        </w:rPr>
        <w:t>合同编号：</w:t>
      </w:r>
      <w:r>
        <w:rPr>
          <w:rFonts w:ascii="宋体" w:hAnsi="宋体" w:cs="宋体"/>
          <w:sz w:val="24"/>
          <w:u w:val="single"/>
        </w:rPr>
        <w:t>　　　　　　　　　　　　　　</w:t>
      </w:r>
    </w:p>
    <w:p>
      <w:pPr>
        <w:snapToGrid w:val="0"/>
        <w:spacing w:line="360" w:lineRule="auto"/>
        <w:ind w:firstLine="480" w:firstLineChars="200"/>
        <w:jc w:val="left"/>
        <w:rPr>
          <w:sz w:val="24"/>
        </w:rPr>
      </w:pPr>
      <w:r>
        <w:rPr>
          <w:rFonts w:ascii="宋体" w:hAnsi="宋体" w:cs="宋体"/>
          <w:sz w:val="24"/>
        </w:rPr>
        <w:t>项目编号：</w:t>
      </w:r>
      <w:r>
        <w:rPr>
          <w:rFonts w:ascii="宋体" w:hAnsi="宋体" w:cs="宋体"/>
          <w:sz w:val="24"/>
          <w:u w:val="single"/>
        </w:rPr>
        <w:t>　　　　　　</w:t>
      </w:r>
    </w:p>
    <w:p>
      <w:pPr>
        <w:snapToGrid w:val="0"/>
        <w:spacing w:line="360" w:lineRule="auto"/>
        <w:ind w:firstLine="480" w:firstLineChars="200"/>
        <w:jc w:val="left"/>
        <w:rPr>
          <w:sz w:val="24"/>
        </w:rPr>
      </w:pPr>
      <w:r>
        <w:rPr>
          <w:rFonts w:ascii="宋体" w:hAnsi="宋体" w:cs="宋体"/>
          <w:sz w:val="24"/>
        </w:rPr>
        <w:t>项目名称：</w:t>
      </w:r>
      <w:r>
        <w:rPr>
          <w:rFonts w:ascii="宋体" w:hAnsi="宋体" w:cs="宋体"/>
          <w:sz w:val="24"/>
          <w:u w:val="single"/>
        </w:rPr>
        <w:t>　　　　　　　　　　　　</w:t>
      </w:r>
    </w:p>
    <w:p>
      <w:pPr>
        <w:snapToGrid w:val="0"/>
        <w:spacing w:line="360" w:lineRule="auto"/>
        <w:ind w:firstLine="480" w:firstLineChars="200"/>
        <w:jc w:val="left"/>
        <w:rPr>
          <w:sz w:val="24"/>
        </w:rPr>
      </w:pPr>
      <w:r>
        <w:rPr>
          <w:rFonts w:ascii="宋体" w:hAnsi="宋体" w:cs="宋体"/>
          <w:sz w:val="24"/>
        </w:rPr>
        <w:t>需求部门：</w:t>
      </w:r>
      <w:r>
        <w:rPr>
          <w:rFonts w:ascii="宋体" w:hAnsi="宋体" w:cs="宋体"/>
          <w:sz w:val="24"/>
          <w:u w:val="single"/>
        </w:rPr>
        <w:t>　　　　　　　　　　　　</w:t>
      </w:r>
    </w:p>
    <w:p>
      <w:pPr>
        <w:snapToGrid w:val="0"/>
        <w:spacing w:line="360" w:lineRule="auto"/>
        <w:ind w:firstLine="480" w:firstLineChars="200"/>
        <w:jc w:val="left"/>
        <w:rPr>
          <w:sz w:val="24"/>
        </w:rPr>
      </w:pPr>
      <w:r>
        <w:rPr>
          <w:rFonts w:ascii="宋体" w:hAnsi="宋体" w:cs="宋体"/>
          <w:sz w:val="24"/>
        </w:rPr>
        <w:t>经费来源：</w:t>
      </w:r>
      <w:r>
        <w:rPr>
          <w:rFonts w:ascii="宋体" w:hAnsi="宋体" w:cs="宋体"/>
          <w:sz w:val="24"/>
          <w:u w:val="single"/>
        </w:rPr>
        <w:t>　　　　　　　　　　　</w:t>
      </w:r>
    </w:p>
    <w:p>
      <w:pPr>
        <w:snapToGrid w:val="0"/>
        <w:spacing w:line="360" w:lineRule="auto"/>
        <w:ind w:firstLine="480" w:firstLineChars="200"/>
        <w:jc w:val="left"/>
        <w:rPr>
          <w:sz w:val="24"/>
        </w:rPr>
      </w:pPr>
      <w:r>
        <w:rPr>
          <w:rFonts w:ascii="宋体" w:hAnsi="宋体" w:cs="宋体"/>
          <w:sz w:val="24"/>
        </w:rPr>
        <w:t>签订时间：</w:t>
      </w:r>
      <w:r>
        <w:rPr>
          <w:rFonts w:ascii="宋体" w:hAnsi="宋体" w:cs="宋体"/>
          <w:sz w:val="24"/>
          <w:u w:val="single"/>
        </w:rPr>
        <w:t>　　　　　　　　</w:t>
      </w:r>
    </w:p>
    <w:p>
      <w:pPr>
        <w:snapToGrid w:val="0"/>
        <w:spacing w:line="360" w:lineRule="auto"/>
        <w:ind w:firstLine="480" w:firstLineChars="200"/>
        <w:jc w:val="left"/>
        <w:rPr>
          <w:sz w:val="24"/>
        </w:rPr>
      </w:pPr>
      <w:r>
        <w:rPr>
          <w:rFonts w:ascii="宋体" w:hAnsi="宋体" w:cs="宋体"/>
          <w:sz w:val="24"/>
        </w:rPr>
        <w:t>签订地点：</w:t>
      </w:r>
      <w:r>
        <w:rPr>
          <w:rFonts w:ascii="宋体" w:hAnsi="宋体" w:cs="宋体"/>
          <w:sz w:val="24"/>
          <w:u w:val="single"/>
        </w:rPr>
        <w:t>杭州师范大学</w:t>
      </w:r>
    </w:p>
    <w:p>
      <w:pPr>
        <w:snapToGrid w:val="0"/>
        <w:spacing w:line="360" w:lineRule="auto"/>
        <w:rPr>
          <w:sz w:val="24"/>
        </w:rPr>
      </w:pPr>
    </w:p>
    <w:p>
      <w:pPr>
        <w:snapToGrid w:val="0"/>
        <w:spacing w:line="360" w:lineRule="auto"/>
        <w:ind w:firstLine="480" w:firstLineChars="200"/>
        <w:jc w:val="left"/>
        <w:rPr>
          <w:sz w:val="24"/>
        </w:rPr>
      </w:pPr>
      <w:r>
        <w:rPr>
          <w:rFonts w:ascii="宋体" w:hAnsi="宋体" w:cs="宋体"/>
          <w:sz w:val="24"/>
        </w:rPr>
        <w:t>根据《中华人民共和国民法典》、《中华人民共和国政府采购法》等有关法律法规精神，杭州师范大学（甲方）经过</w:t>
      </w:r>
      <w:r>
        <w:rPr>
          <w:rFonts w:ascii="宋体" w:hAnsi="宋体" w:cs="宋体"/>
          <w:sz w:val="24"/>
          <w:u w:val="single"/>
        </w:rPr>
        <w:t>公开招标</w:t>
      </w:r>
      <w:r>
        <w:rPr>
          <w:rFonts w:ascii="宋体" w:hAnsi="宋体" w:cs="宋体"/>
          <w:sz w:val="24"/>
        </w:rPr>
        <w:t>采购方式，确定</w:t>
      </w:r>
      <w:r>
        <w:rPr>
          <w:rFonts w:ascii="宋体" w:hAnsi="宋体" w:cs="宋体"/>
          <w:sz w:val="24"/>
          <w:u w:val="single"/>
        </w:rPr>
        <w:t>　　　　　　　　　　　　　　　　</w:t>
      </w:r>
      <w:r>
        <w:rPr>
          <w:rFonts w:ascii="宋体" w:hAnsi="宋体" w:cs="宋体"/>
          <w:sz w:val="24"/>
        </w:rPr>
        <w:t>（乙方）为供货单位，双方经协商达成以下条款：</w:t>
      </w:r>
    </w:p>
    <w:p>
      <w:pPr>
        <w:snapToGrid w:val="0"/>
        <w:spacing w:line="360" w:lineRule="auto"/>
        <w:jc w:val="left"/>
        <w:rPr>
          <w:sz w:val="24"/>
        </w:rPr>
      </w:pPr>
      <w:r>
        <w:rPr>
          <w:rFonts w:ascii="宋体" w:hAnsi="宋体" w:cs="宋体"/>
          <w:b/>
          <w:sz w:val="24"/>
        </w:rPr>
        <w:t>1.采购货物配置清单及合同价</w:t>
      </w:r>
    </w:p>
    <w:tbl>
      <w:tblPr>
        <w:tblStyle w:val="64"/>
        <w:tblW w:w="9735" w:type="dxa"/>
        <w:jc w:val="center"/>
        <w:tblBorders>
          <w:top w:val="none" w:color="auto" w:sz="0" w:space="0"/>
          <w:left w:val="none" w:color="auto" w:sz="0" w:space="0"/>
          <w:bottom w:val="none" w:color="auto" w:sz="0" w:space="0"/>
          <w:right w:val="non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525"/>
        <w:gridCol w:w="1500"/>
        <w:gridCol w:w="1350"/>
        <w:gridCol w:w="1290"/>
        <w:gridCol w:w="1215"/>
        <w:gridCol w:w="570"/>
        <w:gridCol w:w="615"/>
        <w:gridCol w:w="1155"/>
        <w:gridCol w:w="1515"/>
      </w:tblGrid>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450" w:hRule="atLeast"/>
          <w:jc w:val="center"/>
        </w:trPr>
        <w:tc>
          <w:tcPr>
            <w:tcW w:w="525" w:type="dxa"/>
            <w:tcBorders>
              <w:top w:val="single" w:color="auto" w:sz="12" w:space="0"/>
              <w:left w:val="single" w:color="auto" w:sz="12"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序号</w:t>
            </w:r>
          </w:p>
        </w:tc>
        <w:tc>
          <w:tcPr>
            <w:tcW w:w="1500" w:type="dxa"/>
            <w:tcBorders>
              <w:top w:val="single" w:color="auto" w:sz="12"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产品名称</w:t>
            </w:r>
          </w:p>
        </w:tc>
        <w:tc>
          <w:tcPr>
            <w:tcW w:w="1350" w:type="dxa"/>
            <w:tcBorders>
              <w:top w:val="single" w:color="auto" w:sz="12"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品牌</w:t>
            </w:r>
          </w:p>
        </w:tc>
        <w:tc>
          <w:tcPr>
            <w:tcW w:w="1290" w:type="dxa"/>
            <w:tcBorders>
              <w:top w:val="single" w:color="auto" w:sz="12"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规格</w:t>
            </w:r>
          </w:p>
        </w:tc>
        <w:tc>
          <w:tcPr>
            <w:tcW w:w="1215" w:type="dxa"/>
            <w:tcBorders>
              <w:top w:val="single" w:color="auto" w:sz="12"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型号</w:t>
            </w:r>
          </w:p>
        </w:tc>
        <w:tc>
          <w:tcPr>
            <w:tcW w:w="570" w:type="dxa"/>
            <w:tcBorders>
              <w:top w:val="single" w:color="auto" w:sz="12"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单位</w:t>
            </w:r>
          </w:p>
        </w:tc>
        <w:tc>
          <w:tcPr>
            <w:tcW w:w="615" w:type="dxa"/>
            <w:tcBorders>
              <w:top w:val="single" w:color="auto" w:sz="12"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数量</w:t>
            </w:r>
          </w:p>
        </w:tc>
        <w:tc>
          <w:tcPr>
            <w:tcW w:w="1155" w:type="dxa"/>
            <w:tcBorders>
              <w:top w:val="single" w:color="auto" w:sz="12"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单价</w:t>
            </w:r>
          </w:p>
        </w:tc>
        <w:tc>
          <w:tcPr>
            <w:tcW w:w="1515" w:type="dxa"/>
            <w:tcBorders>
              <w:top w:val="single" w:color="auto" w:sz="12" w:space="0"/>
              <w:left w:val="single" w:color="auto" w:sz="6" w:space="0"/>
              <w:bottom w:val="nil"/>
              <w:right w:val="single" w:color="auto" w:sz="12" w:space="0"/>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总价</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450" w:hRule="atLeast"/>
          <w:jc w:val="center"/>
        </w:trPr>
        <w:tc>
          <w:tcPr>
            <w:tcW w:w="525" w:type="dxa"/>
            <w:tcBorders>
              <w:top w:val="single" w:color="auto" w:sz="6" w:space="0"/>
              <w:left w:val="single" w:color="auto" w:sz="12"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1</w:t>
            </w:r>
          </w:p>
        </w:tc>
        <w:tc>
          <w:tcPr>
            <w:tcW w:w="1500" w:type="dxa"/>
            <w:tcBorders>
              <w:top w:val="single" w:color="auto" w:sz="6" w:space="0"/>
              <w:left w:val="single" w:color="auto" w:sz="6" w:space="0"/>
              <w:bottom w:val="nil"/>
              <w:right w:val="nil"/>
            </w:tcBorders>
            <w:tcMar>
              <w:top w:w="20" w:type="dxa"/>
              <w:left w:w="20" w:type="dxa"/>
              <w:bottom w:w="20" w:type="dxa"/>
              <w:right w:w="20" w:type="dxa"/>
            </w:tcMar>
            <w:vAlign w:val="center"/>
          </w:tcPr>
          <w:p>
            <w:pPr>
              <w:snapToGrid w:val="0"/>
              <w:spacing w:line="360" w:lineRule="auto"/>
              <w:jc w:val="left"/>
              <w:rPr>
                <w:sz w:val="24"/>
              </w:rPr>
            </w:pPr>
          </w:p>
        </w:tc>
        <w:tc>
          <w:tcPr>
            <w:tcW w:w="1350" w:type="dxa"/>
            <w:tcBorders>
              <w:top w:val="single" w:color="auto" w:sz="6" w:space="0"/>
              <w:left w:val="single" w:color="auto" w:sz="6" w:space="0"/>
              <w:bottom w:val="nil"/>
              <w:right w:val="nil"/>
            </w:tcBorders>
            <w:tcMar>
              <w:top w:w="20" w:type="dxa"/>
              <w:left w:w="20" w:type="dxa"/>
              <w:bottom w:w="20" w:type="dxa"/>
              <w:right w:w="20" w:type="dxa"/>
            </w:tcMar>
            <w:vAlign w:val="center"/>
          </w:tcPr>
          <w:p>
            <w:pPr>
              <w:snapToGrid w:val="0"/>
              <w:spacing w:line="360" w:lineRule="auto"/>
              <w:rPr>
                <w:sz w:val="24"/>
              </w:rPr>
            </w:pPr>
          </w:p>
        </w:tc>
        <w:tc>
          <w:tcPr>
            <w:tcW w:w="1290" w:type="dxa"/>
            <w:tcBorders>
              <w:top w:val="single" w:color="auto" w:sz="6" w:space="0"/>
              <w:left w:val="single" w:color="auto" w:sz="6" w:space="0"/>
              <w:bottom w:val="nil"/>
              <w:right w:val="nil"/>
            </w:tcBorders>
            <w:tcMar>
              <w:top w:w="20" w:type="dxa"/>
              <w:left w:w="20" w:type="dxa"/>
              <w:bottom w:w="20" w:type="dxa"/>
              <w:right w:w="20" w:type="dxa"/>
            </w:tcMar>
            <w:vAlign w:val="center"/>
          </w:tcPr>
          <w:p>
            <w:pPr>
              <w:snapToGrid w:val="0"/>
              <w:spacing w:line="360" w:lineRule="auto"/>
              <w:jc w:val="left"/>
              <w:rPr>
                <w:sz w:val="24"/>
              </w:rPr>
            </w:pPr>
          </w:p>
        </w:tc>
        <w:tc>
          <w:tcPr>
            <w:tcW w:w="1215" w:type="dxa"/>
            <w:tcBorders>
              <w:top w:val="single" w:color="auto" w:sz="6" w:space="0"/>
              <w:left w:val="single" w:color="auto" w:sz="6" w:space="0"/>
              <w:bottom w:val="nil"/>
              <w:right w:val="nil"/>
            </w:tcBorders>
            <w:tcMar>
              <w:top w:w="20" w:type="dxa"/>
              <w:left w:w="20" w:type="dxa"/>
              <w:bottom w:w="20" w:type="dxa"/>
              <w:right w:w="20" w:type="dxa"/>
            </w:tcMar>
            <w:vAlign w:val="center"/>
          </w:tcPr>
          <w:p>
            <w:pPr>
              <w:snapToGrid w:val="0"/>
              <w:spacing w:line="360" w:lineRule="auto"/>
              <w:ind w:firstLine="120" w:firstLineChars="50"/>
              <w:jc w:val="left"/>
              <w:rPr>
                <w:sz w:val="24"/>
              </w:rPr>
            </w:pPr>
          </w:p>
        </w:tc>
        <w:tc>
          <w:tcPr>
            <w:tcW w:w="570" w:type="dxa"/>
            <w:tcBorders>
              <w:top w:val="single" w:color="auto" w:sz="6"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p>
        </w:tc>
        <w:tc>
          <w:tcPr>
            <w:tcW w:w="615" w:type="dxa"/>
            <w:tcBorders>
              <w:top w:val="single" w:color="auto" w:sz="6" w:space="0"/>
              <w:left w:val="single" w:color="auto" w:sz="6" w:space="0"/>
              <w:bottom w:val="nil"/>
              <w:right w:val="nil"/>
            </w:tcBorders>
            <w:tcMar>
              <w:top w:w="20" w:type="dxa"/>
              <w:left w:w="20" w:type="dxa"/>
              <w:bottom w:w="20" w:type="dxa"/>
              <w:right w:w="20" w:type="dxa"/>
            </w:tcMar>
            <w:vAlign w:val="center"/>
          </w:tcPr>
          <w:p>
            <w:pPr>
              <w:snapToGrid w:val="0"/>
              <w:spacing w:line="360" w:lineRule="auto"/>
              <w:jc w:val="center"/>
              <w:rPr>
                <w:sz w:val="24"/>
              </w:rPr>
            </w:pPr>
          </w:p>
        </w:tc>
        <w:tc>
          <w:tcPr>
            <w:tcW w:w="1155" w:type="dxa"/>
            <w:tcBorders>
              <w:top w:val="single" w:color="auto" w:sz="6" w:space="0"/>
              <w:left w:val="single" w:color="auto" w:sz="6" w:space="0"/>
              <w:bottom w:val="nil"/>
              <w:right w:val="nil"/>
            </w:tcBorders>
            <w:tcMar>
              <w:top w:w="20" w:type="dxa"/>
              <w:left w:w="20" w:type="dxa"/>
              <w:bottom w:w="20" w:type="dxa"/>
              <w:right w:w="20" w:type="dxa"/>
            </w:tcMar>
            <w:vAlign w:val="center"/>
          </w:tcPr>
          <w:p>
            <w:pPr>
              <w:snapToGrid w:val="0"/>
              <w:spacing w:line="360" w:lineRule="auto"/>
              <w:rPr>
                <w:sz w:val="24"/>
              </w:rPr>
            </w:pPr>
          </w:p>
        </w:tc>
        <w:tc>
          <w:tcPr>
            <w:tcW w:w="1515" w:type="dxa"/>
            <w:tcBorders>
              <w:top w:val="single" w:color="auto" w:sz="6" w:space="0"/>
              <w:left w:val="single" w:color="auto" w:sz="6" w:space="0"/>
              <w:bottom w:val="nil"/>
              <w:right w:val="single" w:color="auto" w:sz="12" w:space="0"/>
            </w:tcBorders>
            <w:tcMar>
              <w:top w:w="20" w:type="dxa"/>
              <w:left w:w="20" w:type="dxa"/>
              <w:bottom w:w="20" w:type="dxa"/>
              <w:right w:w="20" w:type="dxa"/>
            </w:tcMar>
            <w:vAlign w:val="center"/>
          </w:tcPr>
          <w:p>
            <w:pPr>
              <w:snapToGrid w:val="0"/>
              <w:spacing w:line="360" w:lineRule="auto"/>
              <w:rPr>
                <w:sz w:val="24"/>
              </w:rPr>
            </w:pP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450" w:hRule="atLeast"/>
          <w:jc w:val="center"/>
        </w:trPr>
        <w:tc>
          <w:tcPr>
            <w:tcW w:w="2025" w:type="dxa"/>
            <w:gridSpan w:val="2"/>
            <w:tcBorders>
              <w:top w:val="single" w:color="auto" w:sz="6" w:space="0"/>
              <w:left w:val="single" w:color="auto" w:sz="12" w:space="0"/>
              <w:bottom w:val="nil"/>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合计</w:t>
            </w:r>
          </w:p>
        </w:tc>
        <w:tc>
          <w:tcPr>
            <w:tcW w:w="7710" w:type="dxa"/>
            <w:gridSpan w:val="7"/>
            <w:tcBorders>
              <w:top w:val="single" w:color="auto" w:sz="6" w:space="0"/>
              <w:left w:val="single" w:color="auto" w:sz="6" w:space="0"/>
              <w:bottom w:val="nil"/>
              <w:right w:val="single" w:color="auto" w:sz="12" w:space="0"/>
            </w:tcBorders>
            <w:tcMar>
              <w:top w:w="20" w:type="dxa"/>
              <w:left w:w="20" w:type="dxa"/>
              <w:bottom w:w="20" w:type="dxa"/>
              <w:right w:w="20" w:type="dxa"/>
            </w:tcMar>
            <w:vAlign w:val="center"/>
          </w:tcPr>
          <w:p>
            <w:pPr>
              <w:snapToGrid w:val="0"/>
              <w:spacing w:line="360" w:lineRule="auto"/>
              <w:jc w:val="left"/>
              <w:rPr>
                <w:sz w:val="24"/>
              </w:rPr>
            </w:pPr>
            <w:r>
              <w:rPr>
                <w:rFonts w:ascii="宋体" w:hAnsi="宋体" w:cs="宋体"/>
                <w:sz w:val="24"/>
              </w:rPr>
              <w:t xml:space="preserve">人民币：大写 （￥ </w:t>
            </w:r>
            <w:r>
              <w:rPr>
                <w:rFonts w:ascii="宋体" w:hAnsi="宋体" w:cs="宋体"/>
                <w:sz w:val="24"/>
                <w:u w:val="single"/>
              </w:rPr>
              <w:t>　　　　　</w:t>
            </w:r>
            <w:r>
              <w:rPr>
                <w:rFonts w:ascii="宋体" w:hAnsi="宋体" w:cs="宋体"/>
                <w:sz w:val="24"/>
              </w:rPr>
              <w:t>元）</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450" w:hRule="atLeast"/>
          <w:jc w:val="center"/>
        </w:trPr>
        <w:tc>
          <w:tcPr>
            <w:tcW w:w="525" w:type="dxa"/>
            <w:tcBorders>
              <w:top w:val="single" w:color="auto" w:sz="6" w:space="0"/>
              <w:left w:val="single" w:color="auto" w:sz="12" w:space="0"/>
              <w:bottom w:val="single" w:color="auto" w:sz="12" w:space="0"/>
              <w:right w:val="nil"/>
            </w:tcBorders>
            <w:tcMar>
              <w:top w:w="20" w:type="dxa"/>
              <w:left w:w="20" w:type="dxa"/>
              <w:bottom w:w="20" w:type="dxa"/>
              <w:right w:w="20" w:type="dxa"/>
            </w:tcMar>
            <w:vAlign w:val="center"/>
          </w:tcPr>
          <w:p>
            <w:pPr>
              <w:snapToGrid w:val="0"/>
              <w:spacing w:line="360" w:lineRule="auto"/>
              <w:jc w:val="center"/>
              <w:rPr>
                <w:sz w:val="24"/>
              </w:rPr>
            </w:pPr>
            <w:r>
              <w:rPr>
                <w:rFonts w:ascii="宋体" w:hAnsi="宋体" w:cs="宋体"/>
                <w:sz w:val="24"/>
              </w:rPr>
              <w:t>备注</w:t>
            </w:r>
          </w:p>
        </w:tc>
        <w:tc>
          <w:tcPr>
            <w:tcW w:w="9210" w:type="dxa"/>
            <w:gridSpan w:val="8"/>
            <w:tcBorders>
              <w:top w:val="single" w:color="auto" w:sz="6" w:space="0"/>
              <w:left w:val="single" w:color="auto" w:sz="6" w:space="0"/>
              <w:bottom w:val="single" w:color="auto" w:sz="12" w:space="0"/>
              <w:right w:val="single" w:color="auto" w:sz="12" w:space="0"/>
            </w:tcBorders>
            <w:tcMar>
              <w:top w:w="20" w:type="dxa"/>
              <w:left w:w="20" w:type="dxa"/>
              <w:bottom w:w="20" w:type="dxa"/>
              <w:right w:w="20" w:type="dxa"/>
            </w:tcMar>
          </w:tcPr>
          <w:p>
            <w:pPr>
              <w:snapToGrid w:val="0"/>
              <w:spacing w:line="360" w:lineRule="auto"/>
              <w:jc w:val="left"/>
              <w:rPr>
                <w:sz w:val="24"/>
              </w:rPr>
            </w:pPr>
          </w:p>
        </w:tc>
      </w:tr>
    </w:tbl>
    <w:p>
      <w:pPr>
        <w:snapToGrid w:val="0"/>
        <w:spacing w:line="360" w:lineRule="auto"/>
        <w:ind w:firstLine="484" w:firstLineChars="202"/>
        <w:rPr>
          <w:rFonts w:ascii="宋体" w:hAnsi="宋体" w:cs="宋体"/>
          <w:sz w:val="24"/>
        </w:rPr>
      </w:pPr>
      <w:r>
        <w:rPr>
          <w:rFonts w:hint="eastAsia" w:ascii="宋体" w:hAnsi="宋体" w:cs="宋体"/>
          <w:sz w:val="24"/>
        </w:rPr>
        <w:t>注：</w:t>
      </w:r>
    </w:p>
    <w:p>
      <w:pPr>
        <w:snapToGrid w:val="0"/>
        <w:spacing w:line="360" w:lineRule="auto"/>
        <w:ind w:firstLine="484" w:firstLineChars="202"/>
        <w:rPr>
          <w:rFonts w:ascii="宋体" w:hAnsi="宋体" w:cs="宋体"/>
          <w:sz w:val="24"/>
        </w:rPr>
      </w:pPr>
      <w:r>
        <w:rPr>
          <w:rFonts w:hint="eastAsia" w:ascii="宋体" w:hAnsi="宋体" w:cs="宋体"/>
          <w:sz w:val="24"/>
        </w:rPr>
        <w:t>1．设备型号、数量、配置要求等详见配置清单。</w:t>
      </w:r>
    </w:p>
    <w:p>
      <w:pPr>
        <w:snapToGrid w:val="0"/>
        <w:spacing w:line="360" w:lineRule="auto"/>
        <w:ind w:firstLine="484" w:firstLineChars="202"/>
        <w:rPr>
          <w:rFonts w:ascii="宋体" w:hAnsi="宋体" w:cs="宋体"/>
          <w:sz w:val="24"/>
        </w:rPr>
      </w:pPr>
      <w:r>
        <w:rPr>
          <w:rFonts w:hint="eastAsia" w:ascii="宋体" w:hAnsi="宋体" w:cs="宋体"/>
          <w:sz w:val="24"/>
        </w:rPr>
        <w:t>2．以上合同总价包括运抵各使用单位的运费、安装调试、技术指导、提供现场技术培训等所有费用。</w:t>
      </w:r>
    </w:p>
    <w:p>
      <w:pPr>
        <w:snapToGrid w:val="0"/>
        <w:spacing w:line="360" w:lineRule="auto"/>
        <w:jc w:val="left"/>
        <w:rPr>
          <w:sz w:val="24"/>
        </w:rPr>
      </w:pPr>
      <w:r>
        <w:rPr>
          <w:rFonts w:ascii="宋体" w:hAnsi="宋体" w:cs="宋体"/>
          <w:b/>
          <w:sz w:val="24"/>
        </w:rPr>
        <w:t>2.质量保证</w:t>
      </w:r>
    </w:p>
    <w:p>
      <w:pPr>
        <w:snapToGrid w:val="0"/>
        <w:spacing w:line="360" w:lineRule="auto"/>
        <w:ind w:firstLine="480" w:firstLineChars="200"/>
        <w:jc w:val="left"/>
        <w:rPr>
          <w:sz w:val="24"/>
        </w:rPr>
      </w:pPr>
      <w:r>
        <w:rPr>
          <w:rFonts w:ascii="宋体" w:hAnsi="宋体" w:cs="宋体"/>
          <w:sz w:val="24"/>
        </w:rPr>
        <w:t>2.1 乙方保证本合同中所供应的国产商品是年(最新）生产的，符合国家技术规格和质量标准的出厂原装合格产品。如发生所供商品与合同不符，甲方有权拒收或退货，由此产生的一切责任和后果由乙方承担。</w:t>
      </w:r>
    </w:p>
    <w:p>
      <w:pPr>
        <w:snapToGrid w:val="0"/>
        <w:spacing w:line="360" w:lineRule="auto"/>
        <w:jc w:val="left"/>
        <w:rPr>
          <w:sz w:val="24"/>
        </w:rPr>
      </w:pPr>
      <w:r>
        <w:rPr>
          <w:rFonts w:ascii="宋体" w:hAnsi="宋体" w:cs="宋体"/>
          <w:b/>
          <w:sz w:val="24"/>
        </w:rPr>
        <w:t>3.交货</w:t>
      </w:r>
    </w:p>
    <w:p>
      <w:pPr>
        <w:snapToGrid w:val="0"/>
        <w:spacing w:line="360" w:lineRule="auto"/>
        <w:ind w:firstLine="480" w:firstLineChars="200"/>
        <w:jc w:val="left"/>
        <w:rPr>
          <w:sz w:val="24"/>
        </w:rPr>
      </w:pPr>
      <w:r>
        <w:rPr>
          <w:rFonts w:ascii="宋体" w:hAnsi="宋体" w:cs="宋体"/>
          <w:sz w:val="24"/>
        </w:rPr>
        <w:t>3.1 合同签订后，乙方应将商品安全运至甲方事先指定的地点，乙方负责安装、调试，然后交甲方使用者验收，验收期为日。</w:t>
      </w:r>
    </w:p>
    <w:p>
      <w:pPr>
        <w:snapToGrid w:val="0"/>
        <w:spacing w:line="360" w:lineRule="auto"/>
        <w:ind w:firstLine="480" w:firstLineChars="200"/>
        <w:jc w:val="left"/>
        <w:rPr>
          <w:sz w:val="24"/>
        </w:rPr>
      </w:pPr>
      <w:r>
        <w:rPr>
          <w:rFonts w:ascii="宋体" w:hAnsi="宋体" w:cs="宋体"/>
          <w:sz w:val="24"/>
        </w:rPr>
        <w:t>3.2 在所提供商品交付使用时，乙方必须向甲方提供产品说明书、质量保证书、保修卡等必须具备的相关资料和必备的附件。并提供现场技术培训。</w:t>
      </w:r>
    </w:p>
    <w:p>
      <w:pPr>
        <w:snapToGrid w:val="0"/>
        <w:spacing w:line="360" w:lineRule="auto"/>
        <w:ind w:firstLine="480" w:firstLineChars="200"/>
        <w:jc w:val="left"/>
        <w:rPr>
          <w:sz w:val="24"/>
        </w:rPr>
      </w:pPr>
      <w:r>
        <w:rPr>
          <w:rFonts w:ascii="宋体" w:hAnsi="宋体" w:cs="宋体"/>
          <w:sz w:val="24"/>
        </w:rPr>
        <w:t>3.3 交货时间：</w:t>
      </w:r>
    </w:p>
    <w:p>
      <w:pPr>
        <w:snapToGrid w:val="0"/>
        <w:spacing w:line="360" w:lineRule="auto"/>
        <w:ind w:firstLine="480" w:firstLineChars="200"/>
        <w:jc w:val="left"/>
        <w:rPr>
          <w:rFonts w:ascii="宋体" w:hAnsi="宋体" w:cs="宋体"/>
          <w:sz w:val="24"/>
        </w:rPr>
      </w:pPr>
      <w:r>
        <w:rPr>
          <w:rFonts w:ascii="宋体" w:hAnsi="宋体" w:cs="宋体"/>
          <w:sz w:val="24"/>
        </w:rPr>
        <w:t>自合同签订之日起，</w:t>
      </w:r>
      <w:r>
        <w:rPr>
          <w:rFonts w:hint="eastAsia" w:ascii="宋体" w:hAnsi="宋体" w:cs="宋体"/>
          <w:sz w:val="24"/>
          <w:u w:val="single"/>
        </w:rPr>
        <w:t xml:space="preserve">     </w:t>
      </w:r>
      <w:r>
        <w:rPr>
          <w:rFonts w:ascii="宋体" w:hAnsi="宋体" w:cs="宋体"/>
          <w:sz w:val="24"/>
          <w:u w:val="single"/>
        </w:rPr>
        <w:t>个</w:t>
      </w:r>
      <w:r>
        <w:rPr>
          <w:rFonts w:ascii="宋体" w:hAnsi="宋体" w:cs="宋体"/>
          <w:sz w:val="24"/>
        </w:rPr>
        <w:t>日历日内，按甲方提供的地址供货到位（具体时间以甲方通知为准），并按甲方要求安装调试完毕。</w:t>
      </w:r>
    </w:p>
    <w:p>
      <w:pPr>
        <w:snapToGrid w:val="0"/>
        <w:spacing w:line="360" w:lineRule="auto"/>
        <w:ind w:firstLine="480" w:firstLineChars="200"/>
        <w:jc w:val="left"/>
        <w:rPr>
          <w:sz w:val="24"/>
        </w:rPr>
      </w:pPr>
      <w:r>
        <w:rPr>
          <w:rFonts w:ascii="宋体" w:hAnsi="宋体" w:cs="宋体"/>
          <w:sz w:val="24"/>
        </w:rPr>
        <w:t>3.4 交货地点：</w:t>
      </w:r>
      <w:r>
        <w:rPr>
          <w:rFonts w:ascii="宋体" w:hAnsi="宋体" w:cs="宋体"/>
          <w:sz w:val="24"/>
          <w:u w:val="single"/>
        </w:rPr>
        <w:t>　　　　　</w:t>
      </w:r>
    </w:p>
    <w:p>
      <w:pPr>
        <w:snapToGrid w:val="0"/>
        <w:spacing w:line="360" w:lineRule="auto"/>
        <w:ind w:firstLine="480" w:firstLineChars="200"/>
        <w:jc w:val="left"/>
        <w:rPr>
          <w:sz w:val="24"/>
        </w:rPr>
      </w:pPr>
      <w:r>
        <w:rPr>
          <w:rFonts w:ascii="宋体" w:hAnsi="宋体" w:cs="宋体"/>
          <w:sz w:val="24"/>
        </w:rPr>
        <w:t>3.5 使用方联系人及联系方式：</w:t>
      </w:r>
      <w:r>
        <w:rPr>
          <w:rFonts w:ascii="宋体" w:hAnsi="宋体" w:cs="宋体"/>
          <w:sz w:val="24"/>
          <w:u w:val="single"/>
        </w:rPr>
        <w:t>　　　　　　　　　　　</w:t>
      </w:r>
      <w:r>
        <w:rPr>
          <w:rFonts w:ascii="宋体" w:hAnsi="宋体" w:cs="宋体"/>
          <w:sz w:val="24"/>
        </w:rPr>
        <w:t>。</w:t>
      </w:r>
    </w:p>
    <w:p>
      <w:pPr>
        <w:snapToGrid w:val="0"/>
        <w:spacing w:line="360" w:lineRule="auto"/>
        <w:jc w:val="left"/>
        <w:rPr>
          <w:sz w:val="24"/>
        </w:rPr>
      </w:pPr>
      <w:r>
        <w:rPr>
          <w:rFonts w:ascii="宋体" w:hAnsi="宋体" w:cs="宋体"/>
          <w:b/>
          <w:sz w:val="24"/>
        </w:rPr>
        <w:t>4.售后服务</w:t>
      </w:r>
    </w:p>
    <w:p>
      <w:pPr>
        <w:snapToGrid w:val="0"/>
        <w:spacing w:line="360" w:lineRule="auto"/>
        <w:ind w:firstLine="480" w:firstLineChars="200"/>
        <w:jc w:val="left"/>
        <w:rPr>
          <w:sz w:val="24"/>
        </w:rPr>
      </w:pPr>
      <w:r>
        <w:rPr>
          <w:rFonts w:ascii="宋体" w:hAnsi="宋体" w:cs="宋体"/>
          <w:sz w:val="24"/>
        </w:rPr>
        <w:t>4.1 合同商品（系统）的质保期从验收合格之日起为</w:t>
      </w:r>
      <w:r>
        <w:rPr>
          <w:rFonts w:hint="eastAsia" w:ascii="宋体" w:hAnsi="宋体" w:cs="宋体"/>
          <w:sz w:val="24"/>
          <w:u w:val="single"/>
        </w:rPr>
        <w:t xml:space="preserve">    </w:t>
      </w:r>
      <w:r>
        <w:rPr>
          <w:rFonts w:ascii="宋体" w:hAnsi="宋体" w:cs="宋体"/>
          <w:sz w:val="24"/>
        </w:rPr>
        <w:t>月。质保期满后，乙方仍提供整机维修和系统维护服务，收取成本费。</w:t>
      </w:r>
    </w:p>
    <w:p>
      <w:pPr>
        <w:snapToGrid w:val="0"/>
        <w:spacing w:line="360" w:lineRule="auto"/>
        <w:ind w:firstLine="480" w:firstLineChars="200"/>
        <w:jc w:val="left"/>
        <w:rPr>
          <w:sz w:val="24"/>
        </w:rPr>
      </w:pPr>
      <w:r>
        <w:rPr>
          <w:rFonts w:ascii="宋体" w:hAnsi="宋体" w:cs="宋体"/>
          <w:sz w:val="24"/>
        </w:rPr>
        <w:t>4.2 其它优惠条件：</w:t>
      </w:r>
      <w:r>
        <w:rPr>
          <w:rFonts w:ascii="宋体" w:hAnsi="宋体" w:cs="宋体"/>
          <w:sz w:val="24"/>
          <w:u w:val="single"/>
        </w:rPr>
        <w:t>　　　　　　　　　　　　　　　　　　　　　　　　　　</w:t>
      </w:r>
    </w:p>
    <w:p>
      <w:pPr>
        <w:snapToGrid w:val="0"/>
        <w:spacing w:line="360" w:lineRule="auto"/>
        <w:jc w:val="left"/>
        <w:rPr>
          <w:sz w:val="24"/>
        </w:rPr>
      </w:pPr>
      <w:r>
        <w:rPr>
          <w:rFonts w:ascii="宋体" w:hAnsi="宋体" w:cs="宋体"/>
          <w:b/>
          <w:sz w:val="24"/>
        </w:rPr>
        <w:t>5.验收</w:t>
      </w:r>
    </w:p>
    <w:p>
      <w:pPr>
        <w:snapToGrid w:val="0"/>
        <w:spacing w:line="360" w:lineRule="auto"/>
        <w:ind w:firstLine="480" w:firstLineChars="200"/>
        <w:jc w:val="left"/>
        <w:rPr>
          <w:sz w:val="24"/>
        </w:rPr>
      </w:pPr>
      <w:r>
        <w:rPr>
          <w:rFonts w:ascii="宋体" w:hAnsi="宋体" w:cs="宋体"/>
          <w:sz w:val="24"/>
        </w:rPr>
        <w:t>5.1 乙方将所供商品运至交货地点拆箱并安装调试完毕后，由甲方使用者当场负责验收。</w:t>
      </w:r>
    </w:p>
    <w:p>
      <w:pPr>
        <w:snapToGrid w:val="0"/>
        <w:spacing w:line="360" w:lineRule="auto"/>
        <w:ind w:firstLine="480" w:firstLineChars="200"/>
        <w:jc w:val="left"/>
        <w:rPr>
          <w:sz w:val="24"/>
        </w:rPr>
      </w:pPr>
      <w:r>
        <w:rPr>
          <w:rFonts w:ascii="宋体" w:hAnsi="宋体" w:cs="宋体"/>
          <w:sz w:val="24"/>
        </w:rPr>
        <w:t>5.2 合同商品从验收合格之日起日内，出现非使用方人为因素造成的无法排除的故障由乙方予以整机调换。</w:t>
      </w:r>
    </w:p>
    <w:p>
      <w:pPr>
        <w:snapToGrid w:val="0"/>
        <w:spacing w:line="360" w:lineRule="auto"/>
        <w:jc w:val="left"/>
        <w:rPr>
          <w:sz w:val="24"/>
        </w:rPr>
      </w:pPr>
      <w:r>
        <w:rPr>
          <w:rFonts w:ascii="宋体" w:hAnsi="宋体" w:cs="宋体"/>
          <w:b/>
          <w:sz w:val="24"/>
        </w:rPr>
        <w:t>6.履约保证金</w:t>
      </w:r>
    </w:p>
    <w:p>
      <w:pPr>
        <w:snapToGrid w:val="0"/>
        <w:spacing w:line="360" w:lineRule="auto"/>
        <w:ind w:firstLine="420"/>
        <w:jc w:val="left"/>
        <w:rPr>
          <w:rFonts w:ascii="宋体" w:hAnsi="宋体" w:cs="宋体"/>
          <w:sz w:val="24"/>
        </w:rPr>
      </w:pPr>
      <w:r>
        <w:rPr>
          <w:rFonts w:ascii="宋体" w:hAnsi="宋体" w:cs="宋体"/>
          <w:sz w:val="24"/>
        </w:rPr>
        <w:t>6.1 乙方在签订合同后7天内向甲方交纳中标总额1%（计￥</w:t>
      </w:r>
      <w:r>
        <w:rPr>
          <w:rFonts w:ascii="宋体" w:hAnsi="宋体" w:cs="宋体"/>
          <w:sz w:val="24"/>
          <w:u w:val="single"/>
        </w:rPr>
        <w:t>　　　</w:t>
      </w:r>
      <w:r>
        <w:rPr>
          <w:rFonts w:ascii="宋体" w:hAnsi="宋体" w:cs="宋体"/>
          <w:sz w:val="24"/>
        </w:rPr>
        <w:t>元）的履约保证金。</w:t>
      </w:r>
    </w:p>
    <w:p>
      <w:pPr>
        <w:snapToGrid w:val="0"/>
        <w:spacing w:line="360" w:lineRule="auto"/>
        <w:ind w:firstLine="480" w:firstLineChars="200"/>
        <w:jc w:val="left"/>
        <w:rPr>
          <w:rFonts w:ascii="宋体" w:hAnsi="宋体" w:cs="宋体"/>
          <w:b/>
          <w:bCs/>
          <w:sz w:val="24"/>
        </w:rPr>
      </w:pPr>
      <w:r>
        <w:rPr>
          <w:rFonts w:hint="eastAsia" w:ascii="宋体" w:hAnsi="宋体" w:cs="宋体"/>
          <w:sz w:val="24"/>
        </w:rPr>
        <w:t>6.2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jc w:val="left"/>
        <w:rPr>
          <w:rFonts w:ascii="宋体" w:hAnsi="宋体" w:cs="宋体"/>
          <w:sz w:val="24"/>
        </w:rPr>
      </w:pPr>
      <w:r>
        <w:rPr>
          <w:rFonts w:hint="eastAsia" w:ascii="宋体" w:hAnsi="宋体" w:cs="宋体"/>
          <w:sz w:val="24"/>
        </w:rPr>
        <w:t>6.3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napToGrid w:val="0"/>
        <w:spacing w:line="360" w:lineRule="auto"/>
        <w:jc w:val="left"/>
        <w:rPr>
          <w:sz w:val="24"/>
        </w:rPr>
      </w:pPr>
      <w:r>
        <w:rPr>
          <w:rFonts w:ascii="宋体" w:hAnsi="宋体" w:cs="宋体"/>
          <w:b/>
          <w:sz w:val="24"/>
        </w:rPr>
        <w:t>7.付款方式</w:t>
      </w:r>
    </w:p>
    <w:p>
      <w:pPr>
        <w:snapToGrid w:val="0"/>
        <w:spacing w:line="360" w:lineRule="auto"/>
        <w:ind w:firstLine="480" w:firstLineChars="200"/>
        <w:jc w:val="left"/>
        <w:rPr>
          <w:sz w:val="24"/>
        </w:rPr>
      </w:pPr>
      <w:r>
        <w:rPr>
          <w:rFonts w:ascii="宋体" w:hAnsi="宋体" w:cs="宋体"/>
          <w:sz w:val="24"/>
        </w:rPr>
        <w:t>7.1 合同生效、具备支付条件后7天内，甲方支付</w:t>
      </w:r>
      <w:r>
        <w:rPr>
          <w:rFonts w:hint="eastAsia" w:ascii="宋体" w:hAnsi="宋体" w:cs="宋体"/>
          <w:sz w:val="24"/>
        </w:rPr>
        <w:t>预算金额的</w:t>
      </w:r>
      <w:r>
        <w:rPr>
          <w:rFonts w:ascii="宋体" w:hAnsi="宋体" w:cs="宋体"/>
          <w:sz w:val="24"/>
          <w:u w:val="single"/>
        </w:rPr>
        <w:t>40</w:t>
      </w:r>
      <w:r>
        <w:rPr>
          <w:rFonts w:ascii="宋体" w:hAnsi="宋体" w:cs="宋体"/>
          <w:sz w:val="24"/>
        </w:rPr>
        <w:t>%</w:t>
      </w:r>
      <w:r>
        <w:rPr>
          <w:rFonts w:hint="eastAsia" w:ascii="宋体" w:hAnsi="宋体" w:cs="宋体"/>
          <w:sz w:val="24"/>
        </w:rPr>
        <w:t>作为</w:t>
      </w:r>
      <w:r>
        <w:rPr>
          <w:rFonts w:ascii="宋体" w:hAnsi="宋体" w:cs="宋体"/>
          <w:sz w:val="24"/>
        </w:rPr>
        <w:t>预付款给乙方</w:t>
      </w:r>
      <w:r>
        <w:rPr>
          <w:rFonts w:hint="eastAsia" w:ascii="宋体" w:hAnsi="宋体" w:cs="宋体"/>
          <w:sz w:val="24"/>
        </w:rPr>
        <w:t>，</w:t>
      </w:r>
      <w:r>
        <w:rPr>
          <w:rFonts w:ascii="宋体" w:hAnsi="宋体" w:cs="宋体"/>
          <w:sz w:val="24"/>
        </w:rPr>
        <w:t>甲、乙双方另有注明的除外。乙方</w:t>
      </w:r>
      <w:r>
        <w:rPr>
          <w:rFonts w:hint="eastAsia" w:ascii="宋体" w:hAnsi="宋体" w:cs="宋体"/>
          <w:sz w:val="24"/>
        </w:rPr>
        <w:t>需</w:t>
      </w:r>
      <w:r>
        <w:rPr>
          <w:rFonts w:ascii="宋体" w:hAnsi="宋体" w:cs="宋体"/>
          <w:sz w:val="24"/>
        </w:rPr>
        <w:t>开具的发票</w:t>
      </w:r>
      <w:r>
        <w:rPr>
          <w:rFonts w:hint="eastAsia" w:ascii="宋体" w:hAnsi="宋体" w:cs="宋体"/>
          <w:sz w:val="24"/>
        </w:rPr>
        <w:t>给甲方。</w:t>
      </w:r>
    </w:p>
    <w:p>
      <w:pPr>
        <w:snapToGrid w:val="0"/>
        <w:spacing w:line="360" w:lineRule="auto"/>
        <w:ind w:firstLine="480" w:firstLineChars="200"/>
        <w:jc w:val="left"/>
        <w:rPr>
          <w:sz w:val="24"/>
        </w:rPr>
      </w:pPr>
      <w:r>
        <w:rPr>
          <w:rFonts w:ascii="宋体" w:hAnsi="宋体" w:cs="宋体"/>
          <w:sz w:val="24"/>
        </w:rPr>
        <w:t>乙方按照甲方要求将货物送至各个使用点并安装、调试；经甲方组织验收合格。</w:t>
      </w:r>
    </w:p>
    <w:p>
      <w:pPr>
        <w:snapToGrid w:val="0"/>
        <w:spacing w:line="360" w:lineRule="auto"/>
        <w:ind w:firstLine="480" w:firstLineChars="200"/>
        <w:jc w:val="left"/>
        <w:rPr>
          <w:sz w:val="24"/>
        </w:rPr>
      </w:pPr>
      <w:r>
        <w:rPr>
          <w:rFonts w:ascii="宋体" w:hAnsi="宋体" w:cs="宋体"/>
          <w:sz w:val="24"/>
        </w:rPr>
        <w:t>乙方向甲方开具符合法律、法规规范及行业要求的真实、有效的增值税专用发票（进口免税产品须提供免表及报关单并符合税务部门的相关开票规定）。</w:t>
      </w:r>
    </w:p>
    <w:p>
      <w:pPr>
        <w:snapToGrid w:val="0"/>
        <w:spacing w:line="360" w:lineRule="auto"/>
        <w:ind w:firstLine="480" w:firstLineChars="200"/>
        <w:jc w:val="left"/>
        <w:rPr>
          <w:sz w:val="24"/>
        </w:rPr>
      </w:pPr>
      <w:r>
        <w:rPr>
          <w:rFonts w:ascii="宋体" w:hAnsi="宋体" w:cs="宋体"/>
          <w:sz w:val="24"/>
        </w:rPr>
        <w:t>甲方凭乙方的供货发票，校内验收单、入库单等支付凭证办理相关支付手续，向乙方付清全部合同款。</w:t>
      </w:r>
    </w:p>
    <w:p>
      <w:pPr>
        <w:snapToGrid w:val="0"/>
        <w:spacing w:line="360" w:lineRule="auto"/>
        <w:jc w:val="left"/>
        <w:rPr>
          <w:sz w:val="24"/>
        </w:rPr>
      </w:pPr>
      <w:r>
        <w:rPr>
          <w:rFonts w:ascii="宋体" w:hAnsi="宋体" w:cs="宋体"/>
          <w:b/>
          <w:sz w:val="24"/>
        </w:rPr>
        <w:t>8.违约责任</w:t>
      </w:r>
    </w:p>
    <w:p>
      <w:pPr>
        <w:snapToGrid w:val="0"/>
        <w:spacing w:line="360" w:lineRule="auto"/>
        <w:ind w:firstLine="480" w:firstLineChars="200"/>
        <w:jc w:val="left"/>
        <w:rPr>
          <w:sz w:val="24"/>
        </w:rPr>
      </w:pPr>
      <w:r>
        <w:rPr>
          <w:rFonts w:ascii="宋体" w:hAnsi="宋体" w:cs="宋体"/>
          <w:sz w:val="24"/>
        </w:rPr>
        <w:t>8.1 乙方无正当理由逾期履行合同的，自逾期之日起，向甲方每日偿付合同总价款0.05%（计￥</w:t>
      </w:r>
      <w:r>
        <w:rPr>
          <w:rFonts w:ascii="宋体" w:hAnsi="宋体" w:cs="宋体"/>
          <w:sz w:val="24"/>
          <w:u w:val="single"/>
        </w:rPr>
        <w:t>　　</w:t>
      </w:r>
      <w:r>
        <w:rPr>
          <w:rFonts w:ascii="宋体" w:hAnsi="宋体" w:cs="宋体"/>
          <w:sz w:val="24"/>
        </w:rPr>
        <w:t>元）的违约金。</w:t>
      </w:r>
    </w:p>
    <w:p>
      <w:pPr>
        <w:snapToGrid w:val="0"/>
        <w:spacing w:line="360" w:lineRule="auto"/>
        <w:ind w:firstLine="480" w:firstLineChars="200"/>
        <w:jc w:val="left"/>
        <w:rPr>
          <w:sz w:val="24"/>
        </w:rPr>
      </w:pPr>
      <w:r>
        <w:rPr>
          <w:rFonts w:ascii="宋体" w:hAnsi="宋体" w:cs="宋体"/>
          <w:sz w:val="24"/>
        </w:rPr>
        <w:t>8.2 甲方无正当理由逾期支付货款的，自逾期之日起，向乙方每日偿付合同总价款0.05%（计￥</w:t>
      </w:r>
      <w:r>
        <w:rPr>
          <w:rFonts w:ascii="宋体" w:hAnsi="宋体" w:cs="宋体"/>
          <w:sz w:val="24"/>
          <w:u w:val="single"/>
        </w:rPr>
        <w:t>　　</w:t>
      </w:r>
      <w:r>
        <w:rPr>
          <w:rFonts w:ascii="宋体" w:hAnsi="宋体" w:cs="宋体"/>
          <w:sz w:val="24"/>
        </w:rPr>
        <w:t>元）的违约金。</w:t>
      </w:r>
    </w:p>
    <w:p>
      <w:pPr>
        <w:snapToGrid w:val="0"/>
        <w:spacing w:line="360" w:lineRule="auto"/>
        <w:ind w:firstLine="480" w:firstLineChars="200"/>
        <w:jc w:val="left"/>
        <w:rPr>
          <w:sz w:val="24"/>
        </w:rPr>
      </w:pPr>
      <w:r>
        <w:rPr>
          <w:rFonts w:ascii="宋体" w:hAnsi="宋体" w:cs="宋体"/>
          <w:sz w:val="24"/>
        </w:rPr>
        <w:t>8.3 如乙方在合同生效后未能按合同约定的交货时间供货或未能如期履行合同规定的其他内容，造成甲方实际损失的，甲方有权通过调解、诉讼等方式向乙方追偿，并将实际情况报相关采购监管部门。</w:t>
      </w:r>
    </w:p>
    <w:p>
      <w:pPr>
        <w:snapToGrid w:val="0"/>
        <w:spacing w:line="360" w:lineRule="auto"/>
        <w:ind w:firstLine="480" w:firstLineChars="200"/>
        <w:jc w:val="left"/>
        <w:rPr>
          <w:sz w:val="24"/>
        </w:rPr>
      </w:pPr>
      <w:r>
        <w:rPr>
          <w:rFonts w:ascii="宋体" w:hAnsi="宋体" w:cs="宋体"/>
          <w:sz w:val="24"/>
        </w:rPr>
        <w:t>8.4 乙方应保证甲方所采购的商品及其任何一部分，在使用时不受第三方提出侵犯其专利权、版权、商标权或其他权利的起诉。一旦出现侵权，乙方应承担全部责任。</w:t>
      </w:r>
    </w:p>
    <w:p>
      <w:pPr>
        <w:snapToGrid w:val="0"/>
        <w:spacing w:line="360" w:lineRule="auto"/>
        <w:ind w:firstLine="480" w:firstLineChars="200"/>
        <w:jc w:val="left"/>
        <w:rPr>
          <w:sz w:val="24"/>
        </w:rPr>
      </w:pPr>
      <w:r>
        <w:rPr>
          <w:rFonts w:ascii="宋体" w:hAnsi="宋体" w:cs="宋体"/>
          <w:sz w:val="24"/>
        </w:rPr>
        <w:t>8.5 有下列情形之一的，乙方承担相关责任，造成损失的乙方承担损失赔偿；如有争议，则按本合同第九条处理。</w:t>
      </w:r>
    </w:p>
    <w:p>
      <w:pPr>
        <w:snapToGrid w:val="0"/>
        <w:spacing w:line="360" w:lineRule="auto"/>
        <w:ind w:firstLine="480" w:firstLineChars="200"/>
        <w:jc w:val="left"/>
        <w:rPr>
          <w:sz w:val="24"/>
        </w:rPr>
      </w:pPr>
      <w:r>
        <w:rPr>
          <w:rFonts w:ascii="宋体" w:hAnsi="宋体" w:cs="宋体"/>
          <w:sz w:val="24"/>
        </w:rPr>
        <w:t>1）在商品交付验收合格之日起质保期内发生质量问题；</w:t>
      </w:r>
    </w:p>
    <w:p>
      <w:pPr>
        <w:snapToGrid w:val="0"/>
        <w:spacing w:line="360" w:lineRule="auto"/>
        <w:ind w:firstLine="480" w:firstLineChars="200"/>
        <w:jc w:val="left"/>
        <w:rPr>
          <w:sz w:val="24"/>
        </w:rPr>
      </w:pPr>
      <w:r>
        <w:rPr>
          <w:rFonts w:ascii="宋体" w:hAnsi="宋体" w:cs="宋体"/>
          <w:sz w:val="24"/>
        </w:rPr>
        <w:t>2）售后服务或维护未按照合同约定或国家法律、规章制度规定完成的。</w:t>
      </w:r>
    </w:p>
    <w:p>
      <w:pPr>
        <w:snapToGrid w:val="0"/>
        <w:spacing w:line="360" w:lineRule="auto"/>
        <w:jc w:val="left"/>
        <w:rPr>
          <w:sz w:val="24"/>
        </w:rPr>
      </w:pPr>
      <w:r>
        <w:rPr>
          <w:rFonts w:ascii="宋体" w:hAnsi="宋体" w:cs="宋体"/>
          <w:b/>
          <w:sz w:val="24"/>
        </w:rPr>
        <w:t>9.争议解决</w:t>
      </w:r>
    </w:p>
    <w:p>
      <w:pPr>
        <w:snapToGrid w:val="0"/>
        <w:spacing w:line="360" w:lineRule="auto"/>
        <w:ind w:firstLine="480" w:firstLineChars="200"/>
        <w:jc w:val="left"/>
        <w:rPr>
          <w:sz w:val="24"/>
        </w:rPr>
      </w:pPr>
      <w:r>
        <w:rPr>
          <w:rFonts w:ascii="宋体" w:hAnsi="宋体" w:cs="宋体"/>
          <w:sz w:val="24"/>
        </w:rPr>
        <w:t>9.1 本合同在发生所供商品的质量、售后服务等问题时，各使用方有权直接向乙方索赔，签订必要的书面处理协议。如协商不成，向甲方所在地人民法院提起诉讼解决。</w:t>
      </w:r>
    </w:p>
    <w:p>
      <w:pPr>
        <w:snapToGrid w:val="0"/>
        <w:spacing w:line="360" w:lineRule="auto"/>
        <w:jc w:val="left"/>
        <w:rPr>
          <w:sz w:val="24"/>
        </w:rPr>
      </w:pPr>
      <w:r>
        <w:rPr>
          <w:rFonts w:ascii="宋体" w:hAnsi="宋体" w:cs="宋体"/>
          <w:b/>
          <w:sz w:val="24"/>
        </w:rPr>
        <w:t>10.双方约定的其他事项</w:t>
      </w:r>
    </w:p>
    <w:p>
      <w:pPr>
        <w:snapToGrid w:val="0"/>
        <w:spacing w:line="360" w:lineRule="auto"/>
        <w:ind w:firstLine="480" w:firstLineChars="200"/>
        <w:jc w:val="left"/>
        <w:rPr>
          <w:sz w:val="24"/>
        </w:rPr>
      </w:pPr>
      <w:r>
        <w:rPr>
          <w:rFonts w:ascii="宋体" w:hAnsi="宋体" w:cs="宋体"/>
          <w:sz w:val="24"/>
        </w:rPr>
        <w:t>10.1 　　　　　　　　　　　　　　　　　　　　　　　　　　</w:t>
      </w:r>
    </w:p>
    <w:p>
      <w:pPr>
        <w:snapToGrid w:val="0"/>
        <w:spacing w:line="360" w:lineRule="auto"/>
        <w:jc w:val="left"/>
        <w:rPr>
          <w:sz w:val="24"/>
        </w:rPr>
      </w:pPr>
      <w:r>
        <w:rPr>
          <w:rFonts w:ascii="宋体" w:hAnsi="宋体" w:cs="宋体"/>
          <w:b/>
          <w:sz w:val="24"/>
        </w:rPr>
        <w:t>11.合同生效</w:t>
      </w:r>
    </w:p>
    <w:p>
      <w:pPr>
        <w:snapToGrid w:val="0"/>
        <w:spacing w:line="360" w:lineRule="auto"/>
        <w:ind w:firstLine="480" w:firstLineChars="200"/>
        <w:jc w:val="left"/>
        <w:rPr>
          <w:sz w:val="24"/>
        </w:rPr>
      </w:pPr>
      <w:r>
        <w:rPr>
          <w:rFonts w:ascii="宋体" w:hAnsi="宋体" w:cs="宋体"/>
          <w:sz w:val="24"/>
        </w:rPr>
        <w:t>11.1 本合同经双方法定代表人或其授权委托人签字并加盖双方公章之日起生效。</w:t>
      </w:r>
    </w:p>
    <w:p>
      <w:pPr>
        <w:snapToGrid w:val="0"/>
        <w:spacing w:line="360" w:lineRule="auto"/>
        <w:ind w:firstLine="480" w:firstLineChars="200"/>
        <w:jc w:val="left"/>
        <w:rPr>
          <w:sz w:val="24"/>
        </w:rPr>
      </w:pPr>
      <w:r>
        <w:rPr>
          <w:rFonts w:ascii="宋体" w:hAnsi="宋体" w:cs="宋体"/>
          <w:sz w:val="24"/>
        </w:rPr>
        <w:t>11.2 本合同一式</w:t>
      </w:r>
      <w:r>
        <w:rPr>
          <w:rFonts w:ascii="宋体" w:hAnsi="宋体" w:cs="宋体"/>
          <w:sz w:val="24"/>
          <w:u w:val="single"/>
        </w:rPr>
        <w:t>伍</w:t>
      </w:r>
      <w:r>
        <w:rPr>
          <w:rFonts w:ascii="宋体" w:hAnsi="宋体" w:cs="宋体"/>
          <w:sz w:val="24"/>
        </w:rPr>
        <w:t>份，甲方执</w:t>
      </w:r>
      <w:r>
        <w:rPr>
          <w:rFonts w:ascii="宋体" w:hAnsi="宋体" w:cs="宋体"/>
          <w:sz w:val="24"/>
          <w:u w:val="single"/>
        </w:rPr>
        <w:t>肆</w:t>
      </w:r>
      <w:r>
        <w:rPr>
          <w:rFonts w:ascii="宋体" w:hAnsi="宋体" w:cs="宋体"/>
          <w:sz w:val="24"/>
        </w:rPr>
        <w:t>份，乙方执</w:t>
      </w:r>
      <w:r>
        <w:rPr>
          <w:rFonts w:ascii="宋体" w:hAnsi="宋体" w:cs="宋体"/>
          <w:sz w:val="24"/>
          <w:u w:val="single"/>
        </w:rPr>
        <w:t>壹</w:t>
      </w:r>
      <w:r>
        <w:rPr>
          <w:rFonts w:ascii="宋体" w:hAnsi="宋体" w:cs="宋体"/>
          <w:sz w:val="24"/>
        </w:rPr>
        <w:t>份</w:t>
      </w:r>
    </w:p>
    <w:p>
      <w:pPr>
        <w:snapToGrid w:val="0"/>
        <w:spacing w:line="360" w:lineRule="auto"/>
        <w:ind w:firstLine="480" w:firstLineChars="200"/>
        <w:jc w:val="left"/>
        <w:rPr>
          <w:sz w:val="24"/>
        </w:rPr>
      </w:pPr>
      <w:r>
        <w:rPr>
          <w:rFonts w:ascii="宋体" w:hAnsi="宋体" w:cs="宋体"/>
          <w:sz w:val="24"/>
        </w:rPr>
        <w:t>11.3 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pPr>
        <w:snapToGrid w:val="0"/>
        <w:spacing w:line="360" w:lineRule="auto"/>
        <w:jc w:val="left"/>
        <w:rPr>
          <w:sz w:val="24"/>
        </w:rPr>
      </w:pPr>
      <w:r>
        <w:rPr>
          <w:rFonts w:ascii="宋体" w:hAnsi="宋体" w:cs="宋体"/>
          <w:sz w:val="24"/>
        </w:rPr>
        <w:t>附件：</w:t>
      </w:r>
    </w:p>
    <w:p>
      <w:pPr>
        <w:snapToGrid w:val="0"/>
        <w:spacing w:line="360" w:lineRule="auto"/>
        <w:ind w:firstLine="480" w:firstLineChars="200"/>
        <w:jc w:val="left"/>
        <w:rPr>
          <w:sz w:val="24"/>
        </w:rPr>
      </w:pPr>
      <w:r>
        <w:rPr>
          <w:rFonts w:ascii="宋体" w:hAnsi="宋体" w:cs="宋体"/>
          <w:sz w:val="24"/>
        </w:rPr>
        <w:t>货物技术参数</w:t>
      </w:r>
    </w:p>
    <w:p>
      <w:pPr>
        <w:snapToGrid w:val="0"/>
        <w:spacing w:line="360" w:lineRule="auto"/>
        <w:rPr>
          <w:sz w:val="24"/>
        </w:rPr>
      </w:pPr>
    </w:p>
    <w:p>
      <w:pPr>
        <w:snapToGrid w:val="0"/>
        <w:spacing w:line="360" w:lineRule="auto"/>
        <w:jc w:val="left"/>
        <w:rPr>
          <w:sz w:val="24"/>
        </w:rPr>
      </w:pPr>
      <w:r>
        <w:rPr>
          <w:rFonts w:ascii="宋体" w:hAnsi="宋体" w:cs="宋体"/>
          <w:sz w:val="24"/>
        </w:rPr>
        <w:t>甲方（公章）：</w:t>
      </w:r>
      <w:r>
        <w:rPr>
          <w:rFonts w:ascii="宋体" w:hAnsi="宋体" w:cs="宋体"/>
          <w:b/>
          <w:sz w:val="24"/>
          <w:u w:val="single"/>
        </w:rPr>
        <w:t>杭州师范大学</w:t>
      </w:r>
    </w:p>
    <w:p>
      <w:pPr>
        <w:snapToGrid w:val="0"/>
        <w:spacing w:line="360" w:lineRule="auto"/>
        <w:jc w:val="left"/>
        <w:rPr>
          <w:sz w:val="24"/>
        </w:rPr>
      </w:pPr>
      <w:r>
        <w:rPr>
          <w:rFonts w:ascii="宋体" w:hAnsi="宋体" w:cs="宋体"/>
          <w:sz w:val="24"/>
        </w:rPr>
        <w:t>法定代表人或授权委托人（签字）：</w:t>
      </w:r>
    </w:p>
    <w:p>
      <w:pPr>
        <w:snapToGrid w:val="0"/>
        <w:spacing w:line="360" w:lineRule="auto"/>
        <w:jc w:val="left"/>
        <w:rPr>
          <w:sz w:val="24"/>
        </w:rPr>
      </w:pPr>
      <w:r>
        <w:rPr>
          <w:rFonts w:ascii="宋体" w:hAnsi="宋体" w:cs="宋体"/>
          <w:sz w:val="24"/>
        </w:rPr>
        <w:t>邮编：</w:t>
      </w:r>
      <w:r>
        <w:rPr>
          <w:rFonts w:ascii="宋体" w:hAnsi="宋体" w:cs="宋体"/>
          <w:sz w:val="24"/>
          <w:u w:val="single"/>
        </w:rPr>
        <w:t>311121</w:t>
      </w:r>
    </w:p>
    <w:p>
      <w:pPr>
        <w:snapToGrid w:val="0"/>
        <w:spacing w:line="360" w:lineRule="auto"/>
        <w:jc w:val="left"/>
        <w:rPr>
          <w:sz w:val="24"/>
        </w:rPr>
      </w:pPr>
      <w:r>
        <w:rPr>
          <w:rFonts w:ascii="宋体" w:hAnsi="宋体" w:cs="宋体"/>
          <w:sz w:val="24"/>
        </w:rPr>
        <w:t>使用部门联系人：</w:t>
      </w:r>
      <w:r>
        <w:rPr>
          <w:rFonts w:ascii="宋体" w:hAnsi="宋体" w:cs="宋体"/>
          <w:sz w:val="24"/>
          <w:u w:val="single"/>
        </w:rPr>
        <w:t>　　　　　　　　　　　</w:t>
      </w:r>
    </w:p>
    <w:p>
      <w:pPr>
        <w:snapToGrid w:val="0"/>
        <w:spacing w:line="360" w:lineRule="auto"/>
        <w:jc w:val="left"/>
        <w:rPr>
          <w:sz w:val="24"/>
        </w:rPr>
      </w:pPr>
      <w:r>
        <w:rPr>
          <w:rFonts w:ascii="宋体" w:hAnsi="宋体" w:cs="宋体"/>
          <w:sz w:val="24"/>
        </w:rPr>
        <w:t>电话：</w:t>
      </w:r>
      <w:r>
        <w:rPr>
          <w:rFonts w:ascii="宋体" w:hAnsi="宋体" w:cs="宋体"/>
          <w:sz w:val="24"/>
          <w:u w:val="single"/>
        </w:rPr>
        <w:t>　　　　　　　　　　　</w:t>
      </w:r>
    </w:p>
    <w:p>
      <w:pPr>
        <w:snapToGrid w:val="0"/>
        <w:spacing w:line="360" w:lineRule="auto"/>
        <w:jc w:val="left"/>
        <w:rPr>
          <w:sz w:val="24"/>
        </w:rPr>
      </w:pPr>
      <w:r>
        <w:rPr>
          <w:rFonts w:ascii="宋体" w:hAnsi="宋体" w:cs="宋体"/>
          <w:sz w:val="24"/>
        </w:rPr>
        <w:t>传真：</w:t>
      </w:r>
      <w:r>
        <w:rPr>
          <w:rFonts w:ascii="宋体" w:hAnsi="宋体" w:cs="宋体"/>
          <w:sz w:val="24"/>
          <w:u w:val="single"/>
        </w:rPr>
        <w:t>　　　　　　　　　　　</w:t>
      </w:r>
    </w:p>
    <w:p>
      <w:pPr>
        <w:snapToGrid w:val="0"/>
        <w:spacing w:line="360" w:lineRule="auto"/>
        <w:jc w:val="left"/>
        <w:rPr>
          <w:sz w:val="24"/>
        </w:rPr>
      </w:pPr>
      <w:r>
        <w:rPr>
          <w:rFonts w:ascii="宋体" w:hAnsi="宋体" w:cs="宋体"/>
          <w:sz w:val="24"/>
        </w:rPr>
        <w:t>采购中心联系人：</w:t>
      </w:r>
      <w:r>
        <w:rPr>
          <w:rFonts w:ascii="宋体" w:hAnsi="宋体" w:cs="宋体"/>
          <w:sz w:val="24"/>
          <w:u w:val="single"/>
        </w:rPr>
        <w:t>　　　　　　　　　　　</w:t>
      </w:r>
    </w:p>
    <w:p>
      <w:pPr>
        <w:snapToGrid w:val="0"/>
        <w:spacing w:line="360" w:lineRule="auto"/>
        <w:jc w:val="left"/>
        <w:rPr>
          <w:sz w:val="24"/>
        </w:rPr>
      </w:pPr>
      <w:r>
        <w:rPr>
          <w:rFonts w:ascii="宋体" w:hAnsi="宋体" w:cs="宋体"/>
          <w:sz w:val="24"/>
        </w:rPr>
        <w:t>电话：</w:t>
      </w:r>
      <w:r>
        <w:rPr>
          <w:rFonts w:ascii="宋体" w:hAnsi="宋体" w:cs="宋体"/>
          <w:sz w:val="24"/>
          <w:u w:val="single"/>
        </w:rPr>
        <w:t>　　　　　　　　　　　</w:t>
      </w:r>
    </w:p>
    <w:p>
      <w:pPr>
        <w:snapToGrid w:val="0"/>
        <w:spacing w:line="360" w:lineRule="auto"/>
        <w:jc w:val="left"/>
        <w:rPr>
          <w:sz w:val="24"/>
        </w:rPr>
      </w:pPr>
      <w:r>
        <w:rPr>
          <w:rFonts w:ascii="宋体" w:hAnsi="宋体" w:cs="宋体"/>
          <w:sz w:val="24"/>
        </w:rPr>
        <w:t>附：开票信息</w:t>
      </w:r>
    </w:p>
    <w:p>
      <w:pPr>
        <w:snapToGrid w:val="0"/>
        <w:spacing w:line="360" w:lineRule="auto"/>
        <w:jc w:val="left"/>
        <w:rPr>
          <w:sz w:val="24"/>
        </w:rPr>
      </w:pPr>
      <w:r>
        <w:rPr>
          <w:rFonts w:ascii="宋体" w:hAnsi="宋体" w:cs="宋体"/>
          <w:sz w:val="24"/>
        </w:rPr>
        <w:t xml:space="preserve">纳税人：杭州师范大学 </w:t>
      </w:r>
    </w:p>
    <w:p>
      <w:pPr>
        <w:snapToGrid w:val="0"/>
        <w:spacing w:line="360" w:lineRule="auto"/>
        <w:jc w:val="left"/>
        <w:rPr>
          <w:sz w:val="24"/>
        </w:rPr>
      </w:pPr>
      <w:r>
        <w:rPr>
          <w:rFonts w:ascii="宋体" w:hAnsi="宋体" w:cs="宋体"/>
          <w:sz w:val="24"/>
        </w:rPr>
        <w:t>地址：</w:t>
      </w:r>
      <w:r>
        <w:rPr>
          <w:rFonts w:ascii="宋体" w:hAnsi="宋体" w:cs="宋体"/>
          <w:sz w:val="24"/>
          <w:u w:val="single"/>
        </w:rPr>
        <w:t>　　　　　　　　　　　　　　　　</w:t>
      </w:r>
    </w:p>
    <w:p>
      <w:pPr>
        <w:snapToGrid w:val="0"/>
        <w:spacing w:line="360" w:lineRule="auto"/>
        <w:jc w:val="left"/>
        <w:rPr>
          <w:sz w:val="24"/>
        </w:rPr>
      </w:pPr>
      <w:r>
        <w:rPr>
          <w:rFonts w:ascii="宋体" w:hAnsi="宋体" w:cs="宋体"/>
          <w:sz w:val="24"/>
        </w:rPr>
        <w:t>统一社会信用代码（税号）：</w:t>
      </w:r>
      <w:r>
        <w:rPr>
          <w:rFonts w:ascii="宋体" w:hAnsi="宋体" w:cs="宋体"/>
          <w:sz w:val="24"/>
          <w:u w:val="single"/>
        </w:rPr>
        <w:t>　　　　　　　　</w:t>
      </w:r>
    </w:p>
    <w:p>
      <w:pPr>
        <w:snapToGrid w:val="0"/>
        <w:spacing w:line="360" w:lineRule="auto"/>
        <w:jc w:val="left"/>
        <w:rPr>
          <w:sz w:val="24"/>
        </w:rPr>
      </w:pPr>
      <w:r>
        <w:rPr>
          <w:rFonts w:ascii="宋体" w:hAnsi="宋体" w:cs="宋体"/>
          <w:sz w:val="24"/>
        </w:rPr>
        <w:t>咨询电话：</w:t>
      </w:r>
    </w:p>
    <w:p>
      <w:pPr>
        <w:snapToGrid w:val="0"/>
        <w:spacing w:line="360" w:lineRule="auto"/>
        <w:jc w:val="left"/>
        <w:rPr>
          <w:sz w:val="24"/>
        </w:rPr>
      </w:pPr>
      <w:r>
        <w:rPr>
          <w:rFonts w:ascii="宋体" w:hAnsi="宋体" w:cs="宋体"/>
          <w:sz w:val="24"/>
        </w:rPr>
        <w:t>开户银行：</w:t>
      </w:r>
      <w:r>
        <w:rPr>
          <w:rFonts w:ascii="宋体" w:hAnsi="宋体" w:cs="宋体"/>
          <w:sz w:val="24"/>
          <w:u w:val="single"/>
        </w:rPr>
        <w:t>　　　　　　　　</w:t>
      </w:r>
      <w:r>
        <w:rPr>
          <w:rFonts w:ascii="宋体" w:hAnsi="宋体" w:cs="宋体"/>
          <w:sz w:val="24"/>
        </w:rPr>
        <w:tab/>
      </w:r>
    </w:p>
    <w:p>
      <w:pPr>
        <w:snapToGrid w:val="0"/>
        <w:spacing w:line="360" w:lineRule="auto"/>
        <w:jc w:val="left"/>
        <w:rPr>
          <w:sz w:val="24"/>
        </w:rPr>
      </w:pPr>
      <w:r>
        <w:rPr>
          <w:rFonts w:ascii="宋体" w:hAnsi="宋体" w:cs="宋体"/>
          <w:sz w:val="24"/>
        </w:rPr>
        <w:t>账号：</w:t>
      </w:r>
      <w:r>
        <w:rPr>
          <w:rFonts w:ascii="宋体" w:hAnsi="宋体" w:cs="宋体"/>
          <w:sz w:val="24"/>
          <w:u w:val="single"/>
        </w:rPr>
        <w:t>　　　　　　　　</w:t>
      </w:r>
      <w:r>
        <w:rPr>
          <w:rFonts w:ascii="宋体" w:hAnsi="宋体" w:cs="宋体"/>
          <w:sz w:val="24"/>
        </w:rPr>
        <w:tab/>
      </w:r>
    </w:p>
    <w:p>
      <w:pPr>
        <w:snapToGrid w:val="0"/>
        <w:spacing w:line="360" w:lineRule="auto"/>
        <w:jc w:val="left"/>
        <w:rPr>
          <w:sz w:val="24"/>
        </w:rPr>
      </w:pPr>
    </w:p>
    <w:p>
      <w:pPr>
        <w:snapToGrid w:val="0"/>
        <w:spacing w:line="360" w:lineRule="auto"/>
        <w:jc w:val="left"/>
        <w:rPr>
          <w:sz w:val="24"/>
        </w:rPr>
      </w:pPr>
      <w:r>
        <w:rPr>
          <w:rFonts w:ascii="宋体" w:hAnsi="宋体" w:cs="宋体"/>
          <w:sz w:val="24"/>
        </w:rPr>
        <w:t>乙方（公章）：</w:t>
      </w:r>
    </w:p>
    <w:p>
      <w:pPr>
        <w:snapToGrid w:val="0"/>
        <w:spacing w:line="360" w:lineRule="auto"/>
        <w:jc w:val="left"/>
        <w:rPr>
          <w:sz w:val="24"/>
        </w:rPr>
      </w:pPr>
      <w:r>
        <w:rPr>
          <w:rFonts w:ascii="宋体" w:hAnsi="宋体" w:cs="宋体"/>
          <w:sz w:val="24"/>
        </w:rPr>
        <w:t>法定代表人或授权委托人（签字）：</w:t>
      </w:r>
    </w:p>
    <w:p>
      <w:pPr>
        <w:snapToGrid w:val="0"/>
        <w:spacing w:line="360" w:lineRule="auto"/>
        <w:jc w:val="left"/>
        <w:rPr>
          <w:sz w:val="24"/>
        </w:rPr>
      </w:pPr>
      <w:r>
        <w:rPr>
          <w:rFonts w:ascii="宋体" w:hAnsi="宋体" w:cs="宋体"/>
          <w:sz w:val="24"/>
        </w:rPr>
        <w:t>地址：</w:t>
      </w:r>
      <w:r>
        <w:rPr>
          <w:rFonts w:ascii="宋体" w:hAnsi="宋体" w:cs="宋体"/>
          <w:sz w:val="24"/>
          <w:u w:val="single"/>
        </w:rPr>
        <w:t>　　　　　　　　　　　</w:t>
      </w:r>
      <w:r>
        <w:rPr>
          <w:rFonts w:ascii="宋体" w:hAnsi="宋体" w:cs="宋体"/>
          <w:sz w:val="24"/>
        </w:rPr>
        <w:t xml:space="preserve"> 邮编：</w:t>
      </w:r>
      <w:r>
        <w:rPr>
          <w:rFonts w:ascii="宋体" w:hAnsi="宋体" w:cs="宋体"/>
          <w:sz w:val="24"/>
          <w:u w:val="single"/>
        </w:rPr>
        <w:t>　　　　　　</w:t>
      </w:r>
    </w:p>
    <w:p>
      <w:pPr>
        <w:snapToGrid w:val="0"/>
        <w:spacing w:line="360" w:lineRule="auto"/>
        <w:jc w:val="left"/>
        <w:rPr>
          <w:sz w:val="24"/>
        </w:rPr>
      </w:pPr>
      <w:r>
        <w:rPr>
          <w:rFonts w:ascii="宋体" w:hAnsi="宋体" w:cs="宋体"/>
          <w:sz w:val="24"/>
        </w:rPr>
        <w:t>统一社会信用代码（税号）:</w:t>
      </w:r>
      <w:r>
        <w:rPr>
          <w:rFonts w:ascii="宋体" w:hAnsi="宋体" w:cs="宋体"/>
          <w:sz w:val="24"/>
          <w:u w:val="single"/>
        </w:rPr>
        <w:t>　　　　　　　　　　　</w:t>
      </w:r>
    </w:p>
    <w:p>
      <w:pPr>
        <w:snapToGrid w:val="0"/>
        <w:spacing w:line="360" w:lineRule="auto"/>
        <w:jc w:val="left"/>
        <w:rPr>
          <w:sz w:val="24"/>
        </w:rPr>
      </w:pPr>
      <w:r>
        <w:rPr>
          <w:rFonts w:ascii="宋体" w:hAnsi="宋体" w:cs="宋体"/>
          <w:sz w:val="24"/>
        </w:rPr>
        <w:t>联系人：</w:t>
      </w:r>
      <w:r>
        <w:rPr>
          <w:rFonts w:ascii="宋体" w:hAnsi="宋体" w:cs="宋体"/>
          <w:sz w:val="24"/>
          <w:u w:val="single"/>
        </w:rPr>
        <w:t>　　　　　　　　　　　</w:t>
      </w:r>
      <w:r>
        <w:rPr>
          <w:rFonts w:ascii="宋体" w:hAnsi="宋体" w:cs="宋体"/>
          <w:sz w:val="24"/>
        </w:rPr>
        <w:t xml:space="preserve">  电话: </w:t>
      </w:r>
      <w:r>
        <w:rPr>
          <w:rFonts w:ascii="宋体" w:hAnsi="宋体" w:cs="宋体"/>
          <w:sz w:val="24"/>
          <w:u w:val="single"/>
        </w:rPr>
        <w:t>　　　　　　　　　　　</w:t>
      </w:r>
    </w:p>
    <w:p>
      <w:pPr>
        <w:snapToGrid w:val="0"/>
        <w:spacing w:line="360" w:lineRule="auto"/>
        <w:jc w:val="left"/>
        <w:rPr>
          <w:sz w:val="24"/>
        </w:rPr>
      </w:pPr>
      <w:r>
        <w:rPr>
          <w:rFonts w:ascii="宋体" w:hAnsi="宋体" w:cs="宋体"/>
          <w:sz w:val="24"/>
        </w:rPr>
        <w:t>开户银行：</w:t>
      </w:r>
      <w:r>
        <w:rPr>
          <w:rFonts w:ascii="宋体" w:hAnsi="宋体" w:cs="宋体"/>
          <w:sz w:val="24"/>
          <w:u w:val="single"/>
        </w:rPr>
        <w:t>　　　　　　　　　　　</w:t>
      </w:r>
    </w:p>
    <w:p>
      <w:pPr>
        <w:snapToGrid w:val="0"/>
        <w:spacing w:line="360" w:lineRule="auto"/>
        <w:rPr>
          <w:rFonts w:ascii="宋体" w:hAnsi="宋体" w:cs="宋体"/>
          <w:b/>
          <w:sz w:val="24"/>
        </w:rPr>
      </w:pPr>
      <w:r>
        <w:rPr>
          <w:rFonts w:ascii="宋体" w:hAnsi="宋体" w:cs="宋体"/>
          <w:sz w:val="24"/>
        </w:rPr>
        <w:t>账号：</w:t>
      </w:r>
      <w:r>
        <w:rPr>
          <w:rFonts w:ascii="宋体" w:hAnsi="宋体" w:cs="宋体"/>
          <w:sz w:val="24"/>
          <w:u w:val="single"/>
        </w:rPr>
        <w:t>　　　　　　　　　　　</w:t>
      </w:r>
    </w:p>
    <w:p>
      <w:pPr>
        <w:pStyle w:val="2"/>
        <w:ind w:left="0" w:firstLine="0"/>
      </w:pPr>
    </w:p>
    <w:p>
      <w:pPr>
        <w:ind w:firstLine="1800" w:firstLineChars="500"/>
        <w:rPr>
          <w:rFonts w:ascii="黑体" w:hAnsi="黑体" w:eastAsia="黑体"/>
          <w:sz w:val="36"/>
          <w:szCs w:val="36"/>
        </w:rPr>
        <w:sectPr>
          <w:pgSz w:w="11906" w:h="16838"/>
          <w:pgMar w:top="1440" w:right="1800" w:bottom="1440" w:left="1800" w:header="851" w:footer="992" w:gutter="0"/>
          <w:cols w:space="425" w:num="1"/>
          <w:docGrid w:type="lines" w:linePitch="312" w:charSpace="0"/>
        </w:sectPr>
      </w:pPr>
    </w:p>
    <w:p>
      <w:pPr>
        <w:ind w:firstLine="1800" w:firstLineChars="500"/>
        <w:rPr>
          <w:rFonts w:ascii="黑体" w:hAnsi="黑体" w:eastAsia="黑体"/>
          <w:sz w:val="24"/>
          <w:szCs w:val="36"/>
        </w:rPr>
      </w:pPr>
      <w:r>
        <w:rPr>
          <w:rFonts w:ascii="黑体" w:hAnsi="黑体" w:eastAsia="黑体"/>
          <w:sz w:val="36"/>
          <w:szCs w:val="36"/>
        </w:rPr>
        <w:t>杭州师范大学采购合同</w:t>
      </w:r>
      <w:r>
        <w:rPr>
          <w:rFonts w:hint="eastAsia" w:ascii="黑体" w:hAnsi="黑体" w:eastAsia="黑体"/>
          <w:sz w:val="24"/>
          <w:szCs w:val="36"/>
        </w:rPr>
        <w:t>（进口免税）</w:t>
      </w:r>
    </w:p>
    <w:p>
      <w:pPr>
        <w:spacing w:line="360" w:lineRule="auto"/>
        <w:rPr>
          <w:rFonts w:ascii="宋体" w:hAnsi="宋体"/>
          <w:snapToGrid w:val="0"/>
          <w:sz w:val="24"/>
        </w:rPr>
      </w:pPr>
    </w:p>
    <w:p>
      <w:pPr>
        <w:spacing w:line="360" w:lineRule="auto"/>
        <w:rPr>
          <w:rFonts w:ascii="宋体" w:hAnsi="宋体"/>
          <w:snapToGrid w:val="0"/>
          <w:szCs w:val="21"/>
        </w:rPr>
      </w:pPr>
      <w:r>
        <w:rPr>
          <w:rFonts w:ascii="宋体" w:hAnsi="宋体"/>
          <w:snapToGrid w:val="0"/>
          <w:szCs w:val="21"/>
        </w:rPr>
        <w:t>甲  方</w:t>
      </w:r>
      <w:r>
        <w:rPr>
          <w:rFonts w:hint="eastAsia" w:ascii="宋体" w:hAnsi="宋体"/>
          <w:snapToGrid w:val="0"/>
          <w:szCs w:val="21"/>
        </w:rPr>
        <w:t>（需  求  方）</w:t>
      </w:r>
      <w:r>
        <w:rPr>
          <w:rFonts w:ascii="宋体" w:hAnsi="宋体"/>
          <w:snapToGrid w:val="0"/>
          <w:szCs w:val="21"/>
        </w:rPr>
        <w:t>：</w:t>
      </w:r>
      <w:r>
        <w:rPr>
          <w:rFonts w:ascii="宋体" w:hAnsi="宋体"/>
          <w:b/>
          <w:snapToGrid w:val="0"/>
          <w:szCs w:val="21"/>
        </w:rPr>
        <w:t>杭州师范大学</w:t>
      </w:r>
    </w:p>
    <w:p>
      <w:pPr>
        <w:spacing w:line="360" w:lineRule="auto"/>
        <w:rPr>
          <w:rFonts w:ascii="宋体" w:hAnsi="宋体"/>
          <w:snapToGrid w:val="0"/>
          <w:szCs w:val="21"/>
        </w:rPr>
      </w:pPr>
      <w:r>
        <w:rPr>
          <w:rFonts w:ascii="宋体" w:hAnsi="宋体"/>
          <w:snapToGrid w:val="0"/>
          <w:szCs w:val="21"/>
        </w:rPr>
        <w:t>乙  方</w:t>
      </w:r>
      <w:r>
        <w:rPr>
          <w:rFonts w:hint="eastAsia" w:ascii="宋体" w:hAnsi="宋体"/>
          <w:snapToGrid w:val="0"/>
          <w:szCs w:val="21"/>
        </w:rPr>
        <w:t>（供  货  方）</w:t>
      </w:r>
      <w:r>
        <w:rPr>
          <w:rFonts w:ascii="宋体" w:hAnsi="宋体"/>
          <w:snapToGrid w:val="0"/>
          <w:szCs w:val="21"/>
        </w:rPr>
        <w:t xml:space="preserve">： </w:t>
      </w:r>
    </w:p>
    <w:p>
      <w:pPr>
        <w:spacing w:line="360" w:lineRule="auto"/>
        <w:rPr>
          <w:rFonts w:ascii="宋体" w:hAnsi="宋体"/>
          <w:snapToGrid w:val="0"/>
          <w:szCs w:val="21"/>
        </w:rPr>
      </w:pPr>
      <w:r>
        <w:rPr>
          <w:rFonts w:hint="eastAsia" w:ascii="宋体" w:hAnsi="宋体"/>
          <w:snapToGrid w:val="0"/>
          <w:szCs w:val="21"/>
        </w:rPr>
        <w:t>丙  方（进口代理方）：</w:t>
      </w:r>
      <w:r>
        <w:rPr>
          <w:rFonts w:hint="eastAsia" w:ascii="宋体" w:hAnsi="宋体"/>
          <w:snapToGrid w:val="0"/>
          <w:sz w:val="24"/>
        </w:rPr>
        <w:t>浙江省科学器材进出口有限责任公司</w:t>
      </w:r>
    </w:p>
    <w:p>
      <w:pPr>
        <w:spacing w:line="360" w:lineRule="auto"/>
        <w:ind w:firstLine="420" w:firstLineChars="200"/>
        <w:rPr>
          <w:rFonts w:ascii="宋体" w:hAnsi="宋体"/>
          <w:snapToGrid w:val="0"/>
          <w:szCs w:val="21"/>
        </w:rPr>
      </w:pPr>
      <w:r>
        <w:rPr>
          <w:rFonts w:ascii="宋体" w:hAnsi="宋体"/>
          <w:snapToGrid w:val="0"/>
          <w:szCs w:val="21"/>
        </w:rPr>
        <w:t>合同编号：</w:t>
      </w:r>
      <w:r>
        <w:rPr>
          <w:rFonts w:hint="eastAsia" w:ascii="宋体" w:hAnsi="宋体"/>
          <w:snapToGrid w:val="0"/>
          <w:szCs w:val="21"/>
        </w:rPr>
        <w:t>校合-2023-CGZX-</w:t>
      </w:r>
    </w:p>
    <w:p>
      <w:pPr>
        <w:spacing w:line="360" w:lineRule="auto"/>
        <w:ind w:firstLine="420" w:firstLineChars="200"/>
        <w:rPr>
          <w:rFonts w:ascii="宋体" w:hAnsi="宋体"/>
          <w:snapToGrid w:val="0"/>
          <w:szCs w:val="21"/>
        </w:rPr>
      </w:pPr>
      <w:r>
        <w:rPr>
          <w:rFonts w:ascii="宋体" w:hAnsi="宋体"/>
          <w:snapToGrid w:val="0"/>
          <w:szCs w:val="21"/>
        </w:rPr>
        <w:t>标书编号：</w:t>
      </w:r>
      <w:r>
        <w:rPr>
          <w:rFonts w:hint="eastAsia" w:ascii="宋体" w:hAnsi="宋体"/>
          <w:snapToGrid w:val="0"/>
          <w:szCs w:val="21"/>
        </w:rPr>
        <w:t>HZNU-2023</w:t>
      </w:r>
    </w:p>
    <w:p>
      <w:pPr>
        <w:spacing w:line="360" w:lineRule="auto"/>
        <w:ind w:firstLine="420" w:firstLineChars="200"/>
        <w:rPr>
          <w:rFonts w:ascii="宋体" w:hAnsi="宋体"/>
          <w:snapToGrid w:val="0"/>
          <w:szCs w:val="21"/>
        </w:rPr>
      </w:pPr>
      <w:r>
        <w:rPr>
          <w:rFonts w:hint="eastAsia" w:ascii="宋体" w:hAnsi="宋体"/>
          <w:snapToGrid w:val="0"/>
          <w:szCs w:val="21"/>
        </w:rPr>
        <w:t>项目名称：</w:t>
      </w:r>
      <w:r>
        <w:rPr>
          <w:rFonts w:ascii="宋体" w:hAnsi="宋体"/>
          <w:snapToGrid w:val="0"/>
          <w:szCs w:val="21"/>
        </w:rPr>
        <w:t xml:space="preserve"> </w:t>
      </w:r>
    </w:p>
    <w:p>
      <w:pPr>
        <w:spacing w:line="360" w:lineRule="auto"/>
        <w:ind w:firstLine="420" w:firstLineChars="200"/>
        <w:rPr>
          <w:rFonts w:ascii="宋体" w:hAnsi="宋体" w:cs="宋体"/>
          <w:snapToGrid w:val="0"/>
          <w:szCs w:val="21"/>
        </w:rPr>
      </w:pPr>
      <w:r>
        <w:rPr>
          <w:rFonts w:hint="eastAsia" w:ascii="宋体" w:hAnsi="宋体" w:cs="宋体"/>
          <w:snapToGrid w:val="0"/>
          <w:szCs w:val="21"/>
        </w:rPr>
        <w:t>需求部门：</w:t>
      </w:r>
    </w:p>
    <w:p>
      <w:pPr>
        <w:spacing w:line="360" w:lineRule="auto"/>
        <w:ind w:firstLine="420" w:firstLineChars="200"/>
        <w:rPr>
          <w:rFonts w:ascii="宋体" w:hAnsi="宋体" w:cs="宋体"/>
          <w:snapToGrid w:val="0"/>
          <w:szCs w:val="21"/>
        </w:rPr>
      </w:pPr>
      <w:r>
        <w:rPr>
          <w:rFonts w:hint="eastAsia" w:ascii="宋体" w:hAnsi="宋体" w:cs="宋体"/>
          <w:snapToGrid w:val="0"/>
          <w:szCs w:val="21"/>
        </w:rPr>
        <w:t>经费来源：</w:t>
      </w:r>
    </w:p>
    <w:p>
      <w:pPr>
        <w:spacing w:line="360" w:lineRule="auto"/>
        <w:ind w:firstLine="420" w:firstLineChars="200"/>
        <w:rPr>
          <w:rFonts w:ascii="宋体" w:hAnsi="宋体" w:cs="宋体"/>
          <w:snapToGrid w:val="0"/>
          <w:szCs w:val="21"/>
        </w:rPr>
      </w:pPr>
      <w:r>
        <w:rPr>
          <w:rFonts w:hint="eastAsia" w:ascii="宋体" w:hAnsi="宋体" w:cs="宋体"/>
          <w:snapToGrid w:val="0"/>
          <w:szCs w:val="21"/>
        </w:rPr>
        <w:t>经费代码：</w:t>
      </w:r>
    </w:p>
    <w:p>
      <w:pPr>
        <w:spacing w:line="360" w:lineRule="auto"/>
        <w:ind w:firstLine="420" w:firstLineChars="200"/>
        <w:rPr>
          <w:rFonts w:ascii="宋体" w:hAnsi="宋体" w:cs="宋体"/>
          <w:snapToGrid w:val="0"/>
          <w:szCs w:val="21"/>
        </w:rPr>
      </w:pPr>
      <w:r>
        <w:rPr>
          <w:rFonts w:hint="eastAsia" w:ascii="宋体" w:hAnsi="宋体" w:cs="宋体"/>
          <w:snapToGrid w:val="0"/>
          <w:szCs w:val="21"/>
        </w:rPr>
        <w:t xml:space="preserve">签约地点：杭州师范大学 </w:t>
      </w:r>
    </w:p>
    <w:p>
      <w:pPr>
        <w:spacing w:line="360" w:lineRule="auto"/>
        <w:ind w:firstLine="422" w:firstLineChars="200"/>
        <w:rPr>
          <w:rFonts w:ascii="宋体" w:hAnsi="宋体" w:cs="宋体"/>
          <w:b/>
          <w:snapToGrid w:val="0"/>
          <w:szCs w:val="21"/>
        </w:rPr>
      </w:pPr>
    </w:p>
    <w:p>
      <w:pPr>
        <w:spacing w:line="360" w:lineRule="auto"/>
        <w:ind w:firstLine="420" w:firstLineChars="200"/>
        <w:rPr>
          <w:rFonts w:ascii="宋体" w:hAnsi="宋体" w:cs="宋体"/>
          <w:snapToGrid w:val="0"/>
          <w:szCs w:val="21"/>
        </w:rPr>
      </w:pPr>
      <w:r>
        <w:rPr>
          <w:rFonts w:hint="eastAsia" w:ascii="宋体" w:hAnsi="宋体" w:cs="宋体"/>
          <w:snapToGrid w:val="0"/>
          <w:szCs w:val="21"/>
        </w:rPr>
        <w:t>根据《中华人民共和国民法典》、《中华人民共和国政府采购法》等有关法律法规精神，杭州师范大学（甲方）经过</w:t>
      </w:r>
      <w:r>
        <w:rPr>
          <w:rFonts w:hint="eastAsia" w:ascii="宋体" w:hAnsi="宋体" w:cs="宋体"/>
          <w:snapToGrid w:val="0"/>
          <w:szCs w:val="21"/>
          <w:u w:val="single"/>
        </w:rPr>
        <w:t xml:space="preserve">      </w:t>
      </w:r>
      <w:r>
        <w:rPr>
          <w:rFonts w:hint="eastAsia" w:ascii="宋体" w:hAnsi="宋体" w:cs="宋体"/>
          <w:snapToGrid w:val="0"/>
          <w:szCs w:val="21"/>
        </w:rPr>
        <w:t>采购方式，确定</w:t>
      </w:r>
      <w:r>
        <w:rPr>
          <w:rFonts w:hint="eastAsia" w:ascii="宋体" w:hAnsi="宋体" w:cs="宋体"/>
          <w:snapToGrid w:val="0"/>
          <w:szCs w:val="21"/>
          <w:u w:val="single"/>
        </w:rPr>
        <w:t xml:space="preserve">          </w:t>
      </w:r>
      <w:r>
        <w:rPr>
          <w:rFonts w:hint="eastAsia" w:ascii="宋体" w:hAnsi="宋体" w:cs="宋体"/>
          <w:snapToGrid w:val="0"/>
          <w:szCs w:val="21"/>
        </w:rPr>
        <w:t>（乙方）为供货单位，经甲、乙、丙三方平等协商一致同意丙方为进口免税产品的进口代理方，办理包括进口产品减免税等所有手续，同时达成以下条款：</w:t>
      </w:r>
    </w:p>
    <w:p>
      <w:pPr>
        <w:spacing w:line="360" w:lineRule="auto"/>
        <w:ind w:firstLine="422" w:firstLineChars="200"/>
        <w:rPr>
          <w:rFonts w:ascii="宋体" w:hAnsi="宋体" w:cs="宋体"/>
          <w:snapToGrid w:val="0"/>
          <w:szCs w:val="21"/>
        </w:rPr>
      </w:pPr>
      <w:r>
        <w:rPr>
          <w:rFonts w:hint="eastAsia" w:ascii="宋体" w:hAnsi="宋体" w:cs="宋体"/>
          <w:b/>
          <w:snapToGrid w:val="0"/>
          <w:szCs w:val="21"/>
        </w:rPr>
        <w:t xml:space="preserve">第一条：采购货物配置清单（可以另附）及合同价 （含预算号、合同号）                             </w:t>
      </w:r>
    </w:p>
    <w:p>
      <w:pPr>
        <w:spacing w:line="360" w:lineRule="auto"/>
        <w:rPr>
          <w:rFonts w:ascii="宋体" w:hAnsi="宋体" w:cs="宋体"/>
          <w:szCs w:val="21"/>
        </w:rPr>
      </w:pPr>
      <w:r>
        <w:rPr>
          <w:rFonts w:hint="eastAsia" w:ascii="宋体" w:hAnsi="宋体" w:cs="宋体"/>
          <w:snapToGrid w:val="0"/>
          <w:szCs w:val="21"/>
        </w:rPr>
        <w:t>(一)进口免税产品                                 金额单位：元（人民币）</w:t>
      </w:r>
    </w:p>
    <w:tbl>
      <w:tblPr>
        <w:tblStyle w:val="64"/>
        <w:tblpPr w:leftFromText="180" w:rightFromText="180" w:vertAnchor="text" w:horzAnchor="margin" w:tblpXSpec="center" w:tblpY="158"/>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1260"/>
        <w:gridCol w:w="1275"/>
        <w:gridCol w:w="945"/>
        <w:gridCol w:w="1200"/>
        <w:gridCol w:w="12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编号</w:t>
            </w:r>
          </w:p>
        </w:tc>
        <w:tc>
          <w:tcPr>
            <w:tcW w:w="1440" w:type="dxa"/>
            <w:vAlign w:val="center"/>
          </w:tcPr>
          <w:p>
            <w:pPr>
              <w:spacing w:line="360" w:lineRule="auto"/>
              <w:jc w:val="center"/>
              <w:rPr>
                <w:rFonts w:ascii="宋体" w:hAnsi="宋体" w:cs="宋体"/>
                <w:szCs w:val="21"/>
              </w:rPr>
            </w:pPr>
            <w:r>
              <w:rPr>
                <w:rFonts w:hint="eastAsia" w:ascii="宋体" w:hAnsi="宋体" w:cs="宋体"/>
                <w:szCs w:val="21"/>
              </w:rPr>
              <w:t>产品名称</w:t>
            </w:r>
          </w:p>
        </w:tc>
        <w:tc>
          <w:tcPr>
            <w:tcW w:w="1260" w:type="dxa"/>
            <w:vAlign w:val="center"/>
          </w:tcPr>
          <w:p>
            <w:pPr>
              <w:spacing w:line="360" w:lineRule="auto"/>
              <w:jc w:val="center"/>
              <w:rPr>
                <w:rFonts w:ascii="宋体" w:hAnsi="宋体" w:cs="宋体"/>
                <w:szCs w:val="21"/>
              </w:rPr>
            </w:pPr>
            <w:r>
              <w:rPr>
                <w:rFonts w:hint="eastAsia" w:ascii="宋体" w:hAnsi="宋体" w:cs="宋体"/>
                <w:szCs w:val="21"/>
              </w:rPr>
              <w:t>型 号</w:t>
            </w:r>
          </w:p>
        </w:tc>
        <w:tc>
          <w:tcPr>
            <w:tcW w:w="1275" w:type="dxa"/>
            <w:vAlign w:val="center"/>
          </w:tcPr>
          <w:p>
            <w:pPr>
              <w:spacing w:line="360" w:lineRule="auto"/>
              <w:jc w:val="center"/>
              <w:rPr>
                <w:rFonts w:ascii="宋体" w:hAnsi="宋体" w:cs="宋体"/>
                <w:szCs w:val="21"/>
              </w:rPr>
            </w:pPr>
            <w:r>
              <w:rPr>
                <w:rFonts w:hint="eastAsia" w:ascii="宋体" w:hAnsi="宋体" w:cs="宋体"/>
                <w:szCs w:val="21"/>
              </w:rPr>
              <w:t>数量</w:t>
            </w:r>
          </w:p>
        </w:tc>
        <w:tc>
          <w:tcPr>
            <w:tcW w:w="945" w:type="dxa"/>
            <w:vAlign w:val="center"/>
          </w:tcPr>
          <w:p>
            <w:pPr>
              <w:spacing w:line="360" w:lineRule="auto"/>
              <w:jc w:val="center"/>
              <w:rPr>
                <w:rFonts w:ascii="宋体" w:hAnsi="宋体" w:cs="宋体"/>
                <w:szCs w:val="21"/>
              </w:rPr>
            </w:pPr>
            <w:r>
              <w:rPr>
                <w:rFonts w:hint="eastAsia" w:ascii="宋体" w:hAnsi="宋体" w:cs="宋体"/>
                <w:snapToGrid w:val="0"/>
                <w:szCs w:val="21"/>
              </w:rPr>
              <w:t xml:space="preserve">单价   </w:t>
            </w:r>
          </w:p>
        </w:tc>
        <w:tc>
          <w:tcPr>
            <w:tcW w:w="1200" w:type="dxa"/>
            <w:vAlign w:val="center"/>
          </w:tcPr>
          <w:p>
            <w:pPr>
              <w:spacing w:line="360" w:lineRule="auto"/>
              <w:jc w:val="center"/>
              <w:rPr>
                <w:rFonts w:ascii="宋体" w:hAnsi="宋体" w:cs="宋体"/>
                <w:snapToGrid w:val="0"/>
                <w:szCs w:val="21"/>
              </w:rPr>
            </w:pPr>
            <w:r>
              <w:rPr>
                <w:rFonts w:hint="eastAsia" w:ascii="宋体" w:hAnsi="宋体" w:cs="宋体"/>
                <w:snapToGrid w:val="0"/>
                <w:szCs w:val="21"/>
              </w:rPr>
              <w:t>合计价格</w:t>
            </w:r>
          </w:p>
        </w:tc>
        <w:tc>
          <w:tcPr>
            <w:tcW w:w="1200" w:type="dxa"/>
            <w:vAlign w:val="center"/>
          </w:tcPr>
          <w:p>
            <w:pPr>
              <w:spacing w:line="360" w:lineRule="auto"/>
              <w:jc w:val="center"/>
              <w:rPr>
                <w:rFonts w:ascii="宋体" w:hAnsi="宋体" w:cs="宋体"/>
                <w:snapToGrid w:val="0"/>
                <w:szCs w:val="21"/>
              </w:rPr>
            </w:pPr>
            <w:r>
              <w:rPr>
                <w:rFonts w:hint="eastAsia" w:ascii="宋体" w:hAnsi="宋体" w:cs="宋体"/>
                <w:szCs w:val="21"/>
              </w:rPr>
              <w:t>预算号</w:t>
            </w:r>
          </w:p>
        </w:tc>
        <w:tc>
          <w:tcPr>
            <w:tcW w:w="1050" w:type="dxa"/>
            <w:vAlign w:val="center"/>
          </w:tcPr>
          <w:p>
            <w:pPr>
              <w:spacing w:line="360" w:lineRule="auto"/>
              <w:jc w:val="center"/>
              <w:rPr>
                <w:rFonts w:ascii="宋体" w:hAnsi="宋体" w:cs="宋体"/>
                <w:szCs w:val="21"/>
              </w:rPr>
            </w:pPr>
            <w:r>
              <w:rPr>
                <w:rFonts w:hint="eastAsia" w:ascii="宋体" w:hAnsi="宋体" w:cs="宋体"/>
                <w:szCs w:val="21"/>
              </w:rPr>
              <w:t>执行号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40" w:type="dxa"/>
            <w:vAlign w:val="center"/>
          </w:tcPr>
          <w:p>
            <w:pPr>
              <w:widowControl/>
              <w:spacing w:line="360" w:lineRule="auto"/>
              <w:jc w:val="center"/>
              <w:textAlignment w:val="center"/>
              <w:rPr>
                <w:rFonts w:ascii="宋体" w:hAnsi="宋体" w:cs="宋体"/>
                <w:szCs w:val="21"/>
              </w:rPr>
            </w:pPr>
          </w:p>
        </w:tc>
        <w:tc>
          <w:tcPr>
            <w:tcW w:w="1260" w:type="dxa"/>
            <w:vAlign w:val="center"/>
          </w:tcPr>
          <w:p>
            <w:pPr>
              <w:widowControl/>
              <w:spacing w:line="360" w:lineRule="auto"/>
              <w:jc w:val="center"/>
              <w:textAlignment w:val="center"/>
              <w:rPr>
                <w:rFonts w:ascii="宋体" w:hAnsi="宋体" w:cs="宋体"/>
                <w:kern w:val="0"/>
                <w:szCs w:val="21"/>
              </w:rPr>
            </w:pPr>
          </w:p>
        </w:tc>
        <w:tc>
          <w:tcPr>
            <w:tcW w:w="1275" w:type="dxa"/>
            <w:vAlign w:val="center"/>
          </w:tcPr>
          <w:p>
            <w:pPr>
              <w:widowControl/>
              <w:spacing w:line="360" w:lineRule="auto"/>
              <w:jc w:val="center"/>
              <w:textAlignment w:val="center"/>
              <w:rPr>
                <w:rFonts w:ascii="宋体" w:hAnsi="宋体" w:cs="宋体"/>
                <w:kern w:val="0"/>
                <w:szCs w:val="21"/>
              </w:rPr>
            </w:pPr>
          </w:p>
        </w:tc>
        <w:tc>
          <w:tcPr>
            <w:tcW w:w="945" w:type="dxa"/>
            <w:vAlign w:val="center"/>
          </w:tcPr>
          <w:p>
            <w:pPr>
              <w:spacing w:line="360" w:lineRule="auto"/>
              <w:jc w:val="center"/>
              <w:rPr>
                <w:rFonts w:ascii="宋体" w:hAnsi="宋体" w:cs="宋体"/>
                <w:szCs w:val="21"/>
              </w:rPr>
            </w:pPr>
          </w:p>
        </w:tc>
        <w:tc>
          <w:tcPr>
            <w:tcW w:w="1200" w:type="dxa"/>
          </w:tcPr>
          <w:p>
            <w:pPr>
              <w:spacing w:line="360" w:lineRule="auto"/>
              <w:rPr>
                <w:rFonts w:ascii="宋体" w:hAnsi="宋体" w:cs="宋体"/>
                <w:szCs w:val="21"/>
              </w:rPr>
            </w:pPr>
          </w:p>
        </w:tc>
        <w:tc>
          <w:tcPr>
            <w:tcW w:w="1200" w:type="dxa"/>
          </w:tcPr>
          <w:p>
            <w:pPr>
              <w:spacing w:line="360" w:lineRule="auto"/>
              <w:rPr>
                <w:rFonts w:ascii="宋体" w:hAnsi="宋体" w:cs="宋体"/>
                <w:szCs w:val="21"/>
              </w:rPr>
            </w:pPr>
          </w:p>
        </w:tc>
        <w:tc>
          <w:tcPr>
            <w:tcW w:w="10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440" w:type="dxa"/>
            <w:vAlign w:val="center"/>
          </w:tcPr>
          <w:p>
            <w:pPr>
              <w:widowControl/>
              <w:spacing w:line="360" w:lineRule="auto"/>
              <w:jc w:val="center"/>
              <w:textAlignment w:val="center"/>
              <w:rPr>
                <w:rFonts w:ascii="宋体" w:hAnsi="宋体" w:cs="宋体"/>
                <w:szCs w:val="21"/>
              </w:rPr>
            </w:pPr>
          </w:p>
        </w:tc>
        <w:tc>
          <w:tcPr>
            <w:tcW w:w="1260" w:type="dxa"/>
            <w:vAlign w:val="center"/>
          </w:tcPr>
          <w:p>
            <w:pPr>
              <w:widowControl/>
              <w:spacing w:line="360" w:lineRule="auto"/>
              <w:jc w:val="center"/>
              <w:textAlignment w:val="center"/>
              <w:rPr>
                <w:rFonts w:ascii="宋体" w:hAnsi="宋体" w:cs="宋体"/>
                <w:kern w:val="0"/>
                <w:szCs w:val="21"/>
              </w:rPr>
            </w:pPr>
          </w:p>
        </w:tc>
        <w:tc>
          <w:tcPr>
            <w:tcW w:w="1275" w:type="dxa"/>
            <w:vAlign w:val="center"/>
          </w:tcPr>
          <w:p>
            <w:pPr>
              <w:widowControl/>
              <w:spacing w:line="360" w:lineRule="auto"/>
              <w:jc w:val="center"/>
              <w:textAlignment w:val="center"/>
              <w:rPr>
                <w:rFonts w:ascii="宋体" w:hAnsi="宋体" w:cs="宋体"/>
                <w:kern w:val="0"/>
                <w:szCs w:val="21"/>
              </w:rPr>
            </w:pPr>
          </w:p>
        </w:tc>
        <w:tc>
          <w:tcPr>
            <w:tcW w:w="945" w:type="dxa"/>
            <w:vAlign w:val="center"/>
          </w:tcPr>
          <w:p>
            <w:pPr>
              <w:spacing w:line="360" w:lineRule="auto"/>
              <w:jc w:val="center"/>
              <w:rPr>
                <w:rFonts w:ascii="宋体" w:hAnsi="宋体" w:cs="宋体"/>
                <w:szCs w:val="21"/>
              </w:rPr>
            </w:pPr>
          </w:p>
        </w:tc>
        <w:tc>
          <w:tcPr>
            <w:tcW w:w="1200" w:type="dxa"/>
          </w:tcPr>
          <w:p>
            <w:pPr>
              <w:spacing w:line="360" w:lineRule="auto"/>
              <w:rPr>
                <w:rFonts w:ascii="宋体" w:hAnsi="宋体" w:cs="宋体"/>
                <w:szCs w:val="21"/>
              </w:rPr>
            </w:pPr>
          </w:p>
        </w:tc>
        <w:tc>
          <w:tcPr>
            <w:tcW w:w="1200" w:type="dxa"/>
          </w:tcPr>
          <w:p>
            <w:pPr>
              <w:spacing w:line="360" w:lineRule="auto"/>
              <w:rPr>
                <w:rFonts w:ascii="宋体" w:hAnsi="宋体" w:cs="宋体"/>
                <w:szCs w:val="21"/>
              </w:rPr>
            </w:pPr>
          </w:p>
        </w:tc>
        <w:tc>
          <w:tcPr>
            <w:tcW w:w="10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3</w:t>
            </w:r>
          </w:p>
        </w:tc>
        <w:tc>
          <w:tcPr>
            <w:tcW w:w="1440" w:type="dxa"/>
            <w:vAlign w:val="center"/>
          </w:tcPr>
          <w:p>
            <w:pPr>
              <w:widowControl/>
              <w:spacing w:line="360" w:lineRule="auto"/>
              <w:jc w:val="center"/>
              <w:textAlignment w:val="center"/>
              <w:rPr>
                <w:rFonts w:ascii="宋体" w:hAnsi="宋体" w:cs="宋体"/>
                <w:szCs w:val="21"/>
              </w:rPr>
            </w:pPr>
          </w:p>
        </w:tc>
        <w:tc>
          <w:tcPr>
            <w:tcW w:w="1260" w:type="dxa"/>
            <w:vAlign w:val="center"/>
          </w:tcPr>
          <w:p>
            <w:pPr>
              <w:widowControl/>
              <w:spacing w:line="360" w:lineRule="auto"/>
              <w:jc w:val="center"/>
              <w:textAlignment w:val="center"/>
              <w:rPr>
                <w:rFonts w:ascii="宋体" w:hAnsi="宋体" w:cs="宋体"/>
                <w:kern w:val="0"/>
                <w:szCs w:val="21"/>
              </w:rPr>
            </w:pPr>
          </w:p>
        </w:tc>
        <w:tc>
          <w:tcPr>
            <w:tcW w:w="1275" w:type="dxa"/>
            <w:vAlign w:val="center"/>
          </w:tcPr>
          <w:p>
            <w:pPr>
              <w:widowControl/>
              <w:spacing w:line="360" w:lineRule="auto"/>
              <w:jc w:val="center"/>
              <w:textAlignment w:val="center"/>
              <w:rPr>
                <w:rFonts w:ascii="宋体" w:hAnsi="宋体" w:cs="宋体"/>
                <w:kern w:val="0"/>
                <w:szCs w:val="21"/>
              </w:rPr>
            </w:pPr>
          </w:p>
        </w:tc>
        <w:tc>
          <w:tcPr>
            <w:tcW w:w="945" w:type="dxa"/>
            <w:vAlign w:val="center"/>
          </w:tcPr>
          <w:p>
            <w:pPr>
              <w:spacing w:line="360" w:lineRule="auto"/>
              <w:jc w:val="center"/>
              <w:rPr>
                <w:rFonts w:ascii="宋体" w:hAnsi="宋体" w:cs="宋体"/>
                <w:szCs w:val="21"/>
              </w:rPr>
            </w:pPr>
          </w:p>
        </w:tc>
        <w:tc>
          <w:tcPr>
            <w:tcW w:w="1200" w:type="dxa"/>
          </w:tcPr>
          <w:p>
            <w:pPr>
              <w:spacing w:line="360" w:lineRule="auto"/>
              <w:rPr>
                <w:rFonts w:ascii="宋体" w:hAnsi="宋体" w:cs="宋体"/>
                <w:szCs w:val="21"/>
              </w:rPr>
            </w:pPr>
          </w:p>
        </w:tc>
        <w:tc>
          <w:tcPr>
            <w:tcW w:w="1200" w:type="dxa"/>
          </w:tcPr>
          <w:p>
            <w:pPr>
              <w:spacing w:line="360" w:lineRule="auto"/>
              <w:rPr>
                <w:rFonts w:ascii="宋体" w:hAnsi="宋体" w:cs="宋体"/>
                <w:szCs w:val="21"/>
              </w:rPr>
            </w:pPr>
          </w:p>
        </w:tc>
        <w:tc>
          <w:tcPr>
            <w:tcW w:w="10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450" w:type="dxa"/>
            <w:gridSpan w:val="8"/>
          </w:tcPr>
          <w:p>
            <w:pPr>
              <w:spacing w:line="360" w:lineRule="auto"/>
              <w:ind w:right="420"/>
              <w:rPr>
                <w:rFonts w:ascii="宋体" w:hAnsi="宋体" w:cs="宋体"/>
                <w:szCs w:val="21"/>
              </w:rPr>
            </w:pPr>
            <w:r>
              <w:rPr>
                <w:rFonts w:hint="eastAsia" w:ascii="宋体" w:hAnsi="宋体" w:cs="宋体"/>
                <w:szCs w:val="21"/>
              </w:rPr>
              <w:t>总价人民币（大写）：</w:t>
            </w:r>
            <w:r>
              <w:rPr>
                <w:rFonts w:hint="eastAsia" w:ascii="宋体" w:hAnsi="宋体" w:cs="宋体"/>
                <w:szCs w:val="21"/>
                <w:u w:val="single"/>
              </w:rPr>
              <w:t xml:space="preserve">                  ￥                        </w:t>
            </w:r>
          </w:p>
        </w:tc>
      </w:tr>
    </w:tbl>
    <w:p>
      <w:pPr>
        <w:spacing w:line="360" w:lineRule="auto"/>
        <w:rPr>
          <w:rFonts w:ascii="宋体" w:hAnsi="宋体" w:cs="宋体"/>
          <w:szCs w:val="21"/>
        </w:rPr>
      </w:pPr>
      <w:r>
        <w:rPr>
          <w:rFonts w:hint="eastAsia" w:ascii="宋体" w:hAnsi="宋体" w:cs="宋体"/>
          <w:snapToGrid w:val="0"/>
          <w:szCs w:val="21"/>
        </w:rPr>
        <w:t>(二)国内供货产品                                 金额单位：元（人民币）</w:t>
      </w:r>
    </w:p>
    <w:tbl>
      <w:tblPr>
        <w:tblStyle w:val="64"/>
        <w:tblpPr w:leftFromText="180" w:rightFromText="180" w:vertAnchor="text" w:horzAnchor="margin" w:tblpXSpec="center" w:tblpY="158"/>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1260"/>
        <w:gridCol w:w="1275"/>
        <w:gridCol w:w="945"/>
        <w:gridCol w:w="1200"/>
        <w:gridCol w:w="12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编号</w:t>
            </w:r>
          </w:p>
        </w:tc>
        <w:tc>
          <w:tcPr>
            <w:tcW w:w="1440" w:type="dxa"/>
            <w:vAlign w:val="center"/>
          </w:tcPr>
          <w:p>
            <w:pPr>
              <w:spacing w:line="360" w:lineRule="auto"/>
              <w:jc w:val="center"/>
              <w:rPr>
                <w:rFonts w:ascii="宋体" w:hAnsi="宋体" w:cs="宋体"/>
                <w:szCs w:val="21"/>
              </w:rPr>
            </w:pPr>
            <w:r>
              <w:rPr>
                <w:rFonts w:hint="eastAsia" w:ascii="宋体" w:hAnsi="宋体" w:cs="宋体"/>
                <w:szCs w:val="21"/>
              </w:rPr>
              <w:t>产品名称</w:t>
            </w:r>
          </w:p>
        </w:tc>
        <w:tc>
          <w:tcPr>
            <w:tcW w:w="1260" w:type="dxa"/>
            <w:vAlign w:val="center"/>
          </w:tcPr>
          <w:p>
            <w:pPr>
              <w:spacing w:line="360" w:lineRule="auto"/>
              <w:jc w:val="center"/>
              <w:rPr>
                <w:rFonts w:ascii="宋体" w:hAnsi="宋体" w:cs="宋体"/>
                <w:szCs w:val="21"/>
              </w:rPr>
            </w:pPr>
            <w:r>
              <w:rPr>
                <w:rFonts w:hint="eastAsia" w:ascii="宋体" w:hAnsi="宋体" w:cs="宋体"/>
                <w:szCs w:val="21"/>
              </w:rPr>
              <w:t>型 号</w:t>
            </w:r>
          </w:p>
        </w:tc>
        <w:tc>
          <w:tcPr>
            <w:tcW w:w="1275" w:type="dxa"/>
            <w:vAlign w:val="center"/>
          </w:tcPr>
          <w:p>
            <w:pPr>
              <w:spacing w:line="360" w:lineRule="auto"/>
              <w:jc w:val="center"/>
              <w:rPr>
                <w:rFonts w:ascii="宋体" w:hAnsi="宋体" w:cs="宋体"/>
                <w:szCs w:val="21"/>
              </w:rPr>
            </w:pPr>
            <w:r>
              <w:rPr>
                <w:rFonts w:hint="eastAsia" w:ascii="宋体" w:hAnsi="宋体" w:cs="宋体"/>
                <w:szCs w:val="21"/>
              </w:rPr>
              <w:t>数量</w:t>
            </w:r>
          </w:p>
        </w:tc>
        <w:tc>
          <w:tcPr>
            <w:tcW w:w="945" w:type="dxa"/>
            <w:vAlign w:val="center"/>
          </w:tcPr>
          <w:p>
            <w:pPr>
              <w:spacing w:line="360" w:lineRule="auto"/>
              <w:jc w:val="center"/>
              <w:rPr>
                <w:rFonts w:ascii="宋体" w:hAnsi="宋体" w:cs="宋体"/>
                <w:szCs w:val="21"/>
              </w:rPr>
            </w:pPr>
            <w:r>
              <w:rPr>
                <w:rFonts w:hint="eastAsia" w:ascii="宋体" w:hAnsi="宋体" w:cs="宋体"/>
                <w:snapToGrid w:val="0"/>
                <w:szCs w:val="21"/>
              </w:rPr>
              <w:t xml:space="preserve">单价   </w:t>
            </w:r>
          </w:p>
        </w:tc>
        <w:tc>
          <w:tcPr>
            <w:tcW w:w="1200" w:type="dxa"/>
            <w:vAlign w:val="center"/>
          </w:tcPr>
          <w:p>
            <w:pPr>
              <w:spacing w:line="360" w:lineRule="auto"/>
              <w:jc w:val="center"/>
              <w:rPr>
                <w:rFonts w:ascii="宋体" w:hAnsi="宋体" w:cs="宋体"/>
                <w:snapToGrid w:val="0"/>
                <w:szCs w:val="21"/>
              </w:rPr>
            </w:pPr>
            <w:r>
              <w:rPr>
                <w:rFonts w:hint="eastAsia" w:ascii="宋体" w:hAnsi="宋体" w:cs="宋体"/>
                <w:snapToGrid w:val="0"/>
                <w:szCs w:val="21"/>
              </w:rPr>
              <w:t>合计价格</w:t>
            </w:r>
          </w:p>
        </w:tc>
        <w:tc>
          <w:tcPr>
            <w:tcW w:w="1200" w:type="dxa"/>
            <w:vAlign w:val="center"/>
          </w:tcPr>
          <w:p>
            <w:pPr>
              <w:spacing w:line="360" w:lineRule="auto"/>
              <w:jc w:val="center"/>
              <w:rPr>
                <w:rFonts w:ascii="宋体" w:hAnsi="宋体" w:cs="宋体"/>
                <w:snapToGrid w:val="0"/>
                <w:szCs w:val="21"/>
              </w:rPr>
            </w:pPr>
            <w:r>
              <w:rPr>
                <w:rFonts w:hint="eastAsia" w:ascii="宋体" w:hAnsi="宋体" w:cs="宋体"/>
                <w:szCs w:val="21"/>
              </w:rPr>
              <w:t>预算号</w:t>
            </w:r>
          </w:p>
        </w:tc>
        <w:tc>
          <w:tcPr>
            <w:tcW w:w="1050" w:type="dxa"/>
            <w:vAlign w:val="center"/>
          </w:tcPr>
          <w:p>
            <w:pPr>
              <w:spacing w:line="360" w:lineRule="auto"/>
              <w:jc w:val="center"/>
              <w:rPr>
                <w:rFonts w:ascii="宋体" w:hAnsi="宋体" w:cs="宋体"/>
                <w:szCs w:val="21"/>
              </w:rPr>
            </w:pPr>
            <w:r>
              <w:rPr>
                <w:rFonts w:hint="eastAsia" w:ascii="宋体" w:hAnsi="宋体" w:cs="宋体"/>
                <w:szCs w:val="21"/>
              </w:rPr>
              <w:t>执行号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40" w:type="dxa"/>
            <w:vAlign w:val="center"/>
          </w:tcPr>
          <w:p>
            <w:pPr>
              <w:widowControl/>
              <w:spacing w:line="360" w:lineRule="auto"/>
              <w:jc w:val="center"/>
              <w:textAlignment w:val="center"/>
              <w:rPr>
                <w:rFonts w:ascii="宋体" w:hAnsi="宋体" w:cs="宋体"/>
                <w:szCs w:val="21"/>
              </w:rPr>
            </w:pPr>
          </w:p>
        </w:tc>
        <w:tc>
          <w:tcPr>
            <w:tcW w:w="1260" w:type="dxa"/>
            <w:vAlign w:val="center"/>
          </w:tcPr>
          <w:p>
            <w:pPr>
              <w:widowControl/>
              <w:spacing w:line="360" w:lineRule="auto"/>
              <w:jc w:val="center"/>
              <w:textAlignment w:val="center"/>
              <w:rPr>
                <w:rFonts w:ascii="宋体" w:hAnsi="宋体" w:cs="宋体"/>
                <w:kern w:val="0"/>
                <w:szCs w:val="21"/>
              </w:rPr>
            </w:pPr>
          </w:p>
        </w:tc>
        <w:tc>
          <w:tcPr>
            <w:tcW w:w="1275" w:type="dxa"/>
            <w:vAlign w:val="center"/>
          </w:tcPr>
          <w:p>
            <w:pPr>
              <w:widowControl/>
              <w:spacing w:line="360" w:lineRule="auto"/>
              <w:jc w:val="center"/>
              <w:textAlignment w:val="center"/>
              <w:rPr>
                <w:rFonts w:ascii="宋体" w:hAnsi="宋体" w:cs="宋体"/>
                <w:kern w:val="0"/>
                <w:szCs w:val="21"/>
              </w:rPr>
            </w:pPr>
          </w:p>
        </w:tc>
        <w:tc>
          <w:tcPr>
            <w:tcW w:w="945" w:type="dxa"/>
            <w:vAlign w:val="center"/>
          </w:tcPr>
          <w:p>
            <w:pPr>
              <w:spacing w:line="360" w:lineRule="auto"/>
              <w:jc w:val="center"/>
              <w:rPr>
                <w:rFonts w:ascii="宋体" w:hAnsi="宋体" w:cs="宋体"/>
                <w:szCs w:val="21"/>
              </w:rPr>
            </w:pPr>
          </w:p>
        </w:tc>
        <w:tc>
          <w:tcPr>
            <w:tcW w:w="1200" w:type="dxa"/>
          </w:tcPr>
          <w:p>
            <w:pPr>
              <w:spacing w:line="360" w:lineRule="auto"/>
              <w:rPr>
                <w:rFonts w:ascii="宋体" w:hAnsi="宋体" w:cs="宋体"/>
                <w:szCs w:val="21"/>
              </w:rPr>
            </w:pPr>
          </w:p>
        </w:tc>
        <w:tc>
          <w:tcPr>
            <w:tcW w:w="1200" w:type="dxa"/>
          </w:tcPr>
          <w:p>
            <w:pPr>
              <w:spacing w:line="360" w:lineRule="auto"/>
              <w:rPr>
                <w:rFonts w:ascii="宋体" w:hAnsi="宋体" w:cs="宋体"/>
                <w:szCs w:val="21"/>
              </w:rPr>
            </w:pPr>
          </w:p>
        </w:tc>
        <w:tc>
          <w:tcPr>
            <w:tcW w:w="10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440" w:type="dxa"/>
            <w:vAlign w:val="center"/>
          </w:tcPr>
          <w:p>
            <w:pPr>
              <w:widowControl/>
              <w:spacing w:line="360" w:lineRule="auto"/>
              <w:jc w:val="center"/>
              <w:textAlignment w:val="center"/>
              <w:rPr>
                <w:rFonts w:ascii="宋体" w:hAnsi="宋体" w:cs="宋体"/>
                <w:szCs w:val="21"/>
              </w:rPr>
            </w:pPr>
          </w:p>
        </w:tc>
        <w:tc>
          <w:tcPr>
            <w:tcW w:w="1260" w:type="dxa"/>
            <w:vAlign w:val="center"/>
          </w:tcPr>
          <w:p>
            <w:pPr>
              <w:widowControl/>
              <w:spacing w:line="360" w:lineRule="auto"/>
              <w:jc w:val="center"/>
              <w:textAlignment w:val="center"/>
              <w:rPr>
                <w:rFonts w:ascii="宋体" w:hAnsi="宋体" w:cs="宋体"/>
                <w:kern w:val="0"/>
                <w:szCs w:val="21"/>
              </w:rPr>
            </w:pPr>
          </w:p>
        </w:tc>
        <w:tc>
          <w:tcPr>
            <w:tcW w:w="1275" w:type="dxa"/>
            <w:vAlign w:val="center"/>
          </w:tcPr>
          <w:p>
            <w:pPr>
              <w:widowControl/>
              <w:spacing w:line="360" w:lineRule="auto"/>
              <w:jc w:val="center"/>
              <w:textAlignment w:val="center"/>
              <w:rPr>
                <w:rFonts w:ascii="宋体" w:hAnsi="宋体" w:cs="宋体"/>
                <w:kern w:val="0"/>
                <w:szCs w:val="21"/>
              </w:rPr>
            </w:pPr>
          </w:p>
        </w:tc>
        <w:tc>
          <w:tcPr>
            <w:tcW w:w="945" w:type="dxa"/>
            <w:vAlign w:val="center"/>
          </w:tcPr>
          <w:p>
            <w:pPr>
              <w:spacing w:line="360" w:lineRule="auto"/>
              <w:jc w:val="center"/>
              <w:rPr>
                <w:rFonts w:ascii="宋体" w:hAnsi="宋体" w:cs="宋体"/>
                <w:szCs w:val="21"/>
              </w:rPr>
            </w:pPr>
          </w:p>
        </w:tc>
        <w:tc>
          <w:tcPr>
            <w:tcW w:w="1200" w:type="dxa"/>
          </w:tcPr>
          <w:p>
            <w:pPr>
              <w:spacing w:line="360" w:lineRule="auto"/>
              <w:rPr>
                <w:rFonts w:ascii="宋体" w:hAnsi="宋体" w:cs="宋体"/>
                <w:szCs w:val="21"/>
              </w:rPr>
            </w:pPr>
          </w:p>
        </w:tc>
        <w:tc>
          <w:tcPr>
            <w:tcW w:w="1200" w:type="dxa"/>
          </w:tcPr>
          <w:p>
            <w:pPr>
              <w:spacing w:line="360" w:lineRule="auto"/>
              <w:rPr>
                <w:rFonts w:ascii="宋体" w:hAnsi="宋体" w:cs="宋体"/>
                <w:szCs w:val="21"/>
              </w:rPr>
            </w:pPr>
          </w:p>
        </w:tc>
        <w:tc>
          <w:tcPr>
            <w:tcW w:w="10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80" w:type="dxa"/>
            <w:vAlign w:val="center"/>
          </w:tcPr>
          <w:p>
            <w:pPr>
              <w:spacing w:line="360" w:lineRule="auto"/>
              <w:jc w:val="center"/>
              <w:rPr>
                <w:rFonts w:ascii="宋体" w:hAnsi="宋体" w:cs="宋体"/>
                <w:szCs w:val="21"/>
              </w:rPr>
            </w:pPr>
            <w:r>
              <w:rPr>
                <w:rFonts w:hint="eastAsia" w:ascii="宋体" w:hAnsi="宋体" w:cs="宋体"/>
                <w:szCs w:val="21"/>
              </w:rPr>
              <w:t>3</w:t>
            </w:r>
          </w:p>
        </w:tc>
        <w:tc>
          <w:tcPr>
            <w:tcW w:w="1440" w:type="dxa"/>
            <w:vAlign w:val="center"/>
          </w:tcPr>
          <w:p>
            <w:pPr>
              <w:widowControl/>
              <w:spacing w:line="360" w:lineRule="auto"/>
              <w:jc w:val="center"/>
              <w:textAlignment w:val="center"/>
              <w:rPr>
                <w:rFonts w:ascii="宋体" w:hAnsi="宋体" w:cs="宋体"/>
                <w:szCs w:val="21"/>
              </w:rPr>
            </w:pPr>
          </w:p>
        </w:tc>
        <w:tc>
          <w:tcPr>
            <w:tcW w:w="1260" w:type="dxa"/>
            <w:vAlign w:val="center"/>
          </w:tcPr>
          <w:p>
            <w:pPr>
              <w:widowControl/>
              <w:spacing w:line="360" w:lineRule="auto"/>
              <w:jc w:val="center"/>
              <w:textAlignment w:val="center"/>
              <w:rPr>
                <w:rFonts w:ascii="宋体" w:hAnsi="宋体" w:cs="宋体"/>
                <w:kern w:val="0"/>
                <w:szCs w:val="21"/>
              </w:rPr>
            </w:pPr>
          </w:p>
        </w:tc>
        <w:tc>
          <w:tcPr>
            <w:tcW w:w="1275" w:type="dxa"/>
            <w:vAlign w:val="center"/>
          </w:tcPr>
          <w:p>
            <w:pPr>
              <w:widowControl/>
              <w:spacing w:line="360" w:lineRule="auto"/>
              <w:jc w:val="center"/>
              <w:textAlignment w:val="center"/>
              <w:rPr>
                <w:rFonts w:ascii="宋体" w:hAnsi="宋体" w:cs="宋体"/>
                <w:kern w:val="0"/>
                <w:szCs w:val="21"/>
              </w:rPr>
            </w:pPr>
          </w:p>
        </w:tc>
        <w:tc>
          <w:tcPr>
            <w:tcW w:w="945" w:type="dxa"/>
            <w:vAlign w:val="center"/>
          </w:tcPr>
          <w:p>
            <w:pPr>
              <w:spacing w:line="360" w:lineRule="auto"/>
              <w:jc w:val="center"/>
              <w:rPr>
                <w:rFonts w:ascii="宋体" w:hAnsi="宋体" w:cs="宋体"/>
                <w:szCs w:val="21"/>
              </w:rPr>
            </w:pPr>
          </w:p>
        </w:tc>
        <w:tc>
          <w:tcPr>
            <w:tcW w:w="1200" w:type="dxa"/>
          </w:tcPr>
          <w:p>
            <w:pPr>
              <w:spacing w:line="360" w:lineRule="auto"/>
              <w:rPr>
                <w:rFonts w:ascii="宋体" w:hAnsi="宋体" w:cs="宋体"/>
                <w:szCs w:val="21"/>
              </w:rPr>
            </w:pPr>
          </w:p>
        </w:tc>
        <w:tc>
          <w:tcPr>
            <w:tcW w:w="1200" w:type="dxa"/>
          </w:tcPr>
          <w:p>
            <w:pPr>
              <w:spacing w:line="360" w:lineRule="auto"/>
              <w:rPr>
                <w:rFonts w:ascii="宋体" w:hAnsi="宋体" w:cs="宋体"/>
                <w:szCs w:val="21"/>
              </w:rPr>
            </w:pPr>
          </w:p>
        </w:tc>
        <w:tc>
          <w:tcPr>
            <w:tcW w:w="10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450" w:type="dxa"/>
            <w:gridSpan w:val="8"/>
          </w:tcPr>
          <w:p>
            <w:pPr>
              <w:spacing w:line="360" w:lineRule="auto"/>
              <w:ind w:right="420"/>
              <w:rPr>
                <w:rFonts w:ascii="宋体" w:hAnsi="宋体" w:cs="宋体"/>
                <w:szCs w:val="21"/>
              </w:rPr>
            </w:pPr>
            <w:r>
              <w:rPr>
                <w:rFonts w:hint="eastAsia" w:ascii="宋体" w:hAnsi="宋体" w:cs="宋体"/>
                <w:szCs w:val="21"/>
              </w:rPr>
              <w:t>总价人民币（大写）：</w:t>
            </w:r>
            <w:r>
              <w:rPr>
                <w:rFonts w:hint="eastAsia" w:ascii="宋体" w:hAnsi="宋体" w:cs="宋体"/>
                <w:szCs w:val="21"/>
                <w:u w:val="single"/>
              </w:rPr>
              <w:t xml:space="preserve">                  ￥                        </w:t>
            </w:r>
          </w:p>
        </w:tc>
      </w:tr>
    </w:tbl>
    <w:p>
      <w:pPr>
        <w:spacing w:line="360" w:lineRule="auto"/>
        <w:ind w:firstLine="420" w:firstLineChars="200"/>
        <w:rPr>
          <w:rFonts w:ascii="宋体" w:hAnsi="宋体" w:cs="宋体"/>
          <w:kern w:val="0"/>
          <w:szCs w:val="21"/>
        </w:rPr>
      </w:pPr>
      <w:r>
        <w:rPr>
          <w:rFonts w:hint="eastAsia" w:ascii="宋体" w:hAnsi="宋体" w:cs="宋体"/>
          <w:szCs w:val="21"/>
        </w:rPr>
        <w:t>设备型号、数量、配置要求等可以附页。</w:t>
      </w:r>
    </w:p>
    <w:p>
      <w:pPr>
        <w:spacing w:line="360" w:lineRule="auto"/>
        <w:ind w:firstLine="210" w:firstLineChars="100"/>
        <w:rPr>
          <w:rFonts w:ascii="宋体" w:hAnsi="宋体" w:cs="宋体"/>
          <w:szCs w:val="21"/>
          <w:u w:val="single"/>
        </w:rPr>
      </w:pPr>
      <w:r>
        <w:rPr>
          <w:rFonts w:hint="eastAsia" w:ascii="宋体" w:hAnsi="宋体" w:cs="宋体"/>
          <w:szCs w:val="21"/>
        </w:rPr>
        <w:t>（三）本合同总价人民币（大写）</w:t>
      </w:r>
      <w:r>
        <w:rPr>
          <w:rFonts w:hint="eastAsia" w:ascii="宋体" w:hAnsi="宋体" w:cs="宋体"/>
          <w:szCs w:val="21"/>
          <w:u w:val="single"/>
        </w:rPr>
        <w:t xml:space="preserve">                   ￥：              </w:t>
      </w:r>
    </w:p>
    <w:p>
      <w:pPr>
        <w:spacing w:line="360" w:lineRule="auto"/>
        <w:ind w:firstLine="396" w:firstLineChars="200"/>
        <w:rPr>
          <w:rFonts w:ascii="宋体" w:hAnsi="宋体" w:cs="宋体"/>
          <w:kern w:val="0"/>
          <w:szCs w:val="21"/>
        </w:rPr>
      </w:pPr>
      <w:r>
        <w:rPr>
          <w:rFonts w:hint="eastAsia" w:ascii="宋体" w:hAnsi="宋体" w:cs="宋体"/>
          <w:spacing w:val="-6"/>
          <w:kern w:val="0"/>
          <w:szCs w:val="21"/>
        </w:rPr>
        <w:t>注：1.本合同总价款系以免税人民币</w:t>
      </w:r>
      <w:r>
        <w:rPr>
          <w:rFonts w:hint="eastAsia" w:ascii="宋体" w:hAnsi="宋体" w:cs="宋体"/>
          <w:spacing w:val="-6"/>
          <w:kern w:val="0"/>
          <w:szCs w:val="21"/>
          <w:u w:val="single"/>
        </w:rPr>
        <w:t xml:space="preserve">     </w:t>
      </w:r>
      <w:r>
        <w:rPr>
          <w:rFonts w:hint="eastAsia" w:ascii="宋体" w:hAnsi="宋体" w:cs="宋体"/>
          <w:spacing w:val="-6"/>
          <w:kern w:val="0"/>
          <w:szCs w:val="21"/>
        </w:rPr>
        <w:t xml:space="preserve"> 元计 （已含外贸代理费），即乙方、丙方系按合同总价款（人民币元）与甲方结算。</w:t>
      </w:r>
      <w:r>
        <w:rPr>
          <w:rFonts w:hint="eastAsia" w:ascii="宋体" w:hAnsi="宋体" w:cs="宋体"/>
          <w:kern w:val="0"/>
          <w:szCs w:val="21"/>
        </w:rPr>
        <w:t>2.配置清单和服务承诺详见合同附件。</w:t>
      </w:r>
      <w:r>
        <w:rPr>
          <w:rFonts w:hint="eastAsia" w:ascii="宋体" w:hAnsi="宋体" w:cs="宋体"/>
          <w:spacing w:val="-6"/>
          <w:kern w:val="0"/>
          <w:szCs w:val="21"/>
        </w:rPr>
        <w:t>3.</w:t>
      </w:r>
      <w:r>
        <w:rPr>
          <w:rFonts w:hint="eastAsia" w:ascii="宋体" w:hAnsi="宋体" w:cs="宋体"/>
          <w:kern w:val="0"/>
          <w:szCs w:val="21"/>
        </w:rPr>
        <w:t>合同履行过程中的汇率风险由乙方承担，丙方与乙方的款项结算由其自行办理。</w:t>
      </w:r>
    </w:p>
    <w:p>
      <w:pPr>
        <w:spacing w:line="360" w:lineRule="auto"/>
        <w:ind w:firstLine="398" w:firstLineChars="200"/>
        <w:rPr>
          <w:rFonts w:ascii="宋体" w:hAnsi="宋体" w:cs="宋体"/>
          <w:b/>
          <w:bCs/>
          <w:spacing w:val="-6"/>
          <w:kern w:val="0"/>
          <w:szCs w:val="21"/>
        </w:rPr>
      </w:pPr>
      <w:r>
        <w:rPr>
          <w:rFonts w:hint="eastAsia" w:ascii="宋体" w:hAnsi="宋体" w:cs="宋体"/>
          <w:b/>
          <w:bCs/>
          <w:spacing w:val="-6"/>
          <w:kern w:val="0"/>
          <w:szCs w:val="21"/>
        </w:rPr>
        <w:t>第二条：质量保证及售后服务</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1.乙方应按照本合同约定及采购文件规定的性能、技术要求、质量标准向甲方提供未经使用、符合国家法律规定和技术标准的原厂最新生产的全新原装合格进口货物，并系获得国家商检局颁布安全许可证的原装进口合格产品。如发生所供商品与合同不符，甲方有权拒收或随时退货，乙方应全额退还甲方已付款项，并按合同总价款的20%向甲方支付违约金，由此造成的损失及其他一切责任和后果均由乙方承担。</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2.乙方提供的货物在质保期内因货物本身的质量问题发生故障，乙方应负责免费更换。对达不到技术要求者，根据实际情况，甲方有权自行选择以下办法处理：</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（1）更换：由乙方在10个工作日内负责更换，并承担所发生的全部费用，同时向甲方支付合同总价款20%的违约金。</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（2）退货处理：乙方应全额退还甲方支付的价款，同时承担该货物的直接费用（运输、保险、检验、货款利息及银行手续费等），并向甲方支付合同总价款20%的违约金。</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3.如在使用过程中发生质量问题，乙方在接到甲方通知后</w:t>
      </w:r>
      <w:r>
        <w:rPr>
          <w:rFonts w:hint="eastAsia" w:ascii="宋体" w:hAnsi="宋体" w:cs="宋体"/>
          <w:spacing w:val="-6"/>
          <w:kern w:val="0"/>
          <w:szCs w:val="21"/>
          <w:u w:val="single"/>
        </w:rPr>
        <w:t xml:space="preserve">  </w:t>
      </w:r>
      <w:r>
        <w:rPr>
          <w:rFonts w:hint="eastAsia" w:ascii="宋体" w:hAnsi="宋体" w:cs="宋体"/>
          <w:spacing w:val="-6"/>
          <w:kern w:val="0"/>
          <w:szCs w:val="21"/>
        </w:rPr>
        <w:t>小时内到达甲方现场，最迟在</w:t>
      </w:r>
      <w:r>
        <w:rPr>
          <w:rFonts w:hint="eastAsia" w:ascii="宋体" w:hAnsi="宋体" w:cs="宋体"/>
          <w:spacing w:val="-6"/>
          <w:kern w:val="0"/>
          <w:szCs w:val="21"/>
          <w:u w:val="single"/>
        </w:rPr>
        <w:t xml:space="preserve">  </w:t>
      </w:r>
      <w:r>
        <w:rPr>
          <w:rFonts w:hint="eastAsia" w:ascii="宋体" w:hAnsi="宋体" w:cs="宋体"/>
          <w:spacing w:val="-6"/>
          <w:kern w:val="0"/>
          <w:szCs w:val="21"/>
        </w:rPr>
        <w:t>小时内解决问题（排除故障等），同时采取临时替换等措施，以确保甲方的正常使用。</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4.在质保期内，乙方应对货物出现的质量及安全问题承担全部责任负责及一切费用。</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5.</w:t>
      </w:r>
      <w:r>
        <w:rPr>
          <w:rFonts w:hint="eastAsia" w:ascii="宋体" w:hAnsi="宋体" w:cs="宋体"/>
          <w:kern w:val="0"/>
          <w:szCs w:val="21"/>
        </w:rPr>
        <w:t xml:space="preserve"> </w:t>
      </w:r>
      <w:r>
        <w:rPr>
          <w:rFonts w:hint="eastAsia" w:ascii="宋体" w:hAnsi="宋体" w:cs="宋体"/>
          <w:spacing w:val="-6"/>
          <w:kern w:val="0"/>
          <w:szCs w:val="21"/>
        </w:rPr>
        <w:t>乙方须确保货物自验收合格交付使用后</w:t>
      </w:r>
      <w:r>
        <w:rPr>
          <w:rFonts w:hint="eastAsia" w:ascii="宋体" w:hAnsi="宋体" w:cs="宋体"/>
          <w:spacing w:val="-6"/>
          <w:kern w:val="0"/>
          <w:szCs w:val="21"/>
          <w:u w:val="single"/>
        </w:rPr>
        <w:t xml:space="preserve">    </w:t>
      </w:r>
      <w:r>
        <w:rPr>
          <w:rFonts w:hint="eastAsia" w:ascii="宋体" w:hAnsi="宋体" w:cs="宋体"/>
          <w:spacing w:val="-6"/>
          <w:kern w:val="0"/>
          <w:szCs w:val="21"/>
        </w:rPr>
        <w:t xml:space="preserve">年内制造商原厂及有资质售后工程师上门维保服务。软件终身免费升级。故障响应时间 </w:t>
      </w:r>
      <w:r>
        <w:rPr>
          <w:rFonts w:hint="eastAsia" w:ascii="宋体" w:hAnsi="宋体" w:cs="宋体"/>
          <w:spacing w:val="-6"/>
          <w:kern w:val="0"/>
          <w:szCs w:val="21"/>
          <w:u w:val="single"/>
        </w:rPr>
        <w:t xml:space="preserve">    </w:t>
      </w:r>
      <w:r>
        <w:rPr>
          <w:rFonts w:hint="eastAsia" w:ascii="宋体" w:hAnsi="宋体" w:cs="宋体"/>
          <w:spacing w:val="-6"/>
          <w:kern w:val="0"/>
          <w:szCs w:val="21"/>
        </w:rPr>
        <w:t>小时以内，每日24小时电话技术支持；凡电话技术支持无法排除的故障，确保</w:t>
      </w:r>
      <w:r>
        <w:rPr>
          <w:rFonts w:hint="eastAsia" w:ascii="宋体" w:hAnsi="宋体" w:cs="宋体"/>
          <w:spacing w:val="-6"/>
          <w:kern w:val="0"/>
          <w:szCs w:val="21"/>
          <w:u w:val="single"/>
        </w:rPr>
        <w:t xml:space="preserve">   </w:t>
      </w:r>
      <w:r>
        <w:rPr>
          <w:rFonts w:hint="eastAsia" w:ascii="宋体" w:hAnsi="宋体" w:cs="宋体"/>
          <w:spacing w:val="-6"/>
          <w:kern w:val="0"/>
          <w:szCs w:val="21"/>
        </w:rPr>
        <w:t>小时内到达现场并完成故障排除；保修期后，乙方继续为甲方提供维保服务，仅收取零配件成本费，故障排除时间同前约定。保修期内出现无法排除的故障，乙方须无条件为甲方更换同型号全新产品，并承担相应违约责任。保修期后的维保应确保</w:t>
      </w:r>
      <w:r>
        <w:rPr>
          <w:rFonts w:hint="eastAsia" w:ascii="宋体" w:hAnsi="宋体" w:cs="宋体"/>
          <w:spacing w:val="-6"/>
          <w:kern w:val="0"/>
          <w:szCs w:val="21"/>
          <w:u w:val="single"/>
        </w:rPr>
        <w:t xml:space="preserve">   </w:t>
      </w:r>
      <w:r>
        <w:rPr>
          <w:rFonts w:hint="eastAsia" w:ascii="宋体" w:hAnsi="宋体" w:cs="宋体"/>
          <w:spacing w:val="-6"/>
          <w:kern w:val="0"/>
          <w:szCs w:val="21"/>
        </w:rPr>
        <w:t>天内排除故障。</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第三条：技术资料</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1.</w:t>
      </w:r>
      <w:r>
        <w:rPr>
          <w:rFonts w:hint="eastAsia" w:ascii="宋体" w:hAnsi="宋体" w:cs="宋体"/>
          <w:kern w:val="0"/>
          <w:szCs w:val="21"/>
        </w:rPr>
        <w:t xml:space="preserve"> </w:t>
      </w:r>
      <w:r>
        <w:rPr>
          <w:rFonts w:hint="eastAsia" w:ascii="宋体" w:hAnsi="宋体" w:cs="宋体"/>
          <w:spacing w:val="-6"/>
          <w:kern w:val="0"/>
          <w:szCs w:val="21"/>
        </w:rPr>
        <w:t>乙方应按采购文件或本合同规定的时间向甲方提供货物的有关技术资料和必备的附件，进口产品还需提供全套中英文对照的技术资料。</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2.</w:t>
      </w:r>
      <w:r>
        <w:rPr>
          <w:rFonts w:hint="eastAsia" w:ascii="宋体" w:hAnsi="宋体" w:cs="宋体"/>
          <w:kern w:val="0"/>
          <w:szCs w:val="21"/>
        </w:rPr>
        <w:t xml:space="preserve"> </w:t>
      </w:r>
      <w:r>
        <w:rPr>
          <w:rFonts w:hint="eastAsia" w:ascii="宋体" w:hAnsi="宋体" w:cs="宋体"/>
          <w:spacing w:val="-6"/>
          <w:kern w:val="0"/>
          <w:szCs w:val="21"/>
        </w:rPr>
        <w:t>没有甲方事先书面同意，乙方不得将由甲方提供的有关合同或任何合同条文、规格、计划、图纸、样品或资料提供给与履行本合同无关的任何第三方。即使因履行本合同项下义务向有关的人员提供，也应注意保密并限于履行合同的必需范围。</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第四条：知识产权</w:t>
      </w:r>
    </w:p>
    <w:p>
      <w:pPr>
        <w:spacing w:line="360" w:lineRule="auto"/>
        <w:ind w:firstLine="396" w:firstLineChars="200"/>
        <w:rPr>
          <w:rFonts w:ascii="宋体" w:hAnsi="宋体" w:cs="宋体"/>
          <w:spacing w:val="-6"/>
          <w:szCs w:val="21"/>
        </w:rPr>
      </w:pPr>
      <w:r>
        <w:rPr>
          <w:rFonts w:hint="eastAsia" w:ascii="宋体" w:hAnsi="宋体" w:cs="宋体"/>
          <w:spacing w:val="-6"/>
          <w:szCs w:val="21"/>
        </w:rPr>
        <w:t>乙方应保证所提供的货物及含软件或其任何一部分均不会侵犯任何第三方的知识产权，否则乙方应承担包括但不限于侵权赔偿款、诉讼费、律师费、向甲方退还已付全款，并按合同总价款的20%向甲方支付违约金等责任。</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第五条：交货时间、地点</w:t>
      </w:r>
    </w:p>
    <w:p>
      <w:pPr>
        <w:spacing w:line="360" w:lineRule="auto"/>
        <w:ind w:firstLine="420" w:firstLineChars="200"/>
        <w:rPr>
          <w:rFonts w:ascii="宋体" w:hAnsi="宋体" w:cs="宋体"/>
          <w:szCs w:val="21"/>
        </w:rPr>
      </w:pPr>
      <w:r>
        <w:rPr>
          <w:rFonts w:hint="eastAsia" w:ascii="宋体" w:hAnsi="宋体" w:cs="宋体"/>
          <w:szCs w:val="21"/>
        </w:rPr>
        <w:t>交货时间：</w:t>
      </w:r>
      <w:r>
        <w:rPr>
          <w:rFonts w:hint="eastAsia" w:ascii="宋体" w:hAnsi="宋体" w:cs="宋体"/>
          <w:szCs w:val="21"/>
          <w:u w:val="single"/>
        </w:rPr>
        <w:t xml:space="preserve"> 进口免税产品在合同生效后</w:t>
      </w:r>
      <w:r>
        <w:rPr>
          <w:rFonts w:hint="eastAsia" w:ascii="宋体" w:hAnsi="宋体" w:cs="宋体"/>
          <w:color w:val="FF0000"/>
          <w:szCs w:val="21"/>
          <w:u w:val="single"/>
        </w:rPr>
        <w:t>90</w:t>
      </w:r>
      <w:r>
        <w:rPr>
          <w:rFonts w:hint="eastAsia" w:ascii="宋体" w:hAnsi="宋体" w:cs="宋体"/>
          <w:szCs w:val="21"/>
          <w:u w:val="single"/>
        </w:rPr>
        <w:t>天内（定制产品双方另行约定），国内供货在合同生效后</w:t>
      </w:r>
      <w:r>
        <w:rPr>
          <w:rFonts w:hint="eastAsia" w:ascii="宋体" w:hAnsi="宋体" w:cs="宋体"/>
          <w:color w:val="FF0000"/>
          <w:szCs w:val="21"/>
          <w:u w:val="single"/>
        </w:rPr>
        <w:t>30</w:t>
      </w:r>
      <w:r>
        <w:rPr>
          <w:rFonts w:hint="eastAsia" w:ascii="宋体" w:hAnsi="宋体" w:cs="宋体"/>
          <w:szCs w:val="21"/>
          <w:u w:val="single"/>
        </w:rPr>
        <w:t xml:space="preserve">天内  </w:t>
      </w:r>
      <w:r>
        <w:rPr>
          <w:rFonts w:hint="eastAsia" w:ascii="宋体" w:hAnsi="宋体" w:cs="宋体"/>
          <w:szCs w:val="21"/>
        </w:rPr>
        <w:t>。</w:t>
      </w:r>
    </w:p>
    <w:p>
      <w:pPr>
        <w:spacing w:line="360" w:lineRule="auto"/>
        <w:ind w:firstLine="707" w:firstLineChars="337"/>
        <w:rPr>
          <w:rFonts w:ascii="宋体" w:hAnsi="宋体" w:cs="宋体"/>
          <w:szCs w:val="21"/>
        </w:rPr>
      </w:pPr>
      <w:r>
        <w:rPr>
          <w:rFonts w:hint="eastAsia" w:ascii="宋体" w:hAnsi="宋体" w:cs="宋体"/>
          <w:szCs w:val="21"/>
        </w:rPr>
        <w:t>交货地点：</w:t>
      </w:r>
      <w:r>
        <w:rPr>
          <w:rFonts w:hint="eastAsia" w:ascii="宋体" w:hAnsi="宋体" w:cs="宋体"/>
          <w:szCs w:val="21"/>
          <w:u w:val="single"/>
        </w:rPr>
        <w:t xml:space="preserve">                                          </w:t>
      </w:r>
      <w:r>
        <w:rPr>
          <w:rFonts w:hint="eastAsia" w:ascii="宋体" w:hAnsi="宋体" w:cs="宋体"/>
          <w:szCs w:val="21"/>
        </w:rPr>
        <w:t>。</w:t>
      </w:r>
    </w:p>
    <w:p>
      <w:pPr>
        <w:spacing w:line="360" w:lineRule="auto"/>
        <w:ind w:left="288" w:firstLine="420"/>
        <w:rPr>
          <w:rFonts w:ascii="宋体" w:hAnsi="宋体" w:cs="宋体"/>
          <w:szCs w:val="21"/>
        </w:rPr>
      </w:pPr>
      <w:r>
        <w:rPr>
          <w:rFonts w:hint="eastAsia" w:ascii="宋体" w:hAnsi="宋体" w:cs="宋体"/>
          <w:szCs w:val="21"/>
        </w:rPr>
        <w:t>使用方联系人及联系方式：</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szCs w:val="21"/>
        </w:rPr>
      </w:pP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第六条：调试与验收</w:t>
      </w:r>
    </w:p>
    <w:p>
      <w:pPr>
        <w:spacing w:line="360" w:lineRule="auto"/>
        <w:ind w:firstLine="396" w:firstLineChars="200"/>
        <w:rPr>
          <w:rFonts w:ascii="宋体" w:hAnsi="宋体" w:cs="宋体"/>
          <w:spacing w:val="-6"/>
          <w:szCs w:val="21"/>
        </w:rPr>
      </w:pPr>
      <w:r>
        <w:rPr>
          <w:rFonts w:hint="eastAsia" w:ascii="宋体" w:hAnsi="宋体" w:cs="宋体"/>
          <w:spacing w:val="-6"/>
          <w:szCs w:val="21"/>
        </w:rPr>
        <w:t>1.甲方对乙方交付的货物依据本合同约定和采购文件上的技术规格或要求及有关质量标准进行现场到货验收，外观、说明书符合采购文件技术要求的，给予签收，到货验收不合格的不予签收。到货验收并非最终验收，乙方安装调试完毕后的验收方为最终验收。</w:t>
      </w:r>
    </w:p>
    <w:p>
      <w:pPr>
        <w:spacing w:line="360" w:lineRule="auto"/>
        <w:ind w:firstLine="396" w:firstLineChars="200"/>
        <w:rPr>
          <w:rFonts w:ascii="宋体" w:hAnsi="宋体" w:cs="宋体"/>
          <w:spacing w:val="-6"/>
          <w:szCs w:val="21"/>
        </w:rPr>
      </w:pPr>
      <w:r>
        <w:rPr>
          <w:rFonts w:hint="eastAsia" w:ascii="宋体" w:hAnsi="宋体" w:cs="宋体"/>
          <w:spacing w:val="-6"/>
          <w:szCs w:val="21"/>
        </w:rPr>
        <w:t>2.乙方交货前应对产品作出全面检查和对验收文件进行整理，并列出清单，作为甲方收货验收和使用的技术条件依据，检验的结果应随货物交甲方。</w:t>
      </w:r>
    </w:p>
    <w:p>
      <w:pPr>
        <w:spacing w:line="360" w:lineRule="auto"/>
        <w:ind w:firstLine="396" w:firstLineChars="200"/>
        <w:rPr>
          <w:rFonts w:ascii="宋体" w:hAnsi="宋体" w:cs="宋体"/>
          <w:spacing w:val="-6"/>
          <w:szCs w:val="21"/>
        </w:rPr>
      </w:pPr>
      <w:r>
        <w:rPr>
          <w:rFonts w:hint="eastAsia" w:ascii="宋体" w:hAnsi="宋体" w:cs="宋体"/>
          <w:spacing w:val="-6"/>
          <w:szCs w:val="21"/>
        </w:rPr>
        <w:t>3.乙方须按约定期限完成安装调试并达到本合同约定的技术要求，同时负责培训甲方的操作人员，做好各种操作指导，直到甲方人员能独立、熟练操作，甲方才进行交付验收，交付验收合格前的风险责任由乙方承担。</w:t>
      </w:r>
    </w:p>
    <w:p>
      <w:pPr>
        <w:spacing w:line="360" w:lineRule="auto"/>
        <w:ind w:firstLine="396" w:firstLineChars="200"/>
        <w:rPr>
          <w:rFonts w:ascii="宋体" w:hAnsi="宋体" w:cs="宋体"/>
          <w:spacing w:val="-6"/>
          <w:szCs w:val="21"/>
        </w:rPr>
      </w:pPr>
      <w:r>
        <w:rPr>
          <w:rFonts w:hint="eastAsia" w:ascii="宋体" w:hAnsi="宋体" w:cs="宋体"/>
          <w:spacing w:val="-6"/>
          <w:szCs w:val="21"/>
        </w:rPr>
        <w:t>4.对技术复杂的货物，甲方有权聘请国家认可的专业检测机构参与到货验收及交付验收，并由其出具质量检测报告。</w:t>
      </w:r>
    </w:p>
    <w:p>
      <w:pPr>
        <w:spacing w:line="360" w:lineRule="auto"/>
        <w:ind w:firstLine="396" w:firstLineChars="200"/>
        <w:rPr>
          <w:rFonts w:ascii="宋体" w:hAnsi="宋体" w:cs="宋体"/>
          <w:spacing w:val="-6"/>
          <w:szCs w:val="21"/>
        </w:rPr>
      </w:pPr>
      <w:r>
        <w:rPr>
          <w:rFonts w:hint="eastAsia" w:ascii="宋体" w:hAnsi="宋体" w:cs="宋体"/>
          <w:spacing w:val="-6"/>
          <w:szCs w:val="21"/>
        </w:rPr>
        <w:t>5.货物验收时乙方必须在现场，验收完毕后甲方出具验收报告；验收费用由乙方承担。</w:t>
      </w:r>
    </w:p>
    <w:p>
      <w:pPr>
        <w:spacing w:line="360" w:lineRule="auto"/>
        <w:ind w:firstLine="396" w:firstLineChars="200"/>
        <w:rPr>
          <w:rFonts w:ascii="宋体" w:hAnsi="宋体" w:cs="宋体"/>
          <w:spacing w:val="-6"/>
          <w:szCs w:val="21"/>
        </w:rPr>
      </w:pPr>
      <w:r>
        <w:rPr>
          <w:rFonts w:hint="eastAsia" w:ascii="宋体" w:hAnsi="宋体" w:cs="宋体"/>
          <w:spacing w:val="-6"/>
          <w:szCs w:val="21"/>
        </w:rPr>
        <w:t>6.货物从验收合格交付使用次日起30天内，出现非甲方人为因素造成的无法排除的故障，乙方须予整机调换或者退货退款，并承担向甲方支付合同总价款20%的违约金等违约责任。</w:t>
      </w:r>
    </w:p>
    <w:p>
      <w:pPr>
        <w:spacing w:line="360" w:lineRule="auto"/>
        <w:ind w:firstLine="396" w:firstLineChars="200"/>
        <w:rPr>
          <w:rFonts w:ascii="宋体" w:hAnsi="宋体" w:cs="宋体"/>
          <w:spacing w:val="-6"/>
          <w:szCs w:val="21"/>
        </w:rPr>
      </w:pPr>
      <w:r>
        <w:rPr>
          <w:rFonts w:hint="eastAsia" w:ascii="宋体" w:hAnsi="宋体" w:cs="宋体"/>
          <w:spacing w:val="-6"/>
          <w:szCs w:val="21"/>
        </w:rPr>
        <w:t>7.对货物质量有异议的，甲、乙双方均同意提请国家法定检测机构鉴定，如检测结果证明产品无质量问题，由甲方承担检测费用；如检测结果证明产品有质量问题，由乙方承担检测费用，同时乙方同意甲方无条件退货，乙方应向甲方退还全款并支付合同总价款20%的违约金。</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第七条：合同价款的支付</w:t>
      </w:r>
    </w:p>
    <w:p>
      <w:pPr>
        <w:spacing w:line="360" w:lineRule="auto"/>
        <w:ind w:firstLine="420" w:firstLineChars="200"/>
        <w:rPr>
          <w:rFonts w:ascii="宋体" w:hAnsi="宋体" w:cs="宋体"/>
          <w:szCs w:val="21"/>
        </w:rPr>
      </w:pPr>
      <w:r>
        <w:rPr>
          <w:rFonts w:hint="eastAsia" w:ascii="宋体" w:hAnsi="宋体" w:cs="宋体"/>
          <w:szCs w:val="21"/>
        </w:rPr>
        <w:t>1.本合同总价款的1%作为履约保证金，本合同签订后七个工作日内由乙方</w:t>
      </w:r>
      <w:r>
        <w:rPr>
          <w:rFonts w:hint="eastAsia" w:ascii="宋体" w:hAnsi="宋体" w:cs="宋体"/>
          <w:spacing w:val="-6"/>
          <w:szCs w:val="21"/>
        </w:rPr>
        <w:t>汇入本合同载明的甲方账户，</w:t>
      </w:r>
      <w:r>
        <w:rPr>
          <w:rFonts w:hint="eastAsia" w:ascii="宋体" w:hAnsi="宋体" w:cs="宋体"/>
          <w:szCs w:val="21"/>
        </w:rPr>
        <w:t>最终验收合格后，由甲方无息退回乙方。</w:t>
      </w:r>
    </w:p>
    <w:p>
      <w:pPr>
        <w:spacing w:line="360" w:lineRule="auto"/>
        <w:ind w:firstLine="420" w:firstLineChars="200"/>
        <w:rPr>
          <w:rFonts w:ascii="宋体" w:hAnsi="宋体" w:cs="宋体"/>
          <w:szCs w:val="21"/>
        </w:rPr>
      </w:pPr>
      <w:r>
        <w:rPr>
          <w:rFonts w:hint="eastAsia" w:ascii="宋体" w:hAnsi="宋体" w:cs="宋体"/>
          <w:szCs w:val="21"/>
        </w:rPr>
        <w:t>2. 乙方同意在丙方免税申报表办理完成后，甲方于7个工作日内将本合同总价款的——%支付给丙方，丙方收到预付款后，向乙方指定的境外公司（外贸合同卖方）开具合同总价款_____%的即期信用证，由外贸合同卖方发货后向银行提交单据进行议付；或通过对外电汇方式支付预付款。货物验收合格后，丙方向甲方开具合同总价款的全额增值税普通发票且经乙方鉴证后，甲方于7个工作日内将剩余的价款支付给丙方，丙方以收到尾款为指令，对外支付剩余价款。丙方与乙方的费用结算自行协商，与甲方无涉。</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第八条：其他约定</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1.甲方、乙方协助丙方在到货前办好进口货物审批和免税手续。</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2.乙方应根据本次招标结果（本合同约定的）提供双方确认的进口货物的品名、型号规格、配置配件、技术要求、价格、制造厂商或生产国别、售后服务等相关书面资料，以便丙方对外签订外贸合同。</w:t>
      </w:r>
    </w:p>
    <w:p>
      <w:pPr>
        <w:pStyle w:val="42"/>
        <w:spacing w:line="360" w:lineRule="auto"/>
        <w:rPr>
          <w:rFonts w:ascii="宋体" w:hAnsi="宋体" w:cs="宋体"/>
          <w:spacing w:val="-6"/>
          <w:kern w:val="0"/>
          <w:szCs w:val="21"/>
        </w:rPr>
      </w:pPr>
      <w:r>
        <w:rPr>
          <w:rFonts w:hint="eastAsia" w:ascii="宋体" w:hAnsi="宋体" w:cs="宋体"/>
          <w:spacing w:val="-6"/>
          <w:kern w:val="0"/>
          <w:szCs w:val="21"/>
        </w:rPr>
        <w:t>由丙方与乙方指定的境外公司签订外贸合同，如乙方指定的境外公司未能履行所签订外贸合同的条款时，则乙方指定的该境外公司名下的所有合同法律后果、责任和风险转由乙方承担，乙方无条件接受。乙方指定的境外公司详细信息如下：</w:t>
      </w:r>
    </w:p>
    <w:p>
      <w:pPr>
        <w:pStyle w:val="42"/>
        <w:spacing w:line="360" w:lineRule="auto"/>
        <w:rPr>
          <w:rFonts w:ascii="宋体" w:hAnsi="宋体" w:cs="宋体"/>
          <w:spacing w:val="-6"/>
          <w:kern w:val="0"/>
          <w:szCs w:val="21"/>
        </w:rPr>
      </w:pPr>
      <w:r>
        <w:rPr>
          <w:rFonts w:hint="eastAsia" w:ascii="宋体" w:hAnsi="宋体" w:cs="宋体"/>
          <w:spacing w:val="-6"/>
          <w:kern w:val="0"/>
          <w:szCs w:val="21"/>
        </w:rPr>
        <w:t>货物原产地和制造商：</w:t>
      </w:r>
    </w:p>
    <w:p>
      <w:pPr>
        <w:pStyle w:val="42"/>
        <w:spacing w:line="360" w:lineRule="auto"/>
        <w:rPr>
          <w:rFonts w:ascii="宋体" w:hAnsi="宋体" w:cs="宋体"/>
          <w:spacing w:val="-6"/>
          <w:kern w:val="0"/>
          <w:szCs w:val="21"/>
        </w:rPr>
      </w:pPr>
      <w:r>
        <w:rPr>
          <w:rFonts w:hint="eastAsia" w:ascii="宋体" w:hAnsi="宋体" w:cs="宋体"/>
          <w:spacing w:val="-6"/>
          <w:kern w:val="0"/>
          <w:szCs w:val="21"/>
        </w:rPr>
        <w:t>运输方式、装运港和目的港：</w:t>
      </w:r>
    </w:p>
    <w:p>
      <w:pPr>
        <w:pStyle w:val="42"/>
        <w:spacing w:line="360" w:lineRule="auto"/>
        <w:rPr>
          <w:rFonts w:ascii="宋体" w:hAnsi="宋体" w:cs="宋体"/>
          <w:spacing w:val="-6"/>
          <w:kern w:val="0"/>
          <w:szCs w:val="21"/>
        </w:rPr>
      </w:pPr>
      <w:r>
        <w:rPr>
          <w:rFonts w:hint="eastAsia" w:ascii="宋体" w:hAnsi="宋体" w:cs="宋体"/>
          <w:spacing w:val="-6"/>
          <w:kern w:val="0"/>
          <w:szCs w:val="21"/>
        </w:rPr>
        <w:t>境外公司名称：</w:t>
      </w:r>
    </w:p>
    <w:p>
      <w:pPr>
        <w:pStyle w:val="42"/>
        <w:spacing w:line="360" w:lineRule="auto"/>
        <w:rPr>
          <w:rFonts w:ascii="宋体" w:hAnsi="宋体" w:cs="宋体"/>
          <w:spacing w:val="-6"/>
          <w:kern w:val="0"/>
          <w:szCs w:val="21"/>
        </w:rPr>
      </w:pPr>
      <w:r>
        <w:rPr>
          <w:rFonts w:hint="eastAsia" w:ascii="宋体" w:hAnsi="宋体" w:cs="宋体"/>
          <w:spacing w:val="-6"/>
          <w:kern w:val="0"/>
          <w:szCs w:val="21"/>
        </w:rPr>
        <w:t>联系人姓名：</w:t>
      </w:r>
    </w:p>
    <w:p>
      <w:pPr>
        <w:pStyle w:val="42"/>
        <w:spacing w:line="360" w:lineRule="auto"/>
        <w:rPr>
          <w:rFonts w:ascii="宋体" w:hAnsi="宋体" w:cs="宋体"/>
          <w:spacing w:val="-6"/>
          <w:kern w:val="0"/>
          <w:szCs w:val="21"/>
        </w:rPr>
      </w:pPr>
      <w:r>
        <w:rPr>
          <w:rFonts w:hint="eastAsia" w:ascii="宋体" w:hAnsi="宋体" w:cs="宋体"/>
          <w:spacing w:val="-6"/>
          <w:kern w:val="0"/>
          <w:szCs w:val="21"/>
        </w:rPr>
        <w:t>联系人电话：</w:t>
      </w:r>
    </w:p>
    <w:p>
      <w:pPr>
        <w:pStyle w:val="42"/>
        <w:spacing w:line="360" w:lineRule="auto"/>
        <w:rPr>
          <w:rFonts w:ascii="宋体" w:hAnsi="宋体" w:cs="宋体"/>
          <w:spacing w:val="-6"/>
          <w:kern w:val="0"/>
          <w:szCs w:val="21"/>
        </w:rPr>
      </w:pPr>
      <w:r>
        <w:rPr>
          <w:rFonts w:hint="eastAsia" w:ascii="宋体" w:hAnsi="宋体" w:cs="宋体"/>
          <w:spacing w:val="-6"/>
          <w:kern w:val="0"/>
          <w:szCs w:val="21"/>
        </w:rPr>
        <w:t>联系人Email：</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3.丙方负责对外签订外贸合同、协助商谈运输方式、到货地点，办理法定商检、对外承付货款、办理进口报关、并在到货后负责送货上门和安装调试等事宜。</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4.丙方应根据合同的约定积极履行合同义务，并及时向甲方和乙方书面通报外贸合同的履行情况，特别是货物备妥期、装运期、预计抵达情况，以便甲方及时了解供货进度。</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5.对需办理《机电产品进口许可证》的设备，丙方应协助甲方办理网上申报等有关事宜，并及时领取进口批件。</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6.丙方应协助甲方催缴乙方履约保证金。</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7.进口货物到货后，丙方应向甲方提供一套完整的进口单证。如进口货物发生质量、数量与外贸合同不符的，应及时完成商检，并尽早自行启动索赔程序，但并不因此减轻或免除乙方的相关责任。</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8.因丙方工作失误，造成进口货物不能及时清关而产生的海关滞报金，超期仓储费等额外费用由丙方自行承担。</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9.丙方应协助甲方完成海关等政府主管部门例行年检、抽检及其他相关工作，并提供相关检查资料。</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第九条：违约责任</w:t>
      </w:r>
    </w:p>
    <w:p>
      <w:pPr>
        <w:spacing w:line="360" w:lineRule="auto"/>
        <w:ind w:firstLine="396" w:firstLineChars="200"/>
        <w:rPr>
          <w:rFonts w:ascii="宋体" w:hAnsi="宋体" w:cs="宋体"/>
          <w:spacing w:val="-6"/>
          <w:szCs w:val="21"/>
        </w:rPr>
      </w:pPr>
      <w:r>
        <w:rPr>
          <w:rFonts w:hint="eastAsia" w:ascii="宋体" w:hAnsi="宋体" w:cs="宋体"/>
          <w:spacing w:val="-6"/>
          <w:szCs w:val="21"/>
        </w:rPr>
        <w:t>1.乙方具有不按合同要求供货、货物非经甲方委托并由乙方专项办理进口审批手续、单方面不履行合同义务等违约行为的，乙方除退还甲方已付乙方或丙方的全部款项外，还应向甲方支付合同总价款20%的违约金。</w:t>
      </w:r>
    </w:p>
    <w:p>
      <w:pPr>
        <w:spacing w:line="360" w:lineRule="auto"/>
        <w:ind w:firstLine="396" w:firstLineChars="200"/>
        <w:rPr>
          <w:rFonts w:ascii="宋体" w:hAnsi="宋体" w:cs="宋体"/>
          <w:spacing w:val="-6"/>
          <w:szCs w:val="21"/>
        </w:rPr>
      </w:pPr>
      <w:r>
        <w:rPr>
          <w:rFonts w:hint="eastAsia" w:ascii="宋体" w:hAnsi="宋体" w:cs="宋体"/>
          <w:spacing w:val="-6"/>
          <w:szCs w:val="21"/>
        </w:rPr>
        <w:t>2.除本合同另有约定的外，乙方逾期履行合同义务的，自逾期之日起，向甲方偿付合同总价款万分之五每日的违约金。</w:t>
      </w:r>
    </w:p>
    <w:p>
      <w:pPr>
        <w:spacing w:line="360" w:lineRule="auto"/>
        <w:ind w:firstLine="396" w:firstLineChars="200"/>
        <w:rPr>
          <w:rFonts w:ascii="宋体" w:hAnsi="宋体" w:cs="宋体"/>
          <w:spacing w:val="-6"/>
          <w:szCs w:val="21"/>
        </w:rPr>
      </w:pPr>
      <w:r>
        <w:rPr>
          <w:rFonts w:hint="eastAsia" w:ascii="宋体" w:hAnsi="宋体" w:cs="宋体"/>
          <w:spacing w:val="-6"/>
          <w:szCs w:val="21"/>
        </w:rPr>
        <w:t>3.甲方逾期支付价款的，自逾期之日起，向乙方偿付逾期金额万分之五每日的违约金。</w:t>
      </w:r>
    </w:p>
    <w:p>
      <w:pPr>
        <w:spacing w:line="360" w:lineRule="auto"/>
        <w:ind w:firstLine="396" w:firstLineChars="200"/>
        <w:rPr>
          <w:rFonts w:ascii="宋体" w:hAnsi="宋体" w:cs="宋体"/>
          <w:spacing w:val="-6"/>
          <w:szCs w:val="21"/>
        </w:rPr>
      </w:pPr>
      <w:r>
        <w:rPr>
          <w:rFonts w:hint="eastAsia" w:ascii="宋体" w:hAnsi="宋体" w:cs="宋体"/>
          <w:spacing w:val="-6"/>
          <w:szCs w:val="21"/>
        </w:rPr>
        <w:t>4.如货物验收不能达到质量或功能（性能）标准的，乙方应于该次验收工作结束后一周内将货物运离甲方安装地点，所需费用由乙方承担。如乙方在一个月内不处理（运离）货物的，视为乙方放弃其所有权，甲方有权自行处置（包括作废弃物处理）。同时，乙方除退还甲方已付合同价款外，还应向甲方支付合同总价款20%的违约金。</w:t>
      </w:r>
    </w:p>
    <w:p>
      <w:pPr>
        <w:spacing w:line="360" w:lineRule="auto"/>
        <w:ind w:firstLine="396" w:firstLineChars="200"/>
        <w:rPr>
          <w:rFonts w:ascii="宋体" w:hAnsi="宋体" w:cs="宋体"/>
          <w:spacing w:val="-6"/>
          <w:szCs w:val="21"/>
        </w:rPr>
      </w:pPr>
      <w:r>
        <w:rPr>
          <w:rFonts w:hint="eastAsia" w:ascii="宋体" w:hAnsi="宋体" w:cs="宋体"/>
          <w:spacing w:val="-6"/>
          <w:szCs w:val="21"/>
        </w:rPr>
        <w:t>5.乙方交付的货物品种、型号、规格、技术参数、质量不符合合同规定或采购文件规定标准的，甲方有权拒收或随时退还该货物，乙方愿意更换货物但逾期交货的，按乙方逾期交货处理。乙方拒绝更换货物的，甲方可单方面解除合同，要求乙方退还已收合同价款并支付合同总价款20%的违约金，同时没收乙方的履约保证金。</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第十条：不可抗力事件处理</w:t>
      </w:r>
    </w:p>
    <w:p>
      <w:pPr>
        <w:spacing w:line="360" w:lineRule="auto"/>
        <w:ind w:firstLine="396" w:firstLineChars="200"/>
        <w:rPr>
          <w:rFonts w:ascii="宋体" w:hAnsi="宋体" w:cs="宋体"/>
          <w:spacing w:val="-6"/>
          <w:szCs w:val="21"/>
        </w:rPr>
      </w:pPr>
      <w:r>
        <w:rPr>
          <w:rFonts w:hint="eastAsia" w:ascii="宋体" w:hAnsi="宋体" w:cs="宋体"/>
          <w:spacing w:val="-6"/>
          <w:szCs w:val="21"/>
        </w:rPr>
        <w:t>1本合同有效期内，任何一方因不可抗力事件导致不能履行合同的，则本合同履行期可延长，其延长期与不可抗力影响期相同。</w:t>
      </w:r>
    </w:p>
    <w:p>
      <w:pPr>
        <w:spacing w:line="360" w:lineRule="auto"/>
        <w:ind w:firstLine="396" w:firstLineChars="200"/>
        <w:rPr>
          <w:rFonts w:ascii="宋体" w:hAnsi="宋体" w:cs="宋体"/>
          <w:spacing w:val="-6"/>
          <w:szCs w:val="21"/>
        </w:rPr>
      </w:pPr>
      <w:r>
        <w:rPr>
          <w:rFonts w:hint="eastAsia" w:ascii="宋体" w:hAnsi="宋体" w:cs="宋体"/>
          <w:spacing w:val="-6"/>
          <w:szCs w:val="21"/>
        </w:rPr>
        <w:t>2.不可抗力事件发生后，应立即书面通知对方，并寄送有关权威机构出具的证明。</w:t>
      </w:r>
    </w:p>
    <w:p>
      <w:pPr>
        <w:spacing w:line="360" w:lineRule="auto"/>
        <w:ind w:firstLine="396" w:firstLineChars="200"/>
        <w:rPr>
          <w:rFonts w:ascii="宋体" w:hAnsi="宋体" w:cs="宋体"/>
          <w:spacing w:val="-6"/>
          <w:szCs w:val="21"/>
        </w:rPr>
      </w:pPr>
      <w:r>
        <w:rPr>
          <w:rFonts w:hint="eastAsia" w:ascii="宋体" w:hAnsi="宋体" w:cs="宋体"/>
          <w:spacing w:val="-6"/>
          <w:szCs w:val="21"/>
        </w:rPr>
        <w:t>3.不可抗力事件延续20天以上，双方应通过友好协商，确定是否继续履行合同。</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第十一条：争议解决</w:t>
      </w:r>
    </w:p>
    <w:p>
      <w:pPr>
        <w:spacing w:line="360" w:lineRule="auto"/>
        <w:ind w:firstLine="396" w:firstLineChars="200"/>
        <w:rPr>
          <w:rFonts w:ascii="宋体" w:hAnsi="宋体" w:cs="宋体"/>
          <w:spacing w:val="-6"/>
          <w:kern w:val="0"/>
          <w:szCs w:val="21"/>
        </w:rPr>
      </w:pPr>
      <w:r>
        <w:rPr>
          <w:rFonts w:hint="eastAsia" w:ascii="宋体" w:hAnsi="宋体" w:cs="宋体"/>
          <w:spacing w:val="-6"/>
          <w:kern w:val="0"/>
          <w:szCs w:val="21"/>
        </w:rPr>
        <w:t>本合同未尽事宜及纠纷由四方协商解决，并签订书面协议，如协商不成，由甲方所在地人民法院诉讼解决。</w:t>
      </w:r>
    </w:p>
    <w:p>
      <w:pPr>
        <w:spacing w:line="360" w:lineRule="auto"/>
        <w:ind w:firstLine="398" w:firstLineChars="200"/>
        <w:rPr>
          <w:rFonts w:ascii="宋体" w:hAnsi="宋体" w:cs="宋体"/>
          <w:b/>
          <w:bCs/>
          <w:spacing w:val="-6"/>
          <w:szCs w:val="21"/>
        </w:rPr>
      </w:pPr>
      <w:r>
        <w:rPr>
          <w:rFonts w:hint="eastAsia" w:ascii="宋体" w:hAnsi="宋体" w:cs="宋体"/>
          <w:b/>
          <w:bCs/>
          <w:spacing w:val="-6"/>
          <w:szCs w:val="21"/>
        </w:rPr>
        <w:t>第十二条：合同生效</w:t>
      </w:r>
    </w:p>
    <w:p>
      <w:pPr>
        <w:snapToGrid w:val="0"/>
        <w:spacing w:line="360" w:lineRule="auto"/>
        <w:ind w:firstLine="396" w:firstLineChars="200"/>
        <w:rPr>
          <w:rFonts w:ascii="宋体" w:hAnsi="宋体" w:cs="宋体"/>
          <w:spacing w:val="-6"/>
          <w:szCs w:val="21"/>
        </w:rPr>
      </w:pPr>
      <w:r>
        <w:rPr>
          <w:rFonts w:hint="eastAsia" w:ascii="宋体" w:hAnsi="宋体" w:cs="宋体"/>
          <w:spacing w:val="-6"/>
          <w:szCs w:val="21"/>
        </w:rPr>
        <w:t>1．本合同经三方法定代表人或其授权委托人签字并加盖双方印章（合同专用章）之日起生效。</w:t>
      </w:r>
    </w:p>
    <w:p>
      <w:pPr>
        <w:spacing w:line="360" w:lineRule="auto"/>
        <w:ind w:firstLine="396" w:firstLineChars="200"/>
        <w:rPr>
          <w:rFonts w:ascii="宋体" w:hAnsi="宋体" w:cs="宋体"/>
          <w:spacing w:val="-6"/>
          <w:szCs w:val="21"/>
        </w:rPr>
      </w:pPr>
      <w:r>
        <w:rPr>
          <w:rFonts w:hint="eastAsia" w:ascii="宋体" w:hAnsi="宋体" w:cs="宋体"/>
          <w:spacing w:val="-6"/>
          <w:szCs w:val="21"/>
        </w:rPr>
        <w:t>2．本合同一式 伍份，甲方执 贰份，乙方执 壹 份，丙方执 壹 份，具有同等法律效力。</w:t>
      </w:r>
    </w:p>
    <w:p>
      <w:pPr>
        <w:spacing w:line="360" w:lineRule="auto"/>
        <w:ind w:firstLine="396" w:firstLineChars="200"/>
        <w:rPr>
          <w:rFonts w:ascii="宋体" w:hAnsi="宋体" w:cs="宋体"/>
          <w:spacing w:val="-6"/>
          <w:szCs w:val="21"/>
        </w:rPr>
      </w:pPr>
      <w:r>
        <w:rPr>
          <w:rFonts w:hint="eastAsia" w:ascii="宋体" w:hAnsi="宋体" w:cs="宋体"/>
          <w:spacing w:val="-6"/>
          <w:szCs w:val="21"/>
        </w:rPr>
        <w:t>3．下列文件为本合同的组成部分，并构成一个整体，需综合解释、相互补充。如果下列文件内容出现不一致的情形，在保证按照采购文件确定的事项的前提下，组成本合同的多个文件的优先适用顺序如下：</w:t>
      </w:r>
    </w:p>
    <w:p>
      <w:pPr>
        <w:spacing w:line="360" w:lineRule="auto"/>
        <w:ind w:firstLine="396" w:firstLineChars="200"/>
        <w:rPr>
          <w:rFonts w:ascii="宋体" w:hAnsi="宋体" w:cs="宋体"/>
          <w:spacing w:val="-6"/>
          <w:szCs w:val="21"/>
        </w:rPr>
      </w:pPr>
      <w:r>
        <w:rPr>
          <w:rFonts w:hint="eastAsia" w:ascii="宋体" w:hAnsi="宋体" w:cs="宋体"/>
          <w:spacing w:val="-6"/>
          <w:szCs w:val="21"/>
        </w:rPr>
        <w:t>3.1.1 本合同及其补充合同、变更协议；</w:t>
      </w:r>
    </w:p>
    <w:p>
      <w:pPr>
        <w:spacing w:line="360" w:lineRule="auto"/>
        <w:ind w:firstLine="396" w:firstLineChars="200"/>
        <w:rPr>
          <w:rFonts w:ascii="宋体" w:hAnsi="宋体" w:cs="宋体"/>
          <w:spacing w:val="-6"/>
          <w:szCs w:val="21"/>
        </w:rPr>
      </w:pPr>
      <w:r>
        <w:rPr>
          <w:rFonts w:hint="eastAsia" w:ascii="宋体" w:hAnsi="宋体" w:cs="宋体"/>
          <w:spacing w:val="-6"/>
          <w:szCs w:val="21"/>
        </w:rPr>
        <w:t>3.1.2 中标通知书；</w:t>
      </w:r>
    </w:p>
    <w:p>
      <w:pPr>
        <w:spacing w:line="360" w:lineRule="auto"/>
        <w:ind w:firstLine="396" w:firstLineChars="200"/>
        <w:rPr>
          <w:rFonts w:ascii="宋体" w:hAnsi="宋体" w:cs="宋体"/>
          <w:spacing w:val="-6"/>
          <w:szCs w:val="21"/>
        </w:rPr>
      </w:pPr>
      <w:r>
        <w:rPr>
          <w:rFonts w:hint="eastAsia" w:ascii="宋体" w:hAnsi="宋体" w:cs="宋体"/>
          <w:spacing w:val="-6"/>
          <w:szCs w:val="21"/>
        </w:rPr>
        <w:t>3.1.3 投标文件（含澄清或者说明文件）；</w:t>
      </w:r>
    </w:p>
    <w:p>
      <w:pPr>
        <w:spacing w:line="360" w:lineRule="auto"/>
        <w:ind w:firstLine="396" w:firstLineChars="200"/>
        <w:rPr>
          <w:rFonts w:ascii="宋体" w:hAnsi="宋体" w:cs="宋体"/>
          <w:spacing w:val="-6"/>
          <w:szCs w:val="21"/>
        </w:rPr>
      </w:pPr>
      <w:r>
        <w:rPr>
          <w:rFonts w:hint="eastAsia" w:ascii="宋体" w:hAnsi="宋体" w:cs="宋体"/>
          <w:spacing w:val="-6"/>
          <w:szCs w:val="21"/>
        </w:rPr>
        <w:t>3.1.4 招标文件（含澄清或者修改文件）；</w:t>
      </w:r>
    </w:p>
    <w:p>
      <w:pPr>
        <w:spacing w:line="360" w:lineRule="auto"/>
        <w:ind w:firstLine="396" w:firstLineChars="200"/>
        <w:rPr>
          <w:rFonts w:ascii="宋体" w:hAnsi="宋体" w:cs="宋体"/>
          <w:spacing w:val="-6"/>
          <w:szCs w:val="21"/>
        </w:rPr>
      </w:pPr>
      <w:r>
        <w:rPr>
          <w:rFonts w:hint="eastAsia" w:ascii="宋体" w:hAnsi="宋体" w:cs="宋体"/>
          <w:spacing w:val="-6"/>
          <w:szCs w:val="21"/>
        </w:rPr>
        <w:t>3.1.5 其他相关采购文件。</w:t>
      </w:r>
    </w:p>
    <w:p>
      <w:pPr>
        <w:spacing w:line="360" w:lineRule="auto"/>
        <w:ind w:firstLine="420" w:firstLineChars="200"/>
        <w:rPr>
          <w:rFonts w:ascii="宋体" w:hAnsi="宋体"/>
          <w:snapToGrid w:val="0"/>
          <w:szCs w:val="21"/>
        </w:rPr>
      </w:pPr>
    </w:p>
    <w:p>
      <w:pPr>
        <w:spacing w:line="360" w:lineRule="auto"/>
        <w:ind w:firstLine="420" w:firstLineChars="200"/>
        <w:rPr>
          <w:rFonts w:ascii="宋体" w:hAnsi="宋体"/>
          <w:snapToGrid w:val="0"/>
          <w:szCs w:val="21"/>
        </w:rPr>
      </w:pPr>
    </w:p>
    <w:p>
      <w:pPr>
        <w:snapToGrid w:val="0"/>
        <w:spacing w:line="360" w:lineRule="auto"/>
        <w:ind w:firstLine="420" w:firstLineChars="200"/>
        <w:rPr>
          <w:rFonts w:ascii="宋体" w:hAnsi="宋体"/>
          <w:snapToGrid w:val="0"/>
          <w:szCs w:val="21"/>
        </w:rPr>
      </w:pPr>
      <w:r>
        <w:rPr>
          <w:rFonts w:hint="eastAsia" w:ascii="宋体" w:hAnsi="宋体"/>
          <w:snapToGrid w:val="0"/>
          <w:szCs w:val="21"/>
        </w:rPr>
        <w:t>甲方（公章）：</w:t>
      </w:r>
      <w:r>
        <w:rPr>
          <w:rFonts w:hint="eastAsia" w:ascii="宋体" w:hAnsi="宋体"/>
          <w:b/>
          <w:snapToGrid w:val="0"/>
          <w:szCs w:val="21"/>
        </w:rPr>
        <w:t>杭州师范大学</w:t>
      </w:r>
    </w:p>
    <w:p>
      <w:pPr>
        <w:snapToGrid w:val="0"/>
        <w:spacing w:line="360" w:lineRule="auto"/>
        <w:ind w:firstLine="420" w:firstLineChars="200"/>
        <w:rPr>
          <w:rFonts w:ascii="宋体" w:hAnsi="宋体"/>
          <w:snapToGrid w:val="0"/>
          <w:szCs w:val="21"/>
        </w:rPr>
      </w:pPr>
      <w:r>
        <w:rPr>
          <w:rFonts w:hint="eastAsia" w:ascii="宋体" w:hAnsi="宋体"/>
          <w:snapToGrid w:val="0"/>
          <w:szCs w:val="21"/>
        </w:rPr>
        <w:t>法定代表人或授权委托人：</w:t>
      </w:r>
    </w:p>
    <w:p>
      <w:pPr>
        <w:snapToGrid w:val="0"/>
        <w:spacing w:line="360" w:lineRule="auto"/>
        <w:ind w:firstLine="420" w:firstLineChars="200"/>
        <w:rPr>
          <w:rFonts w:ascii="宋体" w:hAnsi="宋体"/>
          <w:snapToGrid w:val="0"/>
          <w:szCs w:val="21"/>
        </w:rPr>
      </w:pPr>
      <w:r>
        <w:rPr>
          <w:rFonts w:hint="eastAsia" w:ascii="宋体" w:hAnsi="宋体"/>
          <w:snapToGrid w:val="0"/>
          <w:szCs w:val="21"/>
        </w:rPr>
        <w:t>邮编：311121</w:t>
      </w:r>
    </w:p>
    <w:p>
      <w:pPr>
        <w:spacing w:line="360" w:lineRule="auto"/>
        <w:ind w:firstLine="420" w:firstLineChars="200"/>
        <w:rPr>
          <w:rFonts w:ascii="宋体" w:hAnsi="宋体"/>
          <w:snapToGrid w:val="0"/>
          <w:szCs w:val="21"/>
        </w:rPr>
      </w:pPr>
      <w:r>
        <w:rPr>
          <w:rFonts w:hint="eastAsia" w:ascii="宋体" w:hAnsi="宋体"/>
          <w:snapToGrid w:val="0"/>
          <w:szCs w:val="21"/>
        </w:rPr>
        <w:t>使用部门联系人：</w:t>
      </w:r>
      <w:r>
        <w:rPr>
          <w:rFonts w:ascii="宋体" w:hAnsi="宋体"/>
          <w:snapToGrid w:val="0"/>
          <w:szCs w:val="21"/>
        </w:rPr>
        <w:t xml:space="preserve"> </w:t>
      </w:r>
    </w:p>
    <w:p>
      <w:pPr>
        <w:snapToGrid w:val="0"/>
        <w:spacing w:line="360" w:lineRule="auto"/>
        <w:ind w:firstLine="420" w:firstLineChars="200"/>
        <w:rPr>
          <w:rFonts w:ascii="宋体" w:hAnsi="宋体"/>
          <w:snapToGrid w:val="0"/>
          <w:szCs w:val="21"/>
        </w:rPr>
      </w:pPr>
      <w:r>
        <w:rPr>
          <w:rFonts w:hint="eastAsia" w:ascii="宋体" w:hAnsi="宋体"/>
          <w:snapToGrid w:val="0"/>
          <w:szCs w:val="21"/>
        </w:rPr>
        <w:t>电话：0571-2886</w:t>
      </w:r>
    </w:p>
    <w:p>
      <w:pPr>
        <w:snapToGrid w:val="0"/>
        <w:spacing w:line="360" w:lineRule="auto"/>
        <w:ind w:firstLine="420" w:firstLineChars="200"/>
        <w:rPr>
          <w:rFonts w:ascii="宋体" w:hAnsi="宋体"/>
          <w:snapToGrid w:val="0"/>
          <w:szCs w:val="21"/>
        </w:rPr>
      </w:pPr>
      <w:r>
        <w:rPr>
          <w:rFonts w:hint="eastAsia" w:ascii="宋体" w:hAnsi="宋体"/>
          <w:snapToGrid w:val="0"/>
          <w:szCs w:val="21"/>
        </w:rPr>
        <w:t>传真：0571-2886</w:t>
      </w:r>
    </w:p>
    <w:p>
      <w:pPr>
        <w:spacing w:line="360" w:lineRule="auto"/>
        <w:ind w:firstLine="420" w:firstLineChars="200"/>
        <w:rPr>
          <w:rFonts w:ascii="宋体" w:hAnsi="宋体"/>
          <w:snapToGrid w:val="0"/>
          <w:szCs w:val="21"/>
        </w:rPr>
      </w:pPr>
      <w:r>
        <w:rPr>
          <w:rFonts w:hint="eastAsia" w:ascii="宋体" w:hAnsi="宋体"/>
          <w:snapToGrid w:val="0"/>
          <w:szCs w:val="21"/>
        </w:rPr>
        <w:t xml:space="preserve">采购中心联系人：汪涌海 </w:t>
      </w:r>
    </w:p>
    <w:p>
      <w:pPr>
        <w:spacing w:line="360" w:lineRule="auto"/>
        <w:ind w:firstLine="420" w:firstLineChars="200"/>
        <w:rPr>
          <w:rFonts w:ascii="宋体" w:hAnsi="宋体"/>
          <w:snapToGrid w:val="0"/>
          <w:szCs w:val="21"/>
        </w:rPr>
      </w:pPr>
      <w:r>
        <w:rPr>
          <w:rFonts w:hint="eastAsia" w:ascii="宋体" w:hAnsi="宋体"/>
          <w:snapToGrid w:val="0"/>
          <w:szCs w:val="21"/>
        </w:rPr>
        <w:t>电话：28865850</w:t>
      </w:r>
    </w:p>
    <w:p>
      <w:pPr>
        <w:snapToGrid w:val="0"/>
        <w:spacing w:line="360" w:lineRule="auto"/>
        <w:ind w:firstLine="420" w:firstLineChars="200"/>
        <w:rPr>
          <w:rFonts w:ascii="宋体" w:hAnsi="宋体"/>
          <w:snapToGrid w:val="0"/>
          <w:szCs w:val="21"/>
        </w:rPr>
      </w:pPr>
      <w:r>
        <w:rPr>
          <w:rFonts w:hint="eastAsia" w:ascii="宋体" w:hAnsi="宋体"/>
          <w:snapToGrid w:val="0"/>
          <w:szCs w:val="21"/>
        </w:rPr>
        <w:t>附：增值税专用发票开票资料</w:t>
      </w:r>
    </w:p>
    <w:p>
      <w:pPr>
        <w:snapToGrid w:val="0"/>
        <w:spacing w:line="360" w:lineRule="auto"/>
        <w:ind w:firstLine="420" w:firstLineChars="200"/>
        <w:rPr>
          <w:rFonts w:ascii="宋体" w:hAnsi="宋体"/>
          <w:snapToGrid w:val="0"/>
          <w:szCs w:val="21"/>
        </w:rPr>
      </w:pPr>
      <w:r>
        <w:rPr>
          <w:rFonts w:hint="eastAsia" w:ascii="宋体" w:hAnsi="宋体"/>
          <w:snapToGrid w:val="0"/>
          <w:szCs w:val="21"/>
        </w:rPr>
        <w:t xml:space="preserve">纳税人：杭州师范大学                  </w:t>
      </w:r>
    </w:p>
    <w:p>
      <w:pPr>
        <w:snapToGrid w:val="0"/>
        <w:spacing w:line="360" w:lineRule="auto"/>
        <w:ind w:firstLine="420" w:firstLineChars="200"/>
        <w:rPr>
          <w:rFonts w:ascii="宋体" w:hAnsi="宋体"/>
          <w:snapToGrid w:val="0"/>
          <w:szCs w:val="21"/>
        </w:rPr>
      </w:pPr>
      <w:r>
        <w:rPr>
          <w:rFonts w:hint="eastAsia" w:ascii="宋体" w:hAnsi="宋体"/>
          <w:snapToGrid w:val="0"/>
          <w:szCs w:val="21"/>
        </w:rPr>
        <w:t>地址：浙江省杭州市余杭区仓前街道余杭塘路2318号</w:t>
      </w:r>
    </w:p>
    <w:p>
      <w:pPr>
        <w:snapToGrid w:val="0"/>
        <w:spacing w:line="360" w:lineRule="auto"/>
        <w:ind w:firstLine="420" w:firstLineChars="200"/>
        <w:rPr>
          <w:rFonts w:ascii="宋体" w:hAnsi="宋体"/>
          <w:snapToGrid w:val="0"/>
          <w:szCs w:val="21"/>
        </w:rPr>
      </w:pPr>
      <w:r>
        <w:rPr>
          <w:rFonts w:hint="eastAsia" w:ascii="宋体" w:hAnsi="宋体"/>
          <w:snapToGrid w:val="0"/>
          <w:szCs w:val="21"/>
        </w:rPr>
        <w:t xml:space="preserve">统一社会信息代码（税号）：12330100470103303W  </w:t>
      </w:r>
    </w:p>
    <w:p>
      <w:pPr>
        <w:snapToGrid w:val="0"/>
        <w:spacing w:line="360" w:lineRule="auto"/>
        <w:ind w:firstLine="420" w:firstLineChars="200"/>
        <w:rPr>
          <w:rFonts w:ascii="宋体" w:hAnsi="宋体"/>
          <w:snapToGrid w:val="0"/>
          <w:szCs w:val="21"/>
        </w:rPr>
      </w:pPr>
      <w:r>
        <w:rPr>
          <w:rFonts w:hint="eastAsia" w:ascii="宋体" w:hAnsi="宋体"/>
          <w:snapToGrid w:val="0"/>
          <w:szCs w:val="21"/>
        </w:rPr>
        <w:t xml:space="preserve">学校财务政策咨询电话：28869903 </w:t>
      </w:r>
      <w:r>
        <w:rPr>
          <w:rFonts w:ascii="宋体" w:hAnsi="宋体"/>
          <w:snapToGrid w:val="0"/>
          <w:szCs w:val="21"/>
        </w:rPr>
        <w:t xml:space="preserve">    </w:t>
      </w:r>
      <w:r>
        <w:rPr>
          <w:rFonts w:hint="eastAsia" w:ascii="宋体" w:hAnsi="宋体"/>
          <w:snapToGrid w:val="0"/>
          <w:szCs w:val="21"/>
        </w:rPr>
        <w:t xml:space="preserve"> 财务报销电话：28869738     </w:t>
      </w:r>
    </w:p>
    <w:p>
      <w:pPr>
        <w:snapToGrid w:val="0"/>
        <w:spacing w:line="360" w:lineRule="auto"/>
        <w:ind w:firstLine="420" w:firstLineChars="200"/>
        <w:rPr>
          <w:rFonts w:ascii="宋体" w:hAnsi="宋体"/>
          <w:snapToGrid w:val="0"/>
          <w:szCs w:val="21"/>
        </w:rPr>
      </w:pPr>
      <w:r>
        <w:rPr>
          <w:rFonts w:hint="eastAsia" w:ascii="宋体" w:hAnsi="宋体"/>
          <w:snapToGrid w:val="0"/>
          <w:szCs w:val="21"/>
        </w:rPr>
        <w:t>开户银行：交通银行杭州下沙支行</w:t>
      </w:r>
      <w:r>
        <w:rPr>
          <w:rFonts w:hint="eastAsia" w:ascii="宋体" w:hAnsi="宋体"/>
          <w:snapToGrid w:val="0"/>
          <w:szCs w:val="21"/>
        </w:rPr>
        <w:tab/>
      </w:r>
    </w:p>
    <w:p>
      <w:pPr>
        <w:snapToGrid w:val="0"/>
        <w:spacing w:line="360" w:lineRule="auto"/>
        <w:ind w:firstLine="420" w:firstLineChars="200"/>
        <w:rPr>
          <w:rFonts w:ascii="宋体" w:hAnsi="宋体"/>
          <w:snapToGrid w:val="0"/>
          <w:szCs w:val="21"/>
        </w:rPr>
      </w:pPr>
      <w:r>
        <w:rPr>
          <w:rFonts w:hint="eastAsia" w:ascii="宋体" w:hAnsi="宋体"/>
          <w:snapToGrid w:val="0"/>
          <w:szCs w:val="21"/>
        </w:rPr>
        <w:t>账号：331065950018000482533</w:t>
      </w:r>
      <w:r>
        <w:rPr>
          <w:rFonts w:hint="eastAsia" w:ascii="宋体" w:hAnsi="宋体"/>
          <w:snapToGrid w:val="0"/>
          <w:szCs w:val="21"/>
        </w:rPr>
        <w:tab/>
      </w:r>
    </w:p>
    <w:p>
      <w:pPr>
        <w:spacing w:line="360" w:lineRule="auto"/>
        <w:ind w:firstLine="420" w:firstLineChars="200"/>
        <w:rPr>
          <w:rFonts w:ascii="宋体" w:hAnsi="宋体"/>
          <w:snapToGrid w:val="0"/>
          <w:szCs w:val="21"/>
        </w:rPr>
      </w:pPr>
    </w:p>
    <w:p>
      <w:pPr>
        <w:spacing w:line="360" w:lineRule="auto"/>
        <w:ind w:firstLine="420" w:firstLineChars="200"/>
        <w:rPr>
          <w:rFonts w:ascii="宋体" w:hAnsi="宋体"/>
          <w:snapToGrid w:val="0"/>
          <w:szCs w:val="21"/>
        </w:rPr>
      </w:pPr>
    </w:p>
    <w:p>
      <w:pPr>
        <w:spacing w:line="360" w:lineRule="auto"/>
        <w:ind w:firstLine="422" w:firstLineChars="200"/>
        <w:rPr>
          <w:rFonts w:ascii="宋体" w:hAnsi="宋体"/>
          <w:b/>
          <w:bCs/>
          <w:snapToGrid w:val="0"/>
          <w:szCs w:val="21"/>
        </w:rPr>
      </w:pPr>
      <w:r>
        <w:rPr>
          <w:rFonts w:hint="eastAsia" w:ascii="宋体" w:hAnsi="宋体"/>
          <w:b/>
          <w:bCs/>
          <w:snapToGrid w:val="0"/>
          <w:szCs w:val="21"/>
        </w:rPr>
        <w:t>乙方（公章）：</w:t>
      </w:r>
      <w:r>
        <w:rPr>
          <w:rFonts w:ascii="宋体" w:hAnsi="宋体"/>
          <w:b/>
          <w:bCs/>
          <w:snapToGrid w:val="0"/>
          <w:szCs w:val="21"/>
        </w:rPr>
        <w:t xml:space="preserve"> </w:t>
      </w:r>
    </w:p>
    <w:p>
      <w:pPr>
        <w:spacing w:line="360" w:lineRule="auto"/>
        <w:ind w:firstLine="420" w:firstLineChars="200"/>
        <w:rPr>
          <w:rFonts w:ascii="宋体" w:hAnsi="宋体"/>
          <w:snapToGrid w:val="0"/>
          <w:szCs w:val="21"/>
        </w:rPr>
      </w:pPr>
      <w:r>
        <w:rPr>
          <w:rFonts w:hint="eastAsia" w:ascii="宋体" w:hAnsi="宋体"/>
          <w:snapToGrid w:val="0"/>
          <w:szCs w:val="21"/>
        </w:rPr>
        <w:t>法定代表人或授权委托人：纸质合同上必须亲笔签名</w:t>
      </w:r>
    </w:p>
    <w:p>
      <w:pPr>
        <w:spacing w:line="360" w:lineRule="auto"/>
        <w:ind w:firstLine="420" w:firstLineChars="200"/>
        <w:rPr>
          <w:rFonts w:ascii="宋体" w:hAnsi="宋体"/>
          <w:snapToGrid w:val="0"/>
          <w:szCs w:val="21"/>
        </w:rPr>
      </w:pPr>
      <w:r>
        <w:rPr>
          <w:rFonts w:hint="eastAsia" w:ascii="宋体" w:hAnsi="宋体"/>
          <w:snapToGrid w:val="0"/>
          <w:szCs w:val="21"/>
        </w:rPr>
        <w:t>地址：</w:t>
      </w:r>
    </w:p>
    <w:p>
      <w:pPr>
        <w:spacing w:line="360" w:lineRule="auto"/>
        <w:ind w:firstLine="420" w:firstLineChars="200"/>
        <w:rPr>
          <w:rFonts w:ascii="宋体" w:hAnsi="宋体"/>
          <w:snapToGrid w:val="0"/>
          <w:szCs w:val="21"/>
        </w:rPr>
      </w:pPr>
      <w:r>
        <w:rPr>
          <w:rFonts w:hint="eastAsia" w:ascii="宋体" w:hAnsi="宋体"/>
          <w:snapToGrid w:val="0"/>
          <w:szCs w:val="21"/>
        </w:rPr>
        <w:t>邮编：</w:t>
      </w:r>
    </w:p>
    <w:p>
      <w:pPr>
        <w:spacing w:line="360" w:lineRule="auto"/>
        <w:ind w:firstLine="420" w:firstLineChars="200"/>
        <w:rPr>
          <w:rFonts w:ascii="宋体" w:hAnsi="宋体"/>
          <w:snapToGrid w:val="0"/>
          <w:szCs w:val="21"/>
        </w:rPr>
      </w:pPr>
      <w:r>
        <w:rPr>
          <w:rFonts w:hint="eastAsia" w:ascii="宋体" w:hAnsi="宋体"/>
          <w:snapToGrid w:val="0"/>
          <w:szCs w:val="21"/>
        </w:rPr>
        <w:t>统一社会信息代码（税号）:</w:t>
      </w:r>
    </w:p>
    <w:p>
      <w:pPr>
        <w:spacing w:line="360" w:lineRule="auto"/>
        <w:ind w:firstLine="420" w:firstLineChars="200"/>
        <w:rPr>
          <w:rFonts w:ascii="宋体" w:hAnsi="宋体"/>
          <w:snapToGrid w:val="0"/>
          <w:szCs w:val="21"/>
        </w:rPr>
      </w:pPr>
      <w:r>
        <w:rPr>
          <w:rFonts w:hint="eastAsia" w:ascii="宋体" w:hAnsi="宋体"/>
          <w:snapToGrid w:val="0"/>
          <w:szCs w:val="21"/>
        </w:rPr>
        <w:t>联系人：</w:t>
      </w:r>
    </w:p>
    <w:p>
      <w:pPr>
        <w:spacing w:line="360" w:lineRule="auto"/>
        <w:ind w:firstLine="420" w:firstLineChars="200"/>
        <w:rPr>
          <w:rFonts w:ascii="宋体" w:hAnsi="宋体"/>
          <w:snapToGrid w:val="0"/>
          <w:szCs w:val="21"/>
        </w:rPr>
      </w:pPr>
      <w:r>
        <w:rPr>
          <w:rFonts w:hint="eastAsia" w:ascii="宋体" w:hAnsi="宋体"/>
          <w:snapToGrid w:val="0"/>
          <w:szCs w:val="21"/>
        </w:rPr>
        <w:t>电话：          手机：</w:t>
      </w:r>
      <w:r>
        <w:rPr>
          <w:rFonts w:ascii="宋体" w:hAnsi="宋体"/>
          <w:snapToGrid w:val="0"/>
          <w:szCs w:val="21"/>
        </w:rPr>
        <w:t xml:space="preserve"> </w:t>
      </w:r>
    </w:p>
    <w:p>
      <w:pPr>
        <w:spacing w:line="360" w:lineRule="auto"/>
        <w:ind w:firstLine="420" w:firstLineChars="200"/>
        <w:rPr>
          <w:rFonts w:ascii="宋体" w:hAnsi="宋体"/>
          <w:snapToGrid w:val="0"/>
          <w:szCs w:val="21"/>
        </w:rPr>
      </w:pPr>
      <w:r>
        <w:rPr>
          <w:rFonts w:hint="eastAsia" w:ascii="宋体" w:hAnsi="宋体"/>
          <w:snapToGrid w:val="0"/>
          <w:szCs w:val="21"/>
        </w:rPr>
        <w:t>传真：</w:t>
      </w:r>
    </w:p>
    <w:p>
      <w:pPr>
        <w:spacing w:line="360" w:lineRule="auto"/>
        <w:ind w:firstLine="420" w:firstLineChars="200"/>
        <w:rPr>
          <w:rFonts w:ascii="宋体" w:hAnsi="宋体"/>
          <w:snapToGrid w:val="0"/>
          <w:szCs w:val="21"/>
        </w:rPr>
      </w:pPr>
      <w:r>
        <w:rPr>
          <w:rFonts w:hint="eastAsia" w:ascii="宋体" w:hAnsi="宋体"/>
          <w:snapToGrid w:val="0"/>
          <w:szCs w:val="21"/>
        </w:rPr>
        <w:t>开户银行：</w:t>
      </w:r>
    </w:p>
    <w:p>
      <w:pPr>
        <w:spacing w:line="360" w:lineRule="auto"/>
        <w:ind w:firstLine="420" w:firstLineChars="200"/>
        <w:rPr>
          <w:rFonts w:ascii="宋体" w:hAnsi="宋体"/>
          <w:snapToGrid w:val="0"/>
          <w:szCs w:val="21"/>
        </w:rPr>
      </w:pPr>
      <w:r>
        <w:rPr>
          <w:rFonts w:hint="eastAsia" w:ascii="宋体" w:hAnsi="宋体"/>
          <w:snapToGrid w:val="0"/>
          <w:szCs w:val="21"/>
        </w:rPr>
        <w:t>账号：</w:t>
      </w:r>
    </w:p>
    <w:p>
      <w:pPr>
        <w:spacing w:line="360" w:lineRule="auto"/>
        <w:ind w:firstLine="420" w:firstLineChars="200"/>
        <w:rPr>
          <w:rFonts w:ascii="宋体" w:hAnsi="宋体"/>
          <w:snapToGrid w:val="0"/>
          <w:szCs w:val="21"/>
        </w:rPr>
      </w:pPr>
    </w:p>
    <w:p>
      <w:pPr>
        <w:spacing w:line="360" w:lineRule="auto"/>
        <w:ind w:firstLine="422" w:firstLineChars="200"/>
        <w:rPr>
          <w:rFonts w:ascii="宋体" w:hAnsi="宋体"/>
          <w:b/>
          <w:bCs/>
          <w:snapToGrid w:val="0"/>
          <w:szCs w:val="21"/>
        </w:rPr>
      </w:pPr>
      <w:r>
        <w:rPr>
          <w:rFonts w:hint="eastAsia" w:ascii="宋体" w:hAnsi="宋体"/>
          <w:b/>
          <w:bCs/>
          <w:snapToGrid w:val="0"/>
          <w:szCs w:val="21"/>
        </w:rPr>
        <w:t>丙方（公章）：</w:t>
      </w:r>
      <w:r>
        <w:rPr>
          <w:rFonts w:ascii="宋体" w:hAnsi="宋体"/>
          <w:b/>
          <w:bCs/>
          <w:snapToGrid w:val="0"/>
          <w:szCs w:val="21"/>
        </w:rPr>
        <w:t xml:space="preserve"> </w:t>
      </w:r>
      <w:r>
        <w:rPr>
          <w:rFonts w:hint="eastAsia" w:ascii="宋体" w:hAnsi="宋体"/>
          <w:b/>
          <w:bCs/>
          <w:snapToGrid w:val="0"/>
          <w:szCs w:val="21"/>
        </w:rPr>
        <w:t>浙江省科学器材进出口有限责任公司</w:t>
      </w:r>
    </w:p>
    <w:p>
      <w:pPr>
        <w:spacing w:line="360" w:lineRule="auto"/>
        <w:ind w:firstLine="420" w:firstLineChars="200"/>
        <w:rPr>
          <w:rFonts w:ascii="宋体" w:hAnsi="宋体"/>
          <w:snapToGrid w:val="0"/>
          <w:szCs w:val="21"/>
        </w:rPr>
      </w:pPr>
      <w:r>
        <w:rPr>
          <w:rFonts w:hint="eastAsia" w:ascii="宋体" w:hAnsi="宋体"/>
          <w:snapToGrid w:val="0"/>
          <w:szCs w:val="21"/>
        </w:rPr>
        <w:t>法定代表人或授权委托人：纸质合同上必须亲笔签名</w:t>
      </w:r>
    </w:p>
    <w:p>
      <w:pPr>
        <w:spacing w:line="360" w:lineRule="auto"/>
        <w:ind w:firstLine="420" w:firstLineChars="200"/>
        <w:rPr>
          <w:rFonts w:ascii="宋体" w:hAnsi="宋体"/>
          <w:snapToGrid w:val="0"/>
          <w:szCs w:val="21"/>
        </w:rPr>
      </w:pPr>
      <w:r>
        <w:rPr>
          <w:rFonts w:hint="eastAsia" w:ascii="宋体" w:hAnsi="宋体"/>
          <w:snapToGrid w:val="0"/>
          <w:szCs w:val="21"/>
        </w:rPr>
        <w:t>地址：杭州市西湖区天目山路9</w:t>
      </w:r>
      <w:r>
        <w:rPr>
          <w:rFonts w:ascii="宋体" w:hAnsi="宋体"/>
          <w:snapToGrid w:val="0"/>
          <w:szCs w:val="21"/>
        </w:rPr>
        <w:t>7</w:t>
      </w:r>
      <w:r>
        <w:rPr>
          <w:rFonts w:hint="eastAsia" w:ascii="宋体" w:hAnsi="宋体"/>
          <w:snapToGrid w:val="0"/>
          <w:szCs w:val="21"/>
        </w:rPr>
        <w:t>号</w:t>
      </w:r>
    </w:p>
    <w:p>
      <w:pPr>
        <w:spacing w:line="360" w:lineRule="auto"/>
        <w:ind w:firstLine="420" w:firstLineChars="200"/>
        <w:rPr>
          <w:rFonts w:ascii="宋体" w:hAnsi="宋体"/>
          <w:snapToGrid w:val="0"/>
          <w:szCs w:val="21"/>
        </w:rPr>
      </w:pPr>
      <w:r>
        <w:rPr>
          <w:rFonts w:hint="eastAsia" w:ascii="宋体" w:hAnsi="宋体"/>
          <w:snapToGrid w:val="0"/>
          <w:szCs w:val="21"/>
        </w:rPr>
        <w:t>邮编：3</w:t>
      </w:r>
      <w:r>
        <w:rPr>
          <w:rFonts w:ascii="宋体" w:hAnsi="宋体"/>
          <w:snapToGrid w:val="0"/>
          <w:szCs w:val="21"/>
        </w:rPr>
        <w:t>10007</w:t>
      </w:r>
    </w:p>
    <w:p>
      <w:pPr>
        <w:spacing w:line="360" w:lineRule="auto"/>
        <w:ind w:firstLine="420" w:firstLineChars="200"/>
        <w:rPr>
          <w:rFonts w:ascii="宋体" w:hAnsi="宋体"/>
          <w:snapToGrid w:val="0"/>
          <w:szCs w:val="21"/>
        </w:rPr>
      </w:pPr>
      <w:r>
        <w:rPr>
          <w:rFonts w:hint="eastAsia" w:ascii="宋体" w:hAnsi="宋体"/>
          <w:snapToGrid w:val="0"/>
          <w:szCs w:val="21"/>
        </w:rPr>
        <w:t>统一社会信息代码（税号）:</w:t>
      </w:r>
      <w:r>
        <w:rPr>
          <w:rFonts w:ascii="宋体" w:hAnsi="宋体"/>
          <w:snapToGrid w:val="0"/>
          <w:szCs w:val="21"/>
        </w:rPr>
        <w:t>91330000142931038M</w:t>
      </w:r>
    </w:p>
    <w:p>
      <w:pPr>
        <w:spacing w:line="360" w:lineRule="auto"/>
        <w:ind w:firstLine="420" w:firstLineChars="200"/>
        <w:rPr>
          <w:rFonts w:ascii="宋体" w:hAnsi="宋体"/>
          <w:snapToGrid w:val="0"/>
          <w:szCs w:val="21"/>
        </w:rPr>
      </w:pPr>
      <w:r>
        <w:rPr>
          <w:rFonts w:hint="eastAsia" w:ascii="宋体" w:hAnsi="宋体"/>
          <w:snapToGrid w:val="0"/>
          <w:szCs w:val="21"/>
        </w:rPr>
        <w:t>联系人：管旦凤</w:t>
      </w:r>
    </w:p>
    <w:p>
      <w:pPr>
        <w:spacing w:line="360" w:lineRule="auto"/>
        <w:ind w:firstLine="420" w:firstLineChars="200"/>
        <w:rPr>
          <w:rFonts w:ascii="宋体" w:hAnsi="宋体"/>
          <w:snapToGrid w:val="0"/>
          <w:szCs w:val="21"/>
        </w:rPr>
      </w:pPr>
      <w:r>
        <w:rPr>
          <w:rFonts w:hint="eastAsia" w:ascii="宋体" w:hAnsi="宋体"/>
          <w:snapToGrid w:val="0"/>
          <w:szCs w:val="21"/>
        </w:rPr>
        <w:t>电话：0</w:t>
      </w:r>
      <w:r>
        <w:rPr>
          <w:rFonts w:ascii="宋体" w:hAnsi="宋体"/>
          <w:snapToGrid w:val="0"/>
          <w:szCs w:val="21"/>
        </w:rPr>
        <w:t>57187967117</w:t>
      </w:r>
      <w:r>
        <w:rPr>
          <w:rFonts w:hint="eastAsia" w:ascii="宋体" w:hAnsi="宋体"/>
          <w:snapToGrid w:val="0"/>
          <w:szCs w:val="21"/>
        </w:rPr>
        <w:t xml:space="preserve">          手机：</w:t>
      </w:r>
      <w:r>
        <w:rPr>
          <w:rFonts w:ascii="宋体" w:hAnsi="宋体"/>
          <w:snapToGrid w:val="0"/>
          <w:szCs w:val="21"/>
        </w:rPr>
        <w:t xml:space="preserve"> 13758150914</w:t>
      </w:r>
    </w:p>
    <w:p>
      <w:pPr>
        <w:spacing w:line="360" w:lineRule="auto"/>
        <w:ind w:firstLine="420" w:firstLineChars="200"/>
        <w:rPr>
          <w:rFonts w:ascii="宋体" w:hAnsi="宋体"/>
          <w:snapToGrid w:val="0"/>
          <w:szCs w:val="21"/>
        </w:rPr>
      </w:pPr>
      <w:r>
        <w:rPr>
          <w:rFonts w:hint="eastAsia" w:ascii="宋体" w:hAnsi="宋体"/>
          <w:snapToGrid w:val="0"/>
          <w:szCs w:val="21"/>
        </w:rPr>
        <w:t>传真：</w:t>
      </w:r>
    </w:p>
    <w:p>
      <w:pPr>
        <w:spacing w:line="360" w:lineRule="auto"/>
        <w:ind w:firstLine="420" w:firstLineChars="200"/>
        <w:rPr>
          <w:rFonts w:ascii="宋体" w:hAnsi="宋体"/>
          <w:snapToGrid w:val="0"/>
          <w:szCs w:val="21"/>
        </w:rPr>
      </w:pPr>
      <w:r>
        <w:rPr>
          <w:rFonts w:hint="eastAsia" w:ascii="宋体" w:hAnsi="宋体"/>
          <w:snapToGrid w:val="0"/>
          <w:szCs w:val="21"/>
        </w:rPr>
        <w:t>开户银行：工行保俶支行</w:t>
      </w:r>
    </w:p>
    <w:p>
      <w:pPr>
        <w:spacing w:line="360" w:lineRule="auto"/>
        <w:ind w:firstLine="420" w:firstLineChars="200"/>
        <w:rPr>
          <w:rFonts w:ascii="宋体" w:hAnsi="宋体"/>
          <w:snapToGrid w:val="0"/>
          <w:szCs w:val="21"/>
        </w:rPr>
      </w:pPr>
      <w:r>
        <w:rPr>
          <w:rFonts w:hint="eastAsia" w:ascii="宋体" w:hAnsi="宋体"/>
          <w:snapToGrid w:val="0"/>
          <w:szCs w:val="21"/>
        </w:rPr>
        <w:t>账号：1</w:t>
      </w:r>
      <w:r>
        <w:rPr>
          <w:rFonts w:ascii="宋体" w:hAnsi="宋体"/>
          <w:snapToGrid w:val="0"/>
          <w:szCs w:val="21"/>
        </w:rPr>
        <w:t>202022709006500176</w:t>
      </w:r>
    </w:p>
    <w:p>
      <w:pPr>
        <w:spacing w:line="340" w:lineRule="exact"/>
        <w:ind w:firstLine="4427" w:firstLineChars="2100"/>
        <w:rPr>
          <w:rFonts w:ascii="宋体" w:hAnsi="宋体"/>
          <w:b/>
          <w:szCs w:val="21"/>
        </w:rPr>
      </w:pPr>
    </w:p>
    <w:p>
      <w:pPr>
        <w:spacing w:line="340" w:lineRule="exact"/>
        <w:ind w:firstLine="4849" w:firstLineChars="2300"/>
        <w:rPr>
          <w:rFonts w:ascii="宋体" w:hAnsi="宋体"/>
          <w:szCs w:val="21"/>
        </w:rPr>
      </w:pPr>
      <w:r>
        <w:rPr>
          <w:rFonts w:hint="eastAsia" w:ascii="宋体" w:hAnsi="宋体"/>
          <w:b/>
          <w:szCs w:val="21"/>
        </w:rPr>
        <w:t xml:space="preserve">合同签发日期：  </w:t>
      </w:r>
      <w:r>
        <w:rPr>
          <w:rFonts w:hint="eastAsia" w:ascii="宋体" w:hAnsi="宋体"/>
          <w:szCs w:val="21"/>
        </w:rPr>
        <w:t xml:space="preserve">  年    月    日</w:t>
      </w:r>
    </w:p>
    <w:p>
      <w:pPr>
        <w:spacing w:line="420" w:lineRule="exact"/>
        <w:ind w:firstLine="420" w:firstLineChars="200"/>
        <w:rPr>
          <w:rFonts w:ascii="宋体" w:hAnsi="宋体"/>
          <w:snapToGrid w:val="0"/>
          <w:szCs w:val="21"/>
        </w:rPr>
      </w:pPr>
    </w:p>
    <w:p>
      <w:pPr>
        <w:spacing w:line="340" w:lineRule="exact"/>
        <w:ind w:firstLine="4410" w:firstLineChars="2100"/>
        <w:rPr>
          <w:rFonts w:ascii="宋体" w:hAnsi="宋体"/>
          <w:szCs w:val="21"/>
        </w:rPr>
      </w:pPr>
    </w:p>
    <w:p>
      <w:pPr>
        <w:spacing w:line="340" w:lineRule="exact"/>
        <w:rPr>
          <w:rFonts w:ascii="黑体" w:hAnsi="黑体" w:eastAsia="黑体"/>
          <w:bCs/>
          <w:sz w:val="36"/>
          <w:szCs w:val="36"/>
        </w:rPr>
        <w:sectPr>
          <w:pgSz w:w="11906" w:h="16838"/>
          <w:pgMar w:top="1440" w:right="1800" w:bottom="1440" w:left="1800" w:header="851" w:footer="992" w:gutter="0"/>
          <w:cols w:space="425" w:num="1"/>
          <w:docGrid w:type="lines" w:linePitch="312" w:charSpace="0"/>
        </w:sectPr>
      </w:pPr>
    </w:p>
    <w:p>
      <w:pPr>
        <w:spacing w:line="440" w:lineRule="exact"/>
        <w:ind w:firstLine="5421" w:firstLineChars="1800"/>
        <w:rPr>
          <w:b/>
          <w:snapToGrid w:val="0"/>
          <w:sz w:val="30"/>
          <w:szCs w:val="30"/>
        </w:rPr>
      </w:pPr>
      <w:r>
        <w:rPr>
          <w:rFonts w:hint="eastAsia"/>
          <w:b/>
          <w:snapToGrid w:val="0"/>
          <w:sz w:val="30"/>
          <w:szCs w:val="30"/>
        </w:rPr>
        <w:t>配置清单</w:t>
      </w:r>
    </w:p>
    <w:tbl>
      <w:tblPr>
        <w:tblStyle w:val="64"/>
        <w:tblpPr w:leftFromText="180" w:rightFromText="180" w:vertAnchor="text" w:horzAnchor="margin" w:tblpXSpec="center" w:tblpY="222"/>
        <w:tblW w:w="15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127"/>
        <w:gridCol w:w="1559"/>
        <w:gridCol w:w="3157"/>
        <w:gridCol w:w="960"/>
        <w:gridCol w:w="750"/>
        <w:gridCol w:w="1110"/>
        <w:gridCol w:w="1744"/>
        <w:gridCol w:w="784"/>
        <w:gridCol w:w="4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29" w:type="dxa"/>
            <w:vAlign w:val="center"/>
          </w:tcPr>
          <w:p>
            <w:pPr>
              <w:jc w:val="center"/>
              <w:rPr>
                <w:b/>
                <w:snapToGrid w:val="0"/>
                <w:sz w:val="18"/>
                <w:szCs w:val="18"/>
              </w:rPr>
            </w:pPr>
            <w:r>
              <w:rPr>
                <w:rFonts w:hint="eastAsia"/>
                <w:b/>
                <w:snapToGrid w:val="0"/>
                <w:sz w:val="18"/>
                <w:szCs w:val="18"/>
              </w:rPr>
              <w:t>序号</w:t>
            </w:r>
          </w:p>
        </w:tc>
        <w:tc>
          <w:tcPr>
            <w:tcW w:w="2127" w:type="dxa"/>
            <w:vAlign w:val="center"/>
          </w:tcPr>
          <w:p>
            <w:pPr>
              <w:jc w:val="center"/>
              <w:rPr>
                <w:b/>
                <w:snapToGrid w:val="0"/>
                <w:sz w:val="18"/>
                <w:szCs w:val="18"/>
              </w:rPr>
            </w:pPr>
            <w:r>
              <w:rPr>
                <w:rFonts w:hint="eastAsia"/>
                <w:b/>
                <w:snapToGrid w:val="0"/>
                <w:sz w:val="18"/>
                <w:szCs w:val="18"/>
              </w:rPr>
              <w:t>设备名称</w:t>
            </w:r>
          </w:p>
        </w:tc>
        <w:tc>
          <w:tcPr>
            <w:tcW w:w="1559" w:type="dxa"/>
            <w:vAlign w:val="center"/>
          </w:tcPr>
          <w:p>
            <w:pPr>
              <w:jc w:val="center"/>
              <w:rPr>
                <w:b/>
                <w:snapToGrid w:val="0"/>
                <w:sz w:val="18"/>
                <w:szCs w:val="18"/>
              </w:rPr>
            </w:pPr>
            <w:r>
              <w:rPr>
                <w:rFonts w:hint="eastAsia"/>
                <w:b/>
                <w:snapToGrid w:val="0"/>
                <w:sz w:val="18"/>
                <w:szCs w:val="18"/>
              </w:rPr>
              <w:t>品牌型号</w:t>
            </w:r>
          </w:p>
        </w:tc>
        <w:tc>
          <w:tcPr>
            <w:tcW w:w="3157" w:type="dxa"/>
            <w:vAlign w:val="center"/>
          </w:tcPr>
          <w:p>
            <w:pPr>
              <w:jc w:val="center"/>
              <w:rPr>
                <w:b/>
                <w:snapToGrid w:val="0"/>
                <w:sz w:val="18"/>
                <w:szCs w:val="18"/>
              </w:rPr>
            </w:pPr>
            <w:r>
              <w:rPr>
                <w:rFonts w:hint="eastAsia"/>
                <w:b/>
                <w:snapToGrid w:val="0"/>
                <w:sz w:val="18"/>
                <w:szCs w:val="18"/>
              </w:rPr>
              <w:t>产品描述</w:t>
            </w:r>
          </w:p>
          <w:p>
            <w:pPr>
              <w:jc w:val="center"/>
              <w:rPr>
                <w:b/>
                <w:snapToGrid w:val="0"/>
                <w:sz w:val="18"/>
                <w:szCs w:val="18"/>
              </w:rPr>
            </w:pPr>
            <w:r>
              <w:rPr>
                <w:rFonts w:hint="eastAsia"/>
                <w:b/>
                <w:snapToGrid w:val="0"/>
                <w:sz w:val="18"/>
                <w:szCs w:val="18"/>
              </w:rPr>
              <w:t>（规格和功能）</w:t>
            </w:r>
          </w:p>
        </w:tc>
        <w:tc>
          <w:tcPr>
            <w:tcW w:w="960" w:type="dxa"/>
            <w:vAlign w:val="center"/>
          </w:tcPr>
          <w:p>
            <w:pPr>
              <w:jc w:val="center"/>
              <w:rPr>
                <w:b/>
                <w:snapToGrid w:val="0"/>
                <w:sz w:val="18"/>
                <w:szCs w:val="18"/>
              </w:rPr>
            </w:pPr>
            <w:r>
              <w:rPr>
                <w:rFonts w:hint="eastAsia"/>
                <w:b/>
                <w:snapToGrid w:val="0"/>
                <w:sz w:val="18"/>
                <w:szCs w:val="18"/>
              </w:rPr>
              <w:t>数量</w:t>
            </w:r>
          </w:p>
        </w:tc>
        <w:tc>
          <w:tcPr>
            <w:tcW w:w="750" w:type="dxa"/>
            <w:vAlign w:val="center"/>
          </w:tcPr>
          <w:p>
            <w:pPr>
              <w:jc w:val="center"/>
              <w:rPr>
                <w:b/>
                <w:snapToGrid w:val="0"/>
                <w:sz w:val="18"/>
                <w:szCs w:val="18"/>
              </w:rPr>
            </w:pPr>
            <w:r>
              <w:rPr>
                <w:rFonts w:hint="eastAsia"/>
                <w:b/>
                <w:snapToGrid w:val="0"/>
                <w:sz w:val="18"/>
                <w:szCs w:val="18"/>
              </w:rPr>
              <w:t>数量单位</w:t>
            </w:r>
          </w:p>
        </w:tc>
        <w:tc>
          <w:tcPr>
            <w:tcW w:w="1110" w:type="dxa"/>
            <w:vAlign w:val="center"/>
          </w:tcPr>
          <w:p>
            <w:pPr>
              <w:jc w:val="center"/>
              <w:rPr>
                <w:b/>
                <w:snapToGrid w:val="0"/>
                <w:sz w:val="18"/>
                <w:szCs w:val="18"/>
              </w:rPr>
            </w:pPr>
            <w:r>
              <w:rPr>
                <w:rFonts w:hint="eastAsia"/>
                <w:b/>
                <w:snapToGrid w:val="0"/>
                <w:sz w:val="18"/>
                <w:szCs w:val="18"/>
              </w:rPr>
              <w:t>单价</w:t>
            </w:r>
          </w:p>
        </w:tc>
        <w:tc>
          <w:tcPr>
            <w:tcW w:w="1744" w:type="dxa"/>
            <w:vAlign w:val="center"/>
          </w:tcPr>
          <w:p>
            <w:pPr>
              <w:jc w:val="center"/>
              <w:rPr>
                <w:b/>
                <w:snapToGrid w:val="0"/>
                <w:sz w:val="18"/>
                <w:szCs w:val="18"/>
              </w:rPr>
            </w:pPr>
            <w:r>
              <w:rPr>
                <w:rFonts w:hint="eastAsia"/>
                <w:b/>
                <w:snapToGrid w:val="0"/>
                <w:sz w:val="18"/>
                <w:szCs w:val="18"/>
              </w:rPr>
              <w:t>合计价格</w:t>
            </w:r>
          </w:p>
        </w:tc>
        <w:tc>
          <w:tcPr>
            <w:tcW w:w="1276" w:type="dxa"/>
            <w:gridSpan w:val="2"/>
            <w:vAlign w:val="center"/>
          </w:tcPr>
          <w:p>
            <w:pPr>
              <w:jc w:val="center"/>
              <w:rPr>
                <w:b/>
                <w:snapToGrid w:val="0"/>
                <w:sz w:val="18"/>
                <w:szCs w:val="18"/>
              </w:rPr>
            </w:pPr>
            <w:r>
              <w:rPr>
                <w:rFonts w:hint="eastAsia"/>
                <w:b/>
                <w:snapToGrid w:val="0"/>
                <w:sz w:val="18"/>
                <w:szCs w:val="18"/>
              </w:rPr>
              <w:t>制造商</w:t>
            </w:r>
          </w:p>
        </w:tc>
        <w:tc>
          <w:tcPr>
            <w:tcW w:w="1276" w:type="dxa"/>
            <w:vAlign w:val="center"/>
          </w:tcPr>
          <w:p>
            <w:pPr>
              <w:jc w:val="center"/>
              <w:rPr>
                <w:b/>
                <w:snapToGrid w:val="0"/>
                <w:sz w:val="18"/>
                <w:szCs w:val="18"/>
              </w:rPr>
            </w:pPr>
            <w:r>
              <w:rPr>
                <w:rFonts w:hint="eastAsia"/>
                <w:b/>
                <w:snapToGrid w:val="0"/>
                <w:sz w:val="18"/>
                <w:szCs w:val="18"/>
              </w:rPr>
              <w:t>产地（国别或境外地址）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9" w:type="dxa"/>
            <w:vAlign w:val="center"/>
          </w:tcPr>
          <w:p>
            <w:pPr>
              <w:jc w:val="center"/>
              <w:rPr>
                <w:snapToGrid w:val="0"/>
                <w:sz w:val="18"/>
                <w:szCs w:val="18"/>
              </w:rPr>
            </w:pPr>
          </w:p>
        </w:tc>
        <w:tc>
          <w:tcPr>
            <w:tcW w:w="2127" w:type="dxa"/>
            <w:vAlign w:val="center"/>
          </w:tcPr>
          <w:p>
            <w:pPr>
              <w:jc w:val="center"/>
              <w:rPr>
                <w:snapToGrid w:val="0"/>
                <w:sz w:val="18"/>
                <w:szCs w:val="18"/>
              </w:rPr>
            </w:pPr>
          </w:p>
        </w:tc>
        <w:tc>
          <w:tcPr>
            <w:tcW w:w="1559" w:type="dxa"/>
            <w:vAlign w:val="center"/>
          </w:tcPr>
          <w:p>
            <w:pPr>
              <w:jc w:val="center"/>
              <w:rPr>
                <w:snapToGrid w:val="0"/>
                <w:sz w:val="18"/>
                <w:szCs w:val="18"/>
              </w:rPr>
            </w:pPr>
          </w:p>
        </w:tc>
        <w:tc>
          <w:tcPr>
            <w:tcW w:w="3157" w:type="dxa"/>
            <w:vAlign w:val="center"/>
          </w:tcPr>
          <w:p>
            <w:pPr>
              <w:jc w:val="center"/>
              <w:rPr>
                <w:snapToGrid w:val="0"/>
                <w:sz w:val="18"/>
                <w:szCs w:val="18"/>
              </w:rPr>
            </w:pPr>
          </w:p>
        </w:tc>
        <w:tc>
          <w:tcPr>
            <w:tcW w:w="960" w:type="dxa"/>
            <w:vAlign w:val="center"/>
          </w:tcPr>
          <w:p>
            <w:pPr>
              <w:jc w:val="center"/>
              <w:rPr>
                <w:snapToGrid w:val="0"/>
                <w:sz w:val="18"/>
                <w:szCs w:val="18"/>
              </w:rPr>
            </w:pPr>
          </w:p>
        </w:tc>
        <w:tc>
          <w:tcPr>
            <w:tcW w:w="750" w:type="dxa"/>
            <w:vAlign w:val="center"/>
          </w:tcPr>
          <w:p>
            <w:pPr>
              <w:jc w:val="center"/>
              <w:rPr>
                <w:snapToGrid w:val="0"/>
                <w:sz w:val="18"/>
                <w:szCs w:val="18"/>
              </w:rPr>
            </w:pPr>
          </w:p>
        </w:tc>
        <w:tc>
          <w:tcPr>
            <w:tcW w:w="1110" w:type="dxa"/>
            <w:vAlign w:val="center"/>
          </w:tcPr>
          <w:p>
            <w:pPr>
              <w:jc w:val="center"/>
              <w:rPr>
                <w:snapToGrid w:val="0"/>
                <w:sz w:val="18"/>
                <w:szCs w:val="18"/>
              </w:rPr>
            </w:pPr>
          </w:p>
        </w:tc>
        <w:tc>
          <w:tcPr>
            <w:tcW w:w="1744" w:type="dxa"/>
            <w:vAlign w:val="center"/>
          </w:tcPr>
          <w:p>
            <w:pPr>
              <w:jc w:val="center"/>
              <w:rPr>
                <w:snapToGrid w:val="0"/>
                <w:sz w:val="18"/>
                <w:szCs w:val="18"/>
              </w:rPr>
            </w:pPr>
          </w:p>
        </w:tc>
        <w:tc>
          <w:tcPr>
            <w:tcW w:w="1276" w:type="dxa"/>
            <w:gridSpan w:val="2"/>
            <w:vAlign w:val="center"/>
          </w:tcPr>
          <w:p>
            <w:pPr>
              <w:jc w:val="center"/>
              <w:rPr>
                <w:snapToGrid w:val="0"/>
                <w:sz w:val="18"/>
                <w:szCs w:val="18"/>
              </w:rPr>
            </w:pPr>
          </w:p>
        </w:tc>
        <w:tc>
          <w:tcPr>
            <w:tcW w:w="1276" w:type="dxa"/>
            <w:vAlign w:val="center"/>
          </w:tcPr>
          <w:p>
            <w:pPr>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9" w:type="dxa"/>
            <w:vAlign w:val="center"/>
          </w:tcPr>
          <w:p>
            <w:pPr>
              <w:jc w:val="center"/>
              <w:rPr>
                <w:snapToGrid w:val="0"/>
                <w:sz w:val="18"/>
                <w:szCs w:val="18"/>
              </w:rPr>
            </w:pPr>
          </w:p>
        </w:tc>
        <w:tc>
          <w:tcPr>
            <w:tcW w:w="2127" w:type="dxa"/>
            <w:vAlign w:val="center"/>
          </w:tcPr>
          <w:p>
            <w:pPr>
              <w:jc w:val="center"/>
              <w:rPr>
                <w:snapToGrid w:val="0"/>
                <w:sz w:val="18"/>
                <w:szCs w:val="18"/>
              </w:rPr>
            </w:pPr>
          </w:p>
        </w:tc>
        <w:tc>
          <w:tcPr>
            <w:tcW w:w="1559" w:type="dxa"/>
            <w:vAlign w:val="center"/>
          </w:tcPr>
          <w:p>
            <w:pPr>
              <w:jc w:val="center"/>
              <w:rPr>
                <w:snapToGrid w:val="0"/>
                <w:sz w:val="18"/>
                <w:szCs w:val="18"/>
              </w:rPr>
            </w:pPr>
          </w:p>
        </w:tc>
        <w:tc>
          <w:tcPr>
            <w:tcW w:w="3157" w:type="dxa"/>
            <w:vAlign w:val="center"/>
          </w:tcPr>
          <w:p>
            <w:pPr>
              <w:jc w:val="center"/>
              <w:rPr>
                <w:snapToGrid w:val="0"/>
                <w:sz w:val="18"/>
                <w:szCs w:val="18"/>
              </w:rPr>
            </w:pPr>
          </w:p>
        </w:tc>
        <w:tc>
          <w:tcPr>
            <w:tcW w:w="960" w:type="dxa"/>
            <w:vAlign w:val="center"/>
          </w:tcPr>
          <w:p>
            <w:pPr>
              <w:jc w:val="center"/>
              <w:rPr>
                <w:snapToGrid w:val="0"/>
                <w:sz w:val="18"/>
                <w:szCs w:val="18"/>
              </w:rPr>
            </w:pPr>
          </w:p>
        </w:tc>
        <w:tc>
          <w:tcPr>
            <w:tcW w:w="750" w:type="dxa"/>
            <w:vAlign w:val="center"/>
          </w:tcPr>
          <w:p>
            <w:pPr>
              <w:jc w:val="center"/>
              <w:rPr>
                <w:snapToGrid w:val="0"/>
                <w:sz w:val="18"/>
                <w:szCs w:val="18"/>
              </w:rPr>
            </w:pPr>
          </w:p>
        </w:tc>
        <w:tc>
          <w:tcPr>
            <w:tcW w:w="1110" w:type="dxa"/>
            <w:vAlign w:val="center"/>
          </w:tcPr>
          <w:p>
            <w:pPr>
              <w:jc w:val="center"/>
              <w:rPr>
                <w:snapToGrid w:val="0"/>
                <w:sz w:val="18"/>
                <w:szCs w:val="18"/>
              </w:rPr>
            </w:pPr>
          </w:p>
        </w:tc>
        <w:tc>
          <w:tcPr>
            <w:tcW w:w="1744" w:type="dxa"/>
            <w:vAlign w:val="center"/>
          </w:tcPr>
          <w:p>
            <w:pPr>
              <w:jc w:val="center"/>
              <w:rPr>
                <w:snapToGrid w:val="0"/>
                <w:sz w:val="18"/>
                <w:szCs w:val="18"/>
              </w:rPr>
            </w:pPr>
          </w:p>
        </w:tc>
        <w:tc>
          <w:tcPr>
            <w:tcW w:w="1276" w:type="dxa"/>
            <w:gridSpan w:val="2"/>
            <w:vAlign w:val="center"/>
          </w:tcPr>
          <w:p>
            <w:pPr>
              <w:jc w:val="center"/>
              <w:rPr>
                <w:snapToGrid w:val="0"/>
                <w:sz w:val="18"/>
                <w:szCs w:val="18"/>
              </w:rPr>
            </w:pPr>
          </w:p>
        </w:tc>
        <w:tc>
          <w:tcPr>
            <w:tcW w:w="1276" w:type="dxa"/>
            <w:vAlign w:val="center"/>
          </w:tcPr>
          <w:p>
            <w:pPr>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9" w:type="dxa"/>
            <w:vAlign w:val="center"/>
          </w:tcPr>
          <w:p>
            <w:pPr>
              <w:jc w:val="center"/>
              <w:rPr>
                <w:snapToGrid w:val="0"/>
                <w:sz w:val="18"/>
                <w:szCs w:val="18"/>
              </w:rPr>
            </w:pPr>
          </w:p>
        </w:tc>
        <w:tc>
          <w:tcPr>
            <w:tcW w:w="2127" w:type="dxa"/>
            <w:vAlign w:val="center"/>
          </w:tcPr>
          <w:p>
            <w:pPr>
              <w:jc w:val="center"/>
              <w:rPr>
                <w:snapToGrid w:val="0"/>
                <w:sz w:val="18"/>
                <w:szCs w:val="18"/>
              </w:rPr>
            </w:pPr>
          </w:p>
        </w:tc>
        <w:tc>
          <w:tcPr>
            <w:tcW w:w="1559" w:type="dxa"/>
            <w:vAlign w:val="center"/>
          </w:tcPr>
          <w:p>
            <w:pPr>
              <w:jc w:val="center"/>
              <w:rPr>
                <w:snapToGrid w:val="0"/>
                <w:sz w:val="18"/>
                <w:szCs w:val="18"/>
              </w:rPr>
            </w:pPr>
          </w:p>
        </w:tc>
        <w:tc>
          <w:tcPr>
            <w:tcW w:w="3157" w:type="dxa"/>
            <w:vAlign w:val="center"/>
          </w:tcPr>
          <w:p>
            <w:pPr>
              <w:jc w:val="center"/>
              <w:rPr>
                <w:snapToGrid w:val="0"/>
                <w:sz w:val="18"/>
                <w:szCs w:val="18"/>
              </w:rPr>
            </w:pPr>
          </w:p>
        </w:tc>
        <w:tc>
          <w:tcPr>
            <w:tcW w:w="960" w:type="dxa"/>
            <w:vAlign w:val="center"/>
          </w:tcPr>
          <w:p>
            <w:pPr>
              <w:jc w:val="center"/>
              <w:rPr>
                <w:snapToGrid w:val="0"/>
                <w:sz w:val="18"/>
                <w:szCs w:val="18"/>
              </w:rPr>
            </w:pPr>
          </w:p>
        </w:tc>
        <w:tc>
          <w:tcPr>
            <w:tcW w:w="750" w:type="dxa"/>
            <w:vAlign w:val="center"/>
          </w:tcPr>
          <w:p>
            <w:pPr>
              <w:jc w:val="center"/>
              <w:rPr>
                <w:snapToGrid w:val="0"/>
                <w:sz w:val="18"/>
                <w:szCs w:val="18"/>
              </w:rPr>
            </w:pPr>
          </w:p>
        </w:tc>
        <w:tc>
          <w:tcPr>
            <w:tcW w:w="1110" w:type="dxa"/>
            <w:vAlign w:val="center"/>
          </w:tcPr>
          <w:p>
            <w:pPr>
              <w:jc w:val="center"/>
              <w:rPr>
                <w:snapToGrid w:val="0"/>
                <w:sz w:val="18"/>
                <w:szCs w:val="18"/>
              </w:rPr>
            </w:pPr>
          </w:p>
        </w:tc>
        <w:tc>
          <w:tcPr>
            <w:tcW w:w="1744" w:type="dxa"/>
            <w:vAlign w:val="center"/>
          </w:tcPr>
          <w:p>
            <w:pPr>
              <w:jc w:val="center"/>
              <w:rPr>
                <w:snapToGrid w:val="0"/>
                <w:sz w:val="18"/>
                <w:szCs w:val="18"/>
              </w:rPr>
            </w:pPr>
          </w:p>
        </w:tc>
        <w:tc>
          <w:tcPr>
            <w:tcW w:w="1276" w:type="dxa"/>
            <w:gridSpan w:val="2"/>
            <w:vAlign w:val="center"/>
          </w:tcPr>
          <w:p>
            <w:pPr>
              <w:jc w:val="center"/>
              <w:rPr>
                <w:snapToGrid w:val="0"/>
                <w:sz w:val="18"/>
                <w:szCs w:val="18"/>
              </w:rPr>
            </w:pPr>
          </w:p>
        </w:tc>
        <w:tc>
          <w:tcPr>
            <w:tcW w:w="1276" w:type="dxa"/>
            <w:vAlign w:val="center"/>
          </w:tcPr>
          <w:p>
            <w:pPr>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9" w:type="dxa"/>
            <w:vAlign w:val="center"/>
          </w:tcPr>
          <w:p>
            <w:pPr>
              <w:jc w:val="center"/>
              <w:rPr>
                <w:snapToGrid w:val="0"/>
                <w:sz w:val="18"/>
                <w:szCs w:val="18"/>
              </w:rPr>
            </w:pPr>
          </w:p>
        </w:tc>
        <w:tc>
          <w:tcPr>
            <w:tcW w:w="2127" w:type="dxa"/>
            <w:vAlign w:val="center"/>
          </w:tcPr>
          <w:p>
            <w:pPr>
              <w:jc w:val="center"/>
              <w:rPr>
                <w:snapToGrid w:val="0"/>
                <w:sz w:val="18"/>
                <w:szCs w:val="18"/>
              </w:rPr>
            </w:pPr>
          </w:p>
        </w:tc>
        <w:tc>
          <w:tcPr>
            <w:tcW w:w="1559" w:type="dxa"/>
            <w:vAlign w:val="center"/>
          </w:tcPr>
          <w:p>
            <w:pPr>
              <w:jc w:val="center"/>
              <w:rPr>
                <w:snapToGrid w:val="0"/>
                <w:sz w:val="18"/>
                <w:szCs w:val="18"/>
              </w:rPr>
            </w:pPr>
          </w:p>
        </w:tc>
        <w:tc>
          <w:tcPr>
            <w:tcW w:w="3157" w:type="dxa"/>
            <w:vAlign w:val="center"/>
          </w:tcPr>
          <w:p>
            <w:pPr>
              <w:jc w:val="center"/>
              <w:rPr>
                <w:snapToGrid w:val="0"/>
                <w:sz w:val="18"/>
                <w:szCs w:val="18"/>
              </w:rPr>
            </w:pPr>
          </w:p>
        </w:tc>
        <w:tc>
          <w:tcPr>
            <w:tcW w:w="960" w:type="dxa"/>
            <w:vAlign w:val="center"/>
          </w:tcPr>
          <w:p>
            <w:pPr>
              <w:jc w:val="center"/>
              <w:rPr>
                <w:snapToGrid w:val="0"/>
                <w:sz w:val="18"/>
                <w:szCs w:val="18"/>
              </w:rPr>
            </w:pPr>
          </w:p>
        </w:tc>
        <w:tc>
          <w:tcPr>
            <w:tcW w:w="750" w:type="dxa"/>
            <w:vAlign w:val="center"/>
          </w:tcPr>
          <w:p>
            <w:pPr>
              <w:jc w:val="center"/>
              <w:rPr>
                <w:snapToGrid w:val="0"/>
                <w:sz w:val="18"/>
                <w:szCs w:val="18"/>
              </w:rPr>
            </w:pPr>
          </w:p>
        </w:tc>
        <w:tc>
          <w:tcPr>
            <w:tcW w:w="1110" w:type="dxa"/>
            <w:vAlign w:val="center"/>
          </w:tcPr>
          <w:p>
            <w:pPr>
              <w:jc w:val="center"/>
              <w:rPr>
                <w:snapToGrid w:val="0"/>
                <w:sz w:val="18"/>
                <w:szCs w:val="18"/>
              </w:rPr>
            </w:pPr>
          </w:p>
        </w:tc>
        <w:tc>
          <w:tcPr>
            <w:tcW w:w="1744" w:type="dxa"/>
            <w:vAlign w:val="center"/>
          </w:tcPr>
          <w:p>
            <w:pPr>
              <w:jc w:val="center"/>
              <w:rPr>
                <w:snapToGrid w:val="0"/>
                <w:sz w:val="18"/>
                <w:szCs w:val="18"/>
              </w:rPr>
            </w:pPr>
          </w:p>
        </w:tc>
        <w:tc>
          <w:tcPr>
            <w:tcW w:w="1276" w:type="dxa"/>
            <w:gridSpan w:val="2"/>
            <w:vAlign w:val="center"/>
          </w:tcPr>
          <w:p>
            <w:pPr>
              <w:jc w:val="center"/>
              <w:rPr>
                <w:snapToGrid w:val="0"/>
                <w:sz w:val="18"/>
                <w:szCs w:val="18"/>
              </w:rPr>
            </w:pPr>
          </w:p>
        </w:tc>
        <w:tc>
          <w:tcPr>
            <w:tcW w:w="1276" w:type="dxa"/>
            <w:vAlign w:val="center"/>
          </w:tcPr>
          <w:p>
            <w:pPr>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9" w:type="dxa"/>
            <w:vAlign w:val="center"/>
          </w:tcPr>
          <w:p>
            <w:pPr>
              <w:jc w:val="center"/>
              <w:rPr>
                <w:snapToGrid w:val="0"/>
                <w:sz w:val="18"/>
                <w:szCs w:val="18"/>
              </w:rPr>
            </w:pPr>
          </w:p>
        </w:tc>
        <w:tc>
          <w:tcPr>
            <w:tcW w:w="2127" w:type="dxa"/>
            <w:vAlign w:val="center"/>
          </w:tcPr>
          <w:p>
            <w:pPr>
              <w:jc w:val="center"/>
              <w:rPr>
                <w:snapToGrid w:val="0"/>
                <w:sz w:val="18"/>
                <w:szCs w:val="18"/>
              </w:rPr>
            </w:pPr>
          </w:p>
        </w:tc>
        <w:tc>
          <w:tcPr>
            <w:tcW w:w="1559" w:type="dxa"/>
            <w:vAlign w:val="center"/>
          </w:tcPr>
          <w:p>
            <w:pPr>
              <w:jc w:val="center"/>
              <w:rPr>
                <w:snapToGrid w:val="0"/>
                <w:sz w:val="18"/>
                <w:szCs w:val="18"/>
              </w:rPr>
            </w:pPr>
          </w:p>
        </w:tc>
        <w:tc>
          <w:tcPr>
            <w:tcW w:w="3157" w:type="dxa"/>
            <w:vAlign w:val="center"/>
          </w:tcPr>
          <w:p>
            <w:pPr>
              <w:jc w:val="center"/>
              <w:rPr>
                <w:snapToGrid w:val="0"/>
                <w:sz w:val="18"/>
                <w:szCs w:val="18"/>
              </w:rPr>
            </w:pPr>
          </w:p>
        </w:tc>
        <w:tc>
          <w:tcPr>
            <w:tcW w:w="960" w:type="dxa"/>
            <w:vAlign w:val="center"/>
          </w:tcPr>
          <w:p>
            <w:pPr>
              <w:jc w:val="center"/>
              <w:rPr>
                <w:snapToGrid w:val="0"/>
                <w:sz w:val="18"/>
                <w:szCs w:val="18"/>
              </w:rPr>
            </w:pPr>
          </w:p>
        </w:tc>
        <w:tc>
          <w:tcPr>
            <w:tcW w:w="750" w:type="dxa"/>
            <w:vAlign w:val="center"/>
          </w:tcPr>
          <w:p>
            <w:pPr>
              <w:jc w:val="center"/>
              <w:rPr>
                <w:snapToGrid w:val="0"/>
                <w:sz w:val="18"/>
                <w:szCs w:val="18"/>
              </w:rPr>
            </w:pPr>
          </w:p>
        </w:tc>
        <w:tc>
          <w:tcPr>
            <w:tcW w:w="1110" w:type="dxa"/>
            <w:vAlign w:val="center"/>
          </w:tcPr>
          <w:p>
            <w:pPr>
              <w:jc w:val="center"/>
              <w:rPr>
                <w:snapToGrid w:val="0"/>
                <w:sz w:val="18"/>
                <w:szCs w:val="18"/>
              </w:rPr>
            </w:pPr>
          </w:p>
        </w:tc>
        <w:tc>
          <w:tcPr>
            <w:tcW w:w="1744" w:type="dxa"/>
            <w:vAlign w:val="center"/>
          </w:tcPr>
          <w:p>
            <w:pPr>
              <w:jc w:val="center"/>
              <w:rPr>
                <w:snapToGrid w:val="0"/>
                <w:sz w:val="18"/>
                <w:szCs w:val="18"/>
              </w:rPr>
            </w:pPr>
          </w:p>
        </w:tc>
        <w:tc>
          <w:tcPr>
            <w:tcW w:w="1276" w:type="dxa"/>
            <w:gridSpan w:val="2"/>
            <w:vAlign w:val="center"/>
          </w:tcPr>
          <w:p>
            <w:pPr>
              <w:jc w:val="center"/>
              <w:rPr>
                <w:snapToGrid w:val="0"/>
                <w:sz w:val="18"/>
                <w:szCs w:val="18"/>
              </w:rPr>
            </w:pPr>
          </w:p>
        </w:tc>
        <w:tc>
          <w:tcPr>
            <w:tcW w:w="1276" w:type="dxa"/>
            <w:vAlign w:val="center"/>
          </w:tcPr>
          <w:p>
            <w:pPr>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9" w:type="dxa"/>
            <w:vAlign w:val="center"/>
          </w:tcPr>
          <w:p>
            <w:pPr>
              <w:jc w:val="center"/>
              <w:rPr>
                <w:snapToGrid w:val="0"/>
                <w:sz w:val="18"/>
                <w:szCs w:val="18"/>
              </w:rPr>
            </w:pPr>
          </w:p>
        </w:tc>
        <w:tc>
          <w:tcPr>
            <w:tcW w:w="2127" w:type="dxa"/>
            <w:vAlign w:val="center"/>
          </w:tcPr>
          <w:p>
            <w:pPr>
              <w:jc w:val="center"/>
              <w:rPr>
                <w:snapToGrid w:val="0"/>
                <w:sz w:val="18"/>
                <w:szCs w:val="18"/>
              </w:rPr>
            </w:pPr>
          </w:p>
        </w:tc>
        <w:tc>
          <w:tcPr>
            <w:tcW w:w="1559" w:type="dxa"/>
            <w:vAlign w:val="center"/>
          </w:tcPr>
          <w:p>
            <w:pPr>
              <w:jc w:val="center"/>
              <w:rPr>
                <w:snapToGrid w:val="0"/>
                <w:sz w:val="18"/>
                <w:szCs w:val="18"/>
              </w:rPr>
            </w:pPr>
          </w:p>
        </w:tc>
        <w:tc>
          <w:tcPr>
            <w:tcW w:w="3157" w:type="dxa"/>
            <w:vAlign w:val="center"/>
          </w:tcPr>
          <w:p>
            <w:pPr>
              <w:jc w:val="center"/>
              <w:rPr>
                <w:snapToGrid w:val="0"/>
                <w:sz w:val="18"/>
                <w:szCs w:val="18"/>
              </w:rPr>
            </w:pPr>
          </w:p>
        </w:tc>
        <w:tc>
          <w:tcPr>
            <w:tcW w:w="960" w:type="dxa"/>
            <w:vAlign w:val="center"/>
          </w:tcPr>
          <w:p>
            <w:pPr>
              <w:jc w:val="center"/>
              <w:rPr>
                <w:snapToGrid w:val="0"/>
                <w:sz w:val="18"/>
                <w:szCs w:val="18"/>
              </w:rPr>
            </w:pPr>
          </w:p>
        </w:tc>
        <w:tc>
          <w:tcPr>
            <w:tcW w:w="750" w:type="dxa"/>
            <w:vAlign w:val="center"/>
          </w:tcPr>
          <w:p>
            <w:pPr>
              <w:jc w:val="center"/>
              <w:rPr>
                <w:snapToGrid w:val="0"/>
                <w:sz w:val="18"/>
                <w:szCs w:val="18"/>
              </w:rPr>
            </w:pPr>
          </w:p>
        </w:tc>
        <w:tc>
          <w:tcPr>
            <w:tcW w:w="1110" w:type="dxa"/>
            <w:vAlign w:val="center"/>
          </w:tcPr>
          <w:p>
            <w:pPr>
              <w:jc w:val="center"/>
              <w:rPr>
                <w:snapToGrid w:val="0"/>
                <w:sz w:val="18"/>
                <w:szCs w:val="18"/>
              </w:rPr>
            </w:pPr>
          </w:p>
        </w:tc>
        <w:tc>
          <w:tcPr>
            <w:tcW w:w="1744" w:type="dxa"/>
            <w:vAlign w:val="center"/>
          </w:tcPr>
          <w:p>
            <w:pPr>
              <w:jc w:val="center"/>
              <w:rPr>
                <w:snapToGrid w:val="0"/>
                <w:sz w:val="18"/>
                <w:szCs w:val="18"/>
              </w:rPr>
            </w:pPr>
          </w:p>
        </w:tc>
        <w:tc>
          <w:tcPr>
            <w:tcW w:w="1276" w:type="dxa"/>
            <w:gridSpan w:val="2"/>
            <w:vAlign w:val="center"/>
          </w:tcPr>
          <w:p>
            <w:pPr>
              <w:jc w:val="center"/>
              <w:rPr>
                <w:snapToGrid w:val="0"/>
                <w:sz w:val="18"/>
                <w:szCs w:val="18"/>
              </w:rPr>
            </w:pPr>
          </w:p>
        </w:tc>
        <w:tc>
          <w:tcPr>
            <w:tcW w:w="1276" w:type="dxa"/>
            <w:vAlign w:val="center"/>
          </w:tcPr>
          <w:p>
            <w:pPr>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29" w:type="dxa"/>
            <w:vAlign w:val="center"/>
          </w:tcPr>
          <w:p>
            <w:pPr>
              <w:jc w:val="center"/>
              <w:rPr>
                <w:snapToGrid w:val="0"/>
                <w:sz w:val="18"/>
                <w:szCs w:val="18"/>
              </w:rPr>
            </w:pPr>
          </w:p>
        </w:tc>
        <w:tc>
          <w:tcPr>
            <w:tcW w:w="2127" w:type="dxa"/>
            <w:vAlign w:val="center"/>
          </w:tcPr>
          <w:p>
            <w:pPr>
              <w:jc w:val="center"/>
              <w:rPr>
                <w:snapToGrid w:val="0"/>
                <w:sz w:val="18"/>
                <w:szCs w:val="18"/>
              </w:rPr>
            </w:pPr>
          </w:p>
        </w:tc>
        <w:tc>
          <w:tcPr>
            <w:tcW w:w="1559" w:type="dxa"/>
            <w:vAlign w:val="center"/>
          </w:tcPr>
          <w:p>
            <w:pPr>
              <w:jc w:val="center"/>
              <w:rPr>
                <w:snapToGrid w:val="0"/>
                <w:sz w:val="18"/>
                <w:szCs w:val="18"/>
              </w:rPr>
            </w:pPr>
          </w:p>
        </w:tc>
        <w:tc>
          <w:tcPr>
            <w:tcW w:w="3157" w:type="dxa"/>
            <w:vAlign w:val="center"/>
          </w:tcPr>
          <w:p>
            <w:pPr>
              <w:jc w:val="center"/>
              <w:rPr>
                <w:snapToGrid w:val="0"/>
                <w:sz w:val="18"/>
                <w:szCs w:val="18"/>
              </w:rPr>
            </w:pPr>
          </w:p>
        </w:tc>
        <w:tc>
          <w:tcPr>
            <w:tcW w:w="960" w:type="dxa"/>
            <w:vAlign w:val="center"/>
          </w:tcPr>
          <w:p>
            <w:pPr>
              <w:jc w:val="center"/>
              <w:rPr>
                <w:snapToGrid w:val="0"/>
                <w:sz w:val="18"/>
                <w:szCs w:val="18"/>
              </w:rPr>
            </w:pPr>
          </w:p>
        </w:tc>
        <w:tc>
          <w:tcPr>
            <w:tcW w:w="750" w:type="dxa"/>
            <w:vAlign w:val="center"/>
          </w:tcPr>
          <w:p>
            <w:pPr>
              <w:jc w:val="center"/>
              <w:rPr>
                <w:snapToGrid w:val="0"/>
                <w:sz w:val="18"/>
                <w:szCs w:val="18"/>
              </w:rPr>
            </w:pPr>
          </w:p>
        </w:tc>
        <w:tc>
          <w:tcPr>
            <w:tcW w:w="1110" w:type="dxa"/>
            <w:vAlign w:val="center"/>
          </w:tcPr>
          <w:p>
            <w:pPr>
              <w:jc w:val="center"/>
              <w:rPr>
                <w:snapToGrid w:val="0"/>
                <w:sz w:val="18"/>
                <w:szCs w:val="18"/>
              </w:rPr>
            </w:pPr>
          </w:p>
        </w:tc>
        <w:tc>
          <w:tcPr>
            <w:tcW w:w="1744" w:type="dxa"/>
            <w:vAlign w:val="center"/>
          </w:tcPr>
          <w:p>
            <w:pPr>
              <w:jc w:val="center"/>
              <w:rPr>
                <w:snapToGrid w:val="0"/>
                <w:sz w:val="18"/>
                <w:szCs w:val="18"/>
              </w:rPr>
            </w:pPr>
          </w:p>
        </w:tc>
        <w:tc>
          <w:tcPr>
            <w:tcW w:w="1276" w:type="dxa"/>
            <w:gridSpan w:val="2"/>
            <w:vAlign w:val="center"/>
          </w:tcPr>
          <w:p>
            <w:pPr>
              <w:jc w:val="center"/>
              <w:rPr>
                <w:snapToGrid w:val="0"/>
                <w:sz w:val="18"/>
                <w:szCs w:val="18"/>
              </w:rPr>
            </w:pPr>
          </w:p>
        </w:tc>
        <w:tc>
          <w:tcPr>
            <w:tcW w:w="1276" w:type="dxa"/>
            <w:vAlign w:val="center"/>
          </w:tcPr>
          <w:p>
            <w:pPr>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320" w:type="dxa"/>
            <w:gridSpan w:val="9"/>
            <w:vAlign w:val="center"/>
          </w:tcPr>
          <w:p>
            <w:pPr>
              <w:rPr>
                <w:snapToGrid w:val="0"/>
                <w:sz w:val="18"/>
                <w:szCs w:val="18"/>
              </w:rPr>
            </w:pPr>
            <w:r>
              <w:rPr>
                <w:rFonts w:hint="eastAsia"/>
                <w:snapToGrid w:val="0"/>
                <w:sz w:val="18"/>
                <w:szCs w:val="18"/>
              </w:rPr>
              <w:t>总计人民币（大写）：</w:t>
            </w:r>
          </w:p>
        </w:tc>
        <w:tc>
          <w:tcPr>
            <w:tcW w:w="1768" w:type="dxa"/>
            <w:gridSpan w:val="2"/>
            <w:vAlign w:val="center"/>
          </w:tcPr>
          <w:p>
            <w:pPr>
              <w:rPr>
                <w:snapToGrid w:val="0"/>
                <w:sz w:val="18"/>
                <w:szCs w:val="18"/>
              </w:rPr>
            </w:pPr>
          </w:p>
        </w:tc>
      </w:tr>
    </w:tbl>
    <w:p>
      <w:pPr>
        <w:spacing w:line="440" w:lineRule="exact"/>
        <w:ind w:firstLine="2880" w:firstLineChars="800"/>
        <w:rPr>
          <w:rFonts w:ascii="黑体" w:hAnsi="黑体" w:eastAsia="黑体"/>
          <w:bCs/>
          <w:sz w:val="36"/>
          <w:szCs w:val="36"/>
        </w:rPr>
      </w:pPr>
    </w:p>
    <w:p/>
    <w:p>
      <w:pPr>
        <w:widowControl/>
        <w:adjustRightInd/>
        <w:jc w:val="center"/>
        <w:rPr>
          <w:rFonts w:ascii="宋体" w:hAnsi="宋体" w:cs="宋体"/>
          <w:b/>
          <w:sz w:val="36"/>
          <w:szCs w:val="20"/>
        </w:rPr>
        <w:sectPr>
          <w:pgSz w:w="16838" w:h="11906" w:orient="landscape"/>
          <w:pgMar w:top="1418" w:right="1276" w:bottom="1418" w:left="1247" w:header="851" w:footer="992" w:gutter="0"/>
          <w:cols w:space="720" w:num="1"/>
          <w:titlePg/>
          <w:docGrid w:linePitch="312" w:charSpace="0"/>
        </w:sect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8"/>
      <w:r>
        <w:rPr>
          <w:rFonts w:hint="eastAsia" w:ascii="宋体" w:hAnsi="宋体" w:cs="宋体"/>
          <w:b/>
          <w:sz w:val="36"/>
          <w:szCs w:val="20"/>
        </w:rPr>
        <w:t xml:space="preserve"> </w:t>
      </w:r>
      <w:bookmarkEnd w:id="399"/>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杭州师范大学、浙江中诺招标代理有限公司：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我方参与细胞高内涵成像系统和智能型超速离心机采购项目【招标编号：HZNU-2023086】政府采购活动，郑重承诺：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ind w:firstLine="1928" w:firstLineChars="600"/>
        <w:jc w:val="left"/>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杭州师范大学、浙江中诺招标代理有限公司：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我方参加你方组织的细胞高内涵成像系统和智能型超速离心机采购项目【招标编号：HZNU-2023086】招标的有关活动，并对此项目进行投标。为此：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400" w:name="_Hlk101257010"/>
      <w:r>
        <w:rPr>
          <w:rFonts w:hint="eastAsia" w:ascii="宋体" w:hAnsi="宋体" w:cs="宋体"/>
          <w:sz w:val="24"/>
        </w:rPr>
        <w:t>（如果有)</w:t>
      </w:r>
      <w:bookmarkEnd w:id="400"/>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杭州师范大学、浙江中诺招标代理有限公司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细胞高内涵成像系统和智能型超速离心机采购项目【招标编号：HZNU-2023086】</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杭州师范大学、浙江中诺招标代理有限公司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细胞高内涵成像系统和智能型超速离心机采购项目【招标编号：HZNU-2023086】</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0"/>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sz w:val="24"/>
              </w:rPr>
            </w:pPr>
            <w:r>
              <w:rPr>
                <w:rFonts w:hint="eastAsia" w:hAnsi="宋体" w:cs="宋体"/>
                <w:bCs/>
                <w:sz w:val="24"/>
              </w:rPr>
              <w:t>正面：                                 反面：</w:t>
            </w:r>
          </w:p>
          <w:p>
            <w:pPr>
              <w:pStyle w:val="15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369"/>
        <w:gridCol w:w="1114"/>
        <w:gridCol w:w="1260"/>
        <w:gridCol w:w="2774"/>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杭州师范大学、浙江中诺招标代理有限公司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杭州师范大学、浙江中诺招标代理有限公司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细胞高内涵成像系统和智能型超速离心机采购项目【招标编号：HZNU-2023086】的实施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14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416"/>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XX</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XX</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p>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sz w:val="32"/>
          <w:szCs w:val="32"/>
        </w:rPr>
      </w:pPr>
      <w:r>
        <w:rPr>
          <w:rFonts w:hint="eastAsia" w:ascii="宋体" w:hAnsi="宋体" w:cs="宋体"/>
          <w:kern w:val="0"/>
          <w:sz w:val="24"/>
          <w:szCs w:val="22"/>
          <w:lang w:val="zh-CN"/>
        </w:rPr>
        <w:t>4、</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ascii="宋体" w:hAnsi="宋体" w:cs="宋体"/>
          <w:b/>
          <w:kern w:val="0"/>
          <w:sz w:val="24"/>
        </w:rPr>
      </w:pPr>
      <w:r>
        <w:rPr>
          <w:rFonts w:hint="eastAsia" w:ascii="宋体" w:hAnsi="宋体" w:cs="宋体"/>
          <w:sz w:val="24"/>
        </w:rPr>
        <w:t>▲</w:t>
      </w:r>
      <w:r>
        <w:rPr>
          <w:rFonts w:hint="eastAsia" w:ascii="宋体" w:hAnsi="宋体" w:cs="宋体"/>
          <w:b/>
          <w:kern w:val="0"/>
          <w:sz w:val="24"/>
        </w:rPr>
        <w:t>5.投标总价不得超过最高限价。</w:t>
      </w:r>
    </w:p>
    <w:p>
      <w:pPr>
        <w:spacing w:line="360" w:lineRule="auto"/>
        <w:ind w:firstLine="480" w:firstLineChars="200"/>
        <w:rPr>
          <w:rFonts w:ascii="宋体" w:hAnsi="宋体" w:cs="宋体"/>
          <w:kern w:val="0"/>
          <w:sz w:val="24"/>
        </w:rPr>
      </w:pPr>
      <w:r>
        <w:rPr>
          <w:rFonts w:hint="eastAsia" w:ascii="宋体" w:hAnsi="宋体" w:cs="宋体"/>
          <w:kern w:val="0"/>
          <w:sz w:val="24"/>
        </w:rPr>
        <w:t>6、如投标设备为国产设备，以人民币报价，投标报价包含设备(包括主机、标准附件、备品备件、专用工具)、设备运杂费、保险费、利润、税金等。</w:t>
      </w:r>
    </w:p>
    <w:p>
      <w:pPr>
        <w:spacing w:line="360" w:lineRule="auto"/>
        <w:ind w:firstLine="480" w:firstLineChars="200"/>
        <w:rPr>
          <w:rFonts w:ascii="宋体" w:hAnsi="宋体" w:cs="宋体"/>
          <w:kern w:val="0"/>
          <w:sz w:val="24"/>
        </w:rPr>
      </w:pPr>
      <w:r>
        <w:rPr>
          <w:rFonts w:hint="eastAsia" w:ascii="宋体" w:hAnsi="宋体" w:cs="宋体"/>
          <w:kern w:val="0"/>
          <w:sz w:val="24"/>
        </w:rPr>
        <w:t>7、如投标设备为进口设备，以人民币报价，交货方式为CIP杭州师范大学。投标报价须包含设备（包括主机、标准附件、备品备件、专用工具）、</w:t>
      </w:r>
      <w:r>
        <w:rPr>
          <w:rFonts w:hint="eastAsia" w:ascii="宋体" w:hAnsi="宋体" w:cs="宋体"/>
          <w:b/>
          <w:kern w:val="0"/>
          <w:sz w:val="24"/>
        </w:rPr>
        <w:t>国际运费及运输保险费、国内运费及运输保险费、进口关税及增值税（①是否免税，由投标人根据国家相关规定自行判断并考虑在投标报价中；②因贸易战等产生的加征关税，如对原产于美国的进口设备加征的关税费等）</w:t>
      </w:r>
      <w:r>
        <w:rPr>
          <w:rFonts w:hint="eastAsia" w:ascii="宋体" w:hAnsi="宋体" w:cs="宋体"/>
          <w:kern w:val="0"/>
          <w:sz w:val="24"/>
        </w:rPr>
        <w:t>、利润、税金、外贸代理费等。</w:t>
      </w:r>
    </w:p>
    <w:p>
      <w:pPr>
        <w:spacing w:line="360" w:lineRule="auto"/>
        <w:ind w:firstLine="482" w:firstLineChars="200"/>
        <w:rPr>
          <w:rFonts w:ascii="宋体" w:hAnsi="Calibri" w:cs="宋体"/>
          <w:b/>
          <w:kern w:val="0"/>
          <w:sz w:val="24"/>
        </w:rPr>
      </w:pPr>
      <w:r>
        <w:rPr>
          <w:rFonts w:hint="eastAsia" w:ascii="宋体" w:hAnsi="宋体" w:cs="宋体"/>
          <w:b/>
          <w:kern w:val="0"/>
          <w:sz w:val="24"/>
        </w:rPr>
        <w:t>8、经公开招标，确定浙江省科学器材进出口有限责任公司为我校外贸代理机构，由中标人委托浙江省科学器材进出口有限责任公司办理免税事宜，采购人予</w:t>
      </w:r>
      <w:r>
        <w:rPr>
          <w:b/>
          <w:kern w:val="0"/>
          <w:sz w:val="24"/>
        </w:rPr>
        <w:t>以协助，所需费用由中标人承担</w:t>
      </w:r>
      <w:r>
        <w:rPr>
          <w:rFonts w:hint="eastAsia"/>
          <w:b/>
          <w:kern w:val="0"/>
          <w:sz w:val="24"/>
        </w:rPr>
        <w:t>。</w:t>
      </w:r>
      <w:r>
        <w:rPr>
          <w:rFonts w:hint="eastAsia" w:ascii="宋体" w:hAnsi="Calibri" w:cs="宋体"/>
          <w:b/>
          <w:kern w:val="0"/>
          <w:sz w:val="24"/>
        </w:rPr>
        <w:t>外贸代理费按代理项目技术协议金额乘以收费费率计算。各档次费率按下表执行：</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662"/>
        <w:gridCol w:w="4569"/>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662" w:type="dxa"/>
            <w:vAlign w:val="center"/>
          </w:tcPr>
          <w:p>
            <w:pPr>
              <w:wordWrap w:val="0"/>
              <w:spacing w:line="360" w:lineRule="auto"/>
              <w:jc w:val="left"/>
              <w:rPr>
                <w:sz w:val="24"/>
              </w:rPr>
            </w:pPr>
            <w:r>
              <w:rPr>
                <w:color w:val="000000"/>
                <w:sz w:val="24"/>
              </w:rPr>
              <w:t>代理金额(单票)</w:t>
            </w:r>
          </w:p>
        </w:tc>
        <w:tc>
          <w:tcPr>
            <w:tcW w:w="4569" w:type="dxa"/>
            <w:vAlign w:val="center"/>
          </w:tcPr>
          <w:p>
            <w:pPr>
              <w:wordWrap w:val="0"/>
              <w:spacing w:line="360" w:lineRule="auto"/>
              <w:jc w:val="left"/>
              <w:rPr>
                <w:sz w:val="24"/>
              </w:rPr>
            </w:pPr>
            <w:r>
              <w:rPr>
                <w:color w:val="000000"/>
                <w:sz w:val="24"/>
              </w:rPr>
              <w:t>代理费率</w:t>
            </w:r>
          </w:p>
        </w:tc>
        <w:tc>
          <w:tcPr>
            <w:tcW w:w="2661" w:type="dxa"/>
            <w:vAlign w:val="center"/>
          </w:tcPr>
          <w:p>
            <w:pPr>
              <w:wordWrap w:val="0"/>
              <w:spacing w:line="360" w:lineRule="auto"/>
              <w:jc w:val="left"/>
              <w:rPr>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662" w:type="dxa"/>
            <w:vAlign w:val="center"/>
          </w:tcPr>
          <w:p>
            <w:pPr>
              <w:wordWrap w:val="0"/>
              <w:spacing w:line="360" w:lineRule="auto"/>
              <w:jc w:val="left"/>
              <w:rPr>
                <w:sz w:val="24"/>
              </w:rPr>
            </w:pPr>
            <w:r>
              <w:rPr>
                <w:sz w:val="24"/>
              </w:rPr>
              <w:t>10万人民币及以下项目</w:t>
            </w:r>
          </w:p>
        </w:tc>
        <w:tc>
          <w:tcPr>
            <w:tcW w:w="4569" w:type="dxa"/>
            <w:vAlign w:val="center"/>
          </w:tcPr>
          <w:p>
            <w:pPr>
              <w:wordWrap w:val="0"/>
              <w:spacing w:line="360" w:lineRule="auto"/>
              <w:jc w:val="left"/>
              <w:rPr>
                <w:sz w:val="24"/>
              </w:rPr>
            </w:pPr>
            <w:r>
              <w:rPr>
                <w:color w:val="000000"/>
                <w:sz w:val="24"/>
              </w:rPr>
              <w:t>【3600】元人民币</w:t>
            </w:r>
          </w:p>
        </w:tc>
        <w:tc>
          <w:tcPr>
            <w:tcW w:w="2661" w:type="dxa"/>
            <w:vAlign w:val="center"/>
          </w:tcPr>
          <w:p>
            <w:pPr>
              <w:wordWrap w:val="0"/>
              <w:spacing w:line="360" w:lineRule="auto"/>
              <w:jc w:val="left"/>
              <w:rPr>
                <w:sz w:val="24"/>
              </w:rPr>
            </w:pPr>
            <w:r>
              <w:rPr>
                <w:color w:val="000000"/>
                <w:sz w:val="24"/>
              </w:rPr>
              <w:t>固定金额收费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662" w:type="dxa"/>
            <w:vAlign w:val="center"/>
          </w:tcPr>
          <w:p>
            <w:pPr>
              <w:wordWrap w:val="0"/>
              <w:spacing w:line="360" w:lineRule="auto"/>
              <w:jc w:val="left"/>
              <w:rPr>
                <w:sz w:val="24"/>
              </w:rPr>
            </w:pPr>
            <w:r>
              <w:rPr>
                <w:sz w:val="24"/>
              </w:rPr>
              <w:t>大于10万人民币且小于35万人民币</w:t>
            </w:r>
          </w:p>
        </w:tc>
        <w:tc>
          <w:tcPr>
            <w:tcW w:w="4569" w:type="dxa"/>
            <w:vAlign w:val="center"/>
          </w:tcPr>
          <w:p>
            <w:pPr>
              <w:wordWrap w:val="0"/>
              <w:spacing w:line="360" w:lineRule="auto"/>
              <w:jc w:val="left"/>
              <w:rPr>
                <w:sz w:val="24"/>
              </w:rPr>
            </w:pPr>
            <w:r>
              <w:rPr>
                <w:color w:val="000000"/>
                <w:sz w:val="24"/>
              </w:rPr>
              <w:t>【1.8】%</w:t>
            </w:r>
          </w:p>
        </w:tc>
        <w:tc>
          <w:tcPr>
            <w:tcW w:w="2661" w:type="dxa"/>
            <w:vMerge w:val="restart"/>
            <w:vAlign w:val="center"/>
          </w:tcPr>
          <w:p>
            <w:pPr>
              <w:wordWrap w:val="0"/>
              <w:spacing w:line="360" w:lineRule="auto"/>
              <w:ind w:firstLine="240" w:firstLineChars="10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662" w:type="dxa"/>
            <w:vAlign w:val="center"/>
          </w:tcPr>
          <w:p>
            <w:pPr>
              <w:wordWrap w:val="0"/>
              <w:spacing w:line="360" w:lineRule="auto"/>
              <w:jc w:val="left"/>
              <w:rPr>
                <w:sz w:val="24"/>
              </w:rPr>
            </w:pPr>
            <w:r>
              <w:rPr>
                <w:sz w:val="24"/>
              </w:rPr>
              <w:t>[35万（含），70万（不含）]</w:t>
            </w:r>
          </w:p>
        </w:tc>
        <w:tc>
          <w:tcPr>
            <w:tcW w:w="4569" w:type="dxa"/>
            <w:vAlign w:val="center"/>
          </w:tcPr>
          <w:p>
            <w:pPr>
              <w:wordWrap w:val="0"/>
              <w:spacing w:line="360" w:lineRule="auto"/>
              <w:jc w:val="left"/>
              <w:rPr>
                <w:sz w:val="24"/>
              </w:rPr>
            </w:pPr>
            <w:r>
              <w:rPr>
                <w:color w:val="000000"/>
                <w:sz w:val="24"/>
              </w:rPr>
              <w:t>【1.35】%</w:t>
            </w:r>
          </w:p>
        </w:tc>
        <w:tc>
          <w:tcPr>
            <w:tcW w:w="2661" w:type="dxa"/>
            <w:vMerge w:val="continue"/>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662" w:type="dxa"/>
            <w:vAlign w:val="center"/>
          </w:tcPr>
          <w:p>
            <w:pPr>
              <w:wordWrap w:val="0"/>
              <w:spacing w:line="360" w:lineRule="auto"/>
              <w:jc w:val="left"/>
              <w:rPr>
                <w:sz w:val="24"/>
              </w:rPr>
            </w:pPr>
            <w:r>
              <w:rPr>
                <w:sz w:val="24"/>
              </w:rPr>
              <w:t>[70万（含），140万（不含）]</w:t>
            </w:r>
          </w:p>
        </w:tc>
        <w:tc>
          <w:tcPr>
            <w:tcW w:w="4569" w:type="dxa"/>
            <w:vAlign w:val="center"/>
          </w:tcPr>
          <w:p>
            <w:pPr>
              <w:wordWrap w:val="0"/>
              <w:spacing w:line="360" w:lineRule="auto"/>
              <w:jc w:val="left"/>
              <w:rPr>
                <w:sz w:val="24"/>
              </w:rPr>
            </w:pPr>
            <w:r>
              <w:rPr>
                <w:color w:val="000000"/>
                <w:sz w:val="24"/>
              </w:rPr>
              <w:t>【1.08】%</w:t>
            </w:r>
          </w:p>
        </w:tc>
        <w:tc>
          <w:tcPr>
            <w:tcW w:w="2661" w:type="dxa"/>
            <w:vMerge w:val="continue"/>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662" w:type="dxa"/>
            <w:vAlign w:val="center"/>
          </w:tcPr>
          <w:p>
            <w:pPr>
              <w:wordWrap w:val="0"/>
              <w:spacing w:line="360" w:lineRule="auto"/>
              <w:jc w:val="left"/>
              <w:rPr>
                <w:sz w:val="24"/>
              </w:rPr>
            </w:pPr>
            <w:r>
              <w:rPr>
                <w:sz w:val="24"/>
              </w:rPr>
              <w:t>[140万（含），350万（不含）]</w:t>
            </w:r>
          </w:p>
        </w:tc>
        <w:tc>
          <w:tcPr>
            <w:tcW w:w="4569" w:type="dxa"/>
            <w:vAlign w:val="center"/>
          </w:tcPr>
          <w:p>
            <w:pPr>
              <w:wordWrap w:val="0"/>
              <w:spacing w:line="360" w:lineRule="auto"/>
              <w:jc w:val="left"/>
              <w:rPr>
                <w:sz w:val="24"/>
              </w:rPr>
            </w:pPr>
            <w:r>
              <w:rPr>
                <w:color w:val="000000"/>
                <w:sz w:val="24"/>
              </w:rPr>
              <w:t>【0.63】%</w:t>
            </w:r>
          </w:p>
        </w:tc>
        <w:tc>
          <w:tcPr>
            <w:tcW w:w="2661" w:type="dxa"/>
            <w:vMerge w:val="continue"/>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662" w:type="dxa"/>
            <w:vAlign w:val="center"/>
          </w:tcPr>
          <w:p>
            <w:pPr>
              <w:wordWrap w:val="0"/>
              <w:spacing w:line="360" w:lineRule="auto"/>
              <w:jc w:val="left"/>
              <w:rPr>
                <w:sz w:val="24"/>
              </w:rPr>
            </w:pPr>
            <w:r>
              <w:rPr>
                <w:sz w:val="24"/>
              </w:rPr>
              <w:t>[350万及以上]</w:t>
            </w:r>
          </w:p>
        </w:tc>
        <w:tc>
          <w:tcPr>
            <w:tcW w:w="4569" w:type="dxa"/>
            <w:vAlign w:val="center"/>
          </w:tcPr>
          <w:p>
            <w:pPr>
              <w:wordWrap w:val="0"/>
              <w:spacing w:line="360" w:lineRule="auto"/>
              <w:jc w:val="left"/>
              <w:rPr>
                <w:sz w:val="24"/>
              </w:rPr>
            </w:pPr>
            <w:r>
              <w:rPr>
                <w:color w:val="000000"/>
                <w:sz w:val="24"/>
              </w:rPr>
              <w:t>【0.45】%</w:t>
            </w:r>
          </w:p>
        </w:tc>
        <w:tc>
          <w:tcPr>
            <w:tcW w:w="2661" w:type="dxa"/>
            <w:vMerge w:val="continue"/>
          </w:tcPr>
          <w:p>
            <w:pPr>
              <w:spacing w:line="360" w:lineRule="auto"/>
              <w:rPr>
                <w:sz w:val="24"/>
              </w:rPr>
            </w:pPr>
          </w:p>
        </w:tc>
      </w:tr>
    </w:tbl>
    <w:p>
      <w:pPr>
        <w:pStyle w:val="62"/>
        <w:ind w:firstLine="241"/>
        <w:rPr>
          <w:b/>
          <w:bCs/>
        </w:rPr>
      </w:pPr>
      <w:r>
        <w:rPr>
          <w:b/>
          <w:bCs/>
        </w:rPr>
        <w:t>外贸代理费不包含内容</w:t>
      </w:r>
      <w:r>
        <w:rPr>
          <w:rFonts w:hint="eastAsia"/>
          <w:b/>
          <w:bCs/>
        </w:rPr>
        <w:t>：</w:t>
      </w:r>
    </w:p>
    <w:p>
      <w:pPr>
        <w:pStyle w:val="62"/>
        <w:ind w:firstLine="480" w:firstLineChars="200"/>
      </w:pPr>
      <w:r>
        <w:t>进口代理费仅包含银行费用（一次）、报关、海关监管费、仓储、运输等费用，不含进口环节增值税、消费税、关税。因代理项目用户或代理项目供应商的原因导致的额外支出，原则上由代理项目用户或代理项目供应商支出，如以下费用：</w:t>
      </w:r>
    </w:p>
    <w:p>
      <w:pPr>
        <w:pStyle w:val="62"/>
        <w:ind w:firstLine="480" w:firstLineChars="200"/>
      </w:pPr>
      <w:r>
        <w:t>1）将一次性支付变更为多次付费的，由提出方承担增加的银行费用。如一个成交项目需要分开签署多份外贸合同的，每个合同根据合同金额所处区间确定代理费率。</w:t>
      </w:r>
    </w:p>
    <w:p>
      <w:pPr>
        <w:pStyle w:val="62"/>
        <w:ind w:firstLine="480" w:firstLineChars="200"/>
      </w:pPr>
      <w:r>
        <w:t>2）货物到港地为</w:t>
      </w:r>
      <w:r>
        <w:rPr>
          <w:rFonts w:hint="eastAsia"/>
        </w:rPr>
        <w:t>杭州</w:t>
      </w:r>
      <w:r>
        <w:t>以外的异地目的港，或者货物最终目的地为</w:t>
      </w:r>
      <w:r>
        <w:rPr>
          <w:rFonts w:hint="eastAsia"/>
        </w:rPr>
        <w:t>杭州</w:t>
      </w:r>
      <w:r>
        <w:t>以外的异地地点时，需要产生的额外运费、保险费和搬卸费。</w:t>
      </w:r>
    </w:p>
    <w:p>
      <w:pPr>
        <w:pStyle w:val="62"/>
        <w:ind w:firstLine="480" w:firstLineChars="200"/>
      </w:pPr>
      <w:r>
        <w:t>3）海运进口换单费超出300元/票的部分（此条款针对个别海运进口的供应商，在发货当地选择价格特别低廉甚至0成本运费的方式，从而把物流成本转嫁到国内段，以换单费等形式向国内客户收取的情况）。</w:t>
      </w:r>
    </w:p>
    <w:p>
      <w:pPr>
        <w:pStyle w:val="62"/>
        <w:ind w:firstLine="480" w:firstLineChars="200"/>
      </w:pPr>
      <w:r>
        <w:t>4）特种设备检测费、能效检测费、最终用户和最终用途说明办理费用；</w:t>
      </w:r>
    </w:p>
    <w:p>
      <w:pPr>
        <w:pStyle w:val="62"/>
        <w:ind w:firstLine="480" w:firstLineChars="200"/>
      </w:pPr>
      <w:r>
        <w:t>特殊物品生物卫生检验备案费等其它特殊收费；</w:t>
      </w:r>
    </w:p>
    <w:p>
      <w:pPr>
        <w:pStyle w:val="62"/>
        <w:ind w:firstLine="480" w:firstLineChars="200"/>
      </w:pPr>
      <w:r>
        <w:t>因特殊原因导致额外增加的仓储费，如入冷冻仓库和危险品仓库的仓储费；</w:t>
      </w:r>
    </w:p>
    <w:p>
      <w:pPr>
        <w:pStyle w:val="62"/>
        <w:ind w:firstLine="480" w:firstLineChars="200"/>
      </w:pPr>
      <w:r>
        <w:t>需要使用特殊运输车辆（如避震车、冷链运输等）的费用；</w:t>
      </w:r>
    </w:p>
    <w:p>
      <w:pPr>
        <w:pStyle w:val="62"/>
        <w:ind w:firstLine="480" w:firstLineChars="200"/>
      </w:pPr>
      <w:r>
        <w:t>试剂类产品额外增加费用。</w:t>
      </w:r>
    </w:p>
    <w:p>
      <w:pPr>
        <w:pStyle w:val="62"/>
        <w:ind w:firstLine="480" w:firstLineChars="200"/>
      </w:pPr>
      <w:r>
        <w:t>5）因供应商指定货代导致的额外费用。</w:t>
      </w:r>
    </w:p>
    <w:p>
      <w:pPr>
        <w:pStyle w:val="62"/>
        <w:ind w:firstLine="480" w:firstLineChars="200"/>
      </w:pPr>
      <w:r>
        <w:t>如遇以上未涉及的收费，参照以上处理。</w:t>
      </w:r>
      <w:r>
        <w:rPr>
          <w:rFonts w:hint="eastAsia"/>
        </w:rPr>
        <w:t>采购人</w:t>
      </w:r>
      <w:r>
        <w:t>可根据实际情况，对以上例外内容与各供应商进行商量后调整本附件内容。</w:t>
      </w:r>
    </w:p>
    <w:p>
      <w:pPr>
        <w:snapToGrid w:val="0"/>
        <w:spacing w:line="360" w:lineRule="auto"/>
        <w:ind w:firstLine="480" w:firstLineChars="200"/>
        <w:jc w:val="left"/>
        <w:rPr>
          <w:rFonts w:ascii="宋体" w:hAnsi="宋体" w:cs="宋体"/>
          <w:b/>
          <w:kern w:val="0"/>
          <w:sz w:val="24"/>
          <w:lang w:val="zh-CN"/>
        </w:rPr>
      </w:pPr>
      <w:r>
        <w:rPr>
          <w:sz w:val="24"/>
        </w:rPr>
        <w:t>所有超出费用据实结算，在结算时需要向收费人列出明细及单据，并向</w:t>
      </w:r>
      <w:r>
        <w:rPr>
          <w:rFonts w:hint="eastAsia"/>
          <w:sz w:val="24"/>
        </w:rPr>
        <w:t>杭州师范大学</w:t>
      </w:r>
      <w:r>
        <w:rPr>
          <w:sz w:val="24"/>
        </w:rPr>
        <w:t>备案。同意其对此明细进行公示。</w:t>
      </w: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1" w:name="OLE_LINK13"/>
      <w:bookmarkStart w:id="402" w:name="OLE_LINK14"/>
      <w:r>
        <w:rPr>
          <w:rFonts w:hint="eastAsia" w:ascii="宋体" w:hAnsi="宋体" w:cs="宋体"/>
          <w:b/>
          <w:spacing w:val="6"/>
          <w:sz w:val="32"/>
          <w:szCs w:val="32"/>
        </w:rPr>
        <w:t>残疾人福利性单位声明函</w:t>
      </w:r>
    </w:p>
    <w:bookmarkEnd w:id="401"/>
    <w:bookmarkEnd w:id="40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杭州师范大学</w:t>
      </w:r>
      <w:r>
        <w:rPr>
          <w:rFonts w:hint="eastAsia" w:ascii="宋体" w:hAnsi="宋体" w:cs="宋体"/>
          <w:sz w:val="24"/>
        </w:rPr>
        <w:t>_单位的</w:t>
      </w:r>
      <w:r>
        <w:rPr>
          <w:rFonts w:hint="eastAsia" w:ascii="宋体" w:hAnsi="宋体" w:cs="宋体"/>
          <w:sz w:val="24"/>
          <w:u w:val="single"/>
        </w:rPr>
        <w:t>细胞高内涵成像系统和智能型超速离心机采购项目</w:t>
      </w:r>
      <w:r>
        <w:rPr>
          <w:rFonts w:hint="eastAsia" w:ascii="宋体" w:hAnsi="宋体" w:cs="宋体"/>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杭州师范大学、浙江中诺招标代理有限公司：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你方组织的细胞高内涵成像系统和智能型超速离心机采购项目【招标编号：HZNU-2023086】</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细胞高内涵成像系统和智能型超速离心机采购项目【招标编号：HZNU-2023086】</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0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0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04"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0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spacing w:val="6"/>
          <w:sz w:val="32"/>
          <w:szCs w:val="32"/>
        </w:rPr>
        <w:br w:type="page"/>
      </w: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细胞高内涵成像系统和智能型超速离心机采购项目【招标编号：HZNU-2023086】</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杭州师范大学 </w:t>
      </w:r>
      <w:r>
        <w:rPr>
          <w:rFonts w:hint="eastAsia" w:ascii="宋体" w:hAnsi="宋体" w:cs="宋体"/>
          <w:sz w:val="24"/>
        </w:rPr>
        <w:t>的</w:t>
      </w:r>
      <w:r>
        <w:rPr>
          <w:rFonts w:hint="eastAsia" w:ascii="宋体" w:hAnsi="宋体" w:cs="宋体"/>
          <w:sz w:val="24"/>
          <w:u w:val="single"/>
        </w:rPr>
        <w:t xml:space="preserve"> 细胞高内涵成像系统和智能型超速离心机采购项目</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MS Sans Serif">
    <w:altName w:val="Segoe UI Symbo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Wingdings 2">
    <w:panose1 w:val="05020102010507070707"/>
    <w:charset w:val="02"/>
    <w:family w:val="roman"/>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4"/>
      </w:rPr>
    </w:pPr>
    <w:r>
      <w:fldChar w:fldCharType="begin"/>
    </w:r>
    <w:r>
      <w:rPr>
        <w:rStyle w:val="74"/>
      </w:rPr>
      <w:instrText xml:space="preserve">PAGE  </w:instrText>
    </w:r>
    <w:r>
      <w:fldChar w:fldCharType="end"/>
    </w:r>
  </w:p>
  <w:p>
    <w:pPr>
      <w:pStyle w:val="3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bookmarkStart w:id="406" w:name="_Toc131845147"/>
    <w:bookmarkStart w:id="407" w:name="_Toc164085800"/>
    <w:bookmarkStart w:id="408" w:name="_Toc36110187"/>
    <w:bookmarkStart w:id="409" w:name="_Toc91899912"/>
    <w:r>
      <w:rPr>
        <w:rFonts w:hint="eastAsia" w:ascii="仿宋_GB2312" w:eastAsia="仿宋_GB2312"/>
        <w:kern w:val="0"/>
        <w:szCs w:val="21"/>
      </w:rPr>
      <w:t xml:space="preserve"> 页</w:t>
    </w:r>
    <w:bookmarkEnd w:id="406"/>
    <w:bookmarkEnd w:id="407"/>
    <w:bookmarkEnd w:id="408"/>
    <w:bookmarkEnd w:id="4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4"/>
      </w:rPr>
    </w:pPr>
    <w:r>
      <w:fldChar w:fldCharType="begin"/>
    </w:r>
    <w:r>
      <w:rPr>
        <w:rStyle w:val="74"/>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rPr>
        <w:rFonts w:ascii="仿宋_GB2312" w:eastAsia="仿宋_GB2312"/>
        <w:b/>
        <w:i/>
        <w:iCs/>
        <w:u w:val="single"/>
      </w:rPr>
    </w:pPr>
    <w:r>
      <w:rPr>
        <w:rFonts w:hint="eastAsia" w:ascii="宋体" w:hAnsi="宋体" w:cs="宋体"/>
      </w:rPr>
      <w:t>细胞高内涵成像系统和智能型超速离心机采购项目                             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工学院2023年实验室建设项目</w:t>
    </w:r>
    <w:r>
      <w:rPr>
        <w:rFonts w:hint="eastAsia" w:ascii="宋体" w:hAnsi="宋体" w:cs="宋体"/>
      </w:rPr>
      <w:t xml:space="preserve">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tabs>
        <w:tab w:val="center" w:pos="4535"/>
        <w:tab w:val="right" w:pos="9070"/>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jc w:val="center"/>
      <w:rPr>
        <w:rFonts w:ascii="仿宋_GB2312" w:eastAsia="仿宋_GB2312"/>
        <w:i/>
        <w:sz w:val="18"/>
        <w:u w:val="single"/>
      </w:rPr>
    </w:pPr>
    <w:r>
      <w:rPr>
        <w:rFonts w:hint="eastAsia" w:ascii="宋体" w:hAnsi="宋体" w:cs="宋体"/>
        <w:color w:val="000000"/>
        <w:kern w:val="0"/>
        <w:sz w:val="18"/>
        <w:szCs w:val="18"/>
        <w:lang w:bidi="ar"/>
      </w:rPr>
      <w:t>细胞高内涵成像系统和智能型超速离心机</w:t>
    </w:r>
    <w:r>
      <w:rPr>
        <w:rFonts w:hint="eastAsia" w:ascii="宋体" w:hAnsi="宋体" w:cs="宋体"/>
        <w:sz w:val="18"/>
        <w:szCs w:val="18"/>
      </w:rPr>
      <w:t>采购项目                             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jc w:val="center"/>
    </w:pPr>
    <w:r>
      <w:rPr>
        <w:rFonts w:hint="eastAsia" w:ascii="宋体" w:hAnsi="宋体" w:cs="宋体"/>
        <w:color w:val="000000"/>
        <w:kern w:val="0"/>
        <w:sz w:val="18"/>
        <w:szCs w:val="18"/>
        <w:lang w:bidi="ar"/>
      </w:rPr>
      <w:t>细胞高内涵成像系统和智能型超速离心机</w:t>
    </w:r>
    <w:r>
      <w:rPr>
        <w:rFonts w:hint="eastAsia" w:ascii="宋体" w:hAnsi="宋体" w:cs="宋体"/>
        <w:sz w:val="18"/>
        <w:szCs w:val="18"/>
      </w:rPr>
      <w:t>采购项目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rPr>
        <w:rFonts w:hint="eastAsia" w:ascii="宋体" w:hAnsi="宋体" w:cs="宋体"/>
        <w:color w:val="000000"/>
        <w:kern w:val="0"/>
        <w:lang w:bidi="ar"/>
      </w:rPr>
      <w:t>细胞高内涵成像系统和智能型超速离心机</w:t>
    </w:r>
    <w:r>
      <w:rPr>
        <w:rFonts w:hint="eastAsia" w:ascii="宋体" w:hAnsi="宋体" w:cs="宋体"/>
      </w:rPr>
      <w:t>采购项目                             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rPr>
        <w:rFonts w:ascii="仿宋_GB2312" w:eastAsia="仿宋_GB2312"/>
        <w:b/>
        <w:i/>
        <w:u w:val="single"/>
      </w:rPr>
    </w:pPr>
    <w:r>
      <w:rPr>
        <w:rFonts w:hint="eastAsia"/>
      </w:rPr>
      <w:t>细胞高内涵成像系统和智能型超速离心机采购项目</w:t>
    </w:r>
    <w:r>
      <w:rPr>
        <w:rFonts w:hint="eastAsia" w:ascii="宋体" w:hAnsi="宋体" w:cs="宋体"/>
      </w:rPr>
      <w:t xml:space="preserve">                             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rPr>
        <w:rFonts w:ascii="仿宋_GB2312" w:eastAsia="仿宋_GB2312"/>
        <w:b/>
        <w:i/>
        <w:u w:val="single"/>
      </w:rPr>
    </w:pPr>
    <w:r>
      <w:rPr>
        <w:rFonts w:hint="eastAsia" w:ascii="宋体" w:hAnsi="宋体" w:cs="宋体"/>
      </w:rPr>
      <w:t>细胞高内涵成像系统和智能型超速离心机采购项目                             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rPr>
        <w:rFonts w:ascii="仿宋_GB2312" w:eastAsia="仿宋_GB2312"/>
        <w:b/>
        <w:i/>
        <w:u w:val="single"/>
      </w:rPr>
    </w:pPr>
    <w:r>
      <w:rPr>
        <w:rFonts w:hint="eastAsia" w:ascii="宋体" w:hAnsi="宋体" w:cs="宋体"/>
      </w:rPr>
      <w:t>细胞高内涵成像系统和智能型超速离心机采购项目                             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pPr>
    <w:r>
      <w:rPr>
        <w:rFonts w:hint="eastAsia"/>
      </w:rPr>
      <w:t xml:space="preserve"> </w:t>
    </w:r>
    <w:r>
      <w:rPr>
        <w:rFonts w:hint="eastAsia" w:ascii="宋体" w:hAnsi="宋体" w:cs="宋体"/>
        <w:color w:val="000000"/>
        <w:kern w:val="0"/>
        <w:lang w:bidi="ar"/>
      </w:rPr>
      <w:t>细胞高内涵成像系统和智能型超速离心机</w:t>
    </w:r>
    <w:r>
      <w:rPr>
        <w:rFonts w:hint="eastAsia" w:ascii="宋体" w:hAnsi="宋体" w:cs="宋体"/>
      </w:rPr>
      <w:t>采购项目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EDF7E"/>
    <w:multiLevelType w:val="singleLevel"/>
    <w:tmpl w:val="CB3EDF7E"/>
    <w:lvl w:ilvl="0" w:tentative="0">
      <w:start w:val="4"/>
      <w:numFmt w:val="decimal"/>
      <w:lvlText w:val="%1."/>
      <w:lvlJc w:val="left"/>
      <w:pPr>
        <w:tabs>
          <w:tab w:val="left" w:pos="312"/>
        </w:tabs>
      </w:pPr>
    </w:lvl>
  </w:abstractNum>
  <w:abstractNum w:abstractNumId="1">
    <w:nsid w:val="E535673B"/>
    <w:multiLevelType w:val="singleLevel"/>
    <w:tmpl w:val="E535673B"/>
    <w:lvl w:ilvl="0" w:tentative="0">
      <w:start w:val="1"/>
      <w:numFmt w:val="decimal"/>
      <w:suff w:val="nothing"/>
      <w:lvlText w:val="%1、"/>
      <w:lvlJc w:val="left"/>
    </w:lvl>
  </w:abstractNum>
  <w:abstractNum w:abstractNumId="2">
    <w:nsid w:val="E7C4E4C7"/>
    <w:multiLevelType w:val="singleLevel"/>
    <w:tmpl w:val="E7C4E4C7"/>
    <w:lvl w:ilvl="0" w:tentative="0">
      <w:start w:val="1"/>
      <w:numFmt w:val="decimal"/>
      <w:suff w:val="nothing"/>
      <w:lvlText w:val="%1、"/>
      <w:lvlJc w:val="left"/>
    </w:lvl>
  </w:abstractNum>
  <w:abstractNum w:abstractNumId="3">
    <w:nsid w:val="04D52D9B"/>
    <w:multiLevelType w:val="singleLevel"/>
    <w:tmpl w:val="04D52D9B"/>
    <w:lvl w:ilvl="0" w:tentative="0">
      <w:start w:val="3"/>
      <w:numFmt w:val="chineseCounting"/>
      <w:suff w:val="space"/>
      <w:lvlText w:val="第%1部分"/>
      <w:lvlJc w:val="left"/>
      <w:rPr>
        <w:rFonts w:hint="eastAsia"/>
      </w:rPr>
    </w:lvl>
  </w:abstractNum>
  <w:abstractNum w:abstractNumId="4">
    <w:nsid w:val="11761DDE"/>
    <w:multiLevelType w:val="multilevel"/>
    <w:tmpl w:val="11761DDE"/>
    <w:lvl w:ilvl="0" w:tentative="0">
      <w:start w:val="1"/>
      <w:numFmt w:val="decimal"/>
      <w:lvlText w:val="%1."/>
      <w:lvlJc w:val="left"/>
      <w:pPr>
        <w:ind w:left="611" w:hanging="360"/>
      </w:pPr>
      <w:rPr>
        <w:rFonts w:hAnsi="Times New Roman"/>
      </w:rPr>
    </w:lvl>
    <w:lvl w:ilvl="1" w:tentative="0">
      <w:start w:val="1"/>
      <w:numFmt w:val="lowerLetter"/>
      <w:lvlText w:val="%2."/>
      <w:lvlJc w:val="left"/>
      <w:pPr>
        <w:ind w:left="1331" w:hanging="360"/>
      </w:pPr>
    </w:lvl>
    <w:lvl w:ilvl="2" w:tentative="0">
      <w:start w:val="1"/>
      <w:numFmt w:val="lowerRoman"/>
      <w:lvlText w:val="%3."/>
      <w:lvlJc w:val="right"/>
      <w:pPr>
        <w:ind w:left="2051" w:hanging="180"/>
      </w:pPr>
    </w:lvl>
    <w:lvl w:ilvl="3" w:tentative="0">
      <w:start w:val="1"/>
      <w:numFmt w:val="decimal"/>
      <w:lvlText w:val="%4."/>
      <w:lvlJc w:val="left"/>
      <w:pPr>
        <w:ind w:left="2771" w:hanging="360"/>
      </w:pPr>
    </w:lvl>
    <w:lvl w:ilvl="4" w:tentative="0">
      <w:start w:val="1"/>
      <w:numFmt w:val="lowerLetter"/>
      <w:lvlText w:val="%5."/>
      <w:lvlJc w:val="left"/>
      <w:pPr>
        <w:ind w:left="3491" w:hanging="360"/>
      </w:pPr>
    </w:lvl>
    <w:lvl w:ilvl="5" w:tentative="0">
      <w:start w:val="1"/>
      <w:numFmt w:val="lowerRoman"/>
      <w:lvlText w:val="%6."/>
      <w:lvlJc w:val="right"/>
      <w:pPr>
        <w:ind w:left="4211" w:hanging="180"/>
      </w:pPr>
    </w:lvl>
    <w:lvl w:ilvl="6" w:tentative="0">
      <w:start w:val="1"/>
      <w:numFmt w:val="decimal"/>
      <w:lvlText w:val="%7."/>
      <w:lvlJc w:val="left"/>
      <w:pPr>
        <w:ind w:left="4931" w:hanging="360"/>
      </w:pPr>
    </w:lvl>
    <w:lvl w:ilvl="7" w:tentative="0">
      <w:start w:val="1"/>
      <w:numFmt w:val="lowerLetter"/>
      <w:lvlText w:val="%8."/>
      <w:lvlJc w:val="left"/>
      <w:pPr>
        <w:ind w:left="5651" w:hanging="360"/>
      </w:pPr>
    </w:lvl>
    <w:lvl w:ilvl="8" w:tentative="0">
      <w:start w:val="1"/>
      <w:numFmt w:val="lowerRoman"/>
      <w:lvlText w:val="%9."/>
      <w:lvlJc w:val="right"/>
      <w:pPr>
        <w:ind w:left="6371" w:hanging="180"/>
      </w:pPr>
    </w:lvl>
  </w:abstractNum>
  <w:abstractNum w:abstractNumId="5">
    <w:nsid w:val="3B2BB8FB"/>
    <w:multiLevelType w:val="singleLevel"/>
    <w:tmpl w:val="3B2BB8FB"/>
    <w:lvl w:ilvl="0" w:tentative="0">
      <w:start w:val="1"/>
      <w:numFmt w:val="decimal"/>
      <w:suff w:val="nothing"/>
      <w:lvlText w:val="%1、"/>
      <w:lvlJc w:val="left"/>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4YzBjNGNiNjk1MjlkODQ5ZTlmZTllYTg0YmFjMj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5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09A0"/>
    <w:rsid w:val="0012153F"/>
    <w:rsid w:val="0012159D"/>
    <w:rsid w:val="00121804"/>
    <w:rsid w:val="00121EC9"/>
    <w:rsid w:val="001224FE"/>
    <w:rsid w:val="00122715"/>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8E4"/>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548"/>
    <w:rsid w:val="00193B94"/>
    <w:rsid w:val="001940A7"/>
    <w:rsid w:val="00194BB1"/>
    <w:rsid w:val="00194BC6"/>
    <w:rsid w:val="00194DE5"/>
    <w:rsid w:val="00195070"/>
    <w:rsid w:val="00195245"/>
    <w:rsid w:val="0019526D"/>
    <w:rsid w:val="0019553F"/>
    <w:rsid w:val="001956BE"/>
    <w:rsid w:val="00195917"/>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3F4"/>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6BA"/>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C2B"/>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2E49"/>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904"/>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5723"/>
    <w:rsid w:val="003B636A"/>
    <w:rsid w:val="003B69CE"/>
    <w:rsid w:val="003B7403"/>
    <w:rsid w:val="003B7751"/>
    <w:rsid w:val="003C011C"/>
    <w:rsid w:val="003C0E32"/>
    <w:rsid w:val="003C11D7"/>
    <w:rsid w:val="003C16CB"/>
    <w:rsid w:val="003C1B97"/>
    <w:rsid w:val="003C247B"/>
    <w:rsid w:val="003C3292"/>
    <w:rsid w:val="003C3354"/>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E75"/>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739"/>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BA1"/>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3EFF"/>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6E"/>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1C"/>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C06"/>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522"/>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466"/>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6C"/>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6D4"/>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6D7A"/>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0CC"/>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5E22"/>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2A9F"/>
    <w:rsid w:val="008E323C"/>
    <w:rsid w:val="008E32E0"/>
    <w:rsid w:val="008E35A6"/>
    <w:rsid w:val="008E36D9"/>
    <w:rsid w:val="008E3A5C"/>
    <w:rsid w:val="008E3A9A"/>
    <w:rsid w:val="008E429E"/>
    <w:rsid w:val="008E58A3"/>
    <w:rsid w:val="008E5938"/>
    <w:rsid w:val="008E6109"/>
    <w:rsid w:val="008E6A39"/>
    <w:rsid w:val="008E76BB"/>
    <w:rsid w:val="008F066E"/>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6B11"/>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A80"/>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3E8F"/>
    <w:rsid w:val="009B4368"/>
    <w:rsid w:val="009B4D4C"/>
    <w:rsid w:val="009B66F5"/>
    <w:rsid w:val="009B7505"/>
    <w:rsid w:val="009C0020"/>
    <w:rsid w:val="009C03F7"/>
    <w:rsid w:val="009C10DA"/>
    <w:rsid w:val="009C19FC"/>
    <w:rsid w:val="009C2568"/>
    <w:rsid w:val="009C27F7"/>
    <w:rsid w:val="009C3BC4"/>
    <w:rsid w:val="009C3C93"/>
    <w:rsid w:val="009C3E97"/>
    <w:rsid w:val="009C4017"/>
    <w:rsid w:val="009C4064"/>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4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9C4"/>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BB6"/>
    <w:rsid w:val="00AE1C5C"/>
    <w:rsid w:val="00AE2BFF"/>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BA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5F9"/>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6CE"/>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3C4D"/>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3B"/>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90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CCA"/>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3E2A"/>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54A"/>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726"/>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485FF7"/>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B35350"/>
    <w:rsid w:val="07245D42"/>
    <w:rsid w:val="07264C62"/>
    <w:rsid w:val="0779354C"/>
    <w:rsid w:val="07F267E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773E06"/>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0C7676"/>
    <w:rsid w:val="12255233"/>
    <w:rsid w:val="12530213"/>
    <w:rsid w:val="127723A9"/>
    <w:rsid w:val="12862074"/>
    <w:rsid w:val="12883966"/>
    <w:rsid w:val="129E45B4"/>
    <w:rsid w:val="12D81596"/>
    <w:rsid w:val="13072A44"/>
    <w:rsid w:val="132C0F1F"/>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A30E4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2E0596"/>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53FCF"/>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6F6846"/>
    <w:rsid w:val="27783712"/>
    <w:rsid w:val="27907362"/>
    <w:rsid w:val="27D63AFF"/>
    <w:rsid w:val="28333E1D"/>
    <w:rsid w:val="28454BD6"/>
    <w:rsid w:val="28455253"/>
    <w:rsid w:val="28551971"/>
    <w:rsid w:val="285B1C53"/>
    <w:rsid w:val="2861066E"/>
    <w:rsid w:val="287B3AA5"/>
    <w:rsid w:val="289A7E81"/>
    <w:rsid w:val="289F7086"/>
    <w:rsid w:val="28C32028"/>
    <w:rsid w:val="28CC490F"/>
    <w:rsid w:val="28DE40AA"/>
    <w:rsid w:val="29307048"/>
    <w:rsid w:val="29345E77"/>
    <w:rsid w:val="294C65AD"/>
    <w:rsid w:val="29806583"/>
    <w:rsid w:val="298B3C4C"/>
    <w:rsid w:val="29F26D24"/>
    <w:rsid w:val="2A15033F"/>
    <w:rsid w:val="2A1662C1"/>
    <w:rsid w:val="2A1C7367"/>
    <w:rsid w:val="2A2815FA"/>
    <w:rsid w:val="2A30050E"/>
    <w:rsid w:val="2A6D6092"/>
    <w:rsid w:val="2A7D76B4"/>
    <w:rsid w:val="2B437463"/>
    <w:rsid w:val="2B500498"/>
    <w:rsid w:val="2B7807EE"/>
    <w:rsid w:val="2BA50BF7"/>
    <w:rsid w:val="2BBF00EC"/>
    <w:rsid w:val="2BC37CFD"/>
    <w:rsid w:val="2BD5237F"/>
    <w:rsid w:val="2BE536CE"/>
    <w:rsid w:val="2BE758D9"/>
    <w:rsid w:val="2C09049E"/>
    <w:rsid w:val="2C0A653C"/>
    <w:rsid w:val="2C191F85"/>
    <w:rsid w:val="2C19673F"/>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82C79"/>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1C5CF2"/>
    <w:rsid w:val="363A3B40"/>
    <w:rsid w:val="365302AE"/>
    <w:rsid w:val="36607A0A"/>
    <w:rsid w:val="366E227C"/>
    <w:rsid w:val="366F2E0D"/>
    <w:rsid w:val="367B6A5C"/>
    <w:rsid w:val="36A74ADA"/>
    <w:rsid w:val="36AD60D5"/>
    <w:rsid w:val="36B224F9"/>
    <w:rsid w:val="36EC0CC9"/>
    <w:rsid w:val="373F410B"/>
    <w:rsid w:val="37C72C0A"/>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30C17"/>
    <w:rsid w:val="3C5F759A"/>
    <w:rsid w:val="3C6C525A"/>
    <w:rsid w:val="3CCE23CB"/>
    <w:rsid w:val="3CD17D17"/>
    <w:rsid w:val="3D3C7F39"/>
    <w:rsid w:val="3D440F09"/>
    <w:rsid w:val="3D4504A0"/>
    <w:rsid w:val="3D4B7018"/>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2A6B57"/>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FA43D0"/>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160CFA"/>
    <w:rsid w:val="477B778F"/>
    <w:rsid w:val="478203EC"/>
    <w:rsid w:val="47B025FA"/>
    <w:rsid w:val="47CA5FE3"/>
    <w:rsid w:val="4809698F"/>
    <w:rsid w:val="4811697D"/>
    <w:rsid w:val="487A3E25"/>
    <w:rsid w:val="488B5503"/>
    <w:rsid w:val="48937E21"/>
    <w:rsid w:val="489A0361"/>
    <w:rsid w:val="48A16BAF"/>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235B10"/>
    <w:rsid w:val="4E793892"/>
    <w:rsid w:val="4E800872"/>
    <w:rsid w:val="4EC569ED"/>
    <w:rsid w:val="4ED50EA1"/>
    <w:rsid w:val="4EEC050C"/>
    <w:rsid w:val="4F104EC3"/>
    <w:rsid w:val="4F47354A"/>
    <w:rsid w:val="4F4B7AA8"/>
    <w:rsid w:val="4F911C54"/>
    <w:rsid w:val="4FE625E0"/>
    <w:rsid w:val="5021480F"/>
    <w:rsid w:val="505E7F05"/>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B6A85"/>
    <w:rsid w:val="53544462"/>
    <w:rsid w:val="536C50F9"/>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19132E"/>
    <w:rsid w:val="6236763C"/>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B15AE"/>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8D2AED"/>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495E64"/>
    <w:rsid w:val="6B573233"/>
    <w:rsid w:val="6B5B6274"/>
    <w:rsid w:val="6B935D53"/>
    <w:rsid w:val="6C196F71"/>
    <w:rsid w:val="6C226FCB"/>
    <w:rsid w:val="6C31226F"/>
    <w:rsid w:val="6C552F0B"/>
    <w:rsid w:val="6C727881"/>
    <w:rsid w:val="6C8C67B7"/>
    <w:rsid w:val="6C9D744C"/>
    <w:rsid w:val="6D052FF0"/>
    <w:rsid w:val="6D167928"/>
    <w:rsid w:val="6D26299B"/>
    <w:rsid w:val="6D4772EC"/>
    <w:rsid w:val="6D9078AF"/>
    <w:rsid w:val="6DAA3FEF"/>
    <w:rsid w:val="6DBA4EBB"/>
    <w:rsid w:val="6DC0172B"/>
    <w:rsid w:val="6DCB690C"/>
    <w:rsid w:val="6DD41A5B"/>
    <w:rsid w:val="6DF43C2E"/>
    <w:rsid w:val="6DF51CA3"/>
    <w:rsid w:val="6E8335BD"/>
    <w:rsid w:val="6E8E12EF"/>
    <w:rsid w:val="6E972936"/>
    <w:rsid w:val="6ED446C5"/>
    <w:rsid w:val="6F2A7D94"/>
    <w:rsid w:val="6F657E0C"/>
    <w:rsid w:val="6F8331F1"/>
    <w:rsid w:val="6FAE1A09"/>
    <w:rsid w:val="6FD75BF8"/>
    <w:rsid w:val="705515DB"/>
    <w:rsid w:val="707723D0"/>
    <w:rsid w:val="70F5661B"/>
    <w:rsid w:val="711517D9"/>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CC59B5"/>
    <w:rsid w:val="79E27E8B"/>
    <w:rsid w:val="79F850CE"/>
    <w:rsid w:val="79FD443C"/>
    <w:rsid w:val="7A1D1975"/>
    <w:rsid w:val="7A3E5150"/>
    <w:rsid w:val="7A4670D6"/>
    <w:rsid w:val="7A534B63"/>
    <w:rsid w:val="7A615382"/>
    <w:rsid w:val="7A67303B"/>
    <w:rsid w:val="7A8844D7"/>
    <w:rsid w:val="7AAB1D04"/>
    <w:rsid w:val="7ABA4368"/>
    <w:rsid w:val="7AD05746"/>
    <w:rsid w:val="7B257FFD"/>
    <w:rsid w:val="7B273D20"/>
    <w:rsid w:val="7B343476"/>
    <w:rsid w:val="7B5A2978"/>
    <w:rsid w:val="7B5A7E4C"/>
    <w:rsid w:val="7B667AF9"/>
    <w:rsid w:val="7B7468F8"/>
    <w:rsid w:val="7BEE0103"/>
    <w:rsid w:val="7C0A0FE4"/>
    <w:rsid w:val="7C254906"/>
    <w:rsid w:val="7C590818"/>
    <w:rsid w:val="7C614610"/>
    <w:rsid w:val="7C7C10F6"/>
    <w:rsid w:val="7C853BEA"/>
    <w:rsid w:val="7C881368"/>
    <w:rsid w:val="7CBA389C"/>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3"/>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5"/>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2"/>
    <w:qFormat/>
    <w:uiPriority w:val="0"/>
    <w:pPr>
      <w:ind w:left="100" w:leftChars="2500"/>
    </w:pPr>
    <w:rPr>
      <w:rFonts w:ascii="宋体"/>
      <w:sz w:val="24"/>
      <w:szCs w:val="21"/>
      <w:lang w:val="zh-CN"/>
    </w:rPr>
  </w:style>
  <w:style w:type="paragraph" w:styleId="36">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89"/>
    <w:qFormat/>
    <w:uiPriority w:val="0"/>
    <w:rPr>
      <w:sz w:val="18"/>
      <w:szCs w:val="18"/>
    </w:rPr>
  </w:style>
  <w:style w:type="paragraph" w:styleId="39">
    <w:name w:val="footer"/>
    <w:basedOn w:val="1"/>
    <w:link w:val="383"/>
    <w:qFormat/>
    <w:uiPriority w:val="99"/>
    <w:pPr>
      <w:tabs>
        <w:tab w:val="center" w:pos="4153"/>
        <w:tab w:val="right" w:pos="8306"/>
      </w:tabs>
      <w:snapToGrid w:val="0"/>
      <w:jc w:val="left"/>
    </w:pPr>
    <w:rPr>
      <w:sz w:val="18"/>
      <w:szCs w:val="18"/>
    </w:rPr>
  </w:style>
  <w:style w:type="paragraph" w:styleId="40">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10"/>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5"/>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2"/>
    <w:qFormat/>
    <w:uiPriority w:val="0"/>
    <w:pPr>
      <w:spacing w:after="120" w:line="480" w:lineRule="auto"/>
    </w:pPr>
  </w:style>
  <w:style w:type="paragraph" w:styleId="56">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index 2"/>
    <w:basedOn w:val="59"/>
    <w:next w:val="1"/>
    <w:qFormat/>
    <w:uiPriority w:val="0"/>
    <w:pPr>
      <w:ind w:left="283"/>
    </w:pPr>
  </w:style>
  <w:style w:type="paragraph" w:customStyle="1" w:styleId="59">
    <w:name w:val="Index"/>
    <w:basedOn w:val="1"/>
    <w:qFormat/>
    <w:uiPriority w:val="0"/>
    <w:pPr>
      <w:autoSpaceDN w:val="0"/>
      <w:jc w:val="left"/>
    </w:pPr>
    <w:rPr>
      <w:rFonts w:ascii="Arial" w:hAnsi="Arial" w:eastAsia="PMingLiU" w:cs="Tahoma"/>
      <w:kern w:val="0"/>
      <w:sz w:val="20"/>
      <w:szCs w:val="20"/>
      <w:lang w:val="en-GB" w:eastAsia="zh-TW"/>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7"/>
    <w:qFormat/>
    <w:uiPriority w:val="0"/>
    <w:rPr>
      <w:b/>
      <w:bCs/>
    </w:rPr>
  </w:style>
  <w:style w:type="paragraph" w:styleId="62">
    <w:name w:val="Body Text First Indent"/>
    <w:basedOn w:val="23"/>
    <w:next w:val="50"/>
    <w:link w:val="321"/>
    <w:qFormat/>
    <w:uiPriority w:val="0"/>
    <w:pPr>
      <w:ind w:firstLine="420"/>
    </w:pPr>
    <w:rPr>
      <w:rFonts w:hAnsi="Calibri" w:cs="Times New Roman"/>
      <w:snapToGrid/>
      <w:szCs w:val="20"/>
    </w:rPr>
  </w:style>
  <w:style w:type="paragraph" w:styleId="63">
    <w:name w:val="Body Text First Indent 2"/>
    <w:basedOn w:val="24"/>
    <w:link w:val="122"/>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_Style 1"/>
    <w:basedOn w:val="1"/>
    <w:qFormat/>
    <w:uiPriority w:val="34"/>
    <w:pPr>
      <w:adjustRightInd/>
      <w:ind w:firstLine="420" w:firstLineChars="200"/>
    </w:pPr>
    <w:rPr>
      <w:rFonts w:eastAsia="仿宋_GB2312"/>
      <w:sz w:val="28"/>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字符"/>
    <w:link w:val="61"/>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文本首行缩进 2 字符"/>
    <w:link w:val="63"/>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1"/>
    <w:qFormat/>
    <w:uiPriority w:val="0"/>
    <w:rPr>
      <w:rFonts w:ascii="Arial" w:hAnsi="Arial" w:eastAsia="黑体" w:cs="Arial"/>
      <w:snapToGrid w:val="0"/>
      <w:kern w:val="0"/>
      <w:szCs w:val="21"/>
    </w:rPr>
  </w:style>
  <w:style w:type="character" w:customStyle="1" w:styleId="126">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字符"/>
    <w:link w:val="46"/>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字符"/>
    <w:link w:val="8"/>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2"/>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字符"/>
    <w:link w:val="35"/>
    <w:qFormat/>
    <w:uiPriority w:val="0"/>
    <w:rPr>
      <w:rFonts w:ascii="宋体"/>
      <w:kern w:val="2"/>
      <w:sz w:val="24"/>
      <w:szCs w:val="21"/>
      <w:lang w:val="zh-CN"/>
    </w:rPr>
  </w:style>
  <w:style w:type="character" w:customStyle="1" w:styleId="183">
    <w:name w:val="标题 9 字符"/>
    <w:link w:val="11"/>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字符1"/>
    <w:link w:val="38"/>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字符2"/>
    <w:link w:val="5"/>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字符"/>
    <w:link w:val="18"/>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1"/>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字符"/>
    <w:link w:val="29"/>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6"/>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字符"/>
    <w:link w:val="16"/>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81"/>
    <w:qFormat/>
    <w:uiPriority w:val="0"/>
    <w:rPr>
      <w:rFonts w:ascii="仿宋_GB2312"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字符1"/>
    <w:link w:val="24"/>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字符1"/>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字符"/>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字符"/>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字符"/>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字符"/>
    <w:link w:val="56"/>
    <w:qFormat/>
    <w:uiPriority w:val="0"/>
    <w:rPr>
      <w:rFonts w:ascii="黑体" w:hAnsi="Courier New" w:eastAsia="黑体"/>
    </w:rPr>
  </w:style>
  <w:style w:type="character" w:customStyle="1" w:styleId="302">
    <w:name w:val="正文文本 2 字符1"/>
    <w:link w:val="55"/>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字符"/>
    <w:link w:val="9"/>
    <w:qFormat/>
    <w:uiPriority w:val="0"/>
    <w:rPr>
      <w:b/>
      <w:bCs/>
      <w:kern w:val="2"/>
      <w:sz w:val="24"/>
      <w:szCs w:val="24"/>
    </w:rPr>
  </w:style>
  <w:style w:type="character" w:customStyle="1" w:styleId="308">
    <w:name w:val="正文文本缩进 2 字符"/>
    <w:link w:val="36"/>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字符"/>
    <w:link w:val="49"/>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文本首行缩进 字符"/>
    <w:link w:val="62"/>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字符1"/>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字符"/>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字符1"/>
    <w:link w:val="19"/>
    <w:qFormat/>
    <w:uiPriority w:val="99"/>
    <w:rPr>
      <w:kern w:val="2"/>
      <w:sz w:val="21"/>
      <w:szCs w:val="24"/>
    </w:rPr>
  </w:style>
  <w:style w:type="character" w:customStyle="1" w:styleId="345">
    <w:name w:val="签名 字符"/>
    <w:link w:val="41"/>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basedOn w:val="7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字符"/>
    <w:link w:val="52"/>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字符2"/>
    <w:link w:val="39"/>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字符2"/>
    <w:link w:val="40"/>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1"/>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71"/>
    <w:qFormat/>
    <w:uiPriority w:val="0"/>
    <w:rPr>
      <w:rFonts w:ascii="Arial" w:hAnsi="Arial" w:eastAsia="黑体" w:cs="Arial"/>
      <w:snapToGrid w:val="0"/>
      <w:kern w:val="0"/>
      <w:szCs w:val="21"/>
    </w:rPr>
  </w:style>
  <w:style w:type="character" w:customStyle="1" w:styleId="432">
    <w:name w:val="hui"/>
    <w:basedOn w:val="71"/>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81"/>
    <w:next w:val="81"/>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81"/>
    <w:next w:val="81"/>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6"/>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表格 内容"/>
    <w:basedOn w:val="729"/>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3"/>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7"/>
    <w:qFormat/>
    <w:uiPriority w:val="0"/>
    <w:rPr>
      <w:kern w:val="2"/>
      <w:sz w:val="21"/>
      <w:szCs w:val="24"/>
      <w:lang w:val="zh-CN"/>
    </w:rPr>
  </w:style>
  <w:style w:type="character" w:customStyle="1" w:styleId="932">
    <w:name w:val="无间隔 字符"/>
    <w:link w:val="483"/>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8"/>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正文正"/>
    <w:basedOn w:val="1"/>
    <w:qFormat/>
    <w:uiPriority w:val="0"/>
    <w:pPr>
      <w:spacing w:line="560" w:lineRule="exact"/>
      <w:ind w:firstLine="561"/>
    </w:pPr>
    <w:rPr>
      <w:rFonts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39627</Words>
  <Characters>42367</Characters>
  <Lines>349</Lines>
  <Paragraphs>98</Paragraphs>
  <TotalTime>0</TotalTime>
  <ScaleCrop>false</ScaleCrop>
  <LinksUpToDate>false</LinksUpToDate>
  <CharactersWithSpaces>47456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2023-05-16T05:29:00Z</dcterms:created>
  <dc:creator>玥</dc:creator>
  <cp:lastModifiedBy>Kizuna</cp:lastModifiedBy>
  <cp:lastPrinted>2023-03-16T08:25:00Z</cp:lastPrinted>
  <dcterms:modified xsi:type="dcterms:W3CDTF">2023-05-17T03:27:33Z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B8916D1FBCA44E8B93A31584943922A7_13</vt:lpwstr>
  </property>
</Properties>
</file>